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26 de junio de 2017.</w:t>
      </w:r>
    </w:p>
    <w:p>
      <w:pPr>
        <w:pStyle w:val="Predeterminado"/>
        <w:ind w:left="5387" w:right="51" w:hanging="284"/>
        <w:jc w:val="right"/>
        <w:rPr>
          <w:rFonts w:ascii="Verdana" w:hAnsi="Verdana" w:cs="Tahoma"/>
          <w:sz w:val="18"/>
          <w:szCs w:val="18"/>
        </w:rPr>
      </w:pPr>
      <w:r>
        <w:rPr>
          <w:rFonts w:ascii="Verdana" w:hAnsi="Verdana" w:cs="Tahoma"/>
          <w:b/>
          <w:sz w:val="18"/>
          <w:szCs w:val="18"/>
        </w:rPr>
        <w:t xml:space="preserve">Publicado: </w:t>
      </w:r>
      <w:r>
        <w:rPr>
          <w:rFonts w:ascii="Verdana" w:hAnsi="Verdana" w:cs="Tahoma"/>
          <w:sz w:val="18"/>
          <w:szCs w:val="18"/>
        </w:rPr>
        <w:t xml:space="preserve">27 de junio de 2017. </w:t>
      </w:r>
    </w:p>
    <w:p>
      <w:pPr>
        <w:pStyle w:val="Predeterminado"/>
        <w:ind w:left="5387" w:right="51" w:hanging="284"/>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 xml:space="preserve">28 de junio del año 2017. </w:t>
      </w:r>
    </w:p>
    <w:p>
      <w:pPr>
        <w:pStyle w:val="Predeterminado"/>
        <w:ind w:left="5387" w:right="51" w:hanging="284"/>
        <w:jc w:val="right"/>
        <w:rPr>
          <w:i/>
          <w:sz w:val="18"/>
          <w:szCs w:val="18"/>
        </w:rPr>
      </w:pPr>
      <w:r>
        <w:rPr>
          <w:rFonts w:ascii="Verdana" w:hAnsi="Verdana" w:cs="Tahoma"/>
          <w:b/>
          <w:sz w:val="18"/>
          <w:szCs w:val="18"/>
        </w:rPr>
        <w:t xml:space="preserve">Última reforma: </w:t>
      </w:r>
      <w:r>
        <w:rPr>
          <w:rFonts w:ascii="Verdana" w:hAnsi="Verdana" w:cs="Tahoma"/>
          <w:sz w:val="18"/>
          <w:szCs w:val="18"/>
        </w:rPr>
        <w:t>12</w:t>
      </w:r>
      <w:r>
        <w:rPr>
          <w:rFonts w:ascii="Verdana" w:hAnsi="Verdana" w:cs="Tahoma"/>
          <w:sz w:val="18"/>
          <w:szCs w:val="18"/>
        </w:rPr>
        <w:t xml:space="preserve"> de </w:t>
      </w:r>
      <w:r>
        <w:rPr>
          <w:rFonts w:ascii="Verdana" w:hAnsi="Verdana" w:cs="Tahoma"/>
          <w:sz w:val="18"/>
          <w:szCs w:val="18"/>
        </w:rPr>
        <w:t>mayo del 2023</w:t>
      </w:r>
      <w:r>
        <w:rPr>
          <w:rFonts w:ascii="Verdana" w:hAnsi="Verdana" w:cs="Tahoma"/>
          <w:sz w:val="18"/>
          <w:szCs w:val="18"/>
        </w:rPr>
        <w:t>.</w:t>
      </w:r>
    </w:p>
    <w:p>
      <w:pPr>
        <w:pStyle w:val="Predeterminado"/>
        <w:ind w:left="5387" w:right="51" w:hanging="284"/>
        <w:jc w:val="right"/>
        <w:rPr>
          <w:rFonts w:ascii="Verdana" w:hAnsi="Verdana"/>
          <w:i/>
        </w:rPr>
      </w:pPr>
      <w:r>
        <w:rPr>
          <w:rFonts w:ascii="Verdana" w:hAnsi="Verdana" w:cs="Tahoma"/>
          <w:i/>
          <w:sz w:val="18"/>
          <w:szCs w:val="18"/>
        </w:rPr>
        <w:t xml:space="preserve"> </w:t>
      </w:r>
    </w:p>
    <w:p>
      <w:pPr>
        <w:widowControl w:val="0"/>
        <w:autoSpaceDN w:val="0"/>
        <w:jc w:val="both"/>
        <w:textAlignment w:val="baseline"/>
        <w:rPr>
          <w:rFonts w:ascii="Verdana" w:eastAsia="SimSun" w:hAnsi="Verdana" w:cs="Arial"/>
          <w:i/>
          <w:kern w:val="3"/>
          <w:sz w:val="21"/>
          <w:szCs w:val="21"/>
        </w:rPr>
      </w:pPr>
    </w:p>
    <w:p>
      <w:pPr>
        <w:jc w:val="center"/>
        <w:rPr>
          <w:rFonts w:ascii="Verdana" w:hAnsi="Verdana" w:cs="Khmer UI"/>
          <w:b/>
          <w:sz w:val="22"/>
          <w:szCs w:val="22"/>
          <w:lang w:eastAsia="es-MX"/>
        </w:rPr>
      </w:pPr>
      <w:r>
        <w:rPr>
          <w:rFonts w:ascii="Verdana" w:hAnsi="Verdana" w:cs="Khmer UI"/>
          <w:b/>
          <w:sz w:val="22"/>
          <w:szCs w:val="22"/>
          <w:lang w:eastAsia="es-MX"/>
        </w:rPr>
        <w:t>REGLAMENTO DEL SISTEMA MUNICIPAL DE PROTECCIÓN INTEGRAL DE NIÑAS, NIÑOS Y ADOLESCENTES DEL MUNICIPIO D</w:t>
      </w:r>
      <w:r>
        <w:rPr>
          <w:rFonts w:ascii="Verdana" w:hAnsi="Verdana" w:cs="Khmer UI"/>
          <w:b/>
          <w:sz w:val="22"/>
          <w:szCs w:val="22"/>
          <w:lang w:eastAsia="es-MX"/>
        </w:rPr>
        <w:t>E TLAJOMULCO DE ZÚÑIGA, JALISCO</w:t>
      </w:r>
    </w:p>
    <w:p>
      <w:pPr>
        <w:jc w:val="both"/>
        <w:rPr>
          <w:rFonts w:ascii="Verdana" w:hAnsi="Verdana" w:cs="Khmer UI"/>
          <w:b/>
          <w:sz w:val="22"/>
          <w:szCs w:val="22"/>
          <w:lang w:eastAsia="es-MX"/>
        </w:rPr>
      </w:pPr>
    </w:p>
    <w:p>
      <w:pPr>
        <w:jc w:val="both"/>
        <w:rPr>
          <w:rFonts w:ascii="Verdana" w:hAnsi="Verdana" w:cs="Khmer UI"/>
          <w:b/>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CAPÍTULO PRIMERO</w:t>
      </w:r>
    </w:p>
    <w:p>
      <w:pPr>
        <w:jc w:val="center"/>
        <w:rPr>
          <w:rFonts w:ascii="Verdana" w:hAnsi="Verdana" w:cs="Khmer UI"/>
          <w:b/>
          <w:sz w:val="22"/>
          <w:szCs w:val="22"/>
          <w:lang w:eastAsia="es-MX"/>
        </w:rPr>
      </w:pPr>
      <w:r>
        <w:rPr>
          <w:rFonts w:ascii="Verdana" w:hAnsi="Verdana" w:cs="Khmer UI"/>
          <w:b/>
          <w:sz w:val="22"/>
          <w:szCs w:val="22"/>
          <w:lang w:eastAsia="es-MX"/>
        </w:rPr>
        <w:t>DISPOSICIONES GENERALES</w:t>
      </w:r>
    </w:p>
    <w:p>
      <w:pPr>
        <w:jc w:val="both"/>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w:t>
      </w:r>
      <w:r>
        <w:rPr>
          <w:rFonts w:ascii="Verdana" w:hAnsi="Verdana" w:cs="Khmer UI"/>
          <w:b/>
          <w:sz w:val="22"/>
          <w:szCs w:val="22"/>
          <w:lang w:eastAsia="es-MX"/>
        </w:rPr>
        <w:t>-</w:t>
      </w:r>
      <w:r>
        <w:rPr>
          <w:rFonts w:ascii="Verdana" w:hAnsi="Verdana" w:cs="Khmer UI"/>
          <w:sz w:val="22"/>
          <w:szCs w:val="22"/>
          <w:lang w:eastAsia="es-MX"/>
        </w:rPr>
        <w:t> El presente Reglamento es de orden público, interés social y observancia general en el territorio municipal. Tiene por objeto la creación, integración y funcionamiento del Sistema Municipal de Protección Integral de Niñas, Niños y Adolescentes, a efecto de respetar, promover, proteger y garantizar el ejercicio los derechos de niñas, niños y adolescentes en el Municipio de Tlajomulco de Zúñiga, Jalisco.</w:t>
      </w:r>
    </w:p>
    <w:p>
      <w:pPr>
        <w:spacing w:line="360" w:lineRule="auto"/>
        <w:jc w:val="both"/>
        <w:rPr>
          <w:rFonts w:ascii="Verdana" w:hAnsi="Verdana" w:cs="Khmer UI"/>
          <w:sz w:val="22"/>
          <w:szCs w:val="22"/>
          <w:lang w:eastAsia="es-MX"/>
        </w:rPr>
      </w:pPr>
    </w:p>
    <w:p>
      <w:pPr>
        <w:jc w:val="both"/>
        <w:rPr>
          <w:rFonts w:ascii="Verdana" w:hAnsi="Verdana" w:cs="Khmer UI"/>
          <w:b/>
          <w:sz w:val="22"/>
          <w:szCs w:val="22"/>
          <w:lang w:eastAsia="es-MX"/>
        </w:rPr>
      </w:pPr>
      <w:r>
        <w:rPr>
          <w:rFonts w:ascii="Verdana" w:hAnsi="Verdana" w:cs="Khmer UI"/>
          <w:b/>
          <w:sz w:val="22"/>
          <w:szCs w:val="22"/>
          <w:lang w:eastAsia="es-MX"/>
        </w:rPr>
        <w:t>Artículo 2.</w:t>
      </w:r>
      <w:r>
        <w:rPr>
          <w:rFonts w:ascii="Verdana" w:hAnsi="Verdana" w:cs="Khmer UI"/>
          <w:b/>
          <w:sz w:val="22"/>
          <w:szCs w:val="22"/>
          <w:lang w:eastAsia="es-MX"/>
        </w:rPr>
        <w:t>-</w:t>
      </w:r>
      <w:r>
        <w:rPr>
          <w:rFonts w:ascii="Verdana" w:hAnsi="Verdana" w:cs="Khmer UI"/>
          <w:sz w:val="22"/>
          <w:szCs w:val="22"/>
          <w:lang w:eastAsia="es-MX"/>
        </w:rPr>
        <w:t xml:space="preserve"> </w:t>
      </w:r>
      <w:r>
        <w:rPr>
          <w:rFonts w:ascii="Verdana" w:hAnsi="Verdana" w:cs="Khmer UI"/>
          <w:iCs/>
          <w:sz w:val="22"/>
          <w:szCs w:val="22"/>
          <w:lang w:eastAsia="es-MX"/>
        </w:rPr>
        <w:t xml:space="preserve">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w:t>
      </w:r>
      <w:r>
        <w:rPr>
          <w:rFonts w:ascii="Verdana" w:hAnsi="Verdana" w:cs="Khmer UI"/>
          <w:sz w:val="22"/>
          <w:szCs w:val="22"/>
          <w:lang w:eastAsia="es-MX"/>
        </w:rPr>
        <w:t>Ley de los Derechos de Niñas, Niños y Adolescentes en el Estado de Jalisco</w:t>
      </w:r>
      <w:r>
        <w:rPr>
          <w:rFonts w:ascii="Verdana" w:hAnsi="Verdana" w:cs="Khmer UI"/>
          <w:iCs/>
          <w:sz w:val="22"/>
          <w:szCs w:val="22"/>
          <w:lang w:eastAsia="es-MX"/>
        </w:rPr>
        <w:t xml:space="preserve">, y </w:t>
      </w:r>
      <w:r>
        <w:rPr>
          <w:rFonts w:ascii="Verdana" w:hAnsi="Verdana" w:cs="Khmer UI"/>
          <w:sz w:val="22"/>
          <w:szCs w:val="22"/>
          <w:lang w:eastAsia="es-MX"/>
        </w:rPr>
        <w:t xml:space="preserve">37 </w:t>
      </w:r>
      <w:r>
        <w:rPr>
          <w:rFonts w:ascii="Verdana" w:hAnsi="Verdana" w:cs="Khmer UI"/>
          <w:bCs/>
          <w:sz w:val="22"/>
          <w:szCs w:val="22"/>
          <w:lang w:eastAsia="es-MX"/>
        </w:rPr>
        <w:t>fracciones II y VI</w:t>
      </w:r>
      <w:r>
        <w:rPr>
          <w:rFonts w:ascii="Verdana" w:hAnsi="Verdana" w:cs="Khmer UI"/>
          <w:sz w:val="22"/>
          <w:szCs w:val="22"/>
          <w:lang w:eastAsia="es-MX"/>
        </w:rPr>
        <w:t>, 40, 42 y 44</w:t>
      </w:r>
      <w:r>
        <w:rPr>
          <w:rFonts w:ascii="Verdana" w:hAnsi="Verdana" w:cs="Khmer UI"/>
          <w:iCs/>
          <w:sz w:val="22"/>
          <w:szCs w:val="22"/>
          <w:lang w:eastAsia="es-MX"/>
        </w:rPr>
        <w:t xml:space="preserve"> de la Ley del Gobierno y la Administración Pública Municipal del Estado de Jalisco. </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3</w:t>
      </w:r>
      <w:r>
        <w:rPr>
          <w:rFonts w:ascii="Verdana" w:hAnsi="Verdana" w:cs="Khmer UI"/>
          <w:sz w:val="22"/>
          <w:szCs w:val="22"/>
          <w:lang w:eastAsia="es-MX"/>
        </w:rPr>
        <w:t>.</w:t>
      </w:r>
      <w:r>
        <w:rPr>
          <w:rFonts w:ascii="Verdana" w:hAnsi="Verdana" w:cs="Khmer UI"/>
          <w:sz w:val="22"/>
          <w:szCs w:val="22"/>
          <w:lang w:eastAsia="es-MX"/>
        </w:rPr>
        <w:t>-</w:t>
      </w:r>
      <w:r>
        <w:rPr>
          <w:rFonts w:ascii="Verdana" w:hAnsi="Verdana" w:cs="Khmer UI"/>
          <w:sz w:val="22"/>
          <w:szCs w:val="22"/>
          <w:lang w:eastAsia="es-MX"/>
        </w:rPr>
        <w:t xml:space="preserve"> Los Derechos de las Niñas, Niños y Adolescentes a los que se hace referencia en el presente Reglamento, corresponden a los enunciados en el artículo 13 de la Ley General y en el artículo 8 de la Ley Estatal.</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4.</w:t>
      </w:r>
      <w:r>
        <w:rPr>
          <w:rFonts w:ascii="Verdana" w:hAnsi="Verdana" w:cs="Khmer UI"/>
          <w:b/>
          <w:sz w:val="22"/>
          <w:szCs w:val="22"/>
          <w:lang w:eastAsia="es-MX"/>
        </w:rPr>
        <w:t>-</w:t>
      </w:r>
      <w:r>
        <w:rPr>
          <w:rFonts w:ascii="Verdana" w:hAnsi="Verdana" w:cs="Khmer UI"/>
          <w:sz w:val="22"/>
          <w:szCs w:val="22"/>
          <w:lang w:eastAsia="es-MX"/>
        </w:rPr>
        <w:t xml:space="preserve"> La aplicación de este Reglamento corresponde a las dependencias de la administración pública centralizada y descentralizada del Municipio de Tlajomulco de Zúñiga, Jalisco, en el respectivo ámbito de su competencia.</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w:t>
      </w:r>
      <w:r>
        <w:rPr>
          <w:rFonts w:ascii="Verdana" w:hAnsi="Verdana" w:cs="Khmer UI"/>
          <w:b/>
          <w:sz w:val="22"/>
          <w:szCs w:val="22"/>
          <w:lang w:eastAsia="es-MX"/>
        </w:rPr>
        <w:t>-</w:t>
      </w:r>
      <w:r>
        <w:rPr>
          <w:rFonts w:ascii="Verdana" w:hAnsi="Verdana" w:cs="Khmer UI"/>
          <w:sz w:val="22"/>
          <w:szCs w:val="22"/>
          <w:lang w:eastAsia="es-MX"/>
        </w:rPr>
        <w:t> Para efectos de este Reglamento, además de las definiciones previstas en el artículo 3 de la Ley  de los Derechos de Niñas, Niños y Adolescentes en el Estado de Jalisco, se entenderá por:</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Ley Estatal: Ley  de los Derechos de Niñas, Niños y Adolescentes en el Estado de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Ley General: Ley General de los Derechos de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III.- </w:t>
      </w:r>
      <w:r>
        <w:rPr>
          <w:rFonts w:ascii="Verdana" w:hAnsi="Verdana" w:cs="Khmer UI"/>
          <w:sz w:val="22"/>
          <w:szCs w:val="22"/>
          <w:lang w:eastAsia="es-MX"/>
        </w:rPr>
        <w:t>Niñas, Niños y Adolescentes: Son niñas y niños los menores de doce años, y adolescentes las personas de entre doce años cumplidos y menos de dieciocho años de edad;</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 xml:space="preserve">Municipio: Municipio de Tlajomulco de Zúñiga, Jalisco;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 </w:t>
      </w:r>
      <w:r>
        <w:rPr>
          <w:rFonts w:ascii="Verdana" w:hAnsi="Verdana" w:cs="Khmer UI"/>
          <w:sz w:val="22"/>
          <w:szCs w:val="22"/>
          <w:lang w:eastAsia="es-MX"/>
        </w:rPr>
        <w:t>Programa Municipal: Programa Municipal de Protección de Niñas, Niños y Adolescentes del Municipio de Tlajomulco de Zúñiga,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 </w:t>
      </w:r>
      <w:r>
        <w:rPr>
          <w:rFonts w:ascii="Verdana" w:hAnsi="Verdana" w:cs="Khmer UI"/>
          <w:sz w:val="22"/>
          <w:szCs w:val="22"/>
          <w:lang w:eastAsia="es-MX"/>
        </w:rPr>
        <w:t>Reglamento: Reglamento del Sistema Municipal de Protección Integral de Niñas, Niños y Adolescentes del Municipio de Tlajomulco de Zúñiga,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 </w:t>
      </w:r>
      <w:r>
        <w:rPr>
          <w:rFonts w:ascii="Verdana" w:hAnsi="Verdana" w:cs="Khmer UI"/>
          <w:sz w:val="22"/>
          <w:szCs w:val="22"/>
          <w:lang w:eastAsia="es-MX"/>
        </w:rPr>
        <w:t xml:space="preserve">Representantes de la Sociedad Civil: Los representantes de universidades, medios de comunicación, organismos sociales y de la sociedad civil organizada; </w:t>
      </w:r>
    </w:p>
    <w:p>
      <w:pPr>
        <w:pStyle w:val="Prrafodelista"/>
        <w:ind w:left="0"/>
        <w:rPr>
          <w:rFonts w:ascii="Verdana" w:hAnsi="Verdana" w:cs="Khmer UI"/>
          <w:sz w:val="22"/>
          <w:szCs w:val="22"/>
          <w:lang w:val="es-MX" w:eastAsia="es-MX"/>
        </w:rPr>
      </w:pPr>
    </w:p>
    <w:p>
      <w:pPr>
        <w:tabs>
          <w:tab w:val="left" w:pos="851"/>
        </w:tabs>
        <w:jc w:val="both"/>
        <w:rPr>
          <w:rFonts w:ascii="Verdana" w:hAnsi="Verdana" w:cs="Khmer UI"/>
          <w:sz w:val="22"/>
          <w:szCs w:val="22"/>
          <w:lang w:eastAsia="es-MX"/>
        </w:rPr>
      </w:pPr>
      <w:r>
        <w:rPr>
          <w:rFonts w:ascii="Verdana" w:hAnsi="Verdana" w:cs="Khmer UI"/>
          <w:sz w:val="22"/>
          <w:szCs w:val="22"/>
          <w:lang w:eastAsia="es-MX"/>
        </w:rPr>
        <w:t xml:space="preserve">VIII.- </w:t>
      </w:r>
      <w:r>
        <w:rPr>
          <w:rFonts w:ascii="Verdana" w:hAnsi="Verdana" w:cs="Khmer UI"/>
          <w:sz w:val="22"/>
          <w:szCs w:val="22"/>
          <w:lang w:eastAsia="es-MX"/>
        </w:rPr>
        <w:t>Secretaría Ejecutiva: Responsable de coordinar el Sistema Municipal de Protección;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IX.- </w:t>
      </w:r>
      <w:r>
        <w:rPr>
          <w:rFonts w:ascii="Verdana" w:hAnsi="Verdana" w:cs="Khmer UI"/>
          <w:sz w:val="22"/>
          <w:szCs w:val="22"/>
          <w:lang w:eastAsia="es-MX"/>
        </w:rPr>
        <w:t>Sistema Estatal de Protección: El Sistema Local para la Protección Integral de los Derechos de Niñas, Niños y Adolescentes en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 </w:t>
      </w:r>
      <w:r>
        <w:rPr>
          <w:rFonts w:ascii="Verdana" w:hAnsi="Verdana" w:cs="Khmer UI"/>
          <w:sz w:val="22"/>
          <w:szCs w:val="22"/>
          <w:lang w:eastAsia="es-MX"/>
        </w:rPr>
        <w:t>Sistema Municipal de Información: Sistema Municipal de Información sobre Cumplimiento de Derechos de Niñas, Niños y Adolescentes;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 </w:t>
      </w:r>
      <w:r>
        <w:rPr>
          <w:rFonts w:ascii="Verdana" w:hAnsi="Verdana" w:cs="Khmer UI"/>
          <w:sz w:val="22"/>
          <w:szCs w:val="22"/>
          <w:lang w:eastAsia="es-MX"/>
        </w:rPr>
        <w:t>Sistema Municipal de Protección: Sistema Municipal de Protección Integral de Niñas, Niños y Adolescente del Municipio de Tlajomulco de Zúñiga, Jalisco.</w:t>
      </w:r>
    </w:p>
    <w:p>
      <w:pPr>
        <w:jc w:val="both"/>
        <w:rPr>
          <w:rFonts w:ascii="Verdana" w:hAnsi="Verdana" w:cs="Khmer UI"/>
          <w:sz w:val="22"/>
          <w:szCs w:val="22"/>
          <w:lang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6.</w:t>
      </w:r>
      <w:r>
        <w:rPr>
          <w:rFonts w:ascii="Verdana" w:hAnsi="Verdana" w:cs="Khmer UI"/>
          <w:b/>
          <w:bCs/>
          <w:sz w:val="22"/>
          <w:szCs w:val="22"/>
          <w:lang w:val="es-ES_tradnl" w:eastAsia="es-MX"/>
        </w:rPr>
        <w:t>-</w:t>
      </w:r>
      <w:r>
        <w:rPr>
          <w:rFonts w:ascii="Verdana" w:hAnsi="Verdana" w:cs="Khmer UI"/>
          <w:sz w:val="22"/>
          <w:szCs w:val="22"/>
          <w:lang w:val="es-ES_tradnl" w:eastAsia="es-MX"/>
        </w:rPr>
        <w:t> El Ayuntamiento del Municipio de Tlajomulco de Zúñiga, Jalisco, en el ámbito de su competencia, debe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w:t>
      </w:r>
    </w:p>
    <w:p>
      <w:pPr>
        <w:jc w:val="both"/>
        <w:rPr>
          <w:rFonts w:ascii="Verdana" w:hAnsi="Verdana" w:cs="Khmer UI"/>
          <w:sz w:val="22"/>
          <w:szCs w:val="22"/>
          <w:lang w:val="es-ES_tradnl" w:eastAsia="es-MX"/>
        </w:rPr>
      </w:pPr>
    </w:p>
    <w:p>
      <w:pPr>
        <w:jc w:val="both"/>
        <w:rPr>
          <w:rFonts w:ascii="Verdana" w:hAnsi="Verdana" w:cs="Khmer UI"/>
          <w:sz w:val="22"/>
          <w:szCs w:val="22"/>
          <w:lang w:eastAsia="es-MX"/>
        </w:rPr>
      </w:pPr>
      <w:r>
        <w:rPr>
          <w:rFonts w:ascii="Verdana" w:hAnsi="Verdana" w:cs="Khmer UI"/>
          <w:b/>
          <w:sz w:val="22"/>
          <w:szCs w:val="22"/>
          <w:lang w:eastAsia="es-MX"/>
        </w:rPr>
        <w:t>Artículo 7.</w:t>
      </w:r>
      <w:r>
        <w:rPr>
          <w:rFonts w:ascii="Verdana" w:hAnsi="Verdana" w:cs="Khmer UI"/>
          <w:sz w:val="22"/>
          <w:szCs w:val="22"/>
          <w:lang w:eastAsia="es-MX"/>
        </w:rPr>
        <w:t>-</w:t>
      </w:r>
      <w:r>
        <w:rPr>
          <w:rFonts w:ascii="Verdana" w:hAnsi="Verdana" w:cs="Khmer UI"/>
          <w:sz w:val="22"/>
          <w:szCs w:val="22"/>
          <w:lang w:eastAsia="es-MX"/>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w:t>
      </w:r>
    </w:p>
    <w:p>
      <w:pPr>
        <w:jc w:val="both"/>
        <w:rPr>
          <w:rFonts w:ascii="Verdana" w:hAnsi="Verdana" w:cs="Khmer UI"/>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CAPÍTULO SEGUNDO</w:t>
      </w:r>
    </w:p>
    <w:p>
      <w:pPr>
        <w:jc w:val="center"/>
        <w:rPr>
          <w:rFonts w:ascii="Verdana" w:hAnsi="Verdana" w:cs="Khmer UI"/>
          <w:b/>
          <w:sz w:val="22"/>
          <w:szCs w:val="22"/>
          <w:lang w:eastAsia="es-MX"/>
        </w:rPr>
      </w:pPr>
      <w:r>
        <w:rPr>
          <w:rFonts w:ascii="Verdana" w:hAnsi="Verdana" w:cs="Khmer UI"/>
          <w:b/>
          <w:sz w:val="22"/>
          <w:szCs w:val="22"/>
          <w:lang w:eastAsia="es-MX"/>
        </w:rPr>
        <w:t>DEL SISTEMA MUNICIPAL DE PROTECCIÓN</w:t>
      </w:r>
    </w:p>
    <w:p>
      <w:pPr>
        <w:jc w:val="center"/>
        <w:rPr>
          <w:rFonts w:ascii="Verdana" w:hAnsi="Verdana" w:cs="Khmer UI"/>
          <w:b/>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Sección Primera</w:t>
      </w:r>
    </w:p>
    <w:p>
      <w:pPr>
        <w:jc w:val="center"/>
        <w:rPr>
          <w:rFonts w:ascii="Verdana" w:hAnsi="Verdana" w:cs="Khmer UI"/>
          <w:b/>
          <w:sz w:val="22"/>
          <w:szCs w:val="22"/>
          <w:lang w:eastAsia="es-MX"/>
        </w:rPr>
      </w:pPr>
      <w:r>
        <w:rPr>
          <w:rFonts w:ascii="Verdana" w:hAnsi="Verdana" w:cs="Khmer UI"/>
          <w:b/>
          <w:sz w:val="22"/>
          <w:szCs w:val="22"/>
          <w:lang w:eastAsia="es-MX"/>
        </w:rPr>
        <w:t>Disposiciones Generales</w:t>
      </w:r>
    </w:p>
    <w:p>
      <w:pPr>
        <w:jc w:val="both"/>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8.</w:t>
      </w:r>
      <w:r>
        <w:rPr>
          <w:rFonts w:ascii="Verdana" w:hAnsi="Verdana" w:cs="Khmer UI"/>
          <w:b/>
          <w:sz w:val="22"/>
          <w:szCs w:val="22"/>
          <w:lang w:eastAsia="es-MX"/>
        </w:rPr>
        <w:t>-</w:t>
      </w:r>
      <w:r>
        <w:rPr>
          <w:rFonts w:ascii="Verdana" w:hAnsi="Verdana" w:cs="Khmer UI"/>
          <w:sz w:val="22"/>
          <w:szCs w:val="22"/>
          <w:lang w:eastAsia="es-MX"/>
        </w:rPr>
        <w:t xml:space="preserve"> El Sistema Municipal de Protección es la instancia encargada de establecer instrumentos, políticas públicas, programas, procedimientos, servicios y acciones de protección de los derechos de niñas, niños y adolescentes en el Municipio de Tlajomulco de Zúñiga, Jalisco.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lastRenderedPageBreak/>
        <w:t>Artículo 9.</w:t>
      </w:r>
      <w:r>
        <w:rPr>
          <w:rFonts w:ascii="Verdana" w:hAnsi="Verdana" w:cs="Khmer UI"/>
          <w:b/>
          <w:sz w:val="22"/>
          <w:szCs w:val="22"/>
          <w:lang w:eastAsia="es-MX"/>
        </w:rPr>
        <w:t>-</w:t>
      </w:r>
      <w:r>
        <w:rPr>
          <w:rFonts w:ascii="Verdana" w:hAnsi="Verdana" w:cs="Khmer UI"/>
          <w:sz w:val="22"/>
          <w:szCs w:val="22"/>
          <w:lang w:eastAsia="es-MX"/>
        </w:rPr>
        <w:t xml:space="preserve"> El Sistema Municipal de Protección tiene las siguientes atribuciones: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Promover que las niñas, niños y adolescentes sean reconocidas por la sociedad como personas con derechos;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Impulsar una cultura de respeto, protección y promoción de los derechos de las niñas, niños y adolescentes;</w:t>
      </w:r>
    </w:p>
    <w:p>
      <w:pPr>
        <w:jc w:val="both"/>
        <w:rPr>
          <w:rFonts w:ascii="Verdana" w:hAnsi="Verdana" w:cs="Khmer UI"/>
          <w:sz w:val="22"/>
          <w:szCs w:val="22"/>
          <w:lang w:eastAsia="es-MX"/>
        </w:rPr>
      </w:pPr>
      <w:r>
        <w:rPr>
          <w:rFonts w:ascii="Verdana" w:hAnsi="Verdana" w:cs="Khmer UI"/>
          <w:sz w:val="22"/>
          <w:szCs w:val="22"/>
          <w:lang w:eastAsia="es-MX"/>
        </w:rPr>
        <w:t xml:space="preserve"> </w:t>
      </w:r>
    </w:p>
    <w:p>
      <w:pPr>
        <w:jc w:val="both"/>
        <w:rPr>
          <w:rFonts w:ascii="Verdana" w:hAnsi="Verdana" w:cs="Khmer UI"/>
          <w:sz w:val="22"/>
          <w:szCs w:val="22"/>
          <w:lang w:eastAsia="es-MX"/>
        </w:rPr>
      </w:pPr>
      <w:r>
        <w:rPr>
          <w:rFonts w:ascii="Verdana" w:hAnsi="Verdana" w:cs="Khmer UI"/>
          <w:sz w:val="22"/>
          <w:szCs w:val="22"/>
          <w:lang w:eastAsia="es-MX"/>
        </w:rPr>
        <w:t xml:space="preserve">III.- </w:t>
      </w:r>
      <w:r>
        <w:rPr>
          <w:rFonts w:ascii="Verdana" w:hAnsi="Verdana" w:cs="Khmer UI"/>
          <w:sz w:val="22"/>
          <w:szCs w:val="22"/>
          <w:lang w:eastAsia="es-MX"/>
        </w:rPr>
        <w:t>Elaborar y aprobar el Programa Municipal, y participar en el diseño del Programa Estatal;</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Promover políticas de fortalecimiento familiar que contribuyan a que las niñas, niños y adolescentes vivan en hogares armónicos que garanticen el pleno ejercicio de sus derechos y se aliente su desarrollo, reconociendo a la familia en todas sus formas;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 </w:t>
      </w:r>
      <w:r>
        <w:rPr>
          <w:rFonts w:ascii="Verdana" w:hAnsi="Verdana" w:cs="Khmer UI"/>
          <w:sz w:val="22"/>
          <w:szCs w:val="22"/>
          <w:lang w:eastAsia="es-MX"/>
        </w:rPr>
        <w:t>Proponer acciones de difusión y medidas de prevención, para que sean plenamente conocidos, ejercidos y respetados de forma integral los derechos de las niñas, niños y adolescentes en el Municipio;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 </w:t>
      </w:r>
      <w:r>
        <w:rPr>
          <w:rFonts w:ascii="Verdana" w:hAnsi="Verdana" w:cs="Khmer UI"/>
          <w:sz w:val="22"/>
          <w:szCs w:val="22"/>
          <w:lang w:eastAsia="es-MX"/>
        </w:rPr>
        <w:t>Promover la libre manifestación de ideas de niñas, niños y adolescentes en los asuntos concernientes a su Municipio;</w:t>
      </w:r>
    </w:p>
    <w:p>
      <w:pPr>
        <w:pStyle w:val="Prrafodelista"/>
        <w:ind w:left="0"/>
        <w:rPr>
          <w:rFonts w:ascii="Verdana" w:hAnsi="Verdana" w:cs="Khmer UI"/>
          <w:sz w:val="22"/>
          <w:szCs w:val="22"/>
          <w:lang w:val="es-MX"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 </w:t>
      </w:r>
      <w:r>
        <w:rPr>
          <w:rFonts w:ascii="Verdana" w:hAnsi="Verdana" w:cs="Khmer UI"/>
          <w:sz w:val="22"/>
          <w:szCs w:val="22"/>
          <w:lang w:eastAsia="es-MX"/>
        </w:rPr>
        <w:t>Diseñar políticas públicas para evaluar y adoptar medidas para responder a las necesidades de niñas, niños y adolescentes, de tal manera que se posibilite su desarrollo progresivo e integral, conforme a sus capacidades y habilidades personales;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VIII.- </w:t>
      </w:r>
      <w:r>
        <w:rPr>
          <w:rFonts w:ascii="Verdana" w:hAnsi="Verdana" w:cs="Khmer UI"/>
          <w:sz w:val="22"/>
          <w:szCs w:val="22"/>
          <w:lang w:eastAsia="es-MX"/>
        </w:rPr>
        <w:t>Ser enlace entre la administración pública municipal y las niñas, niños y adolescentes que deseen manifestar inquietudes;</w:t>
      </w:r>
    </w:p>
    <w:p>
      <w:pPr>
        <w:pStyle w:val="Prrafodelista"/>
        <w:ind w:left="0"/>
        <w:rPr>
          <w:rFonts w:ascii="Verdana" w:hAnsi="Verdana" w:cs="Khmer UI"/>
          <w:sz w:val="22"/>
          <w:szCs w:val="22"/>
          <w:lang w:val="es-MX"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IX.- </w:t>
      </w:r>
      <w:r>
        <w:rPr>
          <w:rFonts w:ascii="Verdana" w:hAnsi="Verdana" w:cs="Khmer UI"/>
          <w:sz w:val="22"/>
          <w:szCs w:val="22"/>
          <w:lang w:eastAsia="es-MX"/>
        </w:rPr>
        <w:t xml:space="preserve">Vincularse con el delegado institucional de la Procuraduría de Protección de Niñas, Niños y Adolescentes en el Municipio para cumplir con los objetivos de la Ley General y la Ley Estatal;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 </w:t>
      </w:r>
      <w:r>
        <w:rPr>
          <w:rFonts w:ascii="Verdana" w:hAnsi="Verdana" w:cs="Khmer UI"/>
          <w:sz w:val="22"/>
          <w:szCs w:val="22"/>
          <w:lang w:eastAsia="es-MX"/>
        </w:rPr>
        <w:t xml:space="preserve">Promover la celebración de convenios de coordinación con las autoridades competentes, así como con otras instancias públicas o privadas, para la atención y </w:t>
      </w:r>
      <w:proofErr w:type="gramStart"/>
      <w:r>
        <w:rPr>
          <w:rFonts w:ascii="Verdana" w:hAnsi="Verdana" w:cs="Khmer UI"/>
          <w:sz w:val="22"/>
          <w:szCs w:val="22"/>
          <w:lang w:eastAsia="es-MX"/>
        </w:rPr>
        <w:t>protección de niñas, niños y adolescentes</w:t>
      </w:r>
      <w:proofErr w:type="gramEnd"/>
      <w:r>
        <w:rPr>
          <w:rFonts w:ascii="Verdana" w:hAnsi="Verdana" w:cs="Khmer UI"/>
          <w:sz w:val="22"/>
          <w:szCs w:val="22"/>
          <w:lang w:eastAsia="es-MX"/>
        </w:rPr>
        <w:t>;</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 </w:t>
      </w:r>
      <w:r>
        <w:rPr>
          <w:rFonts w:ascii="Verdana" w:hAnsi="Verdana" w:cs="Khmer UI"/>
          <w:sz w:val="22"/>
          <w:szCs w:val="22"/>
          <w:lang w:eastAsia="es-MX"/>
        </w:rPr>
        <w:t>Difundir y solicitar a las dependencias municipales la aplicación de los protocolos específicos sobre niñas, niños y adolescentes que autoricen las instancias competentes de la federación y del Estado de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XII.- </w:t>
      </w:r>
      <w:r>
        <w:rPr>
          <w:rFonts w:ascii="Verdana" w:hAnsi="Verdana" w:cs="Khmer UI"/>
          <w:sz w:val="22"/>
          <w:szCs w:val="22"/>
          <w:lang w:eastAsia="es-MX"/>
        </w:rPr>
        <w:t>Coordinarse con las autoridades de los distintos órdenes de gobierno para la implementación y ejecución de las acciones y políticas públicas;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XIII.- </w:t>
      </w:r>
      <w:r>
        <w:rPr>
          <w:rFonts w:ascii="Verdana" w:hAnsi="Verdana" w:cs="Khmer UI"/>
          <w:sz w:val="22"/>
          <w:szCs w:val="22"/>
          <w:lang w:eastAsia="es-MX"/>
        </w:rPr>
        <w:t>Coadyuvar en la integración del sistema de información a nivel nacional de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XIV.- </w:t>
      </w:r>
      <w:r>
        <w:rPr>
          <w:rFonts w:ascii="Verdana" w:hAnsi="Verdana" w:cs="Khmer UI"/>
          <w:sz w:val="22"/>
          <w:szCs w:val="22"/>
          <w:lang w:eastAsia="es-MX"/>
        </w:rPr>
        <w:t>Impulsar la participación de las organizaciones privadas dedicadas a la promoción y defensa de los derechos humanos de niñas, niños y adolescentes, en la ejecución del Programa Municipal de Protección;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XV.- </w:t>
      </w:r>
      <w:r>
        <w:rPr>
          <w:rFonts w:ascii="Verdana" w:hAnsi="Verdana" w:cs="Khmer UI"/>
          <w:sz w:val="22"/>
          <w:szCs w:val="22"/>
          <w:lang w:eastAsia="es-MX"/>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XVI.- </w:t>
      </w:r>
      <w:r>
        <w:rPr>
          <w:rFonts w:ascii="Verdana" w:hAnsi="Verdana" w:cs="Khmer UI"/>
          <w:sz w:val="22"/>
          <w:szCs w:val="22"/>
          <w:lang w:eastAsia="es-MX"/>
        </w:rPr>
        <w:t xml:space="preserve">Coordinarse con las autoridades municipales a fin de garantizar la implementación del Programa Municipal de Protección, así como su financiamiento bajo los principios de </w:t>
      </w:r>
      <w:r>
        <w:rPr>
          <w:rFonts w:ascii="Verdana" w:hAnsi="Verdana" w:cs="Khmer UI"/>
          <w:bCs/>
          <w:sz w:val="22"/>
          <w:szCs w:val="22"/>
          <w:lang w:eastAsia="es-MX"/>
        </w:rPr>
        <w:t>austeridad, racionalidad y disciplina financiera</w:t>
      </w:r>
      <w:r>
        <w:rPr>
          <w:rFonts w:ascii="Verdana" w:hAnsi="Verdana" w:cs="Khmer UI"/>
          <w:sz w:val="22"/>
          <w:szCs w:val="22"/>
          <w:lang w:eastAsia="es-MX"/>
        </w:rPr>
        <w:t xml:space="preserve">;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XVII.- </w:t>
      </w:r>
      <w:r>
        <w:rPr>
          <w:rFonts w:ascii="Verdana" w:hAnsi="Verdana" w:cs="Khmer UI"/>
          <w:sz w:val="22"/>
          <w:szCs w:val="22"/>
          <w:lang w:eastAsia="es-MX"/>
        </w:rPr>
        <w:t>Dar seguimiento y evaluar las políticas, proyectos, programas y acciones que deriven del Programa Municipal de Protección;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XVIII.- </w:t>
      </w:r>
      <w:r>
        <w:rPr>
          <w:rFonts w:ascii="Verdana" w:hAnsi="Verdana" w:cs="Khmer UI"/>
          <w:sz w:val="22"/>
          <w:szCs w:val="22"/>
          <w:lang w:eastAsia="es-MX"/>
        </w:rPr>
        <w:t>Aprobar los manuales de organización y funcionamiento del Sistema Municipal de Protección, y las respectivas modificaciones a fin de mantenerlos actualizados;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XIX.- </w:t>
      </w:r>
      <w:r>
        <w:rPr>
          <w:rFonts w:ascii="Verdana" w:hAnsi="Verdana" w:cs="Khmer UI"/>
          <w:sz w:val="22"/>
          <w:szCs w:val="22"/>
          <w:lang w:eastAsia="es-MX"/>
        </w:rPr>
        <w:t xml:space="preserve">Las demás que le confieran otras disposiciones normativas. </w:t>
      </w:r>
    </w:p>
    <w:p>
      <w:pPr>
        <w:jc w:val="both"/>
        <w:rPr>
          <w:rFonts w:ascii="Verdana" w:hAnsi="Verdana" w:cs="Khmer UI"/>
          <w:sz w:val="22"/>
          <w:szCs w:val="22"/>
          <w:lang w:eastAsia="es-MX"/>
        </w:rPr>
      </w:pPr>
      <w:r>
        <w:rPr>
          <w:rFonts w:ascii="Verdana" w:hAnsi="Verdana" w:cs="Khmer UI"/>
          <w:sz w:val="22"/>
          <w:szCs w:val="22"/>
          <w:lang w:eastAsia="es-MX"/>
        </w:rPr>
        <w:t xml:space="preserve"> </w:t>
      </w:r>
    </w:p>
    <w:p>
      <w:pPr>
        <w:jc w:val="both"/>
        <w:rPr>
          <w:rFonts w:ascii="Verdana" w:hAnsi="Verdana" w:cs="Khmer UI"/>
          <w:sz w:val="22"/>
          <w:szCs w:val="22"/>
          <w:lang w:eastAsia="es-MX"/>
        </w:rPr>
      </w:pPr>
      <w:r>
        <w:rPr>
          <w:rFonts w:ascii="Verdana" w:hAnsi="Verdana" w:cs="Khmer UI"/>
          <w:b/>
          <w:sz w:val="22"/>
          <w:szCs w:val="22"/>
          <w:lang w:eastAsia="es-MX"/>
        </w:rPr>
        <w:t>Artículo 10.</w:t>
      </w:r>
      <w:r>
        <w:rPr>
          <w:rFonts w:ascii="Verdana" w:hAnsi="Verdana" w:cs="Khmer UI"/>
          <w:b/>
          <w:sz w:val="22"/>
          <w:szCs w:val="22"/>
          <w:lang w:eastAsia="es-MX"/>
        </w:rPr>
        <w:t>-</w:t>
      </w:r>
      <w:r>
        <w:rPr>
          <w:rFonts w:ascii="Verdana" w:hAnsi="Verdana" w:cs="Khmer UI"/>
          <w:sz w:val="22"/>
          <w:szCs w:val="22"/>
          <w:lang w:eastAsia="es-MX"/>
        </w:rPr>
        <w:t xml:space="preserve"> El Sistema Municipal de Protección será presidido por el Presidente Municipal, deberá ser instalado durante los sesenta días naturales posteriores al inicio del periodo constitucional del Gobierno Municipal y contará con una Secretaría Ejecutiva a fin de coordinar su funcionamiento.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11.</w:t>
      </w:r>
      <w:r>
        <w:rPr>
          <w:rFonts w:ascii="Verdana" w:hAnsi="Verdana" w:cs="Khmer UI"/>
          <w:b/>
          <w:sz w:val="22"/>
          <w:szCs w:val="22"/>
          <w:lang w:eastAsia="es-MX"/>
        </w:rPr>
        <w:t>-</w:t>
      </w:r>
      <w:r>
        <w:rPr>
          <w:rFonts w:ascii="Verdana" w:hAnsi="Verdana" w:cs="Khmer UI"/>
          <w:sz w:val="22"/>
          <w:szCs w:val="22"/>
          <w:lang w:eastAsia="es-MX"/>
        </w:rPr>
        <w:t xml:space="preserve"> El Sistema Municipal de Protección se integra por:</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El Presidente Municipal o quien él designe;</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El Titular de la Secretaría Ejecutiva;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III.- </w:t>
      </w:r>
      <w:r>
        <w:rPr>
          <w:rFonts w:ascii="Verdana" w:hAnsi="Verdana" w:cs="Khmer UI"/>
          <w:sz w:val="22"/>
          <w:szCs w:val="22"/>
          <w:lang w:eastAsia="es-MX"/>
        </w:rPr>
        <w:t xml:space="preserve">El Síndico Municipal;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Tesorero Municipal;</w:t>
      </w:r>
    </w:p>
    <w:p>
      <w:pPr>
        <w:jc w:val="both"/>
        <w:rPr>
          <w:rFonts w:ascii="Verdana" w:hAnsi="Verdana" w:cs="Khmer UI"/>
          <w:sz w:val="22"/>
          <w:szCs w:val="22"/>
          <w:lang w:eastAsia="es-MX"/>
        </w:rPr>
      </w:pPr>
      <w:r>
        <w:rPr>
          <w:rFonts w:ascii="Verdana" w:hAnsi="Verdana" w:cs="Khmer UI"/>
          <w:sz w:val="22"/>
          <w:szCs w:val="22"/>
          <w:lang w:eastAsia="es-MX"/>
        </w:rPr>
        <w:t xml:space="preserve"> </w:t>
      </w:r>
    </w:p>
    <w:p>
      <w:pPr>
        <w:jc w:val="both"/>
        <w:rPr>
          <w:rFonts w:ascii="Verdana" w:hAnsi="Verdana" w:cs="Khmer UI"/>
          <w:b/>
          <w:sz w:val="22"/>
          <w:szCs w:val="22"/>
          <w:lang w:eastAsia="es-MX"/>
        </w:rPr>
      </w:pPr>
      <w:r>
        <w:rPr>
          <w:rFonts w:ascii="Verdana" w:hAnsi="Verdana" w:cs="Khmer UI"/>
          <w:b/>
          <w:sz w:val="22"/>
          <w:szCs w:val="22"/>
          <w:lang w:eastAsia="es-MX"/>
        </w:rPr>
        <w:t>V.- El Presidente de la Comisión Edilicia de Familia, Niñez, Juventud y Deportes</w:t>
      </w:r>
      <w:r>
        <w:rPr>
          <w:rFonts w:ascii="Verdana" w:hAnsi="Verdana" w:cs="Khmer UI"/>
          <w:b/>
          <w:sz w:val="22"/>
          <w:szCs w:val="22"/>
          <w:lang w:eastAsia="es-MX"/>
        </w:rPr>
        <w:t>;</w:t>
      </w:r>
    </w:p>
    <w:p>
      <w:pPr>
        <w:jc w:val="right"/>
        <w:rPr>
          <w:rFonts w:ascii="Verdana" w:hAnsi="Verdana" w:cs="Khmer UI"/>
          <w:b/>
          <w:sz w:val="22"/>
          <w:szCs w:val="22"/>
          <w:lang w:eastAsia="es-MX"/>
        </w:rPr>
      </w:pPr>
      <w:r>
        <w:rPr>
          <w:rFonts w:ascii="Verdana" w:hAnsi="Verdana" w:cs="Tahoma"/>
          <w:b/>
          <w:i/>
          <w:color w:val="000000"/>
          <w:sz w:val="20"/>
          <w:szCs w:val="20"/>
        </w:rPr>
        <w:t xml:space="preserve">(Reforma publicada el </w:t>
      </w:r>
      <w:r>
        <w:rPr>
          <w:rFonts w:ascii="Verdana" w:hAnsi="Verdana" w:cs="Tahoma"/>
          <w:b/>
          <w:i/>
          <w:color w:val="000000"/>
          <w:sz w:val="20"/>
          <w:szCs w:val="20"/>
        </w:rPr>
        <w:t>12 de mayo</w:t>
      </w:r>
      <w:r>
        <w:rPr>
          <w:rFonts w:ascii="Verdana" w:hAnsi="Verdana" w:cs="Tahoma"/>
          <w:b/>
          <w:i/>
          <w:color w:val="000000"/>
          <w:sz w:val="20"/>
          <w:szCs w:val="20"/>
        </w:rPr>
        <w:t xml:space="preserve"> del 20</w:t>
      </w:r>
      <w:r>
        <w:rPr>
          <w:rFonts w:ascii="Verdana" w:hAnsi="Verdana" w:cs="Tahoma"/>
          <w:b/>
          <w:i/>
          <w:color w:val="000000"/>
          <w:sz w:val="20"/>
          <w:szCs w:val="20"/>
        </w:rPr>
        <w:t>23</w:t>
      </w:r>
      <w:r>
        <w:rPr>
          <w:rFonts w:ascii="Verdana" w:hAnsi="Verdana" w:cs="Tahoma"/>
          <w:b/>
          <w:i/>
          <w:color w:val="000000"/>
          <w:sz w:val="20"/>
          <w:szCs w:val="20"/>
        </w:rPr>
        <w:t xml:space="preserve"> en la Gaceta Municipal)</w:t>
      </w:r>
      <w:r>
        <w:rPr>
          <w:rFonts w:ascii="Verdana" w:hAnsi="Verdana" w:cs="Khmer UI"/>
          <w:b/>
          <w:sz w:val="22"/>
          <w:szCs w:val="22"/>
          <w:lang w:eastAsia="es-MX"/>
        </w:rPr>
        <w:t xml:space="preserve">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 </w:t>
      </w:r>
      <w:r>
        <w:rPr>
          <w:rFonts w:ascii="Verdana" w:hAnsi="Verdana" w:cs="Khmer UI"/>
          <w:sz w:val="22"/>
          <w:szCs w:val="22"/>
          <w:lang w:eastAsia="es-MX"/>
        </w:rPr>
        <w:t>El Titular de la Coordinación General de Desarrollo Económico y Combate a la Desigualad;</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 </w:t>
      </w:r>
      <w:r>
        <w:rPr>
          <w:rFonts w:ascii="Verdana" w:hAnsi="Verdana" w:cs="Khmer UI"/>
          <w:sz w:val="22"/>
          <w:szCs w:val="22"/>
          <w:lang w:eastAsia="es-MX"/>
        </w:rPr>
        <w:t xml:space="preserve">El Titular de la Coordinación General de Participación Ciudadana y Construcción de Comunidad;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VIII.- </w:t>
      </w:r>
      <w:r>
        <w:rPr>
          <w:rFonts w:ascii="Verdana" w:hAnsi="Verdana" w:cs="Khmer UI"/>
          <w:sz w:val="22"/>
          <w:szCs w:val="22"/>
          <w:lang w:eastAsia="es-MX"/>
        </w:rPr>
        <w:t>El Director General del Sistema para el Desarrollo Integral de la Familia del Municipio de Tlajomulco de Zúñiga, Jalisco;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IX.- </w:t>
      </w:r>
      <w:r>
        <w:rPr>
          <w:rFonts w:ascii="Verdana" w:hAnsi="Verdana" w:cs="Khmer UI"/>
          <w:sz w:val="22"/>
          <w:szCs w:val="22"/>
          <w:lang w:eastAsia="es-MX"/>
        </w:rPr>
        <w:t xml:space="preserve">El Director General del Instituto Municipal de la Mujer Tlajomulquense;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 </w:t>
      </w:r>
      <w:r>
        <w:rPr>
          <w:rFonts w:ascii="Verdana" w:hAnsi="Verdana" w:cs="Khmer UI"/>
          <w:sz w:val="22"/>
          <w:szCs w:val="22"/>
          <w:lang w:eastAsia="es-MX"/>
        </w:rPr>
        <w:t xml:space="preserve">El Director del Instituto de Alternativa para los Jóvenes;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 </w:t>
      </w:r>
      <w:r>
        <w:rPr>
          <w:rFonts w:ascii="Verdana" w:hAnsi="Verdana" w:cs="Khmer UI"/>
          <w:sz w:val="22"/>
          <w:szCs w:val="22"/>
          <w:lang w:eastAsia="es-MX"/>
        </w:rPr>
        <w:t>El Director General de Servicios Médicos Municipales;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XII.- </w:t>
      </w:r>
      <w:r>
        <w:rPr>
          <w:rFonts w:ascii="Verdana" w:hAnsi="Verdana" w:cs="Khmer UI"/>
          <w:sz w:val="22"/>
          <w:szCs w:val="22"/>
          <w:lang w:eastAsia="es-MX"/>
        </w:rPr>
        <w:t>El Comisario de la Policía Preventiva Municipal;</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XIII.- </w:t>
      </w:r>
      <w:r>
        <w:rPr>
          <w:rFonts w:ascii="Verdana" w:hAnsi="Verdana" w:cs="Khmer UI"/>
          <w:sz w:val="22"/>
          <w:szCs w:val="22"/>
          <w:lang w:eastAsia="es-MX"/>
        </w:rPr>
        <w:t xml:space="preserve">El Director de Juzgados Municipales;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XIV.- </w:t>
      </w:r>
      <w:r>
        <w:rPr>
          <w:rFonts w:ascii="Verdana" w:hAnsi="Verdana" w:cs="Khmer UI"/>
          <w:sz w:val="22"/>
          <w:szCs w:val="22"/>
          <w:lang w:eastAsia="es-MX"/>
        </w:rPr>
        <w:t>El Director de Educación Municipal;</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 </w:t>
      </w:r>
      <w:r>
        <w:rPr>
          <w:rFonts w:ascii="Verdana" w:hAnsi="Verdana" w:cs="Khmer UI"/>
          <w:sz w:val="22"/>
          <w:szCs w:val="22"/>
          <w:lang w:eastAsia="es-MX"/>
        </w:rPr>
        <w:t>Dos representantes de organismos de la sociedad civil, relacionados con el tema de niñas, niños y adolescentes, electos por convocatoria pública y abierta en los términos establecidos en el Reglamento en materia de participación ciudadana;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XVI.- </w:t>
      </w:r>
      <w:r>
        <w:rPr>
          <w:rFonts w:ascii="Verdana" w:hAnsi="Verdana" w:cs="Khmer UI"/>
          <w:sz w:val="22"/>
          <w:szCs w:val="22"/>
          <w:lang w:eastAsia="es-MX"/>
        </w:rPr>
        <w:t>Una niña y un niño;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XVII.- </w:t>
      </w:r>
      <w:r>
        <w:rPr>
          <w:rFonts w:ascii="Verdana" w:hAnsi="Verdana" w:cs="Khmer UI"/>
          <w:sz w:val="22"/>
          <w:szCs w:val="22"/>
          <w:lang w:eastAsia="es-MX"/>
        </w:rPr>
        <w:t>Una joven y un joven.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12.</w:t>
      </w:r>
      <w:r>
        <w:rPr>
          <w:rFonts w:ascii="Verdana" w:hAnsi="Verdana" w:cs="Khmer UI"/>
          <w:b/>
          <w:sz w:val="22"/>
          <w:szCs w:val="22"/>
          <w:lang w:eastAsia="es-MX"/>
        </w:rPr>
        <w:t>-</w:t>
      </w:r>
      <w:r>
        <w:rPr>
          <w:rFonts w:ascii="Verdana" w:hAnsi="Verdana" w:cs="Khmer UI"/>
          <w:sz w:val="22"/>
          <w:szCs w:val="22"/>
          <w:lang w:eastAsia="es-MX"/>
        </w:rPr>
        <w:t xml:space="preserve"> Los integrantes del Sistema Municipal de Protección no recibirán emolumento o contraprestación económica alguna por su desempeño como integrantes del mismo.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13.</w:t>
      </w:r>
      <w:r>
        <w:rPr>
          <w:rFonts w:ascii="Verdana" w:hAnsi="Verdana" w:cs="Khmer UI"/>
          <w:b/>
          <w:sz w:val="22"/>
          <w:szCs w:val="22"/>
          <w:lang w:eastAsia="es-MX"/>
        </w:rPr>
        <w:t>-</w:t>
      </w:r>
      <w:r>
        <w:rPr>
          <w:rFonts w:ascii="Verdana" w:hAnsi="Verdana" w:cs="Khmer UI"/>
          <w:sz w:val="22"/>
          <w:szCs w:val="22"/>
          <w:lang w:eastAsia="es-MX"/>
        </w:rPr>
        <w:t xml:space="preserve"> Las funciones que desempeñen los servidores públicos que integran el Sistema Municipal de Protección son inherentes a sus cargos, por lo que recibirán las percepciones que se prevean en los presupuestos de egresos correspondientes.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14.</w:t>
      </w:r>
      <w:r>
        <w:rPr>
          <w:rFonts w:ascii="Verdana" w:hAnsi="Verdana" w:cs="Khmer UI"/>
          <w:b/>
          <w:sz w:val="22"/>
          <w:szCs w:val="22"/>
          <w:lang w:eastAsia="es-MX"/>
        </w:rPr>
        <w:t>-</w:t>
      </w:r>
      <w:r>
        <w:rPr>
          <w:rFonts w:ascii="Verdana" w:hAnsi="Verdana" w:cs="Khmer UI"/>
          <w:sz w:val="22"/>
          <w:szCs w:val="22"/>
          <w:lang w:eastAsia="es-MX"/>
        </w:rPr>
        <w:t xml:space="preserve"> Las instituciones públicas integrantes del Sistema Municipal de Protección estarán representadas por su titular o la persona que éstos designen.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val="es-ES_tradnl" w:eastAsia="es-MX"/>
        </w:rPr>
        <w:t>Artículo  15</w:t>
      </w:r>
      <w:r>
        <w:rPr>
          <w:rFonts w:ascii="Verdana" w:hAnsi="Verdana" w:cs="Khmer UI"/>
          <w:sz w:val="22"/>
          <w:szCs w:val="22"/>
          <w:lang w:val="es-ES_tradnl" w:eastAsia="es-MX"/>
        </w:rPr>
        <w:t>.</w:t>
      </w:r>
      <w:r>
        <w:rPr>
          <w:rFonts w:ascii="Verdana" w:hAnsi="Verdana" w:cs="Khmer UI"/>
          <w:sz w:val="22"/>
          <w:szCs w:val="22"/>
          <w:lang w:val="es-ES_tradnl" w:eastAsia="es-MX"/>
        </w:rPr>
        <w:t>-</w:t>
      </w:r>
      <w:r>
        <w:rPr>
          <w:rFonts w:ascii="Verdana" w:hAnsi="Verdana" w:cs="Khmer UI"/>
          <w:sz w:val="22"/>
          <w:szCs w:val="22"/>
          <w:lang w:val="es-ES_tradnl" w:eastAsia="es-MX"/>
        </w:rPr>
        <w:t> </w:t>
      </w:r>
      <w:r>
        <w:rPr>
          <w:rFonts w:ascii="Verdana" w:hAnsi="Verdana" w:cs="Khmer UI"/>
          <w:sz w:val="22"/>
          <w:szCs w:val="22"/>
          <w:lang w:eastAsia="es-MX"/>
        </w:rPr>
        <w:t xml:space="preserve">Los integrantes del Sistema Municipal de Protección podrán nombrar en cualquier momento un suplente, el cual contará con las mismas facultades que le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entre  los Regidores que lo integran. Las suplencias de los integrantes de las representaciones de los organismos de la sociedad civil, deberá hacerse por escrito a la Secretaría Ejecutiva. </w:t>
      </w:r>
    </w:p>
    <w:p>
      <w:pPr>
        <w:jc w:val="both"/>
        <w:rPr>
          <w:rFonts w:ascii="Verdana" w:hAnsi="Verdana" w:cs="Khmer UI"/>
          <w:sz w:val="22"/>
          <w:szCs w:val="22"/>
          <w:lang w:eastAsia="es-MX"/>
        </w:rPr>
      </w:pPr>
    </w:p>
    <w:p>
      <w:pPr>
        <w:jc w:val="both"/>
        <w:rPr>
          <w:rFonts w:ascii="Verdana" w:hAnsi="Verdana" w:cs="Khmer UI"/>
          <w:sz w:val="22"/>
          <w:szCs w:val="22"/>
          <w:lang w:val="es-ES_tradnl" w:eastAsia="es-MX"/>
        </w:rPr>
      </w:pPr>
      <w:r>
        <w:rPr>
          <w:rFonts w:ascii="Verdana" w:hAnsi="Verdana" w:cs="Khmer UI"/>
          <w:b/>
          <w:sz w:val="22"/>
          <w:szCs w:val="22"/>
          <w:lang w:eastAsia="es-MX"/>
        </w:rPr>
        <w:t>Artículo 16.</w:t>
      </w:r>
      <w:r>
        <w:rPr>
          <w:rFonts w:ascii="Verdana" w:hAnsi="Verdana" w:cs="Khmer UI"/>
          <w:b/>
          <w:sz w:val="22"/>
          <w:szCs w:val="22"/>
          <w:lang w:eastAsia="es-MX"/>
        </w:rPr>
        <w:t>-</w:t>
      </w:r>
      <w:r>
        <w:rPr>
          <w:rFonts w:ascii="Verdana" w:hAnsi="Verdana" w:cs="Khmer UI"/>
          <w:sz w:val="22"/>
          <w:szCs w:val="22"/>
          <w:lang w:eastAsia="es-MX"/>
        </w:rPr>
        <w:t xml:space="preserve"> </w:t>
      </w:r>
      <w:r>
        <w:rPr>
          <w:rFonts w:ascii="Verdana" w:hAnsi="Verdana" w:cs="Khmer UI"/>
          <w:sz w:val="22"/>
          <w:szCs w:val="22"/>
          <w:lang w:val="es-ES_tradnl" w:eastAsia="es-MX"/>
        </w:rPr>
        <w:t xml:space="preserve">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p>
    <w:p>
      <w:pPr>
        <w:jc w:val="both"/>
        <w:rPr>
          <w:rFonts w:ascii="Verdana" w:hAnsi="Verdana" w:cs="Khmer UI"/>
          <w:sz w:val="22"/>
          <w:szCs w:val="22"/>
          <w:lang w:val="es-ES_tradnl" w:eastAsia="es-MX"/>
        </w:rPr>
      </w:pPr>
    </w:p>
    <w:p>
      <w:pPr>
        <w:jc w:val="both"/>
        <w:rPr>
          <w:rFonts w:ascii="Verdana" w:hAnsi="Verdana" w:cs="Khmer UI"/>
          <w:sz w:val="22"/>
          <w:szCs w:val="22"/>
          <w:lang w:eastAsia="es-MX"/>
        </w:rPr>
      </w:pPr>
      <w:r>
        <w:rPr>
          <w:rFonts w:ascii="Verdana" w:hAnsi="Verdana" w:cs="Khmer UI"/>
          <w:b/>
          <w:sz w:val="22"/>
          <w:szCs w:val="22"/>
          <w:lang w:eastAsia="es-MX"/>
        </w:rPr>
        <w:t>Artículo 17.</w:t>
      </w:r>
      <w:r>
        <w:rPr>
          <w:rFonts w:ascii="Verdana" w:hAnsi="Verdana" w:cs="Khmer UI"/>
          <w:b/>
          <w:sz w:val="22"/>
          <w:szCs w:val="22"/>
          <w:lang w:eastAsia="es-MX"/>
        </w:rPr>
        <w:t>-</w:t>
      </w:r>
      <w:r>
        <w:rPr>
          <w:rFonts w:ascii="Verdana" w:hAnsi="Verdana" w:cs="Khmer UI"/>
          <w:sz w:val="22"/>
          <w:szCs w:val="22"/>
          <w:lang w:eastAsia="es-MX"/>
        </w:rPr>
        <w:t> El Sistema Municipal de Protección podrá invitar a sus sesiones, a quienes estime que con sus opiniones pueda coadyuvar a la mejor realización de su objetivo, quienes participarán con voz pero sin voto.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18.</w:t>
      </w:r>
      <w:r>
        <w:rPr>
          <w:rFonts w:ascii="Verdana" w:hAnsi="Verdana" w:cs="Khmer UI"/>
          <w:b/>
          <w:sz w:val="22"/>
          <w:szCs w:val="22"/>
          <w:lang w:eastAsia="es-MX"/>
        </w:rPr>
        <w:t>-</w:t>
      </w:r>
      <w:r>
        <w:rPr>
          <w:rFonts w:ascii="Verdana" w:hAnsi="Verdana" w:cs="Khmer UI"/>
          <w:sz w:val="22"/>
          <w:szCs w:val="22"/>
          <w:lang w:eastAsia="es-MX"/>
        </w:rPr>
        <w:t xml:space="preserve"> Son facultades del Presidente del Sistema Municipal de Protección, las siguientes: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Convocar las sesiones del Sistema Municipal de Protección;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 xml:space="preserve">Presidir las sesiones del Sistema Municipal de Protección;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III.- </w:t>
      </w:r>
      <w:r>
        <w:rPr>
          <w:rFonts w:ascii="Verdana" w:hAnsi="Verdana" w:cs="Khmer UI"/>
          <w:sz w:val="22"/>
          <w:szCs w:val="22"/>
          <w:lang w:eastAsia="es-MX"/>
        </w:rPr>
        <w:t>Emitir el informe anual sobre los avances del Programa Municipal y remitirlo a través del Secretario Ejecutivo, al Sistema Estatal;</w:t>
      </w:r>
    </w:p>
    <w:p>
      <w:pPr>
        <w:jc w:val="both"/>
        <w:rPr>
          <w:rFonts w:ascii="Verdana" w:hAnsi="Verdana" w:cs="Khmer UI"/>
          <w:sz w:val="22"/>
          <w:szCs w:val="22"/>
          <w:lang w:eastAsia="es-MX"/>
        </w:rPr>
      </w:pPr>
      <w:r>
        <w:rPr>
          <w:rFonts w:ascii="Verdana" w:hAnsi="Verdana" w:cs="Khmer UI"/>
          <w:sz w:val="22"/>
          <w:szCs w:val="22"/>
          <w:lang w:eastAsia="es-MX"/>
        </w:rPr>
        <w:t xml:space="preserve"> </w:t>
      </w:r>
    </w:p>
    <w:p>
      <w:pPr>
        <w:jc w:val="both"/>
        <w:rPr>
          <w:rFonts w:ascii="Verdana" w:hAnsi="Verdana" w:cs="Khmer UI"/>
          <w:b/>
          <w:sz w:val="22"/>
          <w:szCs w:val="22"/>
          <w:lang w:val="es-ES_tradnl" w:eastAsia="es-MX"/>
        </w:rPr>
      </w:pPr>
      <w:r>
        <w:rPr>
          <w:rFonts w:ascii="Verdana" w:hAnsi="Verdana" w:cs="Khmer UI"/>
          <w:sz w:val="22"/>
          <w:szCs w:val="22"/>
          <w:lang w:eastAsia="es-MX"/>
        </w:rPr>
        <w:t xml:space="preserve">IV.- </w:t>
      </w:r>
      <w:r>
        <w:rPr>
          <w:rFonts w:ascii="Verdana" w:hAnsi="Verdana" w:cs="Khmer UI"/>
          <w:sz w:val="22"/>
          <w:szCs w:val="22"/>
          <w:lang w:eastAsia="es-MX"/>
        </w:rPr>
        <w:t>Emitir la convocatoria correspondiente para la elección de representantes de la sociedad civil;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 </w:t>
      </w:r>
      <w:r>
        <w:rPr>
          <w:rFonts w:ascii="Verdana" w:hAnsi="Verdana" w:cs="Khmer UI"/>
          <w:sz w:val="22"/>
          <w:szCs w:val="22"/>
          <w:lang w:eastAsia="es-MX"/>
        </w:rPr>
        <w:t>Las establecidas en la Ley General, la Ley Estatal y demás que sean necesarias para el cumplimiento de los fines del Sistema Municipal de Protección. El Presidente podrá delegar estas atribuciones a la Secretaría Ejecutiva, con excepción de la fracción II del presente artículo.</w:t>
      </w:r>
    </w:p>
    <w:p>
      <w:pPr>
        <w:jc w:val="both"/>
        <w:rPr>
          <w:rFonts w:ascii="Verdana" w:hAnsi="Verdana" w:cs="Khmer UI"/>
          <w:b/>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Sección Segunda</w:t>
      </w:r>
    </w:p>
    <w:p>
      <w:pPr>
        <w:jc w:val="center"/>
        <w:rPr>
          <w:rFonts w:ascii="Verdana" w:hAnsi="Verdana" w:cs="Khmer UI"/>
          <w:b/>
          <w:sz w:val="22"/>
          <w:szCs w:val="22"/>
          <w:lang w:eastAsia="es-MX"/>
        </w:rPr>
      </w:pPr>
      <w:r>
        <w:rPr>
          <w:rFonts w:ascii="Verdana" w:hAnsi="Verdana" w:cs="Khmer UI"/>
          <w:b/>
          <w:sz w:val="22"/>
          <w:szCs w:val="22"/>
          <w:lang w:eastAsia="es-MX"/>
        </w:rPr>
        <w:t>De la Secretaría Ejecutiva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19.</w:t>
      </w:r>
      <w:r>
        <w:rPr>
          <w:rFonts w:ascii="Verdana" w:hAnsi="Verdana" w:cs="Khmer UI"/>
          <w:b/>
          <w:sz w:val="22"/>
          <w:szCs w:val="22"/>
          <w:lang w:eastAsia="es-MX"/>
        </w:rPr>
        <w:t>-</w:t>
      </w:r>
      <w:r>
        <w:rPr>
          <w:rFonts w:ascii="Verdana" w:hAnsi="Verdana" w:cs="Khmer UI"/>
          <w:sz w:val="22"/>
          <w:szCs w:val="22"/>
          <w:lang w:eastAsia="es-MX"/>
        </w:rPr>
        <w:t> El titular de la Secretaría Ejecutiva será nombrado por el Presidente Municipal y por acuerdo delegatorio podrá encomendar dicha función al funcionario público que designe de la Jefatura de Gabinete.</w:t>
      </w:r>
    </w:p>
    <w:p>
      <w:pPr>
        <w:jc w:val="both"/>
        <w:rPr>
          <w:rFonts w:ascii="Verdana" w:hAnsi="Verdana" w:cs="Khmer UI"/>
          <w:sz w:val="22"/>
          <w:szCs w:val="22"/>
          <w:lang w:eastAsia="es-MX"/>
        </w:rPr>
      </w:pPr>
    </w:p>
    <w:p>
      <w:pPr>
        <w:jc w:val="both"/>
        <w:rPr>
          <w:rFonts w:ascii="Verdana" w:hAnsi="Verdana" w:cs="Khmer UI"/>
          <w:sz w:val="22"/>
          <w:szCs w:val="22"/>
          <w:lang w:val="es-ES_tradnl" w:eastAsia="es-MX"/>
        </w:rPr>
      </w:pPr>
      <w:r>
        <w:rPr>
          <w:rFonts w:ascii="Verdana" w:hAnsi="Verdana" w:cs="Khmer UI"/>
          <w:b/>
          <w:sz w:val="22"/>
          <w:szCs w:val="22"/>
          <w:lang w:val="es-ES_tradnl" w:eastAsia="es-MX"/>
        </w:rPr>
        <w:t>Artículo</w:t>
      </w:r>
      <w:r>
        <w:rPr>
          <w:rFonts w:ascii="Verdana" w:hAnsi="Verdana" w:cs="Khmer UI"/>
          <w:sz w:val="22"/>
          <w:szCs w:val="22"/>
          <w:lang w:val="es-ES_tradnl" w:eastAsia="es-MX"/>
        </w:rPr>
        <w:t xml:space="preserve"> </w:t>
      </w:r>
      <w:r>
        <w:rPr>
          <w:rFonts w:ascii="Verdana" w:hAnsi="Verdana" w:cs="Khmer UI"/>
          <w:b/>
          <w:sz w:val="22"/>
          <w:szCs w:val="22"/>
          <w:lang w:val="es-ES_tradnl" w:eastAsia="es-MX"/>
        </w:rPr>
        <w:t>20.</w:t>
      </w:r>
      <w:r>
        <w:rPr>
          <w:rFonts w:ascii="Verdana" w:hAnsi="Verdana" w:cs="Khmer UI"/>
          <w:b/>
          <w:sz w:val="22"/>
          <w:szCs w:val="22"/>
          <w:lang w:val="es-ES_tradnl" w:eastAsia="es-MX"/>
        </w:rPr>
        <w:t>-</w:t>
      </w:r>
      <w:r>
        <w:rPr>
          <w:rFonts w:ascii="Verdana" w:hAnsi="Verdana" w:cs="Khmer UI"/>
          <w:sz w:val="22"/>
          <w:szCs w:val="22"/>
          <w:lang w:val="es-ES_tradnl" w:eastAsia="es-MX"/>
        </w:rPr>
        <w:t xml:space="preserve"> La Secretaría Ejecutiva tiene las siguientes facultades:</w:t>
      </w:r>
    </w:p>
    <w:p>
      <w:pPr>
        <w:jc w:val="both"/>
        <w:rPr>
          <w:rFonts w:ascii="Verdana" w:hAnsi="Verdana" w:cs="Khmer UI"/>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val="es-ES_tradnl" w:eastAsia="es-MX"/>
        </w:rPr>
        <w:t xml:space="preserve">I.- </w:t>
      </w:r>
      <w:r>
        <w:rPr>
          <w:rFonts w:ascii="Verdana" w:hAnsi="Verdana" w:cs="Khmer UI"/>
          <w:sz w:val="22"/>
          <w:szCs w:val="22"/>
          <w:lang w:val="es-ES_tradnl" w:eastAsia="es-MX"/>
        </w:rPr>
        <w:t>Promover acciones para que el Sistema Municipal de Protección, garantice la concurrencia de competencias entre los poderes públicos;</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II.- </w:t>
      </w:r>
      <w:r>
        <w:rPr>
          <w:rFonts w:ascii="Verdana" w:hAnsi="Verdana" w:cs="Khmer UI"/>
          <w:sz w:val="22"/>
          <w:szCs w:val="22"/>
          <w:lang w:eastAsia="es-MX"/>
        </w:rPr>
        <w:t>Elaborar y someter a la aprobación del Sistema Municipal de Protección, el anteproyecto del Programa Municipal Atención a Niñas, Niños y Adolescentes, así como sus actualizaciones;</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III.- </w:t>
      </w:r>
      <w:r>
        <w:rPr>
          <w:rFonts w:ascii="Verdana" w:hAnsi="Verdana" w:cs="Khmer UI"/>
          <w:sz w:val="22"/>
          <w:szCs w:val="22"/>
          <w:lang w:eastAsia="es-MX"/>
        </w:rPr>
        <w:t xml:space="preserve">Elaborar y someter a la aprobación del Sistema Municipal de Protección, el proyecto de Manual de Operación del Sistema Municipal de Protección, así como de las modificaciones que correspondan a fin de mantenerlo actualizado;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val="es-ES_tradnl" w:eastAsia="es-MX"/>
        </w:rPr>
        <w:t xml:space="preserve">IV.- </w:t>
      </w:r>
      <w:r>
        <w:rPr>
          <w:rFonts w:ascii="Verdana" w:hAnsi="Verdana" w:cs="Khmer UI"/>
          <w:sz w:val="22"/>
          <w:szCs w:val="22"/>
          <w:lang w:val="es-ES_tradnl" w:eastAsia="es-MX"/>
        </w:rPr>
        <w:t>Dar seguimiento a la asignación de recursos en el presupuesto del Municipio y su administración paramunicipal, para el cumplimiento de las acciones establecidas en la Ley General, la Ley Estatal y el presente Reglamento;</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V.- </w:t>
      </w:r>
      <w:r>
        <w:rPr>
          <w:rFonts w:ascii="Verdana" w:hAnsi="Verdana" w:cs="Khmer UI"/>
          <w:sz w:val="22"/>
          <w:szCs w:val="22"/>
          <w:lang w:eastAsia="es-MX"/>
        </w:rPr>
        <w:t>Fungir como representante del Municipio ante el Sistema Estatal de Protección;</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VI.- </w:t>
      </w:r>
      <w:r>
        <w:rPr>
          <w:rFonts w:ascii="Verdana" w:hAnsi="Verdana" w:cs="Khmer UI"/>
          <w:sz w:val="22"/>
          <w:szCs w:val="22"/>
          <w:lang w:eastAsia="es-MX"/>
        </w:rPr>
        <w:t>Elaborar conjuntamente con el Presidente Municipal la propuesta de orden del día de las sesiones del Sistema Municipal de Protección;</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VII.- </w:t>
      </w:r>
      <w:r>
        <w:rPr>
          <w:rFonts w:ascii="Verdana" w:hAnsi="Verdana" w:cs="Khmer UI"/>
          <w:sz w:val="22"/>
          <w:szCs w:val="22"/>
          <w:lang w:eastAsia="es-MX"/>
        </w:rPr>
        <w:t xml:space="preserve">Elaborar las actas de las sesiones del Sistema Municipal de Protección y recabar las firmas de sus integrantes; </w:t>
      </w:r>
    </w:p>
    <w:p>
      <w:pPr>
        <w:jc w:val="both"/>
        <w:rPr>
          <w:rFonts w:ascii="Verdana" w:hAnsi="Verdana" w:cs="Khmer UI"/>
          <w:b/>
          <w:sz w:val="22"/>
          <w:szCs w:val="22"/>
          <w:lang w:val="es-ES_tradnl" w:eastAsia="es-MX"/>
        </w:rPr>
      </w:pPr>
    </w:p>
    <w:p>
      <w:pPr>
        <w:tabs>
          <w:tab w:val="left" w:pos="851"/>
        </w:tabs>
        <w:jc w:val="both"/>
        <w:rPr>
          <w:rFonts w:ascii="Verdana" w:hAnsi="Verdana" w:cs="Khmer UI"/>
          <w:b/>
          <w:sz w:val="22"/>
          <w:szCs w:val="22"/>
          <w:lang w:val="es-ES_tradnl" w:eastAsia="es-MX"/>
        </w:rPr>
      </w:pPr>
      <w:r>
        <w:rPr>
          <w:rFonts w:ascii="Verdana" w:hAnsi="Verdana" w:cs="Khmer UI"/>
          <w:sz w:val="22"/>
          <w:szCs w:val="22"/>
          <w:lang w:eastAsia="es-MX"/>
        </w:rPr>
        <w:t xml:space="preserve">VIII.- </w:t>
      </w:r>
      <w:r>
        <w:rPr>
          <w:rFonts w:ascii="Verdana" w:hAnsi="Verdana" w:cs="Khmer UI"/>
          <w:sz w:val="22"/>
          <w:szCs w:val="22"/>
          <w:lang w:eastAsia="es-MX"/>
        </w:rPr>
        <w:t xml:space="preserve">Dar seguimiento a la ejecución de los acuerdos y recomendaciones dictados por el Sistema Municipal de Protección;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IX.- </w:t>
      </w:r>
      <w:r>
        <w:rPr>
          <w:rFonts w:ascii="Verdana" w:hAnsi="Verdana" w:cs="Khmer UI"/>
          <w:sz w:val="22"/>
          <w:szCs w:val="22"/>
          <w:lang w:eastAsia="es-MX"/>
        </w:rPr>
        <w:t xml:space="preserve">Coordinarse con el Delegado Institucional de la Procuraduría de Protección de Niñas, Niños y Adolescentes, para cumplir con los objetivos de la Ley General  y la Ley Estatal;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lastRenderedPageBreak/>
        <w:t xml:space="preserve">X.- </w:t>
      </w:r>
      <w:r>
        <w:rPr>
          <w:rFonts w:ascii="Verdana" w:hAnsi="Verdana" w:cs="Khmer UI"/>
          <w:sz w:val="22"/>
          <w:szCs w:val="22"/>
          <w:lang w:eastAsia="es-MX"/>
        </w:rPr>
        <w:t xml:space="preserve">Coordinarse con la Secretaría Ejecutiva del Sistema Estatal y Nacional para el cumplimiento de lo establecido en la Ley Estatal y en la Ley General;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XI.- </w:t>
      </w:r>
      <w:r>
        <w:rPr>
          <w:rFonts w:ascii="Verdana" w:hAnsi="Verdana" w:cs="Khmer UI"/>
          <w:sz w:val="22"/>
          <w:szCs w:val="22"/>
          <w:lang w:eastAsia="es-MX"/>
        </w:rPr>
        <w:t xml:space="preserve">Proponer al Sistema Municipal de Protección programas y proyectos de atención, educación, capacitación, investigación y cultura de los derechos humanos de niñas, niños y adolescentes;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XII.- </w:t>
      </w:r>
      <w:r>
        <w:rPr>
          <w:rFonts w:ascii="Verdana" w:hAnsi="Verdana" w:cs="Khmer UI"/>
          <w:sz w:val="22"/>
          <w:szCs w:val="22"/>
          <w:lang w:eastAsia="es-MX"/>
        </w:rPr>
        <w:t xml:space="preserve">Recibir las propuestas y sugerencias de los ciudadanos, dependencias, asociaciones civiles, académicos, niñas, niños y adolescentes, con el objeto de hacerlas del conocimiento de los integrantes del Sistema Municipal de Protección;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XIII.- </w:t>
      </w:r>
      <w:r>
        <w:rPr>
          <w:rFonts w:ascii="Verdana" w:hAnsi="Verdana" w:cs="Khmer UI"/>
          <w:sz w:val="22"/>
          <w:szCs w:val="22"/>
          <w:lang w:eastAsia="es-MX"/>
        </w:rPr>
        <w:t xml:space="preserve">Participar en las sesiones del Sistema Municipal de Protección únicamente con voz; y </w:t>
      </w:r>
    </w:p>
    <w:p>
      <w:pPr>
        <w:jc w:val="both"/>
        <w:rPr>
          <w:rFonts w:ascii="Verdana" w:hAnsi="Verdana" w:cs="Khmer UI"/>
          <w:b/>
          <w:sz w:val="22"/>
          <w:szCs w:val="22"/>
          <w:lang w:val="es-ES_tradnl" w:eastAsia="es-MX"/>
        </w:rPr>
      </w:pPr>
    </w:p>
    <w:p>
      <w:pPr>
        <w:jc w:val="both"/>
        <w:rPr>
          <w:rFonts w:ascii="Verdana" w:hAnsi="Verdana" w:cs="Khmer UI"/>
          <w:b/>
          <w:sz w:val="22"/>
          <w:szCs w:val="22"/>
          <w:lang w:val="es-ES_tradnl" w:eastAsia="es-MX"/>
        </w:rPr>
      </w:pPr>
      <w:r>
        <w:rPr>
          <w:rFonts w:ascii="Verdana" w:hAnsi="Verdana" w:cs="Khmer UI"/>
          <w:sz w:val="22"/>
          <w:szCs w:val="22"/>
          <w:lang w:eastAsia="es-MX"/>
        </w:rPr>
        <w:t xml:space="preserve">XIV.- </w:t>
      </w:r>
      <w:r>
        <w:rPr>
          <w:rFonts w:ascii="Verdana" w:hAnsi="Verdana" w:cs="Khmer UI"/>
          <w:sz w:val="22"/>
          <w:szCs w:val="22"/>
          <w:lang w:eastAsia="es-MX"/>
        </w:rPr>
        <w:t>Las estipuladas en la Ley General, Ley Estatal y demás que le confieran las disposiciones legales aplicables, o el Sistema Municipal de Protección.</w:t>
      </w:r>
    </w:p>
    <w:p>
      <w:pPr>
        <w:spacing w:line="360" w:lineRule="auto"/>
        <w:jc w:val="both"/>
        <w:rPr>
          <w:rFonts w:ascii="Verdana" w:hAnsi="Verdana" w:cs="Khmer UI"/>
          <w:sz w:val="22"/>
          <w:szCs w:val="22"/>
          <w:lang w:val="es-ES_tradnl" w:eastAsia="es-MX"/>
        </w:rPr>
      </w:pPr>
    </w:p>
    <w:p>
      <w:pPr>
        <w:jc w:val="both"/>
        <w:rPr>
          <w:rFonts w:ascii="Verdana" w:hAnsi="Verdana" w:cs="Khmer UI"/>
          <w:sz w:val="22"/>
          <w:szCs w:val="22"/>
          <w:lang w:eastAsia="es-MX"/>
        </w:rPr>
      </w:pPr>
      <w:r>
        <w:rPr>
          <w:rFonts w:ascii="Verdana" w:hAnsi="Verdana" w:cs="Khmer UI"/>
          <w:b/>
          <w:sz w:val="22"/>
          <w:szCs w:val="22"/>
          <w:lang w:eastAsia="es-MX"/>
        </w:rPr>
        <w:t>Artículo 21.</w:t>
      </w:r>
      <w:r>
        <w:rPr>
          <w:rFonts w:ascii="Verdana" w:hAnsi="Verdana" w:cs="Khmer UI"/>
          <w:sz w:val="22"/>
          <w:szCs w:val="22"/>
          <w:lang w:eastAsia="es-MX"/>
        </w:rPr>
        <w:t>-</w:t>
      </w:r>
      <w:r>
        <w:rPr>
          <w:rFonts w:ascii="Verdana" w:hAnsi="Verdana" w:cs="Khmer UI"/>
          <w:sz w:val="22"/>
          <w:szCs w:val="22"/>
          <w:lang w:eastAsia="es-MX"/>
        </w:rPr>
        <w:t xml:space="preserve"> El titular de la Secretaría Ejecutiva deberá cubrir los requisitos siguientes:</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Tener residencia permanente en el municipio de Tlajomulco de Zúñiga, Jalisco o en el Área Metropolitana de Guadalajara;</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No haber sido condenado por la comisión de un delito doloso;</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III.- </w:t>
      </w:r>
      <w:r>
        <w:rPr>
          <w:rFonts w:ascii="Verdana" w:hAnsi="Verdana" w:cs="Khmer UI"/>
          <w:sz w:val="22"/>
          <w:szCs w:val="22"/>
          <w:lang w:eastAsia="es-MX"/>
        </w:rPr>
        <w:t>Preferentemente experiencia en la defensa o promoción de los derechos de la infancia o derechos humanos; y</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No haber desempeñado cargo nacional o estatal en algún partido político, por lo menos dos años antes de su nombramiento.</w:t>
      </w:r>
    </w:p>
    <w:p>
      <w:pPr>
        <w:jc w:val="both"/>
        <w:rPr>
          <w:rFonts w:ascii="Verdana" w:hAnsi="Verdana" w:cs="Khmer UI"/>
          <w:sz w:val="22"/>
          <w:szCs w:val="22"/>
          <w:lang w:val="es-ES_tradnl" w:eastAsia="es-MX"/>
        </w:rPr>
      </w:pPr>
    </w:p>
    <w:p>
      <w:pPr>
        <w:jc w:val="center"/>
        <w:rPr>
          <w:rFonts w:ascii="Verdana" w:hAnsi="Verdana" w:cs="Khmer UI"/>
          <w:b/>
          <w:sz w:val="22"/>
          <w:szCs w:val="22"/>
          <w:lang w:eastAsia="es-MX"/>
        </w:rPr>
      </w:pPr>
      <w:r>
        <w:rPr>
          <w:rFonts w:ascii="Verdana" w:hAnsi="Verdana" w:cs="Khmer UI"/>
          <w:b/>
          <w:sz w:val="22"/>
          <w:szCs w:val="22"/>
          <w:lang w:eastAsia="es-MX"/>
        </w:rPr>
        <w:t>Sección Tercera</w:t>
      </w:r>
    </w:p>
    <w:p>
      <w:pPr>
        <w:jc w:val="center"/>
        <w:rPr>
          <w:rFonts w:ascii="Verdana" w:hAnsi="Verdana" w:cs="Khmer UI"/>
          <w:b/>
          <w:sz w:val="22"/>
          <w:szCs w:val="22"/>
          <w:lang w:eastAsia="es-MX"/>
        </w:rPr>
      </w:pPr>
      <w:r>
        <w:rPr>
          <w:rFonts w:ascii="Verdana" w:hAnsi="Verdana" w:cs="Khmer UI"/>
          <w:b/>
          <w:sz w:val="22"/>
          <w:szCs w:val="22"/>
          <w:lang w:eastAsia="es-MX"/>
        </w:rPr>
        <w:t>De la Elección de las Niñas, Niños y Adolescentes y de los Representantes de la Sociedad Civil</w:t>
      </w:r>
    </w:p>
    <w:p>
      <w:pPr>
        <w:jc w:val="center"/>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22.</w:t>
      </w:r>
      <w:r>
        <w:rPr>
          <w:rFonts w:ascii="Verdana" w:hAnsi="Verdana" w:cs="Khmer UI"/>
          <w:b/>
          <w:sz w:val="22"/>
          <w:szCs w:val="22"/>
          <w:lang w:eastAsia="es-MX"/>
        </w:rPr>
        <w:t>-</w:t>
      </w:r>
      <w:r>
        <w:rPr>
          <w:rFonts w:ascii="Verdana" w:hAnsi="Verdana" w:cs="Khmer UI"/>
          <w:sz w:val="22"/>
          <w:szCs w:val="22"/>
          <w:lang w:eastAsia="es-MX"/>
        </w:rPr>
        <w:t> Los cargos de la niña, el niño, los adolescentes y representantes de la sociedad civil, serán honoríficos y sus nombramientos tendrán vigencia hasta el término de cada administración municipal.</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23.</w:t>
      </w:r>
      <w:r>
        <w:rPr>
          <w:rFonts w:ascii="Verdana" w:hAnsi="Verdana" w:cs="Khmer UI"/>
          <w:b/>
          <w:sz w:val="22"/>
          <w:szCs w:val="22"/>
          <w:lang w:eastAsia="es-MX"/>
        </w:rPr>
        <w:t>-</w:t>
      </w:r>
      <w:r>
        <w:rPr>
          <w:rFonts w:ascii="Verdana" w:hAnsi="Verdana" w:cs="Khmer UI"/>
          <w:sz w:val="22"/>
          <w:szCs w:val="22"/>
          <w:lang w:eastAsia="es-MX"/>
        </w:rPr>
        <w:t xml:space="preserve"> Para el caso de la niña, el niño y los dos adolescentes, serán por invitación del Presidente Municipal.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24.</w:t>
      </w:r>
      <w:r>
        <w:rPr>
          <w:rFonts w:ascii="Verdana" w:hAnsi="Verdana" w:cs="Khmer UI"/>
          <w:b/>
          <w:sz w:val="22"/>
          <w:szCs w:val="22"/>
          <w:lang w:eastAsia="es-MX"/>
        </w:rPr>
        <w:t>-</w:t>
      </w:r>
      <w:r>
        <w:rPr>
          <w:rFonts w:ascii="Verdana" w:hAnsi="Verdana" w:cs="Khmer UI"/>
          <w:sz w:val="22"/>
          <w:szCs w:val="22"/>
          <w:lang w:eastAsia="es-MX"/>
        </w:rPr>
        <w:t xml:space="preserve"> La elección se llevará a cabo mediante convocatoria pública abierta y en los términos del Reglamento de Participación Ciudadana para la Gobernanza del Municipio de Tlajomulco de Zúñiga, Jalisco.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25.</w:t>
      </w:r>
      <w:r>
        <w:rPr>
          <w:rFonts w:ascii="Verdana" w:hAnsi="Verdana" w:cs="Khmer UI"/>
          <w:b/>
          <w:sz w:val="22"/>
          <w:szCs w:val="22"/>
          <w:lang w:eastAsia="es-MX"/>
        </w:rPr>
        <w:t>-</w:t>
      </w:r>
      <w:r>
        <w:rPr>
          <w:rFonts w:ascii="Verdana" w:hAnsi="Verdana" w:cs="Khmer UI"/>
          <w:sz w:val="22"/>
          <w:szCs w:val="22"/>
          <w:lang w:eastAsia="es-MX"/>
        </w:rPr>
        <w:t> Los representantes de la sociedad civil que deseen formar parte del Sistema de Protección, deberán cumplir con los requisitos siguientes: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I.- </w:t>
      </w:r>
      <w:r>
        <w:rPr>
          <w:rFonts w:ascii="Verdana" w:hAnsi="Verdana" w:cs="Khmer UI"/>
          <w:sz w:val="22"/>
          <w:szCs w:val="22"/>
          <w:lang w:eastAsia="es-MX"/>
        </w:rPr>
        <w:t>Tener residencia permanente en el Área Metropolitana de Guadalajara;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No haber sido condenado por la comisión de un delito doloso;</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III.- </w:t>
      </w:r>
      <w:r>
        <w:rPr>
          <w:rFonts w:ascii="Verdana" w:hAnsi="Verdana" w:cs="Khmer UI"/>
          <w:sz w:val="22"/>
          <w:szCs w:val="22"/>
          <w:lang w:eastAsia="es-MX"/>
        </w:rPr>
        <w:t>Preferentemente experiencia en la defensa o promoción de los derechos de la infancia o derechos humanos;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No haber ocupado cargo público ni haber desempeñado cargo nacional o estatal en algún partido político, por lo menos dos años antes de su postulación.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26.</w:t>
      </w:r>
      <w:r>
        <w:rPr>
          <w:rFonts w:ascii="Verdana" w:hAnsi="Verdana" w:cs="Khmer UI"/>
          <w:b/>
          <w:sz w:val="22"/>
          <w:szCs w:val="22"/>
          <w:lang w:eastAsia="es-MX"/>
        </w:rPr>
        <w:t>-</w:t>
      </w:r>
      <w:r>
        <w:rPr>
          <w:rFonts w:ascii="Verdana" w:hAnsi="Verdana" w:cs="Khmer UI"/>
          <w:sz w:val="22"/>
          <w:szCs w:val="22"/>
          <w:lang w:eastAsia="es-MX"/>
        </w:rPr>
        <w:t xml:space="preserve"> El Presidente Municipal  emitirá la convocatoria pública y abierta en los términos establecidos en el Reglamento en materia de Participación Ciudadana para la elección de los representantes de la sociedad civil.</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27.</w:t>
      </w:r>
      <w:r>
        <w:rPr>
          <w:rFonts w:ascii="Verdana" w:hAnsi="Verdana" w:cs="Khmer UI"/>
          <w:b/>
          <w:sz w:val="22"/>
          <w:szCs w:val="22"/>
          <w:lang w:eastAsia="es-MX"/>
        </w:rPr>
        <w:t>-</w:t>
      </w:r>
      <w:r>
        <w:rPr>
          <w:rFonts w:ascii="Verdana" w:hAnsi="Verdana" w:cs="Khmer UI"/>
          <w:sz w:val="22"/>
          <w:szCs w:val="22"/>
          <w:lang w:eastAsia="es-MX"/>
        </w:rPr>
        <w:t xml:space="preserve"> La convocatoria para elegir los representantes de la sociedad civil, definirá el plazo para el registro de aspirantes.  La convocatoria establecerá las bases para que las universidades, organismos sociales y de sociedad civil, postulen especialistas en la temática de la infancia o derechos humanos que deseen participar en el Sistema Municipal de Protección.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28.</w:t>
      </w:r>
      <w:r>
        <w:rPr>
          <w:rFonts w:ascii="Verdana" w:hAnsi="Verdana" w:cs="Khmer UI"/>
          <w:b/>
          <w:sz w:val="22"/>
          <w:szCs w:val="22"/>
          <w:lang w:eastAsia="es-MX"/>
        </w:rPr>
        <w:t>-</w:t>
      </w:r>
      <w:r>
        <w:rPr>
          <w:rFonts w:ascii="Verdana" w:hAnsi="Verdana" w:cs="Khmer UI"/>
          <w:sz w:val="22"/>
          <w:szCs w:val="22"/>
          <w:lang w:eastAsia="es-MX"/>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29.</w:t>
      </w:r>
      <w:r>
        <w:rPr>
          <w:rFonts w:ascii="Verdana" w:hAnsi="Verdana" w:cs="Khmer UI"/>
          <w:b/>
          <w:sz w:val="22"/>
          <w:szCs w:val="22"/>
          <w:lang w:eastAsia="es-MX"/>
        </w:rPr>
        <w:t>-</w:t>
      </w:r>
      <w:r>
        <w:rPr>
          <w:rFonts w:ascii="Verdana" w:hAnsi="Verdana" w:cs="Khmer UI"/>
          <w:sz w:val="22"/>
          <w:szCs w:val="22"/>
          <w:lang w:eastAsia="es-MX"/>
        </w:rPr>
        <w:t xml:space="preserve"> De igual forma, cuando los representantes de la sociedad civil presenten su renuncia al cargo de integrantes o surjan causas que les impidan seguir desempeñándose como tal, se acordará lo conducente y se procederá a su sustitución.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30.</w:t>
      </w:r>
      <w:r>
        <w:rPr>
          <w:rFonts w:ascii="Verdana" w:hAnsi="Verdana" w:cs="Khmer UI"/>
          <w:b/>
          <w:sz w:val="22"/>
          <w:szCs w:val="22"/>
          <w:lang w:eastAsia="es-MX"/>
        </w:rPr>
        <w:t>-</w:t>
      </w:r>
      <w:r>
        <w:rPr>
          <w:rFonts w:ascii="Verdana" w:hAnsi="Verdana" w:cs="Khmer UI"/>
          <w:sz w:val="22"/>
          <w:szCs w:val="22"/>
          <w:lang w:eastAsia="es-MX"/>
        </w:rPr>
        <w:t xml:space="preserve"> Para los representantes de la sociedad civil, será causa de revocación a la participación en el Sistema Municipal de Protección, faltar más de dos sesiones consecutivas sin justificación.</w:t>
      </w:r>
    </w:p>
    <w:p>
      <w:pPr>
        <w:jc w:val="both"/>
        <w:rPr>
          <w:rFonts w:ascii="Verdana" w:hAnsi="Verdana" w:cs="Khmer UI"/>
          <w:sz w:val="22"/>
          <w:szCs w:val="22"/>
          <w:lang w:eastAsia="es-MX"/>
        </w:rPr>
      </w:pPr>
    </w:p>
    <w:p>
      <w:pPr>
        <w:jc w:val="center"/>
        <w:rPr>
          <w:rFonts w:ascii="Verdana" w:hAnsi="Verdana" w:cs="Khmer UI"/>
          <w:b/>
          <w:bCs/>
          <w:sz w:val="22"/>
          <w:szCs w:val="22"/>
          <w:lang w:val="es-ES_tradnl" w:eastAsia="es-MX"/>
        </w:rPr>
      </w:pPr>
      <w:r>
        <w:rPr>
          <w:rFonts w:ascii="Verdana" w:hAnsi="Verdana" w:cs="Khmer UI"/>
          <w:b/>
          <w:bCs/>
          <w:sz w:val="22"/>
          <w:szCs w:val="22"/>
          <w:lang w:val="es-ES_tradnl" w:eastAsia="es-MX"/>
        </w:rPr>
        <w:t>Sección Cuarta</w:t>
      </w:r>
    </w:p>
    <w:p>
      <w:pPr>
        <w:jc w:val="center"/>
        <w:rPr>
          <w:rFonts w:ascii="Verdana" w:hAnsi="Verdana" w:cs="Khmer UI"/>
          <w:b/>
          <w:bCs/>
          <w:sz w:val="22"/>
          <w:szCs w:val="22"/>
          <w:lang w:val="es-ES_tradnl" w:eastAsia="es-MX"/>
        </w:rPr>
      </w:pPr>
      <w:r>
        <w:rPr>
          <w:rFonts w:ascii="Verdana" w:hAnsi="Verdana" w:cs="Khmer UI"/>
          <w:b/>
          <w:bCs/>
          <w:sz w:val="22"/>
          <w:szCs w:val="22"/>
          <w:lang w:val="es-ES_tradnl" w:eastAsia="es-MX"/>
        </w:rPr>
        <w:t>De las Sesiones del Sistema de Protección Municipal</w:t>
      </w:r>
    </w:p>
    <w:p>
      <w:pPr>
        <w:jc w:val="center"/>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31.</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Las sesiones del Sistema Municipal de Protección, podrán ser ordinarias o extraordinarias.  Deberá sesionar de manera ordinaria por lo menos una vez cada semestre, y de manera extraordinaria cuando sea necesario.</w:t>
      </w:r>
    </w:p>
    <w:p>
      <w:pPr>
        <w:spacing w:line="360" w:lineRule="auto"/>
        <w:jc w:val="both"/>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32.</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La convocatoria a sesión ordinaria, se realizará por escrito con por lo menos 48 horas de anticipación de días hábiles, deberá ser firmada por el Presidente Municipal y contener la propuesta de orden del día para la sesión. </w:t>
      </w:r>
    </w:p>
    <w:p>
      <w:pPr>
        <w:spacing w:line="360" w:lineRule="auto"/>
        <w:jc w:val="both"/>
        <w:rPr>
          <w:rFonts w:ascii="Verdana" w:hAnsi="Verdana" w:cs="Khmer UI"/>
          <w:bCs/>
          <w:sz w:val="22"/>
          <w:szCs w:val="22"/>
          <w:lang w:val="es-ES_tradnl" w:eastAsia="es-MX"/>
        </w:rPr>
      </w:pPr>
    </w:p>
    <w:p>
      <w:pPr>
        <w:jc w:val="both"/>
        <w:rPr>
          <w:rFonts w:ascii="Verdana" w:hAnsi="Verdana" w:cs="Khmer UI"/>
          <w:bCs/>
          <w:sz w:val="22"/>
          <w:szCs w:val="22"/>
          <w:lang w:eastAsia="es-MX"/>
        </w:rPr>
      </w:pPr>
      <w:r>
        <w:rPr>
          <w:rFonts w:ascii="Verdana" w:hAnsi="Verdana" w:cs="Khmer UI"/>
          <w:b/>
          <w:bCs/>
          <w:sz w:val="22"/>
          <w:szCs w:val="22"/>
          <w:lang w:val="es-ES_tradnl" w:eastAsia="es-MX"/>
        </w:rPr>
        <w:t>Artículo 33.</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La convocatoria </w:t>
      </w:r>
      <w:r>
        <w:rPr>
          <w:rFonts w:ascii="Verdana" w:hAnsi="Verdana" w:cs="Khmer UI"/>
          <w:bCs/>
          <w:sz w:val="22"/>
          <w:szCs w:val="22"/>
          <w:lang w:eastAsia="es-MX"/>
        </w:rPr>
        <w:t xml:space="preserve">a sesión deben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w:t>
      </w:r>
      <w:r>
        <w:rPr>
          <w:rFonts w:ascii="Verdana" w:hAnsi="Verdana" w:cs="Khmer UI"/>
          <w:bCs/>
          <w:sz w:val="22"/>
          <w:szCs w:val="22"/>
          <w:lang w:eastAsia="es-MX"/>
        </w:rPr>
        <w:lastRenderedPageBreak/>
        <w:t xml:space="preserve">Convocatoria y los documentos digitalizados de los asuntos que integren la agenda de trabajo. </w:t>
      </w:r>
    </w:p>
    <w:p>
      <w:pPr>
        <w:jc w:val="both"/>
        <w:rPr>
          <w:rFonts w:ascii="Verdana" w:hAnsi="Verdana" w:cs="Khmer UI"/>
          <w:bCs/>
          <w:sz w:val="22"/>
          <w:szCs w:val="22"/>
          <w:lang w:eastAsia="es-MX"/>
        </w:rPr>
      </w:pPr>
    </w:p>
    <w:p>
      <w:pPr>
        <w:jc w:val="both"/>
        <w:rPr>
          <w:rFonts w:ascii="Verdana" w:hAnsi="Verdana" w:cs="Khmer UI"/>
          <w:bCs/>
          <w:sz w:val="22"/>
          <w:szCs w:val="22"/>
          <w:lang w:val="es-ES_tradnl" w:eastAsia="es-MX"/>
        </w:rPr>
      </w:pPr>
      <w:r>
        <w:rPr>
          <w:rFonts w:ascii="Verdana" w:hAnsi="Verdana" w:cs="Khmer UI"/>
          <w:b/>
          <w:bCs/>
          <w:sz w:val="22"/>
          <w:szCs w:val="22"/>
          <w:lang w:eastAsia="es-MX"/>
        </w:rPr>
        <w:t>Artículo 34</w:t>
      </w:r>
      <w:r>
        <w:rPr>
          <w:rFonts w:ascii="Verdana" w:hAnsi="Verdana" w:cs="Khmer UI"/>
          <w:bCs/>
          <w:sz w:val="22"/>
          <w:szCs w:val="22"/>
          <w:lang w:eastAsia="es-MX"/>
        </w:rPr>
        <w:t>.</w:t>
      </w:r>
      <w:r>
        <w:rPr>
          <w:rFonts w:ascii="Verdana" w:hAnsi="Verdana" w:cs="Khmer UI"/>
          <w:bCs/>
          <w:sz w:val="22"/>
          <w:szCs w:val="22"/>
          <w:lang w:eastAsia="es-MX"/>
        </w:rPr>
        <w:t>-</w:t>
      </w:r>
      <w:r>
        <w:rPr>
          <w:rFonts w:ascii="Verdana" w:hAnsi="Verdana" w:cs="Khmer UI"/>
          <w:bCs/>
          <w:sz w:val="22"/>
          <w:szCs w:val="22"/>
          <w:lang w:eastAsia="es-MX"/>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pPr>
        <w:jc w:val="both"/>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35</w:t>
      </w:r>
      <w:r>
        <w:rPr>
          <w:rFonts w:ascii="Verdana" w:hAnsi="Verdana" w:cs="Khmer UI"/>
          <w:b/>
          <w:bCs/>
          <w:sz w:val="22"/>
          <w:szCs w:val="22"/>
          <w:lang w:val="es-ES_tradnl" w:eastAsia="es-MX"/>
        </w:rPr>
        <w:t xml:space="preserve">.- </w:t>
      </w:r>
      <w:r>
        <w:rPr>
          <w:rFonts w:ascii="Verdana" w:hAnsi="Verdana" w:cs="Khmer UI"/>
          <w:bCs/>
          <w:sz w:val="22"/>
          <w:szCs w:val="22"/>
          <w:lang w:val="es-ES_tradnl" w:eastAsia="es-MX"/>
        </w:rPr>
        <w:t>El orden del día de las sesiones ordinarias deberá contener mínimamente lo siguiente:</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I.- </w:t>
      </w:r>
      <w:r>
        <w:rPr>
          <w:rFonts w:ascii="Verdana" w:hAnsi="Verdana" w:cs="Khmer UI"/>
          <w:bCs/>
          <w:sz w:val="22"/>
          <w:szCs w:val="22"/>
          <w:lang w:val="es-ES_tradnl" w:eastAsia="es-MX"/>
        </w:rPr>
        <w:t xml:space="preserve">Registro de asistencia y declaración de quórum; </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II.- </w:t>
      </w:r>
      <w:r>
        <w:rPr>
          <w:rFonts w:ascii="Verdana" w:hAnsi="Verdana" w:cs="Khmer UI"/>
          <w:bCs/>
          <w:sz w:val="22"/>
          <w:szCs w:val="22"/>
          <w:lang w:val="es-ES_tradnl" w:eastAsia="es-MX"/>
        </w:rPr>
        <w:t xml:space="preserve">Aprobación del orden del día; </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III.- </w:t>
      </w:r>
      <w:r>
        <w:rPr>
          <w:rFonts w:ascii="Verdana" w:hAnsi="Verdana" w:cs="Khmer UI"/>
          <w:bCs/>
          <w:sz w:val="22"/>
          <w:szCs w:val="22"/>
          <w:lang w:val="es-ES_tradnl" w:eastAsia="es-MX"/>
        </w:rPr>
        <w:t xml:space="preserve">Agenda de trabajo;  </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IV.- </w:t>
      </w:r>
      <w:r>
        <w:rPr>
          <w:rFonts w:ascii="Verdana" w:hAnsi="Verdana" w:cs="Khmer UI"/>
          <w:bCs/>
          <w:sz w:val="22"/>
          <w:szCs w:val="22"/>
          <w:lang w:val="es-ES_tradnl" w:eastAsia="es-MX"/>
        </w:rPr>
        <w:t>Asuntos generales; y</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V.- </w:t>
      </w:r>
      <w:r>
        <w:rPr>
          <w:rFonts w:ascii="Verdana" w:hAnsi="Verdana" w:cs="Khmer UI"/>
          <w:bCs/>
          <w:sz w:val="22"/>
          <w:szCs w:val="22"/>
          <w:lang w:val="es-ES_tradnl" w:eastAsia="es-MX"/>
        </w:rPr>
        <w:t xml:space="preserve">Clausura. </w:t>
      </w:r>
    </w:p>
    <w:p>
      <w:pPr>
        <w:jc w:val="both"/>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36.</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La convocatoria para las sesiones extraordinarias se podrá emitir en cualquier momento, será firmada por el Presidente Municipal, y en este tipo de sesiones solo se abordará los temas que se señalen expresamente en el orden del día propuesto.</w:t>
      </w:r>
    </w:p>
    <w:p>
      <w:pPr>
        <w:jc w:val="both"/>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37.</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El quórum para sesionar válidamente deberá ser de la mitad más uno de sus integrantes.  </w:t>
      </w:r>
    </w:p>
    <w:p>
      <w:pPr>
        <w:jc w:val="both"/>
        <w:rPr>
          <w:rFonts w:ascii="Verdana" w:hAnsi="Verdana" w:cs="Khmer UI"/>
          <w:b/>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38.</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Los acuerdos del Sistema Municipal de Protección, se tomarán por mayoría simple de votos y en caso de empate, el Presidente tendrá voto de calidad.</w:t>
      </w:r>
    </w:p>
    <w:p>
      <w:pPr>
        <w:jc w:val="both"/>
        <w:rPr>
          <w:rFonts w:ascii="Verdana" w:hAnsi="Verdana" w:cs="Khmer UI"/>
          <w:bCs/>
          <w:sz w:val="22"/>
          <w:szCs w:val="22"/>
          <w:lang w:val="es-ES_tradnl" w:eastAsia="es-MX"/>
        </w:rPr>
      </w:pPr>
    </w:p>
    <w:p>
      <w:pPr>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39.</w:t>
      </w:r>
      <w:r>
        <w:rPr>
          <w:rFonts w:ascii="Verdana" w:hAnsi="Verdana" w:cs="Khmer UI"/>
          <w:b/>
          <w:bCs/>
          <w:sz w:val="22"/>
          <w:szCs w:val="22"/>
          <w:lang w:val="es-ES_tradnl" w:eastAsia="es-MX"/>
        </w:rPr>
        <w:t>-</w:t>
      </w:r>
      <w:r>
        <w:rPr>
          <w:rFonts w:ascii="Verdana" w:hAnsi="Verdana" w:cs="Khmer UI"/>
          <w:bCs/>
          <w:sz w:val="22"/>
          <w:szCs w:val="22"/>
          <w:lang w:val="es-ES_tradnl" w:eastAsia="es-MX"/>
        </w:rPr>
        <w:t xml:space="preserve"> </w:t>
      </w:r>
      <w:r>
        <w:rPr>
          <w:rFonts w:ascii="Verdana" w:hAnsi="Verdana" w:cs="Khmer UI"/>
          <w:bCs/>
          <w:sz w:val="22"/>
          <w:szCs w:val="22"/>
          <w:lang w:eastAsia="es-MX"/>
        </w:rPr>
        <w:t xml:space="preserve">Para los efectos de esta sección se aplicará supletoriamente el Reglamento Interior del Ayuntamiento del Municipio de Tlajomulco de Zúñiga, Jalisco. </w:t>
      </w:r>
    </w:p>
    <w:p>
      <w:pPr>
        <w:jc w:val="both"/>
        <w:rPr>
          <w:rFonts w:ascii="Verdana" w:hAnsi="Verdana" w:cs="Khmer UI"/>
          <w:b/>
          <w:bCs/>
          <w:sz w:val="22"/>
          <w:szCs w:val="22"/>
          <w:lang w:val="es-ES_tradnl" w:eastAsia="es-MX"/>
        </w:rPr>
      </w:pPr>
    </w:p>
    <w:p>
      <w:pPr>
        <w:jc w:val="center"/>
        <w:rPr>
          <w:rFonts w:ascii="Verdana" w:hAnsi="Verdana" w:cs="Khmer UI"/>
          <w:b/>
          <w:bCs/>
          <w:sz w:val="22"/>
          <w:szCs w:val="22"/>
          <w:lang w:val="pt-PT" w:eastAsia="es-MX"/>
        </w:rPr>
      </w:pPr>
      <w:r>
        <w:rPr>
          <w:rFonts w:ascii="Verdana" w:hAnsi="Verdana" w:cs="Khmer UI"/>
          <w:b/>
          <w:bCs/>
          <w:sz w:val="22"/>
          <w:szCs w:val="22"/>
          <w:lang w:val="es-ES_tradnl" w:eastAsia="es-MX"/>
        </w:rPr>
        <w:t>CAPÍ</w:t>
      </w:r>
      <w:r>
        <w:rPr>
          <w:rFonts w:ascii="Verdana" w:hAnsi="Verdana" w:cs="Khmer UI"/>
          <w:b/>
          <w:bCs/>
          <w:sz w:val="22"/>
          <w:szCs w:val="22"/>
          <w:lang w:val="pt-PT" w:eastAsia="es-MX"/>
        </w:rPr>
        <w:t>TULO TERCERO</w:t>
      </w:r>
    </w:p>
    <w:p>
      <w:pPr>
        <w:jc w:val="center"/>
        <w:rPr>
          <w:rFonts w:ascii="Verdana" w:hAnsi="Verdana" w:cs="Khmer UI"/>
          <w:b/>
          <w:bCs/>
          <w:sz w:val="22"/>
          <w:szCs w:val="22"/>
          <w:lang w:val="es-ES_tradnl" w:eastAsia="es-MX"/>
        </w:rPr>
      </w:pPr>
      <w:r>
        <w:rPr>
          <w:rFonts w:ascii="Verdana" w:hAnsi="Verdana" w:cs="Khmer UI"/>
          <w:b/>
          <w:bCs/>
          <w:sz w:val="22"/>
          <w:szCs w:val="22"/>
          <w:lang w:val="es-ES_tradnl" w:eastAsia="es-MX"/>
        </w:rPr>
        <w:t>DEL PROGRAMA MUNICIPAL DE PROTECCIÓN</w:t>
      </w:r>
    </w:p>
    <w:p>
      <w:pPr>
        <w:spacing w:line="360" w:lineRule="auto"/>
        <w:jc w:val="center"/>
        <w:rPr>
          <w:rFonts w:ascii="Verdana" w:hAnsi="Verdana" w:cs="Khmer UI"/>
          <w:b/>
          <w:bCs/>
          <w:sz w:val="22"/>
          <w:szCs w:val="22"/>
          <w:lang w:val="es-ES_tradnl"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40.</w:t>
      </w:r>
      <w:r>
        <w:rPr>
          <w:rFonts w:ascii="Verdana" w:hAnsi="Verdana" w:cs="Khmer UI"/>
          <w:b/>
          <w:bCs/>
          <w:sz w:val="22"/>
          <w:szCs w:val="22"/>
          <w:lang w:val="es-ES_tradnl" w:eastAsia="es-MX"/>
        </w:rPr>
        <w:t>-</w:t>
      </w:r>
      <w:r>
        <w:rPr>
          <w:rFonts w:ascii="Verdana" w:hAnsi="Verdana" w:cs="Khmer UI"/>
          <w:sz w:val="22"/>
          <w:szCs w:val="22"/>
          <w:lang w:val="es-ES_tradnl" w:eastAsia="es-MX"/>
        </w:rPr>
        <w:t xml:space="preserve"> La Secretaría Ejecutiva elaborará, el anteproyecto del Programa Municipal,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pPr>
        <w:spacing w:line="360" w:lineRule="auto"/>
        <w:jc w:val="both"/>
        <w:rPr>
          <w:rFonts w:ascii="Verdana" w:hAnsi="Verdana" w:cs="Khmer UI"/>
          <w:b/>
          <w:bCs/>
          <w:sz w:val="22"/>
          <w:szCs w:val="22"/>
          <w:lang w:val="es-ES_tradnl"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41.</w:t>
      </w:r>
      <w:r>
        <w:rPr>
          <w:rFonts w:ascii="Verdana" w:hAnsi="Verdana" w:cs="Khmer UI"/>
          <w:b/>
          <w:bCs/>
          <w:sz w:val="22"/>
          <w:szCs w:val="22"/>
          <w:lang w:val="es-ES_tradnl" w:eastAsia="es-MX"/>
        </w:rPr>
        <w:t>-</w:t>
      </w:r>
      <w:r>
        <w:rPr>
          <w:rFonts w:ascii="Verdana" w:hAnsi="Verdana" w:cs="Khmer UI"/>
          <w:sz w:val="22"/>
          <w:szCs w:val="22"/>
          <w:lang w:val="es-ES_tradnl" w:eastAsia="es-MX"/>
        </w:rPr>
        <w:t xml:space="preserve"> 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w:t>
      </w:r>
      <w:r>
        <w:rPr>
          <w:rFonts w:ascii="Verdana" w:hAnsi="Verdana" w:cs="Khmer UI"/>
          <w:sz w:val="22"/>
          <w:szCs w:val="22"/>
          <w:lang w:val="es-ES_tradnl" w:eastAsia="es-MX"/>
        </w:rPr>
        <w:lastRenderedPageBreak/>
        <w:t>organismos internacionales, de las niñas, niños y adolescentes que residen en el Municipio de Tlajomulco de Zúñiga, Jalisco, así como en su caso, de los demás participantes de los sectores público, social, académico y privado.</w:t>
      </w:r>
    </w:p>
    <w:p>
      <w:pPr>
        <w:spacing w:line="360" w:lineRule="auto"/>
        <w:jc w:val="both"/>
        <w:rPr>
          <w:rFonts w:ascii="Verdana" w:hAnsi="Verdana" w:cs="Khmer UI"/>
          <w:b/>
          <w:bCs/>
          <w:sz w:val="22"/>
          <w:szCs w:val="22"/>
          <w:lang w:val="es-ES_tradnl"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42.</w:t>
      </w:r>
      <w:r>
        <w:rPr>
          <w:rFonts w:ascii="Verdana" w:hAnsi="Verdana" w:cs="Khmer UI"/>
          <w:b/>
          <w:bCs/>
          <w:sz w:val="22"/>
          <w:szCs w:val="22"/>
          <w:lang w:val="es-ES_tradnl" w:eastAsia="es-MX"/>
        </w:rPr>
        <w:t>-</w:t>
      </w:r>
      <w:r>
        <w:rPr>
          <w:rFonts w:ascii="Verdana" w:hAnsi="Verdana" w:cs="Khmer UI"/>
          <w:sz w:val="22"/>
          <w:szCs w:val="22"/>
          <w:lang w:val="es-ES_tradnl" w:eastAsia="es-MX"/>
        </w:rPr>
        <w:t> El Programa Municipal tiene el carácter de especial conforme a la Ley General y la Ley Estatal, en razón de que tiene como finalidad salvaguardar los derechos de los niños, niñas y adolescentes, anteponiendo su bienestar ante cualquier situación vulnerable.</w:t>
      </w:r>
    </w:p>
    <w:p>
      <w:pPr>
        <w:spacing w:line="360" w:lineRule="auto"/>
        <w:jc w:val="both"/>
        <w:rPr>
          <w:rFonts w:ascii="Verdana" w:hAnsi="Verdana" w:cs="Khmer UI"/>
          <w:b/>
          <w:bCs/>
          <w:sz w:val="22"/>
          <w:szCs w:val="22"/>
          <w:lang w:val="es-ES_tradnl"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43.</w:t>
      </w:r>
      <w:r>
        <w:rPr>
          <w:rFonts w:ascii="Verdana" w:hAnsi="Verdana" w:cs="Khmer UI"/>
          <w:b/>
          <w:bCs/>
          <w:sz w:val="22"/>
          <w:szCs w:val="22"/>
          <w:lang w:val="es-ES_tradnl" w:eastAsia="es-MX"/>
        </w:rPr>
        <w:t>-</w:t>
      </w:r>
      <w:r>
        <w:rPr>
          <w:rFonts w:ascii="Verdana" w:hAnsi="Verdana" w:cs="Khmer UI"/>
          <w:sz w:val="22"/>
          <w:szCs w:val="22"/>
          <w:lang w:val="es-ES_tradnl" w:eastAsia="es-MX"/>
        </w:rPr>
        <w:t> El Programa Municipal, deberá contener por lo menos, sin perjuicio de lo que establezcan otras disposiciones jurídicas aplicables, los conceptos siguientes:</w:t>
      </w:r>
    </w:p>
    <w:p>
      <w:pPr>
        <w:spacing w:line="360" w:lineRule="auto"/>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I.- </w:t>
      </w:r>
      <w:r>
        <w:rPr>
          <w:rFonts w:ascii="Verdana" w:hAnsi="Verdana" w:cs="Khmer UI"/>
          <w:sz w:val="22"/>
          <w:szCs w:val="22"/>
          <w:lang w:val="es-ES_tradnl" w:eastAsia="es-MX"/>
        </w:rPr>
        <w:t>Las políticas, objetivos, estrategias, líneas de acción prioritarias, metas e indicadores correspondientes para el ejercicio, respeto, promoción y protección integral de los derechos de niñas, niños y adolescentes;</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II.- </w:t>
      </w:r>
      <w:r>
        <w:rPr>
          <w:rFonts w:ascii="Verdana" w:hAnsi="Verdana" w:cs="Khmer UI"/>
          <w:sz w:val="22"/>
          <w:szCs w:val="22"/>
          <w:lang w:val="es-ES_tradnl" w:eastAsia="es-MX"/>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III.- </w:t>
      </w:r>
      <w:r>
        <w:rPr>
          <w:rFonts w:ascii="Verdana" w:hAnsi="Verdana" w:cs="Khmer UI"/>
          <w:sz w:val="22"/>
          <w:szCs w:val="22"/>
          <w:lang w:val="es-ES_tradnl" w:eastAsia="es-MX"/>
        </w:rPr>
        <w:t>Los mecanismos que aseguren una ejecución coordinada del Programa Municipal, por parte de los integrantes del Sistema Municipal de Protección;</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IV.- </w:t>
      </w:r>
      <w:r>
        <w:rPr>
          <w:rFonts w:ascii="Verdana" w:hAnsi="Verdana" w:cs="Khmer UI"/>
          <w:sz w:val="22"/>
          <w:szCs w:val="22"/>
          <w:lang w:val="es-ES_tradnl" w:eastAsia="es-MX"/>
        </w:rPr>
        <w:t>Los mecanismos de participación de niñas, niños y adolescentes, y de los sectores público, privado y de la sociedad civil en la ejecución, seguimiento y evaluación del Programa Municipal;</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V.- </w:t>
      </w:r>
      <w:r>
        <w:rPr>
          <w:rFonts w:ascii="Verdana" w:hAnsi="Verdana" w:cs="Khmer UI"/>
          <w:sz w:val="22"/>
          <w:szCs w:val="22"/>
          <w:lang w:val="es-ES_tradnl" w:eastAsia="es-MX"/>
        </w:rPr>
        <w:t>Los mecanismos de transparencia y de rendición de cuentas;</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VI.- </w:t>
      </w:r>
      <w:r>
        <w:rPr>
          <w:rFonts w:ascii="Verdana" w:hAnsi="Verdana" w:cs="Khmer UI"/>
          <w:sz w:val="22"/>
          <w:szCs w:val="22"/>
          <w:lang w:val="es-ES_tradnl" w:eastAsia="es-MX"/>
        </w:rPr>
        <w:t>Los mecanismos de evaluación;</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sz w:val="22"/>
          <w:szCs w:val="22"/>
          <w:lang w:val="es-ES_tradnl" w:eastAsia="es-MX"/>
        </w:rPr>
        <w:t xml:space="preserve">VII.- </w:t>
      </w:r>
      <w:r>
        <w:rPr>
          <w:rFonts w:ascii="Verdana" w:hAnsi="Verdana" w:cs="Khmer UI"/>
          <w:sz w:val="22"/>
          <w:szCs w:val="22"/>
          <w:lang w:val="es-ES_tradnl" w:eastAsia="es-MX"/>
        </w:rPr>
        <w:t>Los mecanismos de difusión que promuevan los derechos de las niñas, niños y adolescentes; y</w:t>
      </w:r>
    </w:p>
    <w:p>
      <w:pPr>
        <w:jc w:val="both"/>
        <w:rPr>
          <w:rFonts w:ascii="Verdana" w:hAnsi="Verdana" w:cs="Khmer UI"/>
          <w:sz w:val="22"/>
          <w:szCs w:val="22"/>
          <w:lang w:val="es-ES_tradnl" w:eastAsia="es-MX"/>
        </w:rPr>
      </w:pPr>
    </w:p>
    <w:p>
      <w:pPr>
        <w:tabs>
          <w:tab w:val="left" w:pos="993"/>
        </w:tabs>
        <w:jc w:val="both"/>
        <w:rPr>
          <w:rFonts w:ascii="Verdana" w:hAnsi="Verdana" w:cs="Khmer UI"/>
          <w:sz w:val="22"/>
          <w:szCs w:val="22"/>
          <w:lang w:val="es-ES_tradnl" w:eastAsia="es-MX"/>
        </w:rPr>
      </w:pPr>
      <w:r>
        <w:rPr>
          <w:rFonts w:ascii="Verdana" w:hAnsi="Verdana" w:cs="Khmer UI"/>
          <w:sz w:val="22"/>
          <w:szCs w:val="22"/>
          <w:lang w:val="es-ES_tradnl" w:eastAsia="es-MX"/>
        </w:rPr>
        <w:t xml:space="preserve">VIII.- </w:t>
      </w:r>
      <w:r>
        <w:rPr>
          <w:rFonts w:ascii="Verdana" w:hAnsi="Verdana" w:cs="Khmer UI"/>
          <w:sz w:val="22"/>
          <w:szCs w:val="22"/>
          <w:lang w:val="es-ES_tradnl" w:eastAsia="es-MX"/>
        </w:rPr>
        <w:t xml:space="preserve">Impulsar la participación de organizaciones civiles y universidades.  </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b/>
          <w:bCs/>
          <w:sz w:val="22"/>
          <w:szCs w:val="22"/>
          <w:lang w:val="es-ES_tradnl" w:eastAsia="es-MX"/>
        </w:rPr>
        <w:t>Artículo  44.</w:t>
      </w:r>
      <w:r>
        <w:rPr>
          <w:rFonts w:ascii="Verdana" w:hAnsi="Verdana" w:cs="Khmer UI"/>
          <w:b/>
          <w:bCs/>
          <w:sz w:val="22"/>
          <w:szCs w:val="22"/>
          <w:lang w:val="es-ES_tradnl" w:eastAsia="es-MX"/>
        </w:rPr>
        <w:t>-</w:t>
      </w:r>
      <w:r>
        <w:rPr>
          <w:rFonts w:ascii="Verdana" w:hAnsi="Verdana" w:cs="Khmer UI"/>
          <w:sz w:val="22"/>
          <w:szCs w:val="22"/>
          <w:lang w:val="es-ES_tradnl" w:eastAsia="es-MX"/>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pPr>
        <w:jc w:val="both"/>
        <w:rPr>
          <w:rFonts w:ascii="Verdana" w:hAnsi="Verdana" w:cs="Khmer UI"/>
          <w:sz w:val="22"/>
          <w:szCs w:val="22"/>
          <w:lang w:val="es-ES_tradnl" w:eastAsia="es-MX"/>
        </w:rPr>
      </w:pPr>
    </w:p>
    <w:p>
      <w:pPr>
        <w:jc w:val="both"/>
        <w:rPr>
          <w:rFonts w:ascii="Verdana" w:hAnsi="Verdana" w:cs="Khmer UI"/>
          <w:sz w:val="22"/>
          <w:szCs w:val="22"/>
          <w:lang w:val="es-ES_tradnl" w:eastAsia="es-MX"/>
        </w:rPr>
      </w:pPr>
      <w:r>
        <w:rPr>
          <w:rFonts w:ascii="Verdana" w:hAnsi="Verdana" w:cs="Khmer UI"/>
          <w:b/>
          <w:sz w:val="22"/>
          <w:szCs w:val="22"/>
          <w:lang w:val="es-ES_tradnl" w:eastAsia="es-MX"/>
        </w:rPr>
        <w:t>Artículo  45</w:t>
      </w:r>
      <w:r>
        <w:rPr>
          <w:rFonts w:ascii="Verdana" w:hAnsi="Verdana" w:cs="Khmer UI"/>
          <w:sz w:val="22"/>
          <w:szCs w:val="22"/>
          <w:lang w:val="es-ES_tradnl" w:eastAsia="es-MX"/>
        </w:rPr>
        <w:t>.</w:t>
      </w:r>
      <w:r>
        <w:rPr>
          <w:rFonts w:ascii="Verdana" w:hAnsi="Verdana" w:cs="Khmer UI"/>
          <w:sz w:val="22"/>
          <w:szCs w:val="22"/>
          <w:lang w:val="es-ES_tradnl" w:eastAsia="es-MX"/>
        </w:rPr>
        <w:t>-</w:t>
      </w:r>
      <w:r>
        <w:rPr>
          <w:rFonts w:ascii="Verdana" w:hAnsi="Verdana" w:cs="Khmer UI"/>
          <w:sz w:val="22"/>
          <w:szCs w:val="22"/>
          <w:lang w:val="es-ES_tradnl" w:eastAsia="es-MX"/>
        </w:rPr>
        <w:t xml:space="preserve"> La presupuestación,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pPr>
        <w:jc w:val="both"/>
        <w:rPr>
          <w:rFonts w:ascii="Verdana" w:hAnsi="Verdana" w:cs="Khmer UI"/>
          <w:sz w:val="22"/>
          <w:szCs w:val="22"/>
          <w:lang w:val="es-ES_tradnl" w:eastAsia="es-MX"/>
        </w:rPr>
      </w:pPr>
    </w:p>
    <w:p>
      <w:pPr>
        <w:jc w:val="both"/>
        <w:rPr>
          <w:rFonts w:ascii="Verdana" w:hAnsi="Verdana" w:cs="Khmer UI"/>
          <w:sz w:val="22"/>
          <w:szCs w:val="22"/>
          <w:lang w:eastAsia="es-MX"/>
        </w:rPr>
      </w:pPr>
      <w:r>
        <w:rPr>
          <w:rFonts w:ascii="Verdana" w:hAnsi="Verdana" w:cs="Khmer UI"/>
          <w:b/>
          <w:sz w:val="22"/>
          <w:szCs w:val="22"/>
          <w:lang w:eastAsia="es-MX"/>
        </w:rPr>
        <w:t>Artículo 46.</w:t>
      </w:r>
      <w:r>
        <w:rPr>
          <w:rFonts w:ascii="Verdana" w:hAnsi="Verdana" w:cs="Khmer UI"/>
          <w:b/>
          <w:sz w:val="22"/>
          <w:szCs w:val="22"/>
          <w:lang w:eastAsia="es-MX"/>
        </w:rPr>
        <w:t>-</w:t>
      </w:r>
      <w:r>
        <w:rPr>
          <w:rFonts w:ascii="Verdana" w:hAnsi="Verdana" w:cs="Khmer UI"/>
          <w:sz w:val="22"/>
          <w:szCs w:val="22"/>
          <w:lang w:eastAsia="es-MX"/>
        </w:rPr>
        <w:t xml:space="preserve"> La Secretaría Ejecutiva propondrá al Sistema Municipal de Protección los criterios para la elaboración de los indicadores de gestión, resultado, servicio y </w:t>
      </w:r>
      <w:r>
        <w:rPr>
          <w:rFonts w:ascii="Verdana" w:hAnsi="Verdana" w:cs="Khmer UI"/>
          <w:sz w:val="22"/>
          <w:szCs w:val="22"/>
          <w:lang w:eastAsia="es-MX"/>
        </w:rPr>
        <w:lastRenderedPageBreak/>
        <w:t>estructurales para medir la cobertura, calidad e impacto de las acciones y los programas para la protección de los derechos de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47.</w:t>
      </w:r>
      <w:r>
        <w:rPr>
          <w:rFonts w:ascii="Verdana" w:hAnsi="Verdana" w:cs="Khmer UI"/>
          <w:b/>
          <w:sz w:val="22"/>
          <w:szCs w:val="22"/>
          <w:lang w:eastAsia="es-MX"/>
        </w:rPr>
        <w:t>-</w:t>
      </w:r>
      <w:r>
        <w:rPr>
          <w:rFonts w:ascii="Verdana" w:hAnsi="Verdana" w:cs="Khmer UI"/>
          <w:sz w:val="22"/>
          <w:szCs w:val="22"/>
          <w:lang w:eastAsia="es-MX"/>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48.</w:t>
      </w:r>
      <w:r>
        <w:rPr>
          <w:rFonts w:ascii="Verdana" w:hAnsi="Verdana" w:cs="Khmer UI"/>
          <w:b/>
          <w:sz w:val="22"/>
          <w:szCs w:val="22"/>
          <w:lang w:eastAsia="es-MX"/>
        </w:rPr>
        <w:t>-</w:t>
      </w:r>
      <w:r>
        <w:rPr>
          <w:rFonts w:ascii="Verdana" w:hAnsi="Verdana" w:cs="Khmer UI"/>
          <w:sz w:val="22"/>
          <w:szCs w:val="22"/>
          <w:lang w:eastAsia="es-MX"/>
        </w:rPr>
        <w:t xml:space="preserve"> Las dependencias y entidades de la administración pública municipal deberán proporcionar los resultados de sus evaluaciones a la Secretaría Ejecutiva, quien, a su vez, los remitirá al Sistema Municipal de Protección.  La Secretaría Ejecutiva deberá poner a disposición del público las evaluaciones a que se refiere el artículo anterior y el informe general sobre el resultado de las mismas, en términos de las disposiciones en materia de transparencia y acceso a la información pública.</w:t>
      </w:r>
    </w:p>
    <w:p>
      <w:pPr>
        <w:jc w:val="both"/>
        <w:rPr>
          <w:rFonts w:ascii="Verdana" w:hAnsi="Verdana" w:cs="Khmer UI"/>
          <w:b/>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CAPÍTULO CUARTO</w:t>
      </w:r>
    </w:p>
    <w:p>
      <w:pPr>
        <w:jc w:val="center"/>
        <w:rPr>
          <w:rFonts w:ascii="Verdana" w:hAnsi="Verdana" w:cs="Khmer UI"/>
          <w:b/>
          <w:sz w:val="22"/>
          <w:szCs w:val="22"/>
          <w:lang w:eastAsia="es-MX"/>
        </w:rPr>
      </w:pPr>
      <w:r>
        <w:rPr>
          <w:rFonts w:ascii="Verdana" w:hAnsi="Verdana" w:cs="Khmer UI"/>
          <w:b/>
          <w:sz w:val="22"/>
          <w:szCs w:val="22"/>
          <w:lang w:eastAsia="es-MX"/>
        </w:rPr>
        <w:t>DEL PROGRAMA DE PRIMER CONTACTO</w:t>
      </w:r>
    </w:p>
    <w:p>
      <w:pPr>
        <w:jc w:val="both"/>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49.</w:t>
      </w:r>
      <w:r>
        <w:rPr>
          <w:rFonts w:ascii="Verdana" w:hAnsi="Verdana" w:cs="Khmer UI"/>
          <w:b/>
          <w:sz w:val="22"/>
          <w:szCs w:val="22"/>
          <w:lang w:eastAsia="es-MX"/>
        </w:rPr>
        <w:t>-</w:t>
      </w:r>
      <w:r>
        <w:rPr>
          <w:rFonts w:ascii="Verdana" w:hAnsi="Verdana" w:cs="Khmer UI"/>
          <w:sz w:val="22"/>
          <w:szCs w:val="22"/>
          <w:lang w:eastAsia="es-MX"/>
        </w:rPr>
        <w:t xml:space="preserve"> El Programa de Primer Contacto es el conjunto de estrategias, mecanismos institucionales y acciones que establece el Secretario Ejecutivo para atender a las niñas, niños y adolescentes y vincularlos con la administración municipal.</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50</w:t>
      </w:r>
      <w:r>
        <w:rPr>
          <w:rFonts w:ascii="Verdana" w:hAnsi="Verdana" w:cs="Khmer UI"/>
          <w:sz w:val="22"/>
          <w:szCs w:val="22"/>
          <w:lang w:eastAsia="es-MX"/>
        </w:rPr>
        <w:t>.</w:t>
      </w:r>
      <w:r>
        <w:rPr>
          <w:rFonts w:ascii="Verdana" w:hAnsi="Verdana" w:cs="Khmer UI"/>
          <w:sz w:val="22"/>
          <w:szCs w:val="22"/>
          <w:lang w:eastAsia="es-MX"/>
        </w:rPr>
        <w:t>-</w:t>
      </w:r>
      <w:r>
        <w:rPr>
          <w:rFonts w:ascii="Verdana" w:hAnsi="Verdana" w:cs="Khmer UI"/>
          <w:sz w:val="22"/>
          <w:szCs w:val="22"/>
          <w:lang w:eastAsia="es-MX"/>
        </w:rPr>
        <w:t xml:space="preserve"> Para la elaboración, aprobación, ejecución y actualización del Programa de Primer Contacto serán supletorias las disposiciones previstas en el presente Reglamento para el Programa Municipal.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51.</w:t>
      </w:r>
      <w:r>
        <w:rPr>
          <w:rFonts w:ascii="Verdana" w:hAnsi="Verdana" w:cs="Khmer UI"/>
          <w:b/>
          <w:sz w:val="22"/>
          <w:szCs w:val="22"/>
          <w:lang w:eastAsia="es-MX"/>
        </w:rPr>
        <w:t>-</w:t>
      </w:r>
      <w:r>
        <w:rPr>
          <w:rFonts w:ascii="Verdana" w:hAnsi="Verdana" w:cs="Khmer UI"/>
          <w:sz w:val="22"/>
          <w:szCs w:val="22"/>
          <w:lang w:eastAsia="es-MX"/>
        </w:rPr>
        <w:t xml:space="preserve"> El programa de primer contacto incluirá el establecimiento de oficinas de primer contacto, las cuales contarán con servidores públicos capacitados en materia de derechos de niñas, niños y adolescentes.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52.</w:t>
      </w:r>
      <w:r>
        <w:rPr>
          <w:rFonts w:ascii="Verdana" w:hAnsi="Verdana" w:cs="Khmer UI"/>
          <w:b/>
          <w:sz w:val="22"/>
          <w:szCs w:val="22"/>
          <w:lang w:eastAsia="es-MX"/>
        </w:rPr>
        <w:t>-</w:t>
      </w:r>
      <w:r>
        <w:rPr>
          <w:rFonts w:ascii="Verdana" w:hAnsi="Verdana" w:cs="Khmer UI"/>
          <w:sz w:val="22"/>
          <w:szCs w:val="22"/>
          <w:lang w:eastAsia="es-MX"/>
        </w:rPr>
        <w:t xml:space="preserve"> El Municipio establecerá por lo menos una oficina de primer contacto, e irá incrementando el número es éstas, en función de las necesidades y su capacidad presupuestaria del mismo, bajo los principios de </w:t>
      </w:r>
      <w:r>
        <w:rPr>
          <w:rFonts w:ascii="Verdana" w:hAnsi="Verdana" w:cs="Khmer UI"/>
          <w:bCs/>
          <w:sz w:val="22"/>
          <w:szCs w:val="22"/>
          <w:lang w:eastAsia="es-MX"/>
        </w:rPr>
        <w:t>austeridad, racionalidad y disciplina financiera.</w:t>
      </w:r>
      <w:r>
        <w:rPr>
          <w:rFonts w:ascii="Verdana" w:hAnsi="Verdana" w:cs="Khmer UI"/>
          <w:sz w:val="22"/>
          <w:szCs w:val="22"/>
          <w:lang w:eastAsia="es-MX"/>
        </w:rPr>
        <w:t xml:space="preserve">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53.</w:t>
      </w:r>
      <w:r>
        <w:rPr>
          <w:rFonts w:ascii="Verdana" w:hAnsi="Verdana" w:cs="Khmer UI"/>
          <w:b/>
          <w:sz w:val="22"/>
          <w:szCs w:val="22"/>
          <w:lang w:eastAsia="es-MX"/>
        </w:rPr>
        <w:t>-</w:t>
      </w:r>
      <w:r>
        <w:rPr>
          <w:rFonts w:ascii="Verdana" w:hAnsi="Verdana" w:cs="Khmer UI"/>
          <w:sz w:val="22"/>
          <w:szCs w:val="22"/>
          <w:lang w:eastAsia="es-MX"/>
        </w:rPr>
        <w:t xml:space="preserve"> Cada oficina de primer contacto deberá de contar como mínimo con un servidor público que funja como autoridad de primer contacto y enlace entre la administración pública municipal y los y las niñas, niños y adolescentes.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54.</w:t>
      </w:r>
      <w:r>
        <w:rPr>
          <w:rFonts w:ascii="Verdana" w:hAnsi="Verdana" w:cs="Khmer UI"/>
          <w:b/>
          <w:sz w:val="22"/>
          <w:szCs w:val="22"/>
          <w:lang w:eastAsia="es-MX"/>
        </w:rPr>
        <w:t>-</w:t>
      </w:r>
      <w:r>
        <w:rPr>
          <w:rFonts w:ascii="Verdana" w:hAnsi="Verdana" w:cs="Khmer UI"/>
          <w:sz w:val="22"/>
          <w:szCs w:val="22"/>
          <w:lang w:eastAsia="es-MX"/>
        </w:rPr>
        <w:t xml:space="preserve"> El Sistema Municipal de Protección emitirá recomendaciones respecto del número y la ubicación de las oficinas de primer contacto que el gobierno municipal establezca.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55.</w:t>
      </w:r>
      <w:r>
        <w:rPr>
          <w:rFonts w:ascii="Verdana" w:hAnsi="Verdana" w:cs="Khmer UI"/>
          <w:b/>
          <w:sz w:val="22"/>
          <w:szCs w:val="22"/>
          <w:lang w:eastAsia="es-MX"/>
        </w:rPr>
        <w:t>-</w:t>
      </w:r>
      <w:r>
        <w:rPr>
          <w:rFonts w:ascii="Verdana" w:hAnsi="Verdana" w:cs="Khmer UI"/>
          <w:sz w:val="22"/>
          <w:szCs w:val="22"/>
          <w:lang w:eastAsia="es-MX"/>
        </w:rPr>
        <w:t xml:space="preserve"> Los servidores públicos que se encuentren asignados a la o las oficinas de primer contacto, se constituyen en la autoridad de primer contacto que señala la Ley Estatal, y tienen las siguientes atribuciones: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Ser enlace entre la administración pública municipal y niñas, niños y adolescentes, y atenderles de manera directa, ágil y sin formalidades;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Fomentar la participación de las niñas, niños y adolescentes en la toma decisiones y en las políticas públicas;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III.- </w:t>
      </w:r>
      <w:r>
        <w:rPr>
          <w:rFonts w:ascii="Verdana" w:hAnsi="Verdana" w:cs="Khmer UI"/>
          <w:sz w:val="22"/>
          <w:szCs w:val="22"/>
          <w:lang w:eastAsia="es-MX"/>
        </w:rPr>
        <w:t>Escucharles cuando quieran expresar sus inquietudes respecto de los asuntos que les afecten directamente, o a sus familias o comunidades;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Brindar orientación y realizar gestión y canalización ante las instancias públicas federales, estatales y municipales que corresponda;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 </w:t>
      </w:r>
      <w:r>
        <w:rPr>
          <w:rFonts w:ascii="Verdana" w:hAnsi="Verdana" w:cs="Khmer UI"/>
          <w:sz w:val="22"/>
          <w:szCs w:val="22"/>
          <w:lang w:eastAsia="es-MX"/>
        </w:rPr>
        <w:t>Promover y difundir los derechos de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 </w:t>
      </w:r>
      <w:r>
        <w:rPr>
          <w:rFonts w:ascii="Verdana" w:hAnsi="Verdana" w:cs="Khmer UI"/>
          <w:sz w:val="22"/>
          <w:szCs w:val="22"/>
          <w:lang w:eastAsia="es-MX"/>
        </w:rPr>
        <w:t>Escuchar a las organizaciones civiles promotoras y defensoras de los derechos de las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 </w:t>
      </w:r>
      <w:r>
        <w:rPr>
          <w:rFonts w:ascii="Verdana" w:hAnsi="Verdana" w:cs="Khmer UI"/>
          <w:sz w:val="22"/>
          <w:szCs w:val="22"/>
          <w:lang w:eastAsia="es-MX"/>
        </w:rPr>
        <w:t>Participar en el Sistema Municipal de Protección; y</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VIII.- </w:t>
      </w:r>
      <w:r>
        <w:rPr>
          <w:rFonts w:ascii="Verdana" w:hAnsi="Verdana" w:cs="Khmer UI"/>
          <w:sz w:val="22"/>
          <w:szCs w:val="22"/>
          <w:lang w:eastAsia="es-MX"/>
        </w:rPr>
        <w:t>Las demás que la regulación municipal establezca.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56.</w:t>
      </w:r>
      <w:r>
        <w:rPr>
          <w:rFonts w:ascii="Verdana" w:hAnsi="Verdana" w:cs="Khmer UI"/>
          <w:b/>
          <w:sz w:val="22"/>
          <w:szCs w:val="22"/>
          <w:lang w:eastAsia="es-MX"/>
        </w:rPr>
        <w:t>-</w:t>
      </w:r>
      <w:r>
        <w:rPr>
          <w:rFonts w:ascii="Verdana" w:hAnsi="Verdana" w:cs="Khmer UI"/>
          <w:sz w:val="22"/>
          <w:szCs w:val="22"/>
          <w:lang w:eastAsia="es-MX"/>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57.</w:t>
      </w:r>
      <w:r>
        <w:rPr>
          <w:rFonts w:ascii="Verdana" w:hAnsi="Verdana" w:cs="Khmer UI"/>
          <w:b/>
          <w:sz w:val="22"/>
          <w:szCs w:val="22"/>
          <w:lang w:eastAsia="es-MX"/>
        </w:rPr>
        <w:t>-</w:t>
      </w:r>
      <w:r>
        <w:rPr>
          <w:rFonts w:ascii="Verdana" w:hAnsi="Verdana" w:cs="Khmer UI"/>
          <w:sz w:val="22"/>
          <w:szCs w:val="22"/>
          <w:lang w:eastAsia="es-MX"/>
        </w:rPr>
        <w:t xml:space="preserve"> La atención que se brinde a niñas, niños y adolescentes, deberá ser de calidad, respetuosa y conforme a su edad, desarrollo evolutivo, cognoscitivo y madurez. </w:t>
      </w:r>
    </w:p>
    <w:p>
      <w:pPr>
        <w:jc w:val="both"/>
        <w:rPr>
          <w:rFonts w:ascii="Verdana" w:hAnsi="Verdana" w:cs="Khmer UI"/>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CAPÍTULO QUINTO</w:t>
      </w:r>
    </w:p>
    <w:p>
      <w:pPr>
        <w:jc w:val="center"/>
        <w:rPr>
          <w:rFonts w:ascii="Verdana" w:hAnsi="Verdana" w:cs="Khmer UI"/>
          <w:b/>
          <w:sz w:val="22"/>
          <w:szCs w:val="22"/>
          <w:lang w:eastAsia="es-MX"/>
        </w:rPr>
      </w:pPr>
      <w:r>
        <w:rPr>
          <w:rFonts w:ascii="Verdana" w:hAnsi="Verdana" w:cs="Khmer UI"/>
          <w:b/>
          <w:sz w:val="22"/>
          <w:szCs w:val="22"/>
          <w:lang w:eastAsia="es-MX"/>
        </w:rPr>
        <w:t>DEL SISTEMA MUNICIPAL DE INFORMACIÓN</w:t>
      </w:r>
    </w:p>
    <w:p>
      <w:pPr>
        <w:jc w:val="both"/>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58.</w:t>
      </w:r>
      <w:r>
        <w:rPr>
          <w:rFonts w:ascii="Verdana" w:hAnsi="Verdana" w:cs="Khmer UI"/>
          <w:b/>
          <w:sz w:val="22"/>
          <w:szCs w:val="22"/>
          <w:lang w:eastAsia="es-MX"/>
        </w:rPr>
        <w:t>-</w:t>
      </w:r>
      <w:r>
        <w:rPr>
          <w:rFonts w:ascii="Verdana" w:hAnsi="Verdana" w:cs="Khmer UI"/>
          <w:sz w:val="22"/>
          <w:szCs w:val="22"/>
          <w:lang w:eastAsia="es-MX"/>
        </w:rPr>
        <w:t xml:space="preserve"> La Secretaría Ejecutiva integrará,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59.</w:t>
      </w:r>
      <w:r>
        <w:rPr>
          <w:rFonts w:ascii="Verdana" w:hAnsi="Verdana" w:cs="Khmer UI"/>
          <w:b/>
          <w:sz w:val="22"/>
          <w:szCs w:val="22"/>
          <w:lang w:eastAsia="es-MX"/>
        </w:rPr>
        <w:t>-</w:t>
      </w:r>
      <w:r>
        <w:rPr>
          <w:rFonts w:ascii="Verdana" w:hAnsi="Verdana" w:cs="Khmer UI"/>
          <w:sz w:val="22"/>
          <w:szCs w:val="22"/>
          <w:lang w:eastAsia="es-MX"/>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60.</w:t>
      </w:r>
      <w:r>
        <w:rPr>
          <w:rFonts w:ascii="Verdana" w:hAnsi="Verdana" w:cs="Khmer UI"/>
          <w:b/>
          <w:sz w:val="22"/>
          <w:szCs w:val="22"/>
          <w:lang w:eastAsia="es-MX"/>
        </w:rPr>
        <w:t>-</w:t>
      </w:r>
      <w:r>
        <w:rPr>
          <w:rFonts w:ascii="Verdana" w:hAnsi="Verdana" w:cs="Khmer UI"/>
          <w:sz w:val="22"/>
          <w:szCs w:val="22"/>
          <w:lang w:eastAsia="es-MX"/>
        </w:rPr>
        <w:t xml:space="preserve"> El Sistema Municipal de Información a que se refiere este Capítulo contendrá información cualitativa y cuantitativa desagregada, que considere lo siguiente: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 </w:t>
      </w:r>
      <w:r>
        <w:rPr>
          <w:rFonts w:ascii="Verdana" w:hAnsi="Verdana" w:cs="Khmer UI"/>
          <w:sz w:val="22"/>
          <w:szCs w:val="22"/>
          <w:lang w:eastAsia="es-MX"/>
        </w:rPr>
        <w:t xml:space="preserve">Situación sociodemográfica de los derechos de niñas, niños y adolescentes, incluida información por sexo, edad, lugar de residencia, origen étnico, entre otros;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II.- </w:t>
      </w:r>
      <w:r>
        <w:rPr>
          <w:rFonts w:ascii="Verdana" w:hAnsi="Verdana" w:cs="Khmer UI"/>
          <w:sz w:val="22"/>
          <w:szCs w:val="22"/>
          <w:lang w:eastAsia="es-MX"/>
        </w:rPr>
        <w:t>El estado de vulnerabilidad de las niñas, niños y adolescentes;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lastRenderedPageBreak/>
        <w:t xml:space="preserve">III.- </w:t>
      </w:r>
      <w:r>
        <w:rPr>
          <w:rFonts w:ascii="Verdana" w:hAnsi="Verdana" w:cs="Khmer UI"/>
          <w:sz w:val="22"/>
          <w:szCs w:val="22"/>
          <w:lang w:eastAsia="es-MX"/>
        </w:rPr>
        <w:t xml:space="preserve">Los datos que permitan evaluar y monitorear la implementación y el cumplimiento de los mecanismos establecidos en la Ley Estatal y los indicadores que establezca el Programa Municipal;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IV.- </w:t>
      </w:r>
      <w:r>
        <w:rPr>
          <w:rFonts w:ascii="Verdana" w:hAnsi="Verdana" w:cs="Khmer UI"/>
          <w:sz w:val="22"/>
          <w:szCs w:val="22"/>
          <w:lang w:eastAsia="es-MX"/>
        </w:rPr>
        <w:t>La información que permita evaluar el cumplimiento de los derechos de niñas, niños y adolescentes contemplados en los Tratados Internacionales, la Ley General, la Ley Estatal y demás disposiciones jurídicas aplicables;</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 </w:t>
      </w:r>
      <w:r>
        <w:rPr>
          <w:rFonts w:ascii="Verdana" w:hAnsi="Verdana" w:cs="Khmer UI"/>
          <w:sz w:val="22"/>
          <w:szCs w:val="22"/>
          <w:lang w:eastAsia="es-MX"/>
        </w:rPr>
        <w:t xml:space="preserve">La información requerida por las instancias competentes encargadas de realizar estadísticas y de integrar el Sistema Municipal de Información; </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 </w:t>
      </w:r>
      <w:r>
        <w:rPr>
          <w:rFonts w:ascii="Verdana" w:hAnsi="Verdana" w:cs="Khmer UI"/>
          <w:sz w:val="22"/>
          <w:szCs w:val="22"/>
          <w:lang w:eastAsia="es-MX"/>
        </w:rPr>
        <w:t xml:space="preserve">El Registro de las certificaciones de las Familias de Acogida; </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sz w:val="22"/>
          <w:szCs w:val="22"/>
          <w:lang w:eastAsia="es-MX"/>
        </w:rPr>
        <w:t xml:space="preserve">VII.- </w:t>
      </w:r>
      <w:r>
        <w:rPr>
          <w:rFonts w:ascii="Verdana" w:hAnsi="Verdana" w:cs="Khmer UI"/>
          <w:sz w:val="22"/>
          <w:szCs w:val="22"/>
          <w:lang w:eastAsia="es-MX"/>
        </w:rPr>
        <w:t>El Registro de las certificaciones de las Familia de Acogimiento Pre-adoptivo; y</w:t>
      </w:r>
    </w:p>
    <w:p>
      <w:pPr>
        <w:pStyle w:val="Prrafodelista"/>
        <w:suppressAutoHyphens w:val="0"/>
        <w:spacing w:line="276" w:lineRule="auto"/>
        <w:ind w:left="0"/>
        <w:contextualSpacing/>
        <w:jc w:val="both"/>
        <w:rPr>
          <w:rFonts w:ascii="Verdana" w:hAnsi="Verdana" w:cs="Khmer UI"/>
          <w:sz w:val="22"/>
          <w:szCs w:val="22"/>
          <w:lang w:eastAsia="es-MX"/>
        </w:rPr>
      </w:pPr>
    </w:p>
    <w:p>
      <w:pPr>
        <w:tabs>
          <w:tab w:val="left" w:pos="851"/>
        </w:tabs>
        <w:spacing w:line="276" w:lineRule="auto"/>
        <w:contextualSpacing/>
        <w:jc w:val="both"/>
        <w:rPr>
          <w:rFonts w:ascii="Verdana" w:hAnsi="Verdana" w:cs="Khmer UI"/>
          <w:sz w:val="22"/>
          <w:szCs w:val="22"/>
          <w:lang w:eastAsia="es-MX"/>
        </w:rPr>
      </w:pPr>
      <w:r>
        <w:rPr>
          <w:rFonts w:ascii="Verdana" w:hAnsi="Verdana" w:cs="Khmer UI"/>
          <w:sz w:val="22"/>
          <w:szCs w:val="22"/>
          <w:lang w:eastAsia="es-MX"/>
        </w:rPr>
        <w:t xml:space="preserve">VIII.- </w:t>
      </w:r>
      <w:r>
        <w:rPr>
          <w:rFonts w:ascii="Verdana" w:hAnsi="Verdana" w:cs="Khmer UI"/>
          <w:sz w:val="22"/>
          <w:szCs w:val="22"/>
          <w:lang w:eastAsia="es-MX"/>
        </w:rPr>
        <w:t xml:space="preserve">Cualquier otra información que determine el Sistema Municipal de Protección y permita conocer la situación de los derechos de niñas, niños y adolescentes. </w:t>
      </w:r>
    </w:p>
    <w:p>
      <w:pPr>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Artículo 61.</w:t>
      </w:r>
      <w:r>
        <w:rPr>
          <w:rFonts w:ascii="Verdana" w:hAnsi="Verdana" w:cs="Khmer UI"/>
          <w:b/>
          <w:sz w:val="22"/>
          <w:szCs w:val="22"/>
          <w:lang w:eastAsia="es-MX"/>
        </w:rPr>
        <w:t>-</w:t>
      </w:r>
      <w:r>
        <w:rPr>
          <w:rFonts w:ascii="Verdana" w:hAnsi="Verdana" w:cs="Khmer UI"/>
          <w:sz w:val="22"/>
          <w:szCs w:val="22"/>
          <w:lang w:eastAsia="es-MX"/>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pPr>
        <w:spacing w:line="360" w:lineRule="auto"/>
        <w:jc w:val="both"/>
        <w:rPr>
          <w:rFonts w:ascii="Verdana" w:hAnsi="Verdana" w:cs="Khmer UI"/>
          <w:sz w:val="22"/>
          <w:szCs w:val="22"/>
          <w:lang w:eastAsia="es-MX"/>
        </w:rPr>
      </w:pPr>
      <w:bookmarkStart w:id="0" w:name="_GoBack"/>
      <w:bookmarkEnd w:id="0"/>
    </w:p>
    <w:p>
      <w:pPr>
        <w:jc w:val="both"/>
        <w:rPr>
          <w:rFonts w:ascii="Verdana" w:hAnsi="Verdana" w:cs="Khmer UI"/>
          <w:sz w:val="22"/>
          <w:szCs w:val="22"/>
          <w:lang w:eastAsia="es-MX"/>
        </w:rPr>
      </w:pPr>
      <w:r>
        <w:rPr>
          <w:rFonts w:ascii="Verdana" w:hAnsi="Verdana" w:cs="Khmer UI"/>
          <w:sz w:val="22"/>
          <w:szCs w:val="22"/>
          <w:lang w:eastAsia="es-MX"/>
        </w:rPr>
        <w:t xml:space="preserve">La Secretaría Ejecutiva promoverá la difusión de la información que integra el Sistema Municipal en formatos accesibles a las niñas, niños y adolescentes. </w:t>
      </w:r>
    </w:p>
    <w:p>
      <w:pPr>
        <w:spacing w:line="360" w:lineRule="auto"/>
        <w:jc w:val="both"/>
        <w:rPr>
          <w:rFonts w:ascii="Verdana" w:hAnsi="Verdana" w:cs="Khmer UI"/>
          <w:sz w:val="22"/>
          <w:szCs w:val="22"/>
          <w:lang w:eastAsia="es-MX"/>
        </w:rPr>
      </w:pPr>
    </w:p>
    <w:p>
      <w:pPr>
        <w:jc w:val="center"/>
        <w:rPr>
          <w:rFonts w:ascii="Verdana" w:hAnsi="Verdana" w:cs="Khmer UI"/>
          <w:b/>
          <w:sz w:val="22"/>
          <w:szCs w:val="22"/>
          <w:lang w:eastAsia="es-MX"/>
        </w:rPr>
      </w:pPr>
      <w:r>
        <w:rPr>
          <w:rFonts w:ascii="Verdana" w:hAnsi="Verdana" w:cs="Khmer UI"/>
          <w:b/>
          <w:sz w:val="22"/>
          <w:szCs w:val="22"/>
          <w:lang w:eastAsia="es-MX"/>
        </w:rPr>
        <w:t>Artículos Transitorios</w:t>
      </w:r>
    </w:p>
    <w:p>
      <w:pPr>
        <w:jc w:val="center"/>
        <w:rPr>
          <w:rFonts w:ascii="Verdana" w:hAnsi="Verdana" w:cs="Khmer UI"/>
          <w:b/>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Primero.</w:t>
      </w:r>
      <w:r>
        <w:rPr>
          <w:rFonts w:ascii="Verdana" w:hAnsi="Verdana" w:cs="Khmer UI"/>
          <w:sz w:val="22"/>
          <w:szCs w:val="22"/>
          <w:lang w:eastAsia="es-MX"/>
        </w:rPr>
        <w:t xml:space="preserve"> El presente Reglamento entrará en vigor al día siguiente de su publicación en la Gaceta Municipal.</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Segundo.</w:t>
      </w:r>
      <w:r>
        <w:rPr>
          <w:rFonts w:ascii="Verdana" w:hAnsi="Verdana" w:cs="Khmer UI"/>
          <w:sz w:val="22"/>
          <w:szCs w:val="22"/>
          <w:lang w:eastAsia="es-MX"/>
        </w:rPr>
        <w:t xml:space="preserve"> La instalación del Sistema Municipal de Protección por única ocasión deberá realizarse a más tardar dentro de los sesenta días naturales contados a partir de la publicación del presente Reglamento, designando al Presidente de la Comisión Edilicia de Seguridad Pública como su representante ante el mismo y al Presidente de la Comisión Edilicia de Educación como suplente. </w:t>
      </w:r>
    </w:p>
    <w:p>
      <w:pPr>
        <w:spacing w:line="360" w:lineRule="auto"/>
        <w:jc w:val="both"/>
        <w:rPr>
          <w:rFonts w:ascii="Verdana" w:hAnsi="Verdana" w:cs="Khmer UI"/>
          <w:sz w:val="22"/>
          <w:szCs w:val="22"/>
          <w:lang w:eastAsia="es-MX"/>
        </w:rPr>
      </w:pPr>
    </w:p>
    <w:p>
      <w:pPr>
        <w:jc w:val="both"/>
        <w:rPr>
          <w:rFonts w:ascii="Verdana" w:hAnsi="Verdana" w:cs="Khmer UI"/>
          <w:sz w:val="22"/>
          <w:szCs w:val="22"/>
          <w:lang w:eastAsia="es-MX"/>
        </w:rPr>
      </w:pPr>
      <w:r>
        <w:rPr>
          <w:rFonts w:ascii="Verdana" w:hAnsi="Verdana" w:cs="Khmer UI"/>
          <w:b/>
          <w:sz w:val="22"/>
          <w:szCs w:val="22"/>
          <w:lang w:eastAsia="es-MX"/>
        </w:rPr>
        <w:t>Tercero</w:t>
      </w:r>
      <w:r>
        <w:rPr>
          <w:rFonts w:ascii="Verdana" w:hAnsi="Verdana" w:cs="Khmer UI"/>
          <w:sz w:val="22"/>
          <w:szCs w:val="22"/>
          <w:lang w:eastAsia="es-MX"/>
        </w:rPr>
        <w:t xml:space="preserve">. Una vez aprobado el ante proyecto del primer Programa Municipal y el Programa de Primer Contacto, el Secretario Técnico gestionará ante el Comité de Planeación para el Desarrollo Municipal (COPLADEMUN) la actualización del Plan Municipal de Desarrollo  en los términos de la legislación y normatividad en materia de planeación. </w:t>
      </w:r>
    </w:p>
    <w:p>
      <w:pPr>
        <w:spacing w:line="360" w:lineRule="auto"/>
        <w:jc w:val="both"/>
        <w:rPr>
          <w:rFonts w:ascii="Verdana" w:hAnsi="Verdana" w:cs="Khmer UI"/>
          <w:sz w:val="22"/>
          <w:szCs w:val="22"/>
          <w:lang w:eastAsia="es-MX"/>
        </w:rPr>
      </w:pPr>
    </w:p>
    <w:p>
      <w:pPr>
        <w:jc w:val="both"/>
        <w:rPr>
          <w:rFonts w:ascii="Verdana" w:hAnsi="Verdana" w:cs="Book Antiqua"/>
          <w:i/>
        </w:rPr>
      </w:pPr>
      <w:r>
        <w:rPr>
          <w:rFonts w:ascii="Verdana" w:hAnsi="Verdana" w:cs="Khmer UI"/>
          <w:b/>
          <w:sz w:val="22"/>
          <w:szCs w:val="22"/>
          <w:lang w:eastAsia="es-MX"/>
        </w:rPr>
        <w:t>Cuarto.</w:t>
      </w:r>
      <w:r>
        <w:rPr>
          <w:rFonts w:ascii="Verdana" w:hAnsi="Verdana" w:cs="Khmer UI"/>
          <w:sz w:val="22"/>
          <w:szCs w:val="22"/>
          <w:lang w:eastAsia="es-MX"/>
        </w:rPr>
        <w:t xml:space="preserve"> En tanto se asignen los recursos financieros, el Sistema Municipal de Protección funcionará con los recursos previstos en el Presupuesto de Egresos para el Ejercicio Fiscal del año 2017, facultándose al Sistema para el Desarrollo Integral de la Familia de Tlajomulco de Zúñiga, Jalisco (DIF) y al  Instituto de Alternativa para los </w:t>
      </w:r>
      <w:r>
        <w:rPr>
          <w:rFonts w:ascii="Verdana" w:hAnsi="Verdana" w:cs="Khmer UI"/>
          <w:sz w:val="22"/>
          <w:szCs w:val="22"/>
          <w:lang w:eastAsia="es-MX"/>
        </w:rPr>
        <w:lastRenderedPageBreak/>
        <w:t>Jóvenes del Municipio de Tlajomulco de Zúñiga, Jalisco, (INDAJO) para que realicen la función de oficinas de primer contacto  en sus ámbitos de competencia.</w:t>
      </w:r>
    </w:p>
    <w:p>
      <w:pPr>
        <w:jc w:val="both"/>
        <w:rPr>
          <w:rFonts w:ascii="Verdana" w:hAnsi="Verdana"/>
          <w:iCs/>
          <w:sz w:val="22"/>
          <w:szCs w:val="22"/>
          <w:lang w:eastAsia="es-MX"/>
        </w:rPr>
      </w:pPr>
    </w:p>
    <w:p>
      <w:pPr>
        <w:rPr>
          <w:rFonts w:ascii="Verdana" w:hAnsi="Verdana"/>
          <w:sz w:val="22"/>
          <w:szCs w:val="22"/>
        </w:rPr>
      </w:pPr>
    </w:p>
    <w:p>
      <w:pPr>
        <w:pStyle w:val="Standard"/>
        <w:jc w:val="center"/>
        <w:rPr>
          <w:rFonts w:ascii="Verdana" w:hAnsi="Verdana" w:cs="Tahoma"/>
          <w:b/>
          <w:bCs/>
          <w:color w:val="000000"/>
        </w:rPr>
      </w:pPr>
      <w:r>
        <w:rPr>
          <w:rFonts w:ascii="Verdana" w:hAnsi="Verdana" w:cs="Tahoma"/>
          <w:b/>
          <w:bCs/>
          <w:color w:val="000000"/>
        </w:rPr>
        <w:t>TABLA DE REFORMAS</w:t>
      </w:r>
    </w:p>
    <w:p>
      <w:pPr>
        <w:pStyle w:val="Standard"/>
        <w:jc w:val="both"/>
        <w:rPr>
          <w:rFonts w:ascii="Verdana" w:hAnsi="Verdana" w:cs="Tahoma"/>
          <w:color w:val="000000"/>
          <w:sz w:val="22"/>
          <w:szCs w:val="22"/>
        </w:rPr>
      </w:pPr>
    </w:p>
    <w:p>
      <w:pPr>
        <w:pStyle w:val="Standard"/>
        <w:jc w:val="both"/>
        <w:rPr>
          <w:rFonts w:ascii="Verdana" w:hAnsi="Verdana" w:cs="Tahoma"/>
          <w:color w:val="000000"/>
          <w:sz w:val="22"/>
          <w:szCs w:val="22"/>
        </w:rPr>
      </w:pPr>
    </w:p>
    <w:p>
      <w:pPr>
        <w:jc w:val="center"/>
        <w:rPr>
          <w:rFonts w:ascii="Verdana" w:hAnsi="Verdana"/>
          <w:b/>
          <w:iCs/>
          <w:sz w:val="22"/>
          <w:szCs w:val="22"/>
          <w:lang w:eastAsia="es-MX"/>
        </w:rPr>
      </w:pPr>
      <w:r>
        <w:rPr>
          <w:rFonts w:ascii="Verdana" w:hAnsi="Verdana"/>
          <w:b/>
          <w:iCs/>
          <w:sz w:val="22"/>
          <w:szCs w:val="22"/>
          <w:lang w:eastAsia="es-MX"/>
        </w:rPr>
        <w:t>TRANSITORIOS</w:t>
      </w:r>
    </w:p>
    <w:p>
      <w:pPr>
        <w:jc w:val="center"/>
        <w:rPr>
          <w:rFonts w:ascii="Verdana" w:hAnsi="Verdana"/>
          <w:b/>
          <w:iCs/>
          <w:sz w:val="22"/>
          <w:szCs w:val="22"/>
          <w:lang w:eastAsia="es-MX"/>
        </w:rPr>
      </w:pPr>
      <w:r>
        <w:rPr>
          <w:rFonts w:ascii="Verdana" w:hAnsi="Verdana" w:cs="Tahoma"/>
          <w:b/>
          <w:color w:val="000000"/>
          <w:sz w:val="20"/>
          <w:szCs w:val="20"/>
        </w:rPr>
        <w:t>(Reforma publicada el 12 de mayo del 2023 en la Gaceta Municipal)</w:t>
      </w:r>
    </w:p>
    <w:p>
      <w:pPr>
        <w:jc w:val="both"/>
        <w:rPr>
          <w:rFonts w:ascii="Verdana" w:hAnsi="Verdana"/>
          <w:iCs/>
          <w:sz w:val="22"/>
          <w:szCs w:val="22"/>
          <w:lang w:eastAsia="es-MX"/>
        </w:rPr>
      </w:pPr>
    </w:p>
    <w:p>
      <w:pPr>
        <w:jc w:val="both"/>
        <w:rPr>
          <w:rFonts w:ascii="Verdana" w:hAnsi="Verdana"/>
          <w:iCs/>
          <w:sz w:val="22"/>
          <w:szCs w:val="22"/>
          <w:lang w:eastAsia="es-MX"/>
        </w:rPr>
      </w:pPr>
      <w:r>
        <w:rPr>
          <w:rFonts w:ascii="Verdana" w:hAnsi="Verdana"/>
          <w:b/>
          <w:iCs/>
          <w:sz w:val="22"/>
          <w:szCs w:val="22"/>
          <w:lang w:eastAsia="es-MX"/>
        </w:rPr>
        <w:t xml:space="preserve">ARTÍCULO ÚNICO.- </w:t>
      </w:r>
      <w:r>
        <w:rPr>
          <w:rFonts w:ascii="Verdana" w:hAnsi="Verdana"/>
          <w:iCs/>
          <w:sz w:val="22"/>
          <w:szCs w:val="22"/>
          <w:lang w:eastAsia="es-MX"/>
        </w:rPr>
        <w:t>El presente Decreto entrará en vigor al día siguiente de su publicación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Tahoma" w:eastAsia="Calibri" w:hAnsi="Tahoma" w:cs="Tahoma"/>
          <w:sz w:val="22"/>
          <w:szCs w:val="22"/>
          <w:u w:val="single"/>
          <w:lang w:val="es-MX" w:eastAsia="en-US"/>
        </w:rPr>
      </w:pPr>
      <w:r>
        <w:rPr>
          <w:rFonts w:ascii="Tahoma" w:eastAsia="Calibri" w:hAnsi="Tahoma" w:cs="Tahoma"/>
          <w:b/>
          <w:sz w:val="22"/>
          <w:szCs w:val="22"/>
          <w:u w:val="single"/>
          <w:lang w:val="es-MX" w:eastAsia="en-US"/>
        </w:rPr>
        <w:t xml:space="preserve">Nota: </w:t>
      </w:r>
      <w:r>
        <w:rPr>
          <w:rFonts w:ascii="Tahoma" w:eastAsia="Calibr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both"/>
        <w:rPr>
          <w:rFonts w:ascii="Verdana" w:hAnsi="Verdana"/>
          <w:sz w:val="22"/>
          <w:szCs w:val="22"/>
        </w:rPr>
      </w:pPr>
    </w:p>
    <w:p/>
    <w:p/>
    <w:sectPr>
      <w:headerReference w:type="default" r:id="rId7"/>
      <w:footerReference w:type="default" r:id="rId8"/>
      <w:pgSz w:w="11906" w:h="16838"/>
      <w:pgMar w:top="1418" w:right="1134" w:bottom="1418"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8000002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val="es-MX" w:eastAsia="es-MX"/>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9"/>
      <w:gridCol w:w="5258"/>
    </w:tblGrid>
    <w:tr>
      <w:tc>
        <w:tcPr>
          <w:tcW w:w="4489" w:type="dxa"/>
          <w:shd w:val="clear" w:color="auto" w:fill="auto"/>
        </w:tcPr>
        <w:p>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extent cx="457200" cy="571500"/>
                <wp:effectExtent l="0" t="0" r="0" b="0"/>
                <wp:docPr id="2" name="Imagen 2"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tab/>
          </w:r>
        </w:p>
      </w:tc>
      <w:tc>
        <w:tcPr>
          <w:tcW w:w="5258" w:type="dxa"/>
          <w:shd w:val="clear" w:color="auto" w:fill="auto"/>
        </w:tcPr>
        <w:p>
          <w:pPr>
            <w:pStyle w:val="Encabezamiento"/>
            <w:jc w:val="right"/>
          </w:pPr>
          <w:r>
            <w:rPr>
              <w:noProof/>
              <w:lang w:val="es-MX" w:eastAsia="es-MX" w:bidi="ar-SA"/>
            </w:rPr>
            <w:drawing>
              <wp:inline distT="0" distB="0" distL="0" distR="0">
                <wp:extent cx="31718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ACC"/>
    <w:multiLevelType w:val="hybridMultilevel"/>
    <w:tmpl w:val="422031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D615FA"/>
    <w:multiLevelType w:val="hybridMultilevel"/>
    <w:tmpl w:val="98580D8C"/>
    <w:lvl w:ilvl="0" w:tplc="2A0EC668">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5778DA"/>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31994"/>
    <w:multiLevelType w:val="hybridMultilevel"/>
    <w:tmpl w:val="5F9202D8"/>
    <w:lvl w:ilvl="0" w:tplc="41BC5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DD23F0"/>
    <w:multiLevelType w:val="hybridMultilevel"/>
    <w:tmpl w:val="E4B24396"/>
    <w:lvl w:ilvl="0" w:tplc="446407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C776FF"/>
    <w:multiLevelType w:val="hybridMultilevel"/>
    <w:tmpl w:val="C122C442"/>
    <w:lvl w:ilvl="0" w:tplc="080A0013">
      <w:start w:val="1"/>
      <w:numFmt w:val="upperRoman"/>
      <w:lvlText w:val="%1."/>
      <w:lvlJc w:val="right"/>
      <w:pPr>
        <w:ind w:left="1428" w:hanging="360"/>
      </w:pPr>
      <w:rPr>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3BC54158"/>
    <w:multiLevelType w:val="hybridMultilevel"/>
    <w:tmpl w:val="55726C72"/>
    <w:lvl w:ilvl="0" w:tplc="CFCC4B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A84089"/>
    <w:multiLevelType w:val="hybridMultilevel"/>
    <w:tmpl w:val="9C9C9EB6"/>
    <w:lvl w:ilvl="0" w:tplc="3724CB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E85CB7"/>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A13E8F"/>
    <w:multiLevelType w:val="hybridMultilevel"/>
    <w:tmpl w:val="D842E210"/>
    <w:lvl w:ilvl="0" w:tplc="02722C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F4168A"/>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D77576"/>
    <w:multiLevelType w:val="hybridMultilevel"/>
    <w:tmpl w:val="0B4CD70C"/>
    <w:lvl w:ilvl="0" w:tplc="A6221506">
      <w:start w:val="1"/>
      <w:numFmt w:val="upperRoman"/>
      <w:lvlText w:val="%1."/>
      <w:lvlJc w:val="right"/>
      <w:pPr>
        <w:ind w:left="720" w:hanging="360"/>
      </w:pPr>
      <w:rPr>
        <w:b w:val="0"/>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CF45C3"/>
    <w:multiLevelType w:val="hybridMultilevel"/>
    <w:tmpl w:val="30A21BC2"/>
    <w:lvl w:ilvl="0" w:tplc="6518B4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11"/>
  </w:num>
  <w:num w:numId="6">
    <w:abstractNumId w:val="5"/>
  </w:num>
  <w:num w:numId="7">
    <w:abstractNumId w:val="3"/>
  </w:num>
  <w:num w:numId="8">
    <w:abstractNumId w:val="7"/>
  </w:num>
  <w:num w:numId="9">
    <w:abstractNumId w:val="9"/>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Prrafodelista">
    <w:name w:val="List Paragraph"/>
    <w:basedOn w:val="Predeterminado"/>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Prrafodelista">
    <w:name w:val="List Paragraph"/>
    <w:basedOn w:val="Predeterminado"/>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0049B5-3F09-45CA-9E4C-548111F2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4933</Words>
  <Characters>27132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2024-01-03T21:32:00Z</dcterms:created>
  <dcterms:modified xsi:type="dcterms:W3CDTF">2024-01-04T00:01:00Z</dcterms:modified>
</cp:coreProperties>
</file>