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61AC" w:rsidRDefault="000848A5">
      <w:pPr>
        <w:jc w:val="center"/>
        <w:rPr>
          <w:rFonts w:ascii="Kanit" w:eastAsia="Kanit" w:hAnsi="Kanit" w:cs="Kanit"/>
          <w:b/>
        </w:rPr>
      </w:pPr>
      <w:r>
        <w:rPr>
          <w:rFonts w:ascii="Kanit" w:eastAsia="Kanit" w:hAnsi="Kanit" w:cs="Kanit"/>
          <w:b/>
          <w:sz w:val="24"/>
          <w:szCs w:val="24"/>
        </w:rPr>
        <w:t>Convocatoria del programa social “Te Cuidamos Siempre” para el ejercicio fiscal 2025</w:t>
      </w:r>
      <w:r>
        <w:rPr>
          <w:rFonts w:ascii="Kanit" w:eastAsia="Kanit" w:hAnsi="Kanit" w:cs="Kanit"/>
          <w:b/>
        </w:rPr>
        <w:t>.</w:t>
      </w:r>
    </w:p>
    <w:p w:rsidR="00EF61AC" w:rsidRDefault="00EF61AC">
      <w:pPr>
        <w:jc w:val="center"/>
        <w:rPr>
          <w:rFonts w:ascii="Kanit" w:eastAsia="Kanit" w:hAnsi="Kanit" w:cs="Kanit"/>
        </w:rPr>
      </w:pPr>
    </w:p>
    <w:p w:rsidR="00EF61AC" w:rsidRDefault="000848A5">
      <w:pPr>
        <w:jc w:val="both"/>
        <w:rPr>
          <w:rFonts w:ascii="Kanit" w:eastAsia="Kanit" w:hAnsi="Kanit" w:cs="Kanit"/>
        </w:rPr>
      </w:pPr>
      <w:r>
        <w:rPr>
          <w:rFonts w:ascii="Kanit" w:eastAsia="Kanit" w:hAnsi="Kanit" w:cs="Kanit"/>
        </w:rPr>
        <w:t xml:space="preserve">Objetivo General: </w:t>
      </w:r>
    </w:p>
    <w:p w:rsidR="00EF61AC" w:rsidRDefault="000848A5">
      <w:pPr>
        <w:jc w:val="both"/>
        <w:rPr>
          <w:rFonts w:ascii="Kanit" w:eastAsia="Kanit" w:hAnsi="Kanit" w:cs="Kanit"/>
        </w:rPr>
      </w:pPr>
      <w:r>
        <w:rPr>
          <w:rFonts w:ascii="Kanit" w:eastAsia="Kanit" w:hAnsi="Kanit" w:cs="Kanit"/>
        </w:rPr>
        <w:t>Reducir la carga económica de las personas cuidadoras de personas con discapacidad, especialmente aquellas en situación de vulnerabilidad económica o víctimas de violencia en razón de género.</w:t>
      </w:r>
    </w:p>
    <w:p w:rsidR="00EF61AC" w:rsidRDefault="00EF61AC">
      <w:pPr>
        <w:jc w:val="both"/>
        <w:rPr>
          <w:rFonts w:ascii="Kanit" w:eastAsia="Kanit" w:hAnsi="Kanit" w:cs="Kanit"/>
        </w:rPr>
      </w:pPr>
    </w:p>
    <w:p w:rsidR="00EF61AC" w:rsidRDefault="000848A5">
      <w:pPr>
        <w:jc w:val="center"/>
        <w:rPr>
          <w:rFonts w:ascii="Kanit" w:eastAsia="Kanit" w:hAnsi="Kanit" w:cs="Kanit"/>
          <w:sz w:val="24"/>
          <w:szCs w:val="24"/>
        </w:rPr>
      </w:pPr>
      <w:r>
        <w:rPr>
          <w:rFonts w:ascii="Kanit" w:eastAsia="Kanit" w:hAnsi="Kanit" w:cs="Kanit"/>
          <w:sz w:val="24"/>
          <w:szCs w:val="24"/>
        </w:rPr>
        <w:t>Modalidad única de apoyo</w:t>
      </w:r>
    </w:p>
    <w:p w:rsidR="00EF61AC" w:rsidRDefault="000848A5">
      <w:pPr>
        <w:jc w:val="both"/>
        <w:rPr>
          <w:rFonts w:ascii="Kanit" w:eastAsia="Kanit" w:hAnsi="Kanit" w:cs="Kanit"/>
        </w:rPr>
      </w:pPr>
      <w:r>
        <w:rPr>
          <w:rFonts w:ascii="Kanit" w:eastAsia="Kanit" w:hAnsi="Kanit" w:cs="Kanit"/>
        </w:rPr>
        <w:t xml:space="preserve">Dirigida a mujeres mayores de 18 años </w:t>
      </w:r>
      <w:r>
        <w:rPr>
          <w:rFonts w:ascii="Kanit" w:eastAsia="Kanit" w:hAnsi="Kanit" w:cs="Kanit"/>
        </w:rPr>
        <w:t xml:space="preserve">que residan en el municipio de Tlajomulco de Zúñiga, que sean cuidadoras primarias de una persona con discapacidad que requiera una persona cuidadora de tiempo completo o que requiera cuidados intensos y extensos. </w:t>
      </w:r>
    </w:p>
    <w:p w:rsidR="00EF61AC" w:rsidRDefault="000848A5">
      <w:pPr>
        <w:jc w:val="both"/>
        <w:rPr>
          <w:rFonts w:ascii="Kanit" w:eastAsia="Kanit" w:hAnsi="Kanit" w:cs="Kanit"/>
        </w:rPr>
      </w:pPr>
      <w:r>
        <w:rPr>
          <w:rFonts w:ascii="Kanit" w:eastAsia="Kanit" w:hAnsi="Kanit" w:cs="Kanit"/>
        </w:rPr>
        <w:t>Las personas beneficiarias de este progra</w:t>
      </w:r>
      <w:r>
        <w:rPr>
          <w:rFonts w:ascii="Kanit" w:eastAsia="Kanit" w:hAnsi="Kanit" w:cs="Kanit"/>
        </w:rPr>
        <w:t xml:space="preserve">ma recibirán un apoyo económico de hasta $5,000.00 00/100 m.n  (cinco mil pesos mexicanos), a través de dos transferencias bancarias de $2,500.00 00/100 m.n (dos mil quinientos pesos mexicanos) distribuidas en durante el año fiscal 2025. </w:t>
      </w:r>
    </w:p>
    <w:p w:rsidR="00EF61AC" w:rsidRDefault="00EF61AC">
      <w:pPr>
        <w:jc w:val="both"/>
        <w:rPr>
          <w:rFonts w:ascii="Kanit" w:eastAsia="Kanit" w:hAnsi="Kanit" w:cs="Kanit"/>
          <w:sz w:val="20"/>
          <w:szCs w:val="20"/>
        </w:rPr>
      </w:pPr>
    </w:p>
    <w:p w:rsidR="00EF61AC" w:rsidRDefault="000848A5">
      <w:pPr>
        <w:numPr>
          <w:ilvl w:val="0"/>
          <w:numId w:val="6"/>
        </w:numPr>
        <w:jc w:val="both"/>
        <w:rPr>
          <w:rFonts w:ascii="Kanit" w:eastAsia="Kanit" w:hAnsi="Kanit" w:cs="Kanit"/>
        </w:rPr>
      </w:pPr>
      <w:r>
        <w:rPr>
          <w:rFonts w:ascii="Kanit" w:eastAsia="Kanit" w:hAnsi="Kanit" w:cs="Kanit"/>
        </w:rPr>
        <w:t>Criterios y requ</w:t>
      </w:r>
      <w:r>
        <w:rPr>
          <w:rFonts w:ascii="Kanit" w:eastAsia="Kanit" w:hAnsi="Kanit" w:cs="Kanit"/>
        </w:rPr>
        <w:t xml:space="preserve">isitos de elegibilidad: </w:t>
      </w:r>
    </w:p>
    <w:p w:rsidR="00EF61AC" w:rsidRDefault="00EF61AC">
      <w:pPr>
        <w:spacing w:line="240" w:lineRule="auto"/>
        <w:ind w:right="278"/>
        <w:jc w:val="both"/>
        <w:rPr>
          <w:rFonts w:ascii="Kanit" w:eastAsia="Kanit" w:hAnsi="Kanit" w:cs="Kanit"/>
          <w:sz w:val="20"/>
          <w:szCs w:val="20"/>
        </w:rPr>
      </w:pPr>
    </w:p>
    <w:tbl>
      <w:tblPr>
        <w:tblStyle w:val="a"/>
        <w:tblW w:w="93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5895"/>
      </w:tblGrid>
      <w:tr w:rsidR="00EF61AC">
        <w:tc>
          <w:tcPr>
            <w:tcW w:w="3450" w:type="dxa"/>
            <w:shd w:val="clear" w:color="auto" w:fill="D9D2E9"/>
            <w:tcMar>
              <w:top w:w="-183" w:type="dxa"/>
              <w:left w:w="-183" w:type="dxa"/>
              <w:bottom w:w="-183" w:type="dxa"/>
              <w:right w:w="-183" w:type="dxa"/>
            </w:tcMar>
            <w:vAlign w:val="center"/>
          </w:tcPr>
          <w:p w:rsidR="00EF61AC" w:rsidRDefault="000848A5">
            <w:pPr>
              <w:widowControl w:val="0"/>
              <w:spacing w:line="240" w:lineRule="auto"/>
              <w:jc w:val="center"/>
              <w:rPr>
                <w:rFonts w:ascii="Kanit" w:eastAsia="Kanit" w:hAnsi="Kanit" w:cs="Kanit"/>
                <w:sz w:val="20"/>
                <w:szCs w:val="20"/>
              </w:rPr>
            </w:pPr>
            <w:r>
              <w:rPr>
                <w:rFonts w:ascii="Kanit" w:eastAsia="Kanit" w:hAnsi="Kanit" w:cs="Kanit"/>
                <w:sz w:val="20"/>
                <w:szCs w:val="20"/>
              </w:rPr>
              <w:t>Criterio</w:t>
            </w:r>
          </w:p>
        </w:tc>
        <w:tc>
          <w:tcPr>
            <w:tcW w:w="5895" w:type="dxa"/>
            <w:shd w:val="clear" w:color="auto" w:fill="D9D2E9"/>
            <w:tcMar>
              <w:top w:w="-183" w:type="dxa"/>
              <w:left w:w="-183" w:type="dxa"/>
              <w:bottom w:w="-183" w:type="dxa"/>
              <w:right w:w="-183" w:type="dxa"/>
            </w:tcMar>
            <w:vAlign w:val="center"/>
          </w:tcPr>
          <w:p w:rsidR="00EF61AC" w:rsidRDefault="000848A5">
            <w:pPr>
              <w:widowControl w:val="0"/>
              <w:spacing w:line="240" w:lineRule="auto"/>
              <w:jc w:val="center"/>
              <w:rPr>
                <w:rFonts w:ascii="Kanit" w:eastAsia="Kanit" w:hAnsi="Kanit" w:cs="Kanit"/>
                <w:sz w:val="20"/>
                <w:szCs w:val="20"/>
              </w:rPr>
            </w:pPr>
            <w:r>
              <w:rPr>
                <w:rFonts w:ascii="Kanit" w:eastAsia="Kanit" w:hAnsi="Kanit" w:cs="Kanit"/>
                <w:sz w:val="20"/>
                <w:szCs w:val="20"/>
              </w:rPr>
              <w:t>Requisito</w:t>
            </w:r>
          </w:p>
        </w:tc>
      </w:tr>
      <w:tr w:rsidR="00EF61AC">
        <w:trPr>
          <w:trHeight w:val="600"/>
        </w:trPr>
        <w:tc>
          <w:tcPr>
            <w:tcW w:w="3450" w:type="dxa"/>
            <w:shd w:val="clear" w:color="auto" w:fill="auto"/>
            <w:tcMar>
              <w:top w:w="100" w:type="dxa"/>
              <w:left w:w="100" w:type="dxa"/>
              <w:bottom w:w="100" w:type="dxa"/>
              <w:right w:w="100" w:type="dxa"/>
            </w:tcMar>
          </w:tcPr>
          <w:p w:rsidR="00EF61AC" w:rsidRDefault="000848A5">
            <w:pPr>
              <w:spacing w:line="240" w:lineRule="auto"/>
              <w:ind w:right="278"/>
              <w:jc w:val="both"/>
              <w:rPr>
                <w:rFonts w:ascii="Kanit" w:eastAsia="Kanit" w:hAnsi="Kanit" w:cs="Kanit"/>
                <w:sz w:val="20"/>
                <w:szCs w:val="20"/>
              </w:rPr>
            </w:pPr>
            <w:r>
              <w:rPr>
                <w:rFonts w:ascii="Kanit" w:eastAsia="Kanit" w:hAnsi="Kanit" w:cs="Kanit"/>
                <w:sz w:val="20"/>
                <w:szCs w:val="20"/>
              </w:rPr>
              <w:t>Ser persona mayor de 18 años</w:t>
            </w:r>
          </w:p>
        </w:tc>
        <w:tc>
          <w:tcPr>
            <w:tcW w:w="5895" w:type="dxa"/>
            <w:shd w:val="clear" w:color="auto" w:fill="auto"/>
            <w:tcMar>
              <w:top w:w="100" w:type="dxa"/>
              <w:left w:w="100" w:type="dxa"/>
              <w:bottom w:w="100" w:type="dxa"/>
              <w:right w:w="100" w:type="dxa"/>
            </w:tcMar>
          </w:tcPr>
          <w:p w:rsidR="00EF61AC" w:rsidRDefault="000848A5">
            <w:pPr>
              <w:widowControl w:val="0"/>
              <w:numPr>
                <w:ilvl w:val="0"/>
                <w:numId w:val="5"/>
              </w:numPr>
              <w:spacing w:line="240" w:lineRule="auto"/>
              <w:jc w:val="both"/>
              <w:rPr>
                <w:rFonts w:ascii="Kanit" w:eastAsia="Kanit" w:hAnsi="Kanit" w:cs="Kanit"/>
                <w:sz w:val="20"/>
                <w:szCs w:val="20"/>
              </w:rPr>
            </w:pPr>
            <w:r>
              <w:rPr>
                <w:rFonts w:ascii="Kanit" w:eastAsia="Kanit" w:hAnsi="Kanit" w:cs="Kanit"/>
                <w:sz w:val="20"/>
                <w:szCs w:val="20"/>
              </w:rPr>
              <w:t>Copia de identificación oficial con fotografía; puede ser pasaporte mexicano, Credencial para votar, cédula profesional, Cartilla del Servicio Militar Nacional, matrícula consular, Credencial del Instituto Nacional de las Personas Adultas Mayores, Forma Mi</w:t>
            </w:r>
            <w:r>
              <w:rPr>
                <w:rFonts w:ascii="Kanit" w:eastAsia="Kanit" w:hAnsi="Kanit" w:cs="Kanit"/>
                <w:sz w:val="20"/>
                <w:szCs w:val="20"/>
              </w:rPr>
              <w:t>gratoria 2 o 3.</w:t>
            </w:r>
          </w:p>
        </w:tc>
      </w:tr>
      <w:tr w:rsidR="00EF61AC">
        <w:tc>
          <w:tcPr>
            <w:tcW w:w="3450" w:type="dxa"/>
            <w:shd w:val="clear" w:color="auto" w:fill="auto"/>
            <w:tcMar>
              <w:top w:w="100" w:type="dxa"/>
              <w:left w:w="100" w:type="dxa"/>
              <w:bottom w:w="100" w:type="dxa"/>
              <w:right w:w="100" w:type="dxa"/>
            </w:tcMar>
          </w:tcPr>
          <w:p w:rsidR="00EF61AC" w:rsidRDefault="000848A5">
            <w:pPr>
              <w:spacing w:line="240" w:lineRule="auto"/>
              <w:ind w:right="278"/>
              <w:jc w:val="both"/>
              <w:rPr>
                <w:rFonts w:ascii="Kanit" w:eastAsia="Kanit" w:hAnsi="Kanit" w:cs="Kanit"/>
                <w:sz w:val="20"/>
                <w:szCs w:val="20"/>
              </w:rPr>
            </w:pPr>
            <w:r>
              <w:rPr>
                <w:rFonts w:ascii="Kanit" w:eastAsia="Kanit" w:hAnsi="Kanit" w:cs="Kanit"/>
                <w:sz w:val="20"/>
                <w:szCs w:val="20"/>
              </w:rPr>
              <w:t>Vivir en el Municipio de Tlajomulco de Zuñiga</w:t>
            </w:r>
          </w:p>
        </w:tc>
        <w:tc>
          <w:tcPr>
            <w:tcW w:w="5895" w:type="dxa"/>
            <w:shd w:val="clear" w:color="auto" w:fill="auto"/>
            <w:tcMar>
              <w:top w:w="100" w:type="dxa"/>
              <w:left w:w="100" w:type="dxa"/>
              <w:bottom w:w="100" w:type="dxa"/>
              <w:right w:w="100" w:type="dxa"/>
            </w:tcMar>
          </w:tcPr>
          <w:p w:rsidR="00EF61AC" w:rsidRDefault="000848A5">
            <w:pPr>
              <w:widowControl w:val="0"/>
              <w:numPr>
                <w:ilvl w:val="0"/>
                <w:numId w:val="4"/>
              </w:numPr>
              <w:spacing w:line="240" w:lineRule="auto"/>
              <w:jc w:val="both"/>
              <w:rPr>
                <w:rFonts w:ascii="Kanit" w:eastAsia="Kanit" w:hAnsi="Kanit" w:cs="Kanit"/>
                <w:sz w:val="20"/>
                <w:szCs w:val="20"/>
              </w:rPr>
            </w:pPr>
            <w:r>
              <w:rPr>
                <w:rFonts w:ascii="Kanit" w:eastAsia="Kanit" w:hAnsi="Kanit" w:cs="Kanit"/>
                <w:sz w:val="20"/>
                <w:szCs w:val="20"/>
              </w:rPr>
              <w:t>Copia de comprobante de domicilio no mayor a 3 meses y ubicado en el municipio de Tlajomulco de Zúñiga (serán validos únicamente comprobantes emitidos por la Comisión Federal de Electricidad, p</w:t>
            </w:r>
            <w:r>
              <w:rPr>
                <w:rFonts w:ascii="Kanit" w:eastAsia="Kanit" w:hAnsi="Kanit" w:cs="Kanit"/>
                <w:sz w:val="20"/>
                <w:szCs w:val="20"/>
              </w:rPr>
              <w:t xml:space="preserve">redial, por proveedores de internet y/o telefonía y servicio de agua) </w:t>
            </w:r>
          </w:p>
        </w:tc>
      </w:tr>
      <w:tr w:rsidR="00EF61AC">
        <w:tc>
          <w:tcPr>
            <w:tcW w:w="3450" w:type="dxa"/>
            <w:shd w:val="clear" w:color="auto" w:fill="auto"/>
            <w:tcMar>
              <w:top w:w="100" w:type="dxa"/>
              <w:left w:w="100" w:type="dxa"/>
              <w:bottom w:w="100" w:type="dxa"/>
              <w:right w:w="100" w:type="dxa"/>
            </w:tcMar>
          </w:tcPr>
          <w:p w:rsidR="00EF61AC" w:rsidRDefault="000848A5">
            <w:pPr>
              <w:widowControl w:val="0"/>
              <w:spacing w:line="240" w:lineRule="auto"/>
              <w:rPr>
                <w:rFonts w:ascii="Kanit" w:eastAsia="Kanit" w:hAnsi="Kanit" w:cs="Kanit"/>
                <w:sz w:val="20"/>
                <w:szCs w:val="20"/>
              </w:rPr>
            </w:pPr>
            <w:r>
              <w:rPr>
                <w:rFonts w:ascii="Kanit" w:eastAsia="Kanit" w:hAnsi="Kanit" w:cs="Kanit"/>
                <w:sz w:val="20"/>
                <w:szCs w:val="20"/>
              </w:rPr>
              <w:t>Ser persona cuidadora de un familiar con discapacidad o con enfermedad grave; con necesidad de tener una persona cuidadora</w:t>
            </w:r>
          </w:p>
        </w:tc>
        <w:tc>
          <w:tcPr>
            <w:tcW w:w="5895" w:type="dxa"/>
            <w:shd w:val="clear" w:color="auto" w:fill="auto"/>
            <w:tcMar>
              <w:top w:w="100" w:type="dxa"/>
              <w:left w:w="100" w:type="dxa"/>
              <w:bottom w:w="100" w:type="dxa"/>
              <w:right w:w="100" w:type="dxa"/>
            </w:tcMar>
          </w:tcPr>
          <w:p w:rsidR="00EF61AC" w:rsidRDefault="000848A5">
            <w:pPr>
              <w:widowControl w:val="0"/>
              <w:numPr>
                <w:ilvl w:val="0"/>
                <w:numId w:val="2"/>
              </w:numPr>
              <w:spacing w:line="240" w:lineRule="auto"/>
              <w:jc w:val="both"/>
              <w:rPr>
                <w:rFonts w:ascii="Kanit" w:eastAsia="Kanit" w:hAnsi="Kanit" w:cs="Kanit"/>
                <w:sz w:val="20"/>
                <w:szCs w:val="20"/>
              </w:rPr>
            </w:pPr>
            <w:r>
              <w:rPr>
                <w:rFonts w:ascii="Kanit" w:eastAsia="Kanit" w:hAnsi="Kanit" w:cs="Kanit"/>
                <w:sz w:val="20"/>
                <w:szCs w:val="20"/>
              </w:rPr>
              <w:t>Para el caso de personas con discapacidad; copia de certificado de discapacidad de la persona que cuida, emitido por la autoridad com</w:t>
            </w:r>
            <w:r>
              <w:rPr>
                <w:rFonts w:ascii="Kanit" w:eastAsia="Kanit" w:hAnsi="Kanit" w:cs="Kanit"/>
                <w:sz w:val="20"/>
                <w:szCs w:val="20"/>
              </w:rPr>
              <w:t>petente con el fin de comprobar si la persona requiere cuidadora;</w:t>
            </w:r>
          </w:p>
          <w:p w:rsidR="00EF61AC" w:rsidRDefault="000848A5">
            <w:pPr>
              <w:widowControl w:val="0"/>
              <w:numPr>
                <w:ilvl w:val="0"/>
                <w:numId w:val="2"/>
              </w:numPr>
              <w:spacing w:line="240" w:lineRule="auto"/>
              <w:jc w:val="both"/>
              <w:rPr>
                <w:rFonts w:ascii="Kanit" w:eastAsia="Kanit" w:hAnsi="Kanit" w:cs="Kanit"/>
                <w:sz w:val="20"/>
                <w:szCs w:val="20"/>
              </w:rPr>
            </w:pPr>
            <w:r>
              <w:rPr>
                <w:rFonts w:ascii="Kanit" w:eastAsia="Kanit" w:hAnsi="Kanit" w:cs="Kanit"/>
                <w:sz w:val="20"/>
                <w:szCs w:val="20"/>
              </w:rPr>
              <w:t xml:space="preserve">Para el caso de las personas con enfermedad grave; Documento emitido por personal médico especializado que refiera que derivado de una enfermedad requiere </w:t>
            </w:r>
            <w:r>
              <w:rPr>
                <w:rFonts w:ascii="Kanit" w:eastAsia="Kanit" w:hAnsi="Kanit" w:cs="Kanit"/>
                <w:sz w:val="20"/>
                <w:szCs w:val="20"/>
              </w:rPr>
              <w:lastRenderedPageBreak/>
              <w:t>una persona cuidadora;</w:t>
            </w:r>
          </w:p>
          <w:p w:rsidR="00EF61AC" w:rsidRDefault="000848A5">
            <w:pPr>
              <w:widowControl w:val="0"/>
              <w:numPr>
                <w:ilvl w:val="0"/>
                <w:numId w:val="2"/>
              </w:numPr>
              <w:spacing w:line="240" w:lineRule="auto"/>
              <w:jc w:val="both"/>
              <w:rPr>
                <w:rFonts w:ascii="Kanit" w:eastAsia="Kanit" w:hAnsi="Kanit" w:cs="Kanit"/>
                <w:sz w:val="20"/>
                <w:szCs w:val="20"/>
              </w:rPr>
            </w:pPr>
            <w:r>
              <w:rPr>
                <w:rFonts w:ascii="Kanit" w:eastAsia="Kanit" w:hAnsi="Kanit" w:cs="Kanit"/>
                <w:sz w:val="20"/>
                <w:szCs w:val="20"/>
              </w:rPr>
              <w:t>Copia de act</w:t>
            </w:r>
            <w:r>
              <w:rPr>
                <w:rFonts w:ascii="Kanit" w:eastAsia="Kanit" w:hAnsi="Kanit" w:cs="Kanit"/>
                <w:sz w:val="20"/>
                <w:szCs w:val="20"/>
              </w:rPr>
              <w:t>a de registro civil de la persona cuidadora y la persona cuidada con el fin de validar la relación familiar o civil.</w:t>
            </w:r>
          </w:p>
        </w:tc>
      </w:tr>
      <w:tr w:rsidR="00EF61AC">
        <w:tc>
          <w:tcPr>
            <w:tcW w:w="3450" w:type="dxa"/>
            <w:shd w:val="clear" w:color="auto" w:fill="auto"/>
            <w:tcMar>
              <w:top w:w="100" w:type="dxa"/>
              <w:left w:w="100" w:type="dxa"/>
              <w:bottom w:w="100" w:type="dxa"/>
              <w:right w:w="100" w:type="dxa"/>
            </w:tcMar>
          </w:tcPr>
          <w:p w:rsidR="00EF61AC" w:rsidRDefault="000848A5">
            <w:pPr>
              <w:widowControl w:val="0"/>
              <w:spacing w:line="240" w:lineRule="auto"/>
              <w:rPr>
                <w:rFonts w:ascii="Kanit" w:eastAsia="Kanit" w:hAnsi="Kanit" w:cs="Kanit"/>
                <w:sz w:val="20"/>
                <w:szCs w:val="20"/>
              </w:rPr>
            </w:pPr>
            <w:r>
              <w:rPr>
                <w:rFonts w:ascii="Kanit" w:eastAsia="Kanit" w:hAnsi="Kanit" w:cs="Kanit"/>
                <w:sz w:val="20"/>
                <w:szCs w:val="20"/>
              </w:rPr>
              <w:lastRenderedPageBreak/>
              <w:t>Tener una cuenta bancaria a nombre de la solicitante del beneficio</w:t>
            </w:r>
          </w:p>
        </w:tc>
        <w:tc>
          <w:tcPr>
            <w:tcW w:w="5895" w:type="dxa"/>
            <w:shd w:val="clear" w:color="auto" w:fill="auto"/>
            <w:tcMar>
              <w:top w:w="100" w:type="dxa"/>
              <w:left w:w="100" w:type="dxa"/>
              <w:bottom w:w="100" w:type="dxa"/>
              <w:right w:w="100" w:type="dxa"/>
            </w:tcMar>
          </w:tcPr>
          <w:p w:rsidR="00EF61AC" w:rsidRDefault="000848A5">
            <w:pPr>
              <w:widowControl w:val="0"/>
              <w:numPr>
                <w:ilvl w:val="0"/>
                <w:numId w:val="8"/>
              </w:numPr>
              <w:spacing w:line="240" w:lineRule="auto"/>
              <w:rPr>
                <w:rFonts w:ascii="Kanit" w:eastAsia="Kanit" w:hAnsi="Kanit" w:cs="Kanit"/>
                <w:sz w:val="20"/>
                <w:szCs w:val="20"/>
              </w:rPr>
            </w:pPr>
            <w:r>
              <w:rPr>
                <w:rFonts w:ascii="Kanit" w:eastAsia="Kanit" w:hAnsi="Kanit" w:cs="Kanit"/>
                <w:sz w:val="20"/>
                <w:szCs w:val="20"/>
              </w:rPr>
              <w:t>Copia de la carátula del estado de cuenta a nombre de la persona solici</w:t>
            </w:r>
            <w:r>
              <w:rPr>
                <w:rFonts w:ascii="Kanit" w:eastAsia="Kanit" w:hAnsi="Kanit" w:cs="Kanit"/>
                <w:sz w:val="20"/>
                <w:szCs w:val="20"/>
              </w:rPr>
              <w:t xml:space="preserve">tante del beneficio. </w:t>
            </w:r>
          </w:p>
        </w:tc>
      </w:tr>
      <w:tr w:rsidR="00EF61AC">
        <w:tc>
          <w:tcPr>
            <w:tcW w:w="3450" w:type="dxa"/>
            <w:shd w:val="clear" w:color="auto" w:fill="auto"/>
            <w:tcMar>
              <w:top w:w="100" w:type="dxa"/>
              <w:left w:w="100" w:type="dxa"/>
              <w:bottom w:w="100" w:type="dxa"/>
              <w:right w:w="100" w:type="dxa"/>
            </w:tcMar>
          </w:tcPr>
          <w:p w:rsidR="00EF61AC" w:rsidRDefault="000848A5">
            <w:pPr>
              <w:widowControl w:val="0"/>
              <w:spacing w:line="240" w:lineRule="auto"/>
              <w:rPr>
                <w:rFonts w:ascii="Kanit" w:eastAsia="Kanit" w:hAnsi="Kanit" w:cs="Kanit"/>
                <w:sz w:val="20"/>
                <w:szCs w:val="20"/>
              </w:rPr>
            </w:pPr>
            <w:r>
              <w:rPr>
                <w:rFonts w:ascii="Kanit" w:eastAsia="Kanit" w:hAnsi="Kanit" w:cs="Kanit"/>
                <w:sz w:val="20"/>
                <w:szCs w:val="20"/>
              </w:rPr>
              <w:t>Presentar la solicitud de ingreso al programa</w:t>
            </w:r>
          </w:p>
        </w:tc>
        <w:tc>
          <w:tcPr>
            <w:tcW w:w="5895" w:type="dxa"/>
            <w:shd w:val="clear" w:color="auto" w:fill="auto"/>
            <w:tcMar>
              <w:top w:w="100" w:type="dxa"/>
              <w:left w:w="100" w:type="dxa"/>
              <w:bottom w:w="100" w:type="dxa"/>
              <w:right w:w="100" w:type="dxa"/>
            </w:tcMar>
          </w:tcPr>
          <w:p w:rsidR="00EF61AC" w:rsidRDefault="000848A5">
            <w:pPr>
              <w:widowControl w:val="0"/>
              <w:numPr>
                <w:ilvl w:val="0"/>
                <w:numId w:val="1"/>
              </w:numPr>
              <w:spacing w:line="240" w:lineRule="auto"/>
              <w:jc w:val="both"/>
              <w:rPr>
                <w:rFonts w:ascii="Kanit" w:eastAsia="Kanit" w:hAnsi="Kanit" w:cs="Kanit"/>
                <w:sz w:val="20"/>
                <w:szCs w:val="20"/>
              </w:rPr>
            </w:pPr>
            <w:r>
              <w:rPr>
                <w:rFonts w:ascii="Kanit" w:eastAsia="Kanit" w:hAnsi="Kanit" w:cs="Kanit"/>
                <w:sz w:val="20"/>
                <w:szCs w:val="20"/>
              </w:rPr>
              <w:t>Presentar original del “Anexo II; Solicitud de ingreso al programa”, la cual se adjunta en la presente “Convocatoria”.</w:t>
            </w:r>
          </w:p>
        </w:tc>
      </w:tr>
      <w:tr w:rsidR="00EF61AC">
        <w:tc>
          <w:tcPr>
            <w:tcW w:w="3450" w:type="dxa"/>
            <w:shd w:val="clear" w:color="auto" w:fill="auto"/>
            <w:tcMar>
              <w:top w:w="100" w:type="dxa"/>
              <w:left w:w="100" w:type="dxa"/>
              <w:bottom w:w="100" w:type="dxa"/>
              <w:right w:w="100" w:type="dxa"/>
            </w:tcMar>
          </w:tcPr>
          <w:p w:rsidR="00EF61AC" w:rsidRDefault="000848A5">
            <w:pPr>
              <w:widowControl w:val="0"/>
              <w:spacing w:line="240" w:lineRule="auto"/>
              <w:rPr>
                <w:rFonts w:ascii="Kanit" w:eastAsia="Kanit" w:hAnsi="Kanit" w:cs="Kanit"/>
                <w:sz w:val="20"/>
                <w:szCs w:val="20"/>
              </w:rPr>
            </w:pPr>
            <w:r>
              <w:rPr>
                <w:rFonts w:ascii="Kanit" w:eastAsia="Kanit" w:hAnsi="Kanit" w:cs="Kanit"/>
                <w:sz w:val="20"/>
                <w:szCs w:val="20"/>
              </w:rPr>
              <w:t xml:space="preserve">Criterio de priorización; haber sido víctima de violencia de género. </w:t>
            </w:r>
          </w:p>
        </w:tc>
        <w:tc>
          <w:tcPr>
            <w:tcW w:w="5895" w:type="dxa"/>
            <w:shd w:val="clear" w:color="auto" w:fill="auto"/>
            <w:tcMar>
              <w:top w:w="100" w:type="dxa"/>
              <w:left w:w="100" w:type="dxa"/>
              <w:bottom w:w="100" w:type="dxa"/>
              <w:right w:w="100" w:type="dxa"/>
            </w:tcMar>
          </w:tcPr>
          <w:p w:rsidR="00EF61AC" w:rsidRDefault="000848A5">
            <w:pPr>
              <w:widowControl w:val="0"/>
              <w:numPr>
                <w:ilvl w:val="0"/>
                <w:numId w:val="3"/>
              </w:numPr>
              <w:spacing w:line="240" w:lineRule="auto"/>
              <w:jc w:val="both"/>
              <w:rPr>
                <w:rFonts w:ascii="Kanit" w:eastAsia="Kanit" w:hAnsi="Kanit" w:cs="Kanit"/>
                <w:sz w:val="20"/>
                <w:szCs w:val="20"/>
              </w:rPr>
            </w:pPr>
            <w:r>
              <w:rPr>
                <w:rFonts w:ascii="Kanit" w:eastAsia="Kanit" w:hAnsi="Kanit" w:cs="Kanit"/>
                <w:sz w:val="20"/>
                <w:szCs w:val="20"/>
              </w:rPr>
              <w:t xml:space="preserve">Presentar documentación que acredite que tiene o ha tenido un proceso en algún centro de atención especializado en violencia en razón de género, ya sea municipal o estatal. </w:t>
            </w:r>
          </w:p>
        </w:tc>
      </w:tr>
    </w:tbl>
    <w:p w:rsidR="00EF61AC" w:rsidRDefault="00EF61AC">
      <w:pPr>
        <w:spacing w:line="240" w:lineRule="auto"/>
        <w:ind w:right="278"/>
        <w:jc w:val="both"/>
        <w:rPr>
          <w:rFonts w:ascii="Kanit" w:eastAsia="Kanit" w:hAnsi="Kanit" w:cs="Kanit"/>
          <w:sz w:val="20"/>
          <w:szCs w:val="20"/>
        </w:rPr>
      </w:pPr>
    </w:p>
    <w:p w:rsidR="00EF61AC" w:rsidRDefault="000848A5">
      <w:pPr>
        <w:spacing w:line="240" w:lineRule="auto"/>
        <w:ind w:right="278"/>
        <w:jc w:val="both"/>
        <w:rPr>
          <w:rFonts w:ascii="Kanit" w:eastAsia="Kanit" w:hAnsi="Kanit" w:cs="Kanit"/>
        </w:rPr>
      </w:pPr>
      <w:r>
        <w:rPr>
          <w:rFonts w:ascii="Kanit" w:eastAsia="Kanit" w:hAnsi="Kanit" w:cs="Kanit"/>
        </w:rPr>
        <w:t xml:space="preserve">Nota: </w:t>
      </w:r>
    </w:p>
    <w:p w:rsidR="00EF61AC" w:rsidRDefault="000848A5">
      <w:pPr>
        <w:spacing w:line="240" w:lineRule="auto"/>
        <w:ind w:right="278"/>
        <w:jc w:val="both"/>
        <w:rPr>
          <w:rFonts w:ascii="Kanit" w:eastAsia="Kanit" w:hAnsi="Kanit" w:cs="Kanit"/>
        </w:rPr>
      </w:pPr>
      <w:r>
        <w:rPr>
          <w:rFonts w:ascii="Kanit" w:eastAsia="Kanit" w:hAnsi="Kanit" w:cs="Kanit"/>
        </w:rPr>
        <w:t>Tod</w:t>
      </w:r>
      <w:r>
        <w:rPr>
          <w:rFonts w:ascii="Kanit" w:eastAsia="Kanit" w:hAnsi="Kanit" w:cs="Kanit"/>
        </w:rPr>
        <w:t xml:space="preserve">os los documentos deberán ser legibles y en caso de que se tengan de forma digital deberán hacerse impresiones a blanco y negro o a color de los mismos. </w:t>
      </w:r>
    </w:p>
    <w:p w:rsidR="00EF61AC" w:rsidRDefault="000848A5">
      <w:pPr>
        <w:spacing w:line="240" w:lineRule="auto"/>
        <w:ind w:right="278"/>
        <w:jc w:val="both"/>
        <w:rPr>
          <w:rFonts w:ascii="Kanit" w:eastAsia="Kanit" w:hAnsi="Kanit" w:cs="Kanit"/>
        </w:rPr>
      </w:pPr>
      <w:r>
        <w:rPr>
          <w:rFonts w:ascii="Kanit" w:eastAsia="Kanit" w:hAnsi="Kanit" w:cs="Kanit"/>
        </w:rPr>
        <w:t xml:space="preserve">El anexo II solicitud de ingreso al programa” deberá estar firmada con tinta azul y llenado con letra </w:t>
      </w:r>
      <w:r>
        <w:rPr>
          <w:rFonts w:ascii="Kanit" w:eastAsia="Kanit" w:hAnsi="Kanit" w:cs="Kanit"/>
        </w:rPr>
        <w:t xml:space="preserve">de molde, sin tachaduras, ni enmendaduras. </w:t>
      </w:r>
    </w:p>
    <w:p w:rsidR="00EF61AC" w:rsidRDefault="00EF61AC">
      <w:pPr>
        <w:spacing w:line="240" w:lineRule="auto"/>
        <w:ind w:right="278"/>
        <w:jc w:val="both"/>
        <w:rPr>
          <w:rFonts w:ascii="Kanit" w:eastAsia="Kanit" w:hAnsi="Kanit" w:cs="Kanit"/>
          <w:sz w:val="20"/>
          <w:szCs w:val="20"/>
        </w:rPr>
      </w:pPr>
    </w:p>
    <w:p w:rsidR="00EF61AC" w:rsidRDefault="000848A5">
      <w:pPr>
        <w:numPr>
          <w:ilvl w:val="0"/>
          <w:numId w:val="6"/>
        </w:numPr>
        <w:spacing w:line="240" w:lineRule="auto"/>
        <w:ind w:right="278"/>
        <w:jc w:val="both"/>
        <w:rPr>
          <w:rFonts w:ascii="Kanit" w:eastAsia="Kanit" w:hAnsi="Kanit" w:cs="Kanit"/>
        </w:rPr>
      </w:pPr>
      <w:r>
        <w:rPr>
          <w:rFonts w:ascii="Kanit" w:eastAsia="Kanit" w:hAnsi="Kanit" w:cs="Kanit"/>
        </w:rPr>
        <w:t>Fecha y lugar para la entrega de documentación.</w:t>
      </w:r>
    </w:p>
    <w:p w:rsidR="00EF61AC" w:rsidRDefault="00EF61AC">
      <w:pPr>
        <w:spacing w:line="240" w:lineRule="auto"/>
        <w:ind w:right="278"/>
        <w:jc w:val="both"/>
        <w:rPr>
          <w:rFonts w:ascii="Kanit" w:eastAsia="Kanit" w:hAnsi="Kanit" w:cs="Kanit"/>
        </w:rPr>
      </w:pPr>
    </w:p>
    <w:p w:rsidR="00EF61AC" w:rsidRDefault="000848A5">
      <w:pPr>
        <w:spacing w:line="240" w:lineRule="auto"/>
        <w:ind w:right="278"/>
        <w:jc w:val="both"/>
        <w:rPr>
          <w:rFonts w:ascii="Kanit" w:eastAsia="Kanit" w:hAnsi="Kanit" w:cs="Kanit"/>
        </w:rPr>
      </w:pPr>
      <w:r>
        <w:rPr>
          <w:rFonts w:ascii="Kanit" w:eastAsia="Kanit" w:hAnsi="Kanit" w:cs="Kanit"/>
        </w:rPr>
        <w:t xml:space="preserve">La entrega de la documentación para conformar el expediente de solicitud, se realizará en la siguiente forma: </w:t>
      </w:r>
    </w:p>
    <w:p w:rsidR="00EF61AC" w:rsidRDefault="00EF61AC">
      <w:pPr>
        <w:spacing w:line="240" w:lineRule="auto"/>
        <w:ind w:right="278"/>
        <w:jc w:val="both"/>
        <w:rPr>
          <w:rFonts w:ascii="Kanit" w:eastAsia="Kanit" w:hAnsi="Kanit" w:cs="Kanit"/>
          <w:sz w:val="20"/>
          <w:szCs w:val="20"/>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gridCol w:w="2070"/>
        <w:gridCol w:w="2010"/>
      </w:tblGrid>
      <w:tr w:rsidR="00EF61AC">
        <w:tc>
          <w:tcPr>
            <w:tcW w:w="5280" w:type="dxa"/>
            <w:shd w:val="clear" w:color="auto" w:fill="D9D2E9"/>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Lugar</w:t>
            </w:r>
          </w:p>
        </w:tc>
        <w:tc>
          <w:tcPr>
            <w:tcW w:w="2070" w:type="dxa"/>
            <w:shd w:val="clear" w:color="auto" w:fill="D9D2E9"/>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Fecha</w:t>
            </w:r>
          </w:p>
        </w:tc>
        <w:tc>
          <w:tcPr>
            <w:tcW w:w="2010" w:type="dxa"/>
            <w:shd w:val="clear" w:color="auto" w:fill="D9D2E9"/>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Hora</w:t>
            </w:r>
          </w:p>
        </w:tc>
      </w:tr>
      <w:tr w:rsidR="00EF61AC">
        <w:tc>
          <w:tcPr>
            <w:tcW w:w="5280" w:type="dxa"/>
            <w:shd w:val="clear" w:color="auto" w:fill="auto"/>
            <w:tcMar>
              <w:top w:w="100" w:type="dxa"/>
              <w:left w:w="100" w:type="dxa"/>
              <w:bottom w:w="100" w:type="dxa"/>
              <w:right w:w="100" w:type="dxa"/>
            </w:tcMar>
          </w:tcPr>
          <w:p w:rsidR="00EF61AC" w:rsidRDefault="000848A5">
            <w:pPr>
              <w:spacing w:line="240" w:lineRule="auto"/>
              <w:ind w:right="278"/>
              <w:jc w:val="both"/>
              <w:rPr>
                <w:rFonts w:ascii="Kanit" w:eastAsia="Kanit" w:hAnsi="Kanit" w:cs="Kanit"/>
                <w:sz w:val="20"/>
                <w:szCs w:val="20"/>
              </w:rPr>
            </w:pPr>
            <w:r>
              <w:rPr>
                <w:rFonts w:ascii="Kanit" w:eastAsia="Kanit" w:hAnsi="Kanit" w:cs="Kanit"/>
                <w:sz w:val="20"/>
                <w:szCs w:val="20"/>
              </w:rPr>
              <w:t>Primer piso del Centro Administrativo Tlajomulco, ubicado en calle Higuera #70, Centro, Tlajomulco de Zúñiga</w:t>
            </w:r>
          </w:p>
        </w:tc>
        <w:tc>
          <w:tcPr>
            <w:tcW w:w="207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rPr>
                <w:rFonts w:ascii="Kanit" w:eastAsia="Kanit" w:hAnsi="Kanit" w:cs="Kanit"/>
                <w:sz w:val="20"/>
                <w:szCs w:val="20"/>
              </w:rPr>
            </w:pPr>
            <w:r>
              <w:rPr>
                <w:rFonts w:ascii="Kanit" w:eastAsia="Kanit" w:hAnsi="Kanit" w:cs="Kanit"/>
                <w:sz w:val="20"/>
                <w:szCs w:val="20"/>
              </w:rPr>
              <w:t>6 al 9 de mayo 2025</w:t>
            </w:r>
          </w:p>
        </w:tc>
        <w:tc>
          <w:tcPr>
            <w:tcW w:w="201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rPr>
                <w:rFonts w:ascii="Kanit" w:eastAsia="Kanit" w:hAnsi="Kanit" w:cs="Kanit"/>
                <w:sz w:val="20"/>
                <w:szCs w:val="20"/>
              </w:rPr>
            </w:pPr>
            <w:r>
              <w:rPr>
                <w:rFonts w:ascii="Kanit" w:eastAsia="Kanit" w:hAnsi="Kanit" w:cs="Kanit"/>
                <w:sz w:val="20"/>
                <w:szCs w:val="20"/>
              </w:rPr>
              <w:t>10:00 a 16:00 horas</w:t>
            </w:r>
          </w:p>
        </w:tc>
      </w:tr>
      <w:tr w:rsidR="00EF61AC">
        <w:trPr>
          <w:trHeight w:val="1092"/>
        </w:trPr>
        <w:tc>
          <w:tcPr>
            <w:tcW w:w="528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rPr>
                <w:rFonts w:ascii="Kanit" w:eastAsia="Kanit" w:hAnsi="Kanit" w:cs="Kanit"/>
                <w:sz w:val="20"/>
                <w:szCs w:val="20"/>
              </w:rPr>
            </w:pPr>
            <w:r>
              <w:rPr>
                <w:rFonts w:ascii="Kanit" w:eastAsia="Kanit" w:hAnsi="Kanit" w:cs="Kanit"/>
                <w:sz w:val="20"/>
                <w:szCs w:val="20"/>
              </w:rPr>
              <w:t>Centro Administrativo de Tlajomulco, zona Valles, ubicado en  Av. Concepción 6125, 45654 Santa Cruz del Valle, Jal</w:t>
            </w:r>
          </w:p>
        </w:tc>
        <w:tc>
          <w:tcPr>
            <w:tcW w:w="2070" w:type="dxa"/>
            <w:shd w:val="clear" w:color="auto" w:fill="auto"/>
            <w:tcMar>
              <w:top w:w="100" w:type="dxa"/>
              <w:left w:w="100" w:type="dxa"/>
              <w:bottom w:w="100" w:type="dxa"/>
              <w:right w:w="100" w:type="dxa"/>
            </w:tcMar>
          </w:tcPr>
          <w:p w:rsidR="00EF61AC" w:rsidRDefault="000848A5">
            <w:pPr>
              <w:widowControl w:val="0"/>
              <w:spacing w:line="240" w:lineRule="auto"/>
              <w:rPr>
                <w:rFonts w:ascii="Kanit" w:eastAsia="Kanit" w:hAnsi="Kanit" w:cs="Kanit"/>
                <w:sz w:val="20"/>
                <w:szCs w:val="20"/>
              </w:rPr>
            </w:pPr>
            <w:r>
              <w:rPr>
                <w:rFonts w:ascii="Kanit" w:eastAsia="Kanit" w:hAnsi="Kanit" w:cs="Kanit"/>
                <w:sz w:val="20"/>
                <w:szCs w:val="20"/>
              </w:rPr>
              <w:t>6 al 10 de mayo 2025</w:t>
            </w:r>
          </w:p>
        </w:tc>
        <w:tc>
          <w:tcPr>
            <w:tcW w:w="201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rPr>
                <w:rFonts w:ascii="Kanit" w:eastAsia="Kanit" w:hAnsi="Kanit" w:cs="Kanit"/>
                <w:sz w:val="20"/>
                <w:szCs w:val="20"/>
              </w:rPr>
            </w:pPr>
            <w:r>
              <w:rPr>
                <w:rFonts w:ascii="Kanit" w:eastAsia="Kanit" w:hAnsi="Kanit" w:cs="Kanit"/>
                <w:sz w:val="20"/>
                <w:szCs w:val="20"/>
              </w:rPr>
              <w:t>10:00 a 15:00 horas</w:t>
            </w:r>
          </w:p>
        </w:tc>
      </w:tr>
    </w:tbl>
    <w:p w:rsidR="00EF61AC" w:rsidRDefault="000848A5">
      <w:pPr>
        <w:spacing w:line="240" w:lineRule="auto"/>
        <w:ind w:right="278"/>
        <w:jc w:val="both"/>
        <w:rPr>
          <w:rFonts w:ascii="Kanit" w:eastAsia="Kanit" w:hAnsi="Kanit" w:cs="Kanit"/>
        </w:rPr>
      </w:pPr>
      <w:r>
        <w:rPr>
          <w:rFonts w:ascii="Kanit" w:eastAsia="Kanit" w:hAnsi="Kanit" w:cs="Kanit"/>
        </w:rPr>
        <w:t xml:space="preserve">La documentación será revisada y validada por funcionariado público del Gobierno Municipal, mismo que podrá solicitar cambios o rechazar la documentación, con el fin de que </w:t>
      </w:r>
      <w:r>
        <w:rPr>
          <w:rFonts w:ascii="Kanit" w:eastAsia="Kanit" w:hAnsi="Kanit" w:cs="Kanit"/>
        </w:rPr>
        <w:lastRenderedPageBreak/>
        <w:t xml:space="preserve">esta cumpla con los requisitos establecidos en las presente Convocatoria, así como </w:t>
      </w:r>
      <w:r>
        <w:rPr>
          <w:rFonts w:ascii="Kanit" w:eastAsia="Kanit" w:hAnsi="Kanit" w:cs="Kanit"/>
        </w:rPr>
        <w:t xml:space="preserve">en las Reglas de Operación del Programa. </w:t>
      </w:r>
    </w:p>
    <w:p w:rsidR="00EF61AC" w:rsidRDefault="000848A5">
      <w:pPr>
        <w:spacing w:line="240" w:lineRule="auto"/>
        <w:ind w:right="278"/>
        <w:jc w:val="both"/>
        <w:rPr>
          <w:rFonts w:ascii="Kanit" w:eastAsia="Kanit" w:hAnsi="Kanit" w:cs="Kanit"/>
        </w:rPr>
      </w:pPr>
      <w:r>
        <w:rPr>
          <w:rFonts w:ascii="Kanit" w:eastAsia="Kanit" w:hAnsi="Kanit" w:cs="Kanit"/>
        </w:rPr>
        <w:t xml:space="preserve">A los expedientes que estén completos y validados, se les otorgará un folio de identificador que permita conformar la lista de preselección de personas beneficiarias, misma que será remitida al Comité dictaminador </w:t>
      </w:r>
      <w:r>
        <w:rPr>
          <w:rFonts w:ascii="Kanit" w:eastAsia="Kanit" w:hAnsi="Kanit" w:cs="Kanit"/>
        </w:rPr>
        <w:t xml:space="preserve">para la selección de beneficiarias. </w:t>
      </w:r>
    </w:p>
    <w:p w:rsidR="00EF61AC" w:rsidRDefault="00EF61AC">
      <w:pPr>
        <w:spacing w:line="240" w:lineRule="auto"/>
        <w:ind w:right="278"/>
        <w:jc w:val="both"/>
        <w:rPr>
          <w:rFonts w:ascii="Kanit" w:eastAsia="Kanit" w:hAnsi="Kanit" w:cs="Kanit"/>
          <w:sz w:val="20"/>
          <w:szCs w:val="20"/>
        </w:rPr>
      </w:pPr>
    </w:p>
    <w:p w:rsidR="00EF61AC" w:rsidRDefault="000848A5">
      <w:pPr>
        <w:numPr>
          <w:ilvl w:val="0"/>
          <w:numId w:val="6"/>
        </w:numPr>
        <w:spacing w:line="240" w:lineRule="auto"/>
        <w:ind w:right="278"/>
        <w:jc w:val="both"/>
        <w:rPr>
          <w:rFonts w:ascii="Kanit" w:eastAsia="Kanit" w:hAnsi="Kanit" w:cs="Kanit"/>
        </w:rPr>
      </w:pPr>
      <w:r>
        <w:rPr>
          <w:rFonts w:ascii="Kanit" w:eastAsia="Kanit" w:hAnsi="Kanit" w:cs="Kanit"/>
        </w:rPr>
        <w:t>Selección de personas beneficiarias</w:t>
      </w:r>
    </w:p>
    <w:p w:rsidR="00EF61AC" w:rsidRDefault="00EF61AC">
      <w:pPr>
        <w:spacing w:line="240" w:lineRule="auto"/>
        <w:ind w:left="720" w:right="278"/>
        <w:jc w:val="both"/>
        <w:rPr>
          <w:rFonts w:ascii="Kanit" w:eastAsia="Kanit" w:hAnsi="Kanit" w:cs="Kanit"/>
        </w:rPr>
      </w:pPr>
    </w:p>
    <w:p w:rsidR="00EF61AC" w:rsidRDefault="000848A5">
      <w:pPr>
        <w:spacing w:line="240" w:lineRule="auto"/>
        <w:ind w:right="278"/>
        <w:jc w:val="both"/>
        <w:rPr>
          <w:rFonts w:ascii="Kanit" w:eastAsia="Kanit" w:hAnsi="Kanit" w:cs="Kanit"/>
        </w:rPr>
      </w:pPr>
      <w:r>
        <w:rPr>
          <w:rFonts w:ascii="Kanit" w:eastAsia="Kanit" w:hAnsi="Kanit" w:cs="Kanit"/>
        </w:rPr>
        <w:t xml:space="preserve">Una vez conformada la lista de preselección por 370 (trescientas setenta)  personas solicitantes del apoyo, se dará por cerrado el proceso de recepción de solicitudes. </w:t>
      </w:r>
    </w:p>
    <w:p w:rsidR="00EF61AC" w:rsidRDefault="000848A5">
      <w:pPr>
        <w:spacing w:line="240" w:lineRule="auto"/>
        <w:ind w:right="278"/>
        <w:jc w:val="both"/>
        <w:rPr>
          <w:rFonts w:ascii="Kanit" w:eastAsia="Kanit" w:hAnsi="Kanit" w:cs="Kanit"/>
        </w:rPr>
      </w:pPr>
      <w:r>
        <w:rPr>
          <w:rFonts w:ascii="Kanit" w:eastAsia="Kanit" w:hAnsi="Kanit" w:cs="Kanit"/>
        </w:rPr>
        <w:t>El listado s</w:t>
      </w:r>
      <w:r>
        <w:rPr>
          <w:rFonts w:ascii="Kanit" w:eastAsia="Kanit" w:hAnsi="Kanit" w:cs="Kanit"/>
        </w:rPr>
        <w:t xml:space="preserve">erá remitido al Comité dictaminador del programa, en formato de prelación y haciendo anotaciones sobre los criterios de priorización de las personas solicitantes. </w:t>
      </w:r>
    </w:p>
    <w:p w:rsidR="00EF61AC" w:rsidRDefault="000848A5">
      <w:pPr>
        <w:spacing w:line="240" w:lineRule="auto"/>
        <w:ind w:right="278"/>
        <w:jc w:val="both"/>
        <w:rPr>
          <w:rFonts w:ascii="Kanit" w:eastAsia="Kanit" w:hAnsi="Kanit" w:cs="Kanit"/>
        </w:rPr>
      </w:pPr>
      <w:r>
        <w:rPr>
          <w:rFonts w:ascii="Kanit" w:eastAsia="Kanit" w:hAnsi="Kanit" w:cs="Kanit"/>
        </w:rPr>
        <w:t>El Comité está conformado por las personas titulares o suplentes de las siguientes instancia</w:t>
      </w:r>
      <w:r>
        <w:rPr>
          <w:rFonts w:ascii="Kanit" w:eastAsia="Kanit" w:hAnsi="Kanit" w:cs="Kanit"/>
        </w:rPr>
        <w:t xml:space="preserve">s municipales: </w:t>
      </w:r>
    </w:p>
    <w:p w:rsidR="00EF61AC" w:rsidRDefault="00EF61AC">
      <w:pPr>
        <w:spacing w:line="240" w:lineRule="auto"/>
        <w:ind w:right="278"/>
        <w:jc w:val="both"/>
        <w:rPr>
          <w:rFonts w:ascii="Kanit" w:eastAsia="Kanit" w:hAnsi="Kanit" w:cs="Kanit"/>
        </w:rPr>
      </w:pPr>
    </w:p>
    <w:p w:rsidR="00EF61AC" w:rsidRDefault="000848A5">
      <w:pPr>
        <w:numPr>
          <w:ilvl w:val="0"/>
          <w:numId w:val="7"/>
        </w:numPr>
        <w:spacing w:line="240" w:lineRule="auto"/>
        <w:ind w:right="278"/>
        <w:jc w:val="both"/>
        <w:rPr>
          <w:rFonts w:ascii="Kanit" w:eastAsia="Kanit" w:hAnsi="Kanit" w:cs="Kanit"/>
        </w:rPr>
      </w:pPr>
      <w:r>
        <w:rPr>
          <w:rFonts w:ascii="Kanit" w:eastAsia="Kanit" w:hAnsi="Kanit" w:cs="Kanit"/>
        </w:rPr>
        <w:t>Coordinación General de Cercanía y Corresponsabilidad Social, quien contará con voz y voto;</w:t>
      </w:r>
    </w:p>
    <w:p w:rsidR="00EF61AC" w:rsidRDefault="000848A5">
      <w:pPr>
        <w:numPr>
          <w:ilvl w:val="0"/>
          <w:numId w:val="7"/>
        </w:numPr>
        <w:spacing w:line="240" w:lineRule="auto"/>
        <w:ind w:right="278"/>
        <w:jc w:val="both"/>
        <w:rPr>
          <w:rFonts w:ascii="Kanit" w:eastAsia="Kanit" w:hAnsi="Kanit" w:cs="Kanit"/>
        </w:rPr>
      </w:pPr>
      <w:r>
        <w:rPr>
          <w:rFonts w:ascii="Kanit" w:eastAsia="Kanit" w:hAnsi="Kanit" w:cs="Kanit"/>
        </w:rPr>
        <w:t xml:space="preserve">Tesorería Municipal, quien contará con voz y voto; </w:t>
      </w:r>
    </w:p>
    <w:p w:rsidR="00EF61AC" w:rsidRDefault="000848A5">
      <w:pPr>
        <w:numPr>
          <w:ilvl w:val="0"/>
          <w:numId w:val="7"/>
        </w:numPr>
        <w:spacing w:line="240" w:lineRule="auto"/>
        <w:ind w:right="278"/>
        <w:jc w:val="both"/>
        <w:rPr>
          <w:rFonts w:ascii="Kanit" w:eastAsia="Kanit" w:hAnsi="Kanit" w:cs="Kanit"/>
        </w:rPr>
      </w:pPr>
      <w:r>
        <w:rPr>
          <w:rFonts w:ascii="Kanit" w:eastAsia="Kanit" w:hAnsi="Kanit" w:cs="Kanit"/>
        </w:rPr>
        <w:t>Comisión Edilicia de la Igualdad de Género y Diversidad Sexual, quien contará con voz y voto;</w:t>
      </w:r>
    </w:p>
    <w:p w:rsidR="00EF61AC" w:rsidRDefault="000848A5">
      <w:pPr>
        <w:numPr>
          <w:ilvl w:val="0"/>
          <w:numId w:val="7"/>
        </w:numPr>
        <w:spacing w:line="240" w:lineRule="auto"/>
        <w:ind w:right="278"/>
        <w:jc w:val="both"/>
        <w:rPr>
          <w:rFonts w:ascii="Kanit" w:eastAsia="Kanit" w:hAnsi="Kanit" w:cs="Kanit"/>
        </w:rPr>
      </w:pPr>
      <w:r>
        <w:rPr>
          <w:rFonts w:ascii="Kanit" w:eastAsia="Kanit" w:hAnsi="Kanit" w:cs="Kanit"/>
        </w:rPr>
        <w:t>Sistema Integral para el Desarrollo de la Familia del Municipio de Tlajomulco de Zúñiga, quien contará con voz y voto;</w:t>
      </w:r>
    </w:p>
    <w:p w:rsidR="00EF61AC" w:rsidRDefault="000848A5">
      <w:pPr>
        <w:numPr>
          <w:ilvl w:val="0"/>
          <w:numId w:val="7"/>
        </w:numPr>
        <w:spacing w:line="240" w:lineRule="auto"/>
        <w:ind w:right="278"/>
        <w:jc w:val="both"/>
        <w:rPr>
          <w:rFonts w:ascii="Kanit" w:eastAsia="Kanit" w:hAnsi="Kanit" w:cs="Kanit"/>
        </w:rPr>
      </w:pPr>
      <w:r>
        <w:rPr>
          <w:rFonts w:ascii="Kanit" w:eastAsia="Kanit" w:hAnsi="Kanit" w:cs="Kanit"/>
        </w:rPr>
        <w:t>Centro de Estimulación para Personas con Discapacidad Intelectual, quien contará con voz y voto;</w:t>
      </w:r>
    </w:p>
    <w:p w:rsidR="00EF61AC" w:rsidRDefault="000848A5">
      <w:pPr>
        <w:numPr>
          <w:ilvl w:val="0"/>
          <w:numId w:val="7"/>
        </w:numPr>
        <w:spacing w:line="240" w:lineRule="auto"/>
        <w:ind w:right="278"/>
        <w:jc w:val="both"/>
        <w:rPr>
          <w:rFonts w:ascii="Kanit" w:eastAsia="Kanit" w:hAnsi="Kanit" w:cs="Kanit"/>
        </w:rPr>
      </w:pPr>
      <w:r>
        <w:rPr>
          <w:rFonts w:ascii="Kanit" w:eastAsia="Kanit" w:hAnsi="Kanit" w:cs="Kanit"/>
        </w:rPr>
        <w:t>Jefatura de Sistema de Cuidados, quien c</w:t>
      </w:r>
      <w:r>
        <w:rPr>
          <w:rFonts w:ascii="Kanit" w:eastAsia="Kanit" w:hAnsi="Kanit" w:cs="Kanit"/>
        </w:rPr>
        <w:t>ontará con voz y voto;</w:t>
      </w:r>
    </w:p>
    <w:p w:rsidR="00EF61AC" w:rsidRDefault="000848A5">
      <w:pPr>
        <w:numPr>
          <w:ilvl w:val="0"/>
          <w:numId w:val="7"/>
        </w:numPr>
        <w:spacing w:line="240" w:lineRule="auto"/>
        <w:ind w:right="278"/>
        <w:jc w:val="both"/>
        <w:rPr>
          <w:rFonts w:ascii="Kanit" w:eastAsia="Kanit" w:hAnsi="Kanit" w:cs="Kanit"/>
        </w:rPr>
      </w:pPr>
      <w:r>
        <w:rPr>
          <w:rFonts w:ascii="Kanit" w:eastAsia="Kanit" w:hAnsi="Kanit" w:cs="Kanit"/>
        </w:rPr>
        <w:t>Jefatura Jurídica de la Coordinación General de Cercanía y Corresponsabilidad Social, quien contará con voz y voto; y</w:t>
      </w:r>
    </w:p>
    <w:p w:rsidR="00EF61AC" w:rsidRDefault="000848A5">
      <w:pPr>
        <w:numPr>
          <w:ilvl w:val="0"/>
          <w:numId w:val="7"/>
        </w:numPr>
        <w:spacing w:line="240" w:lineRule="auto"/>
        <w:ind w:right="278"/>
        <w:jc w:val="both"/>
        <w:rPr>
          <w:rFonts w:ascii="Kanit" w:eastAsia="Kanit" w:hAnsi="Kanit" w:cs="Kanit"/>
        </w:rPr>
      </w:pPr>
      <w:r>
        <w:rPr>
          <w:rFonts w:ascii="Kanit" w:eastAsia="Kanit" w:hAnsi="Kanit" w:cs="Kanit"/>
        </w:rPr>
        <w:t xml:space="preserve">Contraloría del Municipio de Tlajomulco, quien contará con voz y voto. </w:t>
      </w:r>
    </w:p>
    <w:p w:rsidR="00EF61AC" w:rsidRDefault="00EF61AC">
      <w:pPr>
        <w:spacing w:line="240" w:lineRule="auto"/>
        <w:ind w:right="278"/>
        <w:jc w:val="both"/>
        <w:rPr>
          <w:rFonts w:ascii="Kanit" w:eastAsia="Kanit" w:hAnsi="Kanit" w:cs="Kanit"/>
          <w:sz w:val="20"/>
          <w:szCs w:val="20"/>
        </w:rPr>
      </w:pPr>
    </w:p>
    <w:p w:rsidR="00EF61AC" w:rsidRDefault="000848A5">
      <w:pPr>
        <w:spacing w:line="240" w:lineRule="auto"/>
        <w:ind w:right="278"/>
        <w:jc w:val="both"/>
        <w:rPr>
          <w:rFonts w:ascii="Kanit" w:eastAsia="Kanit" w:hAnsi="Kanit" w:cs="Kanit"/>
        </w:rPr>
      </w:pPr>
      <w:r>
        <w:rPr>
          <w:rFonts w:ascii="Kanit" w:eastAsia="Kanit" w:hAnsi="Kanit" w:cs="Kanit"/>
        </w:rPr>
        <w:t>El proceso de validación del Comité se rea</w:t>
      </w:r>
      <w:r>
        <w:rPr>
          <w:rFonts w:ascii="Kanit" w:eastAsia="Kanit" w:hAnsi="Kanit" w:cs="Kanit"/>
        </w:rPr>
        <w:t>lizará mediante una sesión del comité en la cual se realizará la aprobación de los expedientes que cumplieron con los requisitos, mismo que quedará plasmado en una acta de sesión.</w:t>
      </w:r>
    </w:p>
    <w:p w:rsidR="00EF61AC" w:rsidRDefault="000848A5">
      <w:pPr>
        <w:spacing w:line="240" w:lineRule="auto"/>
        <w:ind w:right="278"/>
        <w:jc w:val="both"/>
        <w:rPr>
          <w:rFonts w:ascii="Kanit" w:eastAsia="Kanit" w:hAnsi="Kanit" w:cs="Kanit"/>
        </w:rPr>
      </w:pPr>
      <w:r>
        <w:rPr>
          <w:rFonts w:ascii="Kanit" w:eastAsia="Kanit" w:hAnsi="Kanit" w:cs="Kanit"/>
        </w:rPr>
        <w:t>Se notificará a las personas seleccionadas por el comité, que han sido benef</w:t>
      </w:r>
      <w:r>
        <w:rPr>
          <w:rFonts w:ascii="Kanit" w:eastAsia="Kanit" w:hAnsi="Kanit" w:cs="Kanit"/>
        </w:rPr>
        <w:t xml:space="preserve">iciadas por el “Programa” por alguno de los medios de contacto establecidos para ello. Así mismo, las personas que no hayan sido beneficiadas, serán notificadas por el mismo medio y explicando las razones por las cuales se tomó dicha decisión. </w:t>
      </w:r>
    </w:p>
    <w:p w:rsidR="00EF61AC" w:rsidRDefault="00EF61AC">
      <w:pPr>
        <w:spacing w:line="240" w:lineRule="auto"/>
        <w:ind w:right="278"/>
        <w:jc w:val="both"/>
        <w:rPr>
          <w:rFonts w:ascii="Kanit" w:eastAsia="Kanit" w:hAnsi="Kanit" w:cs="Kanit"/>
        </w:rPr>
      </w:pPr>
    </w:p>
    <w:p w:rsidR="00EF61AC" w:rsidRDefault="000848A5">
      <w:pPr>
        <w:numPr>
          <w:ilvl w:val="0"/>
          <w:numId w:val="6"/>
        </w:numPr>
        <w:spacing w:line="240" w:lineRule="auto"/>
        <w:ind w:right="278"/>
        <w:jc w:val="both"/>
        <w:rPr>
          <w:rFonts w:ascii="Kanit" w:eastAsia="Kanit" w:hAnsi="Kanit" w:cs="Kanit"/>
        </w:rPr>
      </w:pPr>
      <w:r>
        <w:rPr>
          <w:rFonts w:ascii="Kanit" w:eastAsia="Kanit" w:hAnsi="Kanit" w:cs="Kanit"/>
        </w:rPr>
        <w:t xml:space="preserve"> Diagrama </w:t>
      </w:r>
      <w:r>
        <w:rPr>
          <w:rFonts w:ascii="Kanit" w:eastAsia="Kanit" w:hAnsi="Kanit" w:cs="Kanit"/>
        </w:rPr>
        <w:t>de flujo del proceso</w:t>
      </w:r>
    </w:p>
    <w:p w:rsidR="00EF61AC" w:rsidRDefault="000848A5">
      <w:pPr>
        <w:spacing w:line="240" w:lineRule="auto"/>
        <w:ind w:right="278"/>
        <w:jc w:val="center"/>
        <w:rPr>
          <w:rFonts w:ascii="Kanit" w:eastAsia="Kanit" w:hAnsi="Kanit" w:cs="Kanit"/>
          <w:sz w:val="20"/>
          <w:szCs w:val="20"/>
        </w:rPr>
      </w:pPr>
      <w:r>
        <w:rPr>
          <w:rFonts w:ascii="Kanit" w:eastAsia="Kanit" w:hAnsi="Kanit" w:cs="Kanit"/>
          <w:noProof/>
          <w:sz w:val="20"/>
          <w:szCs w:val="20"/>
        </w:rPr>
        <w:lastRenderedPageBreak/>
        <mc:AlternateContent>
          <mc:Choice Requires="wpg">
            <w:drawing>
              <wp:inline distT="114300" distB="114300" distL="114300" distR="114300">
                <wp:extent cx="5730848" cy="3672586"/>
                <wp:effectExtent l="0" t="0" r="0" b="0"/>
                <wp:docPr id="1" name="Grupo 1"/>
                <wp:cNvGraphicFramePr/>
                <a:graphic xmlns:a="http://schemas.openxmlformats.org/drawingml/2006/main">
                  <a:graphicData uri="http://schemas.microsoft.com/office/word/2010/wordprocessingGroup">
                    <wpg:wgp>
                      <wpg:cNvGrpSpPr/>
                      <wpg:grpSpPr>
                        <a:xfrm>
                          <a:off x="0" y="0"/>
                          <a:ext cx="5730848" cy="3672586"/>
                          <a:chOff x="0" y="205425"/>
                          <a:chExt cx="7578350" cy="4829050"/>
                        </a:xfrm>
                      </wpg:grpSpPr>
                      <wps:wsp>
                        <wps:cNvPr id="2" name="Cuadro de texto 2"/>
                        <wps:cNvSpPr txBox="1"/>
                        <wps:spPr>
                          <a:xfrm>
                            <a:off x="5365242" y="371974"/>
                            <a:ext cx="1636800" cy="783900"/>
                          </a:xfrm>
                          <a:prstGeom prst="rect">
                            <a:avLst/>
                          </a:prstGeom>
                          <a:noFill/>
                          <a:ln>
                            <a:noFill/>
                          </a:ln>
                        </wps:spPr>
                        <wps:txbx>
                          <w:txbxContent>
                            <w:p w:rsidR="00EF61AC" w:rsidRDefault="00EF61AC">
                              <w:pPr>
                                <w:spacing w:line="240" w:lineRule="auto"/>
                                <w:textDirection w:val="btLr"/>
                              </w:pPr>
                            </w:p>
                          </w:txbxContent>
                        </wps:txbx>
                        <wps:bodyPr spcFirstLastPara="1" wrap="square" lIns="91425" tIns="91425" rIns="91425" bIns="91425" anchor="t" anchorCtr="0">
                          <a:noAutofit/>
                        </wps:bodyPr>
                      </wps:wsp>
                      <wps:wsp>
                        <wps:cNvPr id="3" name="Cuadro de texto 3"/>
                        <wps:cNvSpPr txBox="1"/>
                        <wps:spPr>
                          <a:xfrm>
                            <a:off x="128723" y="314588"/>
                            <a:ext cx="2334000" cy="702900"/>
                          </a:xfrm>
                          <a:prstGeom prst="rect">
                            <a:avLst/>
                          </a:prstGeom>
                          <a:noFill/>
                          <a:ln>
                            <a:noFill/>
                          </a:ln>
                        </wps:spPr>
                        <wps:txbx>
                          <w:txbxContent>
                            <w:p w:rsidR="00EF61AC" w:rsidRDefault="000848A5">
                              <w:pPr>
                                <w:spacing w:line="240" w:lineRule="auto"/>
                                <w:jc w:val="center"/>
                                <w:textDirection w:val="btLr"/>
                              </w:pPr>
                              <w:r>
                                <w:rPr>
                                  <w:rFonts w:ascii="Kanit" w:eastAsia="Kanit" w:hAnsi="Kanit" w:cs="Kanit"/>
                                  <w:color w:val="000000"/>
                                  <w:sz w:val="24"/>
                                </w:rPr>
                                <w:t>Coordinación General de Cercanía y Corresponsabilidad Social</w:t>
                              </w:r>
                            </w:p>
                          </w:txbxContent>
                        </wps:txbx>
                        <wps:bodyPr spcFirstLastPara="1" wrap="square" lIns="91425" tIns="91425" rIns="91425" bIns="91425" anchor="t" anchorCtr="0">
                          <a:noAutofit/>
                        </wps:bodyPr>
                      </wps:wsp>
                      <wps:wsp>
                        <wps:cNvPr id="4" name="Cuadro de texto 4"/>
                        <wps:cNvSpPr txBox="1"/>
                        <wps:spPr>
                          <a:xfrm>
                            <a:off x="5290580" y="337647"/>
                            <a:ext cx="2094900" cy="689400"/>
                          </a:xfrm>
                          <a:prstGeom prst="rect">
                            <a:avLst/>
                          </a:prstGeom>
                          <a:noFill/>
                          <a:ln>
                            <a:noFill/>
                          </a:ln>
                        </wps:spPr>
                        <wps:txbx>
                          <w:txbxContent>
                            <w:p w:rsidR="00EF61AC" w:rsidRDefault="000848A5">
                              <w:pPr>
                                <w:spacing w:line="240" w:lineRule="auto"/>
                                <w:jc w:val="center"/>
                                <w:textDirection w:val="btLr"/>
                              </w:pPr>
                              <w:r>
                                <w:rPr>
                                  <w:rFonts w:ascii="Kanit" w:eastAsia="Kanit" w:hAnsi="Kanit" w:cs="Kanit"/>
                                  <w:color w:val="000000"/>
                                  <w:sz w:val="26"/>
                                </w:rPr>
                                <w:t>Comité Dictaminador del programa</w:t>
                              </w:r>
                            </w:p>
                          </w:txbxContent>
                        </wps:txbx>
                        <wps:bodyPr spcFirstLastPara="1" wrap="square" lIns="91425" tIns="91425" rIns="91425" bIns="91425" anchor="t" anchorCtr="0">
                          <a:noAutofit/>
                        </wps:bodyPr>
                      </wps:wsp>
                      <wps:wsp>
                        <wps:cNvPr id="5" name="Cuadro de texto 5"/>
                        <wps:cNvSpPr txBox="1"/>
                        <wps:spPr>
                          <a:xfrm>
                            <a:off x="2904375" y="290400"/>
                            <a:ext cx="1982700" cy="783900"/>
                          </a:xfrm>
                          <a:prstGeom prst="rect">
                            <a:avLst/>
                          </a:prstGeom>
                          <a:noFill/>
                          <a:ln>
                            <a:noFill/>
                          </a:ln>
                        </wps:spPr>
                        <wps:txbx>
                          <w:txbxContent>
                            <w:p w:rsidR="00EF61AC" w:rsidRDefault="000848A5">
                              <w:pPr>
                                <w:spacing w:line="240" w:lineRule="auto"/>
                                <w:jc w:val="center"/>
                                <w:textDirection w:val="btLr"/>
                              </w:pPr>
                              <w:r>
                                <w:rPr>
                                  <w:rFonts w:ascii="Kanit" w:eastAsia="Kanit" w:hAnsi="Kanit" w:cs="Kanit"/>
                                  <w:color w:val="000000"/>
                                  <w:sz w:val="24"/>
                                </w:rPr>
                                <w:t>Presidencia Municipal, Cabildo y/o Secretaría General.</w:t>
                              </w:r>
                            </w:p>
                          </w:txbxContent>
                        </wps:txbx>
                        <wps:bodyPr spcFirstLastPara="1" wrap="square" lIns="91425" tIns="91425" rIns="91425" bIns="91425" anchor="t" anchorCtr="0">
                          <a:noAutofit/>
                        </wps:bodyPr>
                      </wps:wsp>
                      <wps:wsp>
                        <wps:cNvPr id="6" name="Rectángulo redondeado 6"/>
                        <wps:cNvSpPr/>
                        <wps:spPr>
                          <a:xfrm>
                            <a:off x="2955944" y="1917250"/>
                            <a:ext cx="1722000" cy="659700"/>
                          </a:xfrm>
                          <a:prstGeom prst="roundRect">
                            <a:avLst>
                              <a:gd name="adj" fmla="val 16667"/>
                            </a:avLst>
                          </a:prstGeom>
                          <a:solidFill>
                            <a:srgbClr val="FCE5CD"/>
                          </a:solidFill>
                          <a:ln w="9525" cap="flat" cmpd="sng">
                            <a:solidFill>
                              <a:srgbClr val="000000"/>
                            </a:solidFill>
                            <a:prstDash val="solid"/>
                            <a:round/>
                            <a:headEnd type="none" w="sm" len="sm"/>
                            <a:tailEnd type="none" w="sm" len="sm"/>
                          </a:ln>
                        </wps:spPr>
                        <wps:txbx>
                          <w:txbxContent>
                            <w:p w:rsidR="00EF61AC" w:rsidRDefault="00EF61AC">
                              <w:pPr>
                                <w:spacing w:line="240" w:lineRule="auto"/>
                                <w:jc w:val="center"/>
                                <w:textDirection w:val="btLr"/>
                              </w:pPr>
                            </w:p>
                          </w:txbxContent>
                        </wps:txbx>
                        <wps:bodyPr spcFirstLastPara="1" wrap="square" lIns="91425" tIns="91425" rIns="91425" bIns="91425" anchor="ctr" anchorCtr="0">
                          <a:noAutofit/>
                        </wps:bodyPr>
                      </wps:wsp>
                      <wps:wsp>
                        <wps:cNvPr id="7" name="Cuadro de texto 7"/>
                        <wps:cNvSpPr txBox="1"/>
                        <wps:spPr>
                          <a:xfrm>
                            <a:off x="2955975" y="1929826"/>
                            <a:ext cx="1722000" cy="662100"/>
                          </a:xfrm>
                          <a:prstGeom prst="rect">
                            <a:avLst/>
                          </a:prstGeom>
                          <a:noFill/>
                          <a:ln>
                            <a:noFill/>
                          </a:ln>
                        </wps:spPr>
                        <wps:txbx>
                          <w:txbxContent>
                            <w:p w:rsidR="00EF61AC" w:rsidRDefault="000848A5">
                              <w:pPr>
                                <w:spacing w:line="240" w:lineRule="auto"/>
                                <w:jc w:val="center"/>
                                <w:textDirection w:val="btLr"/>
                              </w:pPr>
                              <w:r>
                                <w:rPr>
                                  <w:rFonts w:ascii="Kanit" w:eastAsia="Kanit" w:hAnsi="Kanit" w:cs="Kanit"/>
                                  <w:color w:val="000000"/>
                                </w:rPr>
                                <w:t xml:space="preserve">Publicación </w:t>
                              </w:r>
                              <w:r>
                                <w:rPr>
                                  <w:rFonts w:ascii="Kanit" w:eastAsia="Kanit" w:hAnsi="Kanit" w:cs="Kanit"/>
                                  <w:color w:val="000000"/>
                                </w:rPr>
                                <w:t>de la convocatoria pública del programa</w:t>
                              </w:r>
                            </w:p>
                          </w:txbxContent>
                        </wps:txbx>
                        <wps:bodyPr spcFirstLastPara="1" wrap="square" lIns="91425" tIns="91425" rIns="91425" bIns="91425" anchor="t" anchorCtr="0">
                          <a:noAutofit/>
                        </wps:bodyPr>
                      </wps:wsp>
                      <wps:wsp>
                        <wps:cNvPr id="8" name="Rectángulo redondeado 8"/>
                        <wps:cNvSpPr/>
                        <wps:spPr>
                          <a:xfrm>
                            <a:off x="215425" y="1074300"/>
                            <a:ext cx="2334000" cy="487200"/>
                          </a:xfrm>
                          <a:prstGeom prst="roundRect">
                            <a:avLst>
                              <a:gd name="adj" fmla="val 16667"/>
                            </a:avLst>
                          </a:prstGeom>
                          <a:solidFill>
                            <a:srgbClr val="D9D2E9"/>
                          </a:solidFill>
                          <a:ln w="9525" cap="flat" cmpd="sng">
                            <a:solidFill>
                              <a:srgbClr val="000000"/>
                            </a:solidFill>
                            <a:prstDash val="solid"/>
                            <a:round/>
                            <a:headEnd type="none" w="sm" len="sm"/>
                            <a:tailEnd type="none" w="sm" len="sm"/>
                          </a:ln>
                        </wps:spPr>
                        <wps:txbx>
                          <w:txbxContent>
                            <w:p w:rsidR="00EF61AC" w:rsidRDefault="000848A5">
                              <w:pPr>
                                <w:spacing w:line="240" w:lineRule="auto"/>
                                <w:jc w:val="center"/>
                                <w:textDirection w:val="btLr"/>
                              </w:pPr>
                              <w:r>
                                <w:rPr>
                                  <w:rFonts w:ascii="Kanit" w:eastAsia="Kanit" w:hAnsi="Kanit" w:cs="Kanit"/>
                                  <w:color w:val="000000"/>
                                </w:rPr>
                                <w:t>Generación de las Reglas de Operación del Programa (ROP)</w:t>
                              </w:r>
                            </w:p>
                          </w:txbxContent>
                        </wps:txbx>
                        <wps:bodyPr spcFirstLastPara="1" wrap="square" lIns="91425" tIns="91425" rIns="91425" bIns="91425" anchor="ctr" anchorCtr="0">
                          <a:noAutofit/>
                        </wps:bodyPr>
                      </wps:wsp>
                      <wps:wsp>
                        <wps:cNvPr id="9" name="Rectángulo redondeado 9"/>
                        <wps:cNvSpPr/>
                        <wps:spPr>
                          <a:xfrm>
                            <a:off x="2998538" y="1074300"/>
                            <a:ext cx="1636800" cy="487200"/>
                          </a:xfrm>
                          <a:prstGeom prst="roundRect">
                            <a:avLst>
                              <a:gd name="adj" fmla="val 16667"/>
                            </a:avLst>
                          </a:prstGeom>
                          <a:solidFill>
                            <a:srgbClr val="FCE5CD"/>
                          </a:solidFill>
                          <a:ln w="9525" cap="flat" cmpd="sng">
                            <a:solidFill>
                              <a:srgbClr val="000000"/>
                            </a:solidFill>
                            <a:prstDash val="solid"/>
                            <a:round/>
                            <a:headEnd type="none" w="sm" len="sm"/>
                            <a:tailEnd type="none" w="sm" len="sm"/>
                          </a:ln>
                        </wps:spPr>
                        <wps:txbx>
                          <w:txbxContent>
                            <w:p w:rsidR="00EF61AC" w:rsidRDefault="000848A5">
                              <w:pPr>
                                <w:spacing w:line="240" w:lineRule="auto"/>
                                <w:jc w:val="center"/>
                                <w:textDirection w:val="btLr"/>
                              </w:pPr>
                              <w:r>
                                <w:rPr>
                                  <w:rFonts w:ascii="Kanit" w:eastAsia="Kanit" w:hAnsi="Kanit" w:cs="Kanit"/>
                                  <w:color w:val="000000"/>
                                </w:rPr>
                                <w:t>Aprobación de las ROP</w:t>
                              </w:r>
                            </w:p>
                          </w:txbxContent>
                        </wps:txbx>
                        <wps:bodyPr spcFirstLastPara="1" wrap="square" lIns="91425" tIns="91425" rIns="91425" bIns="91425" anchor="ctr" anchorCtr="0">
                          <a:noAutofit/>
                        </wps:bodyPr>
                      </wps:wsp>
                      <wps:wsp>
                        <wps:cNvPr id="10" name="Conector recto de flecha 10"/>
                        <wps:cNvCnPr/>
                        <wps:spPr>
                          <a:xfrm>
                            <a:off x="2549425" y="1317900"/>
                            <a:ext cx="449100" cy="0"/>
                          </a:xfrm>
                          <a:prstGeom prst="straightConnector1">
                            <a:avLst/>
                          </a:prstGeom>
                          <a:noFill/>
                          <a:ln w="19050" cap="flat" cmpd="sng">
                            <a:solidFill>
                              <a:srgbClr val="000000"/>
                            </a:solidFill>
                            <a:prstDash val="solid"/>
                            <a:round/>
                            <a:headEnd type="none" w="med" len="med"/>
                            <a:tailEnd type="triangle" w="med" len="med"/>
                          </a:ln>
                        </wps:spPr>
                        <wps:bodyPr/>
                      </wps:wsp>
                      <wps:wsp>
                        <wps:cNvPr id="11" name="Rectángulo redondeado 11"/>
                        <wps:cNvSpPr/>
                        <wps:spPr>
                          <a:xfrm>
                            <a:off x="278425" y="1999700"/>
                            <a:ext cx="2034600" cy="487200"/>
                          </a:xfrm>
                          <a:prstGeom prst="roundRect">
                            <a:avLst>
                              <a:gd name="adj" fmla="val 16667"/>
                            </a:avLst>
                          </a:prstGeom>
                          <a:solidFill>
                            <a:srgbClr val="D9D2E9"/>
                          </a:solidFill>
                          <a:ln w="9525" cap="flat" cmpd="sng">
                            <a:solidFill>
                              <a:srgbClr val="000000"/>
                            </a:solidFill>
                            <a:prstDash val="solid"/>
                            <a:round/>
                            <a:headEnd type="none" w="sm" len="sm"/>
                            <a:tailEnd type="none" w="sm" len="sm"/>
                          </a:ln>
                        </wps:spPr>
                        <wps:txbx>
                          <w:txbxContent>
                            <w:p w:rsidR="00EF61AC" w:rsidRDefault="000848A5">
                              <w:pPr>
                                <w:spacing w:line="240" w:lineRule="auto"/>
                                <w:jc w:val="center"/>
                                <w:textDirection w:val="btLr"/>
                              </w:pPr>
                              <w:r>
                                <w:rPr>
                                  <w:rFonts w:ascii="Kanit" w:eastAsia="Kanit" w:hAnsi="Kanit" w:cs="Kanit"/>
                                  <w:color w:val="000000"/>
                                  <w:sz w:val="20"/>
                                </w:rPr>
                                <w:t>Difusión de la convocatoria Pública</w:t>
                              </w:r>
                            </w:p>
                          </w:txbxContent>
                        </wps:txbx>
                        <wps:bodyPr spcFirstLastPara="1" wrap="square" lIns="91425" tIns="91425" rIns="91425" bIns="91425" anchor="ctr" anchorCtr="0">
                          <a:noAutofit/>
                        </wps:bodyPr>
                      </wps:wsp>
                      <wps:wsp>
                        <wps:cNvPr id="12" name="Conector recto de flecha 12"/>
                        <wps:cNvCnPr/>
                        <wps:spPr>
                          <a:xfrm>
                            <a:off x="3816938" y="1561500"/>
                            <a:ext cx="0" cy="368400"/>
                          </a:xfrm>
                          <a:prstGeom prst="straightConnector1">
                            <a:avLst/>
                          </a:prstGeom>
                          <a:noFill/>
                          <a:ln w="19050" cap="flat" cmpd="sng">
                            <a:solidFill>
                              <a:srgbClr val="000000"/>
                            </a:solidFill>
                            <a:prstDash val="solid"/>
                            <a:round/>
                            <a:headEnd type="none" w="med" len="med"/>
                            <a:tailEnd type="triangle" w="med" len="med"/>
                          </a:ln>
                        </wps:spPr>
                        <wps:bodyPr/>
                      </wps:wsp>
                      <wps:wsp>
                        <wps:cNvPr id="13" name="Conector recto de flecha 13"/>
                        <wps:cNvCnPr/>
                        <wps:spPr>
                          <a:xfrm rot="10800000">
                            <a:off x="2313075" y="2243176"/>
                            <a:ext cx="642900" cy="17700"/>
                          </a:xfrm>
                          <a:prstGeom prst="straightConnector1">
                            <a:avLst/>
                          </a:prstGeom>
                          <a:noFill/>
                          <a:ln w="19050" cap="flat" cmpd="sng">
                            <a:solidFill>
                              <a:srgbClr val="000000"/>
                            </a:solidFill>
                            <a:prstDash val="solid"/>
                            <a:round/>
                            <a:headEnd type="none" w="med" len="med"/>
                            <a:tailEnd type="triangle" w="med" len="med"/>
                          </a:ln>
                        </wps:spPr>
                        <wps:bodyPr/>
                      </wps:wsp>
                      <wps:wsp>
                        <wps:cNvPr id="14" name="Rectángulo redondeado 14"/>
                        <wps:cNvSpPr/>
                        <wps:spPr>
                          <a:xfrm>
                            <a:off x="278425" y="2752925"/>
                            <a:ext cx="2034600" cy="702900"/>
                          </a:xfrm>
                          <a:prstGeom prst="roundRect">
                            <a:avLst>
                              <a:gd name="adj" fmla="val 16667"/>
                            </a:avLst>
                          </a:prstGeom>
                          <a:solidFill>
                            <a:srgbClr val="D9D2E9"/>
                          </a:solidFill>
                          <a:ln w="9525" cap="flat" cmpd="sng">
                            <a:solidFill>
                              <a:srgbClr val="000000"/>
                            </a:solidFill>
                            <a:prstDash val="solid"/>
                            <a:round/>
                            <a:headEnd type="none" w="sm" len="sm"/>
                            <a:tailEnd type="none" w="sm" len="sm"/>
                          </a:ln>
                        </wps:spPr>
                        <wps:txbx>
                          <w:txbxContent>
                            <w:p w:rsidR="00EF61AC" w:rsidRDefault="000848A5">
                              <w:pPr>
                                <w:spacing w:line="240" w:lineRule="auto"/>
                                <w:jc w:val="center"/>
                                <w:textDirection w:val="btLr"/>
                              </w:pPr>
                              <w:r>
                                <w:rPr>
                                  <w:rFonts w:ascii="Kanit" w:eastAsia="Kanit" w:hAnsi="Kanit" w:cs="Kanit"/>
                                  <w:color w:val="000000"/>
                                  <w:sz w:val="20"/>
                                </w:rPr>
                                <w:t>Recepción de solicitudes y generación de listado de preselección de personas beneficiarias</w:t>
                              </w:r>
                            </w:p>
                          </w:txbxContent>
                        </wps:txbx>
                        <wps:bodyPr spcFirstLastPara="1" wrap="square" lIns="91425" tIns="91425" rIns="91425" bIns="91425" anchor="ctr" anchorCtr="0">
                          <a:noAutofit/>
                        </wps:bodyPr>
                      </wps:wsp>
                      <wps:wsp>
                        <wps:cNvPr id="15" name="Conector recto de flecha 15"/>
                        <wps:cNvCnPr/>
                        <wps:spPr>
                          <a:xfrm>
                            <a:off x="1295725" y="2486900"/>
                            <a:ext cx="0" cy="266100"/>
                          </a:xfrm>
                          <a:prstGeom prst="straightConnector1">
                            <a:avLst/>
                          </a:prstGeom>
                          <a:noFill/>
                          <a:ln w="19050" cap="flat" cmpd="sng">
                            <a:solidFill>
                              <a:srgbClr val="000000"/>
                            </a:solidFill>
                            <a:prstDash val="solid"/>
                            <a:round/>
                            <a:headEnd type="none" w="med" len="med"/>
                            <a:tailEnd type="triangle" w="med" len="med"/>
                          </a:ln>
                        </wps:spPr>
                        <wps:bodyPr/>
                      </wps:wsp>
                      <wps:wsp>
                        <wps:cNvPr id="16" name="Rectángulo redondeado 16"/>
                        <wps:cNvSpPr/>
                        <wps:spPr>
                          <a:xfrm>
                            <a:off x="5290575" y="2987200"/>
                            <a:ext cx="2214600" cy="659700"/>
                          </a:xfrm>
                          <a:prstGeom prst="roundRect">
                            <a:avLst>
                              <a:gd name="adj" fmla="val 16667"/>
                            </a:avLst>
                          </a:prstGeom>
                          <a:solidFill>
                            <a:srgbClr val="EAD1DC"/>
                          </a:solidFill>
                          <a:ln w="9525" cap="flat" cmpd="sng">
                            <a:solidFill>
                              <a:srgbClr val="000000"/>
                            </a:solidFill>
                            <a:prstDash val="solid"/>
                            <a:round/>
                            <a:headEnd type="none" w="sm" len="sm"/>
                            <a:tailEnd type="none" w="sm" len="sm"/>
                          </a:ln>
                        </wps:spPr>
                        <wps:txbx>
                          <w:txbxContent>
                            <w:p w:rsidR="00EF61AC" w:rsidRDefault="00EF61AC">
                              <w:pPr>
                                <w:spacing w:line="240" w:lineRule="auto"/>
                                <w:jc w:val="center"/>
                                <w:textDirection w:val="btLr"/>
                              </w:pPr>
                            </w:p>
                          </w:txbxContent>
                        </wps:txbx>
                        <wps:bodyPr spcFirstLastPara="1" wrap="square" lIns="91425" tIns="91425" rIns="91425" bIns="91425" anchor="ctr" anchorCtr="0">
                          <a:noAutofit/>
                        </wps:bodyPr>
                      </wps:wsp>
                      <wps:wsp>
                        <wps:cNvPr id="17" name="Cuadro de texto 17"/>
                        <wps:cNvSpPr txBox="1"/>
                        <wps:spPr>
                          <a:xfrm>
                            <a:off x="5290575" y="2945375"/>
                            <a:ext cx="2214600" cy="702900"/>
                          </a:xfrm>
                          <a:prstGeom prst="rect">
                            <a:avLst/>
                          </a:prstGeom>
                          <a:noFill/>
                          <a:ln>
                            <a:noFill/>
                          </a:ln>
                        </wps:spPr>
                        <wps:txbx>
                          <w:txbxContent>
                            <w:p w:rsidR="00EF61AC" w:rsidRDefault="000848A5">
                              <w:pPr>
                                <w:spacing w:line="240" w:lineRule="auto"/>
                                <w:jc w:val="center"/>
                                <w:textDirection w:val="btLr"/>
                              </w:pPr>
                              <w:r>
                                <w:rPr>
                                  <w:rFonts w:ascii="Kanit" w:eastAsia="Kanit" w:hAnsi="Kanit" w:cs="Kanit"/>
                                  <w:color w:val="000000"/>
                                </w:rPr>
                                <w:t>Selección de personas beneficiarias de conformidad con los criterios de priorización.</w:t>
                              </w:r>
                            </w:p>
                          </w:txbxContent>
                        </wps:txbx>
                        <wps:bodyPr spcFirstLastPara="1" wrap="square" lIns="91425" tIns="91425" rIns="91425" bIns="91425" anchor="t" anchorCtr="0">
                          <a:noAutofit/>
                        </wps:bodyPr>
                      </wps:wsp>
                      <wps:wsp>
                        <wps:cNvPr id="18" name="Conector recto de flecha 18"/>
                        <wps:cNvCnPr/>
                        <wps:spPr>
                          <a:xfrm>
                            <a:off x="2313025" y="3104375"/>
                            <a:ext cx="2977500" cy="192600"/>
                          </a:xfrm>
                          <a:prstGeom prst="straightConnector1">
                            <a:avLst/>
                          </a:prstGeom>
                          <a:noFill/>
                          <a:ln w="19050" cap="flat" cmpd="sng">
                            <a:solidFill>
                              <a:srgbClr val="000000"/>
                            </a:solidFill>
                            <a:prstDash val="solid"/>
                            <a:round/>
                            <a:headEnd type="none" w="med" len="med"/>
                            <a:tailEnd type="triangle" w="med" len="med"/>
                          </a:ln>
                        </wps:spPr>
                        <wps:bodyPr/>
                      </wps:wsp>
                      <wps:wsp>
                        <wps:cNvPr id="19" name="Rectángulo redondeado 19"/>
                        <wps:cNvSpPr/>
                        <wps:spPr>
                          <a:xfrm>
                            <a:off x="278425" y="3806850"/>
                            <a:ext cx="2034600" cy="702900"/>
                          </a:xfrm>
                          <a:prstGeom prst="roundRect">
                            <a:avLst>
                              <a:gd name="adj" fmla="val 16667"/>
                            </a:avLst>
                          </a:prstGeom>
                          <a:solidFill>
                            <a:srgbClr val="D9D2E9"/>
                          </a:solidFill>
                          <a:ln w="9525" cap="flat" cmpd="sng">
                            <a:solidFill>
                              <a:srgbClr val="000000"/>
                            </a:solidFill>
                            <a:prstDash val="solid"/>
                            <a:round/>
                            <a:headEnd type="none" w="sm" len="sm"/>
                            <a:tailEnd type="none" w="sm" len="sm"/>
                          </a:ln>
                        </wps:spPr>
                        <wps:txbx>
                          <w:txbxContent>
                            <w:p w:rsidR="00EF61AC" w:rsidRDefault="000848A5">
                              <w:pPr>
                                <w:spacing w:line="240" w:lineRule="auto"/>
                                <w:jc w:val="center"/>
                                <w:textDirection w:val="btLr"/>
                              </w:pPr>
                              <w:r>
                                <w:rPr>
                                  <w:rFonts w:ascii="Kanit" w:eastAsia="Kanit" w:hAnsi="Kanit" w:cs="Kanit"/>
                                  <w:color w:val="000000"/>
                                  <w:sz w:val="20"/>
                                </w:rPr>
                                <w:t>Notificación a las personas beneficiarias y comprobación del gasto ante la Tesorería Municipal</w:t>
                              </w:r>
                            </w:p>
                          </w:txbxContent>
                        </wps:txbx>
                        <wps:bodyPr spcFirstLastPara="1" wrap="square" lIns="91425" tIns="91425" rIns="91425" bIns="91425" anchor="ctr" anchorCtr="0">
                          <a:noAutofit/>
                        </wps:bodyPr>
                      </wps:wsp>
                      <wps:wsp>
                        <wps:cNvPr id="20" name="Conector recto de flecha 20"/>
                        <wps:cNvCnPr/>
                        <wps:spPr>
                          <a:xfrm flipH="1">
                            <a:off x="2313075" y="3648275"/>
                            <a:ext cx="4084800" cy="510000"/>
                          </a:xfrm>
                          <a:prstGeom prst="straightConnector1">
                            <a:avLst/>
                          </a:prstGeom>
                          <a:noFill/>
                          <a:ln w="19050" cap="flat" cmpd="sng">
                            <a:solidFill>
                              <a:srgbClr val="000000"/>
                            </a:solidFill>
                            <a:prstDash val="solid"/>
                            <a:round/>
                            <a:headEnd type="none" w="med" len="med"/>
                            <a:tailEnd type="triangle" w="med" len="med"/>
                          </a:ln>
                        </wps:spPr>
                        <wps:bodyPr/>
                      </wps:wsp>
                      <wps:wsp>
                        <wps:cNvPr id="21" name="Rectángulo redondeado 21"/>
                        <wps:cNvSpPr/>
                        <wps:spPr>
                          <a:xfrm>
                            <a:off x="2875" y="210200"/>
                            <a:ext cx="2585700" cy="4819500"/>
                          </a:xfrm>
                          <a:prstGeom prst="roundRect">
                            <a:avLst>
                              <a:gd name="adj" fmla="val 16667"/>
                            </a:avLst>
                          </a:prstGeom>
                          <a:noFill/>
                          <a:ln w="9525" cap="flat" cmpd="sng">
                            <a:solidFill>
                              <a:srgbClr val="000000"/>
                            </a:solidFill>
                            <a:prstDash val="dash"/>
                            <a:round/>
                            <a:headEnd type="none" w="sm" len="sm"/>
                            <a:tailEnd type="none" w="sm" len="sm"/>
                          </a:ln>
                        </wps:spPr>
                        <wps:txbx>
                          <w:txbxContent>
                            <w:p w:rsidR="00EF61AC" w:rsidRDefault="00EF61AC">
                              <w:pPr>
                                <w:spacing w:line="240" w:lineRule="auto"/>
                                <w:jc w:val="center"/>
                                <w:textDirection w:val="btLr"/>
                              </w:pPr>
                            </w:p>
                          </w:txbxContent>
                        </wps:txbx>
                        <wps:bodyPr spcFirstLastPara="1" wrap="square" lIns="91425" tIns="91425" rIns="91425" bIns="91425" anchor="ctr" anchorCtr="0">
                          <a:noAutofit/>
                        </wps:bodyPr>
                      </wps:wsp>
                      <wps:wsp>
                        <wps:cNvPr id="22" name="Rectángulo redondeado 22"/>
                        <wps:cNvSpPr/>
                        <wps:spPr>
                          <a:xfrm>
                            <a:off x="5144175" y="210200"/>
                            <a:ext cx="2429400" cy="4819500"/>
                          </a:xfrm>
                          <a:prstGeom prst="roundRect">
                            <a:avLst>
                              <a:gd name="adj" fmla="val 16667"/>
                            </a:avLst>
                          </a:prstGeom>
                          <a:noFill/>
                          <a:ln w="9525" cap="flat" cmpd="sng">
                            <a:solidFill>
                              <a:srgbClr val="000000"/>
                            </a:solidFill>
                            <a:prstDash val="dash"/>
                            <a:round/>
                            <a:headEnd type="none" w="sm" len="sm"/>
                            <a:tailEnd type="none" w="sm" len="sm"/>
                          </a:ln>
                        </wps:spPr>
                        <wps:txbx>
                          <w:txbxContent>
                            <w:p w:rsidR="00EF61AC" w:rsidRDefault="00EF61AC">
                              <w:pPr>
                                <w:spacing w:line="240" w:lineRule="auto"/>
                                <w:jc w:val="center"/>
                                <w:textDirection w:val="btLr"/>
                              </w:pPr>
                            </w:p>
                          </w:txbxContent>
                        </wps:txbx>
                        <wps:bodyPr spcFirstLastPara="1" wrap="square" lIns="91425" tIns="91425" rIns="91425" bIns="91425" anchor="ctr" anchorCtr="0">
                          <a:noAutofit/>
                        </wps:bodyPr>
                      </wps:wsp>
                      <wps:wsp>
                        <wps:cNvPr id="23" name="Rectángulo redondeado 23"/>
                        <wps:cNvSpPr/>
                        <wps:spPr>
                          <a:xfrm>
                            <a:off x="2679800" y="210200"/>
                            <a:ext cx="2334000" cy="4819500"/>
                          </a:xfrm>
                          <a:prstGeom prst="roundRect">
                            <a:avLst>
                              <a:gd name="adj" fmla="val 16667"/>
                            </a:avLst>
                          </a:prstGeom>
                          <a:noFill/>
                          <a:ln w="9525" cap="flat" cmpd="sng">
                            <a:solidFill>
                              <a:srgbClr val="000000"/>
                            </a:solidFill>
                            <a:prstDash val="dash"/>
                            <a:round/>
                            <a:headEnd type="none" w="sm" len="sm"/>
                            <a:tailEnd type="none" w="sm" len="sm"/>
                          </a:ln>
                        </wps:spPr>
                        <wps:txbx>
                          <w:txbxContent>
                            <w:p w:rsidR="00EF61AC" w:rsidRDefault="00EF61AC">
                              <w:pPr>
                                <w:spacing w:line="240" w:lineRule="auto"/>
                                <w:jc w:val="center"/>
                                <w:textDirection w:val="btLr"/>
                              </w:pPr>
                            </w:p>
                          </w:txbxContent>
                        </wps:txbx>
                        <wps:bodyPr spcFirstLastPara="1" wrap="square" lIns="91425" tIns="91425" rIns="91425" bIns="91425" anchor="ctr" anchorCtr="0">
                          <a:noAutofit/>
                        </wps:bodyPr>
                      </wps:w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730848" cy="3672586"/>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30848" cy="3672586"/>
                        </a:xfrm>
                        <a:prstGeom prst="rect"/>
                        <a:ln/>
                      </pic:spPr>
                    </pic:pic>
                  </a:graphicData>
                </a:graphic>
              </wp:inline>
            </w:drawing>
          </mc:Fallback>
        </mc:AlternateContent>
      </w:r>
    </w:p>
    <w:p w:rsidR="00EF61AC" w:rsidRDefault="000848A5">
      <w:pPr>
        <w:numPr>
          <w:ilvl w:val="0"/>
          <w:numId w:val="6"/>
        </w:numPr>
        <w:spacing w:line="240" w:lineRule="auto"/>
        <w:ind w:right="278"/>
        <w:jc w:val="both"/>
        <w:rPr>
          <w:rFonts w:ascii="Kanit" w:eastAsia="Kanit" w:hAnsi="Kanit" w:cs="Kanit"/>
          <w:sz w:val="20"/>
          <w:szCs w:val="20"/>
        </w:rPr>
      </w:pPr>
      <w:r>
        <w:rPr>
          <w:rFonts w:ascii="Kanit" w:eastAsia="Kanit" w:hAnsi="Kanit" w:cs="Kanit"/>
          <w:sz w:val="20"/>
          <w:szCs w:val="20"/>
        </w:rPr>
        <w:t>Calendario de actividades</w:t>
      </w:r>
    </w:p>
    <w:p w:rsidR="00EF61AC" w:rsidRDefault="00EF61AC">
      <w:pPr>
        <w:spacing w:line="240" w:lineRule="auto"/>
        <w:ind w:right="278"/>
        <w:jc w:val="both"/>
        <w:rPr>
          <w:rFonts w:ascii="Kanit" w:eastAsia="Kanit" w:hAnsi="Kanit" w:cs="Kanit"/>
          <w:sz w:val="20"/>
          <w:szCs w:val="20"/>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F61AC">
        <w:tc>
          <w:tcPr>
            <w:tcW w:w="4680" w:type="dxa"/>
            <w:shd w:val="clear" w:color="auto" w:fill="D9D2E9"/>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Actividad</w:t>
            </w:r>
          </w:p>
        </w:tc>
        <w:tc>
          <w:tcPr>
            <w:tcW w:w="4680" w:type="dxa"/>
            <w:shd w:val="clear" w:color="auto" w:fill="D9D2E9"/>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Fecha de realización</w:t>
            </w:r>
          </w:p>
        </w:tc>
      </w:tr>
      <w:tr w:rsidR="00EF61AC">
        <w:tc>
          <w:tcPr>
            <w:tcW w:w="468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Apertura de convocatoria</w:t>
            </w:r>
          </w:p>
        </w:tc>
        <w:tc>
          <w:tcPr>
            <w:tcW w:w="468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30 de abril de 2025</w:t>
            </w:r>
          </w:p>
        </w:tc>
      </w:tr>
      <w:tr w:rsidR="00EF61AC">
        <w:tc>
          <w:tcPr>
            <w:tcW w:w="468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Recepción de solicitudes</w:t>
            </w:r>
          </w:p>
        </w:tc>
        <w:tc>
          <w:tcPr>
            <w:tcW w:w="468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del 6 al 10 de mayo de 2025</w:t>
            </w:r>
          </w:p>
        </w:tc>
      </w:tr>
      <w:tr w:rsidR="00EF61AC">
        <w:tc>
          <w:tcPr>
            <w:tcW w:w="468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Selección de personas beneficiarias: sesión de comité dictaminador</w:t>
            </w:r>
          </w:p>
        </w:tc>
        <w:tc>
          <w:tcPr>
            <w:tcW w:w="468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14 de mayo de 2025</w:t>
            </w:r>
          </w:p>
        </w:tc>
      </w:tr>
      <w:tr w:rsidR="00EF61AC">
        <w:tc>
          <w:tcPr>
            <w:tcW w:w="468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Notificación de resultados a beneficiarias</w:t>
            </w:r>
          </w:p>
        </w:tc>
        <w:tc>
          <w:tcPr>
            <w:tcW w:w="4680" w:type="dxa"/>
            <w:shd w:val="clear" w:color="auto" w:fill="auto"/>
            <w:tcMar>
              <w:top w:w="100" w:type="dxa"/>
              <w:left w:w="100" w:type="dxa"/>
              <w:bottom w:w="100" w:type="dxa"/>
              <w:right w:w="100" w:type="dxa"/>
            </w:tcMar>
          </w:tcPr>
          <w:p w:rsidR="00EF61AC" w:rsidRDefault="000848A5">
            <w:pPr>
              <w:widowControl w:val="0"/>
              <w:pBdr>
                <w:top w:val="nil"/>
                <w:left w:val="nil"/>
                <w:bottom w:val="nil"/>
                <w:right w:val="nil"/>
                <w:between w:val="nil"/>
              </w:pBdr>
              <w:spacing w:line="240" w:lineRule="auto"/>
              <w:jc w:val="center"/>
              <w:rPr>
                <w:rFonts w:ascii="Kanit" w:eastAsia="Kanit" w:hAnsi="Kanit" w:cs="Kanit"/>
                <w:sz w:val="20"/>
                <w:szCs w:val="20"/>
              </w:rPr>
            </w:pPr>
            <w:r>
              <w:rPr>
                <w:rFonts w:ascii="Kanit" w:eastAsia="Kanit" w:hAnsi="Kanit" w:cs="Kanit"/>
                <w:sz w:val="20"/>
                <w:szCs w:val="20"/>
              </w:rPr>
              <w:t>19 y 20 de mayo de 2025</w:t>
            </w:r>
          </w:p>
        </w:tc>
      </w:tr>
      <w:tr w:rsidR="00EF61AC">
        <w:tc>
          <w:tcPr>
            <w:tcW w:w="4680" w:type="dxa"/>
            <w:shd w:val="clear" w:color="auto" w:fill="auto"/>
            <w:tcMar>
              <w:top w:w="100" w:type="dxa"/>
              <w:left w:w="100" w:type="dxa"/>
              <w:bottom w:w="100" w:type="dxa"/>
              <w:right w:w="100" w:type="dxa"/>
            </w:tcMar>
          </w:tcPr>
          <w:p w:rsidR="00EF61AC" w:rsidRDefault="000848A5">
            <w:pPr>
              <w:widowControl w:val="0"/>
              <w:spacing w:line="240" w:lineRule="auto"/>
              <w:jc w:val="center"/>
              <w:rPr>
                <w:rFonts w:ascii="Kanit" w:eastAsia="Kanit" w:hAnsi="Kanit" w:cs="Kanit"/>
                <w:sz w:val="20"/>
                <w:szCs w:val="20"/>
              </w:rPr>
            </w:pPr>
            <w:r>
              <w:rPr>
                <w:rFonts w:ascii="Kanit" w:eastAsia="Kanit" w:hAnsi="Kanit" w:cs="Kanit"/>
                <w:sz w:val="20"/>
                <w:szCs w:val="20"/>
              </w:rPr>
              <w:t>Entrega de apoyos</w:t>
            </w:r>
            <w:r>
              <w:rPr>
                <w:rFonts w:ascii="Kanit" w:eastAsia="Kanit" w:hAnsi="Kanit" w:cs="Kanit"/>
                <w:sz w:val="20"/>
                <w:szCs w:val="20"/>
                <w:vertAlign w:val="superscript"/>
              </w:rPr>
              <w:footnoteReference w:id="1"/>
            </w:r>
          </w:p>
        </w:tc>
        <w:tc>
          <w:tcPr>
            <w:tcW w:w="4680" w:type="dxa"/>
            <w:shd w:val="clear" w:color="auto" w:fill="auto"/>
            <w:tcMar>
              <w:top w:w="100" w:type="dxa"/>
              <w:left w:w="100" w:type="dxa"/>
              <w:bottom w:w="100" w:type="dxa"/>
              <w:right w:w="100" w:type="dxa"/>
            </w:tcMar>
          </w:tcPr>
          <w:p w:rsidR="00EF61AC" w:rsidRDefault="000848A5">
            <w:pPr>
              <w:widowControl w:val="0"/>
              <w:spacing w:line="240" w:lineRule="auto"/>
              <w:jc w:val="center"/>
              <w:rPr>
                <w:rFonts w:ascii="Kanit" w:eastAsia="Kanit" w:hAnsi="Kanit" w:cs="Kanit"/>
                <w:sz w:val="20"/>
                <w:szCs w:val="20"/>
              </w:rPr>
            </w:pPr>
            <w:r>
              <w:rPr>
                <w:rFonts w:ascii="Kanit" w:eastAsia="Kanit" w:hAnsi="Kanit" w:cs="Kanit"/>
                <w:sz w:val="20"/>
                <w:szCs w:val="20"/>
              </w:rPr>
              <w:t>Primer entrega; mayo 2025</w:t>
            </w:r>
          </w:p>
          <w:p w:rsidR="00EF61AC" w:rsidRDefault="000848A5">
            <w:pPr>
              <w:widowControl w:val="0"/>
              <w:spacing w:line="240" w:lineRule="auto"/>
              <w:jc w:val="center"/>
              <w:rPr>
                <w:rFonts w:ascii="Kanit" w:eastAsia="Kanit" w:hAnsi="Kanit" w:cs="Kanit"/>
                <w:sz w:val="20"/>
                <w:szCs w:val="20"/>
              </w:rPr>
            </w:pPr>
            <w:r>
              <w:rPr>
                <w:rFonts w:ascii="Kanit" w:eastAsia="Kanit" w:hAnsi="Kanit" w:cs="Kanit"/>
                <w:sz w:val="20"/>
                <w:szCs w:val="20"/>
              </w:rPr>
              <w:t>Segunda entrega; agosto 2025</w:t>
            </w:r>
          </w:p>
        </w:tc>
      </w:tr>
    </w:tbl>
    <w:p w:rsidR="00EF61AC" w:rsidRDefault="000848A5">
      <w:pPr>
        <w:spacing w:line="240" w:lineRule="auto"/>
        <w:ind w:right="278"/>
        <w:jc w:val="both"/>
        <w:rPr>
          <w:rFonts w:ascii="Kanit" w:eastAsia="Kanit" w:hAnsi="Kanit" w:cs="Kanit"/>
          <w:sz w:val="20"/>
          <w:szCs w:val="20"/>
        </w:rPr>
      </w:pPr>
      <w:r>
        <w:rPr>
          <w:rFonts w:ascii="Kanit" w:eastAsia="Kanit" w:hAnsi="Kanit" w:cs="Kanit"/>
          <w:sz w:val="20"/>
          <w:szCs w:val="20"/>
        </w:rPr>
        <w:t>En caso de que en la primera ronda de recepción de solicitudes no se hayan recibido los expedientes 370 (trescientos setenta), se seguirán recibiendo solicitudes hasta recabarlos. Por lo cual, el comité podrá volver a sesionar para el ingreso de nuevas per</w:t>
      </w:r>
      <w:r>
        <w:rPr>
          <w:rFonts w:ascii="Kanit" w:eastAsia="Kanit" w:hAnsi="Kanit" w:cs="Kanit"/>
          <w:sz w:val="20"/>
          <w:szCs w:val="20"/>
        </w:rPr>
        <w:t xml:space="preserve">sonas beneficiarias, fechas que se determinarán por el comité dictaminador, en caso de que exista el supuesto mencionado. </w:t>
      </w:r>
    </w:p>
    <w:p w:rsidR="00EF61AC" w:rsidRDefault="00EF61AC">
      <w:pPr>
        <w:spacing w:line="240" w:lineRule="auto"/>
        <w:ind w:right="278"/>
        <w:jc w:val="both"/>
        <w:rPr>
          <w:rFonts w:ascii="Kanit" w:eastAsia="Kanit" w:hAnsi="Kanit" w:cs="Kanit"/>
          <w:sz w:val="20"/>
          <w:szCs w:val="20"/>
        </w:rPr>
      </w:pPr>
    </w:p>
    <w:p w:rsidR="00EF61AC" w:rsidRDefault="000848A5">
      <w:pPr>
        <w:numPr>
          <w:ilvl w:val="0"/>
          <w:numId w:val="6"/>
        </w:numPr>
        <w:spacing w:line="240" w:lineRule="auto"/>
        <w:ind w:right="278"/>
        <w:jc w:val="both"/>
        <w:rPr>
          <w:rFonts w:ascii="Kanit" w:eastAsia="Kanit" w:hAnsi="Kanit" w:cs="Kanit"/>
        </w:rPr>
      </w:pPr>
      <w:r>
        <w:rPr>
          <w:rFonts w:ascii="Kanit" w:eastAsia="Kanit" w:hAnsi="Kanit" w:cs="Kanit"/>
        </w:rPr>
        <w:t>Consideraciones</w:t>
      </w:r>
    </w:p>
    <w:p w:rsidR="00EF61AC" w:rsidRDefault="000848A5">
      <w:pPr>
        <w:spacing w:line="240" w:lineRule="auto"/>
        <w:ind w:right="278"/>
        <w:jc w:val="both"/>
        <w:rPr>
          <w:rFonts w:ascii="Kanit" w:eastAsia="Kanit" w:hAnsi="Kanit" w:cs="Kanit"/>
        </w:rPr>
      </w:pPr>
      <w:r>
        <w:rPr>
          <w:rFonts w:ascii="Kanit" w:eastAsia="Kanit" w:hAnsi="Kanit" w:cs="Kanit"/>
        </w:rPr>
        <w:lastRenderedPageBreak/>
        <w:t>Todas aquellas situaciones no previstas en la presente convocatoria o en las Reglas de Operación del Programa, serán</w:t>
      </w:r>
      <w:r>
        <w:rPr>
          <w:rFonts w:ascii="Kanit" w:eastAsia="Kanit" w:hAnsi="Kanit" w:cs="Kanit"/>
        </w:rPr>
        <w:t xml:space="preserve"> resueltas por el Comité Dictaminador. </w:t>
      </w:r>
    </w:p>
    <w:p w:rsidR="00EF61AC" w:rsidRDefault="00EF61AC">
      <w:pPr>
        <w:spacing w:line="240" w:lineRule="auto"/>
        <w:ind w:right="278"/>
        <w:jc w:val="both"/>
        <w:rPr>
          <w:rFonts w:ascii="Kanit" w:eastAsia="Kanit" w:hAnsi="Kanit" w:cs="Kanit"/>
        </w:rPr>
      </w:pPr>
    </w:p>
    <w:p w:rsidR="00EF61AC" w:rsidRDefault="000848A5">
      <w:pPr>
        <w:numPr>
          <w:ilvl w:val="0"/>
          <w:numId w:val="6"/>
        </w:numPr>
        <w:spacing w:line="240" w:lineRule="auto"/>
        <w:ind w:right="278"/>
        <w:jc w:val="both"/>
        <w:rPr>
          <w:rFonts w:ascii="Kanit" w:eastAsia="Kanit" w:hAnsi="Kanit" w:cs="Kanit"/>
        </w:rPr>
      </w:pPr>
      <w:r>
        <w:rPr>
          <w:rFonts w:ascii="Kanit" w:eastAsia="Kanit" w:hAnsi="Kanit" w:cs="Kanit"/>
        </w:rPr>
        <w:t>Corresponsabilidad social</w:t>
      </w:r>
    </w:p>
    <w:p w:rsidR="00EF61AC" w:rsidRDefault="000848A5">
      <w:pPr>
        <w:spacing w:line="240" w:lineRule="auto"/>
        <w:ind w:right="278"/>
        <w:jc w:val="both"/>
        <w:rPr>
          <w:rFonts w:ascii="Kanit" w:eastAsia="Kanit" w:hAnsi="Kanit" w:cs="Kanit"/>
        </w:rPr>
      </w:pPr>
      <w:r>
        <w:rPr>
          <w:rFonts w:ascii="Kanit" w:eastAsia="Kanit" w:hAnsi="Kanit" w:cs="Kanit"/>
        </w:rPr>
        <w:t>Las personas beneficiarias participarán, en la medida de lo posible, en la realización de actividades comunitarias bajo esquemas de corresponsabilidad en beneficio de la Delegación, Agencia</w:t>
      </w:r>
      <w:r>
        <w:rPr>
          <w:rFonts w:ascii="Kanit" w:eastAsia="Kanit" w:hAnsi="Kanit" w:cs="Kanit"/>
        </w:rPr>
        <w:t xml:space="preserve">, Población, Barrio o Fraccionamiento en que habiten, siguiendo los lineamientos e indicaciones de la Coordinación General de Cercanía y Corresponsabilidad Social. </w:t>
      </w:r>
    </w:p>
    <w:p w:rsidR="00EF61AC" w:rsidRDefault="000848A5">
      <w:pPr>
        <w:spacing w:line="240" w:lineRule="auto"/>
        <w:ind w:right="278"/>
        <w:jc w:val="both"/>
        <w:rPr>
          <w:rFonts w:ascii="Kanit" w:eastAsia="Kanit" w:hAnsi="Kanit" w:cs="Kanit"/>
        </w:rPr>
      </w:pPr>
      <w:r>
        <w:rPr>
          <w:rFonts w:ascii="Kanit" w:eastAsia="Kanit" w:hAnsi="Kanit" w:cs="Kanit"/>
        </w:rPr>
        <w:t>Así mismo, las beneficiarias del programa deberán asistir al menos al 60% de las actividade</w:t>
      </w:r>
      <w:r>
        <w:rPr>
          <w:rFonts w:ascii="Kanit" w:eastAsia="Kanit" w:hAnsi="Kanit" w:cs="Kanit"/>
        </w:rPr>
        <w:t xml:space="preserve">s a las que les convoque la Jefatura de Sistemas de Cuidados o la Coordinación General de Cercanía y Corresponsabilidad Social,  en materia de capacitación de cuidados o materia sustantiva. </w:t>
      </w:r>
    </w:p>
    <w:p w:rsidR="00EF61AC" w:rsidRDefault="00EF61AC">
      <w:pPr>
        <w:spacing w:line="240" w:lineRule="auto"/>
        <w:ind w:right="278"/>
        <w:jc w:val="both"/>
        <w:rPr>
          <w:rFonts w:ascii="Kanit" w:eastAsia="Kanit" w:hAnsi="Kanit" w:cs="Kanit"/>
        </w:rPr>
      </w:pPr>
    </w:p>
    <w:p w:rsidR="00EF61AC" w:rsidRDefault="000848A5">
      <w:pPr>
        <w:numPr>
          <w:ilvl w:val="0"/>
          <w:numId w:val="6"/>
        </w:numPr>
        <w:spacing w:line="240" w:lineRule="auto"/>
        <w:ind w:right="278"/>
        <w:jc w:val="both"/>
        <w:rPr>
          <w:rFonts w:ascii="Kanit" w:eastAsia="Kanit" w:hAnsi="Kanit" w:cs="Kanit"/>
        </w:rPr>
      </w:pPr>
      <w:r>
        <w:rPr>
          <w:rFonts w:ascii="Kanit" w:eastAsia="Kanit" w:hAnsi="Kanit" w:cs="Kanit"/>
        </w:rPr>
        <w:t>Transparencia y Protección de datos</w:t>
      </w:r>
    </w:p>
    <w:p w:rsidR="00EF61AC" w:rsidRDefault="000848A5">
      <w:pPr>
        <w:spacing w:line="240" w:lineRule="auto"/>
        <w:ind w:right="278"/>
        <w:jc w:val="both"/>
        <w:rPr>
          <w:rFonts w:ascii="Kanit" w:eastAsia="Kanit" w:hAnsi="Kanit" w:cs="Kanit"/>
        </w:rPr>
      </w:pPr>
      <w:r>
        <w:rPr>
          <w:rFonts w:ascii="Kanit" w:eastAsia="Kanit" w:hAnsi="Kanit" w:cs="Kanit"/>
        </w:rPr>
        <w:t>La información relacionada c</w:t>
      </w:r>
      <w:r>
        <w:rPr>
          <w:rFonts w:ascii="Kanit" w:eastAsia="Kanit" w:hAnsi="Kanit" w:cs="Kanit"/>
        </w:rPr>
        <w:t xml:space="preserve">on el programa, se publicará de conformidad con la Ley de Transparencia y Acceso a la Información Pública del Estado de Jalisco y sus Municipios; así como de la Ley de Protección de Datos Personales en Posesión de Sujetos Obligados del Estado de Jalisco y </w:t>
      </w:r>
      <w:r>
        <w:rPr>
          <w:rFonts w:ascii="Kanit" w:eastAsia="Kanit" w:hAnsi="Kanit" w:cs="Kanit"/>
        </w:rPr>
        <w:t>sus Municipios y demás normativa aplicable en la materia, la información estará disponible para su consulta a través de https://transparencia.tlajomulco.gob.mx/transparencia/articulo-8 .</w:t>
      </w:r>
    </w:p>
    <w:p w:rsidR="00EF61AC" w:rsidRDefault="000848A5">
      <w:pPr>
        <w:spacing w:line="240" w:lineRule="auto"/>
        <w:ind w:right="278"/>
        <w:jc w:val="both"/>
        <w:rPr>
          <w:rFonts w:ascii="Kanit" w:eastAsia="Kanit" w:hAnsi="Kanit" w:cs="Kanit"/>
        </w:rPr>
      </w:pPr>
      <w:r>
        <w:rPr>
          <w:rFonts w:ascii="Kanit" w:eastAsia="Kanit" w:hAnsi="Kanit" w:cs="Kanit"/>
        </w:rPr>
        <w:t xml:space="preserve"> </w:t>
      </w:r>
    </w:p>
    <w:p w:rsidR="00EF61AC" w:rsidRDefault="000848A5">
      <w:pPr>
        <w:numPr>
          <w:ilvl w:val="0"/>
          <w:numId w:val="6"/>
        </w:numPr>
        <w:spacing w:line="240" w:lineRule="auto"/>
        <w:ind w:right="278"/>
        <w:jc w:val="both"/>
        <w:rPr>
          <w:rFonts w:ascii="Kanit" w:eastAsia="Kanit" w:hAnsi="Kanit" w:cs="Kanit"/>
        </w:rPr>
      </w:pPr>
      <w:r>
        <w:rPr>
          <w:rFonts w:ascii="Kanit" w:eastAsia="Kanit" w:hAnsi="Kanit" w:cs="Kanit"/>
        </w:rPr>
        <w:t xml:space="preserve">Difusión </w:t>
      </w:r>
    </w:p>
    <w:p w:rsidR="00EF61AC" w:rsidRDefault="000848A5">
      <w:pPr>
        <w:spacing w:line="240" w:lineRule="auto"/>
        <w:ind w:right="278"/>
        <w:jc w:val="both"/>
        <w:rPr>
          <w:rFonts w:ascii="Kanit" w:eastAsia="Kanit" w:hAnsi="Kanit" w:cs="Kanit"/>
        </w:rPr>
      </w:pPr>
      <w:r>
        <w:rPr>
          <w:rFonts w:ascii="Kanit" w:eastAsia="Kanit" w:hAnsi="Kanit" w:cs="Kanit"/>
        </w:rPr>
        <w:t>Se instruye la publicación y difusión de la presente conv</w:t>
      </w:r>
      <w:r>
        <w:rPr>
          <w:rFonts w:ascii="Kanit" w:eastAsia="Kanit" w:hAnsi="Kanit" w:cs="Kanit"/>
        </w:rPr>
        <w:t xml:space="preserve">ocatoria, en la página oficial del Gobierno Municipal de Tlajomulco, a partir del día 30 de abril hasta el 31 de mayo de 2025, así como a través de las redes sociales oficiales del Gobierno Municipal de Tlajomulco de Zúñiga. </w:t>
      </w:r>
    </w:p>
    <w:p w:rsidR="00EF61AC" w:rsidRDefault="00EF61AC">
      <w:pPr>
        <w:spacing w:line="240" w:lineRule="auto"/>
        <w:ind w:right="278"/>
        <w:jc w:val="both"/>
        <w:rPr>
          <w:rFonts w:ascii="Kanit" w:eastAsia="Kanit" w:hAnsi="Kanit" w:cs="Kanit"/>
        </w:rPr>
      </w:pPr>
    </w:p>
    <w:p w:rsidR="00EF61AC" w:rsidRDefault="000848A5">
      <w:pPr>
        <w:spacing w:line="240" w:lineRule="auto"/>
        <w:ind w:right="278"/>
        <w:jc w:val="center"/>
        <w:rPr>
          <w:rFonts w:ascii="Kanit" w:eastAsia="Kanit" w:hAnsi="Kanit" w:cs="Kanit"/>
          <w:b/>
        </w:rPr>
      </w:pPr>
      <w:r>
        <w:rPr>
          <w:rFonts w:ascii="Kanit" w:eastAsia="Kanit" w:hAnsi="Kanit" w:cs="Kanit"/>
          <w:b/>
        </w:rPr>
        <w:t>Atentamente</w:t>
      </w:r>
    </w:p>
    <w:p w:rsidR="00EF61AC" w:rsidRDefault="00EF61AC">
      <w:pPr>
        <w:spacing w:line="240" w:lineRule="auto"/>
        <w:ind w:right="278"/>
        <w:jc w:val="center"/>
        <w:rPr>
          <w:rFonts w:ascii="Kanit" w:eastAsia="Kanit" w:hAnsi="Kanit" w:cs="Kanit"/>
          <w:b/>
        </w:rPr>
      </w:pPr>
    </w:p>
    <w:p w:rsidR="00EF61AC" w:rsidRDefault="00EF61AC">
      <w:pPr>
        <w:spacing w:line="240" w:lineRule="auto"/>
        <w:ind w:right="278"/>
        <w:jc w:val="center"/>
        <w:rPr>
          <w:rFonts w:ascii="Kanit" w:eastAsia="Kanit" w:hAnsi="Kanit" w:cs="Kanit"/>
          <w:b/>
        </w:rPr>
      </w:pPr>
    </w:p>
    <w:p w:rsidR="00EF61AC" w:rsidRDefault="00EF61AC">
      <w:pPr>
        <w:spacing w:line="240" w:lineRule="auto"/>
        <w:ind w:right="278"/>
        <w:jc w:val="center"/>
        <w:rPr>
          <w:rFonts w:ascii="Kanit" w:eastAsia="Kanit" w:hAnsi="Kanit" w:cs="Kanit"/>
          <w:b/>
        </w:rPr>
      </w:pPr>
    </w:p>
    <w:p w:rsidR="00EF61AC" w:rsidRDefault="000848A5">
      <w:pPr>
        <w:spacing w:line="240" w:lineRule="auto"/>
        <w:ind w:right="278"/>
        <w:jc w:val="center"/>
        <w:rPr>
          <w:rFonts w:ascii="Kanit" w:eastAsia="Kanit" w:hAnsi="Kanit" w:cs="Kanit"/>
          <w:b/>
        </w:rPr>
      </w:pPr>
      <w:r>
        <w:rPr>
          <w:rFonts w:ascii="Kanit" w:eastAsia="Kanit" w:hAnsi="Kanit" w:cs="Kanit"/>
          <w:b/>
        </w:rPr>
        <w:t xml:space="preserve">Maestro Gerardo Quirino Velázquez Chávez </w:t>
      </w:r>
    </w:p>
    <w:p w:rsidR="00EF61AC" w:rsidRDefault="000848A5">
      <w:pPr>
        <w:spacing w:line="240" w:lineRule="auto"/>
        <w:ind w:right="278"/>
        <w:jc w:val="center"/>
        <w:rPr>
          <w:rFonts w:ascii="Kanit" w:eastAsia="Kanit" w:hAnsi="Kanit" w:cs="Kanit"/>
          <w:b/>
        </w:rPr>
      </w:pPr>
      <w:r>
        <w:rPr>
          <w:rFonts w:ascii="Kanit" w:eastAsia="Kanit" w:hAnsi="Kanit" w:cs="Kanit"/>
          <w:b/>
        </w:rPr>
        <w:t>Presidente Municipal de Tlajomulco de Zúñiga, Jalisco</w:t>
      </w:r>
    </w:p>
    <w:p w:rsidR="00EF61AC" w:rsidRDefault="00EF61AC">
      <w:pPr>
        <w:spacing w:line="240" w:lineRule="auto"/>
        <w:ind w:right="278"/>
        <w:jc w:val="center"/>
        <w:rPr>
          <w:rFonts w:ascii="Kanit" w:eastAsia="Kanit" w:hAnsi="Kanit" w:cs="Kanit"/>
          <w:b/>
        </w:rPr>
      </w:pPr>
    </w:p>
    <w:p w:rsidR="00EF61AC" w:rsidRDefault="00EF61AC">
      <w:pPr>
        <w:spacing w:line="240" w:lineRule="auto"/>
        <w:ind w:right="278"/>
        <w:jc w:val="right"/>
        <w:rPr>
          <w:rFonts w:ascii="Kanit" w:eastAsia="Kanit" w:hAnsi="Kanit" w:cs="Kanit"/>
        </w:rPr>
      </w:pPr>
    </w:p>
    <w:p w:rsidR="00EF61AC" w:rsidRDefault="000848A5">
      <w:pPr>
        <w:spacing w:line="240" w:lineRule="auto"/>
        <w:ind w:right="278"/>
        <w:jc w:val="right"/>
        <w:rPr>
          <w:rFonts w:ascii="Kanit" w:eastAsia="Kanit" w:hAnsi="Kanit" w:cs="Kanit"/>
          <w:sz w:val="20"/>
          <w:szCs w:val="20"/>
        </w:rPr>
      </w:pPr>
      <w:r>
        <w:rPr>
          <w:rFonts w:ascii="Kanit" w:eastAsia="Kanit" w:hAnsi="Kanit" w:cs="Kanit"/>
          <w:sz w:val="20"/>
          <w:szCs w:val="20"/>
        </w:rPr>
        <w:t>Tlajomulco de Zúñiga, 28 de abril de 2025</w:t>
      </w:r>
    </w:p>
    <w:sectPr w:rsidR="00EF61A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48A5" w:rsidRDefault="000848A5">
      <w:pPr>
        <w:spacing w:line="240" w:lineRule="auto"/>
      </w:pPr>
      <w:r>
        <w:separator/>
      </w:r>
    </w:p>
  </w:endnote>
  <w:endnote w:type="continuationSeparator" w:id="0">
    <w:p w:rsidR="000848A5" w:rsidRDefault="00084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Kanit">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61AC" w:rsidRDefault="000848A5">
    <w:pPr>
      <w:ind w:right="-1128"/>
      <w:jc w:val="right"/>
      <w:rPr>
        <w:rFonts w:ascii="Kanit" w:eastAsia="Kanit" w:hAnsi="Kanit" w:cs="Kanit"/>
        <w:sz w:val="20"/>
        <w:szCs w:val="20"/>
      </w:rPr>
    </w:pPr>
    <w:r>
      <w:rPr>
        <w:rFonts w:ascii="Kanit" w:eastAsia="Kanit" w:hAnsi="Kanit" w:cs="Kanit"/>
        <w:sz w:val="20"/>
        <w:szCs w:val="20"/>
      </w:rPr>
      <w:fldChar w:fldCharType="begin"/>
    </w:r>
    <w:r>
      <w:rPr>
        <w:rFonts w:ascii="Kanit" w:eastAsia="Kanit" w:hAnsi="Kanit" w:cs="Kanit"/>
        <w:sz w:val="20"/>
        <w:szCs w:val="20"/>
      </w:rPr>
      <w:instrText>PAGE</w:instrText>
    </w:r>
    <w:r w:rsidR="002426F4">
      <w:rPr>
        <w:rFonts w:ascii="Kanit" w:eastAsia="Kanit" w:hAnsi="Kanit" w:cs="Kanit"/>
        <w:sz w:val="20"/>
        <w:szCs w:val="20"/>
      </w:rPr>
      <w:fldChar w:fldCharType="separate"/>
    </w:r>
    <w:r w:rsidR="002426F4">
      <w:rPr>
        <w:rFonts w:ascii="Kanit" w:eastAsia="Kanit" w:hAnsi="Kanit" w:cs="Kanit"/>
        <w:noProof/>
        <w:sz w:val="20"/>
        <w:szCs w:val="20"/>
      </w:rPr>
      <w:t>1</w:t>
    </w:r>
    <w:r>
      <w:rPr>
        <w:rFonts w:ascii="Kanit" w:eastAsia="Kanit" w:hAnsi="Kanit" w:cs="Kanit"/>
        <w:sz w:val="20"/>
        <w:szCs w:val="20"/>
      </w:rPr>
      <w:fldChar w:fldCharType="end"/>
    </w:r>
  </w:p>
  <w:p w:rsidR="00EF61AC" w:rsidRDefault="00EF61AC">
    <w:pPr>
      <w:ind w:right="-1128"/>
      <w:jc w:val="right"/>
      <w:rPr>
        <w:rFonts w:ascii="Kanit" w:eastAsia="Kanit" w:hAnsi="Kanit" w:cs="Kani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48A5" w:rsidRDefault="000848A5">
      <w:pPr>
        <w:spacing w:line="240" w:lineRule="auto"/>
      </w:pPr>
      <w:r>
        <w:separator/>
      </w:r>
    </w:p>
  </w:footnote>
  <w:footnote w:type="continuationSeparator" w:id="0">
    <w:p w:rsidR="000848A5" w:rsidRDefault="000848A5">
      <w:pPr>
        <w:spacing w:line="240" w:lineRule="auto"/>
      </w:pPr>
      <w:r>
        <w:continuationSeparator/>
      </w:r>
    </w:p>
  </w:footnote>
  <w:footnote w:id="1">
    <w:p w:rsidR="00EF61AC" w:rsidRDefault="000848A5">
      <w:pPr>
        <w:spacing w:line="240" w:lineRule="auto"/>
        <w:rPr>
          <w:rFonts w:ascii="Kanit" w:eastAsia="Kanit" w:hAnsi="Kanit" w:cs="Kanit"/>
          <w:sz w:val="16"/>
          <w:szCs w:val="16"/>
        </w:rPr>
      </w:pPr>
      <w:r>
        <w:rPr>
          <w:vertAlign w:val="superscript"/>
        </w:rPr>
        <w:footnoteRef/>
      </w:r>
      <w:r>
        <w:rPr>
          <w:rFonts w:ascii="Kanit" w:eastAsia="Kanit" w:hAnsi="Kanit" w:cs="Kanit"/>
          <w:sz w:val="16"/>
          <w:szCs w:val="16"/>
        </w:rPr>
        <w:t xml:space="preserve">  El calendario de transferencias podrá sufrir modificaciones derivado de las acciones administrativas y/u operativas de la Tesorería Municipal y/o la Coordinación General de Cercanía y Corresponsabilidad Social.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61AC" w:rsidRDefault="00EF61AC"/>
  <w:p w:rsidR="00EF61AC" w:rsidRDefault="00EF61AC"/>
  <w:p w:rsidR="00EF61AC" w:rsidRDefault="00EF61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F7B4E"/>
    <w:multiLevelType w:val="multilevel"/>
    <w:tmpl w:val="51FC8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774150"/>
    <w:multiLevelType w:val="multilevel"/>
    <w:tmpl w:val="BFC6A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2A5C54"/>
    <w:multiLevelType w:val="multilevel"/>
    <w:tmpl w:val="A99AF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5538DC"/>
    <w:multiLevelType w:val="multilevel"/>
    <w:tmpl w:val="1FB4B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DC5742"/>
    <w:multiLevelType w:val="multilevel"/>
    <w:tmpl w:val="6B564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837C72"/>
    <w:multiLevelType w:val="multilevel"/>
    <w:tmpl w:val="02E69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B561C2"/>
    <w:multiLevelType w:val="multilevel"/>
    <w:tmpl w:val="4CDE60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986AB5"/>
    <w:multiLevelType w:val="multilevel"/>
    <w:tmpl w:val="FD12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4"/>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1AC"/>
    <w:rsid w:val="000848A5"/>
    <w:rsid w:val="002426F4"/>
    <w:rsid w:val="00EF6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7A043538-A6E9-5B4A-AF7C-27829687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7127</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HIDALGO VILLEGAS, ANDREA IDALI</cp:lastModifiedBy>
  <cp:revision>2</cp:revision>
  <dcterms:created xsi:type="dcterms:W3CDTF">2025-05-07T19:07:00Z</dcterms:created>
  <dcterms:modified xsi:type="dcterms:W3CDTF">2025-05-07T19:07:00Z</dcterms:modified>
</cp:coreProperties>
</file>