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2.xml" ContentType="application/vnd.openxmlformats-officedocument.wordprocessingml.footer+xml"/>
  <Override PartName="/word/header101.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1pt;margin-top:.325004pt;width:189.1pt;height:697.7pt;mso-position-horizontal-relative:page;mso-position-vertical-relative:page;z-index:251680768" coordorigin="0,7" coordsize="3782,13954">
            <v:rect style="position:absolute;left:0;top:6;width:3782;height:13122" filled="true" fillcolor="#e8e9ea" stroked="false">
              <v:fill type="solid"/>
            </v:rect>
            <v:shape style="position:absolute;left:1202;top:917;width:1225;height:1202" type="#_x0000_t75" stroked="false">
              <v:imagedata r:id="rId5" o:title=""/>
            </v:shape>
            <v:shape style="position:absolute;left:957;top:5334;width:1719;height:302" type="#_x0000_t75" stroked="false">
              <v:imagedata r:id="rId6" o:title=""/>
            </v:shape>
            <v:shape style="position:absolute;left:1102;top:4444;width:1429;height:104" type="#_x0000_t75" stroked="false">
              <v:imagedata r:id="rId7" o:title=""/>
            </v:shape>
            <v:shape style="position:absolute;left:647;top:5854;width:2431;height:134" type="#_x0000_t75" stroked="false">
              <v:imagedata r:id="rId8" o:title=""/>
            </v:shape>
            <v:shape style="position:absolute;left:1003;top:4236;width:1629;height:89" coordorigin="1004,4237" coordsize="1629,89" path="m1088,4278l1048,4278,1048,4290,1075,4290,1073,4306,1062,4312,1047,4312,1035,4310,1026,4303,1020,4293,1018,4281,1020,4269,1026,4259,1035,4252,1047,4250,1059,4250,1067,4254,1072,4264,1086,4264,1080,4251,1078,4250,1071,4243,1060,4238,1047,4237,1031,4240,1017,4248,1007,4262,1004,4281,1007,4299,1016,4313,1030,4322,1047,4325,1066,4321,1078,4312,1079,4311,1087,4296,1088,4278m1198,4281l1194,4262,1186,4250,1184,4248,1183,4248,1183,4281,1181,4294,1175,4304,1165,4310,1154,4312,1142,4310,1133,4304,1127,4294,1124,4281,1127,4268,1133,4258,1142,4252,1154,4250,1165,4252,1175,4258,1181,4268,1183,4281,1183,4248,1170,4240,1154,4237,1137,4240,1123,4248,1113,4262,1110,4281,1113,4300,1123,4314,1137,4322,1153,4325,1171,4322,1185,4313,1186,4312,1194,4299,1198,4281m1291,4289l1288,4286,1286,4282,1277,4279,1284,4276,1284,4275,1287,4270,1287,4250,1287,4246,1276,4239,1276,4295,1276,4299,1276,4307,1270,4312,1239,4312,1239,4286,1265,4286,1269,4287,1272,4289,1275,4291,1276,4295,1276,4239,1275,4238,1273,4238,1273,4254,1273,4271,1267,4275,1239,4275,1239,4250,1267,4250,1273,4254,1273,4238,1225,4238,1225,4324,1280,4324,1291,4315,1291,4312,1291,4289m1354,4313l1340,4313,1340,4249,1353,4249,1353,4238,1313,4238,1313,4249,1326,4249,1326,4313,1312,4313,1312,4324,1354,4324,1354,4313m1433,4311l1395,4311,1395,4286,1431,4286,1431,4273,1395,4273,1395,4250,1433,4250,1433,4238,1380,4238,1380,4324,1433,4324,1433,4311m1531,4322l1511,4294,1510,4292,1520,4288,1525,4282,1528,4278,1528,4266,1526,4255,1522,4250,1520,4246,1514,4242,1514,4257,1514,4275,1507,4282,1476,4282,1476,4250,1507,4250,1514,4257,1514,4242,1510,4240,1498,4238,1462,4238,1462,4324,1476,4324,1476,4294,1495,4294,1517,4324,1531,4324,1531,4322m1628,4238l1613,4238,1613,4269,1614,4296,1587,4265,1562,4238,1557,4238,1557,4324,1571,4324,1571,4293,1570,4265,1623,4324,1628,4324,1628,4296,1628,4238m1743,4281l1739,4262,1731,4250,1730,4248,1728,4248,1728,4281,1726,4294,1720,4304,1710,4310,1699,4312,1687,4310,1678,4304,1672,4294,1669,4281,1672,4268,1678,4258,1687,4252,1699,4250,1710,4252,1720,4258,1726,4268,1728,4281,1728,4248,1716,4240,1699,4237,1682,4240,1668,4248,1658,4262,1655,4281,1658,4300,1668,4314,1682,4322,1699,4325,1716,4322,1730,4313,1731,4312,1739,4299,1743,4281m1885,4281l1882,4265,1874,4251,1871,4249,1871,4281,1869,4293,1863,4302,1855,4309,1843,4311,1826,4311,1826,4251,1843,4251,1855,4253,1863,4260,1869,4269,1871,4281,1871,4249,1861,4241,1843,4238,1812,4238,1812,4324,1843,4324,1861,4321,1874,4311,1874,4311,1882,4297,1885,4281m1966,4311l1927,4311,1927,4286,1963,4286,1963,4273,1927,4273,1927,4250,1965,4250,1965,4238,1912,4238,1912,4324,1966,4324,1966,4311m2046,4311l2009,4311,2009,4238,1994,4238,1994,4324,2046,4324,2046,4311m2160,4311l2121,4311,2121,4286,2157,4286,2157,4273,2121,4273,2121,4250,2160,4250,2160,4238,2107,4238,2107,4324,2160,4324,2160,4311m2252,4300l2249,4288,2242,4280,2231,4276,2218,4274,2199,4272,2199,4252,2209,4250,2225,4250,2235,4253,2236,4262,2249,4262,2246,4250,2245,4250,2239,4243,2229,4238,2217,4237,2205,4238,2194,4243,2187,4251,2185,4262,2184,4280,2200,4285,2216,4286,2238,4288,2238,4310,2227,4312,2208,4312,2198,4309,2197,4300,2183,4300,2186,4311,2194,4319,2205,4324,2218,4325,2230,4324,2241,4320,2248,4312,2249,4312,2252,4300m2334,4238l2270,4238,2270,4251,2295,4251,2295,4324,2309,4324,2309,4251,2334,4251,2334,4238m2427,4322l2419,4306,2414,4294,2399,4262,2399,4294,2369,4294,2384,4260,2399,4294,2399,4262,2398,4260,2387,4237,2380,4237,2341,4322,2341,4324,2356,4324,2364,4306,2403,4306,2412,4324,2427,4324,2427,4322m2522,4281l2519,4265,2511,4251,2508,4249,2508,4281,2506,4293,2500,4302,2492,4309,2480,4311,2463,4311,2463,4251,2480,4251,2492,4253,2500,4260,2506,4269,2508,4281,2508,4249,2498,4241,2480,4238,2449,4238,2449,4324,2480,4324,2498,4321,2511,4311,2511,4311,2519,4297,2522,4281m2632,4281l2629,4262,2620,4250,2619,4248,2618,4248,2618,4281,2615,4294,2609,4304,2600,4310,2588,4312,2577,4310,2567,4304,2561,4294,2559,4281,2561,4268,2567,4258,2577,4252,2588,4250,2600,4252,2609,4258,2615,4268,2618,4281,2618,4248,2605,4240,2588,4237,2571,4240,2557,4248,2548,4262,2544,4281,2548,4300,2557,4314,2571,4322,2588,4325,2606,4322,2620,4313,2621,4312,2629,4299,2632,4281e" filled="true" fillcolor="#7d868c" stroked="false">
              <v:path arrowok="t"/>
              <v:fill type="solid"/>
            </v:shape>
            <v:shape style="position:absolute;left:1211;top:3822;width:341;height:278" type="#_x0000_t75" stroked="false">
              <v:imagedata r:id="rId9" o:title=""/>
            </v:shape>
            <v:shape style="position:absolute;left:1590;top:3706;width:121;height:393" type="#_x0000_t75" stroked="false">
              <v:imagedata r:id="rId10" o:title=""/>
            </v:shape>
            <v:shape style="position:absolute;left:1739;top:3697;width:129;height:403" coordorigin="1740,3697" coordsize="129,403" path="m1812,3830l1751,3830,1748,3833,1748,4039,1749,4052,1753,4063,1760,4074,1769,4083,1780,4090,1793,4095,1808,4098,1824,4099,1835,4099,1848,4097,1861,4093,1866,4091,1868,4088,1868,4083,1863,4045,1863,4041,1828,4041,1823,4039,1816,4032,1814,4027,1814,3833,1812,3830xm1859,4038l1846,4040,1839,4041,1863,4041,1863,4040,1859,4038xm1792,3697l1770,3697,1760,3701,1744,3716,1740,3725,1740,3746,1744,3755,1760,3770,1770,3773,1792,3773,1802,3770,1818,3755,1823,3746,1823,3725,1818,3716,1802,3701,1792,3697xe" filled="true" fillcolor="#7d868c" stroked="false">
              <v:path arrowok="t"/>
              <v:fill type="solid"/>
            </v:shape>
            <v:shape style="position:absolute;left:1886;top:3822;width:247;height:278" type="#_x0000_t75" stroked="false">
              <v:imagedata r:id="rId11" o:title=""/>
            </v:shape>
            <v:shape style="position:absolute;left:2474;top:3822;width:291;height:278" type="#_x0000_t75" stroked="false">
              <v:imagedata r:id="rId12" o:title=""/>
            </v:shape>
            <v:shape style="position:absolute;left:2165;top:3822;width:278;height:278" type="#_x0000_t75" stroked="false">
              <v:imagedata r:id="rId13" o:title=""/>
            </v:shape>
            <v:shape style="position:absolute;left:870;top:3710;width:298;height:389" type="#_x0000_t75" stroked="false">
              <v:imagedata r:id="rId14" o:title=""/>
            </v:shape>
            <v:shape style="position:absolute;left:1298;top:2538;width:1036;height:1075" type="#_x0000_t75" stroked="false">
              <v:imagedata r:id="rId15" o:title=""/>
            </v:shape>
            <v:shape style="position:absolute;left:589;top:7308;width:2531;height:463" type="#_x0000_t75" stroked="false">
              <v:imagedata r:id="rId16" o:title=""/>
            </v:shape>
            <v:shape style="position:absolute;left:584;top:7980;width:2828;height:295" type="#_x0000_t75" stroked="false">
              <v:imagedata r:id="rId17" o:title=""/>
            </v:shape>
            <v:shape style="position:absolute;left:582;top:8484;width:2342;height:439" type="#_x0000_t75" stroked="false">
              <v:imagedata r:id="rId18" o:title=""/>
            </v:shape>
            <v:shape style="position:absolute;left:2542;top:9684;width:181;height:401" coordorigin="2542,9684" coordsize="181,401" path="m2560,9690l2559,9688,2555,9685,2553,9684,2549,9684,2547,9685,2543,9688,2542,9690,2542,9695,2543,9697,2547,9700,2549,9701,2553,9701,2555,9700,2559,9697,2560,9695,2560,9690m2723,10074l2722,10072,2718,10069,2716,10068,2712,10068,2710,10069,2706,10072,2705,10074,2705,10079,2706,10081,2710,10084,2712,10085,2716,10085,2718,10084,2722,10081,2723,10079,2723,10074e" filled="true" fillcolor="#7d868c" stroked="false">
              <v:path arrowok="t"/>
              <v:fill type="solid"/>
            </v:shape>
            <v:shape style="position:absolute;left:585;top:9388;width:2181;height:1691" type="#_x0000_t75" stroked="false">
              <v:imagedata r:id="rId19" o:title=""/>
            </v:shape>
            <v:shape style="position:absolute;left:587;top:11497;width:2470;height:160" type="#_x0000_t75" stroked="false">
              <v:imagedata r:id="rId20" o:title=""/>
            </v:shape>
            <v:shapetype id="_x0000_t202" o:spt="202" coordsize="21600,21600" path="m,l,21600r21600,l21600,xe">
              <v:stroke joinstyle="miter"/>
              <v:path gradientshapeok="t" o:connecttype="rect"/>
            </v:shapetype>
            <v:shape style="position:absolute;left:0;top:13128;width:3782;height:832" type="#_x0000_t202" filled="true" fillcolor="#edaa00" stroked="false">
              <v:textbox inset="0,0,0,0">
                <w:txbxContent>
                  <w:p>
                    <w:pPr>
                      <w:spacing w:line="235" w:lineRule="auto" w:before="195"/>
                      <w:ind w:left="1500" w:right="382" w:hanging="1000"/>
                      <w:jc w:val="left"/>
                      <w:rPr>
                        <w:rFonts w:ascii="Century Gothic"/>
                        <w:b/>
                        <w:sz w:val="20"/>
                      </w:rPr>
                    </w:pPr>
                    <w:r>
                      <w:rPr>
                        <w:rFonts w:ascii="Century Gothic"/>
                        <w:b/>
                        <w:w w:val="120"/>
                        <w:sz w:val="20"/>
                      </w:rPr>
                      <w:t>MARTES 24 DE DICIEMBRE DE 2019</w:t>
                    </w:r>
                  </w:p>
                </w:txbxContent>
              </v:textbox>
              <v:fill type="solid"/>
              <w10:wrap type="none"/>
            </v:shape>
            <w10:wrap type="none"/>
          </v:group>
        </w:pict>
      </w:r>
      <w:r>
        <w:rPr/>
        <w:pict>
          <v:group style="position:absolute;margin-left:352.199982pt;margin-top:246.903366pt;width:227.85pt;height:349.2pt;mso-position-horizontal-relative:page;mso-position-vertical-relative:page;z-index:251681792" coordorigin="7044,4938" coordsize="4557,6984">
            <v:shape style="position:absolute;left:10357;top:5764;width:126;height:319" type="#_x0000_t75" stroked="false">
              <v:imagedata r:id="rId21" o:title=""/>
            </v:shape>
            <v:shape style="position:absolute;left:9062;top:4938;width:1871;height:1056" coordorigin="9063,4938" coordsize="1871,1056" path="m10482,5385l10357,5385,10357,5504,10482,5504,10482,5385m10933,5681l10933,5122,10932,5110,10927,5098,10919,5087,10909,5078,10859,5047,10844,5038,10823,5028,10823,5153,10823,5681,10755,5651,10685,5626,10613,5609,10540,5597,10466,5592,10392,5593,10318,5600,10246,5614,10174,5634,10105,5660,10038,5693,9905,5775,9833,5811,9760,5840,9686,5862,9611,5876,9535,5883,9459,5882,9382,5874,9306,5859,9229,5837,9559,5594,9568,5586,9575,5576,9579,5564,9581,5552,9580,5540,9577,5528,9571,5518,9562,5508,9352,5327,9431,5337,9510,5340,9588,5336,9648,5327,9665,5325,9742,5307,9817,5283,9892,5251,9936,5229,9965,5213,10036,5169,10101,5130,10170,5098,10242,5074,10315,5057,10390,5048,10465,5047,10540,5053,10615,5067,10687,5088,10757,5117,10823,5153,10823,5028,10775,5005,10704,4978,10631,4958,10556,4945,10480,4938,10404,4938,10328,4945,10253,4958,10180,4978,10108,5005,10040,5038,9904,5122,9831,5158,9757,5187,9682,5209,9605,5222,9528,5229,9451,5228,9373,5219,9295,5202,9217,5178,9140,5147,9121,5142,9102,5144,9085,5152,9071,5167,9063,5185,9063,5204,9069,5223,9081,5238,9438,5547,9085,5806,9074,5816,9067,5828,9063,5842,9063,5856,9066,5870,9072,5883,9082,5893,9094,5901,9175,5934,9257,5960,9339,5979,9421,5990,9503,5994,9582,5990,9660,5980,9738,5962,9815,5938,9890,5907,9936,5883,9964,5868,10036,5823,10099,5785,10165,5754,10233,5731,10304,5714,10376,5704,10448,5701,10521,5705,10592,5716,10663,5734,10731,5759,10796,5791,10764,5818,10721,5842,10665,5860,10596,5868,10548,5868,10548,5977,10596,5977,10714,5961,10805,5922,10869,5874,10908,5830,10925,5806,10926,5804,10931,5796,10933,5787,10933,5701,10933,5681e" filled="true" fillcolor="#e8e9ea" stroked="false">
              <v:path arrowok="t"/>
              <v:fill type="solid"/>
            </v:shape>
            <v:line style="position:absolute" from="10238,5322" to="10601,5322" stroked="true" strokeweight="6.251pt" strokecolor="#e8e9ea">
              <v:stroke dashstyle="solid"/>
            </v:line>
            <v:rect style="position:absolute;left:10357;top:5140;width:126;height:119" filled="true" fillcolor="#e8e9ea" stroked="false">
              <v:fill type="solid"/>
            </v:rect>
            <v:shape style="position:absolute;left:7044;top:6141;width:4557;height:5780" type="#_x0000_t75" stroked="false">
              <v:imagedata r:id="rId22" o:title=""/>
            </v:shape>
            <w10:wrap type="none"/>
          </v:group>
        </w:pict>
      </w:r>
      <w:r>
        <w:rPr/>
        <w:pict>
          <v:group style="position:absolute;margin-left:469.346802pt;margin-top:654.829529pt;width:88.65pt;height:88.65pt;mso-position-horizontal-relative:page;mso-position-vertical-relative:page;z-index:251684864" coordorigin="9387,13097" coordsize="1773,1773">
            <v:shape style="position:absolute;left:9386;top:13096;width:1773;height:1773" coordorigin="9387,13097" coordsize="1773,1773" path="m10272,13097l10217,13122,10136,13198,9489,13846,9412,13926,9387,13981,9412,14037,9489,14117,10139,14768,10220,14844,10275,14869,10330,14844,10411,14768,11058,14120,11134,14040,11160,13985,11134,13929,11058,13849,10407,13198,10327,13122,10272,13097xe" filled="true" fillcolor="#7d868c" stroked="false">
              <v:path arrowok="t"/>
              <v:fill type="solid"/>
            </v:shape>
            <v:shape style="position:absolute;left:9677;top:13285;width:1195;height:1104" type="#_x0000_t202" filled="false" stroked="false">
              <v:textbox inset="0,0,0,0">
                <w:txbxContent>
                  <w:p>
                    <w:pPr>
                      <w:spacing w:line="1081" w:lineRule="exact" w:before="0"/>
                      <w:ind w:left="0" w:right="0" w:firstLine="0"/>
                      <w:jc w:val="left"/>
                      <w:rPr>
                        <w:rFonts w:ascii="Verdana"/>
                        <w:b/>
                        <w:sz w:val="92"/>
                      </w:rPr>
                    </w:pPr>
                    <w:r>
                      <w:rPr>
                        <w:rFonts w:ascii="Verdana"/>
                        <w:b/>
                        <w:color w:val="FFFFFF"/>
                        <w:w w:val="90"/>
                        <w:sz w:val="92"/>
                      </w:rPr>
                      <w:t>39</w:t>
                    </w:r>
                  </w:p>
                </w:txbxContent>
              </v:textbox>
              <w10:wrap type="none"/>
            </v:shape>
            <v:shape style="position:absolute;left:9939;top:14242;width:734;height:329" type="#_x0000_t202" filled="false" stroked="false">
              <v:textbox inset="0,0,0,0">
                <w:txbxContent>
                  <w:p>
                    <w:pPr>
                      <w:spacing w:line="194" w:lineRule="auto" w:before="11"/>
                      <w:ind w:left="185" w:right="7" w:hanging="186"/>
                      <w:jc w:val="left"/>
                      <w:rPr>
                        <w:rFonts w:ascii="Arial Black" w:hAnsi="Arial Black"/>
                        <w:sz w:val="14"/>
                      </w:rPr>
                    </w:pPr>
                    <w:r>
                      <w:rPr>
                        <w:rFonts w:ascii="Arial Black" w:hAnsi="Arial Black"/>
                        <w:color w:val="FFFFFF"/>
                        <w:sz w:val="14"/>
                      </w:rPr>
                      <w:t>SECCIÓN XLVI</w:t>
                    </w:r>
                  </w:p>
                </w:txbxContent>
              </v:textbox>
              <w10:wrap type="none"/>
            </v:shape>
            <w10:wrap type="none"/>
          </v:group>
        </w:pict>
      </w:r>
    </w:p>
    <w:p>
      <w:pPr>
        <w:pStyle w:val="BodyText"/>
        <w:rPr>
          <w:rFonts w:ascii="Times New Roman"/>
          <w:sz w:val="28"/>
        </w:rPr>
      </w:pPr>
    </w:p>
    <w:p>
      <w:pPr>
        <w:pStyle w:val="BodyText"/>
        <w:ind w:left="7193"/>
        <w:rPr>
          <w:rFonts w:ascii="Times New Roman"/>
          <w:sz w:val="20"/>
        </w:rPr>
      </w:pPr>
      <w:r>
        <w:rPr>
          <w:rFonts w:ascii="Times New Roman"/>
          <w:sz w:val="20"/>
        </w:rPr>
        <w:drawing>
          <wp:inline distT="0" distB="0" distL="0" distR="0">
            <wp:extent cx="704100" cy="990600"/>
            <wp:effectExtent l="0" t="0" r="0" b="0"/>
            <wp:docPr id="1" name="image19.png"/>
            <wp:cNvGraphicFramePr>
              <a:graphicFrameLocks noChangeAspect="1"/>
            </wp:cNvGraphicFramePr>
            <a:graphic>
              <a:graphicData uri="http://schemas.openxmlformats.org/drawingml/2006/picture">
                <pic:pic>
                  <pic:nvPicPr>
                    <pic:cNvPr id="2" name="image19.png"/>
                    <pic:cNvPicPr/>
                  </pic:nvPicPr>
                  <pic:blipFill>
                    <a:blip r:embed="rId23" cstate="print"/>
                    <a:stretch>
                      <a:fillRect/>
                    </a:stretch>
                  </pic:blipFill>
                  <pic:spPr>
                    <a:xfrm>
                      <a:off x="0" y="0"/>
                      <a:ext cx="704100" cy="990600"/>
                    </a:xfrm>
                    <a:prstGeom prst="rect">
                      <a:avLst/>
                    </a:prstGeom>
                  </pic:spPr>
                </pic:pic>
              </a:graphicData>
            </a:graphic>
          </wp:inline>
        </w:drawing>
      </w:r>
      <w:r>
        <w:rPr>
          <w:rFonts w:ascii="Times New Roman"/>
          <w:sz w:val="20"/>
        </w:rPr>
      </w:r>
    </w:p>
    <w:p>
      <w:pPr>
        <w:pStyle w:val="BodyText"/>
        <w:spacing w:before="9"/>
        <w:rPr>
          <w:rFonts w:ascii="Times New Roman"/>
          <w:sz w:val="22"/>
        </w:rPr>
      </w:pPr>
      <w:r>
        <w:rPr/>
        <w:pict>
          <v:group style="position:absolute;margin-left:262.399597pt;margin-top:15.4153pt;width:23.25pt;height:13.8pt;mso-position-horizontal-relative:page;mso-position-vertical-relative:paragraph;z-index:-251658240;mso-wrap-distance-left:0;mso-wrap-distance-right:0" coordorigin="5248,308" coordsize="465,276">
            <v:shape style="position:absolute;left:5248;top:308;width:217;height:276" type="#_x0000_t75" stroked="false">
              <v:imagedata r:id="rId24" o:title=""/>
            </v:shape>
            <v:shape style="position:absolute;left:5500;top:308;width:213;height:276" type="#_x0000_t75" stroked="false">
              <v:imagedata r:id="rId25" o:title=""/>
            </v:shape>
            <w10:wrap type="topAndBottom"/>
          </v:group>
        </w:pict>
      </w:r>
      <w:r>
        <w:rPr/>
        <w:pict>
          <v:group style="position:absolute;margin-left:292.072906pt;margin-top:15.0616pt;width:85.9pt;height:14.5pt;mso-position-horizontal-relative:page;mso-position-vertical-relative:paragraph;z-index:-251657216;mso-wrap-distance-left:0;mso-wrap-distance-right:0" coordorigin="5841,301" coordsize="1718,290">
            <v:shape style="position:absolute;left:5841;top:308;width:217;height:276" coordorigin="5841,308" coordsize="217,276" path="m6055,308l5845,308,5841,311,5841,581,5845,584,6055,584,6058,581,6058,527,6055,524,5916,524,5916,476,6034,476,6037,473,6037,421,6034,418,5916,418,5916,368,6055,368,6058,365,6058,311,6055,308xe" filled="true" fillcolor="#7d868c" stroked="false">
              <v:path arrowok="t"/>
              <v:fill type="solid"/>
            </v:shape>
            <v:shape style="position:absolute;left:6084;top:301;width:250;height:290" coordorigin="6084,301" coordsize="250,290" path="m6155,496l6087,496,6084,499,6085,505,6090,523,6099,540,6111,554,6127,567,6146,577,6167,584,6190,589,6215,590,6240,589,6263,584,6284,577,6301,566,6315,553,6326,538,6328,532,6201,532,6189,529,6170,519,6164,512,6161,503,6158,498,6155,496xm6210,301l6185,303,6163,307,6144,315,6127,325,6113,338,6103,353,6097,370,6095,386,6095,392,6096,402,6098,413,6102,424,6107,434,6114,446,6124,454,6136,459,6145,463,6154,466,6164,469,6174,472,6187,475,6200,478,6224,481,6233,485,6249,494,6253,500,6253,515,6249,521,6236,530,6226,532,6328,532,6332,521,6334,503,6333,490,6331,479,6327,469,6322,459,6315,448,6305,440,6281,430,6269,426,6242,419,6229,416,6206,412,6196,409,6181,399,6177,392,6177,377,6180,371,6194,361,6203,359,6323,359,6317,348,6305,334,6290,322,6272,313,6253,307,6232,303,6210,301xm6323,359l6214,359,6228,361,6239,365,6248,373,6254,384,6257,388,6260,390,6325,390,6328,389,6331,386,6332,384,6331,381,6325,363,6323,359xe" filled="true" fillcolor="#7d868c" stroked="false">
              <v:path arrowok="t"/>
              <v:fill type="solid"/>
            </v:shape>
            <v:shape style="position:absolute;left:6359;top:308;width:252;height:276" coordorigin="6359,308" coordsize="252,276" path="m6522,370l6448,370,6448,581,6451,584,6519,584,6522,581,6522,370xm6608,308l6363,308,6359,311,6359,367,6363,370,6608,370,6611,367,6611,311,6608,308xe" filled="true" fillcolor="#7d868c" stroked="false">
              <v:path arrowok="t"/>
              <v:fill type="solid"/>
            </v:shape>
            <v:shape style="position:absolute;left:6622;top:308;width:306;height:276" coordorigin="6623,308" coordsize="306,276" path="m6809,308l6743,308,6739,311,6737,315,6624,573,6623,576,6623,579,6625,583,6628,584,6696,584,6700,581,6702,576,6719,535,6910,535,6885,477,6741,477,6776,393,6848,393,6814,315,6812,311,6809,308xm6910,535l6833,535,6849,577,6851,581,6855,584,6923,584,6926,583,6928,579,6928,576,6927,573,6910,535xm6848,393l6776,393,6810,477,6885,477,6848,393xe" filled="true" fillcolor="#7d868c" stroked="false">
              <v:path arrowok="t"/>
              <v:fill type="solid"/>
            </v:shape>
            <v:shape style="position:absolute;left:6954;top:308;width:269;height:276" coordorigin="6954,308" coordsize="269,276" path="m7069,308l6957,308,6954,311,6954,581,6957,584,7069,584,7102,581,7132,574,7159,563,7181,546,7200,526,7203,521,7028,521,7028,371,7202,371,7200,366,7181,345,7159,329,7132,318,7102,311,7069,308xm7202,371l7065,371,7083,372,7099,376,7113,382,7125,392,7135,403,7142,415,7146,430,7147,446,7146,462,7142,477,7135,489,7125,500,7113,509,7099,516,7083,520,7065,521,7203,521,7213,503,7220,476,7223,446,7220,416,7213,389,7202,371xe" filled="true" fillcolor="#7d868c" stroked="false">
              <v:path arrowok="t"/>
              <v:fill type="solid"/>
            </v:shape>
            <v:shape style="position:absolute;left:7254;top:301;width:305;height:289" type="#_x0000_t75" stroked="false">
              <v:imagedata r:id="rId26" o:title=""/>
            </v:shape>
            <w10:wrap type="topAndBottom"/>
          </v:group>
        </w:pict>
      </w:r>
      <w:r>
        <w:rPr/>
        <w:pict>
          <v:group style="position:absolute;margin-left:384.733093pt;margin-top:15.4152pt;width:26.2pt;height:13.8pt;mso-position-horizontal-relative:page;mso-position-vertical-relative:paragraph;z-index:-251656192;mso-wrap-distance-left:0;mso-wrap-distance-right:0" coordorigin="7695,308" coordsize="524,276">
            <v:shape style="position:absolute;left:7694;top:308;width:269;height:276" type="#_x0000_t75" stroked="false">
              <v:imagedata r:id="rId27" o:title=""/>
            </v:shape>
            <v:shape style="position:absolute;left:8001;top:308;width:217;height:276" type="#_x0000_t75" stroked="false">
              <v:imagedata r:id="rId24" o:title=""/>
            </v:shape>
            <w10:wrap type="topAndBottom"/>
          </v:group>
        </w:pict>
      </w:r>
      <w:r>
        <w:rPr/>
        <w:pict>
          <v:group style="position:absolute;margin-left:416.904205pt;margin-top:15.0616pt;width:95.9pt;height:14.5pt;mso-position-horizontal-relative:page;mso-position-vertical-relative:paragraph;z-index:-251655168;mso-wrap-distance-left:0;mso-wrap-distance-right:0" coordorigin="8338,301" coordsize="1918,290">
            <v:shape style="position:absolute;left:8338;top:308;width:236;height:283" coordorigin="8338,308" coordsize="236,283" path="m8408,488l8341,488,8338,491,8339,497,8343,518,8350,536,8361,552,8374,566,8391,577,8409,584,8430,589,8453,591,8480,589,8504,583,8525,574,8542,561,8556,545,8565,527,8444,527,8435,524,8420,513,8415,506,8413,496,8412,490,8408,488xm8571,308l8383,308,8379,311,8379,367,8383,370,8498,370,8498,493,8494,505,8479,523,8469,527,8565,527,8566,525,8572,502,8574,476,8574,311,8571,308xe" filled="true" fillcolor="#7d868c" stroked="false">
              <v:path arrowok="t"/>
              <v:fill type="solid"/>
            </v:shape>
            <v:shape style="position:absolute;left:8595;top:308;width:306;height:276" coordorigin="8596,308" coordsize="306,276" path="m8781,308l8716,308,8712,311,8710,315,8597,573,8596,576,8596,579,8598,583,8601,584,8669,584,8673,581,8675,576,8692,535,8883,535,8858,477,8714,477,8748,393,8821,393,8787,315,8785,311,8781,308xm8883,535l8805,535,8822,577,8824,581,8828,584,8896,584,8898,583,8901,579,8901,576,8900,573,8883,535xm8821,393l8748,393,8783,477,8858,477,8821,393xe" filled="true" fillcolor="#7d868c" stroked="false">
              <v:path arrowok="t"/>
              <v:fill type="solid"/>
            </v:shape>
            <v:shape style="position:absolute;left:8926;top:308;width:213;height:276" coordorigin="8927,308" coordsize="213,276" path="m8998,308l8930,308,8927,311,8927,581,8930,584,9137,584,9140,581,9140,526,9137,523,9001,523,9001,311,8998,308xe" filled="true" fillcolor="#7d868c" stroked="false">
              <v:path arrowok="t"/>
              <v:fill type="solid"/>
            </v:shape>
            <v:shape style="position:absolute;left:9158;top:308;width:163;height:276" coordorigin="9158,308" coordsize="163,276" path="m9317,522l9161,522,9158,525,9158,581,9161,584,9317,584,9321,581,9321,525,9317,522xm9276,370l9202,370,9202,522,9276,522,9276,370xm9317,308l9161,308,9158,311,9158,367,9161,370,9317,370,9321,367,9321,311,9317,308xe" filled="true" fillcolor="#7d868c" stroked="false">
              <v:path arrowok="t"/>
              <v:fill type="solid"/>
            </v:shape>
            <v:shape style="position:absolute;left:9344;top:301;width:250;height:290" coordorigin="9344,301" coordsize="250,290" path="m9415,496l9347,496,9344,499,9345,505,9350,523,9359,540,9371,554,9387,567,9406,577,9427,584,9450,589,9475,590,9500,589,9523,584,9544,577,9561,566,9576,553,9586,538,9588,532,9461,532,9449,529,9430,519,9424,512,9421,503,9418,498,9415,496xm9470,301l9445,303,9423,307,9404,315,9387,325,9373,338,9363,353,9357,370,9355,386,9355,392,9356,402,9358,413,9362,424,9367,434,9374,446,9384,454,9396,459,9405,463,9414,466,9424,469,9434,472,9448,475,9460,478,9484,481,9494,485,9509,494,9513,500,9513,515,9509,521,9496,530,9487,532,9588,532,9592,521,9594,503,9593,490,9591,479,9587,469,9582,459,9575,448,9565,440,9542,430,9529,426,9502,419,9489,416,9466,412,9456,409,9441,399,9437,392,9437,377,9440,371,9454,361,9463,359,9583,359,9577,348,9565,334,9550,322,9532,313,9513,307,9492,303,9470,301xm9583,359l9474,359,9488,361,9499,365,9508,373,9514,384,9517,388,9520,390,9585,390,9588,389,9591,386,9592,384,9591,381,9586,363,9583,359xe" filled="true" fillcolor="#7d868c" stroked="false">
              <v:path arrowok="t"/>
              <v:fill type="solid"/>
            </v:shape>
            <v:shape style="position:absolute;left:9626;top:301;width:295;height:290" type="#_x0000_t75" stroked="false">
              <v:imagedata r:id="rId28" o:title=""/>
            </v:shape>
            <v:shape style="position:absolute;left:9951;top:301;width:305;height:289" type="#_x0000_t75" stroked="false">
              <v:imagedata r:id="rId29" o:title=""/>
            </v:shape>
            <w10:wrap type="topAndBottom"/>
          </v:group>
        </w:pict>
      </w:r>
      <w:r>
        <w:rPr/>
        <w:drawing>
          <wp:anchor distT="0" distB="0" distL="0" distR="0" allowOverlap="1" layoutInCell="1" locked="0" behindDoc="0" simplePos="0" relativeHeight="4">
            <wp:simplePos x="0" y="0"/>
            <wp:positionH relativeFrom="page">
              <wp:posOffset>3687271</wp:posOffset>
            </wp:positionH>
            <wp:positionV relativeFrom="paragraph">
              <wp:posOffset>507493</wp:posOffset>
            </wp:positionV>
            <wp:extent cx="82043" cy="107346"/>
            <wp:effectExtent l="0" t="0" r="0" b="0"/>
            <wp:wrapTopAndBottom/>
            <wp:docPr id="3" name="image26.png"/>
            <wp:cNvGraphicFramePr>
              <a:graphicFrameLocks noChangeAspect="1"/>
            </wp:cNvGraphicFramePr>
            <a:graphic>
              <a:graphicData uri="http://schemas.openxmlformats.org/drawingml/2006/picture">
                <pic:pic>
                  <pic:nvPicPr>
                    <pic:cNvPr id="4" name="image26.png"/>
                    <pic:cNvPicPr/>
                  </pic:nvPicPr>
                  <pic:blipFill>
                    <a:blip r:embed="rId30" cstate="print"/>
                    <a:stretch>
                      <a:fillRect/>
                    </a:stretch>
                  </pic:blipFill>
                  <pic:spPr>
                    <a:xfrm>
                      <a:off x="0" y="0"/>
                      <a:ext cx="82043" cy="107346"/>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3833418</wp:posOffset>
            </wp:positionH>
            <wp:positionV relativeFrom="paragraph">
              <wp:posOffset>507489</wp:posOffset>
            </wp:positionV>
            <wp:extent cx="77749" cy="107346"/>
            <wp:effectExtent l="0" t="0" r="0" b="0"/>
            <wp:wrapTopAndBottom/>
            <wp:docPr id="5" name="image27.png"/>
            <wp:cNvGraphicFramePr>
              <a:graphicFrameLocks noChangeAspect="1"/>
            </wp:cNvGraphicFramePr>
            <a:graphic>
              <a:graphicData uri="http://schemas.openxmlformats.org/drawingml/2006/picture">
                <pic:pic>
                  <pic:nvPicPr>
                    <pic:cNvPr id="6" name="image27.png"/>
                    <pic:cNvPicPr/>
                  </pic:nvPicPr>
                  <pic:blipFill>
                    <a:blip r:embed="rId31" cstate="print"/>
                    <a:stretch>
                      <a:fillRect/>
                    </a:stretch>
                  </pic:blipFill>
                  <pic:spPr>
                    <a:xfrm>
                      <a:off x="0" y="0"/>
                      <a:ext cx="77749" cy="107346"/>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3978807</wp:posOffset>
            </wp:positionH>
            <wp:positionV relativeFrom="paragraph">
              <wp:posOffset>507489</wp:posOffset>
            </wp:positionV>
            <wp:extent cx="89430" cy="107346"/>
            <wp:effectExtent l="0" t="0" r="0" b="0"/>
            <wp:wrapTopAndBottom/>
            <wp:docPr id="7" name="image28.png"/>
            <wp:cNvGraphicFramePr>
              <a:graphicFrameLocks noChangeAspect="1"/>
            </wp:cNvGraphicFramePr>
            <a:graphic>
              <a:graphicData uri="http://schemas.openxmlformats.org/drawingml/2006/picture">
                <pic:pic>
                  <pic:nvPicPr>
                    <pic:cNvPr id="8" name="image28.png"/>
                    <pic:cNvPicPr/>
                  </pic:nvPicPr>
                  <pic:blipFill>
                    <a:blip r:embed="rId32" cstate="print"/>
                    <a:stretch>
                      <a:fillRect/>
                    </a:stretch>
                  </pic:blipFill>
                  <pic:spPr>
                    <a:xfrm>
                      <a:off x="0" y="0"/>
                      <a:ext cx="89430" cy="107346"/>
                    </a:xfrm>
                    <a:prstGeom prst="rect">
                      <a:avLst/>
                    </a:prstGeom>
                  </pic:spPr>
                </pic:pic>
              </a:graphicData>
            </a:graphic>
          </wp:anchor>
        </w:drawing>
      </w:r>
      <w:r>
        <w:rPr/>
        <w:pict>
          <v:shape style="position:absolute;margin-left:324.822998pt;margin-top:39.9599pt;width:4.2pt;height:8.4pt;mso-position-horizontal-relative:page;mso-position-vertical-relative:paragraph;z-index:-251651072;mso-wrap-distance-left:0;mso-wrap-distance-right:0" coordorigin="6496,799" coordsize="84,168" path="m6579,949l6497,949,6496,950,6496,966,6497,967,6579,967,6580,966,6580,950,6579,949xm6549,818l6528,818,6528,949,6549,949,6549,818xm6579,799l6497,799,6496,800,6496,817,6497,818,6579,818,6580,817,6580,800,6579,799xe" filled="true" fillcolor="#7d868c" stroked="false">
            <v:path arrowok="t"/>
            <v:fill type="solid"/>
            <w10:wrap type="topAndBottom"/>
          </v:shape>
        </w:pict>
      </w:r>
      <w:r>
        <w:rPr/>
        <w:drawing>
          <wp:anchor distT="0" distB="0" distL="0" distR="0" allowOverlap="1" layoutInCell="1" locked="0" behindDoc="0" simplePos="0" relativeHeight="8">
            <wp:simplePos x="0" y="0"/>
            <wp:positionH relativeFrom="page">
              <wp:posOffset>4240329</wp:posOffset>
            </wp:positionH>
            <wp:positionV relativeFrom="paragraph">
              <wp:posOffset>474112</wp:posOffset>
            </wp:positionV>
            <wp:extent cx="115144" cy="142875"/>
            <wp:effectExtent l="0" t="0" r="0" b="0"/>
            <wp:wrapTopAndBottom/>
            <wp:docPr id="9" name="image29.png"/>
            <wp:cNvGraphicFramePr>
              <a:graphicFrameLocks noChangeAspect="1"/>
            </wp:cNvGraphicFramePr>
            <a:graphic>
              <a:graphicData uri="http://schemas.openxmlformats.org/drawingml/2006/picture">
                <pic:pic>
                  <pic:nvPicPr>
                    <pic:cNvPr id="10" name="image29.png"/>
                    <pic:cNvPicPr/>
                  </pic:nvPicPr>
                  <pic:blipFill>
                    <a:blip r:embed="rId33" cstate="print"/>
                    <a:stretch>
                      <a:fillRect/>
                    </a:stretch>
                  </pic:blipFill>
                  <pic:spPr>
                    <a:xfrm>
                      <a:off x="0" y="0"/>
                      <a:ext cx="115144" cy="142875"/>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4423820</wp:posOffset>
            </wp:positionH>
            <wp:positionV relativeFrom="paragraph">
              <wp:posOffset>507493</wp:posOffset>
            </wp:positionV>
            <wp:extent cx="97532" cy="107346"/>
            <wp:effectExtent l="0" t="0" r="0" b="0"/>
            <wp:wrapTopAndBottom/>
            <wp:docPr id="11" name="image30.png"/>
            <wp:cNvGraphicFramePr>
              <a:graphicFrameLocks noChangeAspect="1"/>
            </wp:cNvGraphicFramePr>
            <a:graphic>
              <a:graphicData uri="http://schemas.openxmlformats.org/drawingml/2006/picture">
                <pic:pic>
                  <pic:nvPicPr>
                    <pic:cNvPr id="12" name="image30.png"/>
                    <pic:cNvPicPr/>
                  </pic:nvPicPr>
                  <pic:blipFill>
                    <a:blip r:embed="rId34" cstate="print"/>
                    <a:stretch>
                      <a:fillRect/>
                    </a:stretch>
                  </pic:blipFill>
                  <pic:spPr>
                    <a:xfrm>
                      <a:off x="0" y="0"/>
                      <a:ext cx="97532" cy="107346"/>
                    </a:xfrm>
                    <a:prstGeom prst="rect">
                      <a:avLst/>
                    </a:prstGeom>
                  </pic:spPr>
                </pic:pic>
              </a:graphicData>
            </a:graphic>
          </wp:anchor>
        </w:drawing>
      </w:r>
      <w:r>
        <w:rPr/>
        <w:pict>
          <v:shape style="position:absolute;margin-left:360.859192pt;margin-top:39.9599pt;width:4.2pt;height:8.4pt;mso-position-horizontal-relative:page;mso-position-vertical-relative:paragraph;z-index:-251648000;mso-wrap-distance-left:0;mso-wrap-distance-right:0" coordorigin="7217,799" coordsize="84,168" path="m7300,949l7218,949,7217,950,7217,966,7218,967,7300,967,7301,966,7301,950,7300,949xm7270,818l7248,818,7248,949,7270,949,7270,818xm7300,799l7218,799,7217,800,7217,817,7218,818,7300,818,7301,817,7301,800,7300,799xe" filled="true" fillcolor="#7d868c" stroked="false">
            <v:path arrowok="t"/>
            <v:fill type="solid"/>
            <w10:wrap type="topAndBottom"/>
          </v:shape>
        </w:pict>
      </w:r>
      <w:r>
        <w:rPr/>
        <w:drawing>
          <wp:anchor distT="0" distB="0" distL="0" distR="0" allowOverlap="1" layoutInCell="1" locked="0" behindDoc="0" simplePos="0" relativeHeight="11">
            <wp:simplePos x="0" y="0"/>
            <wp:positionH relativeFrom="page">
              <wp:posOffset>4698131</wp:posOffset>
            </wp:positionH>
            <wp:positionV relativeFrom="paragraph">
              <wp:posOffset>505357</wp:posOffset>
            </wp:positionV>
            <wp:extent cx="110346" cy="111728"/>
            <wp:effectExtent l="0" t="0" r="0" b="0"/>
            <wp:wrapTopAndBottom/>
            <wp:docPr id="13" name="image31.png"/>
            <wp:cNvGraphicFramePr>
              <a:graphicFrameLocks noChangeAspect="1"/>
            </wp:cNvGraphicFramePr>
            <a:graphic>
              <a:graphicData uri="http://schemas.openxmlformats.org/drawingml/2006/picture">
                <pic:pic>
                  <pic:nvPicPr>
                    <pic:cNvPr id="14" name="image31.png"/>
                    <pic:cNvPicPr/>
                  </pic:nvPicPr>
                  <pic:blipFill>
                    <a:blip r:embed="rId35" cstate="print"/>
                    <a:stretch>
                      <a:fillRect/>
                    </a:stretch>
                  </pic:blipFill>
                  <pic:spPr>
                    <a:xfrm>
                      <a:off x="0" y="0"/>
                      <a:ext cx="110346" cy="111728"/>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4872173</wp:posOffset>
            </wp:positionH>
            <wp:positionV relativeFrom="paragraph">
              <wp:posOffset>505354</wp:posOffset>
            </wp:positionV>
            <wp:extent cx="115411" cy="111728"/>
            <wp:effectExtent l="0" t="0" r="0" b="0"/>
            <wp:wrapTopAndBottom/>
            <wp:docPr id="15" name="image32.png"/>
            <wp:cNvGraphicFramePr>
              <a:graphicFrameLocks noChangeAspect="1"/>
            </wp:cNvGraphicFramePr>
            <a:graphic>
              <a:graphicData uri="http://schemas.openxmlformats.org/drawingml/2006/picture">
                <pic:pic>
                  <pic:nvPicPr>
                    <pic:cNvPr id="16" name="image32.png"/>
                    <pic:cNvPicPr/>
                  </pic:nvPicPr>
                  <pic:blipFill>
                    <a:blip r:embed="rId36" cstate="print"/>
                    <a:stretch>
                      <a:fillRect/>
                    </a:stretch>
                  </pic:blipFill>
                  <pic:spPr>
                    <a:xfrm>
                      <a:off x="0" y="0"/>
                      <a:ext cx="115411" cy="111728"/>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5137795</wp:posOffset>
            </wp:positionH>
            <wp:positionV relativeFrom="paragraph">
              <wp:posOffset>505354</wp:posOffset>
            </wp:positionV>
            <wp:extent cx="115411" cy="111728"/>
            <wp:effectExtent l="0" t="0" r="0" b="0"/>
            <wp:wrapTopAndBottom/>
            <wp:docPr id="17" name="image32.png"/>
            <wp:cNvGraphicFramePr>
              <a:graphicFrameLocks noChangeAspect="1"/>
            </wp:cNvGraphicFramePr>
            <a:graphic>
              <a:graphicData uri="http://schemas.openxmlformats.org/drawingml/2006/picture">
                <pic:pic>
                  <pic:nvPicPr>
                    <pic:cNvPr id="18" name="image32.png"/>
                    <pic:cNvPicPr/>
                  </pic:nvPicPr>
                  <pic:blipFill>
                    <a:blip r:embed="rId36" cstate="print"/>
                    <a:stretch>
                      <a:fillRect/>
                    </a:stretch>
                  </pic:blipFill>
                  <pic:spPr>
                    <a:xfrm>
                      <a:off x="0" y="0"/>
                      <a:ext cx="115411" cy="111728"/>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5321284</wp:posOffset>
            </wp:positionH>
            <wp:positionV relativeFrom="paragraph">
              <wp:posOffset>507490</wp:posOffset>
            </wp:positionV>
            <wp:extent cx="76216" cy="107346"/>
            <wp:effectExtent l="0" t="0" r="0" b="0"/>
            <wp:wrapTopAndBottom/>
            <wp:docPr id="19" name="image33.png"/>
            <wp:cNvGraphicFramePr>
              <a:graphicFrameLocks noChangeAspect="1"/>
            </wp:cNvGraphicFramePr>
            <a:graphic>
              <a:graphicData uri="http://schemas.openxmlformats.org/drawingml/2006/picture">
                <pic:pic>
                  <pic:nvPicPr>
                    <pic:cNvPr id="20" name="image33.png"/>
                    <pic:cNvPicPr/>
                  </pic:nvPicPr>
                  <pic:blipFill>
                    <a:blip r:embed="rId37" cstate="print"/>
                    <a:stretch>
                      <a:fillRect/>
                    </a:stretch>
                  </pic:blipFill>
                  <pic:spPr>
                    <a:xfrm>
                      <a:off x="0" y="0"/>
                      <a:ext cx="76216" cy="107346"/>
                    </a:xfrm>
                    <a:prstGeom prst="rect">
                      <a:avLst/>
                    </a:prstGeom>
                  </pic:spPr>
                </pic:pic>
              </a:graphicData>
            </a:graphic>
          </wp:anchor>
        </w:drawing>
      </w:r>
      <w:r>
        <w:rPr/>
        <w:pict>
          <v:shape style="position:absolute;margin-left:429.523193pt;margin-top:39.9599pt;width:4.2pt;height:8.4pt;mso-position-horizontal-relative:page;mso-position-vertical-relative:paragraph;z-index:-251642880;mso-wrap-distance-left:0;mso-wrap-distance-right:0" coordorigin="8590,799" coordsize="84,168" path="m8673,949l8591,949,8590,950,8590,966,8591,967,8673,967,8674,966,8674,950,8673,949xm8643,818l8622,818,8622,949,8643,949,8643,818xm8673,799l8591,799,8590,800,8590,817,8591,818,8673,818,8674,817,8674,800,8673,799xe" filled="true" fillcolor="#7d868c" stroked="false">
            <v:path arrowok="t"/>
            <v:fill type="solid"/>
            <w10:wrap type="topAndBottom"/>
          </v:shape>
        </w:pict>
      </w:r>
      <w:r>
        <w:rPr/>
        <w:drawing>
          <wp:anchor distT="0" distB="0" distL="0" distR="0" allowOverlap="1" layoutInCell="1" locked="0" behindDoc="0" simplePos="0" relativeHeight="16">
            <wp:simplePos x="0" y="0"/>
            <wp:positionH relativeFrom="page">
              <wp:posOffset>5570152</wp:posOffset>
            </wp:positionH>
            <wp:positionV relativeFrom="paragraph">
              <wp:posOffset>505357</wp:posOffset>
            </wp:positionV>
            <wp:extent cx="110346" cy="111728"/>
            <wp:effectExtent l="0" t="0" r="0" b="0"/>
            <wp:wrapTopAndBottom/>
            <wp:docPr id="21" name="image31.png"/>
            <wp:cNvGraphicFramePr>
              <a:graphicFrameLocks noChangeAspect="1"/>
            </wp:cNvGraphicFramePr>
            <a:graphic>
              <a:graphicData uri="http://schemas.openxmlformats.org/drawingml/2006/picture">
                <pic:pic>
                  <pic:nvPicPr>
                    <pic:cNvPr id="22" name="image31.png"/>
                    <pic:cNvPicPr/>
                  </pic:nvPicPr>
                  <pic:blipFill>
                    <a:blip r:embed="rId35" cstate="print"/>
                    <a:stretch>
                      <a:fillRect/>
                    </a:stretch>
                  </pic:blipFill>
                  <pic:spPr>
                    <a:xfrm>
                      <a:off x="0" y="0"/>
                      <a:ext cx="110346" cy="111728"/>
                    </a:xfrm>
                    <a:prstGeom prst="rect">
                      <a:avLst/>
                    </a:prstGeom>
                  </pic:spPr>
                </pic:pic>
              </a:graphicData>
            </a:graphic>
          </wp:anchor>
        </w:drawing>
      </w:r>
      <w:r>
        <w:rPr/>
        <w:pict>
          <v:shape style="position:absolute;margin-left:452.094513pt;margin-top:39.9599pt;width:4.2pt;height:8.4pt;mso-position-horizontal-relative:page;mso-position-vertical-relative:paragraph;z-index:-251640832;mso-wrap-distance-left:0;mso-wrap-distance-right:0" coordorigin="9042,799" coordsize="84,168" path="m9125,949l9043,949,9042,950,9042,966,9043,967,9125,967,9126,966,9126,950,9125,949xm9094,818l9073,818,9073,949,9094,949,9094,818xm9125,799l9043,799,9042,800,9042,817,9043,818,9125,818,9126,817,9126,800,9125,799xe" filled="true" fillcolor="#7d868c" stroked="false">
            <v:path arrowok="t"/>
            <v:fill type="solid"/>
            <w10:wrap type="topAndBottom"/>
          </v:shape>
        </w:pict>
      </w:r>
      <w:r>
        <w:rPr/>
        <w:drawing>
          <wp:anchor distT="0" distB="0" distL="0" distR="0" allowOverlap="1" layoutInCell="1" locked="0" behindDoc="0" simplePos="0" relativeHeight="18">
            <wp:simplePos x="0" y="0"/>
            <wp:positionH relativeFrom="page">
              <wp:posOffset>5851080</wp:posOffset>
            </wp:positionH>
            <wp:positionV relativeFrom="paragraph">
              <wp:posOffset>507490</wp:posOffset>
            </wp:positionV>
            <wp:extent cx="111845" cy="107346"/>
            <wp:effectExtent l="0" t="0" r="0" b="0"/>
            <wp:wrapTopAndBottom/>
            <wp:docPr id="23" name="image34.png"/>
            <wp:cNvGraphicFramePr>
              <a:graphicFrameLocks noChangeAspect="1"/>
            </wp:cNvGraphicFramePr>
            <a:graphic>
              <a:graphicData uri="http://schemas.openxmlformats.org/drawingml/2006/picture">
                <pic:pic>
                  <pic:nvPicPr>
                    <pic:cNvPr id="24" name="image34.png"/>
                    <pic:cNvPicPr/>
                  </pic:nvPicPr>
                  <pic:blipFill>
                    <a:blip r:embed="rId38" cstate="print"/>
                    <a:stretch>
                      <a:fillRect/>
                    </a:stretch>
                  </pic:blipFill>
                  <pic:spPr>
                    <a:xfrm>
                      <a:off x="0" y="0"/>
                      <a:ext cx="111845" cy="107346"/>
                    </a:xfrm>
                    <a:prstGeom prst="rect">
                      <a:avLst/>
                    </a:prstGeom>
                  </pic:spPr>
                </pic:pic>
              </a:graphicData>
            </a:graphic>
          </wp:anchor>
        </w:drawing>
      </w:r>
      <w:r>
        <w:rPr/>
        <w:pict>
          <v:group style="position:absolute;margin-left:474.426605pt;margin-top:39.959999pt;width:5.85pt;height:8.4pt;mso-position-horizontal-relative:page;mso-position-vertical-relative:paragraph;z-index:-251638784;mso-wrap-distance-left:0;mso-wrap-distance-right:0" coordorigin="9489,799" coordsize="117,168">
            <v:rect style="position:absolute;left:9488;top:949;width:117;height:18" filled="true" fillcolor="#7d868c" stroked="false">
              <v:fill type="solid"/>
            </v:rect>
            <v:line style="position:absolute" from="9499,799" to="9499,949" stroked="true" strokeweight="1.056pt" strokecolor="#7d868c">
              <v:stroke dashstyle="solid"/>
            </v:line>
            <w10:wrap type="topAndBottom"/>
          </v:group>
        </w:pict>
      </w:r>
    </w:p>
    <w:p>
      <w:pPr>
        <w:pStyle w:val="BodyText"/>
        <w:spacing w:before="7"/>
        <w:rPr>
          <w:rFonts w:ascii="Times New Roman"/>
          <w:sz w:val="7"/>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r>
        <w:rPr/>
        <w:pict>
          <v:shape style="position:absolute;margin-left:.001pt;margin-top:13.022622pt;width:189.1pt;height:67.4pt;mso-position-horizontal-relative:page;mso-position-vertical-relative:paragraph;z-index:-251637760;mso-wrap-distance-left:0;mso-wrap-distance-right:0" type="#_x0000_t202" filled="true" fillcolor="#a3a8ac" stroked="false">
            <v:textbox inset="0,0,0,0">
              <w:txbxContent>
                <w:p>
                  <w:pPr>
                    <w:pStyle w:val="BodyText"/>
                    <w:spacing w:before="5"/>
                    <w:rPr>
                      <w:rFonts w:ascii="Times New Roman"/>
                      <w:sz w:val="22"/>
                    </w:rPr>
                  </w:pPr>
                </w:p>
                <w:p>
                  <w:pPr>
                    <w:spacing w:before="0"/>
                    <w:ind w:left="553" w:right="677" w:firstLine="0"/>
                    <w:jc w:val="center"/>
                    <w:rPr>
                      <w:rFonts w:ascii="Arial Black"/>
                      <w:sz w:val="18"/>
                    </w:rPr>
                  </w:pPr>
                  <w:r>
                    <w:rPr>
                      <w:rFonts w:ascii="Arial Black"/>
                      <w:sz w:val="18"/>
                    </w:rPr>
                    <w:t>GUADALAJARA, JALISCO</w:t>
                  </w:r>
                </w:p>
                <w:p>
                  <w:pPr>
                    <w:spacing w:before="76"/>
                    <w:ind w:left="553" w:right="677" w:firstLine="0"/>
                    <w:jc w:val="center"/>
                    <w:rPr>
                      <w:sz w:val="18"/>
                    </w:rPr>
                  </w:pPr>
                  <w:r>
                    <w:rPr>
                      <w:w w:val="115"/>
                      <w:sz w:val="18"/>
                    </w:rPr>
                    <w:t>TOMO CCCXCVI</w:t>
                  </w:r>
                </w:p>
              </w:txbxContent>
            </v:textbox>
            <v:fill type="solid"/>
            <w10:wrap type="topAndBottom"/>
          </v:shape>
        </w:pict>
      </w:r>
    </w:p>
    <w:p>
      <w:pPr>
        <w:spacing w:after="0"/>
        <w:rPr>
          <w:rFonts w:ascii="Times New Roman"/>
          <w:sz w:val="20"/>
        </w:rPr>
        <w:sectPr>
          <w:type w:val="continuous"/>
          <w:pgSz w:w="11630" w:h="15310"/>
          <w:pgMar w:top="0" w:bottom="0" w:left="0" w:right="640"/>
        </w:sectPr>
      </w:pPr>
    </w:p>
    <w:p>
      <w:pPr>
        <w:pStyle w:val="BodyText"/>
        <w:rPr>
          <w:rFonts w:ascii="Times New Roman"/>
          <w:sz w:val="22"/>
        </w:rPr>
      </w:pPr>
    </w:p>
    <w:p>
      <w:pPr>
        <w:spacing w:after="0"/>
        <w:rPr>
          <w:rFonts w:ascii="Times New Roman"/>
          <w:sz w:val="22"/>
        </w:rPr>
        <w:sectPr>
          <w:pgSz w:w="23250" w:h="15310" w:orient="landscape"/>
          <w:pgMar w:top="520" w:bottom="280" w:left="1880" w:right="1520"/>
        </w:sectPr>
      </w:pPr>
    </w:p>
    <w:p>
      <w:pPr>
        <w:pStyle w:val="BodyText"/>
        <w:rPr>
          <w:rFonts w:ascii="Times New Roman"/>
          <w:sz w:val="30"/>
        </w:rPr>
      </w:pPr>
    </w:p>
    <w:p>
      <w:pPr>
        <w:pStyle w:val="BodyText"/>
        <w:rPr>
          <w:rFonts w:ascii="Times New Roman"/>
          <w:sz w:val="30"/>
        </w:rPr>
      </w:pPr>
    </w:p>
    <w:p>
      <w:pPr>
        <w:pStyle w:val="BodyText"/>
        <w:rPr>
          <w:rFonts w:ascii="Times New Roman"/>
          <w:sz w:val="38"/>
        </w:rPr>
      </w:pPr>
    </w:p>
    <w:p>
      <w:pPr>
        <w:spacing w:before="0"/>
        <w:ind w:left="1968" w:right="1945" w:firstLine="0"/>
        <w:jc w:val="center"/>
        <w:rPr>
          <w:rFonts w:ascii="Verdana"/>
          <w:b/>
          <w:sz w:val="30"/>
        </w:rPr>
      </w:pPr>
      <w:r>
        <w:rPr/>
        <w:drawing>
          <wp:anchor distT="0" distB="0" distL="0" distR="0" allowOverlap="1" layoutInCell="1" locked="0" behindDoc="0" simplePos="0" relativeHeight="251688960">
            <wp:simplePos x="0" y="0"/>
            <wp:positionH relativeFrom="page">
              <wp:posOffset>3415058</wp:posOffset>
            </wp:positionH>
            <wp:positionV relativeFrom="paragraph">
              <wp:posOffset>-871319</wp:posOffset>
            </wp:positionV>
            <wp:extent cx="549885" cy="773429"/>
            <wp:effectExtent l="0" t="0" r="0" b="0"/>
            <wp:wrapNone/>
            <wp:docPr id="25" name="image35.png"/>
            <wp:cNvGraphicFramePr>
              <a:graphicFrameLocks noChangeAspect="1"/>
            </wp:cNvGraphicFramePr>
            <a:graphic>
              <a:graphicData uri="http://schemas.openxmlformats.org/drawingml/2006/picture">
                <pic:pic>
                  <pic:nvPicPr>
                    <pic:cNvPr id="26" name="image35.png"/>
                    <pic:cNvPicPr/>
                  </pic:nvPicPr>
                  <pic:blipFill>
                    <a:blip r:embed="rId39" cstate="print"/>
                    <a:stretch>
                      <a:fillRect/>
                    </a:stretch>
                  </pic:blipFill>
                  <pic:spPr>
                    <a:xfrm>
                      <a:off x="0" y="0"/>
                      <a:ext cx="549885" cy="773429"/>
                    </a:xfrm>
                    <a:prstGeom prst="rect">
                      <a:avLst/>
                    </a:prstGeom>
                  </pic:spPr>
                </pic:pic>
              </a:graphicData>
            </a:graphic>
          </wp:anchor>
        </w:drawing>
      </w:r>
      <w:r>
        <w:rPr>
          <w:rFonts w:ascii="Verdana"/>
          <w:b/>
          <w:color w:val="7D868C"/>
          <w:sz w:val="30"/>
        </w:rPr>
        <w:t>EL ESTADO DE</w:t>
      </w:r>
      <w:r>
        <w:rPr>
          <w:rFonts w:ascii="Verdana"/>
          <w:b/>
          <w:color w:val="7D868C"/>
          <w:spacing w:val="-72"/>
          <w:sz w:val="30"/>
        </w:rPr>
        <w:t> </w:t>
      </w:r>
      <w:r>
        <w:rPr>
          <w:rFonts w:ascii="Verdana"/>
          <w:b/>
          <w:color w:val="7D868C"/>
          <w:sz w:val="30"/>
        </w:rPr>
        <w:t>JALISCO</w:t>
      </w:r>
    </w:p>
    <w:p>
      <w:pPr>
        <w:spacing w:before="68"/>
        <w:ind w:left="1893" w:right="1945" w:firstLine="0"/>
        <w:jc w:val="center"/>
        <w:rPr>
          <w:sz w:val="18"/>
        </w:rPr>
      </w:pPr>
      <w:r>
        <w:rPr>
          <w:color w:val="7D868C"/>
          <w:w w:val="120"/>
          <w:sz w:val="18"/>
        </w:rPr>
        <w:t>P E </w:t>
      </w:r>
      <w:r>
        <w:rPr>
          <w:color w:val="7D868C"/>
          <w:w w:val="125"/>
          <w:sz w:val="18"/>
        </w:rPr>
        <w:t>R I Ó D I C O O F </w:t>
      </w:r>
      <w:r>
        <w:rPr>
          <w:color w:val="7D868C"/>
          <w:w w:val="145"/>
          <w:sz w:val="18"/>
        </w:rPr>
        <w:t>I </w:t>
      </w:r>
      <w:r>
        <w:rPr>
          <w:color w:val="7D868C"/>
          <w:w w:val="125"/>
          <w:sz w:val="18"/>
        </w:rPr>
        <w:t>C </w:t>
      </w:r>
      <w:r>
        <w:rPr>
          <w:color w:val="7D868C"/>
          <w:w w:val="145"/>
          <w:sz w:val="18"/>
        </w:rPr>
        <w:t>I </w:t>
      </w:r>
      <w:r>
        <w:rPr>
          <w:color w:val="7D868C"/>
          <w:w w:val="125"/>
          <w:sz w:val="18"/>
        </w:rPr>
        <w:t>A 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7"/>
        </w:rPr>
      </w:pPr>
    </w:p>
    <w:p>
      <w:pPr>
        <w:spacing w:line="242" w:lineRule="auto" w:before="0"/>
        <w:ind w:left="4959" w:right="389" w:firstLine="0"/>
        <w:jc w:val="left"/>
        <w:rPr>
          <w:rFonts w:ascii="Verdana" w:hAnsi="Verdana"/>
          <w:b/>
          <w:sz w:val="14"/>
        </w:rPr>
      </w:pPr>
      <w:r>
        <w:rPr>
          <w:color w:val="7D868C"/>
          <w:w w:val="105"/>
          <w:sz w:val="14"/>
        </w:rPr>
        <w:t>GOBERNADOR CONSTITUCIONAL DEL ESTADO DE JALISCO </w:t>
      </w:r>
      <w:r>
        <w:rPr>
          <w:rFonts w:ascii="Verdana" w:hAnsi="Verdana"/>
          <w:b/>
          <w:color w:val="7D868C"/>
          <w:w w:val="105"/>
          <w:sz w:val="14"/>
        </w:rPr>
        <w:t>ENRIQUE ALFARO RAMÍREZ</w:t>
      </w:r>
    </w:p>
    <w:p>
      <w:pPr>
        <w:pStyle w:val="BodyText"/>
        <w:spacing w:before="4"/>
        <w:rPr>
          <w:rFonts w:ascii="Verdana"/>
          <w:b/>
          <w:sz w:val="14"/>
        </w:rPr>
      </w:pPr>
    </w:p>
    <w:p>
      <w:pPr>
        <w:spacing w:line="160" w:lineRule="exact" w:before="1"/>
        <w:ind w:left="4959" w:right="0" w:firstLine="0"/>
        <w:jc w:val="left"/>
        <w:rPr>
          <w:sz w:val="14"/>
        </w:rPr>
      </w:pPr>
      <w:r>
        <w:rPr>
          <w:color w:val="7D868C"/>
          <w:w w:val="105"/>
          <w:sz w:val="14"/>
        </w:rPr>
        <w:t>SECRETARIO GENERAL DE GOBIERNO</w:t>
      </w:r>
    </w:p>
    <w:p>
      <w:pPr>
        <w:spacing w:line="169" w:lineRule="exact" w:before="0"/>
        <w:ind w:left="4959" w:right="0" w:firstLine="0"/>
        <w:jc w:val="left"/>
        <w:rPr>
          <w:rFonts w:ascii="Verdana"/>
          <w:b/>
          <w:sz w:val="14"/>
        </w:rPr>
      </w:pPr>
      <w:r>
        <w:rPr>
          <w:rFonts w:ascii="Verdana"/>
          <w:b/>
          <w:color w:val="7D868C"/>
          <w:sz w:val="14"/>
        </w:rPr>
        <w:t>JUAN ENRIQUE IBARRA PEDROZA</w:t>
      </w:r>
    </w:p>
    <w:p>
      <w:pPr>
        <w:pStyle w:val="BodyText"/>
        <w:spacing w:before="5"/>
        <w:rPr>
          <w:rFonts w:ascii="Verdana"/>
          <w:b/>
          <w:sz w:val="14"/>
        </w:rPr>
      </w:pPr>
    </w:p>
    <w:p>
      <w:pPr>
        <w:spacing w:line="242" w:lineRule="auto" w:before="0"/>
        <w:ind w:left="4959" w:right="525" w:firstLine="0"/>
        <w:jc w:val="left"/>
        <w:rPr>
          <w:rFonts w:ascii="Verdana" w:hAnsi="Verdana"/>
          <w:b/>
          <w:sz w:val="14"/>
        </w:rPr>
      </w:pPr>
      <w:r>
        <w:rPr>
          <w:color w:val="7D868C"/>
          <w:w w:val="105"/>
          <w:sz w:val="14"/>
        </w:rPr>
        <w:t>DIRECTOR DE </w:t>
      </w:r>
      <w:r>
        <w:rPr>
          <w:color w:val="7D868C"/>
          <w:spacing w:val="-2"/>
          <w:w w:val="105"/>
          <w:sz w:val="14"/>
        </w:rPr>
        <w:t>PUBLICACIONES </w:t>
      </w:r>
      <w:r>
        <w:rPr>
          <w:color w:val="7D868C"/>
          <w:w w:val="105"/>
          <w:sz w:val="14"/>
        </w:rPr>
        <w:t>Y DEL PERIÓDICO OFICIAL </w:t>
      </w:r>
      <w:r>
        <w:rPr>
          <w:rFonts w:ascii="Verdana" w:hAnsi="Verdana"/>
          <w:b/>
          <w:color w:val="7D868C"/>
          <w:sz w:val="14"/>
        </w:rPr>
        <w:t>DIEGO</w:t>
      </w:r>
      <w:r>
        <w:rPr>
          <w:rFonts w:ascii="Verdana" w:hAnsi="Verdana"/>
          <w:b/>
          <w:color w:val="7D868C"/>
          <w:spacing w:val="-36"/>
          <w:sz w:val="14"/>
        </w:rPr>
        <w:t> </w:t>
      </w:r>
      <w:r>
        <w:rPr>
          <w:rFonts w:ascii="Verdana" w:hAnsi="Verdana"/>
          <w:b/>
          <w:color w:val="7D868C"/>
          <w:sz w:val="14"/>
        </w:rPr>
        <w:t>ALEXANDERSON</w:t>
      </w:r>
      <w:r>
        <w:rPr>
          <w:rFonts w:ascii="Verdana" w:hAnsi="Verdana"/>
          <w:b/>
          <w:color w:val="7D868C"/>
          <w:spacing w:val="-35"/>
          <w:sz w:val="14"/>
        </w:rPr>
        <w:t> </w:t>
      </w:r>
      <w:r>
        <w:rPr>
          <w:rFonts w:ascii="Verdana" w:hAnsi="Verdana"/>
          <w:b/>
          <w:color w:val="7D868C"/>
          <w:sz w:val="14"/>
        </w:rPr>
        <w:t>LÓPEZ</w:t>
      </w:r>
    </w:p>
    <w:p>
      <w:pPr>
        <w:pStyle w:val="BodyText"/>
        <w:rPr>
          <w:rFonts w:ascii="Verdana"/>
          <w:b/>
          <w:sz w:val="14"/>
        </w:rPr>
      </w:pPr>
    </w:p>
    <w:p>
      <w:pPr>
        <w:pStyle w:val="BodyText"/>
        <w:spacing w:before="4"/>
        <w:rPr>
          <w:rFonts w:ascii="Verdana"/>
          <w:b/>
          <w:sz w:val="19"/>
        </w:rPr>
      </w:pPr>
    </w:p>
    <w:p>
      <w:pPr>
        <w:spacing w:before="1"/>
        <w:ind w:left="4959" w:right="0" w:firstLine="0"/>
        <w:jc w:val="left"/>
        <w:rPr>
          <w:sz w:val="16"/>
        </w:rPr>
      </w:pPr>
      <w:r>
        <w:rPr>
          <w:smallCaps/>
          <w:color w:val="7D868C"/>
          <w:w w:val="106"/>
          <w:sz w:val="16"/>
        </w:rPr>
        <w:t>Registrado</w:t>
      </w:r>
      <w:r>
        <w:rPr>
          <w:smallCaps w:val="0"/>
          <w:color w:val="7D868C"/>
          <w:spacing w:val="-2"/>
          <w:sz w:val="16"/>
        </w:rPr>
        <w:t> </w:t>
      </w:r>
      <w:r>
        <w:rPr>
          <w:smallCaps w:val="0"/>
          <w:color w:val="7D868C"/>
          <w:w w:val="116"/>
          <w:sz w:val="16"/>
        </w:rPr>
        <w:t>desde</w:t>
      </w:r>
      <w:r>
        <w:rPr>
          <w:smallCaps w:val="0"/>
          <w:color w:val="7D868C"/>
          <w:spacing w:val="-2"/>
          <w:sz w:val="16"/>
        </w:rPr>
        <w:t> </w:t>
      </w:r>
      <w:r>
        <w:rPr>
          <w:smallCaps w:val="0"/>
          <w:color w:val="7D868C"/>
          <w:w w:val="117"/>
          <w:sz w:val="16"/>
        </w:rPr>
        <w:t>el</w:t>
      </w:r>
    </w:p>
    <w:p>
      <w:pPr>
        <w:spacing w:line="249" w:lineRule="auto" w:before="8"/>
        <w:ind w:left="4959" w:right="389" w:firstLine="0"/>
        <w:jc w:val="left"/>
        <w:rPr>
          <w:sz w:val="16"/>
        </w:rPr>
      </w:pPr>
      <w:r>
        <w:rPr>
          <w:color w:val="7D868C"/>
          <w:w w:val="105"/>
          <w:sz w:val="16"/>
        </w:rPr>
        <w:t>3</w:t>
      </w:r>
      <w:r>
        <w:rPr>
          <w:color w:val="7D868C"/>
          <w:spacing w:val="-2"/>
          <w:sz w:val="16"/>
        </w:rPr>
        <w:t> </w:t>
      </w:r>
      <w:r>
        <w:rPr>
          <w:color w:val="7D868C"/>
          <w:w w:val="118"/>
          <w:sz w:val="16"/>
        </w:rPr>
        <w:t>de</w:t>
      </w:r>
      <w:r>
        <w:rPr>
          <w:color w:val="7D868C"/>
          <w:spacing w:val="-2"/>
          <w:sz w:val="16"/>
        </w:rPr>
        <w:t> </w:t>
      </w:r>
      <w:r>
        <w:rPr>
          <w:color w:val="7D868C"/>
          <w:w w:val="120"/>
          <w:sz w:val="16"/>
        </w:rPr>
        <w:t>septiembre</w:t>
      </w:r>
      <w:r>
        <w:rPr>
          <w:color w:val="7D868C"/>
          <w:spacing w:val="-2"/>
          <w:sz w:val="16"/>
        </w:rPr>
        <w:t> </w:t>
      </w:r>
      <w:r>
        <w:rPr>
          <w:color w:val="7D868C"/>
          <w:w w:val="118"/>
          <w:sz w:val="16"/>
        </w:rPr>
        <w:t>de</w:t>
      </w:r>
      <w:r>
        <w:rPr>
          <w:color w:val="7D868C"/>
          <w:spacing w:val="-2"/>
          <w:sz w:val="16"/>
        </w:rPr>
        <w:t> </w:t>
      </w:r>
      <w:r>
        <w:rPr>
          <w:color w:val="7D868C"/>
          <w:spacing w:val="-4"/>
          <w:w w:val="86"/>
          <w:sz w:val="16"/>
        </w:rPr>
        <w:t>1921</w:t>
      </w:r>
      <w:r>
        <w:rPr>
          <w:color w:val="7D868C"/>
          <w:spacing w:val="-4"/>
          <w:w w:val="86"/>
          <w:sz w:val="16"/>
        </w:rPr>
        <w:t>.</w:t>
      </w:r>
      <w:r>
        <w:rPr>
          <w:color w:val="7D868C"/>
          <w:w w:val="86"/>
          <w:sz w:val="16"/>
        </w:rPr>
        <w:t> </w:t>
      </w:r>
      <w:r>
        <w:rPr>
          <w:smallCaps/>
          <w:color w:val="7D868C"/>
          <w:w w:val="111"/>
          <w:sz w:val="16"/>
        </w:rPr>
        <w:t>Trisemanal:</w:t>
      </w:r>
    </w:p>
    <w:p>
      <w:pPr>
        <w:spacing w:line="249" w:lineRule="auto" w:before="1"/>
        <w:ind w:left="4959" w:right="389" w:firstLine="0"/>
        <w:jc w:val="left"/>
        <w:rPr>
          <w:sz w:val="16"/>
        </w:rPr>
      </w:pPr>
      <w:r>
        <w:rPr>
          <w:smallCaps/>
          <w:color w:val="7D868C"/>
          <w:w w:val="111"/>
          <w:sz w:val="16"/>
        </w:rPr>
        <w:t>martes,</w:t>
      </w:r>
      <w:r>
        <w:rPr>
          <w:smallCaps w:val="0"/>
          <w:color w:val="7D868C"/>
          <w:spacing w:val="-2"/>
          <w:sz w:val="16"/>
        </w:rPr>
        <w:t> </w:t>
      </w:r>
      <w:r>
        <w:rPr>
          <w:smallCaps w:val="0"/>
          <w:color w:val="7D868C"/>
          <w:w w:val="114"/>
          <w:sz w:val="16"/>
        </w:rPr>
        <w:t>jueves</w:t>
      </w:r>
      <w:r>
        <w:rPr>
          <w:smallCaps w:val="0"/>
          <w:color w:val="7D868C"/>
          <w:spacing w:val="-2"/>
          <w:sz w:val="16"/>
        </w:rPr>
        <w:t> </w:t>
      </w:r>
      <w:r>
        <w:rPr>
          <w:smallCaps w:val="0"/>
          <w:color w:val="7D868C"/>
          <w:w w:val="124"/>
          <w:sz w:val="16"/>
        </w:rPr>
        <w:t>y</w:t>
      </w:r>
      <w:r>
        <w:rPr>
          <w:smallCaps w:val="0"/>
          <w:color w:val="7D868C"/>
          <w:spacing w:val="-2"/>
          <w:sz w:val="16"/>
        </w:rPr>
        <w:t> </w:t>
      </w:r>
      <w:r>
        <w:rPr>
          <w:smallCaps/>
          <w:color w:val="7D868C"/>
          <w:spacing w:val="-3"/>
          <w:w w:val="112"/>
          <w:sz w:val="16"/>
        </w:rPr>
        <w:t>sábados.</w:t>
      </w:r>
      <w:r>
        <w:rPr>
          <w:smallCaps w:val="0"/>
          <w:color w:val="7D868C"/>
          <w:w w:val="112"/>
          <w:sz w:val="16"/>
        </w:rPr>
        <w:t> </w:t>
      </w:r>
      <w:r>
        <w:rPr>
          <w:smallCaps/>
          <w:color w:val="7D868C"/>
          <w:w w:val="108"/>
          <w:sz w:val="16"/>
        </w:rPr>
        <w:t>Franqueo</w:t>
      </w:r>
      <w:r>
        <w:rPr>
          <w:smallCaps w:val="0"/>
          <w:color w:val="7D868C"/>
          <w:spacing w:val="-2"/>
          <w:sz w:val="16"/>
        </w:rPr>
        <w:t> </w:t>
      </w:r>
      <w:r>
        <w:rPr>
          <w:smallCaps/>
          <w:color w:val="7D868C"/>
          <w:w w:val="115"/>
          <w:sz w:val="16"/>
        </w:rPr>
        <w:t>pagado.</w:t>
      </w:r>
    </w:p>
    <w:p>
      <w:pPr>
        <w:spacing w:line="249" w:lineRule="auto" w:before="1"/>
        <w:ind w:left="4959" w:right="389" w:firstLine="0"/>
        <w:jc w:val="left"/>
        <w:rPr>
          <w:sz w:val="16"/>
        </w:rPr>
      </w:pPr>
      <w:r>
        <w:rPr>
          <w:smallCaps/>
          <w:color w:val="7D868C"/>
          <w:w w:val="108"/>
          <w:sz w:val="16"/>
        </w:rPr>
        <w:t>Publicación</w:t>
      </w:r>
      <w:r>
        <w:rPr>
          <w:smallCaps w:val="0"/>
          <w:color w:val="7D868C"/>
          <w:spacing w:val="-2"/>
          <w:sz w:val="16"/>
        </w:rPr>
        <w:t> </w:t>
      </w:r>
      <w:r>
        <w:rPr>
          <w:smallCaps/>
          <w:color w:val="7D868C"/>
          <w:w w:val="110"/>
          <w:sz w:val="16"/>
        </w:rPr>
        <w:t>periódica.</w:t>
      </w:r>
      <w:r>
        <w:rPr>
          <w:smallCaps w:val="0"/>
          <w:color w:val="7D868C"/>
          <w:w w:val="110"/>
          <w:sz w:val="16"/>
        </w:rPr>
        <w:t> </w:t>
      </w:r>
      <w:r>
        <w:rPr>
          <w:smallCaps w:val="0"/>
          <w:color w:val="7D868C"/>
          <w:w w:val="115"/>
          <w:sz w:val="16"/>
        </w:rPr>
        <w:t>Permiso</w:t>
      </w:r>
      <w:r>
        <w:rPr>
          <w:smallCaps w:val="0"/>
          <w:color w:val="7D868C"/>
          <w:spacing w:val="-2"/>
          <w:sz w:val="16"/>
        </w:rPr>
        <w:t> </w:t>
      </w:r>
      <w:r>
        <w:rPr>
          <w:smallCaps w:val="0"/>
          <w:color w:val="7D868C"/>
          <w:w w:val="116"/>
          <w:sz w:val="16"/>
        </w:rPr>
        <w:t>número:</w:t>
      </w:r>
      <w:r>
        <w:rPr>
          <w:smallCaps w:val="0"/>
          <w:color w:val="7D868C"/>
          <w:spacing w:val="-2"/>
          <w:sz w:val="16"/>
        </w:rPr>
        <w:t> </w:t>
      </w:r>
      <w:r>
        <w:rPr>
          <w:smallCaps w:val="0"/>
          <w:color w:val="7D868C"/>
          <w:spacing w:val="-2"/>
          <w:w w:val="108"/>
          <w:sz w:val="16"/>
        </w:rPr>
        <w:t>0080921.</w:t>
      </w:r>
    </w:p>
    <w:p>
      <w:pPr>
        <w:spacing w:line="249" w:lineRule="auto" w:before="1"/>
        <w:ind w:left="4959" w:right="389" w:firstLine="0"/>
        <w:jc w:val="left"/>
        <w:rPr>
          <w:sz w:val="16"/>
        </w:rPr>
      </w:pPr>
      <w:r>
        <w:rPr>
          <w:smallCaps/>
          <w:color w:val="7D868C"/>
          <w:w w:val="106"/>
          <w:sz w:val="16"/>
        </w:rPr>
        <w:t>Características:</w:t>
      </w:r>
      <w:r>
        <w:rPr>
          <w:smallCaps w:val="0"/>
          <w:color w:val="7D868C"/>
          <w:spacing w:val="-2"/>
          <w:sz w:val="16"/>
        </w:rPr>
        <w:t> </w:t>
      </w:r>
      <w:r>
        <w:rPr>
          <w:smallCaps w:val="0"/>
          <w:color w:val="7D868C"/>
          <w:spacing w:val="-2"/>
          <w:w w:val="93"/>
          <w:sz w:val="16"/>
        </w:rPr>
        <w:t>117252816.</w:t>
      </w:r>
      <w:r>
        <w:rPr>
          <w:smallCaps w:val="0"/>
          <w:color w:val="7D868C"/>
          <w:w w:val="93"/>
          <w:sz w:val="16"/>
        </w:rPr>
        <w:t> </w:t>
      </w:r>
      <w:r>
        <w:rPr>
          <w:smallCaps/>
          <w:color w:val="7D868C"/>
          <w:w w:val="109"/>
          <w:sz w:val="16"/>
        </w:rPr>
        <w:t>Autorizado</w:t>
      </w:r>
      <w:r>
        <w:rPr>
          <w:smallCaps w:val="0"/>
          <w:color w:val="7D868C"/>
          <w:spacing w:val="-2"/>
          <w:sz w:val="16"/>
        </w:rPr>
        <w:t> </w:t>
      </w:r>
      <w:r>
        <w:rPr>
          <w:smallCaps w:val="0"/>
          <w:color w:val="7D868C"/>
          <w:w w:val="127"/>
          <w:sz w:val="16"/>
        </w:rPr>
        <w:t>por</w:t>
      </w:r>
      <w:r>
        <w:rPr>
          <w:smallCaps w:val="0"/>
          <w:color w:val="7D868C"/>
          <w:spacing w:val="-2"/>
          <w:sz w:val="16"/>
        </w:rPr>
        <w:t> </w:t>
      </w:r>
      <w:r>
        <w:rPr>
          <w:smallCaps w:val="0"/>
          <w:color w:val="7D868C"/>
          <w:w w:val="101"/>
          <w:sz w:val="16"/>
        </w:rPr>
        <w:t>SEPOMEX.</w:t>
      </w:r>
    </w:p>
    <w:p>
      <w:pPr>
        <w:pStyle w:val="BodyText"/>
        <w:rPr>
          <w:sz w:val="16"/>
        </w:rPr>
      </w:pPr>
    </w:p>
    <w:p>
      <w:pPr>
        <w:pStyle w:val="BodyText"/>
        <w:spacing w:before="6"/>
        <w:rPr>
          <w:sz w:val="17"/>
        </w:rPr>
      </w:pPr>
    </w:p>
    <w:p>
      <w:pPr>
        <w:spacing w:before="0"/>
        <w:ind w:left="4959" w:right="0" w:firstLine="0"/>
        <w:jc w:val="left"/>
        <w:rPr>
          <w:sz w:val="16"/>
        </w:rPr>
      </w:pPr>
      <w:r>
        <w:rPr>
          <w:smallCaps/>
          <w:color w:val="7D868C"/>
          <w:w w:val="106"/>
          <w:sz w:val="16"/>
        </w:rPr>
        <w:t>periodicooﬁcial.jalisco.gob.mx</w:t>
      </w:r>
    </w:p>
    <w:p>
      <w:pPr>
        <w:spacing w:before="28"/>
        <w:ind w:left="3348" w:right="1510" w:firstLine="0"/>
        <w:jc w:val="center"/>
        <w:rPr>
          <w:rFonts w:ascii="Verdana"/>
          <w:b/>
          <w:sz w:val="29"/>
        </w:rPr>
      </w:pPr>
      <w:r>
        <w:rPr/>
        <w:br w:type="column"/>
      </w:r>
      <w:r>
        <w:rPr>
          <w:rFonts w:ascii="Verdana"/>
          <w:b/>
          <w:color w:val="EDAA00"/>
          <w:sz w:val="29"/>
        </w:rPr>
        <w:t>EL ESTADO DE JALISCO</w:t>
      </w:r>
    </w:p>
    <w:p>
      <w:pPr>
        <w:spacing w:before="56"/>
        <w:ind w:left="3294" w:right="1510"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p>
      <w:pPr>
        <w:pStyle w:val="BodyText"/>
        <w:spacing w:before="3"/>
        <w:rPr>
          <w:sz w:val="24"/>
        </w:rPr>
      </w:pPr>
    </w:p>
    <w:p>
      <w:pPr>
        <w:spacing w:before="0"/>
        <w:ind w:left="0" w:right="120" w:firstLine="0"/>
        <w:jc w:val="right"/>
        <w:rPr>
          <w:sz w:val="20"/>
        </w:rPr>
      </w:pPr>
      <w:r>
        <w:rPr>
          <w:w w:val="105"/>
          <w:sz w:val="20"/>
        </w:rPr>
        <w:t>3</w:t>
      </w:r>
    </w:p>
    <w:p>
      <w:pPr>
        <w:spacing w:line="264" w:lineRule="auto" w:before="9"/>
        <w:ind w:left="1960" w:right="124" w:firstLine="0"/>
        <w:jc w:val="both"/>
        <w:rPr>
          <w:rFonts w:ascii="Tahoma" w:hAnsi="Tahoma"/>
          <w:b/>
          <w:sz w:val="18"/>
        </w:rPr>
      </w:pPr>
      <w:r>
        <w:rPr>
          <w:rFonts w:ascii="Tahoma" w:hAnsi="Tahoma"/>
          <w:b/>
          <w:sz w:val="18"/>
        </w:rPr>
        <w:t>Al</w:t>
      </w:r>
      <w:r>
        <w:rPr>
          <w:rFonts w:ascii="Tahoma" w:hAnsi="Tahoma"/>
          <w:b/>
          <w:spacing w:val="-14"/>
          <w:sz w:val="18"/>
        </w:rPr>
        <w:t> </w:t>
      </w:r>
      <w:r>
        <w:rPr>
          <w:rFonts w:ascii="Tahoma" w:hAnsi="Tahoma"/>
          <w:b/>
          <w:sz w:val="18"/>
        </w:rPr>
        <w:t>margen</w:t>
      </w:r>
      <w:r>
        <w:rPr>
          <w:rFonts w:ascii="Tahoma" w:hAnsi="Tahoma"/>
          <w:b/>
          <w:spacing w:val="-13"/>
          <w:sz w:val="18"/>
        </w:rPr>
        <w:t> </w:t>
      </w:r>
      <w:r>
        <w:rPr>
          <w:rFonts w:ascii="Tahoma" w:hAnsi="Tahoma"/>
          <w:b/>
          <w:sz w:val="18"/>
        </w:rPr>
        <w:t>un</w:t>
      </w:r>
      <w:r>
        <w:rPr>
          <w:rFonts w:ascii="Tahoma" w:hAnsi="Tahoma"/>
          <w:b/>
          <w:spacing w:val="-14"/>
          <w:sz w:val="18"/>
        </w:rPr>
        <w:t> </w:t>
      </w:r>
      <w:r>
        <w:rPr>
          <w:rFonts w:ascii="Tahoma" w:hAnsi="Tahoma"/>
          <w:b/>
          <w:sz w:val="18"/>
        </w:rPr>
        <w:t>sello</w:t>
      </w:r>
      <w:r>
        <w:rPr>
          <w:rFonts w:ascii="Tahoma" w:hAnsi="Tahoma"/>
          <w:b/>
          <w:spacing w:val="-14"/>
          <w:sz w:val="18"/>
        </w:rPr>
        <w:t> </w:t>
      </w:r>
      <w:r>
        <w:rPr>
          <w:rFonts w:ascii="Tahoma" w:hAnsi="Tahoma"/>
          <w:b/>
          <w:sz w:val="18"/>
        </w:rPr>
        <w:t>que</w:t>
      </w:r>
      <w:r>
        <w:rPr>
          <w:rFonts w:ascii="Tahoma" w:hAnsi="Tahoma"/>
          <w:b/>
          <w:spacing w:val="-14"/>
          <w:sz w:val="18"/>
        </w:rPr>
        <w:t> </w:t>
      </w:r>
      <w:r>
        <w:rPr>
          <w:rFonts w:ascii="Tahoma" w:hAnsi="Tahoma"/>
          <w:b/>
          <w:sz w:val="18"/>
        </w:rPr>
        <w:t>dice:</w:t>
      </w:r>
      <w:r>
        <w:rPr>
          <w:rFonts w:ascii="Tahoma" w:hAnsi="Tahoma"/>
          <w:b/>
          <w:spacing w:val="-14"/>
          <w:sz w:val="18"/>
        </w:rPr>
        <w:t> </w:t>
      </w:r>
      <w:r>
        <w:rPr>
          <w:rFonts w:ascii="Tahoma" w:hAnsi="Tahoma"/>
          <w:b/>
          <w:sz w:val="18"/>
        </w:rPr>
        <w:t>Estados</w:t>
      </w:r>
      <w:r>
        <w:rPr>
          <w:rFonts w:ascii="Tahoma" w:hAnsi="Tahoma"/>
          <w:b/>
          <w:spacing w:val="-15"/>
          <w:sz w:val="18"/>
        </w:rPr>
        <w:t> </w:t>
      </w:r>
      <w:r>
        <w:rPr>
          <w:rFonts w:ascii="Tahoma" w:hAnsi="Tahoma"/>
          <w:b/>
          <w:sz w:val="18"/>
        </w:rPr>
        <w:t>Unidos</w:t>
      </w:r>
      <w:r>
        <w:rPr>
          <w:rFonts w:ascii="Tahoma" w:hAnsi="Tahoma"/>
          <w:b/>
          <w:spacing w:val="-13"/>
          <w:sz w:val="18"/>
        </w:rPr>
        <w:t> </w:t>
      </w:r>
      <w:r>
        <w:rPr>
          <w:rFonts w:ascii="Tahoma" w:hAnsi="Tahoma"/>
          <w:b/>
          <w:sz w:val="18"/>
        </w:rPr>
        <w:t>Mexicanos.</w:t>
      </w:r>
      <w:r>
        <w:rPr>
          <w:rFonts w:ascii="Tahoma" w:hAnsi="Tahoma"/>
          <w:b/>
          <w:spacing w:val="-14"/>
          <w:sz w:val="18"/>
        </w:rPr>
        <w:t> </w:t>
      </w:r>
      <w:r>
        <w:rPr>
          <w:rFonts w:ascii="Tahoma" w:hAnsi="Tahoma"/>
          <w:b/>
          <w:sz w:val="18"/>
        </w:rPr>
        <w:t>Gobierno</w:t>
      </w:r>
      <w:r>
        <w:rPr>
          <w:rFonts w:ascii="Tahoma" w:hAnsi="Tahoma"/>
          <w:b/>
          <w:spacing w:val="-14"/>
          <w:sz w:val="18"/>
        </w:rPr>
        <w:t> </w:t>
      </w:r>
      <w:r>
        <w:rPr>
          <w:rFonts w:ascii="Tahoma" w:hAnsi="Tahoma"/>
          <w:b/>
          <w:sz w:val="18"/>
        </w:rPr>
        <w:t>del</w:t>
      </w:r>
      <w:r>
        <w:rPr>
          <w:rFonts w:ascii="Tahoma" w:hAnsi="Tahoma"/>
          <w:b/>
          <w:spacing w:val="-14"/>
          <w:sz w:val="18"/>
        </w:rPr>
        <w:t> </w:t>
      </w:r>
      <w:r>
        <w:rPr>
          <w:rFonts w:ascii="Tahoma" w:hAnsi="Tahoma"/>
          <w:b/>
          <w:sz w:val="18"/>
        </w:rPr>
        <w:t>Estado</w:t>
      </w:r>
      <w:r>
        <w:rPr>
          <w:rFonts w:ascii="Tahoma" w:hAnsi="Tahoma"/>
          <w:b/>
          <w:spacing w:val="-14"/>
          <w:sz w:val="18"/>
        </w:rPr>
        <w:t> </w:t>
      </w:r>
      <w:r>
        <w:rPr>
          <w:rFonts w:ascii="Tahoma" w:hAnsi="Tahoma"/>
          <w:b/>
          <w:sz w:val="18"/>
        </w:rPr>
        <w:t>de</w:t>
      </w:r>
      <w:r>
        <w:rPr>
          <w:rFonts w:ascii="Tahoma" w:hAnsi="Tahoma"/>
          <w:b/>
          <w:spacing w:val="-14"/>
          <w:sz w:val="18"/>
        </w:rPr>
        <w:t> </w:t>
      </w:r>
      <w:r>
        <w:rPr>
          <w:rFonts w:ascii="Tahoma" w:hAnsi="Tahoma"/>
          <w:b/>
          <w:sz w:val="18"/>
        </w:rPr>
        <w:t>Jalisco.</w:t>
      </w:r>
      <w:r>
        <w:rPr>
          <w:rFonts w:ascii="Tahoma" w:hAnsi="Tahoma"/>
          <w:b/>
          <w:spacing w:val="-15"/>
          <w:sz w:val="18"/>
        </w:rPr>
        <w:t> </w:t>
      </w:r>
      <w:r>
        <w:rPr>
          <w:rFonts w:ascii="Tahoma" w:hAnsi="Tahoma"/>
          <w:b/>
          <w:sz w:val="18"/>
        </w:rPr>
        <w:t>Poder Ejecutivo. Secretaría General de</w:t>
      </w:r>
      <w:r>
        <w:rPr>
          <w:rFonts w:ascii="Tahoma" w:hAnsi="Tahoma"/>
          <w:b/>
          <w:spacing w:val="-6"/>
          <w:sz w:val="18"/>
        </w:rPr>
        <w:t> </w:t>
      </w:r>
      <w:r>
        <w:rPr>
          <w:rFonts w:ascii="Tahoma" w:hAnsi="Tahoma"/>
          <w:b/>
          <w:sz w:val="18"/>
        </w:rPr>
        <w:t>Gobierno.</w:t>
      </w:r>
    </w:p>
    <w:p>
      <w:pPr>
        <w:spacing w:line="276" w:lineRule="auto" w:before="169"/>
        <w:ind w:left="1960" w:right="121" w:firstLine="0"/>
        <w:jc w:val="both"/>
        <w:rPr>
          <w:rFonts w:ascii="Tahoma" w:hAnsi="Tahoma"/>
          <w:sz w:val="18"/>
        </w:rPr>
      </w:pPr>
      <w:r>
        <w:rPr>
          <w:rFonts w:ascii="Tahoma" w:hAnsi="Tahoma"/>
          <w:b/>
          <w:sz w:val="18"/>
        </w:rPr>
        <w:t>Enrique Alfaro Ramírez, </w:t>
      </w:r>
      <w:r>
        <w:rPr>
          <w:rFonts w:ascii="Tahoma" w:hAnsi="Tahoma"/>
          <w:sz w:val="18"/>
        </w:rPr>
        <w:t>Gobernador Constitucional del Estado Libre y Soberano de Jalisco, a los habitantes del mismo hago saber, que por conducto de la Secretaría del H. Congreso de esta Entidad Federativa, se me ha comunicado el siguiente decreto</w:t>
      </w:r>
    </w:p>
    <w:p>
      <w:pPr>
        <w:spacing w:before="122"/>
        <w:ind w:left="3348" w:right="1510" w:firstLine="0"/>
        <w:jc w:val="center"/>
        <w:rPr>
          <w:rFonts w:ascii="Tahoma"/>
          <w:b/>
          <w:sz w:val="18"/>
        </w:rPr>
      </w:pPr>
      <w:r>
        <w:rPr>
          <w:rFonts w:ascii="Tahoma"/>
          <w:b/>
          <w:sz w:val="18"/>
        </w:rPr>
        <w:t>DECRETO</w:t>
      </w:r>
    </w:p>
    <w:p>
      <w:pPr>
        <w:spacing w:before="156"/>
        <w:ind w:left="1960" w:right="0" w:firstLine="0"/>
        <w:jc w:val="both"/>
        <w:rPr>
          <w:rFonts w:ascii="Tahoma" w:hAnsi="Tahoma"/>
          <w:b/>
          <w:sz w:val="18"/>
        </w:rPr>
      </w:pPr>
      <w:r>
        <w:rPr>
          <w:rFonts w:ascii="Tahoma" w:hAnsi="Tahoma"/>
          <w:b/>
          <w:sz w:val="18"/>
        </w:rPr>
        <w:t>NÚMERO 27693/LXII/19. EL CONGRESO DEL ESTADO DECRETA:</w:t>
      </w:r>
    </w:p>
    <w:p>
      <w:pPr>
        <w:pStyle w:val="Heading4"/>
        <w:spacing w:line="244" w:lineRule="auto" w:before="174"/>
        <w:ind w:left="2349" w:right="510"/>
        <w:jc w:val="both"/>
      </w:pPr>
      <w:r>
        <w:rPr/>
        <w:t>SE EXPIDE LA LEY DE INGRESOS DEL MUNICIPIO DE TLAJOMULCO DE ZÚÑIGA, JALISCO, PARA EL EJERCICIO FISCAL 2020.</w:t>
      </w:r>
    </w:p>
    <w:p>
      <w:pPr>
        <w:pStyle w:val="BodyText"/>
        <w:spacing w:before="6"/>
        <w:rPr>
          <w:b/>
        </w:rPr>
      </w:pPr>
    </w:p>
    <w:p>
      <w:pPr>
        <w:pStyle w:val="BodyText"/>
        <w:spacing w:line="247" w:lineRule="auto"/>
        <w:ind w:left="2349" w:right="510" w:firstLine="397"/>
        <w:jc w:val="both"/>
      </w:pPr>
      <w:r>
        <w:rPr>
          <w:b/>
        </w:rPr>
        <w:t>Artículo Único.- </w:t>
      </w:r>
      <w:r>
        <w:rPr/>
        <w:t>Se expide la Ley de Ingresos del Municipio de Tlajomulco de Zúñiga, Jalisco, para el Ejercicio Fiscal del Año 2020, para quedar como sigue:</w:t>
      </w:r>
    </w:p>
    <w:p>
      <w:pPr>
        <w:pStyle w:val="BodyText"/>
        <w:rPr>
          <w:sz w:val="16"/>
        </w:rPr>
      </w:pPr>
    </w:p>
    <w:p>
      <w:pPr>
        <w:pStyle w:val="BodyText"/>
        <w:spacing w:before="1"/>
        <w:rPr>
          <w:sz w:val="17"/>
        </w:rPr>
      </w:pPr>
    </w:p>
    <w:p>
      <w:pPr>
        <w:pStyle w:val="Heading4"/>
        <w:spacing w:line="244" w:lineRule="auto" w:before="1"/>
        <w:ind w:left="3350" w:right="1510"/>
      </w:pPr>
      <w:r>
        <w:rPr/>
        <w:t>LEY DE INGRESOS DEL MUNICIPIO DE TLAJOMULCO DE ZUÑIGA, JALISCO, PARA EL EJERCICIO FISCAL 2020</w:t>
      </w:r>
    </w:p>
    <w:p>
      <w:pPr>
        <w:pStyle w:val="BodyText"/>
        <w:rPr>
          <w:b/>
          <w:sz w:val="16"/>
        </w:rPr>
      </w:pPr>
    </w:p>
    <w:p>
      <w:pPr>
        <w:pStyle w:val="BodyText"/>
        <w:spacing w:before="11"/>
        <w:rPr>
          <w:b/>
          <w:sz w:val="14"/>
        </w:rPr>
      </w:pPr>
    </w:p>
    <w:p>
      <w:pPr>
        <w:spacing w:before="0"/>
        <w:ind w:left="3349" w:right="1510" w:firstLine="0"/>
        <w:jc w:val="center"/>
        <w:rPr>
          <w:b/>
          <w:sz w:val="15"/>
        </w:rPr>
      </w:pPr>
      <w:r>
        <w:rPr>
          <w:b/>
          <w:sz w:val="15"/>
        </w:rPr>
        <w:t>LIBRO PRIMERO</w:t>
      </w:r>
    </w:p>
    <w:p>
      <w:pPr>
        <w:spacing w:before="5"/>
        <w:ind w:left="3349" w:right="1510" w:firstLine="0"/>
        <w:jc w:val="center"/>
        <w:rPr>
          <w:b/>
          <w:sz w:val="15"/>
        </w:rPr>
      </w:pPr>
      <w:r>
        <w:rPr>
          <w:b/>
          <w:sz w:val="15"/>
        </w:rPr>
        <w:t>Disposiciones preliminares</w:t>
      </w:r>
    </w:p>
    <w:p>
      <w:pPr>
        <w:pStyle w:val="BodyText"/>
        <w:spacing w:before="8"/>
        <w:rPr>
          <w:b/>
        </w:rPr>
      </w:pPr>
    </w:p>
    <w:p>
      <w:pPr>
        <w:spacing w:line="247" w:lineRule="auto" w:before="0"/>
        <w:ind w:left="5226" w:right="3385" w:hanging="1"/>
        <w:jc w:val="center"/>
        <w:rPr>
          <w:b/>
          <w:sz w:val="15"/>
        </w:rPr>
      </w:pPr>
      <w:r>
        <w:rPr>
          <w:b/>
          <w:sz w:val="15"/>
        </w:rPr>
        <w:t>Título Único Disposiciones generales</w:t>
      </w:r>
    </w:p>
    <w:p>
      <w:pPr>
        <w:pStyle w:val="BodyText"/>
        <w:spacing w:before="4"/>
        <w:rPr>
          <w:b/>
          <w:sz w:val="21"/>
        </w:rPr>
      </w:pPr>
    </w:p>
    <w:p>
      <w:pPr>
        <w:pStyle w:val="BodyText"/>
        <w:spacing w:line="247" w:lineRule="auto"/>
        <w:ind w:left="2349" w:right="510" w:firstLine="397"/>
        <w:jc w:val="both"/>
      </w:pPr>
      <w:r>
        <w:rPr>
          <w:b/>
        </w:rPr>
        <w:t>Artículo 1.- </w:t>
      </w:r>
      <w:r>
        <w:rPr/>
        <w:t>Durante el ejercicio fiscal comprendido del 1° de enero al 31 de diciembre del 2020, la Hacienda Pública de este Municipio percibirá los ingresos por concepto de impuestos, contribuciones de  mejoras, derechos, productos, aprovechamientos, ingresos por venta de bienes y servicios, participaciones y aportaciones federales, transferencias, asignaciones,  subsidios,  y  otras  ayudas,  así  como  ingresos  derivados</w:t>
      </w:r>
      <w:r>
        <w:rPr>
          <w:spacing w:val="3"/>
        </w:rPr>
        <w:t> </w:t>
      </w:r>
      <w:r>
        <w:rPr/>
        <w:t>de</w:t>
      </w:r>
      <w:r>
        <w:rPr>
          <w:spacing w:val="4"/>
        </w:rPr>
        <w:t> </w:t>
      </w:r>
      <w:r>
        <w:rPr/>
        <w:t>financiamientos</w:t>
      </w:r>
      <w:r>
        <w:rPr>
          <w:spacing w:val="7"/>
        </w:rPr>
        <w:t> </w:t>
      </w:r>
      <w:r>
        <w:rPr/>
        <w:t>conforme</w:t>
      </w:r>
      <w:r>
        <w:rPr>
          <w:spacing w:val="3"/>
        </w:rPr>
        <w:t> </w:t>
      </w:r>
      <w:r>
        <w:rPr/>
        <w:t>a</w:t>
      </w:r>
      <w:r>
        <w:rPr>
          <w:spacing w:val="4"/>
        </w:rPr>
        <w:t> </w:t>
      </w:r>
      <w:r>
        <w:rPr/>
        <w:t>las</w:t>
      </w:r>
      <w:r>
        <w:rPr>
          <w:spacing w:val="4"/>
        </w:rPr>
        <w:t> </w:t>
      </w:r>
      <w:r>
        <w:rPr/>
        <w:t>tasas</w:t>
      </w:r>
      <w:r>
        <w:rPr>
          <w:spacing w:val="7"/>
        </w:rPr>
        <w:t> </w:t>
      </w:r>
      <w:r>
        <w:rPr/>
        <w:t>y</w:t>
      </w:r>
      <w:r>
        <w:rPr>
          <w:spacing w:val="3"/>
        </w:rPr>
        <w:t> </w:t>
      </w:r>
      <w:r>
        <w:rPr/>
        <w:t>cuotas</w:t>
      </w:r>
      <w:r>
        <w:rPr>
          <w:spacing w:val="4"/>
        </w:rPr>
        <w:t> </w:t>
      </w:r>
      <w:r>
        <w:rPr/>
        <w:t>que</w:t>
      </w:r>
      <w:r>
        <w:rPr>
          <w:spacing w:val="4"/>
        </w:rPr>
        <w:t> </w:t>
      </w:r>
      <w:r>
        <w:rPr/>
        <w:t>en</w:t>
      </w:r>
      <w:r>
        <w:rPr>
          <w:spacing w:val="3"/>
        </w:rPr>
        <w:t> </w:t>
      </w:r>
      <w:r>
        <w:rPr/>
        <w:t>esta</w:t>
      </w:r>
      <w:r>
        <w:rPr>
          <w:spacing w:val="4"/>
        </w:rPr>
        <w:t> </w:t>
      </w:r>
      <w:r>
        <w:rPr/>
        <w:t>ley</w:t>
      </w:r>
      <w:r>
        <w:rPr>
          <w:spacing w:val="3"/>
        </w:rPr>
        <w:t> </w:t>
      </w:r>
      <w:r>
        <w:rPr/>
        <w:t>se</w:t>
      </w:r>
      <w:r>
        <w:rPr>
          <w:spacing w:val="4"/>
        </w:rPr>
        <w:t> </w:t>
      </w:r>
      <w:r>
        <w:rPr/>
        <w:t>establecen.</w:t>
      </w:r>
    </w:p>
    <w:p>
      <w:pPr>
        <w:pStyle w:val="BodyText"/>
        <w:spacing w:before="2"/>
      </w:pPr>
    </w:p>
    <w:p>
      <w:pPr>
        <w:pStyle w:val="BodyText"/>
        <w:spacing w:line="247" w:lineRule="auto"/>
        <w:ind w:left="2349" w:right="510"/>
        <w:jc w:val="both"/>
      </w:pPr>
      <w:r>
        <w:rPr/>
        <w:t>Los ingresos estimados de este Municipio para el ejercicio fiscal 2020, dos mil veinte, ascienden a la cantidad   de $ 2,630,315,339.00 (Dos Mil Seiscientos Treinta Millones Trescientos Quince Mil Trescientos  Treinta  y Nueve Pesos 00/100 Moneda Nacional) mismos que se integran en las cantidades estimadas que  a  continuación se</w:t>
      </w:r>
      <w:r>
        <w:rPr>
          <w:spacing w:val="2"/>
        </w:rPr>
        <w:t> </w:t>
      </w:r>
      <w:r>
        <w:rPr/>
        <w:t>enumeran:</w:t>
      </w:r>
    </w:p>
    <w:p>
      <w:pPr>
        <w:spacing w:after="0" w:line="247" w:lineRule="auto"/>
        <w:jc w:val="both"/>
        <w:sectPr>
          <w:type w:val="continuous"/>
          <w:pgSz w:w="23250" w:h="15310" w:orient="landscape"/>
          <w:pgMar w:top="0" w:bottom="0" w:left="1880" w:right="1520"/>
          <w:cols w:num="2" w:equalWidth="0">
            <w:col w:w="7839" w:space="1584"/>
            <w:col w:w="10427"/>
          </w:cols>
        </w:sectPr>
      </w:pPr>
    </w:p>
    <w:p>
      <w:pPr>
        <w:pStyle w:val="BodyText"/>
        <w:rPr>
          <w:sz w:val="20"/>
        </w:rPr>
      </w:pPr>
    </w:p>
    <w:p>
      <w:pPr>
        <w:pStyle w:val="BodyText"/>
        <w:spacing w:before="4" w:after="1"/>
        <w:rPr>
          <w:sz w:val="22"/>
        </w:rPr>
      </w:pPr>
    </w:p>
    <w:tbl>
      <w:tblPr>
        <w:tblW w:w="0" w:type="auto"/>
        <w:jc w:val="left"/>
        <w:tblInd w:w="140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1"/>
        <w:gridCol w:w="3201"/>
        <w:gridCol w:w="1261"/>
      </w:tblGrid>
      <w:tr>
        <w:trPr>
          <w:trHeight w:val="175" w:hRule="atLeast"/>
        </w:trPr>
        <w:tc>
          <w:tcPr>
            <w:tcW w:w="5383" w:type="dxa"/>
            <w:gridSpan w:val="3"/>
          </w:tcPr>
          <w:p>
            <w:pPr>
              <w:pStyle w:val="TableParagraph"/>
              <w:spacing w:line="153" w:lineRule="exact" w:before="3"/>
              <w:ind w:left="777"/>
              <w:rPr>
                <w:b/>
                <w:sz w:val="15"/>
              </w:rPr>
            </w:pPr>
            <w:r>
              <w:rPr>
                <w:b/>
                <w:sz w:val="15"/>
              </w:rPr>
              <w:t>MUNICIPIO DE TLAJOMULCO DE ZÚÑIGA, JALISCO</w:t>
            </w:r>
          </w:p>
        </w:tc>
      </w:tr>
      <w:tr>
        <w:trPr>
          <w:trHeight w:val="176" w:hRule="atLeast"/>
        </w:trPr>
        <w:tc>
          <w:tcPr>
            <w:tcW w:w="5383" w:type="dxa"/>
            <w:gridSpan w:val="3"/>
          </w:tcPr>
          <w:p>
            <w:pPr>
              <w:pStyle w:val="TableParagraph"/>
              <w:spacing w:line="154" w:lineRule="exact" w:before="3"/>
              <w:ind w:left="268"/>
              <w:rPr>
                <w:b/>
                <w:sz w:val="15"/>
              </w:rPr>
            </w:pPr>
            <w:r>
              <w:rPr>
                <w:b/>
                <w:sz w:val="15"/>
              </w:rPr>
              <w:t>INICIATIVA LEY DE INGRESOS PARA EL EJERCICIO FISCAL 2020</w:t>
            </w:r>
          </w:p>
        </w:tc>
      </w:tr>
      <w:tr>
        <w:trPr>
          <w:trHeight w:val="367" w:hRule="atLeast"/>
        </w:trPr>
        <w:tc>
          <w:tcPr>
            <w:tcW w:w="921" w:type="dxa"/>
          </w:tcPr>
          <w:p>
            <w:pPr>
              <w:pStyle w:val="TableParagraph"/>
              <w:spacing w:before="98"/>
              <w:ind w:left="104" w:right="93"/>
              <w:jc w:val="center"/>
              <w:rPr>
                <w:b/>
                <w:sz w:val="15"/>
              </w:rPr>
            </w:pPr>
            <w:r>
              <w:rPr>
                <w:b/>
                <w:sz w:val="15"/>
              </w:rPr>
              <w:t>CRIILI</w:t>
            </w:r>
          </w:p>
        </w:tc>
        <w:tc>
          <w:tcPr>
            <w:tcW w:w="3201" w:type="dxa"/>
          </w:tcPr>
          <w:p>
            <w:pPr>
              <w:pStyle w:val="TableParagraph"/>
              <w:spacing w:before="98"/>
              <w:ind w:left="1064"/>
              <w:rPr>
                <w:b/>
                <w:sz w:val="15"/>
              </w:rPr>
            </w:pPr>
            <w:r>
              <w:rPr>
                <w:b/>
                <w:sz w:val="15"/>
              </w:rPr>
              <w:t>DESCRIPCIÓN</w:t>
            </w:r>
          </w:p>
        </w:tc>
        <w:tc>
          <w:tcPr>
            <w:tcW w:w="1261" w:type="dxa"/>
          </w:tcPr>
          <w:p>
            <w:pPr>
              <w:pStyle w:val="TableParagraph"/>
              <w:spacing w:line="170" w:lineRule="atLeast" w:before="9"/>
              <w:ind w:left="221" w:firstLine="73"/>
              <w:rPr>
                <w:b/>
                <w:sz w:val="15"/>
              </w:rPr>
            </w:pPr>
            <w:r>
              <w:rPr>
                <w:b/>
                <w:sz w:val="15"/>
              </w:rPr>
              <w:t>INGRESO ESTIMADO</w:t>
            </w:r>
          </w:p>
        </w:tc>
      </w:tr>
      <w:tr>
        <w:trPr>
          <w:trHeight w:val="175" w:hRule="atLeast"/>
        </w:trPr>
        <w:tc>
          <w:tcPr>
            <w:tcW w:w="921" w:type="dxa"/>
          </w:tcPr>
          <w:p>
            <w:pPr>
              <w:pStyle w:val="TableParagraph"/>
              <w:rPr>
                <w:rFonts w:ascii="Times New Roman"/>
                <w:sz w:val="10"/>
              </w:rPr>
            </w:pPr>
          </w:p>
        </w:tc>
        <w:tc>
          <w:tcPr>
            <w:tcW w:w="3201" w:type="dxa"/>
          </w:tcPr>
          <w:p>
            <w:pPr>
              <w:pStyle w:val="TableParagraph"/>
              <w:rPr>
                <w:rFonts w:ascii="Times New Roman"/>
                <w:sz w:val="10"/>
              </w:rPr>
            </w:pPr>
          </w:p>
        </w:tc>
        <w:tc>
          <w:tcPr>
            <w:tcW w:w="1261" w:type="dxa"/>
          </w:tcPr>
          <w:p>
            <w:pPr>
              <w:pStyle w:val="TableParagraph"/>
              <w:rPr>
                <w:rFonts w:ascii="Times New Roman"/>
                <w:sz w:val="10"/>
              </w:rPr>
            </w:pPr>
          </w:p>
        </w:tc>
      </w:tr>
      <w:tr>
        <w:trPr>
          <w:trHeight w:val="176" w:hRule="atLeast"/>
        </w:trPr>
        <w:tc>
          <w:tcPr>
            <w:tcW w:w="921" w:type="dxa"/>
          </w:tcPr>
          <w:p>
            <w:pPr>
              <w:pStyle w:val="TableParagraph"/>
              <w:rPr>
                <w:rFonts w:ascii="Times New Roman"/>
                <w:sz w:val="10"/>
              </w:rPr>
            </w:pPr>
          </w:p>
        </w:tc>
        <w:tc>
          <w:tcPr>
            <w:tcW w:w="3201" w:type="dxa"/>
          </w:tcPr>
          <w:p>
            <w:pPr>
              <w:pStyle w:val="TableParagraph"/>
              <w:rPr>
                <w:rFonts w:ascii="Times New Roman"/>
                <w:sz w:val="10"/>
              </w:rPr>
            </w:pPr>
          </w:p>
        </w:tc>
        <w:tc>
          <w:tcPr>
            <w:tcW w:w="1261" w:type="dxa"/>
          </w:tcPr>
          <w:p>
            <w:pPr>
              <w:pStyle w:val="TableParagraph"/>
              <w:rPr>
                <w:rFonts w:ascii="Times New Roman"/>
                <w:sz w:val="10"/>
              </w:rPr>
            </w:pPr>
          </w:p>
        </w:tc>
      </w:tr>
      <w:tr>
        <w:trPr>
          <w:trHeight w:val="175" w:hRule="atLeast"/>
        </w:trPr>
        <w:tc>
          <w:tcPr>
            <w:tcW w:w="921" w:type="dxa"/>
          </w:tcPr>
          <w:p>
            <w:pPr>
              <w:pStyle w:val="TableParagraph"/>
              <w:spacing w:line="154" w:lineRule="exact" w:before="2"/>
              <w:ind w:left="104" w:right="92"/>
              <w:jc w:val="center"/>
              <w:rPr>
                <w:sz w:val="15"/>
              </w:rPr>
            </w:pPr>
            <w:r>
              <w:rPr>
                <w:sz w:val="15"/>
              </w:rPr>
              <w:t>1.1</w:t>
            </w:r>
          </w:p>
        </w:tc>
        <w:tc>
          <w:tcPr>
            <w:tcW w:w="3201" w:type="dxa"/>
          </w:tcPr>
          <w:p>
            <w:pPr>
              <w:pStyle w:val="TableParagraph"/>
              <w:spacing w:line="153" w:lineRule="exact" w:before="3"/>
              <w:ind w:left="47"/>
              <w:rPr>
                <w:b/>
                <w:sz w:val="15"/>
              </w:rPr>
            </w:pPr>
            <w:r>
              <w:rPr>
                <w:b/>
                <w:sz w:val="15"/>
              </w:rPr>
              <w:t>IMPUESTOS SOBRE LOS INGRESOS</w:t>
            </w:r>
          </w:p>
        </w:tc>
        <w:tc>
          <w:tcPr>
            <w:tcW w:w="1261" w:type="dxa"/>
          </w:tcPr>
          <w:p>
            <w:pPr>
              <w:pStyle w:val="TableParagraph"/>
              <w:spacing w:line="153" w:lineRule="exact" w:before="3"/>
              <w:ind w:right="34"/>
              <w:jc w:val="right"/>
              <w:rPr>
                <w:b/>
                <w:sz w:val="15"/>
              </w:rPr>
            </w:pPr>
            <w:r>
              <w:rPr>
                <w:b/>
                <w:sz w:val="15"/>
              </w:rPr>
              <w:t>4,850,486</w:t>
            </w:r>
          </w:p>
        </w:tc>
      </w:tr>
      <w:tr>
        <w:trPr>
          <w:trHeight w:val="176" w:hRule="atLeast"/>
        </w:trPr>
        <w:tc>
          <w:tcPr>
            <w:tcW w:w="921" w:type="dxa"/>
          </w:tcPr>
          <w:p>
            <w:pPr>
              <w:pStyle w:val="TableParagraph"/>
              <w:spacing w:line="154" w:lineRule="exact" w:before="2"/>
              <w:ind w:left="104" w:right="93"/>
              <w:jc w:val="center"/>
              <w:rPr>
                <w:sz w:val="15"/>
              </w:rPr>
            </w:pPr>
            <w:r>
              <w:rPr>
                <w:sz w:val="15"/>
              </w:rPr>
              <w:t>1.1.1</w:t>
            </w:r>
          </w:p>
        </w:tc>
        <w:tc>
          <w:tcPr>
            <w:tcW w:w="3201" w:type="dxa"/>
          </w:tcPr>
          <w:p>
            <w:pPr>
              <w:pStyle w:val="TableParagraph"/>
              <w:spacing w:line="153" w:lineRule="exact" w:before="3"/>
              <w:ind w:left="47"/>
              <w:rPr>
                <w:b/>
                <w:sz w:val="15"/>
              </w:rPr>
            </w:pPr>
            <w:r>
              <w:rPr>
                <w:b/>
                <w:sz w:val="15"/>
              </w:rPr>
              <w:t>Impuestos sobre espectáculos públicos</w:t>
            </w:r>
          </w:p>
        </w:tc>
        <w:tc>
          <w:tcPr>
            <w:tcW w:w="1261" w:type="dxa"/>
          </w:tcPr>
          <w:p>
            <w:pPr>
              <w:pStyle w:val="TableParagraph"/>
              <w:spacing w:line="153" w:lineRule="exact" w:before="3"/>
              <w:ind w:right="34"/>
              <w:jc w:val="right"/>
              <w:rPr>
                <w:b/>
                <w:sz w:val="15"/>
              </w:rPr>
            </w:pPr>
            <w:r>
              <w:rPr>
                <w:b/>
                <w:sz w:val="15"/>
              </w:rPr>
              <w:t>4,850,486</w:t>
            </w:r>
          </w:p>
        </w:tc>
      </w:tr>
      <w:tr>
        <w:trPr>
          <w:trHeight w:val="175" w:hRule="atLeast"/>
        </w:trPr>
        <w:tc>
          <w:tcPr>
            <w:tcW w:w="921" w:type="dxa"/>
          </w:tcPr>
          <w:p>
            <w:pPr>
              <w:pStyle w:val="TableParagraph"/>
              <w:spacing w:line="154" w:lineRule="exact" w:before="2"/>
              <w:ind w:left="104" w:right="93"/>
              <w:jc w:val="center"/>
              <w:rPr>
                <w:sz w:val="15"/>
              </w:rPr>
            </w:pPr>
            <w:r>
              <w:rPr>
                <w:sz w:val="15"/>
              </w:rPr>
              <w:t>1.1.1.1</w:t>
            </w:r>
          </w:p>
        </w:tc>
        <w:tc>
          <w:tcPr>
            <w:tcW w:w="3201" w:type="dxa"/>
          </w:tcPr>
          <w:p>
            <w:pPr>
              <w:pStyle w:val="TableParagraph"/>
              <w:spacing w:line="154" w:lineRule="exact" w:before="2"/>
              <w:ind w:left="47"/>
              <w:rPr>
                <w:sz w:val="15"/>
              </w:rPr>
            </w:pPr>
            <w:r>
              <w:rPr>
                <w:sz w:val="15"/>
              </w:rPr>
              <w:t>Función de circo y espectáculos de carpa</w:t>
            </w:r>
          </w:p>
        </w:tc>
        <w:tc>
          <w:tcPr>
            <w:tcW w:w="1261" w:type="dxa"/>
          </w:tcPr>
          <w:p>
            <w:pPr>
              <w:pStyle w:val="TableParagraph"/>
              <w:spacing w:line="154" w:lineRule="exact" w:before="2"/>
              <w:ind w:right="34"/>
              <w:jc w:val="right"/>
              <w:rPr>
                <w:sz w:val="15"/>
              </w:rPr>
            </w:pPr>
            <w:r>
              <w:rPr>
                <w:sz w:val="15"/>
              </w:rPr>
              <w:t>4,900</w:t>
            </w:r>
          </w:p>
        </w:tc>
      </w:tr>
      <w:tr>
        <w:trPr>
          <w:trHeight w:val="707" w:hRule="atLeast"/>
        </w:trPr>
        <w:tc>
          <w:tcPr>
            <w:tcW w:w="921" w:type="dxa"/>
          </w:tcPr>
          <w:p>
            <w:pPr>
              <w:pStyle w:val="TableParagraph"/>
              <w:spacing w:before="3"/>
              <w:rPr>
                <w:sz w:val="23"/>
              </w:rPr>
            </w:pPr>
          </w:p>
          <w:p>
            <w:pPr>
              <w:pStyle w:val="TableParagraph"/>
              <w:ind w:left="104" w:right="93"/>
              <w:jc w:val="center"/>
              <w:rPr>
                <w:sz w:val="15"/>
              </w:rPr>
            </w:pPr>
            <w:r>
              <w:rPr>
                <w:sz w:val="15"/>
              </w:rPr>
              <w:t>1.1.1.2</w:t>
            </w:r>
          </w:p>
        </w:tc>
        <w:tc>
          <w:tcPr>
            <w:tcW w:w="3201" w:type="dxa"/>
          </w:tcPr>
          <w:p>
            <w:pPr>
              <w:pStyle w:val="TableParagraph"/>
              <w:spacing w:line="247" w:lineRule="auto" w:before="2"/>
              <w:ind w:left="47" w:right="165"/>
              <w:rPr>
                <w:sz w:val="15"/>
              </w:rPr>
            </w:pPr>
            <w:r>
              <w:rPr>
                <w:sz w:val="15"/>
              </w:rPr>
              <w:t>Conciertos, presentación de artistas, conciertos, audiciones musicales, funciones de box, lucha libre, futbol, básquetbol,</w:t>
            </w:r>
          </w:p>
          <w:p>
            <w:pPr>
              <w:pStyle w:val="TableParagraph"/>
              <w:spacing w:line="152" w:lineRule="exact"/>
              <w:ind w:left="47"/>
              <w:rPr>
                <w:sz w:val="15"/>
              </w:rPr>
            </w:pPr>
            <w:r>
              <w:rPr>
                <w:sz w:val="15"/>
              </w:rPr>
              <w:t>beisbol y otros espectáculos deportivos.</w:t>
            </w:r>
          </w:p>
        </w:tc>
        <w:tc>
          <w:tcPr>
            <w:tcW w:w="1261" w:type="dxa"/>
          </w:tcPr>
          <w:p>
            <w:pPr>
              <w:pStyle w:val="TableParagraph"/>
              <w:spacing w:before="2"/>
              <w:rPr>
                <w:sz w:val="23"/>
              </w:rPr>
            </w:pPr>
          </w:p>
          <w:p>
            <w:pPr>
              <w:pStyle w:val="TableParagraph"/>
              <w:spacing w:before="1"/>
              <w:ind w:right="34"/>
              <w:jc w:val="right"/>
              <w:rPr>
                <w:sz w:val="15"/>
              </w:rPr>
            </w:pPr>
            <w:r>
              <w:rPr>
                <w:sz w:val="15"/>
              </w:rPr>
              <w:t>4,767,065</w:t>
            </w:r>
          </w:p>
        </w:tc>
      </w:tr>
      <w:tr>
        <w:trPr>
          <w:trHeight w:val="353" w:hRule="atLeast"/>
        </w:trPr>
        <w:tc>
          <w:tcPr>
            <w:tcW w:w="921" w:type="dxa"/>
          </w:tcPr>
          <w:p>
            <w:pPr>
              <w:pStyle w:val="TableParagraph"/>
              <w:spacing w:before="90"/>
              <w:ind w:left="104" w:right="93"/>
              <w:jc w:val="center"/>
              <w:rPr>
                <w:sz w:val="15"/>
              </w:rPr>
            </w:pPr>
            <w:r>
              <w:rPr>
                <w:sz w:val="15"/>
              </w:rPr>
              <w:t>1.1.1.3</w:t>
            </w:r>
          </w:p>
        </w:tc>
        <w:tc>
          <w:tcPr>
            <w:tcW w:w="3201" w:type="dxa"/>
          </w:tcPr>
          <w:p>
            <w:pPr>
              <w:pStyle w:val="TableParagraph"/>
              <w:spacing w:line="178" w:lineRule="exact"/>
              <w:ind w:left="47"/>
              <w:rPr>
                <w:sz w:val="15"/>
              </w:rPr>
            </w:pPr>
            <w:r>
              <w:rPr>
                <w:sz w:val="15"/>
              </w:rPr>
              <w:t>Peleas de gallos, palenques, carreras de caballos y similares</w:t>
            </w:r>
          </w:p>
        </w:tc>
        <w:tc>
          <w:tcPr>
            <w:tcW w:w="1261" w:type="dxa"/>
          </w:tcPr>
          <w:p>
            <w:pPr>
              <w:pStyle w:val="TableParagraph"/>
              <w:spacing w:before="90"/>
              <w:ind w:right="34"/>
              <w:jc w:val="right"/>
              <w:rPr>
                <w:sz w:val="15"/>
              </w:rPr>
            </w:pPr>
            <w:r>
              <w:rPr>
                <w:w w:val="102"/>
                <w:sz w:val="15"/>
              </w:rPr>
              <w:t>0</w:t>
            </w:r>
          </w:p>
        </w:tc>
      </w:tr>
      <w:tr>
        <w:trPr>
          <w:trHeight w:val="173" w:hRule="atLeast"/>
        </w:trPr>
        <w:tc>
          <w:tcPr>
            <w:tcW w:w="921" w:type="dxa"/>
          </w:tcPr>
          <w:p>
            <w:pPr>
              <w:pStyle w:val="TableParagraph"/>
              <w:spacing w:line="153" w:lineRule="exact"/>
              <w:ind w:left="104" w:right="93"/>
              <w:jc w:val="center"/>
              <w:rPr>
                <w:sz w:val="15"/>
              </w:rPr>
            </w:pPr>
            <w:r>
              <w:rPr>
                <w:sz w:val="15"/>
              </w:rPr>
              <w:t>1.1.1.4</w:t>
            </w:r>
          </w:p>
        </w:tc>
        <w:tc>
          <w:tcPr>
            <w:tcW w:w="3201" w:type="dxa"/>
          </w:tcPr>
          <w:p>
            <w:pPr>
              <w:pStyle w:val="TableParagraph"/>
              <w:spacing w:line="153" w:lineRule="exact"/>
              <w:ind w:left="47"/>
              <w:rPr>
                <w:sz w:val="15"/>
              </w:rPr>
            </w:pPr>
            <w:r>
              <w:rPr>
                <w:sz w:val="15"/>
              </w:rPr>
              <w:t>Eventos y espectáculos deportivos</w:t>
            </w:r>
          </w:p>
        </w:tc>
        <w:tc>
          <w:tcPr>
            <w:tcW w:w="1261" w:type="dxa"/>
          </w:tcPr>
          <w:p>
            <w:pPr>
              <w:pStyle w:val="TableParagraph"/>
              <w:spacing w:line="153" w:lineRule="exact"/>
              <w:ind w:right="33"/>
              <w:jc w:val="right"/>
              <w:rPr>
                <w:sz w:val="15"/>
              </w:rPr>
            </w:pPr>
            <w:r>
              <w:rPr>
                <w:sz w:val="15"/>
              </w:rPr>
              <w:t>78,520</w:t>
            </w:r>
          </w:p>
        </w:tc>
      </w:tr>
      <w:tr>
        <w:trPr>
          <w:trHeight w:val="352" w:hRule="atLeast"/>
        </w:trPr>
        <w:tc>
          <w:tcPr>
            <w:tcW w:w="921" w:type="dxa"/>
          </w:tcPr>
          <w:p>
            <w:pPr>
              <w:pStyle w:val="TableParagraph"/>
              <w:spacing w:before="90"/>
              <w:ind w:left="104" w:right="93"/>
              <w:jc w:val="center"/>
              <w:rPr>
                <w:sz w:val="15"/>
              </w:rPr>
            </w:pPr>
            <w:r>
              <w:rPr>
                <w:sz w:val="15"/>
              </w:rPr>
              <w:t>1.1.1.5</w:t>
            </w:r>
          </w:p>
        </w:tc>
        <w:tc>
          <w:tcPr>
            <w:tcW w:w="3201" w:type="dxa"/>
          </w:tcPr>
          <w:p>
            <w:pPr>
              <w:pStyle w:val="TableParagraph"/>
              <w:spacing w:line="178" w:lineRule="exact"/>
              <w:ind w:left="47" w:right="165"/>
              <w:rPr>
                <w:sz w:val="15"/>
              </w:rPr>
            </w:pPr>
            <w:r>
              <w:rPr>
                <w:sz w:val="15"/>
              </w:rPr>
              <w:t>Espectáculos culturales, teatrales, ballet, ópera y taurinos</w:t>
            </w:r>
          </w:p>
        </w:tc>
        <w:tc>
          <w:tcPr>
            <w:tcW w:w="1261" w:type="dxa"/>
          </w:tcPr>
          <w:p>
            <w:pPr>
              <w:pStyle w:val="TableParagraph"/>
              <w:spacing w:before="90"/>
              <w:ind w:right="34"/>
              <w:jc w:val="right"/>
              <w:rPr>
                <w:sz w:val="15"/>
              </w:rPr>
            </w:pPr>
            <w:r>
              <w:rPr>
                <w:w w:val="102"/>
                <w:sz w:val="15"/>
              </w:rPr>
              <w:t>0</w:t>
            </w:r>
          </w:p>
        </w:tc>
      </w:tr>
      <w:tr>
        <w:trPr>
          <w:trHeight w:val="173" w:hRule="atLeast"/>
        </w:trPr>
        <w:tc>
          <w:tcPr>
            <w:tcW w:w="921" w:type="dxa"/>
          </w:tcPr>
          <w:p>
            <w:pPr>
              <w:pStyle w:val="TableParagraph"/>
              <w:spacing w:line="153" w:lineRule="exact"/>
              <w:ind w:left="104" w:right="93"/>
              <w:jc w:val="center"/>
              <w:rPr>
                <w:sz w:val="15"/>
              </w:rPr>
            </w:pPr>
            <w:r>
              <w:rPr>
                <w:sz w:val="15"/>
              </w:rPr>
              <w:t>1.1.1.6</w:t>
            </w:r>
          </w:p>
        </w:tc>
        <w:tc>
          <w:tcPr>
            <w:tcW w:w="3201" w:type="dxa"/>
          </w:tcPr>
          <w:p>
            <w:pPr>
              <w:pStyle w:val="TableParagraph"/>
              <w:spacing w:line="153" w:lineRule="exact"/>
              <w:ind w:left="47"/>
              <w:rPr>
                <w:sz w:val="15"/>
              </w:rPr>
            </w:pPr>
            <w:r>
              <w:rPr>
                <w:sz w:val="15"/>
              </w:rPr>
              <w:t>Espectáculos taurinos y ecuestres</w:t>
            </w:r>
          </w:p>
        </w:tc>
        <w:tc>
          <w:tcPr>
            <w:tcW w:w="1261" w:type="dxa"/>
          </w:tcPr>
          <w:p>
            <w:pPr>
              <w:pStyle w:val="TableParagraph"/>
              <w:spacing w:line="153" w:lineRule="exact"/>
              <w:ind w:right="34"/>
              <w:jc w:val="right"/>
              <w:rPr>
                <w:sz w:val="15"/>
              </w:rPr>
            </w:pPr>
            <w:r>
              <w:rPr>
                <w:w w:val="102"/>
                <w:sz w:val="15"/>
              </w:rPr>
              <w:t>0</w:t>
            </w:r>
          </w:p>
        </w:tc>
      </w:tr>
      <w:tr>
        <w:trPr>
          <w:trHeight w:val="175" w:hRule="atLeast"/>
        </w:trPr>
        <w:tc>
          <w:tcPr>
            <w:tcW w:w="921" w:type="dxa"/>
          </w:tcPr>
          <w:p>
            <w:pPr>
              <w:pStyle w:val="TableParagraph"/>
              <w:spacing w:line="154" w:lineRule="exact" w:before="2"/>
              <w:ind w:left="104" w:right="93"/>
              <w:jc w:val="center"/>
              <w:rPr>
                <w:sz w:val="15"/>
              </w:rPr>
            </w:pPr>
            <w:r>
              <w:rPr>
                <w:sz w:val="15"/>
              </w:rPr>
              <w:t>1.1.1.7</w:t>
            </w:r>
          </w:p>
        </w:tc>
        <w:tc>
          <w:tcPr>
            <w:tcW w:w="3201" w:type="dxa"/>
          </w:tcPr>
          <w:p>
            <w:pPr>
              <w:pStyle w:val="TableParagraph"/>
              <w:spacing w:line="154" w:lineRule="exact" w:before="2"/>
              <w:ind w:left="47"/>
              <w:rPr>
                <w:sz w:val="15"/>
              </w:rPr>
            </w:pPr>
            <w:r>
              <w:rPr>
                <w:sz w:val="15"/>
              </w:rPr>
              <w:t>Otros espectáculos públicos</w:t>
            </w:r>
          </w:p>
        </w:tc>
        <w:tc>
          <w:tcPr>
            <w:tcW w:w="1261" w:type="dxa"/>
          </w:tcPr>
          <w:p>
            <w:pPr>
              <w:pStyle w:val="TableParagraph"/>
              <w:spacing w:line="154" w:lineRule="exact" w:before="2"/>
              <w:ind w:right="35"/>
              <w:jc w:val="right"/>
              <w:rPr>
                <w:sz w:val="15"/>
              </w:rPr>
            </w:pPr>
            <w:r>
              <w:rPr>
                <w:w w:val="102"/>
                <w:sz w:val="15"/>
              </w:rPr>
              <w:t>0</w:t>
            </w:r>
          </w:p>
        </w:tc>
      </w:tr>
      <w:tr>
        <w:trPr>
          <w:trHeight w:val="176" w:hRule="atLeast"/>
        </w:trPr>
        <w:tc>
          <w:tcPr>
            <w:tcW w:w="921" w:type="dxa"/>
          </w:tcPr>
          <w:p>
            <w:pPr>
              <w:pStyle w:val="TableParagraph"/>
              <w:spacing w:line="154" w:lineRule="exact" w:before="2"/>
              <w:ind w:left="104" w:right="92"/>
              <w:jc w:val="center"/>
              <w:rPr>
                <w:sz w:val="15"/>
              </w:rPr>
            </w:pPr>
            <w:r>
              <w:rPr>
                <w:sz w:val="15"/>
              </w:rPr>
              <w:t>1.2</w:t>
            </w:r>
          </w:p>
        </w:tc>
        <w:tc>
          <w:tcPr>
            <w:tcW w:w="3201" w:type="dxa"/>
          </w:tcPr>
          <w:p>
            <w:pPr>
              <w:pStyle w:val="TableParagraph"/>
              <w:spacing w:line="153" w:lineRule="exact" w:before="3"/>
              <w:ind w:left="47"/>
              <w:rPr>
                <w:b/>
                <w:sz w:val="15"/>
              </w:rPr>
            </w:pPr>
            <w:r>
              <w:rPr>
                <w:b/>
                <w:sz w:val="15"/>
              </w:rPr>
              <w:t>IMPUESTOS SOBRE EL PATRIMONIO</w:t>
            </w:r>
          </w:p>
        </w:tc>
        <w:tc>
          <w:tcPr>
            <w:tcW w:w="1261" w:type="dxa"/>
          </w:tcPr>
          <w:p>
            <w:pPr>
              <w:pStyle w:val="TableParagraph"/>
              <w:spacing w:line="153" w:lineRule="exact" w:before="3"/>
              <w:ind w:right="32"/>
              <w:jc w:val="right"/>
              <w:rPr>
                <w:b/>
                <w:sz w:val="15"/>
              </w:rPr>
            </w:pPr>
            <w:r>
              <w:rPr>
                <w:b/>
                <w:sz w:val="15"/>
              </w:rPr>
              <w:t>738,324,334</w:t>
            </w:r>
          </w:p>
        </w:tc>
      </w:tr>
      <w:tr>
        <w:trPr>
          <w:trHeight w:val="175" w:hRule="atLeast"/>
        </w:trPr>
        <w:tc>
          <w:tcPr>
            <w:tcW w:w="921" w:type="dxa"/>
          </w:tcPr>
          <w:p>
            <w:pPr>
              <w:pStyle w:val="TableParagraph"/>
              <w:spacing w:line="154" w:lineRule="exact" w:before="2"/>
              <w:ind w:left="104" w:right="93"/>
              <w:jc w:val="center"/>
              <w:rPr>
                <w:sz w:val="15"/>
              </w:rPr>
            </w:pPr>
            <w:r>
              <w:rPr>
                <w:sz w:val="15"/>
              </w:rPr>
              <w:t>1.2.1</w:t>
            </w:r>
          </w:p>
        </w:tc>
        <w:tc>
          <w:tcPr>
            <w:tcW w:w="3201" w:type="dxa"/>
          </w:tcPr>
          <w:p>
            <w:pPr>
              <w:pStyle w:val="TableParagraph"/>
              <w:spacing w:line="153" w:lineRule="exact" w:before="3"/>
              <w:ind w:left="47"/>
              <w:rPr>
                <w:b/>
                <w:sz w:val="15"/>
              </w:rPr>
            </w:pPr>
            <w:r>
              <w:rPr>
                <w:b/>
                <w:sz w:val="15"/>
              </w:rPr>
              <w:t>Impuesto predial</w:t>
            </w:r>
          </w:p>
        </w:tc>
        <w:tc>
          <w:tcPr>
            <w:tcW w:w="1261" w:type="dxa"/>
          </w:tcPr>
          <w:p>
            <w:pPr>
              <w:pStyle w:val="TableParagraph"/>
              <w:spacing w:line="153" w:lineRule="exact" w:before="3"/>
              <w:ind w:right="33"/>
              <w:jc w:val="right"/>
              <w:rPr>
                <w:b/>
                <w:sz w:val="15"/>
              </w:rPr>
            </w:pPr>
            <w:r>
              <w:rPr>
                <w:b/>
                <w:sz w:val="15"/>
              </w:rPr>
              <w:t>351,218,759</w:t>
            </w:r>
          </w:p>
        </w:tc>
      </w:tr>
    </w:tbl>
    <w:p>
      <w:pPr>
        <w:pStyle w:val="BodyText"/>
        <w:spacing w:before="3"/>
        <w:rPr>
          <w:sz w:val="8"/>
        </w:rPr>
      </w:pPr>
      <w:r>
        <w:rPr/>
        <w:pict>
          <v:group style="position:absolute;margin-left:253.907593pt;margin-top:6.7012pt;width:81.45pt;height:4.45pt;mso-position-horizontal-relative:page;mso-position-vertical-relative:paragraph;z-index:-251630592;mso-wrap-distance-left:0;mso-wrap-distance-right:0" coordorigin="5078,134" coordsize="1629,89">
            <v:shape style="position:absolute;left:5078;top:134;width:85;height:89" coordorigin="5078,134" coordsize="85,89" path="m5122,134l5105,137,5091,146,5082,160,5078,178,5082,197,5091,211,5105,219,5122,223,5141,219,5152,209,5122,209,5110,207,5101,201,5095,191,5093,178,5095,166,5100,156,5109,149,5122,147,5153,147,5146,140,5134,136,5122,134xm5163,175l5123,175,5123,187,5150,187,5147,204,5136,209,5152,209,5154,208,5161,193,5163,175xm5153,147l5133,147,5141,151,5146,161,5160,161,5155,149,5153,147xe" filled="true" fillcolor="#7d868c" stroked="false">
              <v:path arrowok="t"/>
              <v:fill type="solid"/>
            </v:shape>
            <v:shape style="position:absolute;left:5184;top:134;width:88;height:89" coordorigin="5184,134" coordsize="88,89" path="m5228,134l5212,137,5198,146,5188,160,5184,178,5188,197,5197,211,5211,220,5228,223,5246,219,5260,210,5261,209,5228,209,5217,207,5207,201,5201,192,5199,178,5201,165,5208,155,5217,149,5228,147,5260,147,5259,146,5245,137,5228,134xm5260,147l5228,147,5240,150,5249,155,5256,165,5258,178,5256,192,5249,201,5240,207,5228,209,5261,209,5269,196,5272,178,5269,160,5260,147xe" filled="true" fillcolor="#7d868c" stroked="false">
              <v:path arrowok="t"/>
              <v:fill type="solid"/>
            </v:shape>
            <v:shape style="position:absolute;left:5299;top:135;width:66;height:87" coordorigin="5299,135" coordsize="66,87" path="m5350,135l5299,135,5299,221,5355,221,5365,212,5365,209,5314,209,5314,184,5363,184,5360,180,5351,177,5358,173,5359,172,5314,172,5314,148,5361,148,5361,143,5350,135xm5363,184l5339,184,5343,184,5347,186,5350,189,5351,192,5351,197,5351,205,5345,209,5365,209,5365,187,5363,184xm5361,148l5342,148,5347,152,5347,168,5342,172,5359,172,5361,167,5361,148xe" filled="true" fillcolor="#7d868c" stroked="false">
              <v:path arrowok="t"/>
              <v:fill type="solid"/>
            </v:shape>
            <v:shape style="position:absolute;left:5386;top:135;width:42;height:87" coordorigin="5387,135" coordsize="42,87" path="m5428,210l5387,210,5387,221,5428,221,5428,210xm5415,147l5400,147,5400,210,5415,210,5415,147xm5427,135l5388,135,5388,147,5427,147,5427,135xe" filled="true" fillcolor="#7d868c" stroked="false">
              <v:path arrowok="t"/>
              <v:fill type="solid"/>
            </v:shape>
            <v:shape style="position:absolute;left:5454;top:135;width:54;height:87" coordorigin="5455,135" coordsize="54,87" path="m5507,135l5455,135,5455,221,5508,221,5508,208,5469,208,5469,183,5505,183,5505,171,5469,171,5469,148,5507,148,5507,135xe" filled="true" fillcolor="#7d868c" stroked="false">
              <v:path arrowok="t"/>
              <v:fill type="solid"/>
            </v:shape>
            <v:shape style="position:absolute;left:5536;top:135;width:70;height:87" coordorigin="5537,135" coordsize="70,87" path="m5572,135l5537,135,5537,221,5551,221,5551,191,5586,191,5584,189,5595,185,5599,180,5551,180,5551,148,5597,148,5594,143,5585,137,5572,135xm5586,191l5570,191,5591,221,5606,221,5606,219,5586,191xm5597,148l5582,148,5588,154,5588,173,5582,180,5599,180,5602,175,5602,163,5600,152,5597,148xe" filled="true" fillcolor="#7d868c" stroked="false">
              <v:path arrowok="t"/>
              <v:fill type="solid"/>
            </v:shape>
            <v:shape style="position:absolute;left:5631;top:134;width:71;height:87" coordorigin="5631,135" coordsize="71,87" path="m5662,163l5645,163,5697,222,5702,222,5702,193,5689,193,5662,163xm5637,135l5631,135,5631,221,5646,221,5646,190,5645,163,5662,163,5637,135xm5702,135l5688,135,5688,167,5689,193,5702,193,5702,135xe" filled="true" fillcolor="#7d868c" stroked="false">
              <v:path arrowok="t"/>
              <v:fill type="solid"/>
            </v:shape>
            <v:shape style="position:absolute;left:5729;top:134;width:88;height:89" coordorigin="5729,134" coordsize="88,89" path="m5773,134l5757,137,5743,146,5733,160,5729,178,5733,197,5742,211,5756,220,5773,223,5791,219,5805,210,5806,209,5773,209,5762,207,5753,201,5746,192,5744,178,5746,165,5753,155,5762,149,5774,147,5805,147,5804,146,5790,137,5773,134xm5805,147l5774,147,5785,150,5794,155,5801,165,5803,178,5801,192,5794,201,5785,207,5773,209,5806,209,5814,196,5817,178,5814,160,5805,147xe" filled="true" fillcolor="#7d868c" stroked="false">
              <v:path arrowok="t"/>
              <v:fill type="solid"/>
            </v:shape>
            <v:shape style="position:absolute;left:5886;top:135;width:74;height:87" coordorigin="5886,135" coordsize="74,87" path="m5917,135l5886,135,5886,221,5917,221,5935,218,5949,208,5901,208,5901,148,5949,148,5935,139,5917,135xm5949,148l5917,148,5929,151,5938,157,5943,167,5945,178,5943,190,5938,199,5929,206,5917,208,5949,208,5949,208,5957,194,5960,178,5957,162,5949,148xe" filled="true" fillcolor="#7d868c" stroked="false">
              <v:path arrowok="t"/>
              <v:fill type="solid"/>
            </v:shape>
            <v:shape style="position:absolute;left:5986;top:135;width:54;height:87" coordorigin="5987,135" coordsize="54,87" path="m6039,135l5987,135,5987,221,6040,221,6040,208,6001,208,6001,183,6037,183,6037,171,6001,171,6001,148,6039,148,6039,135xe" filled="true" fillcolor="#7d868c" stroked="false">
              <v:path arrowok="t"/>
              <v:fill type="solid"/>
            </v:shape>
            <v:shape style="position:absolute;left:6068;top:135;width:52;height:87" coordorigin="6069,135" coordsize="52,87" path="m6083,135l6069,135,6069,221,6120,221,6120,208,6083,208,6083,135xe" filled="true" fillcolor="#7d868c" stroked="false">
              <v:path arrowok="t"/>
              <v:fill type="solid"/>
            </v:shape>
            <v:shape style="position:absolute;left:6181;top:135;width:54;height:87" coordorigin="6182,135" coordsize="54,87" path="m6234,135l6182,135,6182,221,6235,221,6235,208,6196,208,6196,183,6232,183,6232,171,6196,171,6196,148,6234,148,6234,135xe" filled="true" fillcolor="#7d868c" stroked="false">
              <v:path arrowok="t"/>
              <v:fill type="solid"/>
            </v:shape>
            <v:shape style="position:absolute;left:6257;top:134;width:69;height:89" coordorigin="6258,134" coordsize="69,89" path="m6272,197l6258,197,6261,209,6269,217,6280,221,6292,223,6305,221,6316,217,6323,210,6283,210,6272,207,6272,197xm6291,134l6279,136,6269,140,6262,148,6259,159,6259,177,6275,182,6290,183,6312,185,6312,207,6301,210,6323,210,6323,209,6326,197,6324,185,6316,178,6306,174,6293,172,6273,169,6273,150,6283,147,6320,147,6314,140,6303,135,6291,134xm6320,147l6300,147,6310,150,6311,159,6324,159,6321,148,6320,147xe" filled="true" fillcolor="#7d868c" stroked="false">
              <v:path arrowok="t"/>
              <v:fill type="solid"/>
            </v:shape>
            <v:shape style="position:absolute;left:6344;top:135;width:65;height:87" coordorigin="6344,135" coordsize="65,87" path="m6383,148l6369,148,6369,221,6383,221,6383,148xm6408,135l6344,135,6344,148,6408,148,6408,135xe" filled="true" fillcolor="#7d868c" stroked="false">
              <v:path arrowok="t"/>
              <v:fill type="solid"/>
            </v:shape>
            <v:shape style="position:absolute;left:6415;top:134;width:87;height:87" coordorigin="6415,135" coordsize="87,87" path="m6462,135l6455,135,6415,220,6415,221,6430,221,6439,204,6494,204,6488,191,6443,191,6458,157,6472,157,6462,135xm6494,204l6478,204,6486,221,6501,221,6501,220,6494,204xm6472,157l6458,157,6473,191,6488,191,6472,157xe" filled="true" fillcolor="#7d868c" stroked="false">
              <v:path arrowok="t"/>
              <v:fill type="solid"/>
            </v:shape>
            <v:shape style="position:absolute;left:6523;top:135;width:74;height:87" coordorigin="6523,135" coordsize="74,87" path="m6554,135l6523,135,6523,221,6554,221,6572,218,6586,208,6538,208,6538,148,6586,148,6572,139,6554,135xm6586,148l6554,148,6566,151,6575,157,6580,167,6582,178,6580,190,6575,199,6566,206,6554,208,6586,208,6586,208,6594,194,6597,178,6594,162,6586,148xe" filled="true" fillcolor="#7d868c" stroked="false">
              <v:path arrowok="t"/>
              <v:fill type="solid"/>
            </v:shape>
            <v:shape style="position:absolute;left:6618;top:134;width:88;height:89" coordorigin="6619,134" coordsize="88,89" path="m6663,134l6646,137,6632,146,6622,160,6619,178,6622,197,6632,211,6646,220,6663,223,6680,219,6694,210,6695,209,6663,209,6651,207,6642,201,6636,192,6633,178,6636,165,6642,155,6651,149,6663,147,6695,147,6694,146,6680,137,6663,134xm6695,147l6663,147,6674,150,6684,155,6690,165,6692,178,6690,192,6684,201,6674,207,6663,209,6695,209,6703,196,6707,178,6703,160,6695,147xe" filled="true" fillcolor="#7d868c" stroked="false">
              <v:path arrowok="t"/>
              <v:fill type="solid"/>
            </v:shape>
            <w10:wrap type="topAndBottom"/>
          </v:group>
        </w:pict>
      </w:r>
    </w:p>
    <w:p>
      <w:pPr>
        <w:pStyle w:val="BodyText"/>
        <w:rPr>
          <w:sz w:val="20"/>
        </w:rPr>
      </w:pPr>
    </w:p>
    <w:p>
      <w:pPr>
        <w:pStyle w:val="BodyText"/>
        <w:rPr>
          <w:sz w:val="25"/>
        </w:rPr>
      </w:pPr>
    </w:p>
    <w:p>
      <w:pPr>
        <w:spacing w:before="96"/>
        <w:ind w:left="12825" w:right="0" w:firstLine="0"/>
        <w:jc w:val="left"/>
        <w:rPr>
          <w:rFonts w:ascii="Tahoma" w:hAnsi="Tahoma"/>
          <w:b/>
          <w:sz w:val="14"/>
        </w:rPr>
      </w:pPr>
      <w:r>
        <w:rPr/>
        <w:pict>
          <v:group style="position:absolute;margin-left:247.230194pt;margin-top:-58.744881pt;width:94.8pt;height:20.150pt;mso-position-horizontal-relative:page;mso-position-vertical-relative:paragraph;z-index:251686912" coordorigin="4945,-1175" coordsize="1896,403">
            <v:shape style="position:absolute;left:5285;top:-1050;width:341;height:278" type="#_x0000_t75" stroked="false">
              <v:imagedata r:id="rId40" o:title=""/>
            </v:shape>
            <v:shape style="position:absolute;left:5664;top:-1166;width:121;height:393" type="#_x0000_t75" stroked="false">
              <v:imagedata r:id="rId41" o:title=""/>
            </v:shape>
            <v:shape style="position:absolute;left:5814;top:-1175;width:129;height:403" coordorigin="5815,-1175" coordsize="129,403" path="m5886,-1042l5825,-1042,5823,-1039,5823,-833,5824,-820,5828,-809,5834,-798,5844,-789,5855,-782,5868,-777,5882,-774,5899,-773,5910,-773,5922,-775,5936,-779,5941,-781,5943,-784,5942,-789,5938,-827,5937,-831,5902,-831,5898,-833,5894,-836,5891,-840,5889,-845,5889,-1039,5886,-1042xm5934,-834l5928,-833,5920,-832,5914,-831,5937,-831,5937,-832,5934,-834xm5867,-1175l5844,-1175,5834,-1171,5819,-1156,5815,-1147,5815,-1126,5819,-1117,5834,-1103,5844,-1099,5867,-1099,5877,-1103,5893,-1117,5897,-1126,5897,-1147,5893,-1156,5877,-1171,5867,-1175xe" filled="true" fillcolor="#7d868c" stroked="false">
              <v:path arrowok="t"/>
              <v:fill type="solid"/>
            </v:shape>
            <v:shape style="position:absolute;left:5961;top:-1050;width:247;height:278" type="#_x0000_t75" stroked="false">
              <v:imagedata r:id="rId42" o:title=""/>
            </v:shape>
            <v:shape style="position:absolute;left:6240;top:-1050;width:278;height:278" type="#_x0000_t75" stroked="false">
              <v:imagedata r:id="rId43" o:title=""/>
            </v:shape>
            <v:shape style="position:absolute;left:6549;top:-1050;width:291;height:278" type="#_x0000_t75" stroked="false">
              <v:imagedata r:id="rId44" o:title=""/>
            </v:shape>
            <v:shape style="position:absolute;left:4944;top:-1162;width:298;height:389" type="#_x0000_t75" stroked="false">
              <v:imagedata r:id="rId45" o:title=""/>
            </v:shape>
            <w10:wrap type="none"/>
          </v:group>
        </w:pict>
      </w:r>
      <w:r>
        <w:rPr/>
        <w:drawing>
          <wp:anchor distT="0" distB="0" distL="0" distR="0" allowOverlap="1" layoutInCell="1" locked="0" behindDoc="0" simplePos="0" relativeHeight="251687936">
            <wp:simplePos x="0" y="0"/>
            <wp:positionH relativeFrom="page">
              <wp:posOffset>3412206</wp:posOffset>
            </wp:positionH>
            <wp:positionV relativeFrom="paragraph">
              <wp:posOffset>-1482126</wp:posOffset>
            </wp:positionV>
            <wp:extent cx="660729" cy="685800"/>
            <wp:effectExtent l="0" t="0" r="0" b="0"/>
            <wp:wrapNone/>
            <wp:docPr id="27" name="image42.png"/>
            <wp:cNvGraphicFramePr>
              <a:graphicFrameLocks noChangeAspect="1"/>
            </wp:cNvGraphicFramePr>
            <a:graphic>
              <a:graphicData uri="http://schemas.openxmlformats.org/drawingml/2006/picture">
                <pic:pic>
                  <pic:nvPicPr>
                    <pic:cNvPr id="28" name="image42.png"/>
                    <pic:cNvPicPr/>
                  </pic:nvPicPr>
                  <pic:blipFill>
                    <a:blip r:embed="rId46" cstate="print"/>
                    <a:stretch>
                      <a:fillRect/>
                    </a:stretch>
                  </pic:blipFill>
                  <pic:spPr>
                    <a:xfrm>
                      <a:off x="0" y="0"/>
                      <a:ext cx="660729" cy="685800"/>
                    </a:xfrm>
                    <a:prstGeom prst="rect">
                      <a:avLst/>
                    </a:prstGeom>
                  </pic:spPr>
                </pic:pic>
              </a:graphicData>
            </a:graphic>
          </wp:anchor>
        </w:drawing>
      </w:r>
      <w:r>
        <w:rPr>
          <w:rFonts w:ascii="Tahoma" w:hAnsi="Tahoma"/>
          <w:b/>
          <w:w w:val="105"/>
          <w:sz w:val="14"/>
        </w:rPr>
        <w:t>LEY</w:t>
      </w:r>
      <w:r>
        <w:rPr>
          <w:rFonts w:ascii="Tahoma" w:hAnsi="Tahoma"/>
          <w:b/>
          <w:spacing w:val="-4"/>
          <w:sz w:val="14"/>
        </w:rPr>
        <w:t> </w:t>
      </w:r>
      <w:r>
        <w:rPr>
          <w:rFonts w:ascii="Tahoma" w:hAnsi="Tahoma"/>
          <w:b/>
          <w:w w:val="105"/>
          <w:sz w:val="14"/>
        </w:rPr>
        <w:t>DE</w:t>
      </w:r>
      <w:r>
        <w:rPr>
          <w:rFonts w:ascii="Tahoma" w:hAnsi="Tahoma"/>
          <w:b/>
          <w:spacing w:val="-4"/>
          <w:sz w:val="14"/>
        </w:rPr>
        <w:t> </w:t>
      </w:r>
      <w:r>
        <w:rPr>
          <w:rFonts w:ascii="Tahoma" w:hAnsi="Tahoma"/>
          <w:b/>
          <w:w w:val="106"/>
          <w:sz w:val="14"/>
        </w:rPr>
        <w:t>INGRESOS</w:t>
      </w:r>
      <w:r>
        <w:rPr>
          <w:rFonts w:ascii="Tahoma" w:hAnsi="Tahoma"/>
          <w:b/>
          <w:spacing w:val="-4"/>
          <w:sz w:val="14"/>
        </w:rPr>
        <w:t> </w:t>
      </w:r>
      <w:r>
        <w:rPr>
          <w:rFonts w:ascii="Tahoma" w:hAnsi="Tahoma"/>
          <w:b/>
          <w:w w:val="100"/>
          <w:sz w:val="14"/>
        </w:rPr>
        <w:t>2020</w:t>
      </w:r>
      <w:r>
        <w:rPr>
          <w:rFonts w:ascii="Tahoma" w:hAnsi="Tahoma"/>
          <w:b/>
          <w:spacing w:val="-4"/>
          <w:sz w:val="14"/>
        </w:rPr>
        <w:t> </w:t>
      </w:r>
      <w:r>
        <w:rPr>
          <w:rFonts w:ascii="Tahoma" w:hAnsi="Tahoma"/>
          <w:b/>
          <w:w w:val="72"/>
          <w:sz w:val="14"/>
        </w:rPr>
        <w:t>/</w:t>
      </w:r>
      <w:r>
        <w:rPr>
          <w:rFonts w:ascii="Tahoma" w:hAnsi="Tahoma"/>
          <w:b/>
          <w:spacing w:val="-4"/>
          <w:sz w:val="14"/>
        </w:rPr>
        <w:t> </w:t>
      </w:r>
      <w:r>
        <w:rPr>
          <w:rFonts w:ascii="Tahoma" w:hAnsi="Tahoma"/>
          <w:b/>
          <w:smallCaps/>
          <w:w w:val="106"/>
          <w:sz w:val="14"/>
        </w:rPr>
        <w:t>Tlajomulco</w:t>
      </w:r>
      <w:r>
        <w:rPr>
          <w:rFonts w:ascii="Tahoma" w:hAnsi="Tahoma"/>
          <w:b/>
          <w:smallCaps w:val="0"/>
          <w:spacing w:val="-6"/>
          <w:sz w:val="14"/>
        </w:rPr>
        <w:t> </w:t>
      </w:r>
      <w:r>
        <w:rPr>
          <w:rFonts w:ascii="Tahoma" w:hAnsi="Tahoma"/>
          <w:b/>
          <w:smallCaps w:val="0"/>
          <w:w w:val="107"/>
          <w:sz w:val="14"/>
        </w:rPr>
        <w:t>de</w:t>
      </w:r>
      <w:r>
        <w:rPr>
          <w:rFonts w:ascii="Tahoma" w:hAnsi="Tahoma"/>
          <w:b/>
          <w:smallCaps w:val="0"/>
          <w:spacing w:val="-5"/>
          <w:sz w:val="14"/>
        </w:rPr>
        <w:t> </w:t>
      </w:r>
      <w:r>
        <w:rPr>
          <w:rFonts w:ascii="Tahoma" w:hAnsi="Tahoma"/>
          <w:b/>
          <w:smallCaps w:val="0"/>
          <w:w w:val="107"/>
          <w:sz w:val="14"/>
        </w:rPr>
        <w:t>Z</w:t>
      </w:r>
      <w:r>
        <w:rPr>
          <w:rFonts w:ascii="Tahoma" w:hAnsi="Tahoma"/>
          <w:b/>
          <w:smallCaps w:val="0"/>
          <w:spacing w:val="-1"/>
          <w:w w:val="107"/>
          <w:sz w:val="14"/>
        </w:rPr>
        <w:t>ú</w:t>
      </w:r>
      <w:r>
        <w:rPr>
          <w:rFonts w:ascii="Tahoma" w:hAnsi="Tahoma"/>
          <w:b/>
          <w:smallCaps w:val="0"/>
          <w:w w:val="112"/>
          <w:sz w:val="14"/>
        </w:rPr>
        <w:t>ñ</w:t>
      </w:r>
      <w:r>
        <w:rPr>
          <w:rFonts w:ascii="Tahoma" w:hAnsi="Tahoma"/>
          <w:b/>
          <w:smallCaps w:val="0"/>
          <w:spacing w:val="-1"/>
          <w:w w:val="112"/>
          <w:sz w:val="14"/>
        </w:rPr>
        <w:t>i</w:t>
      </w:r>
      <w:r>
        <w:rPr>
          <w:rFonts w:ascii="Tahoma" w:hAnsi="Tahoma"/>
          <w:b/>
          <w:smallCaps/>
          <w:w w:val="118"/>
          <w:sz w:val="14"/>
        </w:rPr>
        <w:t>ga</w:t>
      </w:r>
      <w:r>
        <w:rPr>
          <w:rFonts w:ascii="Tahoma" w:hAnsi="Tahoma"/>
          <w:b/>
          <w:smallCaps w:val="0"/>
          <w:spacing w:val="-4"/>
          <w:sz w:val="14"/>
        </w:rPr>
        <w:t> </w:t>
      </w:r>
      <w:r>
        <w:rPr>
          <w:rFonts w:ascii="Tahoma" w:hAnsi="Tahoma"/>
          <w:b/>
          <w:smallCaps w:val="0"/>
          <w:w w:val="72"/>
          <w:sz w:val="14"/>
        </w:rPr>
        <w:t>/</w:t>
      </w:r>
      <w:r>
        <w:rPr>
          <w:rFonts w:ascii="Tahoma" w:hAnsi="Tahoma"/>
          <w:b/>
          <w:smallCaps w:val="0"/>
          <w:spacing w:val="-4"/>
          <w:sz w:val="14"/>
        </w:rPr>
        <w:t> </w:t>
      </w:r>
      <w:r>
        <w:rPr>
          <w:rFonts w:ascii="Tahoma" w:hAnsi="Tahoma"/>
          <w:b/>
          <w:smallCaps w:val="0"/>
          <w:w w:val="104"/>
          <w:sz w:val="14"/>
        </w:rPr>
        <w:t>N</w:t>
      </w:r>
      <w:r>
        <w:rPr>
          <w:rFonts w:ascii="Tahoma" w:hAnsi="Tahoma"/>
          <w:b/>
          <w:smallCaps w:val="0"/>
          <w:spacing w:val="-2"/>
          <w:w w:val="104"/>
          <w:sz w:val="14"/>
        </w:rPr>
        <w:t>ú</w:t>
      </w:r>
      <w:r>
        <w:rPr>
          <w:rFonts w:ascii="Tahoma" w:hAnsi="Tahoma"/>
          <w:b/>
          <w:smallCaps w:val="0"/>
          <w:spacing w:val="-2"/>
          <w:w w:val="112"/>
          <w:sz w:val="14"/>
        </w:rPr>
        <w:t>m</w:t>
      </w:r>
      <w:r>
        <w:rPr>
          <w:rFonts w:ascii="Tahoma" w:hAnsi="Tahoma"/>
          <w:b/>
          <w:smallCaps w:val="0"/>
          <w:w w:val="108"/>
          <w:sz w:val="14"/>
        </w:rPr>
        <w:t>e</w:t>
      </w:r>
      <w:r>
        <w:rPr>
          <w:rFonts w:ascii="Tahoma" w:hAnsi="Tahoma"/>
          <w:b/>
          <w:smallCaps w:val="0"/>
          <w:spacing w:val="-3"/>
          <w:w w:val="108"/>
          <w:sz w:val="14"/>
        </w:rPr>
        <w:t>r</w:t>
      </w:r>
      <w:r>
        <w:rPr>
          <w:rFonts w:ascii="Tahoma" w:hAnsi="Tahoma"/>
          <w:b/>
          <w:smallCaps w:val="0"/>
          <w:w w:val="101"/>
          <w:sz w:val="14"/>
        </w:rPr>
        <w:t>o</w:t>
      </w:r>
      <w:r>
        <w:rPr>
          <w:rFonts w:ascii="Tahoma" w:hAnsi="Tahoma"/>
          <w:b/>
          <w:smallCaps w:val="0"/>
          <w:spacing w:val="-7"/>
          <w:sz w:val="14"/>
        </w:rPr>
        <w:t> </w:t>
      </w:r>
      <w:r>
        <w:rPr>
          <w:rFonts w:ascii="Tahoma" w:hAnsi="Tahoma"/>
          <w:b/>
          <w:smallCaps w:val="0"/>
          <w:w w:val="98"/>
          <w:sz w:val="14"/>
        </w:rPr>
        <w:t>3</w:t>
      </w:r>
      <w:r>
        <w:rPr>
          <w:rFonts w:ascii="Tahoma" w:hAnsi="Tahoma"/>
          <w:b/>
          <w:smallCaps w:val="0"/>
          <w:spacing w:val="-11"/>
          <w:w w:val="98"/>
          <w:sz w:val="14"/>
        </w:rPr>
        <w:t>9</w:t>
      </w:r>
      <w:r>
        <w:rPr>
          <w:rFonts w:ascii="Tahoma" w:hAnsi="Tahoma"/>
          <w:b/>
          <w:smallCaps w:val="0"/>
          <w:w w:val="73"/>
          <w:sz w:val="14"/>
        </w:rPr>
        <w:t>.</w:t>
      </w:r>
      <w:r>
        <w:rPr>
          <w:rFonts w:ascii="Tahoma" w:hAnsi="Tahoma"/>
          <w:b/>
          <w:smallCaps w:val="0"/>
          <w:spacing w:val="-6"/>
          <w:sz w:val="14"/>
        </w:rPr>
        <w:t> </w:t>
      </w:r>
      <w:r>
        <w:rPr>
          <w:rFonts w:ascii="Tahoma" w:hAnsi="Tahoma"/>
          <w:b/>
          <w:smallCaps w:val="0"/>
          <w:w w:val="110"/>
          <w:sz w:val="14"/>
        </w:rPr>
        <w:t>Secc</w:t>
      </w:r>
      <w:r>
        <w:rPr>
          <w:rFonts w:ascii="Tahoma" w:hAnsi="Tahoma"/>
          <w:b/>
          <w:smallCaps w:val="0"/>
          <w:spacing w:val="-2"/>
          <w:w w:val="110"/>
          <w:sz w:val="14"/>
        </w:rPr>
        <w:t>i</w:t>
      </w:r>
      <w:r>
        <w:rPr>
          <w:rFonts w:ascii="Tahoma" w:hAnsi="Tahoma"/>
          <w:b/>
          <w:smallCaps w:val="0"/>
          <w:w w:val="109"/>
          <w:sz w:val="14"/>
        </w:rPr>
        <w:t>ón</w:t>
      </w:r>
      <w:r>
        <w:rPr>
          <w:rFonts w:ascii="Tahoma" w:hAnsi="Tahoma"/>
          <w:b/>
          <w:smallCaps w:val="0"/>
          <w:spacing w:val="-6"/>
          <w:sz w:val="14"/>
        </w:rPr>
        <w:t> </w:t>
      </w:r>
      <w:r>
        <w:rPr>
          <w:rFonts w:ascii="Tahoma" w:hAnsi="Tahoma"/>
          <w:b/>
          <w:smallCaps w:val="0"/>
          <w:w w:val="104"/>
          <w:sz w:val="14"/>
        </w:rPr>
        <w:t>X</w:t>
      </w:r>
      <w:r>
        <w:rPr>
          <w:rFonts w:ascii="Tahoma" w:hAnsi="Tahoma"/>
          <w:b/>
          <w:smallCaps w:val="0"/>
          <w:spacing w:val="-13"/>
          <w:w w:val="104"/>
          <w:sz w:val="14"/>
        </w:rPr>
        <w:t>L</w:t>
      </w:r>
      <w:r>
        <w:rPr>
          <w:rFonts w:ascii="Tahoma" w:hAnsi="Tahoma"/>
          <w:b/>
          <w:smallCaps w:val="0"/>
          <w:w w:val="108"/>
          <w:sz w:val="14"/>
        </w:rPr>
        <w:t>VI</w:t>
      </w:r>
    </w:p>
    <w:p>
      <w:pPr>
        <w:spacing w:after="0"/>
        <w:jc w:val="left"/>
        <w:rPr>
          <w:rFonts w:ascii="Tahoma" w:hAnsi="Tahoma"/>
          <w:sz w:val="14"/>
        </w:rPr>
        <w:sectPr>
          <w:type w:val="continuous"/>
          <w:pgSz w:w="23250" w:h="15310" w:orient="landscape"/>
          <w:pgMar w:top="0" w:bottom="0" w:left="1880" w:right="1520"/>
        </w:sect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pStyle w:val="Heading1"/>
        <w:tabs>
          <w:tab w:pos="12847" w:val="left" w:leader="none"/>
        </w:tabs>
        <w:spacing w:line="240" w:lineRule="auto"/>
        <w:ind w:left="1451"/>
        <w:rPr>
          <w:rFonts w:ascii="Times New Roman"/>
        </w:rPr>
      </w:pPr>
      <w:r>
        <w:rPr>
          <w:rFonts w:ascii="Times New Roman"/>
          <w:position w:val="8"/>
        </w:rPr>
        <w:pict>
          <v:shape style="width:270.1pt;height:498.3pt;mso-position-horizontal-relative:char;mso-position-vertical-relative:line" type="#_x0000_t202"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1"/>
                    <w:gridCol w:w="3201"/>
                    <w:gridCol w:w="1261"/>
                  </w:tblGrid>
                  <w:tr>
                    <w:trPr>
                      <w:trHeight w:val="176" w:hRule="atLeast"/>
                    </w:trPr>
                    <w:tc>
                      <w:tcPr>
                        <w:tcW w:w="921" w:type="dxa"/>
                        <w:tcBorders>
                          <w:top w:val="nil"/>
                        </w:tcBorders>
                      </w:tcPr>
                      <w:p>
                        <w:pPr>
                          <w:pStyle w:val="TableParagraph"/>
                          <w:spacing w:line="154" w:lineRule="exact" w:before="2"/>
                          <w:ind w:left="104" w:right="93"/>
                          <w:jc w:val="center"/>
                          <w:rPr>
                            <w:sz w:val="15"/>
                          </w:rPr>
                        </w:pPr>
                        <w:r>
                          <w:rPr>
                            <w:sz w:val="15"/>
                          </w:rPr>
                          <w:t>1.2.1.1</w:t>
                        </w:r>
                      </w:p>
                    </w:tc>
                    <w:tc>
                      <w:tcPr>
                        <w:tcW w:w="3201" w:type="dxa"/>
                        <w:tcBorders>
                          <w:top w:val="nil"/>
                        </w:tcBorders>
                      </w:tcPr>
                      <w:p>
                        <w:pPr>
                          <w:pStyle w:val="TableParagraph"/>
                          <w:spacing w:line="154" w:lineRule="exact" w:before="2"/>
                          <w:ind w:left="47"/>
                          <w:rPr>
                            <w:sz w:val="15"/>
                          </w:rPr>
                        </w:pPr>
                        <w:r>
                          <w:rPr>
                            <w:sz w:val="15"/>
                          </w:rPr>
                          <w:t>Predios rústicos</w:t>
                        </w:r>
                      </w:p>
                    </w:tc>
                    <w:tc>
                      <w:tcPr>
                        <w:tcW w:w="1261" w:type="dxa"/>
                        <w:tcBorders>
                          <w:top w:val="nil"/>
                        </w:tcBorders>
                      </w:tcPr>
                      <w:p>
                        <w:pPr>
                          <w:pStyle w:val="TableParagraph"/>
                          <w:spacing w:line="154" w:lineRule="exact" w:before="2"/>
                          <w:ind w:right="35"/>
                          <w:jc w:val="right"/>
                          <w:rPr>
                            <w:sz w:val="15"/>
                          </w:rPr>
                        </w:pPr>
                        <w:r>
                          <w:rPr>
                            <w:sz w:val="15"/>
                          </w:rPr>
                          <w:t>37,567,954</w:t>
                        </w:r>
                      </w:p>
                    </w:tc>
                  </w:tr>
                  <w:tr>
                    <w:trPr>
                      <w:trHeight w:val="175" w:hRule="atLeast"/>
                    </w:trPr>
                    <w:tc>
                      <w:tcPr>
                        <w:tcW w:w="921" w:type="dxa"/>
                      </w:tcPr>
                      <w:p>
                        <w:pPr>
                          <w:pStyle w:val="TableParagraph"/>
                          <w:spacing w:line="154" w:lineRule="exact" w:before="1"/>
                          <w:ind w:left="104" w:right="93"/>
                          <w:jc w:val="center"/>
                          <w:rPr>
                            <w:sz w:val="15"/>
                          </w:rPr>
                        </w:pPr>
                        <w:r>
                          <w:rPr>
                            <w:sz w:val="15"/>
                          </w:rPr>
                          <w:t>1.2.1.2</w:t>
                        </w:r>
                      </w:p>
                    </w:tc>
                    <w:tc>
                      <w:tcPr>
                        <w:tcW w:w="3201" w:type="dxa"/>
                      </w:tcPr>
                      <w:p>
                        <w:pPr>
                          <w:pStyle w:val="TableParagraph"/>
                          <w:spacing w:line="154" w:lineRule="exact" w:before="1"/>
                          <w:ind w:left="47"/>
                          <w:rPr>
                            <w:sz w:val="15"/>
                          </w:rPr>
                        </w:pPr>
                        <w:r>
                          <w:rPr>
                            <w:sz w:val="15"/>
                          </w:rPr>
                          <w:t>Predios urbanos</w:t>
                        </w:r>
                      </w:p>
                    </w:tc>
                    <w:tc>
                      <w:tcPr>
                        <w:tcW w:w="1261" w:type="dxa"/>
                      </w:tcPr>
                      <w:p>
                        <w:pPr>
                          <w:pStyle w:val="TableParagraph"/>
                          <w:spacing w:line="154" w:lineRule="exact" w:before="1"/>
                          <w:ind w:right="34"/>
                          <w:jc w:val="right"/>
                          <w:rPr>
                            <w:sz w:val="15"/>
                          </w:rPr>
                        </w:pPr>
                        <w:r>
                          <w:rPr>
                            <w:sz w:val="15"/>
                          </w:rPr>
                          <w:t>313,650,805</w:t>
                        </w:r>
                      </w:p>
                    </w:tc>
                  </w:tr>
                  <w:tr>
                    <w:trPr>
                      <w:trHeight w:val="353" w:hRule="atLeast"/>
                    </w:trPr>
                    <w:tc>
                      <w:tcPr>
                        <w:tcW w:w="921" w:type="dxa"/>
                      </w:tcPr>
                      <w:p>
                        <w:pPr>
                          <w:pStyle w:val="TableParagraph"/>
                          <w:spacing w:before="90"/>
                          <w:ind w:left="104" w:right="93"/>
                          <w:jc w:val="center"/>
                          <w:rPr>
                            <w:sz w:val="15"/>
                          </w:rPr>
                        </w:pPr>
                        <w:r>
                          <w:rPr>
                            <w:sz w:val="15"/>
                          </w:rPr>
                          <w:t>1.2.2</w:t>
                        </w:r>
                      </w:p>
                    </w:tc>
                    <w:tc>
                      <w:tcPr>
                        <w:tcW w:w="3201" w:type="dxa"/>
                      </w:tcPr>
                      <w:p>
                        <w:pPr>
                          <w:pStyle w:val="TableParagraph"/>
                          <w:spacing w:line="178" w:lineRule="exact" w:before="1"/>
                          <w:ind w:left="47" w:right="165"/>
                          <w:rPr>
                            <w:b/>
                            <w:sz w:val="15"/>
                          </w:rPr>
                        </w:pPr>
                        <w:r>
                          <w:rPr>
                            <w:b/>
                            <w:sz w:val="15"/>
                          </w:rPr>
                          <w:t>Impuesto sobre transmisiones patrimoniales</w:t>
                        </w:r>
                      </w:p>
                    </w:tc>
                    <w:tc>
                      <w:tcPr>
                        <w:tcW w:w="1261" w:type="dxa"/>
                      </w:tcPr>
                      <w:p>
                        <w:pPr>
                          <w:pStyle w:val="TableParagraph"/>
                          <w:spacing w:before="91"/>
                          <w:ind w:right="34"/>
                          <w:jc w:val="right"/>
                          <w:rPr>
                            <w:b/>
                            <w:sz w:val="15"/>
                          </w:rPr>
                        </w:pPr>
                        <w:r>
                          <w:rPr>
                            <w:b/>
                            <w:sz w:val="15"/>
                          </w:rPr>
                          <w:t>295,605,263</w:t>
                        </w:r>
                      </w:p>
                    </w:tc>
                  </w:tr>
                  <w:tr>
                    <w:trPr>
                      <w:trHeight w:val="349" w:hRule="atLeast"/>
                    </w:trPr>
                    <w:tc>
                      <w:tcPr>
                        <w:tcW w:w="921" w:type="dxa"/>
                      </w:tcPr>
                      <w:p>
                        <w:pPr>
                          <w:pStyle w:val="TableParagraph"/>
                          <w:spacing w:before="87"/>
                          <w:ind w:left="104" w:right="93"/>
                          <w:jc w:val="center"/>
                          <w:rPr>
                            <w:sz w:val="15"/>
                          </w:rPr>
                        </w:pPr>
                        <w:r>
                          <w:rPr>
                            <w:sz w:val="15"/>
                          </w:rPr>
                          <w:t>1.2.2.1</w:t>
                        </w:r>
                      </w:p>
                    </w:tc>
                    <w:tc>
                      <w:tcPr>
                        <w:tcW w:w="3201" w:type="dxa"/>
                      </w:tcPr>
                      <w:p>
                        <w:pPr>
                          <w:pStyle w:val="TableParagraph"/>
                          <w:spacing w:line="171" w:lineRule="exact"/>
                          <w:ind w:left="47"/>
                          <w:rPr>
                            <w:sz w:val="15"/>
                          </w:rPr>
                        </w:pPr>
                        <w:r>
                          <w:rPr>
                            <w:sz w:val="15"/>
                          </w:rPr>
                          <w:t>Adquisición de departamentos, viviendas y</w:t>
                        </w:r>
                      </w:p>
                      <w:p>
                        <w:pPr>
                          <w:pStyle w:val="TableParagraph"/>
                          <w:spacing w:line="154" w:lineRule="exact" w:before="4"/>
                          <w:ind w:left="47"/>
                          <w:rPr>
                            <w:sz w:val="15"/>
                          </w:rPr>
                        </w:pPr>
                        <w:r>
                          <w:rPr>
                            <w:sz w:val="15"/>
                          </w:rPr>
                          <w:t>casas para habitación</w:t>
                        </w:r>
                      </w:p>
                    </w:tc>
                    <w:tc>
                      <w:tcPr>
                        <w:tcW w:w="1261" w:type="dxa"/>
                      </w:tcPr>
                      <w:p>
                        <w:pPr>
                          <w:pStyle w:val="TableParagraph"/>
                          <w:spacing w:before="87"/>
                          <w:ind w:right="34"/>
                          <w:jc w:val="right"/>
                          <w:rPr>
                            <w:sz w:val="15"/>
                          </w:rPr>
                        </w:pPr>
                        <w:r>
                          <w:rPr>
                            <w:sz w:val="15"/>
                          </w:rPr>
                          <w:t>288,910,086</w:t>
                        </w:r>
                      </w:p>
                    </w:tc>
                  </w:tr>
                  <w:tr>
                    <w:trPr>
                      <w:trHeight w:val="175" w:hRule="atLeast"/>
                    </w:trPr>
                    <w:tc>
                      <w:tcPr>
                        <w:tcW w:w="921" w:type="dxa"/>
                      </w:tcPr>
                      <w:p>
                        <w:pPr>
                          <w:pStyle w:val="TableParagraph"/>
                          <w:spacing w:line="154" w:lineRule="exact" w:before="2"/>
                          <w:ind w:left="104" w:right="93"/>
                          <w:jc w:val="center"/>
                          <w:rPr>
                            <w:sz w:val="15"/>
                          </w:rPr>
                        </w:pPr>
                        <w:r>
                          <w:rPr>
                            <w:sz w:val="15"/>
                          </w:rPr>
                          <w:t>1.2.2.2</w:t>
                        </w:r>
                      </w:p>
                    </w:tc>
                    <w:tc>
                      <w:tcPr>
                        <w:tcW w:w="3201" w:type="dxa"/>
                      </w:tcPr>
                      <w:p>
                        <w:pPr>
                          <w:pStyle w:val="TableParagraph"/>
                          <w:spacing w:line="154" w:lineRule="exact" w:before="2"/>
                          <w:ind w:left="47"/>
                          <w:rPr>
                            <w:sz w:val="15"/>
                          </w:rPr>
                        </w:pPr>
                        <w:r>
                          <w:rPr>
                            <w:sz w:val="15"/>
                          </w:rPr>
                          <w:t>Regularización de terrenos</w:t>
                        </w:r>
                      </w:p>
                    </w:tc>
                    <w:tc>
                      <w:tcPr>
                        <w:tcW w:w="1261" w:type="dxa"/>
                      </w:tcPr>
                      <w:p>
                        <w:pPr>
                          <w:pStyle w:val="TableParagraph"/>
                          <w:spacing w:line="154" w:lineRule="exact" w:before="2"/>
                          <w:ind w:right="35"/>
                          <w:jc w:val="right"/>
                          <w:rPr>
                            <w:sz w:val="15"/>
                          </w:rPr>
                        </w:pPr>
                        <w:r>
                          <w:rPr>
                            <w:sz w:val="15"/>
                          </w:rPr>
                          <w:t>6,695,177</w:t>
                        </w:r>
                      </w:p>
                    </w:tc>
                  </w:tr>
                  <w:tr>
                    <w:trPr>
                      <w:trHeight w:val="176" w:hRule="atLeast"/>
                    </w:trPr>
                    <w:tc>
                      <w:tcPr>
                        <w:tcW w:w="921" w:type="dxa"/>
                      </w:tcPr>
                      <w:p>
                        <w:pPr>
                          <w:pStyle w:val="TableParagraph"/>
                          <w:spacing w:line="154" w:lineRule="exact" w:before="2"/>
                          <w:ind w:left="104" w:right="93"/>
                          <w:jc w:val="center"/>
                          <w:rPr>
                            <w:sz w:val="15"/>
                          </w:rPr>
                        </w:pPr>
                        <w:r>
                          <w:rPr>
                            <w:sz w:val="15"/>
                          </w:rPr>
                          <w:t>1.2.3</w:t>
                        </w:r>
                      </w:p>
                    </w:tc>
                    <w:tc>
                      <w:tcPr>
                        <w:tcW w:w="3201" w:type="dxa"/>
                      </w:tcPr>
                      <w:p>
                        <w:pPr>
                          <w:pStyle w:val="TableParagraph"/>
                          <w:spacing w:line="153" w:lineRule="exact" w:before="3"/>
                          <w:ind w:left="47"/>
                          <w:rPr>
                            <w:b/>
                            <w:sz w:val="15"/>
                          </w:rPr>
                        </w:pPr>
                        <w:r>
                          <w:rPr>
                            <w:b/>
                            <w:sz w:val="15"/>
                          </w:rPr>
                          <w:t>Impuestos sobre negocios jurídicos</w:t>
                        </w:r>
                      </w:p>
                    </w:tc>
                    <w:tc>
                      <w:tcPr>
                        <w:tcW w:w="1261" w:type="dxa"/>
                      </w:tcPr>
                      <w:p>
                        <w:pPr>
                          <w:pStyle w:val="TableParagraph"/>
                          <w:spacing w:line="153" w:lineRule="exact" w:before="3"/>
                          <w:ind w:right="34"/>
                          <w:jc w:val="right"/>
                          <w:rPr>
                            <w:b/>
                            <w:sz w:val="15"/>
                          </w:rPr>
                        </w:pPr>
                        <w:r>
                          <w:rPr>
                            <w:b/>
                            <w:sz w:val="15"/>
                          </w:rPr>
                          <w:t>91,500,312</w:t>
                        </w:r>
                      </w:p>
                    </w:tc>
                  </w:tr>
                  <w:tr>
                    <w:trPr>
                      <w:trHeight w:val="175" w:hRule="atLeast"/>
                    </w:trPr>
                    <w:tc>
                      <w:tcPr>
                        <w:tcW w:w="921" w:type="dxa"/>
                      </w:tcPr>
                      <w:p>
                        <w:pPr>
                          <w:pStyle w:val="TableParagraph"/>
                          <w:spacing w:line="154" w:lineRule="exact" w:before="2"/>
                          <w:ind w:left="104" w:right="93"/>
                          <w:jc w:val="center"/>
                          <w:rPr>
                            <w:sz w:val="15"/>
                          </w:rPr>
                        </w:pPr>
                        <w:r>
                          <w:rPr>
                            <w:sz w:val="15"/>
                          </w:rPr>
                          <w:t>1.2.3.1</w:t>
                        </w:r>
                      </w:p>
                    </w:tc>
                    <w:tc>
                      <w:tcPr>
                        <w:tcW w:w="3201" w:type="dxa"/>
                      </w:tcPr>
                      <w:p>
                        <w:pPr>
                          <w:pStyle w:val="TableParagraph"/>
                          <w:spacing w:line="154" w:lineRule="exact" w:before="2"/>
                          <w:ind w:left="47"/>
                          <w:rPr>
                            <w:sz w:val="15"/>
                          </w:rPr>
                        </w:pPr>
                        <w:r>
                          <w:rPr>
                            <w:sz w:val="15"/>
                          </w:rPr>
                          <w:t>Construcción de inmuebles</w:t>
                        </w:r>
                      </w:p>
                    </w:tc>
                    <w:tc>
                      <w:tcPr>
                        <w:tcW w:w="1261" w:type="dxa"/>
                      </w:tcPr>
                      <w:p>
                        <w:pPr>
                          <w:pStyle w:val="TableParagraph"/>
                          <w:spacing w:line="154" w:lineRule="exact" w:before="2"/>
                          <w:ind w:right="35"/>
                          <w:jc w:val="right"/>
                          <w:rPr>
                            <w:sz w:val="15"/>
                          </w:rPr>
                        </w:pPr>
                        <w:r>
                          <w:rPr>
                            <w:sz w:val="15"/>
                          </w:rPr>
                          <w:t>87,978,138</w:t>
                        </w:r>
                      </w:p>
                    </w:tc>
                  </w:tr>
                  <w:tr>
                    <w:trPr>
                      <w:trHeight w:val="176" w:hRule="atLeast"/>
                    </w:trPr>
                    <w:tc>
                      <w:tcPr>
                        <w:tcW w:w="921" w:type="dxa"/>
                      </w:tcPr>
                      <w:p>
                        <w:pPr>
                          <w:pStyle w:val="TableParagraph"/>
                          <w:spacing w:line="154" w:lineRule="exact" w:before="2"/>
                          <w:ind w:left="104" w:right="93"/>
                          <w:jc w:val="center"/>
                          <w:rPr>
                            <w:sz w:val="15"/>
                          </w:rPr>
                        </w:pPr>
                        <w:r>
                          <w:rPr>
                            <w:sz w:val="15"/>
                          </w:rPr>
                          <w:t>1.2.3.2</w:t>
                        </w:r>
                      </w:p>
                    </w:tc>
                    <w:tc>
                      <w:tcPr>
                        <w:tcW w:w="3201" w:type="dxa"/>
                      </w:tcPr>
                      <w:p>
                        <w:pPr>
                          <w:pStyle w:val="TableParagraph"/>
                          <w:spacing w:line="154" w:lineRule="exact" w:before="2"/>
                          <w:ind w:left="47"/>
                          <w:rPr>
                            <w:sz w:val="15"/>
                          </w:rPr>
                        </w:pPr>
                        <w:r>
                          <w:rPr>
                            <w:sz w:val="15"/>
                          </w:rPr>
                          <w:t>Reconstrucción de inmuebles</w:t>
                        </w:r>
                      </w:p>
                    </w:tc>
                    <w:tc>
                      <w:tcPr>
                        <w:tcW w:w="1261" w:type="dxa"/>
                      </w:tcPr>
                      <w:p>
                        <w:pPr>
                          <w:pStyle w:val="TableParagraph"/>
                          <w:spacing w:line="154" w:lineRule="exact" w:before="2"/>
                          <w:ind w:right="34"/>
                          <w:jc w:val="right"/>
                          <w:rPr>
                            <w:sz w:val="15"/>
                          </w:rPr>
                        </w:pPr>
                        <w:r>
                          <w:rPr>
                            <w:sz w:val="15"/>
                          </w:rPr>
                          <w:t>1,389,723</w:t>
                        </w:r>
                      </w:p>
                    </w:tc>
                  </w:tr>
                  <w:tr>
                    <w:trPr>
                      <w:trHeight w:val="175" w:hRule="atLeast"/>
                    </w:trPr>
                    <w:tc>
                      <w:tcPr>
                        <w:tcW w:w="921" w:type="dxa"/>
                      </w:tcPr>
                      <w:p>
                        <w:pPr>
                          <w:pStyle w:val="TableParagraph"/>
                          <w:spacing w:line="154" w:lineRule="exact" w:before="1"/>
                          <w:ind w:left="104" w:right="93"/>
                          <w:jc w:val="center"/>
                          <w:rPr>
                            <w:sz w:val="15"/>
                          </w:rPr>
                        </w:pPr>
                        <w:r>
                          <w:rPr>
                            <w:sz w:val="15"/>
                          </w:rPr>
                          <w:t>1.2.3.3</w:t>
                        </w:r>
                      </w:p>
                    </w:tc>
                    <w:tc>
                      <w:tcPr>
                        <w:tcW w:w="3201" w:type="dxa"/>
                      </w:tcPr>
                      <w:p>
                        <w:pPr>
                          <w:pStyle w:val="TableParagraph"/>
                          <w:spacing w:line="154" w:lineRule="exact" w:before="1"/>
                          <w:ind w:left="47"/>
                          <w:rPr>
                            <w:sz w:val="15"/>
                          </w:rPr>
                        </w:pPr>
                        <w:r>
                          <w:rPr>
                            <w:sz w:val="15"/>
                          </w:rPr>
                          <w:t>Ampliación de inmuebles</w:t>
                        </w:r>
                      </w:p>
                    </w:tc>
                    <w:tc>
                      <w:tcPr>
                        <w:tcW w:w="1261" w:type="dxa"/>
                      </w:tcPr>
                      <w:p>
                        <w:pPr>
                          <w:pStyle w:val="TableParagraph"/>
                          <w:spacing w:line="154" w:lineRule="exact" w:before="1"/>
                          <w:ind w:right="35"/>
                          <w:jc w:val="right"/>
                          <w:rPr>
                            <w:sz w:val="15"/>
                          </w:rPr>
                        </w:pPr>
                        <w:r>
                          <w:rPr>
                            <w:sz w:val="15"/>
                          </w:rPr>
                          <w:t>2,132,450</w:t>
                        </w:r>
                      </w:p>
                    </w:tc>
                  </w:tr>
                  <w:tr>
                    <w:trPr>
                      <w:trHeight w:val="353" w:hRule="atLeast"/>
                    </w:trPr>
                    <w:tc>
                      <w:tcPr>
                        <w:tcW w:w="921" w:type="dxa"/>
                      </w:tcPr>
                      <w:p>
                        <w:pPr>
                          <w:pStyle w:val="TableParagraph"/>
                          <w:spacing w:before="90"/>
                          <w:ind w:left="104" w:right="92"/>
                          <w:jc w:val="center"/>
                          <w:rPr>
                            <w:sz w:val="15"/>
                          </w:rPr>
                        </w:pPr>
                        <w:r>
                          <w:rPr>
                            <w:sz w:val="15"/>
                          </w:rPr>
                          <w:t>1.3</w:t>
                        </w:r>
                      </w:p>
                    </w:tc>
                    <w:tc>
                      <w:tcPr>
                        <w:tcW w:w="3201" w:type="dxa"/>
                      </w:tcPr>
                      <w:p>
                        <w:pPr>
                          <w:pStyle w:val="TableParagraph"/>
                          <w:spacing w:line="178" w:lineRule="exact" w:before="1"/>
                          <w:ind w:left="47"/>
                          <w:rPr>
                            <w:b/>
                            <w:sz w:val="15"/>
                          </w:rPr>
                        </w:pPr>
                        <w:r>
                          <w:rPr>
                            <w:b/>
                            <w:sz w:val="15"/>
                          </w:rPr>
                          <w:t>IMPUESTO SOBRE LA PRODUCCIÓN, EL CONSUMO Y LAS TRANSACCIONES</w:t>
                        </w:r>
                      </w:p>
                    </w:tc>
                    <w:tc>
                      <w:tcPr>
                        <w:tcW w:w="1261" w:type="dxa"/>
                      </w:tcPr>
                      <w:p>
                        <w:pPr>
                          <w:pStyle w:val="TableParagraph"/>
                          <w:spacing w:before="91"/>
                          <w:ind w:right="34"/>
                          <w:jc w:val="right"/>
                          <w:rPr>
                            <w:b/>
                            <w:sz w:val="15"/>
                          </w:rPr>
                        </w:pPr>
                        <w:r>
                          <w:rPr>
                            <w:b/>
                            <w:w w:val="102"/>
                            <w:sz w:val="15"/>
                          </w:rPr>
                          <w:t>0</w:t>
                        </w:r>
                      </w:p>
                    </w:tc>
                  </w:tr>
                  <w:tr>
                    <w:trPr>
                      <w:trHeight w:val="172" w:hRule="atLeast"/>
                    </w:trPr>
                    <w:tc>
                      <w:tcPr>
                        <w:tcW w:w="921" w:type="dxa"/>
                      </w:tcPr>
                      <w:p>
                        <w:pPr>
                          <w:pStyle w:val="TableParagraph"/>
                          <w:spacing w:line="152" w:lineRule="exact"/>
                          <w:ind w:left="104" w:right="92"/>
                          <w:jc w:val="center"/>
                          <w:rPr>
                            <w:sz w:val="15"/>
                          </w:rPr>
                        </w:pPr>
                        <w:r>
                          <w:rPr>
                            <w:sz w:val="15"/>
                          </w:rPr>
                          <w:t>1.4</w:t>
                        </w:r>
                      </w:p>
                    </w:tc>
                    <w:tc>
                      <w:tcPr>
                        <w:tcW w:w="3201" w:type="dxa"/>
                      </w:tcPr>
                      <w:p>
                        <w:pPr>
                          <w:pStyle w:val="TableParagraph"/>
                          <w:spacing w:line="152" w:lineRule="exact"/>
                          <w:ind w:left="47"/>
                          <w:rPr>
                            <w:b/>
                            <w:sz w:val="15"/>
                          </w:rPr>
                        </w:pPr>
                        <w:r>
                          <w:rPr>
                            <w:b/>
                            <w:sz w:val="15"/>
                          </w:rPr>
                          <w:t>IMPUESTOS AL COMERCIO EXTERIOR</w:t>
                        </w:r>
                      </w:p>
                    </w:tc>
                    <w:tc>
                      <w:tcPr>
                        <w:tcW w:w="1261" w:type="dxa"/>
                      </w:tcPr>
                      <w:p>
                        <w:pPr>
                          <w:pStyle w:val="TableParagraph"/>
                          <w:spacing w:line="152" w:lineRule="exact"/>
                          <w:ind w:right="34"/>
                          <w:jc w:val="right"/>
                          <w:rPr>
                            <w:b/>
                            <w:sz w:val="15"/>
                          </w:rPr>
                        </w:pPr>
                        <w:r>
                          <w:rPr>
                            <w:b/>
                            <w:w w:val="102"/>
                            <w:sz w:val="15"/>
                          </w:rPr>
                          <w:t>0</w:t>
                        </w:r>
                      </w:p>
                    </w:tc>
                  </w:tr>
                  <w:tr>
                    <w:trPr>
                      <w:trHeight w:val="352" w:hRule="atLeast"/>
                    </w:trPr>
                    <w:tc>
                      <w:tcPr>
                        <w:tcW w:w="921" w:type="dxa"/>
                      </w:tcPr>
                      <w:p>
                        <w:pPr>
                          <w:pStyle w:val="TableParagraph"/>
                          <w:spacing w:before="90"/>
                          <w:ind w:left="104" w:right="92"/>
                          <w:jc w:val="center"/>
                          <w:rPr>
                            <w:sz w:val="15"/>
                          </w:rPr>
                        </w:pPr>
                        <w:r>
                          <w:rPr>
                            <w:sz w:val="15"/>
                          </w:rPr>
                          <w:t>1.5</w:t>
                        </w:r>
                      </w:p>
                    </w:tc>
                    <w:tc>
                      <w:tcPr>
                        <w:tcW w:w="3201" w:type="dxa"/>
                      </w:tcPr>
                      <w:p>
                        <w:pPr>
                          <w:pStyle w:val="TableParagraph"/>
                          <w:spacing w:line="178" w:lineRule="exact" w:before="1"/>
                          <w:ind w:left="47"/>
                          <w:rPr>
                            <w:b/>
                            <w:sz w:val="15"/>
                          </w:rPr>
                        </w:pPr>
                        <w:r>
                          <w:rPr>
                            <w:b/>
                            <w:sz w:val="15"/>
                          </w:rPr>
                          <w:t>IMPUESTOS SOBRE NÓMINAS Y ASIMILABLES</w:t>
                        </w:r>
                      </w:p>
                    </w:tc>
                    <w:tc>
                      <w:tcPr>
                        <w:tcW w:w="1261" w:type="dxa"/>
                      </w:tcPr>
                      <w:p>
                        <w:pPr>
                          <w:pStyle w:val="TableParagraph"/>
                          <w:spacing w:before="91"/>
                          <w:ind w:right="34"/>
                          <w:jc w:val="right"/>
                          <w:rPr>
                            <w:b/>
                            <w:sz w:val="15"/>
                          </w:rPr>
                        </w:pPr>
                        <w:r>
                          <w:rPr>
                            <w:b/>
                            <w:w w:val="102"/>
                            <w:sz w:val="15"/>
                          </w:rPr>
                          <w:t>0</w:t>
                        </w:r>
                      </w:p>
                    </w:tc>
                  </w:tr>
                  <w:tr>
                    <w:trPr>
                      <w:trHeight w:val="172" w:hRule="atLeast"/>
                    </w:trPr>
                    <w:tc>
                      <w:tcPr>
                        <w:tcW w:w="921" w:type="dxa"/>
                      </w:tcPr>
                      <w:p>
                        <w:pPr>
                          <w:pStyle w:val="TableParagraph"/>
                          <w:spacing w:line="152" w:lineRule="exact"/>
                          <w:ind w:left="104" w:right="92"/>
                          <w:jc w:val="center"/>
                          <w:rPr>
                            <w:sz w:val="15"/>
                          </w:rPr>
                        </w:pPr>
                        <w:r>
                          <w:rPr>
                            <w:sz w:val="15"/>
                          </w:rPr>
                          <w:t>1.6</w:t>
                        </w:r>
                      </w:p>
                    </w:tc>
                    <w:tc>
                      <w:tcPr>
                        <w:tcW w:w="3201" w:type="dxa"/>
                      </w:tcPr>
                      <w:p>
                        <w:pPr>
                          <w:pStyle w:val="TableParagraph"/>
                          <w:spacing w:line="152" w:lineRule="exact"/>
                          <w:ind w:left="47"/>
                          <w:rPr>
                            <w:b/>
                            <w:sz w:val="15"/>
                          </w:rPr>
                        </w:pPr>
                        <w:r>
                          <w:rPr>
                            <w:b/>
                            <w:sz w:val="15"/>
                          </w:rPr>
                          <w:t>IMPUESTOS ECOLÓGICOS</w:t>
                        </w:r>
                      </w:p>
                    </w:tc>
                    <w:tc>
                      <w:tcPr>
                        <w:tcW w:w="1261" w:type="dxa"/>
                      </w:tcPr>
                      <w:p>
                        <w:pPr>
                          <w:pStyle w:val="TableParagraph"/>
                          <w:spacing w:line="152" w:lineRule="exact"/>
                          <w:ind w:right="33"/>
                          <w:jc w:val="right"/>
                          <w:rPr>
                            <w:b/>
                            <w:sz w:val="15"/>
                          </w:rPr>
                        </w:pPr>
                        <w:r>
                          <w:rPr>
                            <w:b/>
                            <w:w w:val="102"/>
                            <w:sz w:val="15"/>
                          </w:rPr>
                          <w:t>0</w:t>
                        </w:r>
                      </w:p>
                    </w:tc>
                  </w:tr>
                  <w:tr>
                    <w:trPr>
                      <w:trHeight w:val="175" w:hRule="atLeast"/>
                    </w:trPr>
                    <w:tc>
                      <w:tcPr>
                        <w:tcW w:w="921" w:type="dxa"/>
                      </w:tcPr>
                      <w:p>
                        <w:pPr>
                          <w:pStyle w:val="TableParagraph"/>
                          <w:spacing w:line="154" w:lineRule="exact" w:before="2"/>
                          <w:ind w:left="104" w:right="92"/>
                          <w:jc w:val="center"/>
                          <w:rPr>
                            <w:sz w:val="15"/>
                          </w:rPr>
                        </w:pPr>
                        <w:r>
                          <w:rPr>
                            <w:sz w:val="15"/>
                          </w:rPr>
                          <w:t>1.7</w:t>
                        </w:r>
                      </w:p>
                    </w:tc>
                    <w:tc>
                      <w:tcPr>
                        <w:tcW w:w="3201" w:type="dxa"/>
                      </w:tcPr>
                      <w:p>
                        <w:pPr>
                          <w:pStyle w:val="TableParagraph"/>
                          <w:spacing w:line="153" w:lineRule="exact" w:before="3"/>
                          <w:ind w:left="47"/>
                          <w:rPr>
                            <w:b/>
                            <w:sz w:val="15"/>
                          </w:rPr>
                        </w:pPr>
                        <w:r>
                          <w:rPr>
                            <w:b/>
                            <w:sz w:val="15"/>
                          </w:rPr>
                          <w:t>ACCESORIOS DE LOS IMPUESTOS</w:t>
                        </w:r>
                      </w:p>
                    </w:tc>
                    <w:tc>
                      <w:tcPr>
                        <w:tcW w:w="1261" w:type="dxa"/>
                      </w:tcPr>
                      <w:p>
                        <w:pPr>
                          <w:pStyle w:val="TableParagraph"/>
                          <w:spacing w:line="153" w:lineRule="exact" w:before="3"/>
                          <w:ind w:right="34"/>
                          <w:jc w:val="right"/>
                          <w:rPr>
                            <w:b/>
                            <w:sz w:val="15"/>
                          </w:rPr>
                        </w:pPr>
                        <w:r>
                          <w:rPr>
                            <w:b/>
                            <w:sz w:val="15"/>
                          </w:rPr>
                          <w:t>61,869,200</w:t>
                        </w:r>
                      </w:p>
                    </w:tc>
                  </w:tr>
                  <w:tr>
                    <w:trPr>
                      <w:trHeight w:val="176" w:hRule="atLeast"/>
                    </w:trPr>
                    <w:tc>
                      <w:tcPr>
                        <w:tcW w:w="921" w:type="dxa"/>
                      </w:tcPr>
                      <w:p>
                        <w:pPr>
                          <w:pStyle w:val="TableParagraph"/>
                          <w:spacing w:line="154" w:lineRule="exact" w:before="2"/>
                          <w:ind w:left="104" w:right="93"/>
                          <w:jc w:val="center"/>
                          <w:rPr>
                            <w:sz w:val="15"/>
                          </w:rPr>
                        </w:pPr>
                        <w:r>
                          <w:rPr>
                            <w:sz w:val="15"/>
                          </w:rPr>
                          <w:t>1.7.1</w:t>
                        </w:r>
                      </w:p>
                    </w:tc>
                    <w:tc>
                      <w:tcPr>
                        <w:tcW w:w="3201" w:type="dxa"/>
                      </w:tcPr>
                      <w:p>
                        <w:pPr>
                          <w:pStyle w:val="TableParagraph"/>
                          <w:spacing w:line="153" w:lineRule="exact" w:before="3"/>
                          <w:ind w:left="47"/>
                          <w:rPr>
                            <w:b/>
                            <w:sz w:val="15"/>
                          </w:rPr>
                        </w:pPr>
                        <w:r>
                          <w:rPr>
                            <w:b/>
                            <w:sz w:val="15"/>
                          </w:rPr>
                          <w:t>Recargos</w:t>
                        </w:r>
                      </w:p>
                    </w:tc>
                    <w:tc>
                      <w:tcPr>
                        <w:tcW w:w="1261" w:type="dxa"/>
                      </w:tcPr>
                      <w:p>
                        <w:pPr>
                          <w:pStyle w:val="TableParagraph"/>
                          <w:spacing w:line="153" w:lineRule="exact" w:before="3"/>
                          <w:ind w:right="34"/>
                          <w:jc w:val="right"/>
                          <w:rPr>
                            <w:b/>
                            <w:sz w:val="15"/>
                          </w:rPr>
                        </w:pPr>
                        <w:r>
                          <w:rPr>
                            <w:b/>
                            <w:sz w:val="15"/>
                          </w:rPr>
                          <w:t>16,844,040</w:t>
                        </w:r>
                      </w:p>
                    </w:tc>
                  </w:tr>
                  <w:tr>
                    <w:trPr>
                      <w:trHeight w:val="175" w:hRule="atLeast"/>
                    </w:trPr>
                    <w:tc>
                      <w:tcPr>
                        <w:tcW w:w="921" w:type="dxa"/>
                      </w:tcPr>
                      <w:p>
                        <w:pPr>
                          <w:pStyle w:val="TableParagraph"/>
                          <w:spacing w:line="154" w:lineRule="exact" w:before="1"/>
                          <w:ind w:left="104" w:right="93"/>
                          <w:jc w:val="center"/>
                          <w:rPr>
                            <w:sz w:val="15"/>
                          </w:rPr>
                        </w:pPr>
                        <w:r>
                          <w:rPr>
                            <w:sz w:val="15"/>
                          </w:rPr>
                          <w:t>1.7.1.1</w:t>
                        </w:r>
                      </w:p>
                    </w:tc>
                    <w:tc>
                      <w:tcPr>
                        <w:tcW w:w="3201" w:type="dxa"/>
                      </w:tcPr>
                      <w:p>
                        <w:pPr>
                          <w:pStyle w:val="TableParagraph"/>
                          <w:spacing w:line="154" w:lineRule="exact" w:before="1"/>
                          <w:ind w:left="47"/>
                          <w:rPr>
                            <w:sz w:val="15"/>
                          </w:rPr>
                        </w:pPr>
                        <w:r>
                          <w:rPr>
                            <w:sz w:val="15"/>
                          </w:rPr>
                          <w:t>Falta de pago</w:t>
                        </w:r>
                      </w:p>
                    </w:tc>
                    <w:tc>
                      <w:tcPr>
                        <w:tcW w:w="1261" w:type="dxa"/>
                      </w:tcPr>
                      <w:p>
                        <w:pPr>
                          <w:pStyle w:val="TableParagraph"/>
                          <w:spacing w:line="154" w:lineRule="exact" w:before="1"/>
                          <w:ind w:right="35"/>
                          <w:jc w:val="right"/>
                          <w:rPr>
                            <w:sz w:val="15"/>
                          </w:rPr>
                        </w:pPr>
                        <w:r>
                          <w:rPr>
                            <w:sz w:val="15"/>
                          </w:rPr>
                          <w:t>16,844,040</w:t>
                        </w:r>
                      </w:p>
                    </w:tc>
                  </w:tr>
                  <w:tr>
                    <w:trPr>
                      <w:trHeight w:val="176" w:hRule="atLeast"/>
                    </w:trPr>
                    <w:tc>
                      <w:tcPr>
                        <w:tcW w:w="921" w:type="dxa"/>
                      </w:tcPr>
                      <w:p>
                        <w:pPr>
                          <w:pStyle w:val="TableParagraph"/>
                          <w:spacing w:line="154" w:lineRule="exact" w:before="2"/>
                          <w:ind w:left="104" w:right="93"/>
                          <w:jc w:val="center"/>
                          <w:rPr>
                            <w:sz w:val="15"/>
                          </w:rPr>
                        </w:pPr>
                        <w:r>
                          <w:rPr>
                            <w:sz w:val="15"/>
                          </w:rPr>
                          <w:t>1.7.2</w:t>
                        </w:r>
                      </w:p>
                    </w:tc>
                    <w:tc>
                      <w:tcPr>
                        <w:tcW w:w="3201" w:type="dxa"/>
                      </w:tcPr>
                      <w:p>
                        <w:pPr>
                          <w:pStyle w:val="TableParagraph"/>
                          <w:spacing w:line="153" w:lineRule="exact" w:before="3"/>
                          <w:ind w:left="47"/>
                          <w:rPr>
                            <w:b/>
                            <w:sz w:val="15"/>
                          </w:rPr>
                        </w:pPr>
                        <w:r>
                          <w:rPr>
                            <w:b/>
                            <w:sz w:val="15"/>
                          </w:rPr>
                          <w:t>Multas</w:t>
                        </w:r>
                      </w:p>
                    </w:tc>
                    <w:tc>
                      <w:tcPr>
                        <w:tcW w:w="1261" w:type="dxa"/>
                      </w:tcPr>
                      <w:p>
                        <w:pPr>
                          <w:pStyle w:val="TableParagraph"/>
                          <w:spacing w:line="153" w:lineRule="exact" w:before="3"/>
                          <w:ind w:right="34"/>
                          <w:jc w:val="right"/>
                          <w:rPr>
                            <w:b/>
                            <w:sz w:val="15"/>
                          </w:rPr>
                        </w:pPr>
                        <w:r>
                          <w:rPr>
                            <w:b/>
                            <w:sz w:val="15"/>
                          </w:rPr>
                          <w:t>35,704,825</w:t>
                        </w:r>
                      </w:p>
                    </w:tc>
                  </w:tr>
                  <w:tr>
                    <w:trPr>
                      <w:trHeight w:val="175" w:hRule="atLeast"/>
                    </w:trPr>
                    <w:tc>
                      <w:tcPr>
                        <w:tcW w:w="921" w:type="dxa"/>
                      </w:tcPr>
                      <w:p>
                        <w:pPr>
                          <w:pStyle w:val="TableParagraph"/>
                          <w:spacing w:line="154" w:lineRule="exact" w:before="1"/>
                          <w:ind w:left="104" w:right="93"/>
                          <w:jc w:val="center"/>
                          <w:rPr>
                            <w:sz w:val="15"/>
                          </w:rPr>
                        </w:pPr>
                        <w:r>
                          <w:rPr>
                            <w:sz w:val="15"/>
                          </w:rPr>
                          <w:t>1.7.2.1</w:t>
                        </w:r>
                      </w:p>
                    </w:tc>
                    <w:tc>
                      <w:tcPr>
                        <w:tcW w:w="3201" w:type="dxa"/>
                      </w:tcPr>
                      <w:p>
                        <w:pPr>
                          <w:pStyle w:val="TableParagraph"/>
                          <w:spacing w:line="154" w:lineRule="exact" w:before="1"/>
                          <w:ind w:left="47"/>
                          <w:rPr>
                            <w:sz w:val="15"/>
                          </w:rPr>
                        </w:pPr>
                        <w:r>
                          <w:rPr>
                            <w:w w:val="105"/>
                            <w:sz w:val="15"/>
                          </w:rPr>
                          <w:t>lnfracciones</w:t>
                        </w:r>
                      </w:p>
                    </w:tc>
                    <w:tc>
                      <w:tcPr>
                        <w:tcW w:w="1261" w:type="dxa"/>
                      </w:tcPr>
                      <w:p>
                        <w:pPr>
                          <w:pStyle w:val="TableParagraph"/>
                          <w:spacing w:line="154" w:lineRule="exact" w:before="1"/>
                          <w:ind w:right="35"/>
                          <w:jc w:val="right"/>
                          <w:rPr>
                            <w:sz w:val="15"/>
                          </w:rPr>
                        </w:pPr>
                        <w:r>
                          <w:rPr>
                            <w:sz w:val="15"/>
                          </w:rPr>
                          <w:t>35,704,825</w:t>
                        </w:r>
                      </w:p>
                    </w:tc>
                  </w:tr>
                  <w:tr>
                    <w:trPr>
                      <w:trHeight w:val="176" w:hRule="atLeast"/>
                    </w:trPr>
                    <w:tc>
                      <w:tcPr>
                        <w:tcW w:w="921" w:type="dxa"/>
                      </w:tcPr>
                      <w:p>
                        <w:pPr>
                          <w:pStyle w:val="TableParagraph"/>
                          <w:spacing w:line="154" w:lineRule="exact" w:before="2"/>
                          <w:ind w:left="104" w:right="93"/>
                          <w:jc w:val="center"/>
                          <w:rPr>
                            <w:sz w:val="15"/>
                          </w:rPr>
                        </w:pPr>
                        <w:r>
                          <w:rPr>
                            <w:sz w:val="15"/>
                          </w:rPr>
                          <w:t>1.7.3</w:t>
                        </w:r>
                      </w:p>
                    </w:tc>
                    <w:tc>
                      <w:tcPr>
                        <w:tcW w:w="3201" w:type="dxa"/>
                      </w:tcPr>
                      <w:p>
                        <w:pPr>
                          <w:pStyle w:val="TableParagraph"/>
                          <w:spacing w:line="153" w:lineRule="exact" w:before="3"/>
                          <w:ind w:left="47"/>
                          <w:rPr>
                            <w:b/>
                            <w:sz w:val="15"/>
                          </w:rPr>
                        </w:pPr>
                        <w:r>
                          <w:rPr>
                            <w:b/>
                            <w:sz w:val="15"/>
                          </w:rPr>
                          <w:t>Intereses</w:t>
                        </w:r>
                      </w:p>
                    </w:tc>
                    <w:tc>
                      <w:tcPr>
                        <w:tcW w:w="1261" w:type="dxa"/>
                      </w:tcPr>
                      <w:p>
                        <w:pPr>
                          <w:pStyle w:val="TableParagraph"/>
                          <w:spacing w:line="153" w:lineRule="exact" w:before="3"/>
                          <w:ind w:right="34"/>
                          <w:jc w:val="right"/>
                          <w:rPr>
                            <w:b/>
                            <w:sz w:val="15"/>
                          </w:rPr>
                        </w:pPr>
                        <w:r>
                          <w:rPr>
                            <w:b/>
                            <w:sz w:val="15"/>
                          </w:rPr>
                          <w:t>1,252</w:t>
                        </w:r>
                      </w:p>
                    </w:tc>
                  </w:tr>
                  <w:tr>
                    <w:trPr>
                      <w:trHeight w:val="175" w:hRule="atLeast"/>
                    </w:trPr>
                    <w:tc>
                      <w:tcPr>
                        <w:tcW w:w="921" w:type="dxa"/>
                      </w:tcPr>
                      <w:p>
                        <w:pPr>
                          <w:pStyle w:val="TableParagraph"/>
                          <w:spacing w:line="154" w:lineRule="exact" w:before="1"/>
                          <w:ind w:left="104" w:right="93"/>
                          <w:jc w:val="center"/>
                          <w:rPr>
                            <w:sz w:val="15"/>
                          </w:rPr>
                        </w:pPr>
                        <w:r>
                          <w:rPr>
                            <w:sz w:val="15"/>
                          </w:rPr>
                          <w:t>1.7.3.1</w:t>
                        </w:r>
                      </w:p>
                    </w:tc>
                    <w:tc>
                      <w:tcPr>
                        <w:tcW w:w="3201" w:type="dxa"/>
                      </w:tcPr>
                      <w:p>
                        <w:pPr>
                          <w:pStyle w:val="TableParagraph"/>
                          <w:spacing w:line="154" w:lineRule="exact" w:before="1"/>
                          <w:ind w:left="47"/>
                          <w:rPr>
                            <w:sz w:val="15"/>
                          </w:rPr>
                        </w:pPr>
                        <w:r>
                          <w:rPr>
                            <w:sz w:val="15"/>
                          </w:rPr>
                          <w:t>Plazo de créditos fiscales</w:t>
                        </w:r>
                      </w:p>
                    </w:tc>
                    <w:tc>
                      <w:tcPr>
                        <w:tcW w:w="1261" w:type="dxa"/>
                      </w:tcPr>
                      <w:p>
                        <w:pPr>
                          <w:pStyle w:val="TableParagraph"/>
                          <w:spacing w:line="154" w:lineRule="exact" w:before="1"/>
                          <w:ind w:right="35"/>
                          <w:jc w:val="right"/>
                          <w:rPr>
                            <w:sz w:val="15"/>
                          </w:rPr>
                        </w:pPr>
                        <w:r>
                          <w:rPr>
                            <w:sz w:val="15"/>
                          </w:rPr>
                          <w:t>1,252</w:t>
                        </w:r>
                      </w:p>
                    </w:tc>
                  </w:tr>
                  <w:tr>
                    <w:trPr>
                      <w:trHeight w:val="176" w:hRule="atLeast"/>
                    </w:trPr>
                    <w:tc>
                      <w:tcPr>
                        <w:tcW w:w="921" w:type="dxa"/>
                      </w:tcPr>
                      <w:p>
                        <w:pPr>
                          <w:pStyle w:val="TableParagraph"/>
                          <w:spacing w:line="154" w:lineRule="exact" w:before="2"/>
                          <w:ind w:left="104" w:right="93"/>
                          <w:jc w:val="center"/>
                          <w:rPr>
                            <w:sz w:val="15"/>
                          </w:rPr>
                        </w:pPr>
                        <w:r>
                          <w:rPr>
                            <w:sz w:val="15"/>
                          </w:rPr>
                          <w:t>1.7.4</w:t>
                        </w:r>
                      </w:p>
                    </w:tc>
                    <w:tc>
                      <w:tcPr>
                        <w:tcW w:w="3201" w:type="dxa"/>
                      </w:tcPr>
                      <w:p>
                        <w:pPr>
                          <w:pStyle w:val="TableParagraph"/>
                          <w:spacing w:line="153" w:lineRule="exact" w:before="3"/>
                          <w:ind w:left="47"/>
                          <w:rPr>
                            <w:b/>
                            <w:sz w:val="15"/>
                          </w:rPr>
                        </w:pPr>
                        <w:r>
                          <w:rPr>
                            <w:b/>
                            <w:sz w:val="15"/>
                          </w:rPr>
                          <w:t>Gastos de ejecución y de embargo</w:t>
                        </w:r>
                      </w:p>
                    </w:tc>
                    <w:tc>
                      <w:tcPr>
                        <w:tcW w:w="1261" w:type="dxa"/>
                      </w:tcPr>
                      <w:p>
                        <w:pPr>
                          <w:pStyle w:val="TableParagraph"/>
                          <w:spacing w:line="153" w:lineRule="exact" w:before="3"/>
                          <w:ind w:right="34"/>
                          <w:jc w:val="right"/>
                          <w:rPr>
                            <w:b/>
                            <w:sz w:val="15"/>
                          </w:rPr>
                        </w:pPr>
                        <w:r>
                          <w:rPr>
                            <w:b/>
                            <w:sz w:val="15"/>
                          </w:rPr>
                          <w:t>8,731,958</w:t>
                        </w:r>
                      </w:p>
                    </w:tc>
                  </w:tr>
                  <w:tr>
                    <w:trPr>
                      <w:trHeight w:val="175" w:hRule="atLeast"/>
                    </w:trPr>
                    <w:tc>
                      <w:tcPr>
                        <w:tcW w:w="921" w:type="dxa"/>
                      </w:tcPr>
                      <w:p>
                        <w:pPr>
                          <w:pStyle w:val="TableParagraph"/>
                          <w:spacing w:line="154" w:lineRule="exact" w:before="1"/>
                          <w:ind w:left="104" w:right="93"/>
                          <w:jc w:val="center"/>
                          <w:rPr>
                            <w:sz w:val="15"/>
                          </w:rPr>
                        </w:pPr>
                        <w:r>
                          <w:rPr>
                            <w:sz w:val="15"/>
                          </w:rPr>
                          <w:t>1.7.4.1</w:t>
                        </w:r>
                      </w:p>
                    </w:tc>
                    <w:tc>
                      <w:tcPr>
                        <w:tcW w:w="3201" w:type="dxa"/>
                      </w:tcPr>
                      <w:p>
                        <w:pPr>
                          <w:pStyle w:val="TableParagraph"/>
                          <w:spacing w:line="154" w:lineRule="exact" w:before="1"/>
                          <w:ind w:left="47"/>
                          <w:rPr>
                            <w:sz w:val="15"/>
                          </w:rPr>
                        </w:pPr>
                        <w:r>
                          <w:rPr>
                            <w:sz w:val="15"/>
                          </w:rPr>
                          <w:t>Gastos de notificación</w:t>
                        </w:r>
                      </w:p>
                    </w:tc>
                    <w:tc>
                      <w:tcPr>
                        <w:tcW w:w="1261" w:type="dxa"/>
                      </w:tcPr>
                      <w:p>
                        <w:pPr>
                          <w:pStyle w:val="TableParagraph"/>
                          <w:spacing w:line="154" w:lineRule="exact" w:before="1"/>
                          <w:ind w:right="35"/>
                          <w:jc w:val="right"/>
                          <w:rPr>
                            <w:sz w:val="15"/>
                          </w:rPr>
                        </w:pPr>
                        <w:r>
                          <w:rPr>
                            <w:sz w:val="15"/>
                          </w:rPr>
                          <w:t>8,731,958</w:t>
                        </w:r>
                      </w:p>
                    </w:tc>
                  </w:tr>
                  <w:tr>
                    <w:trPr>
                      <w:trHeight w:val="176" w:hRule="atLeast"/>
                    </w:trPr>
                    <w:tc>
                      <w:tcPr>
                        <w:tcW w:w="921" w:type="dxa"/>
                      </w:tcPr>
                      <w:p>
                        <w:pPr>
                          <w:pStyle w:val="TableParagraph"/>
                          <w:spacing w:line="154" w:lineRule="exact" w:before="2"/>
                          <w:ind w:left="104" w:right="93"/>
                          <w:jc w:val="center"/>
                          <w:rPr>
                            <w:sz w:val="15"/>
                          </w:rPr>
                        </w:pPr>
                        <w:r>
                          <w:rPr>
                            <w:sz w:val="15"/>
                          </w:rPr>
                          <w:t>1.7.4.2</w:t>
                        </w:r>
                      </w:p>
                    </w:tc>
                    <w:tc>
                      <w:tcPr>
                        <w:tcW w:w="3201" w:type="dxa"/>
                      </w:tcPr>
                      <w:p>
                        <w:pPr>
                          <w:pStyle w:val="TableParagraph"/>
                          <w:spacing w:line="154" w:lineRule="exact" w:before="2"/>
                          <w:ind w:left="47"/>
                          <w:rPr>
                            <w:sz w:val="15"/>
                          </w:rPr>
                        </w:pPr>
                        <w:r>
                          <w:rPr>
                            <w:sz w:val="15"/>
                          </w:rPr>
                          <w:t>Gastos de embargo</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1.7.4.3</w:t>
                        </w:r>
                      </w:p>
                    </w:tc>
                    <w:tc>
                      <w:tcPr>
                        <w:tcW w:w="3201" w:type="dxa"/>
                      </w:tcPr>
                      <w:p>
                        <w:pPr>
                          <w:pStyle w:val="TableParagraph"/>
                          <w:spacing w:line="154" w:lineRule="exact" w:before="1"/>
                          <w:ind w:left="47"/>
                          <w:rPr>
                            <w:sz w:val="15"/>
                          </w:rPr>
                        </w:pPr>
                        <w:r>
                          <w:rPr>
                            <w:sz w:val="15"/>
                          </w:rPr>
                          <w:t>Otros gastos del procedimiento</w:t>
                        </w:r>
                      </w:p>
                    </w:tc>
                    <w:tc>
                      <w:tcPr>
                        <w:tcW w:w="1261" w:type="dxa"/>
                      </w:tcPr>
                      <w:p>
                        <w:pPr>
                          <w:pStyle w:val="TableParagraph"/>
                          <w:spacing w:line="154" w:lineRule="exact" w:before="1"/>
                          <w:ind w:right="34"/>
                          <w:jc w:val="right"/>
                          <w:rPr>
                            <w:sz w:val="15"/>
                          </w:rPr>
                        </w:pPr>
                        <w:r>
                          <w:rPr>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1.7.5</w:t>
                        </w:r>
                      </w:p>
                    </w:tc>
                    <w:tc>
                      <w:tcPr>
                        <w:tcW w:w="3201" w:type="dxa"/>
                      </w:tcPr>
                      <w:p>
                        <w:pPr>
                          <w:pStyle w:val="TableParagraph"/>
                          <w:spacing w:line="153" w:lineRule="exact" w:before="3"/>
                          <w:ind w:left="47"/>
                          <w:rPr>
                            <w:b/>
                            <w:sz w:val="15"/>
                          </w:rPr>
                        </w:pPr>
                        <w:r>
                          <w:rPr>
                            <w:b/>
                            <w:sz w:val="15"/>
                          </w:rPr>
                          <w:t>Actualización</w:t>
                        </w:r>
                      </w:p>
                    </w:tc>
                    <w:tc>
                      <w:tcPr>
                        <w:tcW w:w="1261" w:type="dxa"/>
                      </w:tcPr>
                      <w:p>
                        <w:pPr>
                          <w:pStyle w:val="TableParagraph"/>
                          <w:spacing w:line="153" w:lineRule="exact" w:before="3"/>
                          <w:ind w:right="34"/>
                          <w:jc w:val="right"/>
                          <w:rPr>
                            <w:b/>
                            <w:sz w:val="15"/>
                          </w:rPr>
                        </w:pPr>
                        <w:r>
                          <w:rPr>
                            <w:b/>
                            <w:sz w:val="15"/>
                          </w:rPr>
                          <w:t>587,126</w:t>
                        </w:r>
                      </w:p>
                    </w:tc>
                  </w:tr>
                  <w:tr>
                    <w:trPr>
                      <w:trHeight w:val="175" w:hRule="atLeast"/>
                    </w:trPr>
                    <w:tc>
                      <w:tcPr>
                        <w:tcW w:w="921" w:type="dxa"/>
                      </w:tcPr>
                      <w:p>
                        <w:pPr>
                          <w:pStyle w:val="TableParagraph"/>
                          <w:spacing w:line="154" w:lineRule="exact" w:before="1"/>
                          <w:ind w:left="104" w:right="93"/>
                          <w:jc w:val="center"/>
                          <w:rPr>
                            <w:sz w:val="15"/>
                          </w:rPr>
                        </w:pPr>
                        <w:r>
                          <w:rPr>
                            <w:sz w:val="15"/>
                          </w:rPr>
                          <w:t>1.7.5.1</w:t>
                        </w:r>
                      </w:p>
                    </w:tc>
                    <w:tc>
                      <w:tcPr>
                        <w:tcW w:w="3201" w:type="dxa"/>
                      </w:tcPr>
                      <w:p>
                        <w:pPr>
                          <w:pStyle w:val="TableParagraph"/>
                          <w:spacing w:line="154" w:lineRule="exact" w:before="1"/>
                          <w:ind w:left="47"/>
                          <w:rPr>
                            <w:sz w:val="15"/>
                          </w:rPr>
                        </w:pPr>
                        <w:r>
                          <w:rPr>
                            <w:sz w:val="15"/>
                          </w:rPr>
                          <w:t>Actualización</w:t>
                        </w:r>
                      </w:p>
                    </w:tc>
                    <w:tc>
                      <w:tcPr>
                        <w:tcW w:w="1261" w:type="dxa"/>
                      </w:tcPr>
                      <w:p>
                        <w:pPr>
                          <w:pStyle w:val="TableParagraph"/>
                          <w:spacing w:line="154" w:lineRule="exact" w:before="1"/>
                          <w:ind w:right="34"/>
                          <w:jc w:val="right"/>
                          <w:rPr>
                            <w:sz w:val="15"/>
                          </w:rPr>
                        </w:pPr>
                        <w:r>
                          <w:rPr>
                            <w:sz w:val="15"/>
                          </w:rPr>
                          <w:t>587,126</w:t>
                        </w:r>
                      </w:p>
                    </w:tc>
                  </w:tr>
                  <w:tr>
                    <w:trPr>
                      <w:trHeight w:val="176" w:hRule="atLeast"/>
                    </w:trPr>
                    <w:tc>
                      <w:tcPr>
                        <w:tcW w:w="921" w:type="dxa"/>
                      </w:tcPr>
                      <w:p>
                        <w:pPr>
                          <w:pStyle w:val="TableParagraph"/>
                          <w:spacing w:line="154" w:lineRule="exact" w:before="2"/>
                          <w:ind w:left="104" w:right="93"/>
                          <w:jc w:val="center"/>
                          <w:rPr>
                            <w:sz w:val="15"/>
                          </w:rPr>
                        </w:pPr>
                        <w:r>
                          <w:rPr>
                            <w:sz w:val="15"/>
                          </w:rPr>
                          <w:t>1.7.9</w:t>
                        </w:r>
                      </w:p>
                    </w:tc>
                    <w:tc>
                      <w:tcPr>
                        <w:tcW w:w="3201" w:type="dxa"/>
                      </w:tcPr>
                      <w:p>
                        <w:pPr>
                          <w:pStyle w:val="TableParagraph"/>
                          <w:spacing w:line="153" w:lineRule="exact" w:before="3"/>
                          <w:ind w:left="47"/>
                          <w:rPr>
                            <w:b/>
                            <w:sz w:val="15"/>
                          </w:rPr>
                        </w:pPr>
                        <w:r>
                          <w:rPr>
                            <w:b/>
                            <w:sz w:val="15"/>
                          </w:rPr>
                          <w:t>Otros no especificados</w:t>
                        </w:r>
                      </w:p>
                    </w:tc>
                    <w:tc>
                      <w:tcPr>
                        <w:tcW w:w="1261" w:type="dxa"/>
                      </w:tcPr>
                      <w:p>
                        <w:pPr>
                          <w:pStyle w:val="TableParagraph"/>
                          <w:spacing w:line="153" w:lineRule="exact" w:before="3"/>
                          <w:ind w:right="34"/>
                          <w:jc w:val="right"/>
                          <w:rPr>
                            <w:b/>
                            <w:sz w:val="15"/>
                          </w:rPr>
                        </w:pPr>
                        <w:r>
                          <w:rPr>
                            <w:b/>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1.7.9.1</w:t>
                        </w:r>
                      </w:p>
                    </w:tc>
                    <w:tc>
                      <w:tcPr>
                        <w:tcW w:w="3201" w:type="dxa"/>
                      </w:tcPr>
                      <w:p>
                        <w:pPr>
                          <w:pStyle w:val="TableParagraph"/>
                          <w:spacing w:line="154" w:lineRule="exact" w:before="1"/>
                          <w:ind w:left="47"/>
                          <w:rPr>
                            <w:sz w:val="15"/>
                          </w:rPr>
                        </w:pPr>
                        <w:r>
                          <w:rPr>
                            <w:sz w:val="15"/>
                          </w:rPr>
                          <w:t>Otros accesorios</w:t>
                        </w:r>
                      </w:p>
                    </w:tc>
                    <w:tc>
                      <w:tcPr>
                        <w:tcW w:w="1261" w:type="dxa"/>
                      </w:tcPr>
                      <w:p>
                        <w:pPr>
                          <w:pStyle w:val="TableParagraph"/>
                          <w:spacing w:line="154" w:lineRule="exact" w:before="1"/>
                          <w:ind w:right="34"/>
                          <w:jc w:val="right"/>
                          <w:rPr>
                            <w:sz w:val="15"/>
                          </w:rPr>
                        </w:pPr>
                        <w:r>
                          <w:rPr>
                            <w:w w:val="102"/>
                            <w:sz w:val="15"/>
                          </w:rPr>
                          <w:t>0</w:t>
                        </w:r>
                      </w:p>
                    </w:tc>
                  </w:tr>
                  <w:tr>
                    <w:trPr>
                      <w:trHeight w:val="176" w:hRule="atLeast"/>
                    </w:trPr>
                    <w:tc>
                      <w:tcPr>
                        <w:tcW w:w="921" w:type="dxa"/>
                      </w:tcPr>
                      <w:p>
                        <w:pPr>
                          <w:pStyle w:val="TableParagraph"/>
                          <w:spacing w:line="154" w:lineRule="exact" w:before="2"/>
                          <w:ind w:left="104" w:right="92"/>
                          <w:jc w:val="center"/>
                          <w:rPr>
                            <w:sz w:val="15"/>
                          </w:rPr>
                        </w:pPr>
                        <w:r>
                          <w:rPr>
                            <w:sz w:val="15"/>
                          </w:rPr>
                          <w:t>1.8</w:t>
                        </w:r>
                      </w:p>
                    </w:tc>
                    <w:tc>
                      <w:tcPr>
                        <w:tcW w:w="3201" w:type="dxa"/>
                      </w:tcPr>
                      <w:p>
                        <w:pPr>
                          <w:pStyle w:val="TableParagraph"/>
                          <w:spacing w:line="153" w:lineRule="exact" w:before="3"/>
                          <w:ind w:left="47"/>
                          <w:rPr>
                            <w:b/>
                            <w:sz w:val="15"/>
                          </w:rPr>
                        </w:pPr>
                        <w:r>
                          <w:rPr>
                            <w:b/>
                            <w:sz w:val="15"/>
                          </w:rPr>
                          <w:t>OTROS IMPUESTOS</w:t>
                        </w:r>
                      </w:p>
                    </w:tc>
                    <w:tc>
                      <w:tcPr>
                        <w:tcW w:w="1261" w:type="dxa"/>
                      </w:tcPr>
                      <w:p>
                        <w:pPr>
                          <w:pStyle w:val="TableParagraph"/>
                          <w:spacing w:line="153" w:lineRule="exact" w:before="3"/>
                          <w:ind w:right="34"/>
                          <w:jc w:val="right"/>
                          <w:rPr>
                            <w:b/>
                            <w:sz w:val="15"/>
                          </w:rPr>
                        </w:pPr>
                        <w:r>
                          <w:rPr>
                            <w:b/>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1.8.1</w:t>
                        </w:r>
                      </w:p>
                    </w:tc>
                    <w:tc>
                      <w:tcPr>
                        <w:tcW w:w="3201" w:type="dxa"/>
                      </w:tcPr>
                      <w:p>
                        <w:pPr>
                          <w:pStyle w:val="TableParagraph"/>
                          <w:spacing w:line="153" w:lineRule="exact" w:before="2"/>
                          <w:ind w:left="47"/>
                          <w:rPr>
                            <w:b/>
                            <w:sz w:val="15"/>
                          </w:rPr>
                        </w:pPr>
                        <w:r>
                          <w:rPr>
                            <w:b/>
                            <w:sz w:val="15"/>
                          </w:rPr>
                          <w:t>Impuestos extraordinarios</w:t>
                        </w:r>
                      </w:p>
                    </w:tc>
                    <w:tc>
                      <w:tcPr>
                        <w:tcW w:w="1261" w:type="dxa"/>
                      </w:tcPr>
                      <w:p>
                        <w:pPr>
                          <w:pStyle w:val="TableParagraph"/>
                          <w:spacing w:line="153" w:lineRule="exact" w:before="2"/>
                          <w:ind w:right="34"/>
                          <w:jc w:val="right"/>
                          <w:rPr>
                            <w:b/>
                            <w:sz w:val="15"/>
                          </w:rPr>
                        </w:pPr>
                        <w:r>
                          <w:rPr>
                            <w:b/>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1.8.1.1</w:t>
                        </w:r>
                      </w:p>
                    </w:tc>
                    <w:tc>
                      <w:tcPr>
                        <w:tcW w:w="3201" w:type="dxa"/>
                      </w:tcPr>
                      <w:p>
                        <w:pPr>
                          <w:pStyle w:val="TableParagraph"/>
                          <w:spacing w:line="154" w:lineRule="exact" w:before="2"/>
                          <w:ind w:left="47"/>
                          <w:rPr>
                            <w:sz w:val="15"/>
                          </w:rPr>
                        </w:pPr>
                        <w:r>
                          <w:rPr>
                            <w:w w:val="105"/>
                            <w:sz w:val="15"/>
                          </w:rPr>
                          <w:t>lmpuestos extraordinarios</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1.8.1.2</w:t>
                        </w:r>
                      </w:p>
                    </w:tc>
                    <w:tc>
                      <w:tcPr>
                        <w:tcW w:w="3201" w:type="dxa"/>
                      </w:tcPr>
                      <w:p>
                        <w:pPr>
                          <w:pStyle w:val="TableParagraph"/>
                          <w:spacing w:line="154" w:lineRule="exact" w:before="1"/>
                          <w:ind w:left="47"/>
                          <w:rPr>
                            <w:sz w:val="15"/>
                          </w:rPr>
                        </w:pPr>
                        <w:r>
                          <w:rPr>
                            <w:w w:val="105"/>
                            <w:sz w:val="15"/>
                          </w:rPr>
                          <w:t>Otros lmpuestos</w:t>
                        </w:r>
                      </w:p>
                    </w:tc>
                    <w:tc>
                      <w:tcPr>
                        <w:tcW w:w="1261" w:type="dxa"/>
                      </w:tcPr>
                      <w:p>
                        <w:pPr>
                          <w:pStyle w:val="TableParagraph"/>
                          <w:spacing w:line="154" w:lineRule="exact" w:before="1"/>
                          <w:ind w:right="34"/>
                          <w:jc w:val="right"/>
                          <w:rPr>
                            <w:sz w:val="15"/>
                          </w:rPr>
                        </w:pPr>
                        <w:r>
                          <w:rPr>
                            <w:w w:val="102"/>
                            <w:sz w:val="15"/>
                          </w:rPr>
                          <w:t>0</w:t>
                        </w:r>
                      </w:p>
                    </w:tc>
                  </w:tr>
                  <w:tr>
                    <w:trPr>
                      <w:trHeight w:val="707" w:hRule="atLeast"/>
                    </w:trPr>
                    <w:tc>
                      <w:tcPr>
                        <w:tcW w:w="921" w:type="dxa"/>
                      </w:tcPr>
                      <w:p>
                        <w:pPr>
                          <w:pStyle w:val="TableParagraph"/>
                          <w:spacing w:before="3"/>
                          <w:rPr>
                            <w:rFonts w:ascii="Times New Roman"/>
                            <w:sz w:val="23"/>
                          </w:rPr>
                        </w:pPr>
                      </w:p>
                      <w:p>
                        <w:pPr>
                          <w:pStyle w:val="TableParagraph"/>
                          <w:ind w:left="104" w:right="92"/>
                          <w:jc w:val="center"/>
                          <w:rPr>
                            <w:sz w:val="15"/>
                          </w:rPr>
                        </w:pPr>
                        <w:r>
                          <w:rPr>
                            <w:sz w:val="15"/>
                          </w:rPr>
                          <w:t>1.9</w:t>
                        </w:r>
                      </w:p>
                    </w:tc>
                    <w:tc>
                      <w:tcPr>
                        <w:tcW w:w="3201" w:type="dxa"/>
                      </w:tcPr>
                      <w:p>
                        <w:pPr>
                          <w:pStyle w:val="TableParagraph"/>
                          <w:spacing w:line="244" w:lineRule="auto" w:before="3"/>
                          <w:ind w:left="47"/>
                          <w:rPr>
                            <w:b/>
                            <w:sz w:val="15"/>
                          </w:rPr>
                        </w:pPr>
                        <w:r>
                          <w:rPr>
                            <w:b/>
                            <w:sz w:val="15"/>
                          </w:rPr>
                          <w:t>IMPUESTOS NO COMPRENDIDOS EN LA LEY DE INGRESOS VIGENTE, CAUSADOS EN EJERCICIOS FISCALES ANTERIORES</w:t>
                        </w:r>
                      </w:p>
                      <w:p>
                        <w:pPr>
                          <w:pStyle w:val="TableParagraph"/>
                          <w:spacing w:line="154" w:lineRule="exact" w:before="3"/>
                          <w:ind w:left="47"/>
                          <w:rPr>
                            <w:b/>
                            <w:sz w:val="15"/>
                          </w:rPr>
                        </w:pPr>
                        <w:r>
                          <w:rPr>
                            <w:b/>
                            <w:sz w:val="15"/>
                          </w:rPr>
                          <w:t>PENDIENTES DE LIQUIDACION O PAGO</w:t>
                        </w:r>
                      </w:p>
                    </w:tc>
                    <w:tc>
                      <w:tcPr>
                        <w:tcW w:w="1261" w:type="dxa"/>
                      </w:tcPr>
                      <w:p>
                        <w:pPr>
                          <w:pStyle w:val="TableParagraph"/>
                          <w:spacing w:before="3"/>
                          <w:rPr>
                            <w:rFonts w:ascii="Times New Roman"/>
                            <w:sz w:val="23"/>
                          </w:rPr>
                        </w:pPr>
                      </w:p>
                      <w:p>
                        <w:pPr>
                          <w:pStyle w:val="TableParagraph"/>
                          <w:spacing w:before="1"/>
                          <w:ind w:right="34"/>
                          <w:jc w:val="right"/>
                          <w:rPr>
                            <w:b/>
                            <w:sz w:val="15"/>
                          </w:rPr>
                        </w:pPr>
                        <w:r>
                          <w:rPr>
                            <w:b/>
                            <w:w w:val="102"/>
                            <w:sz w:val="15"/>
                          </w:rPr>
                          <w:t>0</w:t>
                        </w:r>
                      </w:p>
                    </w:tc>
                  </w:tr>
                  <w:tr>
                    <w:trPr>
                      <w:trHeight w:val="352" w:hRule="atLeast"/>
                    </w:trPr>
                    <w:tc>
                      <w:tcPr>
                        <w:tcW w:w="921" w:type="dxa"/>
                      </w:tcPr>
                      <w:p>
                        <w:pPr>
                          <w:pStyle w:val="TableParagraph"/>
                          <w:rPr>
                            <w:rFonts w:ascii="Times New Roman"/>
                            <w:sz w:val="14"/>
                          </w:rPr>
                        </w:pPr>
                      </w:p>
                    </w:tc>
                    <w:tc>
                      <w:tcPr>
                        <w:tcW w:w="3201" w:type="dxa"/>
                      </w:tcPr>
                      <w:p>
                        <w:pPr>
                          <w:pStyle w:val="TableParagraph"/>
                          <w:rPr>
                            <w:rFonts w:ascii="Times New Roman"/>
                            <w:sz w:val="14"/>
                          </w:rPr>
                        </w:pPr>
                      </w:p>
                    </w:tc>
                    <w:tc>
                      <w:tcPr>
                        <w:tcW w:w="1261" w:type="dxa"/>
                      </w:tcPr>
                      <w:p>
                        <w:pPr>
                          <w:pStyle w:val="TableParagraph"/>
                          <w:rPr>
                            <w:rFonts w:ascii="Times New Roman"/>
                            <w:sz w:val="14"/>
                          </w:rPr>
                        </w:pPr>
                      </w:p>
                    </w:tc>
                  </w:tr>
                  <w:tr>
                    <w:trPr>
                      <w:trHeight w:val="353" w:hRule="atLeast"/>
                    </w:trPr>
                    <w:tc>
                      <w:tcPr>
                        <w:tcW w:w="921" w:type="dxa"/>
                      </w:tcPr>
                      <w:p>
                        <w:pPr>
                          <w:pStyle w:val="TableParagraph"/>
                          <w:spacing w:before="90"/>
                          <w:ind w:left="104" w:right="92"/>
                          <w:jc w:val="center"/>
                          <w:rPr>
                            <w:sz w:val="15"/>
                          </w:rPr>
                        </w:pPr>
                        <w:r>
                          <w:rPr>
                            <w:sz w:val="15"/>
                          </w:rPr>
                          <w:t>2.1</w:t>
                        </w:r>
                      </w:p>
                    </w:tc>
                    <w:tc>
                      <w:tcPr>
                        <w:tcW w:w="3201" w:type="dxa"/>
                      </w:tcPr>
                      <w:p>
                        <w:pPr>
                          <w:pStyle w:val="TableParagraph"/>
                          <w:spacing w:line="178" w:lineRule="exact" w:before="1"/>
                          <w:ind w:left="47"/>
                          <w:rPr>
                            <w:b/>
                            <w:sz w:val="15"/>
                          </w:rPr>
                        </w:pPr>
                        <w:r>
                          <w:rPr>
                            <w:b/>
                            <w:sz w:val="15"/>
                          </w:rPr>
                          <w:t>APORTACIONES PARA FONDOS DE VIVIENDA</w:t>
                        </w:r>
                      </w:p>
                    </w:tc>
                    <w:tc>
                      <w:tcPr>
                        <w:tcW w:w="1261" w:type="dxa"/>
                      </w:tcPr>
                      <w:p>
                        <w:pPr>
                          <w:pStyle w:val="TableParagraph"/>
                          <w:spacing w:before="91"/>
                          <w:ind w:right="34"/>
                          <w:jc w:val="right"/>
                          <w:rPr>
                            <w:b/>
                            <w:sz w:val="15"/>
                          </w:rPr>
                        </w:pPr>
                        <w:r>
                          <w:rPr>
                            <w:b/>
                            <w:w w:val="102"/>
                            <w:sz w:val="15"/>
                          </w:rPr>
                          <w:t>0</w:t>
                        </w:r>
                      </w:p>
                    </w:tc>
                  </w:tr>
                  <w:tr>
                    <w:trPr>
                      <w:trHeight w:val="172" w:hRule="atLeast"/>
                    </w:trPr>
                    <w:tc>
                      <w:tcPr>
                        <w:tcW w:w="921" w:type="dxa"/>
                      </w:tcPr>
                      <w:p>
                        <w:pPr>
                          <w:pStyle w:val="TableParagraph"/>
                          <w:spacing w:line="152" w:lineRule="exact"/>
                          <w:ind w:left="104" w:right="92"/>
                          <w:jc w:val="center"/>
                          <w:rPr>
                            <w:sz w:val="15"/>
                          </w:rPr>
                        </w:pPr>
                        <w:r>
                          <w:rPr>
                            <w:sz w:val="15"/>
                          </w:rPr>
                          <w:t>2.2</w:t>
                        </w:r>
                      </w:p>
                    </w:tc>
                    <w:tc>
                      <w:tcPr>
                        <w:tcW w:w="3201" w:type="dxa"/>
                      </w:tcPr>
                      <w:p>
                        <w:pPr>
                          <w:pStyle w:val="TableParagraph"/>
                          <w:spacing w:line="152" w:lineRule="exact"/>
                          <w:ind w:left="47"/>
                          <w:rPr>
                            <w:b/>
                            <w:sz w:val="15"/>
                          </w:rPr>
                        </w:pPr>
                        <w:r>
                          <w:rPr>
                            <w:b/>
                            <w:sz w:val="15"/>
                          </w:rPr>
                          <w:t>CUOTAS PARA LA SEGURIDAD SOCIAL</w:t>
                        </w:r>
                      </w:p>
                    </w:tc>
                    <w:tc>
                      <w:tcPr>
                        <w:tcW w:w="1261" w:type="dxa"/>
                      </w:tcPr>
                      <w:p>
                        <w:pPr>
                          <w:pStyle w:val="TableParagraph"/>
                          <w:spacing w:line="152" w:lineRule="exact"/>
                          <w:ind w:right="34"/>
                          <w:jc w:val="right"/>
                          <w:rPr>
                            <w:b/>
                            <w:sz w:val="15"/>
                          </w:rPr>
                        </w:pPr>
                        <w:r>
                          <w:rPr>
                            <w:b/>
                            <w:w w:val="102"/>
                            <w:sz w:val="15"/>
                          </w:rPr>
                          <w:t>0</w:t>
                        </w:r>
                      </w:p>
                    </w:tc>
                  </w:tr>
                  <w:tr>
                    <w:trPr>
                      <w:trHeight w:val="176" w:hRule="atLeast"/>
                    </w:trPr>
                    <w:tc>
                      <w:tcPr>
                        <w:tcW w:w="921" w:type="dxa"/>
                      </w:tcPr>
                      <w:p>
                        <w:pPr>
                          <w:pStyle w:val="TableParagraph"/>
                          <w:spacing w:line="154" w:lineRule="exact" w:before="2"/>
                          <w:ind w:left="104" w:right="92"/>
                          <w:jc w:val="center"/>
                          <w:rPr>
                            <w:sz w:val="15"/>
                          </w:rPr>
                        </w:pPr>
                        <w:r>
                          <w:rPr>
                            <w:sz w:val="15"/>
                          </w:rPr>
                          <w:t>2.3</w:t>
                        </w:r>
                      </w:p>
                    </w:tc>
                    <w:tc>
                      <w:tcPr>
                        <w:tcW w:w="3201" w:type="dxa"/>
                      </w:tcPr>
                      <w:p>
                        <w:pPr>
                          <w:pStyle w:val="TableParagraph"/>
                          <w:spacing w:line="153" w:lineRule="exact" w:before="3"/>
                          <w:ind w:left="47"/>
                          <w:rPr>
                            <w:b/>
                            <w:sz w:val="15"/>
                          </w:rPr>
                        </w:pPr>
                        <w:r>
                          <w:rPr>
                            <w:b/>
                            <w:sz w:val="15"/>
                          </w:rPr>
                          <w:t>CUOTAS DE AHORRO PARA EL RETIRO</w:t>
                        </w:r>
                      </w:p>
                    </w:tc>
                    <w:tc>
                      <w:tcPr>
                        <w:tcW w:w="1261" w:type="dxa"/>
                      </w:tcPr>
                      <w:p>
                        <w:pPr>
                          <w:pStyle w:val="TableParagraph"/>
                          <w:spacing w:line="153" w:lineRule="exact" w:before="3"/>
                          <w:ind w:right="34"/>
                          <w:jc w:val="right"/>
                          <w:rPr>
                            <w:b/>
                            <w:sz w:val="15"/>
                          </w:rPr>
                        </w:pPr>
                        <w:r>
                          <w:rPr>
                            <w:b/>
                            <w:w w:val="102"/>
                            <w:sz w:val="15"/>
                          </w:rPr>
                          <w:t>0</w:t>
                        </w:r>
                      </w:p>
                    </w:tc>
                  </w:tr>
                  <w:tr>
                    <w:trPr>
                      <w:trHeight w:val="352" w:hRule="atLeast"/>
                    </w:trPr>
                    <w:tc>
                      <w:tcPr>
                        <w:tcW w:w="921" w:type="dxa"/>
                      </w:tcPr>
                      <w:p>
                        <w:pPr>
                          <w:pStyle w:val="TableParagraph"/>
                          <w:spacing w:before="90"/>
                          <w:ind w:left="104" w:right="92"/>
                          <w:jc w:val="center"/>
                          <w:rPr>
                            <w:sz w:val="15"/>
                          </w:rPr>
                        </w:pPr>
                        <w:r>
                          <w:rPr>
                            <w:sz w:val="15"/>
                          </w:rPr>
                          <w:t>2.4</w:t>
                        </w:r>
                      </w:p>
                    </w:tc>
                    <w:tc>
                      <w:tcPr>
                        <w:tcW w:w="3201" w:type="dxa"/>
                      </w:tcPr>
                      <w:p>
                        <w:pPr>
                          <w:pStyle w:val="TableParagraph"/>
                          <w:spacing w:line="178" w:lineRule="exact"/>
                          <w:ind w:left="47" w:right="165"/>
                          <w:rPr>
                            <w:b/>
                            <w:sz w:val="15"/>
                          </w:rPr>
                        </w:pPr>
                        <w:r>
                          <w:rPr>
                            <w:b/>
                            <w:sz w:val="15"/>
                          </w:rPr>
                          <w:t>OTRAS CUOTAS Y APORTACIONES PARA LA SEGURIDAD SOCIAL</w:t>
                        </w:r>
                      </w:p>
                    </w:tc>
                    <w:tc>
                      <w:tcPr>
                        <w:tcW w:w="1261" w:type="dxa"/>
                      </w:tcPr>
                      <w:p>
                        <w:pPr>
                          <w:pStyle w:val="TableParagraph"/>
                          <w:spacing w:before="91"/>
                          <w:ind w:right="34"/>
                          <w:jc w:val="right"/>
                          <w:rPr>
                            <w:b/>
                            <w:sz w:val="15"/>
                          </w:rPr>
                        </w:pPr>
                        <w:r>
                          <w:rPr>
                            <w:b/>
                            <w:w w:val="102"/>
                            <w:sz w:val="15"/>
                          </w:rPr>
                          <w:t>0</w:t>
                        </w:r>
                      </w:p>
                    </w:tc>
                  </w:tr>
                  <w:tr>
                    <w:trPr>
                      <w:trHeight w:val="349" w:hRule="atLeast"/>
                    </w:trPr>
                    <w:tc>
                      <w:tcPr>
                        <w:tcW w:w="921" w:type="dxa"/>
                      </w:tcPr>
                      <w:p>
                        <w:pPr>
                          <w:pStyle w:val="TableParagraph"/>
                          <w:spacing w:before="87"/>
                          <w:ind w:left="104" w:right="92"/>
                          <w:jc w:val="center"/>
                          <w:rPr>
                            <w:sz w:val="15"/>
                          </w:rPr>
                        </w:pPr>
                        <w:r>
                          <w:rPr>
                            <w:sz w:val="15"/>
                          </w:rPr>
                          <w:t>2.5</w:t>
                        </w:r>
                      </w:p>
                    </w:tc>
                    <w:tc>
                      <w:tcPr>
                        <w:tcW w:w="3201" w:type="dxa"/>
                      </w:tcPr>
                      <w:p>
                        <w:pPr>
                          <w:pStyle w:val="TableParagraph"/>
                          <w:spacing w:line="172" w:lineRule="exact"/>
                          <w:ind w:left="47"/>
                          <w:rPr>
                            <w:b/>
                            <w:sz w:val="15"/>
                          </w:rPr>
                        </w:pPr>
                        <w:r>
                          <w:rPr>
                            <w:b/>
                            <w:sz w:val="15"/>
                          </w:rPr>
                          <w:t>ACCESORIOS DE CUOTAS Y</w:t>
                        </w:r>
                      </w:p>
                      <w:p>
                        <w:pPr>
                          <w:pStyle w:val="TableParagraph"/>
                          <w:spacing w:line="154" w:lineRule="exact" w:before="4"/>
                          <w:ind w:left="47"/>
                          <w:rPr>
                            <w:b/>
                            <w:sz w:val="15"/>
                          </w:rPr>
                        </w:pPr>
                        <w:r>
                          <w:rPr>
                            <w:b/>
                            <w:sz w:val="15"/>
                          </w:rPr>
                          <w:t>APORTACIONES DE SEGURIDAD SOCIAL</w:t>
                        </w:r>
                      </w:p>
                    </w:tc>
                    <w:tc>
                      <w:tcPr>
                        <w:tcW w:w="1261" w:type="dxa"/>
                      </w:tcPr>
                      <w:p>
                        <w:pPr>
                          <w:pStyle w:val="TableParagraph"/>
                          <w:spacing w:before="88"/>
                          <w:ind w:right="34"/>
                          <w:jc w:val="right"/>
                          <w:rPr>
                            <w:b/>
                            <w:sz w:val="15"/>
                          </w:rPr>
                        </w:pPr>
                        <w:r>
                          <w:rPr>
                            <w:b/>
                            <w:w w:val="102"/>
                            <w:sz w:val="15"/>
                          </w:rPr>
                          <w:t>0</w:t>
                        </w:r>
                      </w:p>
                    </w:tc>
                  </w:tr>
                  <w:tr>
                    <w:trPr>
                      <w:trHeight w:val="176" w:hRule="atLeast"/>
                    </w:trPr>
                    <w:tc>
                      <w:tcPr>
                        <w:tcW w:w="921" w:type="dxa"/>
                      </w:tcPr>
                      <w:p>
                        <w:pPr>
                          <w:pStyle w:val="TableParagraph"/>
                          <w:rPr>
                            <w:rFonts w:ascii="Times New Roman"/>
                            <w:sz w:val="10"/>
                          </w:rPr>
                        </w:pPr>
                      </w:p>
                    </w:tc>
                    <w:tc>
                      <w:tcPr>
                        <w:tcW w:w="3201" w:type="dxa"/>
                      </w:tcPr>
                      <w:p>
                        <w:pPr>
                          <w:pStyle w:val="TableParagraph"/>
                          <w:rPr>
                            <w:rFonts w:ascii="Times New Roman"/>
                            <w:sz w:val="10"/>
                          </w:rPr>
                        </w:pPr>
                      </w:p>
                    </w:tc>
                    <w:tc>
                      <w:tcPr>
                        <w:tcW w:w="1261" w:type="dxa"/>
                      </w:tcPr>
                      <w:p>
                        <w:pPr>
                          <w:pStyle w:val="TableParagraph"/>
                          <w:rPr>
                            <w:rFonts w:ascii="Times New Roman"/>
                            <w:sz w:val="10"/>
                          </w:rPr>
                        </w:pPr>
                      </w:p>
                    </w:tc>
                  </w:tr>
                  <w:tr>
                    <w:trPr>
                      <w:trHeight w:val="352" w:hRule="atLeast"/>
                    </w:trPr>
                    <w:tc>
                      <w:tcPr>
                        <w:tcW w:w="921" w:type="dxa"/>
                      </w:tcPr>
                      <w:p>
                        <w:pPr>
                          <w:pStyle w:val="TableParagraph"/>
                          <w:spacing w:before="90"/>
                          <w:ind w:left="104" w:right="92"/>
                          <w:jc w:val="center"/>
                          <w:rPr>
                            <w:sz w:val="15"/>
                          </w:rPr>
                        </w:pPr>
                        <w:r>
                          <w:rPr>
                            <w:sz w:val="15"/>
                          </w:rPr>
                          <w:t>3.1</w:t>
                        </w:r>
                      </w:p>
                    </w:tc>
                    <w:tc>
                      <w:tcPr>
                        <w:tcW w:w="3201" w:type="dxa"/>
                      </w:tcPr>
                      <w:p>
                        <w:pPr>
                          <w:pStyle w:val="TableParagraph"/>
                          <w:spacing w:line="178" w:lineRule="exact"/>
                          <w:ind w:left="47" w:right="165"/>
                          <w:rPr>
                            <w:b/>
                            <w:sz w:val="15"/>
                          </w:rPr>
                        </w:pPr>
                        <w:r>
                          <w:rPr>
                            <w:b/>
                            <w:sz w:val="15"/>
                          </w:rPr>
                          <w:t>CONTRIBUCIÓN DE MEJORAS POR OBRAS PÚBLICAS</w:t>
                        </w:r>
                      </w:p>
                    </w:tc>
                    <w:tc>
                      <w:tcPr>
                        <w:tcW w:w="1261" w:type="dxa"/>
                      </w:tcPr>
                      <w:p>
                        <w:pPr>
                          <w:pStyle w:val="TableParagraph"/>
                          <w:spacing w:before="91"/>
                          <w:ind w:right="34"/>
                          <w:jc w:val="right"/>
                          <w:rPr>
                            <w:b/>
                            <w:sz w:val="15"/>
                          </w:rPr>
                        </w:pPr>
                        <w:r>
                          <w:rPr>
                            <w:b/>
                            <w:w w:val="102"/>
                            <w:sz w:val="15"/>
                          </w:rPr>
                          <w:t>0</w:t>
                        </w:r>
                      </w:p>
                    </w:tc>
                  </w:tr>
                </w:tbl>
                <w:p>
                  <w:pPr>
                    <w:pStyle w:val="BodyText"/>
                  </w:pPr>
                </w:p>
              </w:txbxContent>
            </v:textbox>
          </v:shape>
        </w:pict>
      </w:r>
      <w:r>
        <w:rPr>
          <w:rFonts w:ascii="Times New Roman"/>
          <w:position w:val="8"/>
        </w:rPr>
      </w:r>
      <w:r>
        <w:rPr>
          <w:rFonts w:ascii="Times New Roman"/>
          <w:position w:val="8"/>
        </w:rPr>
        <w:tab/>
      </w:r>
      <w:r>
        <w:rPr>
          <w:rFonts w:ascii="Times New Roman"/>
        </w:rPr>
        <w:pict>
          <v:shape style="width:270.1pt;height:502.25pt;mso-position-horizontal-relative:char;mso-position-vertical-relative:line" type="#_x0000_t202"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1"/>
                    <w:gridCol w:w="3201"/>
                    <w:gridCol w:w="1261"/>
                  </w:tblGrid>
                  <w:tr>
                    <w:trPr>
                      <w:trHeight w:val="176" w:hRule="atLeast"/>
                    </w:trPr>
                    <w:tc>
                      <w:tcPr>
                        <w:tcW w:w="921" w:type="dxa"/>
                        <w:tcBorders>
                          <w:top w:val="nil"/>
                        </w:tcBorders>
                      </w:tcPr>
                      <w:p>
                        <w:pPr>
                          <w:pStyle w:val="TableParagraph"/>
                          <w:spacing w:line="154" w:lineRule="exact" w:before="2"/>
                          <w:ind w:right="274"/>
                          <w:jc w:val="right"/>
                          <w:rPr>
                            <w:sz w:val="15"/>
                          </w:rPr>
                        </w:pPr>
                        <w:r>
                          <w:rPr>
                            <w:sz w:val="15"/>
                          </w:rPr>
                          <w:t>3.1.1</w:t>
                        </w:r>
                      </w:p>
                    </w:tc>
                    <w:tc>
                      <w:tcPr>
                        <w:tcW w:w="3201" w:type="dxa"/>
                        <w:tcBorders>
                          <w:top w:val="nil"/>
                        </w:tcBorders>
                      </w:tcPr>
                      <w:p>
                        <w:pPr>
                          <w:pStyle w:val="TableParagraph"/>
                          <w:spacing w:line="153" w:lineRule="exact" w:before="3"/>
                          <w:ind w:left="47"/>
                          <w:rPr>
                            <w:b/>
                            <w:sz w:val="15"/>
                          </w:rPr>
                        </w:pPr>
                        <w:r>
                          <w:rPr>
                            <w:b/>
                            <w:sz w:val="15"/>
                          </w:rPr>
                          <w:t>Contribuciones de mejoras</w:t>
                        </w:r>
                      </w:p>
                    </w:tc>
                    <w:tc>
                      <w:tcPr>
                        <w:tcW w:w="1261" w:type="dxa"/>
                        <w:tcBorders>
                          <w:top w:val="nil"/>
                        </w:tcBorders>
                      </w:tcPr>
                      <w:p>
                        <w:pPr>
                          <w:pStyle w:val="TableParagraph"/>
                          <w:spacing w:line="153" w:lineRule="exact" w:before="3"/>
                          <w:ind w:right="34"/>
                          <w:jc w:val="right"/>
                          <w:rPr>
                            <w:b/>
                            <w:sz w:val="15"/>
                          </w:rPr>
                        </w:pPr>
                        <w:r>
                          <w:rPr>
                            <w:b/>
                            <w:w w:val="102"/>
                            <w:sz w:val="15"/>
                          </w:rPr>
                          <w:t>0</w:t>
                        </w:r>
                      </w:p>
                    </w:tc>
                  </w:tr>
                  <w:tr>
                    <w:trPr>
                      <w:trHeight w:val="352" w:hRule="atLeast"/>
                    </w:trPr>
                    <w:tc>
                      <w:tcPr>
                        <w:tcW w:w="921" w:type="dxa"/>
                      </w:tcPr>
                      <w:p>
                        <w:pPr>
                          <w:pStyle w:val="TableParagraph"/>
                          <w:spacing w:before="90"/>
                          <w:ind w:right="209"/>
                          <w:jc w:val="right"/>
                          <w:rPr>
                            <w:sz w:val="15"/>
                          </w:rPr>
                        </w:pPr>
                        <w:r>
                          <w:rPr>
                            <w:sz w:val="15"/>
                          </w:rPr>
                          <w:t>3.1.1.1</w:t>
                        </w:r>
                      </w:p>
                    </w:tc>
                    <w:tc>
                      <w:tcPr>
                        <w:tcW w:w="3201" w:type="dxa"/>
                      </w:tcPr>
                      <w:p>
                        <w:pPr>
                          <w:pStyle w:val="TableParagraph"/>
                          <w:spacing w:line="178" w:lineRule="exact"/>
                          <w:ind w:left="47" w:right="165"/>
                          <w:rPr>
                            <w:sz w:val="15"/>
                          </w:rPr>
                        </w:pPr>
                        <w:r>
                          <w:rPr>
                            <w:sz w:val="15"/>
                          </w:rPr>
                          <w:t>Contribuciones de mejoras por obras públicas</w:t>
                        </w:r>
                      </w:p>
                    </w:tc>
                    <w:tc>
                      <w:tcPr>
                        <w:tcW w:w="1261" w:type="dxa"/>
                      </w:tcPr>
                      <w:p>
                        <w:pPr>
                          <w:pStyle w:val="TableParagraph"/>
                          <w:spacing w:before="90"/>
                          <w:ind w:right="34"/>
                          <w:jc w:val="right"/>
                          <w:rPr>
                            <w:sz w:val="15"/>
                          </w:rPr>
                        </w:pPr>
                        <w:r>
                          <w:rPr>
                            <w:w w:val="102"/>
                            <w:sz w:val="15"/>
                          </w:rPr>
                          <w:t>0</w:t>
                        </w:r>
                      </w:p>
                    </w:tc>
                  </w:tr>
                  <w:tr>
                    <w:trPr>
                      <w:trHeight w:val="881" w:hRule="atLeast"/>
                    </w:trPr>
                    <w:tc>
                      <w:tcPr>
                        <w:tcW w:w="921" w:type="dxa"/>
                      </w:tcPr>
                      <w:p>
                        <w:pPr>
                          <w:pStyle w:val="TableParagraph"/>
                          <w:rPr>
                            <w:rFonts w:ascii="Times New Roman"/>
                            <w:sz w:val="16"/>
                          </w:rPr>
                        </w:pPr>
                      </w:p>
                      <w:p>
                        <w:pPr>
                          <w:pStyle w:val="TableParagraph"/>
                          <w:spacing w:before="7"/>
                          <w:rPr>
                            <w:rFonts w:ascii="Times New Roman"/>
                            <w:sz w:val="14"/>
                          </w:rPr>
                        </w:pPr>
                      </w:p>
                      <w:p>
                        <w:pPr>
                          <w:pStyle w:val="TableParagraph"/>
                          <w:ind w:left="104" w:right="92"/>
                          <w:jc w:val="center"/>
                          <w:rPr>
                            <w:sz w:val="15"/>
                          </w:rPr>
                        </w:pPr>
                        <w:r>
                          <w:rPr>
                            <w:sz w:val="15"/>
                          </w:rPr>
                          <w:t>3.9</w:t>
                        </w:r>
                      </w:p>
                    </w:tc>
                    <w:tc>
                      <w:tcPr>
                        <w:tcW w:w="3201" w:type="dxa"/>
                      </w:tcPr>
                      <w:p>
                        <w:pPr>
                          <w:pStyle w:val="TableParagraph"/>
                          <w:spacing w:line="247" w:lineRule="auto"/>
                          <w:ind w:left="47" w:right="165"/>
                          <w:rPr>
                            <w:b/>
                            <w:sz w:val="15"/>
                          </w:rPr>
                        </w:pPr>
                        <w:r>
                          <w:rPr>
                            <w:b/>
                            <w:sz w:val="15"/>
                          </w:rPr>
                          <w:t>CONTRIBUCIONES DE MEJORAS NO COMPRENDIDAS EN LA LEY DE INGRESOS VIGENTE, CAUSADOS EN EJERCICIOS FISCALES ANTERIORES</w:t>
                        </w:r>
                      </w:p>
                      <w:p>
                        <w:pPr>
                          <w:pStyle w:val="TableParagraph"/>
                          <w:spacing w:line="151" w:lineRule="exact"/>
                          <w:ind w:left="47"/>
                          <w:rPr>
                            <w:b/>
                            <w:sz w:val="15"/>
                          </w:rPr>
                        </w:pPr>
                        <w:r>
                          <w:rPr>
                            <w:b/>
                            <w:sz w:val="15"/>
                          </w:rPr>
                          <w:t>PENDIENTES DE LIQUIDACION O PAGO</w:t>
                        </w:r>
                      </w:p>
                    </w:tc>
                    <w:tc>
                      <w:tcPr>
                        <w:tcW w:w="1261" w:type="dxa"/>
                      </w:tcPr>
                      <w:p>
                        <w:pPr>
                          <w:pStyle w:val="TableParagraph"/>
                          <w:rPr>
                            <w:rFonts w:ascii="Times New Roman"/>
                            <w:sz w:val="16"/>
                          </w:rPr>
                        </w:pPr>
                      </w:p>
                      <w:p>
                        <w:pPr>
                          <w:pStyle w:val="TableParagraph"/>
                          <w:spacing w:before="8"/>
                          <w:rPr>
                            <w:rFonts w:ascii="Times New Roman"/>
                            <w:sz w:val="14"/>
                          </w:rPr>
                        </w:pPr>
                      </w:p>
                      <w:p>
                        <w:pPr>
                          <w:pStyle w:val="TableParagraph"/>
                          <w:ind w:right="34"/>
                          <w:jc w:val="right"/>
                          <w:rPr>
                            <w:b/>
                            <w:sz w:val="15"/>
                          </w:rPr>
                        </w:pPr>
                        <w:r>
                          <w:rPr>
                            <w:b/>
                            <w:w w:val="102"/>
                            <w:sz w:val="15"/>
                          </w:rPr>
                          <w:t>0</w:t>
                        </w:r>
                      </w:p>
                    </w:tc>
                  </w:tr>
                  <w:tr>
                    <w:trPr>
                      <w:trHeight w:val="175" w:hRule="atLeast"/>
                    </w:trPr>
                    <w:tc>
                      <w:tcPr>
                        <w:tcW w:w="921" w:type="dxa"/>
                      </w:tcPr>
                      <w:p>
                        <w:pPr>
                          <w:pStyle w:val="TableParagraph"/>
                          <w:rPr>
                            <w:rFonts w:ascii="Times New Roman"/>
                            <w:sz w:val="10"/>
                          </w:rPr>
                        </w:pPr>
                      </w:p>
                    </w:tc>
                    <w:tc>
                      <w:tcPr>
                        <w:tcW w:w="3201" w:type="dxa"/>
                      </w:tcPr>
                      <w:p>
                        <w:pPr>
                          <w:pStyle w:val="TableParagraph"/>
                          <w:rPr>
                            <w:rFonts w:ascii="Times New Roman"/>
                            <w:sz w:val="10"/>
                          </w:rPr>
                        </w:pPr>
                      </w:p>
                    </w:tc>
                    <w:tc>
                      <w:tcPr>
                        <w:tcW w:w="1261" w:type="dxa"/>
                      </w:tcPr>
                      <w:p>
                        <w:pPr>
                          <w:pStyle w:val="TableParagraph"/>
                          <w:rPr>
                            <w:rFonts w:ascii="Times New Roman"/>
                            <w:sz w:val="10"/>
                          </w:rPr>
                        </w:pPr>
                      </w:p>
                    </w:tc>
                  </w:tr>
                  <w:tr>
                    <w:trPr>
                      <w:trHeight w:val="530" w:hRule="atLeast"/>
                    </w:trPr>
                    <w:tc>
                      <w:tcPr>
                        <w:tcW w:w="921" w:type="dxa"/>
                      </w:tcPr>
                      <w:p>
                        <w:pPr>
                          <w:pStyle w:val="TableParagraph"/>
                          <w:spacing w:before="6"/>
                          <w:rPr>
                            <w:rFonts w:ascii="Times New Roman"/>
                            <w:sz w:val="15"/>
                          </w:rPr>
                        </w:pPr>
                      </w:p>
                      <w:p>
                        <w:pPr>
                          <w:pStyle w:val="TableParagraph"/>
                          <w:spacing w:before="1"/>
                          <w:ind w:left="104" w:right="92"/>
                          <w:jc w:val="center"/>
                          <w:rPr>
                            <w:sz w:val="15"/>
                          </w:rPr>
                        </w:pPr>
                        <w:r>
                          <w:rPr>
                            <w:sz w:val="15"/>
                          </w:rPr>
                          <w:t>4.1</w:t>
                        </w:r>
                      </w:p>
                    </w:tc>
                    <w:tc>
                      <w:tcPr>
                        <w:tcW w:w="3201" w:type="dxa"/>
                      </w:tcPr>
                      <w:p>
                        <w:pPr>
                          <w:pStyle w:val="TableParagraph"/>
                          <w:spacing w:line="178" w:lineRule="exact" w:before="1"/>
                          <w:ind w:left="47" w:right="165"/>
                          <w:rPr>
                            <w:b/>
                            <w:sz w:val="15"/>
                          </w:rPr>
                        </w:pPr>
                        <w:r>
                          <w:rPr>
                            <w:b/>
                            <w:sz w:val="15"/>
                          </w:rPr>
                          <w:t>DERECHOS POR EL USO, GOCE, APROVECHAMIENTO O EXPLOTACIÓN DE BIENES DE DOMINIO PÚBLICO</w:t>
                        </w:r>
                      </w:p>
                    </w:tc>
                    <w:tc>
                      <w:tcPr>
                        <w:tcW w:w="1261" w:type="dxa"/>
                      </w:tcPr>
                      <w:p>
                        <w:pPr>
                          <w:pStyle w:val="TableParagraph"/>
                          <w:spacing w:before="7"/>
                          <w:rPr>
                            <w:rFonts w:ascii="Times New Roman"/>
                            <w:sz w:val="15"/>
                          </w:rPr>
                        </w:pPr>
                      </w:p>
                      <w:p>
                        <w:pPr>
                          <w:pStyle w:val="TableParagraph"/>
                          <w:spacing w:before="1"/>
                          <w:ind w:right="34"/>
                          <w:jc w:val="right"/>
                          <w:rPr>
                            <w:b/>
                            <w:sz w:val="15"/>
                          </w:rPr>
                        </w:pPr>
                        <w:r>
                          <w:rPr>
                            <w:b/>
                            <w:sz w:val="15"/>
                          </w:rPr>
                          <w:t>23,186,895</w:t>
                        </w:r>
                      </w:p>
                    </w:tc>
                  </w:tr>
                  <w:tr>
                    <w:trPr>
                      <w:trHeight w:val="171" w:hRule="atLeast"/>
                    </w:trPr>
                    <w:tc>
                      <w:tcPr>
                        <w:tcW w:w="921" w:type="dxa"/>
                      </w:tcPr>
                      <w:p>
                        <w:pPr>
                          <w:pStyle w:val="TableParagraph"/>
                          <w:spacing w:line="152" w:lineRule="exact"/>
                          <w:ind w:right="274"/>
                          <w:jc w:val="right"/>
                          <w:rPr>
                            <w:sz w:val="15"/>
                          </w:rPr>
                        </w:pPr>
                        <w:r>
                          <w:rPr>
                            <w:sz w:val="15"/>
                          </w:rPr>
                          <w:t>4.1.1</w:t>
                        </w:r>
                      </w:p>
                    </w:tc>
                    <w:tc>
                      <w:tcPr>
                        <w:tcW w:w="3201" w:type="dxa"/>
                      </w:tcPr>
                      <w:p>
                        <w:pPr>
                          <w:pStyle w:val="TableParagraph"/>
                          <w:spacing w:line="152" w:lineRule="exact"/>
                          <w:ind w:left="47"/>
                          <w:rPr>
                            <w:b/>
                            <w:sz w:val="15"/>
                          </w:rPr>
                        </w:pPr>
                        <w:r>
                          <w:rPr>
                            <w:b/>
                            <w:sz w:val="15"/>
                          </w:rPr>
                          <w:t>Uso del piso</w:t>
                        </w:r>
                      </w:p>
                    </w:tc>
                    <w:tc>
                      <w:tcPr>
                        <w:tcW w:w="1261" w:type="dxa"/>
                      </w:tcPr>
                      <w:p>
                        <w:pPr>
                          <w:pStyle w:val="TableParagraph"/>
                          <w:spacing w:line="152" w:lineRule="exact"/>
                          <w:ind w:right="34"/>
                          <w:jc w:val="right"/>
                          <w:rPr>
                            <w:b/>
                            <w:sz w:val="15"/>
                          </w:rPr>
                        </w:pPr>
                        <w:r>
                          <w:rPr>
                            <w:b/>
                            <w:sz w:val="15"/>
                          </w:rPr>
                          <w:t>19,190,463</w:t>
                        </w:r>
                      </w:p>
                    </w:tc>
                  </w:tr>
                  <w:tr>
                    <w:trPr>
                      <w:trHeight w:val="175" w:hRule="atLeast"/>
                    </w:trPr>
                    <w:tc>
                      <w:tcPr>
                        <w:tcW w:w="921" w:type="dxa"/>
                      </w:tcPr>
                      <w:p>
                        <w:pPr>
                          <w:pStyle w:val="TableParagraph"/>
                          <w:spacing w:line="154" w:lineRule="exact" w:before="2"/>
                          <w:ind w:right="209"/>
                          <w:jc w:val="right"/>
                          <w:rPr>
                            <w:sz w:val="15"/>
                          </w:rPr>
                        </w:pPr>
                        <w:r>
                          <w:rPr>
                            <w:sz w:val="15"/>
                          </w:rPr>
                          <w:t>4.1.1.1</w:t>
                        </w:r>
                      </w:p>
                    </w:tc>
                    <w:tc>
                      <w:tcPr>
                        <w:tcW w:w="3201" w:type="dxa"/>
                      </w:tcPr>
                      <w:p>
                        <w:pPr>
                          <w:pStyle w:val="TableParagraph"/>
                          <w:spacing w:line="154" w:lineRule="exact" w:before="2"/>
                          <w:ind w:left="47"/>
                          <w:rPr>
                            <w:sz w:val="15"/>
                          </w:rPr>
                        </w:pPr>
                        <w:r>
                          <w:rPr>
                            <w:sz w:val="15"/>
                          </w:rPr>
                          <w:t>Estacionamientos exclusivos</w:t>
                        </w:r>
                      </w:p>
                    </w:tc>
                    <w:tc>
                      <w:tcPr>
                        <w:tcW w:w="1261" w:type="dxa"/>
                      </w:tcPr>
                      <w:p>
                        <w:pPr>
                          <w:pStyle w:val="TableParagraph"/>
                          <w:spacing w:line="154" w:lineRule="exact" w:before="2"/>
                          <w:ind w:right="34"/>
                          <w:jc w:val="right"/>
                          <w:rPr>
                            <w:sz w:val="15"/>
                          </w:rPr>
                        </w:pPr>
                        <w:r>
                          <w:rPr>
                            <w:sz w:val="15"/>
                          </w:rPr>
                          <w:t>161,638</w:t>
                        </w:r>
                      </w:p>
                    </w:tc>
                  </w:tr>
                  <w:tr>
                    <w:trPr>
                      <w:trHeight w:val="176" w:hRule="atLeast"/>
                    </w:trPr>
                    <w:tc>
                      <w:tcPr>
                        <w:tcW w:w="921" w:type="dxa"/>
                      </w:tcPr>
                      <w:p>
                        <w:pPr>
                          <w:pStyle w:val="TableParagraph"/>
                          <w:spacing w:line="154" w:lineRule="exact" w:before="2"/>
                          <w:ind w:right="209"/>
                          <w:jc w:val="right"/>
                          <w:rPr>
                            <w:sz w:val="15"/>
                          </w:rPr>
                        </w:pPr>
                        <w:r>
                          <w:rPr>
                            <w:sz w:val="15"/>
                          </w:rPr>
                          <w:t>4.1.1.2</w:t>
                        </w:r>
                      </w:p>
                    </w:tc>
                    <w:tc>
                      <w:tcPr>
                        <w:tcW w:w="3201" w:type="dxa"/>
                      </w:tcPr>
                      <w:p>
                        <w:pPr>
                          <w:pStyle w:val="TableParagraph"/>
                          <w:spacing w:line="154" w:lineRule="exact" w:before="2"/>
                          <w:ind w:left="47"/>
                          <w:rPr>
                            <w:sz w:val="15"/>
                          </w:rPr>
                        </w:pPr>
                        <w:r>
                          <w:rPr>
                            <w:sz w:val="15"/>
                          </w:rPr>
                          <w:t>Puestos permanentes y eventuales</w:t>
                        </w:r>
                      </w:p>
                    </w:tc>
                    <w:tc>
                      <w:tcPr>
                        <w:tcW w:w="1261" w:type="dxa"/>
                      </w:tcPr>
                      <w:p>
                        <w:pPr>
                          <w:pStyle w:val="TableParagraph"/>
                          <w:spacing w:line="154" w:lineRule="exact" w:before="2"/>
                          <w:ind w:right="34"/>
                          <w:jc w:val="right"/>
                          <w:rPr>
                            <w:sz w:val="15"/>
                          </w:rPr>
                        </w:pPr>
                        <w:r>
                          <w:rPr>
                            <w:sz w:val="15"/>
                          </w:rPr>
                          <w:t>4,387,380</w:t>
                        </w:r>
                      </w:p>
                    </w:tc>
                  </w:tr>
                  <w:tr>
                    <w:trPr>
                      <w:trHeight w:val="175" w:hRule="atLeast"/>
                    </w:trPr>
                    <w:tc>
                      <w:tcPr>
                        <w:tcW w:w="921" w:type="dxa"/>
                      </w:tcPr>
                      <w:p>
                        <w:pPr>
                          <w:pStyle w:val="TableParagraph"/>
                          <w:spacing w:line="154" w:lineRule="exact" w:before="2"/>
                          <w:ind w:right="209"/>
                          <w:jc w:val="right"/>
                          <w:rPr>
                            <w:sz w:val="15"/>
                          </w:rPr>
                        </w:pPr>
                        <w:r>
                          <w:rPr>
                            <w:sz w:val="15"/>
                          </w:rPr>
                          <w:t>4.1.1.3</w:t>
                        </w:r>
                      </w:p>
                    </w:tc>
                    <w:tc>
                      <w:tcPr>
                        <w:tcW w:w="3201" w:type="dxa"/>
                      </w:tcPr>
                      <w:p>
                        <w:pPr>
                          <w:pStyle w:val="TableParagraph"/>
                          <w:spacing w:line="154" w:lineRule="exact" w:before="2"/>
                          <w:ind w:left="47"/>
                          <w:rPr>
                            <w:sz w:val="15"/>
                          </w:rPr>
                        </w:pPr>
                        <w:r>
                          <w:rPr>
                            <w:sz w:val="15"/>
                          </w:rPr>
                          <w:t>Actividades comerciales e industriales</w:t>
                        </w:r>
                      </w:p>
                    </w:tc>
                    <w:tc>
                      <w:tcPr>
                        <w:tcW w:w="1261" w:type="dxa"/>
                      </w:tcPr>
                      <w:p>
                        <w:pPr>
                          <w:pStyle w:val="TableParagraph"/>
                          <w:spacing w:line="154" w:lineRule="exact" w:before="2"/>
                          <w:ind w:right="34"/>
                          <w:jc w:val="right"/>
                          <w:rPr>
                            <w:sz w:val="15"/>
                          </w:rPr>
                        </w:pPr>
                        <w:r>
                          <w:rPr>
                            <w:sz w:val="15"/>
                          </w:rPr>
                          <w:t>14,440,857</w:t>
                        </w:r>
                      </w:p>
                    </w:tc>
                  </w:tr>
                  <w:tr>
                    <w:trPr>
                      <w:trHeight w:val="176" w:hRule="atLeast"/>
                    </w:trPr>
                    <w:tc>
                      <w:tcPr>
                        <w:tcW w:w="921" w:type="dxa"/>
                      </w:tcPr>
                      <w:p>
                        <w:pPr>
                          <w:pStyle w:val="TableParagraph"/>
                          <w:spacing w:line="154" w:lineRule="exact" w:before="2"/>
                          <w:ind w:right="209"/>
                          <w:jc w:val="right"/>
                          <w:rPr>
                            <w:sz w:val="15"/>
                          </w:rPr>
                        </w:pPr>
                        <w:r>
                          <w:rPr>
                            <w:sz w:val="15"/>
                          </w:rPr>
                          <w:t>4.1.1.4</w:t>
                        </w:r>
                      </w:p>
                    </w:tc>
                    <w:tc>
                      <w:tcPr>
                        <w:tcW w:w="3201" w:type="dxa"/>
                      </w:tcPr>
                      <w:p>
                        <w:pPr>
                          <w:pStyle w:val="TableParagraph"/>
                          <w:spacing w:line="154" w:lineRule="exact" w:before="2"/>
                          <w:ind w:left="47"/>
                          <w:rPr>
                            <w:sz w:val="15"/>
                          </w:rPr>
                        </w:pPr>
                        <w:r>
                          <w:rPr>
                            <w:sz w:val="15"/>
                          </w:rPr>
                          <w:t>Espectáculos y diversiones públicas</w:t>
                        </w:r>
                      </w:p>
                    </w:tc>
                    <w:tc>
                      <w:tcPr>
                        <w:tcW w:w="1261" w:type="dxa"/>
                      </w:tcPr>
                      <w:p>
                        <w:pPr>
                          <w:pStyle w:val="TableParagraph"/>
                          <w:spacing w:line="154" w:lineRule="exact" w:before="2"/>
                          <w:ind w:right="35"/>
                          <w:jc w:val="right"/>
                          <w:rPr>
                            <w:sz w:val="15"/>
                          </w:rPr>
                        </w:pPr>
                        <w:r>
                          <w:rPr>
                            <w:sz w:val="15"/>
                          </w:rPr>
                          <w:t>140,804</w:t>
                        </w:r>
                      </w:p>
                    </w:tc>
                  </w:tr>
                  <w:tr>
                    <w:trPr>
                      <w:trHeight w:val="175" w:hRule="atLeast"/>
                    </w:trPr>
                    <w:tc>
                      <w:tcPr>
                        <w:tcW w:w="921" w:type="dxa"/>
                      </w:tcPr>
                      <w:p>
                        <w:pPr>
                          <w:pStyle w:val="TableParagraph"/>
                          <w:spacing w:line="154" w:lineRule="exact" w:before="2"/>
                          <w:ind w:right="209"/>
                          <w:jc w:val="right"/>
                          <w:rPr>
                            <w:sz w:val="15"/>
                          </w:rPr>
                        </w:pPr>
                        <w:r>
                          <w:rPr>
                            <w:sz w:val="15"/>
                          </w:rPr>
                          <w:t>4.1.1.5</w:t>
                        </w:r>
                      </w:p>
                    </w:tc>
                    <w:tc>
                      <w:tcPr>
                        <w:tcW w:w="3201" w:type="dxa"/>
                      </w:tcPr>
                      <w:p>
                        <w:pPr>
                          <w:pStyle w:val="TableParagraph"/>
                          <w:spacing w:line="154" w:lineRule="exact" w:before="2"/>
                          <w:ind w:left="47"/>
                          <w:rPr>
                            <w:sz w:val="15"/>
                          </w:rPr>
                        </w:pPr>
                        <w:r>
                          <w:rPr>
                            <w:sz w:val="15"/>
                          </w:rPr>
                          <w:t>Otros fines o actividades no previstas</w:t>
                        </w:r>
                      </w:p>
                    </w:tc>
                    <w:tc>
                      <w:tcPr>
                        <w:tcW w:w="1261" w:type="dxa"/>
                      </w:tcPr>
                      <w:p>
                        <w:pPr>
                          <w:pStyle w:val="TableParagraph"/>
                          <w:spacing w:line="154" w:lineRule="exact" w:before="2"/>
                          <w:ind w:right="35"/>
                          <w:jc w:val="right"/>
                          <w:rPr>
                            <w:sz w:val="15"/>
                          </w:rPr>
                        </w:pPr>
                        <w:r>
                          <w:rPr>
                            <w:sz w:val="15"/>
                          </w:rPr>
                          <w:t>59,784</w:t>
                        </w:r>
                      </w:p>
                    </w:tc>
                  </w:tr>
                  <w:tr>
                    <w:trPr>
                      <w:trHeight w:val="176" w:hRule="atLeast"/>
                    </w:trPr>
                    <w:tc>
                      <w:tcPr>
                        <w:tcW w:w="921" w:type="dxa"/>
                      </w:tcPr>
                      <w:p>
                        <w:pPr>
                          <w:pStyle w:val="TableParagraph"/>
                          <w:spacing w:line="154" w:lineRule="exact" w:before="2"/>
                          <w:ind w:right="274"/>
                          <w:jc w:val="right"/>
                          <w:rPr>
                            <w:sz w:val="15"/>
                          </w:rPr>
                        </w:pPr>
                        <w:r>
                          <w:rPr>
                            <w:sz w:val="15"/>
                          </w:rPr>
                          <w:t>4.1.2</w:t>
                        </w:r>
                      </w:p>
                    </w:tc>
                    <w:tc>
                      <w:tcPr>
                        <w:tcW w:w="3201" w:type="dxa"/>
                      </w:tcPr>
                      <w:p>
                        <w:pPr>
                          <w:pStyle w:val="TableParagraph"/>
                          <w:spacing w:line="153" w:lineRule="exact" w:before="3"/>
                          <w:ind w:left="47"/>
                          <w:rPr>
                            <w:b/>
                            <w:sz w:val="15"/>
                          </w:rPr>
                        </w:pPr>
                        <w:r>
                          <w:rPr>
                            <w:b/>
                            <w:sz w:val="15"/>
                          </w:rPr>
                          <w:t>Estacionamientos</w:t>
                        </w:r>
                      </w:p>
                    </w:tc>
                    <w:tc>
                      <w:tcPr>
                        <w:tcW w:w="1261" w:type="dxa"/>
                      </w:tcPr>
                      <w:p>
                        <w:pPr>
                          <w:pStyle w:val="TableParagraph"/>
                          <w:spacing w:line="153" w:lineRule="exact" w:before="3"/>
                          <w:ind w:right="34"/>
                          <w:jc w:val="right"/>
                          <w:rPr>
                            <w:b/>
                            <w:sz w:val="15"/>
                          </w:rPr>
                        </w:pPr>
                        <w:r>
                          <w:rPr>
                            <w:b/>
                            <w:sz w:val="15"/>
                          </w:rPr>
                          <w:t>1,282,946</w:t>
                        </w:r>
                      </w:p>
                    </w:tc>
                  </w:tr>
                  <w:tr>
                    <w:trPr>
                      <w:trHeight w:val="175" w:hRule="atLeast"/>
                    </w:trPr>
                    <w:tc>
                      <w:tcPr>
                        <w:tcW w:w="921" w:type="dxa"/>
                      </w:tcPr>
                      <w:p>
                        <w:pPr>
                          <w:pStyle w:val="TableParagraph"/>
                          <w:spacing w:line="154" w:lineRule="exact" w:before="1"/>
                          <w:ind w:right="209"/>
                          <w:jc w:val="right"/>
                          <w:rPr>
                            <w:sz w:val="15"/>
                          </w:rPr>
                        </w:pPr>
                        <w:r>
                          <w:rPr>
                            <w:sz w:val="15"/>
                          </w:rPr>
                          <w:t>4.1.2.1</w:t>
                        </w:r>
                      </w:p>
                    </w:tc>
                    <w:tc>
                      <w:tcPr>
                        <w:tcW w:w="3201" w:type="dxa"/>
                      </w:tcPr>
                      <w:p>
                        <w:pPr>
                          <w:pStyle w:val="TableParagraph"/>
                          <w:spacing w:line="154" w:lineRule="exact" w:before="1"/>
                          <w:ind w:left="47"/>
                          <w:rPr>
                            <w:sz w:val="15"/>
                          </w:rPr>
                        </w:pPr>
                        <w:r>
                          <w:rPr>
                            <w:sz w:val="15"/>
                          </w:rPr>
                          <w:t>Concesión de estacionamientos</w:t>
                        </w:r>
                      </w:p>
                    </w:tc>
                    <w:tc>
                      <w:tcPr>
                        <w:tcW w:w="1261" w:type="dxa"/>
                      </w:tcPr>
                      <w:p>
                        <w:pPr>
                          <w:pStyle w:val="TableParagraph"/>
                          <w:spacing w:line="154" w:lineRule="exact" w:before="1"/>
                          <w:ind w:right="35"/>
                          <w:jc w:val="right"/>
                          <w:rPr>
                            <w:sz w:val="15"/>
                          </w:rPr>
                        </w:pPr>
                        <w:r>
                          <w:rPr>
                            <w:sz w:val="15"/>
                          </w:rPr>
                          <w:t>1,282,946</w:t>
                        </w:r>
                      </w:p>
                    </w:tc>
                  </w:tr>
                  <w:tr>
                    <w:trPr>
                      <w:trHeight w:val="176" w:hRule="atLeast"/>
                    </w:trPr>
                    <w:tc>
                      <w:tcPr>
                        <w:tcW w:w="921" w:type="dxa"/>
                      </w:tcPr>
                      <w:p>
                        <w:pPr>
                          <w:pStyle w:val="TableParagraph"/>
                          <w:spacing w:line="154" w:lineRule="exact" w:before="2"/>
                          <w:ind w:right="274"/>
                          <w:jc w:val="right"/>
                          <w:rPr>
                            <w:sz w:val="15"/>
                          </w:rPr>
                        </w:pPr>
                        <w:r>
                          <w:rPr>
                            <w:sz w:val="15"/>
                          </w:rPr>
                          <w:t>4.1.3</w:t>
                        </w:r>
                      </w:p>
                    </w:tc>
                    <w:tc>
                      <w:tcPr>
                        <w:tcW w:w="3201" w:type="dxa"/>
                      </w:tcPr>
                      <w:p>
                        <w:pPr>
                          <w:pStyle w:val="TableParagraph"/>
                          <w:spacing w:line="153" w:lineRule="exact" w:before="3"/>
                          <w:ind w:left="47"/>
                          <w:rPr>
                            <w:b/>
                            <w:sz w:val="15"/>
                          </w:rPr>
                        </w:pPr>
                        <w:r>
                          <w:rPr>
                            <w:b/>
                            <w:sz w:val="15"/>
                          </w:rPr>
                          <w:t>De los Cementerios de dominio público</w:t>
                        </w:r>
                      </w:p>
                    </w:tc>
                    <w:tc>
                      <w:tcPr>
                        <w:tcW w:w="1261" w:type="dxa"/>
                      </w:tcPr>
                      <w:p>
                        <w:pPr>
                          <w:pStyle w:val="TableParagraph"/>
                          <w:spacing w:line="153" w:lineRule="exact" w:before="3"/>
                          <w:ind w:right="33"/>
                          <w:jc w:val="right"/>
                          <w:rPr>
                            <w:b/>
                            <w:sz w:val="15"/>
                          </w:rPr>
                        </w:pPr>
                        <w:r>
                          <w:rPr>
                            <w:b/>
                            <w:sz w:val="15"/>
                          </w:rPr>
                          <w:t>2,234,226</w:t>
                        </w:r>
                      </w:p>
                    </w:tc>
                  </w:tr>
                  <w:tr>
                    <w:trPr>
                      <w:trHeight w:val="175" w:hRule="atLeast"/>
                    </w:trPr>
                    <w:tc>
                      <w:tcPr>
                        <w:tcW w:w="921" w:type="dxa"/>
                      </w:tcPr>
                      <w:p>
                        <w:pPr>
                          <w:pStyle w:val="TableParagraph"/>
                          <w:spacing w:line="154" w:lineRule="exact" w:before="1"/>
                          <w:ind w:right="209"/>
                          <w:jc w:val="right"/>
                          <w:rPr>
                            <w:sz w:val="15"/>
                          </w:rPr>
                        </w:pPr>
                        <w:r>
                          <w:rPr>
                            <w:sz w:val="15"/>
                          </w:rPr>
                          <w:t>4.1.3.1</w:t>
                        </w:r>
                      </w:p>
                    </w:tc>
                    <w:tc>
                      <w:tcPr>
                        <w:tcW w:w="3201" w:type="dxa"/>
                      </w:tcPr>
                      <w:p>
                        <w:pPr>
                          <w:pStyle w:val="TableParagraph"/>
                          <w:spacing w:line="154" w:lineRule="exact" w:before="1"/>
                          <w:ind w:left="47"/>
                          <w:rPr>
                            <w:sz w:val="15"/>
                          </w:rPr>
                        </w:pPr>
                        <w:r>
                          <w:rPr>
                            <w:sz w:val="15"/>
                          </w:rPr>
                          <w:t>Lotes uso perpetuidad y temporal</w:t>
                        </w:r>
                      </w:p>
                    </w:tc>
                    <w:tc>
                      <w:tcPr>
                        <w:tcW w:w="1261" w:type="dxa"/>
                      </w:tcPr>
                      <w:p>
                        <w:pPr>
                          <w:pStyle w:val="TableParagraph"/>
                          <w:spacing w:line="154" w:lineRule="exact" w:before="1"/>
                          <w:ind w:right="34"/>
                          <w:jc w:val="right"/>
                          <w:rPr>
                            <w:sz w:val="15"/>
                          </w:rPr>
                        </w:pPr>
                        <w:r>
                          <w:rPr>
                            <w:sz w:val="15"/>
                          </w:rPr>
                          <w:t>366,352</w:t>
                        </w:r>
                      </w:p>
                    </w:tc>
                  </w:tr>
                  <w:tr>
                    <w:trPr>
                      <w:trHeight w:val="176" w:hRule="atLeast"/>
                    </w:trPr>
                    <w:tc>
                      <w:tcPr>
                        <w:tcW w:w="921" w:type="dxa"/>
                      </w:tcPr>
                      <w:p>
                        <w:pPr>
                          <w:pStyle w:val="TableParagraph"/>
                          <w:spacing w:line="154" w:lineRule="exact" w:before="2"/>
                          <w:ind w:right="209"/>
                          <w:jc w:val="right"/>
                          <w:rPr>
                            <w:sz w:val="15"/>
                          </w:rPr>
                        </w:pPr>
                        <w:r>
                          <w:rPr>
                            <w:sz w:val="15"/>
                          </w:rPr>
                          <w:t>4.1.3.2</w:t>
                        </w:r>
                      </w:p>
                    </w:tc>
                    <w:tc>
                      <w:tcPr>
                        <w:tcW w:w="3201" w:type="dxa"/>
                      </w:tcPr>
                      <w:p>
                        <w:pPr>
                          <w:pStyle w:val="TableParagraph"/>
                          <w:spacing w:line="154" w:lineRule="exact" w:before="2"/>
                          <w:ind w:left="47"/>
                          <w:rPr>
                            <w:sz w:val="15"/>
                          </w:rPr>
                        </w:pPr>
                        <w:r>
                          <w:rPr>
                            <w:sz w:val="15"/>
                          </w:rPr>
                          <w:t>Mantenimiento</w:t>
                        </w:r>
                      </w:p>
                    </w:tc>
                    <w:tc>
                      <w:tcPr>
                        <w:tcW w:w="1261" w:type="dxa"/>
                      </w:tcPr>
                      <w:p>
                        <w:pPr>
                          <w:pStyle w:val="TableParagraph"/>
                          <w:spacing w:line="154" w:lineRule="exact" w:before="2"/>
                          <w:ind w:right="34"/>
                          <w:jc w:val="right"/>
                          <w:rPr>
                            <w:sz w:val="15"/>
                          </w:rPr>
                        </w:pPr>
                        <w:r>
                          <w:rPr>
                            <w:sz w:val="15"/>
                          </w:rPr>
                          <w:t>1,853,261</w:t>
                        </w:r>
                      </w:p>
                    </w:tc>
                  </w:tr>
                  <w:tr>
                    <w:trPr>
                      <w:trHeight w:val="175" w:hRule="atLeast"/>
                    </w:trPr>
                    <w:tc>
                      <w:tcPr>
                        <w:tcW w:w="921" w:type="dxa"/>
                      </w:tcPr>
                      <w:p>
                        <w:pPr>
                          <w:pStyle w:val="TableParagraph"/>
                          <w:spacing w:line="154" w:lineRule="exact" w:before="1"/>
                          <w:ind w:right="209"/>
                          <w:jc w:val="right"/>
                          <w:rPr>
                            <w:sz w:val="15"/>
                          </w:rPr>
                        </w:pPr>
                        <w:r>
                          <w:rPr>
                            <w:sz w:val="15"/>
                          </w:rPr>
                          <w:t>4.1.3.3</w:t>
                        </w:r>
                      </w:p>
                    </w:tc>
                    <w:tc>
                      <w:tcPr>
                        <w:tcW w:w="3201" w:type="dxa"/>
                      </w:tcPr>
                      <w:p>
                        <w:pPr>
                          <w:pStyle w:val="TableParagraph"/>
                          <w:spacing w:line="154" w:lineRule="exact" w:before="1"/>
                          <w:ind w:left="47"/>
                          <w:rPr>
                            <w:sz w:val="15"/>
                          </w:rPr>
                        </w:pPr>
                        <w:r>
                          <w:rPr>
                            <w:sz w:val="15"/>
                          </w:rPr>
                          <w:t>Venta de gavetas a perpetuidad</w:t>
                        </w:r>
                      </w:p>
                    </w:tc>
                    <w:tc>
                      <w:tcPr>
                        <w:tcW w:w="1261" w:type="dxa"/>
                      </w:tcPr>
                      <w:p>
                        <w:pPr>
                          <w:pStyle w:val="TableParagraph"/>
                          <w:spacing w:line="154" w:lineRule="exact" w:before="1"/>
                          <w:ind w:right="34"/>
                          <w:jc w:val="right"/>
                          <w:rPr>
                            <w:sz w:val="15"/>
                          </w:rPr>
                        </w:pPr>
                        <w:r>
                          <w:rPr>
                            <w:w w:val="102"/>
                            <w:sz w:val="15"/>
                          </w:rPr>
                          <w:t>0</w:t>
                        </w:r>
                      </w:p>
                    </w:tc>
                  </w:tr>
                  <w:tr>
                    <w:trPr>
                      <w:trHeight w:val="176" w:hRule="atLeast"/>
                    </w:trPr>
                    <w:tc>
                      <w:tcPr>
                        <w:tcW w:w="921" w:type="dxa"/>
                      </w:tcPr>
                      <w:p>
                        <w:pPr>
                          <w:pStyle w:val="TableParagraph"/>
                          <w:spacing w:line="154" w:lineRule="exact" w:before="2"/>
                          <w:ind w:right="209"/>
                          <w:jc w:val="right"/>
                          <w:rPr>
                            <w:sz w:val="15"/>
                          </w:rPr>
                        </w:pPr>
                        <w:r>
                          <w:rPr>
                            <w:sz w:val="15"/>
                          </w:rPr>
                          <w:t>4.1.3.4</w:t>
                        </w:r>
                      </w:p>
                    </w:tc>
                    <w:tc>
                      <w:tcPr>
                        <w:tcW w:w="3201" w:type="dxa"/>
                      </w:tcPr>
                      <w:p>
                        <w:pPr>
                          <w:pStyle w:val="TableParagraph"/>
                          <w:spacing w:line="154" w:lineRule="exact" w:before="2"/>
                          <w:ind w:left="47"/>
                          <w:rPr>
                            <w:sz w:val="15"/>
                          </w:rPr>
                        </w:pPr>
                        <w:r>
                          <w:rPr>
                            <w:sz w:val="15"/>
                          </w:rPr>
                          <w:t>Otros</w:t>
                        </w:r>
                      </w:p>
                    </w:tc>
                    <w:tc>
                      <w:tcPr>
                        <w:tcW w:w="1261" w:type="dxa"/>
                      </w:tcPr>
                      <w:p>
                        <w:pPr>
                          <w:pStyle w:val="TableParagraph"/>
                          <w:spacing w:line="154" w:lineRule="exact" w:before="2"/>
                          <w:ind w:right="34"/>
                          <w:jc w:val="right"/>
                          <w:rPr>
                            <w:sz w:val="15"/>
                          </w:rPr>
                        </w:pPr>
                        <w:r>
                          <w:rPr>
                            <w:sz w:val="15"/>
                          </w:rPr>
                          <w:t>14,613</w:t>
                        </w:r>
                      </w:p>
                    </w:tc>
                  </w:tr>
                  <w:tr>
                    <w:trPr>
                      <w:trHeight w:val="530" w:hRule="atLeast"/>
                    </w:trPr>
                    <w:tc>
                      <w:tcPr>
                        <w:tcW w:w="921" w:type="dxa"/>
                      </w:tcPr>
                      <w:p>
                        <w:pPr>
                          <w:pStyle w:val="TableParagraph"/>
                          <w:spacing w:before="6"/>
                          <w:rPr>
                            <w:rFonts w:ascii="Times New Roman"/>
                            <w:sz w:val="15"/>
                          </w:rPr>
                        </w:pPr>
                      </w:p>
                      <w:p>
                        <w:pPr>
                          <w:pStyle w:val="TableParagraph"/>
                          <w:ind w:right="274"/>
                          <w:jc w:val="right"/>
                          <w:rPr>
                            <w:sz w:val="15"/>
                          </w:rPr>
                        </w:pPr>
                        <w:r>
                          <w:rPr>
                            <w:sz w:val="15"/>
                          </w:rPr>
                          <w:t>4.1.4</w:t>
                        </w:r>
                      </w:p>
                    </w:tc>
                    <w:tc>
                      <w:tcPr>
                        <w:tcW w:w="3201" w:type="dxa"/>
                      </w:tcPr>
                      <w:p>
                        <w:pPr>
                          <w:pStyle w:val="TableParagraph"/>
                          <w:spacing w:line="178" w:lineRule="exact"/>
                          <w:ind w:left="47" w:right="165"/>
                          <w:rPr>
                            <w:b/>
                            <w:sz w:val="15"/>
                          </w:rPr>
                        </w:pPr>
                        <w:r>
                          <w:rPr>
                            <w:b/>
                            <w:sz w:val="15"/>
                          </w:rPr>
                          <w:t>Uso, goce, aprovechamiento o explotación de otros bienes de dominio público</w:t>
                        </w:r>
                      </w:p>
                    </w:tc>
                    <w:tc>
                      <w:tcPr>
                        <w:tcW w:w="1261" w:type="dxa"/>
                      </w:tcPr>
                      <w:p>
                        <w:pPr>
                          <w:pStyle w:val="TableParagraph"/>
                          <w:spacing w:before="7"/>
                          <w:rPr>
                            <w:rFonts w:ascii="Times New Roman"/>
                            <w:sz w:val="15"/>
                          </w:rPr>
                        </w:pPr>
                      </w:p>
                      <w:p>
                        <w:pPr>
                          <w:pStyle w:val="TableParagraph"/>
                          <w:ind w:right="34"/>
                          <w:jc w:val="right"/>
                          <w:rPr>
                            <w:b/>
                            <w:sz w:val="15"/>
                          </w:rPr>
                        </w:pPr>
                        <w:r>
                          <w:rPr>
                            <w:b/>
                            <w:sz w:val="15"/>
                          </w:rPr>
                          <w:t>479,261</w:t>
                        </w:r>
                      </w:p>
                    </w:tc>
                  </w:tr>
                  <w:tr>
                    <w:trPr>
                      <w:trHeight w:val="348" w:hRule="atLeast"/>
                    </w:trPr>
                    <w:tc>
                      <w:tcPr>
                        <w:tcW w:w="921" w:type="dxa"/>
                      </w:tcPr>
                      <w:p>
                        <w:pPr>
                          <w:pStyle w:val="TableParagraph"/>
                          <w:spacing w:before="86"/>
                          <w:ind w:right="209"/>
                          <w:jc w:val="right"/>
                          <w:rPr>
                            <w:sz w:val="15"/>
                          </w:rPr>
                        </w:pPr>
                        <w:r>
                          <w:rPr>
                            <w:sz w:val="15"/>
                          </w:rPr>
                          <w:t>4.1.4.1</w:t>
                        </w:r>
                      </w:p>
                    </w:tc>
                    <w:tc>
                      <w:tcPr>
                        <w:tcW w:w="3201" w:type="dxa"/>
                      </w:tcPr>
                      <w:p>
                        <w:pPr>
                          <w:pStyle w:val="TableParagraph"/>
                          <w:spacing w:line="170" w:lineRule="exact"/>
                          <w:ind w:left="47"/>
                          <w:rPr>
                            <w:sz w:val="15"/>
                          </w:rPr>
                        </w:pPr>
                        <w:r>
                          <w:rPr>
                            <w:sz w:val="15"/>
                          </w:rPr>
                          <w:t>Arrendamiento o concesión de locales en</w:t>
                        </w:r>
                      </w:p>
                      <w:p>
                        <w:pPr>
                          <w:pStyle w:val="TableParagraph"/>
                          <w:spacing w:line="154" w:lineRule="exact" w:before="4"/>
                          <w:ind w:left="47"/>
                          <w:rPr>
                            <w:sz w:val="15"/>
                          </w:rPr>
                        </w:pPr>
                        <w:r>
                          <w:rPr>
                            <w:sz w:val="15"/>
                          </w:rPr>
                          <w:t>mercados</w:t>
                        </w:r>
                      </w:p>
                    </w:tc>
                    <w:tc>
                      <w:tcPr>
                        <w:tcW w:w="1261" w:type="dxa"/>
                      </w:tcPr>
                      <w:p>
                        <w:pPr>
                          <w:pStyle w:val="TableParagraph"/>
                          <w:spacing w:before="86"/>
                          <w:ind w:right="34"/>
                          <w:jc w:val="right"/>
                          <w:rPr>
                            <w:sz w:val="15"/>
                          </w:rPr>
                        </w:pPr>
                        <w:r>
                          <w:rPr>
                            <w:sz w:val="15"/>
                          </w:rPr>
                          <w:t>479,261</w:t>
                        </w:r>
                      </w:p>
                    </w:tc>
                  </w:tr>
                  <w:tr>
                    <w:trPr>
                      <w:trHeight w:val="352" w:hRule="atLeast"/>
                    </w:trPr>
                    <w:tc>
                      <w:tcPr>
                        <w:tcW w:w="921" w:type="dxa"/>
                      </w:tcPr>
                      <w:p>
                        <w:pPr>
                          <w:pStyle w:val="TableParagraph"/>
                          <w:spacing w:before="90"/>
                          <w:ind w:right="209"/>
                          <w:jc w:val="right"/>
                          <w:rPr>
                            <w:sz w:val="15"/>
                          </w:rPr>
                        </w:pPr>
                        <w:r>
                          <w:rPr>
                            <w:sz w:val="15"/>
                          </w:rPr>
                          <w:t>4.1.4.2</w:t>
                        </w:r>
                      </w:p>
                    </w:tc>
                    <w:tc>
                      <w:tcPr>
                        <w:tcW w:w="3201" w:type="dxa"/>
                      </w:tcPr>
                      <w:p>
                        <w:pPr>
                          <w:pStyle w:val="TableParagraph"/>
                          <w:spacing w:line="178" w:lineRule="exact"/>
                          <w:ind w:left="47"/>
                          <w:rPr>
                            <w:sz w:val="15"/>
                          </w:rPr>
                        </w:pPr>
                        <w:r>
                          <w:rPr>
                            <w:sz w:val="15"/>
                          </w:rPr>
                          <w:t>Arrendamiento o concesión de kioscos en plazas y jardines</w:t>
                        </w:r>
                      </w:p>
                    </w:tc>
                    <w:tc>
                      <w:tcPr>
                        <w:tcW w:w="1261" w:type="dxa"/>
                      </w:tcPr>
                      <w:p>
                        <w:pPr>
                          <w:pStyle w:val="TableParagraph"/>
                          <w:spacing w:before="90"/>
                          <w:ind w:right="34"/>
                          <w:jc w:val="right"/>
                          <w:rPr>
                            <w:sz w:val="15"/>
                          </w:rPr>
                        </w:pPr>
                        <w:r>
                          <w:rPr>
                            <w:w w:val="102"/>
                            <w:sz w:val="15"/>
                          </w:rPr>
                          <w:t>0</w:t>
                        </w:r>
                      </w:p>
                    </w:tc>
                  </w:tr>
                  <w:tr>
                    <w:trPr>
                      <w:trHeight w:val="350" w:hRule="atLeast"/>
                    </w:trPr>
                    <w:tc>
                      <w:tcPr>
                        <w:tcW w:w="921" w:type="dxa"/>
                      </w:tcPr>
                      <w:p>
                        <w:pPr>
                          <w:pStyle w:val="TableParagraph"/>
                          <w:spacing w:before="88"/>
                          <w:ind w:right="209"/>
                          <w:jc w:val="right"/>
                          <w:rPr>
                            <w:sz w:val="15"/>
                          </w:rPr>
                        </w:pPr>
                        <w:r>
                          <w:rPr>
                            <w:sz w:val="15"/>
                          </w:rPr>
                          <w:t>4.1.4.3</w:t>
                        </w:r>
                      </w:p>
                    </w:tc>
                    <w:tc>
                      <w:tcPr>
                        <w:tcW w:w="3201" w:type="dxa"/>
                      </w:tcPr>
                      <w:p>
                        <w:pPr>
                          <w:pStyle w:val="TableParagraph"/>
                          <w:spacing w:line="172" w:lineRule="exact"/>
                          <w:ind w:left="47"/>
                          <w:rPr>
                            <w:sz w:val="15"/>
                          </w:rPr>
                        </w:pPr>
                        <w:r>
                          <w:rPr>
                            <w:sz w:val="15"/>
                          </w:rPr>
                          <w:t>Arrendamiento o concesión de escusados y</w:t>
                        </w:r>
                      </w:p>
                      <w:p>
                        <w:pPr>
                          <w:pStyle w:val="TableParagraph"/>
                          <w:spacing w:line="154" w:lineRule="exact" w:before="4"/>
                          <w:ind w:left="47"/>
                          <w:rPr>
                            <w:sz w:val="15"/>
                          </w:rPr>
                        </w:pPr>
                        <w:r>
                          <w:rPr>
                            <w:sz w:val="15"/>
                          </w:rPr>
                          <w:t>baños</w:t>
                        </w:r>
                      </w:p>
                    </w:tc>
                    <w:tc>
                      <w:tcPr>
                        <w:tcW w:w="1261" w:type="dxa"/>
                      </w:tcPr>
                      <w:p>
                        <w:pPr>
                          <w:pStyle w:val="TableParagraph"/>
                          <w:spacing w:before="88"/>
                          <w:ind w:right="34"/>
                          <w:jc w:val="right"/>
                          <w:rPr>
                            <w:sz w:val="15"/>
                          </w:rPr>
                        </w:pPr>
                        <w:r>
                          <w:rPr>
                            <w:w w:val="102"/>
                            <w:sz w:val="15"/>
                          </w:rPr>
                          <w:t>0</w:t>
                        </w:r>
                      </w:p>
                    </w:tc>
                  </w:tr>
                  <w:tr>
                    <w:trPr>
                      <w:trHeight w:val="175" w:hRule="atLeast"/>
                    </w:trPr>
                    <w:tc>
                      <w:tcPr>
                        <w:tcW w:w="921" w:type="dxa"/>
                      </w:tcPr>
                      <w:p>
                        <w:pPr>
                          <w:pStyle w:val="TableParagraph"/>
                          <w:spacing w:line="154" w:lineRule="exact" w:before="1"/>
                          <w:ind w:right="209"/>
                          <w:jc w:val="right"/>
                          <w:rPr>
                            <w:sz w:val="15"/>
                          </w:rPr>
                        </w:pPr>
                        <w:r>
                          <w:rPr>
                            <w:sz w:val="15"/>
                          </w:rPr>
                          <w:t>4.1.4.4</w:t>
                        </w:r>
                      </w:p>
                    </w:tc>
                    <w:tc>
                      <w:tcPr>
                        <w:tcW w:w="3201" w:type="dxa"/>
                      </w:tcPr>
                      <w:p>
                        <w:pPr>
                          <w:pStyle w:val="TableParagraph"/>
                          <w:spacing w:line="154" w:lineRule="exact" w:before="1"/>
                          <w:ind w:left="47"/>
                          <w:rPr>
                            <w:sz w:val="15"/>
                          </w:rPr>
                        </w:pPr>
                        <w:r>
                          <w:rPr>
                            <w:sz w:val="15"/>
                          </w:rPr>
                          <w:t>Arrendamiento de inmuebles para anuncios</w:t>
                        </w:r>
                      </w:p>
                    </w:tc>
                    <w:tc>
                      <w:tcPr>
                        <w:tcW w:w="1261" w:type="dxa"/>
                      </w:tcPr>
                      <w:p>
                        <w:pPr>
                          <w:pStyle w:val="TableParagraph"/>
                          <w:spacing w:line="154" w:lineRule="exact" w:before="1"/>
                          <w:ind w:right="36"/>
                          <w:jc w:val="right"/>
                          <w:rPr>
                            <w:sz w:val="15"/>
                          </w:rPr>
                        </w:pPr>
                        <w:r>
                          <w:rPr>
                            <w:w w:val="102"/>
                            <w:sz w:val="15"/>
                          </w:rPr>
                          <w:t>0</w:t>
                        </w:r>
                      </w:p>
                    </w:tc>
                  </w:tr>
                  <w:tr>
                    <w:trPr>
                      <w:trHeight w:val="353" w:hRule="atLeast"/>
                    </w:trPr>
                    <w:tc>
                      <w:tcPr>
                        <w:tcW w:w="921" w:type="dxa"/>
                      </w:tcPr>
                      <w:p>
                        <w:pPr>
                          <w:pStyle w:val="TableParagraph"/>
                          <w:spacing w:before="90"/>
                          <w:ind w:right="209"/>
                          <w:jc w:val="right"/>
                          <w:rPr>
                            <w:sz w:val="15"/>
                          </w:rPr>
                        </w:pPr>
                        <w:r>
                          <w:rPr>
                            <w:sz w:val="15"/>
                          </w:rPr>
                          <w:t>4.1.4.5</w:t>
                        </w:r>
                      </w:p>
                    </w:tc>
                    <w:tc>
                      <w:tcPr>
                        <w:tcW w:w="3201" w:type="dxa"/>
                      </w:tcPr>
                      <w:p>
                        <w:pPr>
                          <w:pStyle w:val="TableParagraph"/>
                          <w:spacing w:line="178" w:lineRule="exact"/>
                          <w:ind w:left="47" w:right="165"/>
                          <w:rPr>
                            <w:sz w:val="15"/>
                          </w:rPr>
                        </w:pPr>
                        <w:r>
                          <w:rPr>
                            <w:sz w:val="15"/>
                          </w:rPr>
                          <w:t>Otros arrendamientos o concesiones de bienes</w:t>
                        </w:r>
                      </w:p>
                    </w:tc>
                    <w:tc>
                      <w:tcPr>
                        <w:tcW w:w="1261" w:type="dxa"/>
                      </w:tcPr>
                      <w:p>
                        <w:pPr>
                          <w:pStyle w:val="TableParagraph"/>
                          <w:spacing w:before="90"/>
                          <w:ind w:right="34"/>
                          <w:jc w:val="right"/>
                          <w:rPr>
                            <w:sz w:val="15"/>
                          </w:rPr>
                        </w:pPr>
                        <w:r>
                          <w:rPr>
                            <w:w w:val="102"/>
                            <w:sz w:val="15"/>
                          </w:rPr>
                          <w:t>0</w:t>
                        </w:r>
                      </w:p>
                    </w:tc>
                  </w:tr>
                  <w:tr>
                    <w:trPr>
                      <w:trHeight w:val="350" w:hRule="atLeast"/>
                    </w:trPr>
                    <w:tc>
                      <w:tcPr>
                        <w:tcW w:w="921" w:type="dxa"/>
                      </w:tcPr>
                      <w:p>
                        <w:pPr>
                          <w:pStyle w:val="TableParagraph"/>
                          <w:spacing w:before="88"/>
                          <w:ind w:left="104" w:right="92"/>
                          <w:jc w:val="center"/>
                          <w:rPr>
                            <w:sz w:val="15"/>
                          </w:rPr>
                        </w:pPr>
                        <w:r>
                          <w:rPr>
                            <w:sz w:val="15"/>
                          </w:rPr>
                          <w:t>4.3</w:t>
                        </w:r>
                      </w:p>
                    </w:tc>
                    <w:tc>
                      <w:tcPr>
                        <w:tcW w:w="3201" w:type="dxa"/>
                      </w:tcPr>
                      <w:p>
                        <w:pPr>
                          <w:pStyle w:val="TableParagraph"/>
                          <w:ind w:left="47"/>
                          <w:rPr>
                            <w:b/>
                            <w:sz w:val="15"/>
                          </w:rPr>
                        </w:pPr>
                        <w:r>
                          <w:rPr>
                            <w:b/>
                            <w:sz w:val="15"/>
                          </w:rPr>
                          <w:t>DERECHOS POR PRESTACIÓN DE</w:t>
                        </w:r>
                      </w:p>
                      <w:p>
                        <w:pPr>
                          <w:pStyle w:val="TableParagraph"/>
                          <w:spacing w:line="154" w:lineRule="exact" w:before="4"/>
                          <w:ind w:left="47"/>
                          <w:rPr>
                            <w:b/>
                            <w:sz w:val="15"/>
                          </w:rPr>
                        </w:pPr>
                        <w:r>
                          <w:rPr>
                            <w:b/>
                            <w:sz w:val="15"/>
                          </w:rPr>
                          <w:t>SERVICIOS</w:t>
                        </w:r>
                      </w:p>
                    </w:tc>
                    <w:tc>
                      <w:tcPr>
                        <w:tcW w:w="1261" w:type="dxa"/>
                      </w:tcPr>
                      <w:p>
                        <w:pPr>
                          <w:pStyle w:val="TableParagraph"/>
                          <w:spacing w:before="89"/>
                          <w:ind w:right="34"/>
                          <w:jc w:val="right"/>
                          <w:rPr>
                            <w:b/>
                            <w:sz w:val="15"/>
                          </w:rPr>
                        </w:pPr>
                        <w:r>
                          <w:rPr>
                            <w:b/>
                            <w:sz w:val="15"/>
                          </w:rPr>
                          <w:t>509,847,377</w:t>
                        </w:r>
                      </w:p>
                    </w:tc>
                  </w:tr>
                  <w:tr>
                    <w:trPr>
                      <w:trHeight w:val="175" w:hRule="atLeast"/>
                    </w:trPr>
                    <w:tc>
                      <w:tcPr>
                        <w:tcW w:w="921" w:type="dxa"/>
                      </w:tcPr>
                      <w:p>
                        <w:pPr>
                          <w:pStyle w:val="TableParagraph"/>
                          <w:spacing w:line="154" w:lineRule="exact" w:before="1"/>
                          <w:ind w:right="274"/>
                          <w:jc w:val="right"/>
                          <w:rPr>
                            <w:sz w:val="15"/>
                          </w:rPr>
                        </w:pPr>
                        <w:r>
                          <w:rPr>
                            <w:sz w:val="15"/>
                          </w:rPr>
                          <w:t>4.3.1</w:t>
                        </w:r>
                      </w:p>
                    </w:tc>
                    <w:tc>
                      <w:tcPr>
                        <w:tcW w:w="3201" w:type="dxa"/>
                      </w:tcPr>
                      <w:p>
                        <w:pPr>
                          <w:pStyle w:val="TableParagraph"/>
                          <w:spacing w:line="153" w:lineRule="exact" w:before="2"/>
                          <w:ind w:left="47"/>
                          <w:rPr>
                            <w:b/>
                            <w:sz w:val="15"/>
                          </w:rPr>
                        </w:pPr>
                        <w:r>
                          <w:rPr>
                            <w:b/>
                            <w:sz w:val="15"/>
                          </w:rPr>
                          <w:t>Licencias y permisos de giros</w:t>
                        </w:r>
                      </w:p>
                    </w:tc>
                    <w:tc>
                      <w:tcPr>
                        <w:tcW w:w="1261" w:type="dxa"/>
                      </w:tcPr>
                      <w:p>
                        <w:pPr>
                          <w:pStyle w:val="TableParagraph"/>
                          <w:spacing w:line="153" w:lineRule="exact" w:before="2"/>
                          <w:ind w:right="34"/>
                          <w:jc w:val="right"/>
                          <w:rPr>
                            <w:b/>
                            <w:sz w:val="15"/>
                          </w:rPr>
                        </w:pPr>
                        <w:r>
                          <w:rPr>
                            <w:b/>
                            <w:sz w:val="15"/>
                          </w:rPr>
                          <w:t>25,380,625</w:t>
                        </w:r>
                      </w:p>
                    </w:tc>
                  </w:tr>
                  <w:tr>
                    <w:trPr>
                      <w:trHeight w:val="353" w:hRule="atLeast"/>
                    </w:trPr>
                    <w:tc>
                      <w:tcPr>
                        <w:tcW w:w="921" w:type="dxa"/>
                      </w:tcPr>
                      <w:p>
                        <w:pPr>
                          <w:pStyle w:val="TableParagraph"/>
                          <w:spacing w:before="90"/>
                          <w:ind w:right="209"/>
                          <w:jc w:val="right"/>
                          <w:rPr>
                            <w:sz w:val="15"/>
                          </w:rPr>
                        </w:pPr>
                        <w:r>
                          <w:rPr>
                            <w:sz w:val="15"/>
                          </w:rPr>
                          <w:t>4.3.1.1</w:t>
                        </w:r>
                      </w:p>
                    </w:tc>
                    <w:tc>
                      <w:tcPr>
                        <w:tcW w:w="3201" w:type="dxa"/>
                      </w:tcPr>
                      <w:p>
                        <w:pPr>
                          <w:pStyle w:val="TableParagraph"/>
                          <w:spacing w:line="178" w:lineRule="exact"/>
                          <w:ind w:left="47" w:right="165"/>
                          <w:rPr>
                            <w:sz w:val="15"/>
                          </w:rPr>
                        </w:pPr>
                        <w:r>
                          <w:rPr>
                            <w:sz w:val="15"/>
                          </w:rPr>
                          <w:t>Licencias, permisos o autorización de giros con venta de bebidas alcohólicas</w:t>
                        </w:r>
                      </w:p>
                    </w:tc>
                    <w:tc>
                      <w:tcPr>
                        <w:tcW w:w="1261" w:type="dxa"/>
                      </w:tcPr>
                      <w:p>
                        <w:pPr>
                          <w:pStyle w:val="TableParagraph"/>
                          <w:spacing w:before="90"/>
                          <w:ind w:right="34"/>
                          <w:jc w:val="right"/>
                          <w:rPr>
                            <w:sz w:val="15"/>
                          </w:rPr>
                        </w:pPr>
                        <w:r>
                          <w:rPr>
                            <w:sz w:val="15"/>
                          </w:rPr>
                          <w:t>11,486,500</w:t>
                        </w:r>
                      </w:p>
                    </w:tc>
                  </w:tr>
                  <w:tr>
                    <w:trPr>
                      <w:trHeight w:val="350" w:hRule="atLeast"/>
                    </w:trPr>
                    <w:tc>
                      <w:tcPr>
                        <w:tcW w:w="921" w:type="dxa"/>
                      </w:tcPr>
                      <w:p>
                        <w:pPr>
                          <w:pStyle w:val="TableParagraph"/>
                          <w:spacing w:before="88"/>
                          <w:ind w:right="209"/>
                          <w:jc w:val="right"/>
                          <w:rPr>
                            <w:sz w:val="15"/>
                          </w:rPr>
                        </w:pPr>
                        <w:r>
                          <w:rPr>
                            <w:sz w:val="15"/>
                          </w:rPr>
                          <w:t>4.3.1.2</w:t>
                        </w:r>
                      </w:p>
                    </w:tc>
                    <w:tc>
                      <w:tcPr>
                        <w:tcW w:w="3201" w:type="dxa"/>
                      </w:tcPr>
                      <w:p>
                        <w:pPr>
                          <w:pStyle w:val="TableParagraph"/>
                          <w:spacing w:line="172" w:lineRule="exact"/>
                          <w:ind w:left="47"/>
                          <w:rPr>
                            <w:sz w:val="15"/>
                          </w:rPr>
                        </w:pPr>
                        <w:r>
                          <w:rPr>
                            <w:sz w:val="15"/>
                          </w:rPr>
                          <w:t>Licencias, permisos o autorización de giros</w:t>
                        </w:r>
                      </w:p>
                      <w:p>
                        <w:pPr>
                          <w:pStyle w:val="TableParagraph"/>
                          <w:spacing w:line="154" w:lineRule="exact" w:before="4"/>
                          <w:ind w:left="47"/>
                          <w:rPr>
                            <w:sz w:val="15"/>
                          </w:rPr>
                        </w:pPr>
                        <w:r>
                          <w:rPr>
                            <w:sz w:val="15"/>
                          </w:rPr>
                          <w:t>con servicios de bebidas alcohólicas</w:t>
                        </w:r>
                      </w:p>
                    </w:tc>
                    <w:tc>
                      <w:tcPr>
                        <w:tcW w:w="1261" w:type="dxa"/>
                      </w:tcPr>
                      <w:p>
                        <w:pPr>
                          <w:pStyle w:val="TableParagraph"/>
                          <w:spacing w:before="88"/>
                          <w:ind w:right="34"/>
                          <w:jc w:val="right"/>
                          <w:rPr>
                            <w:sz w:val="15"/>
                          </w:rPr>
                        </w:pPr>
                        <w:r>
                          <w:rPr>
                            <w:sz w:val="15"/>
                          </w:rPr>
                          <w:t>7,696,747</w:t>
                        </w:r>
                      </w:p>
                    </w:tc>
                  </w:tr>
                  <w:tr>
                    <w:trPr>
                      <w:trHeight w:val="530" w:hRule="atLeast"/>
                    </w:trPr>
                    <w:tc>
                      <w:tcPr>
                        <w:tcW w:w="921" w:type="dxa"/>
                      </w:tcPr>
                      <w:p>
                        <w:pPr>
                          <w:pStyle w:val="TableParagraph"/>
                          <w:spacing w:before="6"/>
                          <w:rPr>
                            <w:rFonts w:ascii="Times New Roman"/>
                            <w:sz w:val="15"/>
                          </w:rPr>
                        </w:pPr>
                      </w:p>
                      <w:p>
                        <w:pPr>
                          <w:pStyle w:val="TableParagraph"/>
                          <w:ind w:right="209"/>
                          <w:jc w:val="right"/>
                          <w:rPr>
                            <w:sz w:val="15"/>
                          </w:rPr>
                        </w:pPr>
                        <w:r>
                          <w:rPr>
                            <w:sz w:val="15"/>
                          </w:rPr>
                          <w:t>4.3.1.3</w:t>
                        </w:r>
                      </w:p>
                    </w:tc>
                    <w:tc>
                      <w:tcPr>
                        <w:tcW w:w="3201" w:type="dxa"/>
                      </w:tcPr>
                      <w:p>
                        <w:pPr>
                          <w:pStyle w:val="TableParagraph"/>
                          <w:spacing w:line="244" w:lineRule="auto" w:before="2"/>
                          <w:ind w:left="47"/>
                          <w:rPr>
                            <w:sz w:val="15"/>
                          </w:rPr>
                        </w:pPr>
                        <w:r>
                          <w:rPr>
                            <w:sz w:val="15"/>
                          </w:rPr>
                          <w:t>Licencias, permisos o autorización de otros conceptos distintos a los anteriores giros con</w:t>
                        </w:r>
                      </w:p>
                      <w:p>
                        <w:pPr>
                          <w:pStyle w:val="TableParagraph"/>
                          <w:spacing w:line="154" w:lineRule="exact" w:before="2"/>
                          <w:ind w:left="47"/>
                          <w:rPr>
                            <w:sz w:val="15"/>
                          </w:rPr>
                        </w:pPr>
                        <w:r>
                          <w:rPr>
                            <w:sz w:val="15"/>
                          </w:rPr>
                          <w:t>bebidas alcohólicas</w:t>
                        </w:r>
                      </w:p>
                    </w:tc>
                    <w:tc>
                      <w:tcPr>
                        <w:tcW w:w="1261" w:type="dxa"/>
                      </w:tcPr>
                      <w:p>
                        <w:pPr>
                          <w:pStyle w:val="TableParagraph"/>
                          <w:spacing w:before="6"/>
                          <w:rPr>
                            <w:rFonts w:ascii="Times New Roman"/>
                            <w:sz w:val="15"/>
                          </w:rPr>
                        </w:pPr>
                      </w:p>
                      <w:p>
                        <w:pPr>
                          <w:pStyle w:val="TableParagraph"/>
                          <w:ind w:right="34"/>
                          <w:jc w:val="right"/>
                          <w:rPr>
                            <w:sz w:val="15"/>
                          </w:rPr>
                        </w:pPr>
                        <w:r>
                          <w:rPr>
                            <w:sz w:val="15"/>
                          </w:rPr>
                          <w:t>1,248,303</w:t>
                        </w:r>
                      </w:p>
                    </w:tc>
                  </w:tr>
                  <w:tr>
                    <w:trPr>
                      <w:trHeight w:val="352" w:hRule="atLeast"/>
                    </w:trPr>
                    <w:tc>
                      <w:tcPr>
                        <w:tcW w:w="921" w:type="dxa"/>
                      </w:tcPr>
                      <w:p>
                        <w:pPr>
                          <w:pStyle w:val="TableParagraph"/>
                          <w:spacing w:before="90"/>
                          <w:ind w:right="209"/>
                          <w:jc w:val="right"/>
                          <w:rPr>
                            <w:sz w:val="15"/>
                          </w:rPr>
                        </w:pPr>
                        <w:r>
                          <w:rPr>
                            <w:sz w:val="15"/>
                          </w:rPr>
                          <w:t>4.3.1.4</w:t>
                        </w:r>
                      </w:p>
                    </w:tc>
                    <w:tc>
                      <w:tcPr>
                        <w:tcW w:w="3201" w:type="dxa"/>
                      </w:tcPr>
                      <w:p>
                        <w:pPr>
                          <w:pStyle w:val="TableParagraph"/>
                          <w:spacing w:line="176" w:lineRule="exact" w:before="2"/>
                          <w:ind w:left="47"/>
                          <w:rPr>
                            <w:sz w:val="15"/>
                          </w:rPr>
                        </w:pPr>
                        <w:r>
                          <w:rPr>
                            <w:sz w:val="15"/>
                          </w:rPr>
                          <w:t>Permiso para el funcionamiento de horario extraordinario</w:t>
                        </w:r>
                      </w:p>
                    </w:tc>
                    <w:tc>
                      <w:tcPr>
                        <w:tcW w:w="1261" w:type="dxa"/>
                      </w:tcPr>
                      <w:p>
                        <w:pPr>
                          <w:pStyle w:val="TableParagraph"/>
                          <w:spacing w:before="90"/>
                          <w:ind w:right="34"/>
                          <w:jc w:val="right"/>
                          <w:rPr>
                            <w:sz w:val="15"/>
                          </w:rPr>
                        </w:pPr>
                        <w:r>
                          <w:rPr>
                            <w:sz w:val="15"/>
                          </w:rPr>
                          <w:t>4,949,075</w:t>
                        </w:r>
                      </w:p>
                    </w:tc>
                  </w:tr>
                  <w:tr>
                    <w:trPr>
                      <w:trHeight w:val="175" w:hRule="atLeast"/>
                    </w:trPr>
                    <w:tc>
                      <w:tcPr>
                        <w:tcW w:w="921" w:type="dxa"/>
                      </w:tcPr>
                      <w:p>
                        <w:pPr>
                          <w:pStyle w:val="TableParagraph"/>
                          <w:spacing w:line="154" w:lineRule="exact" w:before="1"/>
                          <w:ind w:right="274"/>
                          <w:jc w:val="right"/>
                          <w:rPr>
                            <w:sz w:val="15"/>
                          </w:rPr>
                        </w:pPr>
                        <w:r>
                          <w:rPr>
                            <w:sz w:val="15"/>
                          </w:rPr>
                          <w:t>4.3.2</w:t>
                        </w:r>
                      </w:p>
                    </w:tc>
                    <w:tc>
                      <w:tcPr>
                        <w:tcW w:w="3201" w:type="dxa"/>
                      </w:tcPr>
                      <w:p>
                        <w:pPr>
                          <w:pStyle w:val="TableParagraph"/>
                          <w:spacing w:line="153" w:lineRule="exact" w:before="2"/>
                          <w:ind w:left="47"/>
                          <w:rPr>
                            <w:b/>
                            <w:sz w:val="15"/>
                          </w:rPr>
                        </w:pPr>
                        <w:r>
                          <w:rPr>
                            <w:b/>
                            <w:sz w:val="15"/>
                          </w:rPr>
                          <w:t>Licencias y permisos para anuncios</w:t>
                        </w:r>
                      </w:p>
                    </w:tc>
                    <w:tc>
                      <w:tcPr>
                        <w:tcW w:w="1261" w:type="dxa"/>
                      </w:tcPr>
                      <w:p>
                        <w:pPr>
                          <w:pStyle w:val="TableParagraph"/>
                          <w:spacing w:line="153" w:lineRule="exact" w:before="2"/>
                          <w:ind w:right="34"/>
                          <w:jc w:val="right"/>
                          <w:rPr>
                            <w:b/>
                            <w:sz w:val="15"/>
                          </w:rPr>
                        </w:pPr>
                        <w:r>
                          <w:rPr>
                            <w:b/>
                            <w:sz w:val="15"/>
                          </w:rPr>
                          <w:t>15,048,098</w:t>
                        </w:r>
                      </w:p>
                    </w:tc>
                  </w:tr>
                  <w:tr>
                    <w:trPr>
                      <w:trHeight w:val="352" w:hRule="atLeast"/>
                    </w:trPr>
                    <w:tc>
                      <w:tcPr>
                        <w:tcW w:w="921" w:type="dxa"/>
                      </w:tcPr>
                      <w:p>
                        <w:pPr>
                          <w:pStyle w:val="TableParagraph"/>
                          <w:spacing w:before="90"/>
                          <w:ind w:right="209"/>
                          <w:jc w:val="right"/>
                          <w:rPr>
                            <w:sz w:val="15"/>
                          </w:rPr>
                        </w:pPr>
                        <w:r>
                          <w:rPr>
                            <w:sz w:val="15"/>
                          </w:rPr>
                          <w:t>4.3.2.1</w:t>
                        </w:r>
                      </w:p>
                    </w:tc>
                    <w:tc>
                      <w:tcPr>
                        <w:tcW w:w="3201" w:type="dxa"/>
                      </w:tcPr>
                      <w:p>
                        <w:pPr>
                          <w:pStyle w:val="TableParagraph"/>
                          <w:spacing w:line="178" w:lineRule="exact"/>
                          <w:ind w:left="47" w:right="165"/>
                          <w:rPr>
                            <w:sz w:val="15"/>
                          </w:rPr>
                        </w:pPr>
                        <w:r>
                          <w:rPr>
                            <w:sz w:val="15"/>
                          </w:rPr>
                          <w:t>Licencias y permisos de anuncios permanentes</w:t>
                        </w:r>
                      </w:p>
                    </w:tc>
                    <w:tc>
                      <w:tcPr>
                        <w:tcW w:w="1261" w:type="dxa"/>
                      </w:tcPr>
                      <w:p>
                        <w:pPr>
                          <w:pStyle w:val="TableParagraph"/>
                          <w:spacing w:before="90"/>
                          <w:ind w:right="34"/>
                          <w:jc w:val="right"/>
                          <w:rPr>
                            <w:sz w:val="15"/>
                          </w:rPr>
                        </w:pPr>
                        <w:r>
                          <w:rPr>
                            <w:sz w:val="15"/>
                          </w:rPr>
                          <w:t>14,437,564</w:t>
                        </w:r>
                      </w:p>
                    </w:tc>
                  </w:tr>
                  <w:tr>
                    <w:trPr>
                      <w:trHeight w:val="173" w:hRule="atLeast"/>
                    </w:trPr>
                    <w:tc>
                      <w:tcPr>
                        <w:tcW w:w="921" w:type="dxa"/>
                      </w:tcPr>
                      <w:p>
                        <w:pPr>
                          <w:pStyle w:val="TableParagraph"/>
                          <w:spacing w:line="153" w:lineRule="exact"/>
                          <w:ind w:right="209"/>
                          <w:jc w:val="right"/>
                          <w:rPr>
                            <w:sz w:val="15"/>
                          </w:rPr>
                        </w:pPr>
                        <w:r>
                          <w:rPr>
                            <w:sz w:val="15"/>
                          </w:rPr>
                          <w:t>4.3.2.2</w:t>
                        </w:r>
                      </w:p>
                    </w:tc>
                    <w:tc>
                      <w:tcPr>
                        <w:tcW w:w="3201" w:type="dxa"/>
                      </w:tcPr>
                      <w:p>
                        <w:pPr>
                          <w:pStyle w:val="TableParagraph"/>
                          <w:spacing w:line="153" w:lineRule="exact"/>
                          <w:ind w:left="47"/>
                          <w:rPr>
                            <w:sz w:val="15"/>
                          </w:rPr>
                        </w:pPr>
                        <w:r>
                          <w:rPr>
                            <w:sz w:val="15"/>
                          </w:rPr>
                          <w:t>Licencias y permisos de anuncios eventuales</w:t>
                        </w:r>
                      </w:p>
                    </w:tc>
                    <w:tc>
                      <w:tcPr>
                        <w:tcW w:w="1261" w:type="dxa"/>
                      </w:tcPr>
                      <w:p>
                        <w:pPr>
                          <w:pStyle w:val="TableParagraph"/>
                          <w:spacing w:line="153" w:lineRule="exact"/>
                          <w:ind w:right="37"/>
                          <w:jc w:val="right"/>
                          <w:rPr>
                            <w:sz w:val="15"/>
                          </w:rPr>
                        </w:pPr>
                        <w:r>
                          <w:rPr>
                            <w:sz w:val="15"/>
                          </w:rPr>
                          <w:t>610,534</w:t>
                        </w:r>
                      </w:p>
                    </w:tc>
                  </w:tr>
                  <w:tr>
                    <w:trPr>
                      <w:trHeight w:val="175" w:hRule="atLeast"/>
                    </w:trPr>
                    <w:tc>
                      <w:tcPr>
                        <w:tcW w:w="921" w:type="dxa"/>
                      </w:tcPr>
                      <w:p>
                        <w:pPr>
                          <w:pStyle w:val="TableParagraph"/>
                          <w:spacing w:line="154" w:lineRule="exact" w:before="1"/>
                          <w:ind w:right="209"/>
                          <w:jc w:val="right"/>
                          <w:rPr>
                            <w:sz w:val="15"/>
                          </w:rPr>
                        </w:pPr>
                        <w:r>
                          <w:rPr>
                            <w:sz w:val="15"/>
                          </w:rPr>
                          <w:t>4.3.2.3</w:t>
                        </w:r>
                      </w:p>
                    </w:tc>
                    <w:tc>
                      <w:tcPr>
                        <w:tcW w:w="3201" w:type="dxa"/>
                      </w:tcPr>
                      <w:p>
                        <w:pPr>
                          <w:pStyle w:val="TableParagraph"/>
                          <w:spacing w:line="154" w:lineRule="exact" w:before="1"/>
                          <w:ind w:left="47"/>
                          <w:rPr>
                            <w:sz w:val="15"/>
                          </w:rPr>
                        </w:pPr>
                        <w:r>
                          <w:rPr>
                            <w:sz w:val="15"/>
                          </w:rPr>
                          <w:t>Licencias y permisos de anuncios distintos a</w:t>
                        </w:r>
                      </w:p>
                    </w:tc>
                    <w:tc>
                      <w:tcPr>
                        <w:tcW w:w="1261" w:type="dxa"/>
                      </w:tcPr>
                      <w:p>
                        <w:pPr>
                          <w:pStyle w:val="TableParagraph"/>
                          <w:spacing w:line="154" w:lineRule="exact" w:before="1"/>
                          <w:ind w:right="35"/>
                          <w:jc w:val="right"/>
                          <w:rPr>
                            <w:sz w:val="15"/>
                          </w:rPr>
                        </w:pPr>
                        <w:r>
                          <w:rPr>
                            <w:w w:val="102"/>
                            <w:sz w:val="15"/>
                          </w:rPr>
                          <w:t>0</w:t>
                        </w:r>
                      </w:p>
                    </w:tc>
                  </w:tr>
                </w:tbl>
                <w:p>
                  <w:pPr>
                    <w:pStyle w:val="BodyText"/>
                  </w:pPr>
                </w:p>
              </w:txbxContent>
            </v:textbox>
          </v:shape>
        </w:pict>
      </w:r>
      <w:r>
        <w:rPr>
          <w:rFonts w:ascii="Times New Roman"/>
        </w:rPr>
      </w:r>
    </w:p>
    <w:p>
      <w:pPr>
        <w:spacing w:after="0" w:line="240" w:lineRule="auto"/>
        <w:rPr>
          <w:rFonts w:ascii="Times New Roman"/>
        </w:rPr>
        <w:sectPr>
          <w:headerReference w:type="default" r:id="rId47"/>
          <w:footerReference w:type="default" r:id="rId48"/>
          <w:pgSz w:w="23250" w:h="15310" w:orient="landscape"/>
          <w:pgMar w:header="881" w:footer="499" w:top="1920" w:bottom="680" w:left="1880" w:right="152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p>
      <w:pPr>
        <w:tabs>
          <w:tab w:pos="12765" w:val="left" w:leader="none"/>
        </w:tabs>
        <w:spacing w:line="240" w:lineRule="auto"/>
        <w:ind w:left="1243" w:right="0" w:firstLine="0"/>
        <w:rPr>
          <w:rFonts w:ascii="Times New Roman"/>
          <w:sz w:val="20"/>
        </w:rPr>
      </w:pPr>
      <w:r>
        <w:rPr>
          <w:rFonts w:ascii="Times New Roman"/>
          <w:sz w:val="20"/>
        </w:rPr>
        <w:pict>
          <v:shape style="width:270.1pt;height:502.25pt;mso-position-horizontal-relative:char;mso-position-vertical-relative:line" type="#_x0000_t202"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1"/>
                    <w:gridCol w:w="3201"/>
                    <w:gridCol w:w="1261"/>
                  </w:tblGrid>
                  <w:tr>
                    <w:trPr>
                      <w:trHeight w:val="176" w:hRule="atLeast"/>
                    </w:trPr>
                    <w:tc>
                      <w:tcPr>
                        <w:tcW w:w="921" w:type="dxa"/>
                        <w:tcBorders>
                          <w:top w:val="nil"/>
                        </w:tcBorders>
                      </w:tcPr>
                      <w:p>
                        <w:pPr>
                          <w:pStyle w:val="TableParagraph"/>
                          <w:rPr>
                            <w:rFonts w:ascii="Times New Roman"/>
                            <w:sz w:val="10"/>
                          </w:rPr>
                        </w:pPr>
                      </w:p>
                    </w:tc>
                    <w:tc>
                      <w:tcPr>
                        <w:tcW w:w="3201" w:type="dxa"/>
                        <w:tcBorders>
                          <w:top w:val="nil"/>
                        </w:tcBorders>
                      </w:tcPr>
                      <w:p>
                        <w:pPr>
                          <w:pStyle w:val="TableParagraph"/>
                          <w:spacing w:line="154" w:lineRule="exact" w:before="2"/>
                          <w:ind w:left="47"/>
                          <w:rPr>
                            <w:sz w:val="15"/>
                          </w:rPr>
                        </w:pPr>
                        <w:r>
                          <w:rPr>
                            <w:sz w:val="15"/>
                          </w:rPr>
                          <w:t>los anteriores</w:t>
                        </w:r>
                      </w:p>
                    </w:tc>
                    <w:tc>
                      <w:tcPr>
                        <w:tcW w:w="1261" w:type="dxa"/>
                        <w:tcBorders>
                          <w:top w:val="nil"/>
                        </w:tcBorders>
                      </w:tcPr>
                      <w:p>
                        <w:pPr>
                          <w:pStyle w:val="TableParagraph"/>
                          <w:rPr>
                            <w:rFonts w:ascii="Times New Roman"/>
                            <w:sz w:val="10"/>
                          </w:rPr>
                        </w:pPr>
                      </w:p>
                    </w:tc>
                  </w:tr>
                  <w:tr>
                    <w:trPr>
                      <w:trHeight w:val="530" w:hRule="atLeast"/>
                    </w:trPr>
                    <w:tc>
                      <w:tcPr>
                        <w:tcW w:w="921" w:type="dxa"/>
                      </w:tcPr>
                      <w:p>
                        <w:pPr>
                          <w:pStyle w:val="TableParagraph"/>
                          <w:spacing w:before="6"/>
                          <w:rPr>
                            <w:rFonts w:ascii="Times New Roman"/>
                            <w:sz w:val="15"/>
                          </w:rPr>
                        </w:pPr>
                      </w:p>
                      <w:p>
                        <w:pPr>
                          <w:pStyle w:val="TableParagraph"/>
                          <w:ind w:right="274"/>
                          <w:jc w:val="right"/>
                          <w:rPr>
                            <w:sz w:val="15"/>
                          </w:rPr>
                        </w:pPr>
                        <w:r>
                          <w:rPr>
                            <w:sz w:val="15"/>
                          </w:rPr>
                          <w:t>4.3.3</w:t>
                        </w:r>
                      </w:p>
                    </w:tc>
                    <w:tc>
                      <w:tcPr>
                        <w:tcW w:w="3201" w:type="dxa"/>
                      </w:tcPr>
                      <w:p>
                        <w:pPr>
                          <w:pStyle w:val="TableParagraph"/>
                          <w:spacing w:line="178" w:lineRule="exact"/>
                          <w:ind w:left="47" w:right="165"/>
                          <w:rPr>
                            <w:b/>
                            <w:sz w:val="15"/>
                          </w:rPr>
                        </w:pPr>
                        <w:r>
                          <w:rPr>
                            <w:b/>
                            <w:sz w:val="15"/>
                          </w:rPr>
                          <w:t>Licencias de construcción, reconstrucción, reparación o demolición de obras</w:t>
                        </w:r>
                      </w:p>
                    </w:tc>
                    <w:tc>
                      <w:tcPr>
                        <w:tcW w:w="1261" w:type="dxa"/>
                      </w:tcPr>
                      <w:p>
                        <w:pPr>
                          <w:pStyle w:val="TableParagraph"/>
                          <w:spacing w:before="7"/>
                          <w:rPr>
                            <w:rFonts w:ascii="Times New Roman"/>
                            <w:sz w:val="15"/>
                          </w:rPr>
                        </w:pPr>
                      </w:p>
                      <w:p>
                        <w:pPr>
                          <w:pStyle w:val="TableParagraph"/>
                          <w:ind w:right="34"/>
                          <w:jc w:val="right"/>
                          <w:rPr>
                            <w:b/>
                            <w:sz w:val="15"/>
                          </w:rPr>
                        </w:pPr>
                        <w:r>
                          <w:rPr>
                            <w:b/>
                            <w:sz w:val="15"/>
                          </w:rPr>
                          <w:t>105,753,584</w:t>
                        </w:r>
                      </w:p>
                    </w:tc>
                  </w:tr>
                  <w:tr>
                    <w:trPr>
                      <w:trHeight w:val="171" w:hRule="atLeast"/>
                    </w:trPr>
                    <w:tc>
                      <w:tcPr>
                        <w:tcW w:w="921" w:type="dxa"/>
                      </w:tcPr>
                      <w:p>
                        <w:pPr>
                          <w:pStyle w:val="TableParagraph"/>
                          <w:spacing w:line="152" w:lineRule="exact"/>
                          <w:ind w:right="209"/>
                          <w:jc w:val="right"/>
                          <w:rPr>
                            <w:sz w:val="15"/>
                          </w:rPr>
                        </w:pPr>
                        <w:r>
                          <w:rPr>
                            <w:sz w:val="15"/>
                          </w:rPr>
                          <w:t>4.3.3.1</w:t>
                        </w:r>
                      </w:p>
                    </w:tc>
                    <w:tc>
                      <w:tcPr>
                        <w:tcW w:w="3201" w:type="dxa"/>
                      </w:tcPr>
                      <w:p>
                        <w:pPr>
                          <w:pStyle w:val="TableParagraph"/>
                          <w:spacing w:line="152" w:lineRule="exact"/>
                          <w:ind w:left="47"/>
                          <w:rPr>
                            <w:sz w:val="15"/>
                          </w:rPr>
                        </w:pPr>
                        <w:r>
                          <w:rPr>
                            <w:sz w:val="15"/>
                          </w:rPr>
                          <w:t>Licencias de construcción</w:t>
                        </w:r>
                      </w:p>
                    </w:tc>
                    <w:tc>
                      <w:tcPr>
                        <w:tcW w:w="1261" w:type="dxa"/>
                      </w:tcPr>
                      <w:p>
                        <w:pPr>
                          <w:pStyle w:val="TableParagraph"/>
                          <w:spacing w:line="152" w:lineRule="exact"/>
                          <w:ind w:right="35"/>
                          <w:jc w:val="right"/>
                          <w:rPr>
                            <w:sz w:val="15"/>
                          </w:rPr>
                        </w:pPr>
                        <w:r>
                          <w:rPr>
                            <w:sz w:val="15"/>
                          </w:rPr>
                          <w:t>97,496,554</w:t>
                        </w:r>
                      </w:p>
                    </w:tc>
                  </w:tr>
                  <w:tr>
                    <w:trPr>
                      <w:trHeight w:val="176" w:hRule="atLeast"/>
                    </w:trPr>
                    <w:tc>
                      <w:tcPr>
                        <w:tcW w:w="921" w:type="dxa"/>
                      </w:tcPr>
                      <w:p>
                        <w:pPr>
                          <w:pStyle w:val="TableParagraph"/>
                          <w:spacing w:line="154" w:lineRule="exact" w:before="2"/>
                          <w:ind w:right="209"/>
                          <w:jc w:val="right"/>
                          <w:rPr>
                            <w:sz w:val="15"/>
                          </w:rPr>
                        </w:pPr>
                        <w:r>
                          <w:rPr>
                            <w:sz w:val="15"/>
                          </w:rPr>
                          <w:t>4.3.3.2</w:t>
                        </w:r>
                      </w:p>
                    </w:tc>
                    <w:tc>
                      <w:tcPr>
                        <w:tcW w:w="3201" w:type="dxa"/>
                      </w:tcPr>
                      <w:p>
                        <w:pPr>
                          <w:pStyle w:val="TableParagraph"/>
                          <w:spacing w:line="154" w:lineRule="exact" w:before="2"/>
                          <w:ind w:left="47"/>
                          <w:rPr>
                            <w:sz w:val="15"/>
                          </w:rPr>
                        </w:pPr>
                        <w:r>
                          <w:rPr>
                            <w:sz w:val="15"/>
                          </w:rPr>
                          <w:t>Licencias para demolición</w:t>
                        </w:r>
                      </w:p>
                    </w:tc>
                    <w:tc>
                      <w:tcPr>
                        <w:tcW w:w="1261" w:type="dxa"/>
                      </w:tcPr>
                      <w:p>
                        <w:pPr>
                          <w:pStyle w:val="TableParagraph"/>
                          <w:spacing w:line="154" w:lineRule="exact" w:before="2"/>
                          <w:ind w:right="35"/>
                          <w:jc w:val="right"/>
                          <w:rPr>
                            <w:sz w:val="15"/>
                          </w:rPr>
                        </w:pPr>
                        <w:r>
                          <w:rPr>
                            <w:sz w:val="15"/>
                          </w:rPr>
                          <w:t>2,099,998</w:t>
                        </w:r>
                      </w:p>
                    </w:tc>
                  </w:tr>
                  <w:tr>
                    <w:trPr>
                      <w:trHeight w:val="175" w:hRule="atLeast"/>
                    </w:trPr>
                    <w:tc>
                      <w:tcPr>
                        <w:tcW w:w="921" w:type="dxa"/>
                      </w:tcPr>
                      <w:p>
                        <w:pPr>
                          <w:pStyle w:val="TableParagraph"/>
                          <w:spacing w:line="154" w:lineRule="exact" w:before="2"/>
                          <w:ind w:right="209"/>
                          <w:jc w:val="right"/>
                          <w:rPr>
                            <w:sz w:val="15"/>
                          </w:rPr>
                        </w:pPr>
                        <w:r>
                          <w:rPr>
                            <w:sz w:val="15"/>
                          </w:rPr>
                          <w:t>4.3.3.3</w:t>
                        </w:r>
                      </w:p>
                    </w:tc>
                    <w:tc>
                      <w:tcPr>
                        <w:tcW w:w="3201" w:type="dxa"/>
                      </w:tcPr>
                      <w:p>
                        <w:pPr>
                          <w:pStyle w:val="TableParagraph"/>
                          <w:spacing w:line="154" w:lineRule="exact" w:before="2"/>
                          <w:ind w:left="47"/>
                          <w:rPr>
                            <w:sz w:val="15"/>
                          </w:rPr>
                        </w:pPr>
                        <w:r>
                          <w:rPr>
                            <w:sz w:val="15"/>
                          </w:rPr>
                          <w:t>Licencias para remodelación</w:t>
                        </w:r>
                      </w:p>
                    </w:tc>
                    <w:tc>
                      <w:tcPr>
                        <w:tcW w:w="1261" w:type="dxa"/>
                      </w:tcPr>
                      <w:p>
                        <w:pPr>
                          <w:pStyle w:val="TableParagraph"/>
                          <w:spacing w:line="154" w:lineRule="exact" w:before="2"/>
                          <w:ind w:right="35"/>
                          <w:jc w:val="right"/>
                          <w:rPr>
                            <w:sz w:val="15"/>
                          </w:rPr>
                        </w:pPr>
                        <w:r>
                          <w:rPr>
                            <w:sz w:val="15"/>
                          </w:rPr>
                          <w:t>446,795</w:t>
                        </w:r>
                      </w:p>
                    </w:tc>
                  </w:tr>
                  <w:tr>
                    <w:trPr>
                      <w:trHeight w:val="353" w:hRule="atLeast"/>
                    </w:trPr>
                    <w:tc>
                      <w:tcPr>
                        <w:tcW w:w="921" w:type="dxa"/>
                      </w:tcPr>
                      <w:p>
                        <w:pPr>
                          <w:pStyle w:val="TableParagraph"/>
                          <w:spacing w:before="90"/>
                          <w:ind w:right="209"/>
                          <w:jc w:val="right"/>
                          <w:rPr>
                            <w:sz w:val="15"/>
                          </w:rPr>
                        </w:pPr>
                        <w:r>
                          <w:rPr>
                            <w:sz w:val="15"/>
                          </w:rPr>
                          <w:t>4.3.3.4</w:t>
                        </w:r>
                      </w:p>
                    </w:tc>
                    <w:tc>
                      <w:tcPr>
                        <w:tcW w:w="3201" w:type="dxa"/>
                      </w:tcPr>
                      <w:p>
                        <w:pPr>
                          <w:pStyle w:val="TableParagraph"/>
                          <w:spacing w:line="178" w:lineRule="exact"/>
                          <w:ind w:left="47" w:right="165"/>
                          <w:rPr>
                            <w:sz w:val="15"/>
                          </w:rPr>
                        </w:pPr>
                        <w:r>
                          <w:rPr>
                            <w:sz w:val="15"/>
                          </w:rPr>
                          <w:t>Licencias para reconstrucción, reestructuración o adaptación</w:t>
                        </w:r>
                      </w:p>
                    </w:tc>
                    <w:tc>
                      <w:tcPr>
                        <w:tcW w:w="1261" w:type="dxa"/>
                      </w:tcPr>
                      <w:p>
                        <w:pPr>
                          <w:pStyle w:val="TableParagraph"/>
                          <w:spacing w:before="90"/>
                          <w:ind w:right="34"/>
                          <w:jc w:val="right"/>
                          <w:rPr>
                            <w:sz w:val="15"/>
                          </w:rPr>
                        </w:pPr>
                        <w:r>
                          <w:rPr>
                            <w:w w:val="102"/>
                            <w:sz w:val="15"/>
                          </w:rPr>
                          <w:t>0</w:t>
                        </w:r>
                      </w:p>
                    </w:tc>
                  </w:tr>
                  <w:tr>
                    <w:trPr>
                      <w:trHeight w:val="350" w:hRule="atLeast"/>
                    </w:trPr>
                    <w:tc>
                      <w:tcPr>
                        <w:tcW w:w="921" w:type="dxa"/>
                      </w:tcPr>
                      <w:p>
                        <w:pPr>
                          <w:pStyle w:val="TableParagraph"/>
                          <w:spacing w:before="88"/>
                          <w:ind w:right="209"/>
                          <w:jc w:val="right"/>
                          <w:rPr>
                            <w:sz w:val="15"/>
                          </w:rPr>
                        </w:pPr>
                        <w:r>
                          <w:rPr>
                            <w:sz w:val="15"/>
                          </w:rPr>
                          <w:t>4.3.3.5</w:t>
                        </w:r>
                      </w:p>
                    </w:tc>
                    <w:tc>
                      <w:tcPr>
                        <w:tcW w:w="3201" w:type="dxa"/>
                      </w:tcPr>
                      <w:p>
                        <w:pPr>
                          <w:pStyle w:val="TableParagraph"/>
                          <w:spacing w:line="172" w:lineRule="exact"/>
                          <w:ind w:left="47"/>
                          <w:rPr>
                            <w:sz w:val="15"/>
                          </w:rPr>
                        </w:pPr>
                        <w:r>
                          <w:rPr>
                            <w:sz w:val="15"/>
                          </w:rPr>
                          <w:t>Licencias para ocupación provisional en la</w:t>
                        </w:r>
                      </w:p>
                      <w:p>
                        <w:pPr>
                          <w:pStyle w:val="TableParagraph"/>
                          <w:spacing w:line="154" w:lineRule="exact" w:before="4"/>
                          <w:ind w:left="47"/>
                          <w:rPr>
                            <w:sz w:val="15"/>
                          </w:rPr>
                        </w:pPr>
                        <w:r>
                          <w:rPr>
                            <w:sz w:val="15"/>
                          </w:rPr>
                          <w:t>vía pública</w:t>
                        </w:r>
                      </w:p>
                    </w:tc>
                    <w:tc>
                      <w:tcPr>
                        <w:tcW w:w="1261" w:type="dxa"/>
                      </w:tcPr>
                      <w:p>
                        <w:pPr>
                          <w:pStyle w:val="TableParagraph"/>
                          <w:spacing w:before="88"/>
                          <w:ind w:right="34"/>
                          <w:jc w:val="right"/>
                          <w:rPr>
                            <w:sz w:val="15"/>
                          </w:rPr>
                        </w:pPr>
                        <w:r>
                          <w:rPr>
                            <w:w w:val="102"/>
                            <w:sz w:val="15"/>
                          </w:rPr>
                          <w:t>0</w:t>
                        </w:r>
                      </w:p>
                    </w:tc>
                  </w:tr>
                  <w:tr>
                    <w:trPr>
                      <w:trHeight w:val="175" w:hRule="atLeast"/>
                    </w:trPr>
                    <w:tc>
                      <w:tcPr>
                        <w:tcW w:w="921" w:type="dxa"/>
                      </w:tcPr>
                      <w:p>
                        <w:pPr>
                          <w:pStyle w:val="TableParagraph"/>
                          <w:spacing w:line="154" w:lineRule="exact" w:before="2"/>
                          <w:ind w:right="209"/>
                          <w:jc w:val="right"/>
                          <w:rPr>
                            <w:sz w:val="15"/>
                          </w:rPr>
                        </w:pPr>
                        <w:r>
                          <w:rPr>
                            <w:sz w:val="15"/>
                          </w:rPr>
                          <w:t>4.3.3.6</w:t>
                        </w:r>
                      </w:p>
                    </w:tc>
                    <w:tc>
                      <w:tcPr>
                        <w:tcW w:w="3201" w:type="dxa"/>
                      </w:tcPr>
                      <w:p>
                        <w:pPr>
                          <w:pStyle w:val="TableParagraph"/>
                          <w:spacing w:line="154" w:lineRule="exact" w:before="2"/>
                          <w:ind w:left="47"/>
                          <w:rPr>
                            <w:sz w:val="15"/>
                          </w:rPr>
                        </w:pPr>
                        <w:r>
                          <w:rPr>
                            <w:sz w:val="15"/>
                          </w:rPr>
                          <w:t>Licencias para movimientos de tierras</w:t>
                        </w:r>
                      </w:p>
                    </w:tc>
                    <w:tc>
                      <w:tcPr>
                        <w:tcW w:w="1261" w:type="dxa"/>
                      </w:tcPr>
                      <w:p>
                        <w:pPr>
                          <w:pStyle w:val="TableParagraph"/>
                          <w:spacing w:line="154" w:lineRule="exact" w:before="2"/>
                          <w:ind w:right="34"/>
                          <w:jc w:val="right"/>
                          <w:rPr>
                            <w:sz w:val="15"/>
                          </w:rPr>
                        </w:pPr>
                        <w:r>
                          <w:rPr>
                            <w:sz w:val="15"/>
                          </w:rPr>
                          <w:t>5,236,479</w:t>
                        </w:r>
                      </w:p>
                    </w:tc>
                  </w:tr>
                  <w:tr>
                    <w:trPr>
                      <w:trHeight w:val="353" w:hRule="atLeast"/>
                    </w:trPr>
                    <w:tc>
                      <w:tcPr>
                        <w:tcW w:w="921" w:type="dxa"/>
                      </w:tcPr>
                      <w:p>
                        <w:pPr>
                          <w:pStyle w:val="TableParagraph"/>
                          <w:spacing w:before="91"/>
                          <w:ind w:right="209"/>
                          <w:jc w:val="right"/>
                          <w:rPr>
                            <w:sz w:val="15"/>
                          </w:rPr>
                        </w:pPr>
                        <w:r>
                          <w:rPr>
                            <w:sz w:val="15"/>
                          </w:rPr>
                          <w:t>4.3.3.7</w:t>
                        </w:r>
                      </w:p>
                    </w:tc>
                    <w:tc>
                      <w:tcPr>
                        <w:tcW w:w="3201" w:type="dxa"/>
                      </w:tcPr>
                      <w:p>
                        <w:pPr>
                          <w:pStyle w:val="TableParagraph"/>
                          <w:spacing w:line="178" w:lineRule="exact"/>
                          <w:ind w:left="47"/>
                          <w:rPr>
                            <w:sz w:val="15"/>
                          </w:rPr>
                        </w:pPr>
                        <w:r>
                          <w:rPr>
                            <w:sz w:val="15"/>
                          </w:rPr>
                          <w:t>Licencias similares no previstas en las anteriores</w:t>
                        </w:r>
                      </w:p>
                    </w:tc>
                    <w:tc>
                      <w:tcPr>
                        <w:tcW w:w="1261" w:type="dxa"/>
                      </w:tcPr>
                      <w:p>
                        <w:pPr>
                          <w:pStyle w:val="TableParagraph"/>
                          <w:spacing w:before="91"/>
                          <w:ind w:right="34"/>
                          <w:jc w:val="right"/>
                          <w:rPr>
                            <w:sz w:val="15"/>
                          </w:rPr>
                        </w:pPr>
                        <w:r>
                          <w:rPr>
                            <w:sz w:val="15"/>
                          </w:rPr>
                          <w:t>473,758</w:t>
                        </w:r>
                      </w:p>
                    </w:tc>
                  </w:tr>
                  <w:tr>
                    <w:trPr>
                      <w:trHeight w:val="350" w:hRule="atLeast"/>
                    </w:trPr>
                    <w:tc>
                      <w:tcPr>
                        <w:tcW w:w="921" w:type="dxa"/>
                      </w:tcPr>
                      <w:p>
                        <w:pPr>
                          <w:pStyle w:val="TableParagraph"/>
                          <w:spacing w:before="88"/>
                          <w:ind w:right="274"/>
                          <w:jc w:val="right"/>
                          <w:rPr>
                            <w:sz w:val="15"/>
                          </w:rPr>
                        </w:pPr>
                        <w:r>
                          <w:rPr>
                            <w:sz w:val="15"/>
                          </w:rPr>
                          <w:t>4.3.4</w:t>
                        </w:r>
                      </w:p>
                    </w:tc>
                    <w:tc>
                      <w:tcPr>
                        <w:tcW w:w="3201" w:type="dxa"/>
                      </w:tcPr>
                      <w:p>
                        <w:pPr>
                          <w:pStyle w:val="TableParagraph"/>
                          <w:ind w:left="47"/>
                          <w:rPr>
                            <w:b/>
                            <w:sz w:val="15"/>
                          </w:rPr>
                        </w:pPr>
                        <w:r>
                          <w:rPr>
                            <w:b/>
                            <w:sz w:val="15"/>
                          </w:rPr>
                          <w:t>Alineamiento, designación de número</w:t>
                        </w:r>
                      </w:p>
                      <w:p>
                        <w:pPr>
                          <w:pStyle w:val="TableParagraph"/>
                          <w:spacing w:line="154" w:lineRule="exact" w:before="4"/>
                          <w:ind w:left="47"/>
                          <w:rPr>
                            <w:b/>
                            <w:sz w:val="15"/>
                          </w:rPr>
                        </w:pPr>
                        <w:r>
                          <w:rPr>
                            <w:b/>
                            <w:sz w:val="15"/>
                          </w:rPr>
                          <w:t>oficial e inspección</w:t>
                        </w:r>
                      </w:p>
                    </w:tc>
                    <w:tc>
                      <w:tcPr>
                        <w:tcW w:w="1261" w:type="dxa"/>
                      </w:tcPr>
                      <w:p>
                        <w:pPr>
                          <w:pStyle w:val="TableParagraph"/>
                          <w:spacing w:before="89"/>
                          <w:ind w:right="34"/>
                          <w:jc w:val="right"/>
                          <w:rPr>
                            <w:b/>
                            <w:sz w:val="15"/>
                          </w:rPr>
                        </w:pPr>
                        <w:r>
                          <w:rPr>
                            <w:b/>
                            <w:sz w:val="15"/>
                          </w:rPr>
                          <w:t>1,074,925</w:t>
                        </w:r>
                      </w:p>
                    </w:tc>
                  </w:tr>
                  <w:tr>
                    <w:trPr>
                      <w:trHeight w:val="176" w:hRule="atLeast"/>
                    </w:trPr>
                    <w:tc>
                      <w:tcPr>
                        <w:tcW w:w="921" w:type="dxa"/>
                      </w:tcPr>
                      <w:p>
                        <w:pPr>
                          <w:pStyle w:val="TableParagraph"/>
                          <w:spacing w:line="154" w:lineRule="exact" w:before="2"/>
                          <w:ind w:right="209"/>
                          <w:jc w:val="right"/>
                          <w:rPr>
                            <w:sz w:val="15"/>
                          </w:rPr>
                        </w:pPr>
                        <w:r>
                          <w:rPr>
                            <w:sz w:val="15"/>
                          </w:rPr>
                          <w:t>4.3.4.1</w:t>
                        </w:r>
                      </w:p>
                    </w:tc>
                    <w:tc>
                      <w:tcPr>
                        <w:tcW w:w="3201" w:type="dxa"/>
                      </w:tcPr>
                      <w:p>
                        <w:pPr>
                          <w:pStyle w:val="TableParagraph"/>
                          <w:spacing w:line="154" w:lineRule="exact" w:before="2"/>
                          <w:ind w:left="47"/>
                          <w:rPr>
                            <w:sz w:val="15"/>
                          </w:rPr>
                        </w:pPr>
                        <w:r>
                          <w:rPr>
                            <w:sz w:val="15"/>
                          </w:rPr>
                          <w:t>Alineamiento</w:t>
                        </w:r>
                      </w:p>
                    </w:tc>
                    <w:tc>
                      <w:tcPr>
                        <w:tcW w:w="1261" w:type="dxa"/>
                      </w:tcPr>
                      <w:p>
                        <w:pPr>
                          <w:pStyle w:val="TableParagraph"/>
                          <w:spacing w:line="154" w:lineRule="exact" w:before="2"/>
                          <w:ind w:right="34"/>
                          <w:jc w:val="right"/>
                          <w:rPr>
                            <w:sz w:val="15"/>
                          </w:rPr>
                        </w:pPr>
                        <w:r>
                          <w:rPr>
                            <w:sz w:val="15"/>
                          </w:rPr>
                          <w:t>722,661</w:t>
                        </w:r>
                      </w:p>
                    </w:tc>
                  </w:tr>
                  <w:tr>
                    <w:trPr>
                      <w:trHeight w:val="175" w:hRule="atLeast"/>
                    </w:trPr>
                    <w:tc>
                      <w:tcPr>
                        <w:tcW w:w="921" w:type="dxa"/>
                      </w:tcPr>
                      <w:p>
                        <w:pPr>
                          <w:pStyle w:val="TableParagraph"/>
                          <w:spacing w:line="154" w:lineRule="exact" w:before="1"/>
                          <w:ind w:right="209"/>
                          <w:jc w:val="right"/>
                          <w:rPr>
                            <w:sz w:val="15"/>
                          </w:rPr>
                        </w:pPr>
                        <w:r>
                          <w:rPr>
                            <w:sz w:val="15"/>
                          </w:rPr>
                          <w:t>4.3.4.2</w:t>
                        </w:r>
                      </w:p>
                    </w:tc>
                    <w:tc>
                      <w:tcPr>
                        <w:tcW w:w="3201" w:type="dxa"/>
                      </w:tcPr>
                      <w:p>
                        <w:pPr>
                          <w:pStyle w:val="TableParagraph"/>
                          <w:spacing w:line="154" w:lineRule="exact" w:before="1"/>
                          <w:ind w:left="47"/>
                          <w:rPr>
                            <w:sz w:val="15"/>
                          </w:rPr>
                        </w:pPr>
                        <w:r>
                          <w:rPr>
                            <w:sz w:val="15"/>
                          </w:rPr>
                          <w:t>Designación de número oficial</w:t>
                        </w:r>
                      </w:p>
                    </w:tc>
                    <w:tc>
                      <w:tcPr>
                        <w:tcW w:w="1261" w:type="dxa"/>
                      </w:tcPr>
                      <w:p>
                        <w:pPr>
                          <w:pStyle w:val="TableParagraph"/>
                          <w:spacing w:line="154" w:lineRule="exact" w:before="1"/>
                          <w:ind w:right="36"/>
                          <w:jc w:val="right"/>
                          <w:rPr>
                            <w:sz w:val="15"/>
                          </w:rPr>
                        </w:pPr>
                        <w:r>
                          <w:rPr>
                            <w:sz w:val="15"/>
                          </w:rPr>
                          <w:t>352,263</w:t>
                        </w:r>
                      </w:p>
                    </w:tc>
                  </w:tr>
                  <w:tr>
                    <w:trPr>
                      <w:trHeight w:val="175" w:hRule="atLeast"/>
                    </w:trPr>
                    <w:tc>
                      <w:tcPr>
                        <w:tcW w:w="921" w:type="dxa"/>
                      </w:tcPr>
                      <w:p>
                        <w:pPr>
                          <w:pStyle w:val="TableParagraph"/>
                          <w:spacing w:line="154" w:lineRule="exact" w:before="2"/>
                          <w:ind w:right="209"/>
                          <w:jc w:val="right"/>
                          <w:rPr>
                            <w:sz w:val="15"/>
                          </w:rPr>
                        </w:pPr>
                        <w:r>
                          <w:rPr>
                            <w:sz w:val="15"/>
                          </w:rPr>
                          <w:t>4.3.4.3</w:t>
                        </w:r>
                      </w:p>
                    </w:tc>
                    <w:tc>
                      <w:tcPr>
                        <w:tcW w:w="3201" w:type="dxa"/>
                      </w:tcPr>
                      <w:p>
                        <w:pPr>
                          <w:pStyle w:val="TableParagraph"/>
                          <w:spacing w:line="154" w:lineRule="exact" w:before="2"/>
                          <w:ind w:left="47"/>
                          <w:rPr>
                            <w:sz w:val="15"/>
                          </w:rPr>
                        </w:pPr>
                        <w:r>
                          <w:rPr>
                            <w:sz w:val="15"/>
                          </w:rPr>
                          <w:t>Inspección de valor sobre inmuebles</w:t>
                        </w:r>
                      </w:p>
                    </w:tc>
                    <w:tc>
                      <w:tcPr>
                        <w:tcW w:w="1261" w:type="dxa"/>
                      </w:tcPr>
                      <w:p>
                        <w:pPr>
                          <w:pStyle w:val="TableParagraph"/>
                          <w:spacing w:line="154" w:lineRule="exact" w:before="2"/>
                          <w:ind w:right="35"/>
                          <w:jc w:val="right"/>
                          <w:rPr>
                            <w:sz w:val="15"/>
                          </w:rPr>
                        </w:pPr>
                        <w:r>
                          <w:rPr>
                            <w:w w:val="102"/>
                            <w:sz w:val="15"/>
                          </w:rPr>
                          <w:t>0</w:t>
                        </w:r>
                      </w:p>
                    </w:tc>
                  </w:tr>
                  <w:tr>
                    <w:trPr>
                      <w:trHeight w:val="176" w:hRule="atLeast"/>
                    </w:trPr>
                    <w:tc>
                      <w:tcPr>
                        <w:tcW w:w="921" w:type="dxa"/>
                      </w:tcPr>
                      <w:p>
                        <w:pPr>
                          <w:pStyle w:val="TableParagraph"/>
                          <w:spacing w:line="154" w:lineRule="exact" w:before="2"/>
                          <w:ind w:right="209"/>
                          <w:jc w:val="right"/>
                          <w:rPr>
                            <w:sz w:val="15"/>
                          </w:rPr>
                        </w:pPr>
                        <w:r>
                          <w:rPr>
                            <w:sz w:val="15"/>
                          </w:rPr>
                          <w:t>4.3.4.4</w:t>
                        </w:r>
                      </w:p>
                    </w:tc>
                    <w:tc>
                      <w:tcPr>
                        <w:tcW w:w="3201" w:type="dxa"/>
                      </w:tcPr>
                      <w:p>
                        <w:pPr>
                          <w:pStyle w:val="TableParagraph"/>
                          <w:spacing w:line="154" w:lineRule="exact" w:before="2"/>
                          <w:ind w:left="47"/>
                          <w:rPr>
                            <w:sz w:val="15"/>
                          </w:rPr>
                        </w:pPr>
                        <w:r>
                          <w:rPr>
                            <w:sz w:val="15"/>
                          </w:rPr>
                          <w:t>Otros servicios similares</w:t>
                        </w:r>
                      </w:p>
                    </w:tc>
                    <w:tc>
                      <w:tcPr>
                        <w:tcW w:w="1261" w:type="dxa"/>
                      </w:tcPr>
                      <w:p>
                        <w:pPr>
                          <w:pStyle w:val="TableParagraph"/>
                          <w:spacing w:line="154" w:lineRule="exact" w:before="2"/>
                          <w:ind w:right="34"/>
                          <w:jc w:val="right"/>
                          <w:rPr>
                            <w:sz w:val="15"/>
                          </w:rPr>
                        </w:pPr>
                        <w:r>
                          <w:rPr>
                            <w:w w:val="102"/>
                            <w:sz w:val="15"/>
                          </w:rPr>
                          <w:t>0</w:t>
                        </w:r>
                      </w:p>
                    </w:tc>
                  </w:tr>
                  <w:tr>
                    <w:trPr>
                      <w:trHeight w:val="352" w:hRule="atLeast"/>
                    </w:trPr>
                    <w:tc>
                      <w:tcPr>
                        <w:tcW w:w="921" w:type="dxa"/>
                      </w:tcPr>
                      <w:p>
                        <w:pPr>
                          <w:pStyle w:val="TableParagraph"/>
                          <w:spacing w:before="90"/>
                          <w:ind w:right="274"/>
                          <w:jc w:val="right"/>
                          <w:rPr>
                            <w:sz w:val="15"/>
                          </w:rPr>
                        </w:pPr>
                        <w:r>
                          <w:rPr>
                            <w:sz w:val="15"/>
                          </w:rPr>
                          <w:t>4.3.5</w:t>
                        </w:r>
                      </w:p>
                    </w:tc>
                    <w:tc>
                      <w:tcPr>
                        <w:tcW w:w="3201" w:type="dxa"/>
                      </w:tcPr>
                      <w:p>
                        <w:pPr>
                          <w:pStyle w:val="TableParagraph"/>
                          <w:spacing w:line="176" w:lineRule="exact" w:before="3"/>
                          <w:ind w:left="47"/>
                          <w:rPr>
                            <w:b/>
                            <w:sz w:val="15"/>
                          </w:rPr>
                        </w:pPr>
                        <w:r>
                          <w:rPr>
                            <w:b/>
                            <w:sz w:val="15"/>
                          </w:rPr>
                          <w:t>Licencias de cambio de régimen de propiedad y urbanización</w:t>
                        </w:r>
                      </w:p>
                    </w:tc>
                    <w:tc>
                      <w:tcPr>
                        <w:tcW w:w="1261" w:type="dxa"/>
                      </w:tcPr>
                      <w:p>
                        <w:pPr>
                          <w:pStyle w:val="TableParagraph"/>
                          <w:spacing w:before="91"/>
                          <w:ind w:right="34"/>
                          <w:jc w:val="right"/>
                          <w:rPr>
                            <w:b/>
                            <w:sz w:val="15"/>
                          </w:rPr>
                        </w:pPr>
                        <w:r>
                          <w:rPr>
                            <w:b/>
                            <w:sz w:val="15"/>
                          </w:rPr>
                          <w:t>45,536,680</w:t>
                        </w:r>
                      </w:p>
                    </w:tc>
                  </w:tr>
                  <w:tr>
                    <w:trPr>
                      <w:trHeight w:val="174" w:hRule="atLeast"/>
                    </w:trPr>
                    <w:tc>
                      <w:tcPr>
                        <w:tcW w:w="921" w:type="dxa"/>
                      </w:tcPr>
                      <w:p>
                        <w:pPr>
                          <w:pStyle w:val="TableParagraph"/>
                          <w:spacing w:line="154" w:lineRule="exact"/>
                          <w:ind w:right="209"/>
                          <w:jc w:val="right"/>
                          <w:rPr>
                            <w:sz w:val="15"/>
                          </w:rPr>
                        </w:pPr>
                        <w:r>
                          <w:rPr>
                            <w:sz w:val="15"/>
                          </w:rPr>
                          <w:t>4.3.5.1</w:t>
                        </w:r>
                      </w:p>
                    </w:tc>
                    <w:tc>
                      <w:tcPr>
                        <w:tcW w:w="3201" w:type="dxa"/>
                      </w:tcPr>
                      <w:p>
                        <w:pPr>
                          <w:pStyle w:val="TableParagraph"/>
                          <w:spacing w:line="154" w:lineRule="exact"/>
                          <w:ind w:left="47"/>
                          <w:rPr>
                            <w:sz w:val="15"/>
                          </w:rPr>
                        </w:pPr>
                        <w:r>
                          <w:rPr>
                            <w:sz w:val="15"/>
                          </w:rPr>
                          <w:t>Licencia de cambio de régimen de propiedad</w:t>
                        </w:r>
                      </w:p>
                    </w:tc>
                    <w:tc>
                      <w:tcPr>
                        <w:tcW w:w="1261" w:type="dxa"/>
                      </w:tcPr>
                      <w:p>
                        <w:pPr>
                          <w:pStyle w:val="TableParagraph"/>
                          <w:spacing w:line="154" w:lineRule="exact"/>
                          <w:ind w:right="36"/>
                          <w:jc w:val="right"/>
                          <w:rPr>
                            <w:sz w:val="15"/>
                          </w:rPr>
                        </w:pPr>
                        <w:r>
                          <w:rPr>
                            <w:sz w:val="15"/>
                          </w:rPr>
                          <w:t>2,022,310</w:t>
                        </w:r>
                      </w:p>
                    </w:tc>
                  </w:tr>
                  <w:tr>
                    <w:trPr>
                      <w:trHeight w:val="175" w:hRule="atLeast"/>
                    </w:trPr>
                    <w:tc>
                      <w:tcPr>
                        <w:tcW w:w="921" w:type="dxa"/>
                      </w:tcPr>
                      <w:p>
                        <w:pPr>
                          <w:pStyle w:val="TableParagraph"/>
                          <w:spacing w:line="154" w:lineRule="exact" w:before="1"/>
                          <w:ind w:right="209"/>
                          <w:jc w:val="right"/>
                          <w:rPr>
                            <w:sz w:val="15"/>
                          </w:rPr>
                        </w:pPr>
                        <w:r>
                          <w:rPr>
                            <w:sz w:val="15"/>
                          </w:rPr>
                          <w:t>4.3.5.2</w:t>
                        </w:r>
                      </w:p>
                    </w:tc>
                    <w:tc>
                      <w:tcPr>
                        <w:tcW w:w="3201" w:type="dxa"/>
                      </w:tcPr>
                      <w:p>
                        <w:pPr>
                          <w:pStyle w:val="TableParagraph"/>
                          <w:spacing w:line="154" w:lineRule="exact" w:before="1"/>
                          <w:ind w:left="47"/>
                          <w:rPr>
                            <w:sz w:val="15"/>
                          </w:rPr>
                        </w:pPr>
                        <w:r>
                          <w:rPr>
                            <w:sz w:val="15"/>
                          </w:rPr>
                          <w:t>Licencia de urbanización</w:t>
                        </w:r>
                      </w:p>
                    </w:tc>
                    <w:tc>
                      <w:tcPr>
                        <w:tcW w:w="1261" w:type="dxa"/>
                      </w:tcPr>
                      <w:p>
                        <w:pPr>
                          <w:pStyle w:val="TableParagraph"/>
                          <w:spacing w:line="154" w:lineRule="exact" w:before="1"/>
                          <w:ind w:right="36"/>
                          <w:jc w:val="right"/>
                          <w:rPr>
                            <w:sz w:val="15"/>
                          </w:rPr>
                        </w:pPr>
                        <w:r>
                          <w:rPr>
                            <w:sz w:val="15"/>
                          </w:rPr>
                          <w:t>43,514,370</w:t>
                        </w:r>
                      </w:p>
                    </w:tc>
                  </w:tr>
                  <w:tr>
                    <w:trPr>
                      <w:trHeight w:val="353" w:hRule="atLeast"/>
                    </w:trPr>
                    <w:tc>
                      <w:tcPr>
                        <w:tcW w:w="921" w:type="dxa"/>
                      </w:tcPr>
                      <w:p>
                        <w:pPr>
                          <w:pStyle w:val="TableParagraph"/>
                          <w:spacing w:before="90"/>
                          <w:ind w:right="209"/>
                          <w:jc w:val="right"/>
                          <w:rPr>
                            <w:sz w:val="15"/>
                          </w:rPr>
                        </w:pPr>
                        <w:r>
                          <w:rPr>
                            <w:sz w:val="15"/>
                          </w:rPr>
                          <w:t>4.3.5.3</w:t>
                        </w:r>
                      </w:p>
                    </w:tc>
                    <w:tc>
                      <w:tcPr>
                        <w:tcW w:w="3201" w:type="dxa"/>
                      </w:tcPr>
                      <w:p>
                        <w:pPr>
                          <w:pStyle w:val="TableParagraph"/>
                          <w:spacing w:line="178" w:lineRule="exact"/>
                          <w:ind w:left="47"/>
                          <w:rPr>
                            <w:sz w:val="15"/>
                          </w:rPr>
                        </w:pPr>
                        <w:r>
                          <w:rPr>
                            <w:sz w:val="15"/>
                          </w:rPr>
                          <w:t>Peritaje, dictamen e inspección de carácter extraordinario</w:t>
                        </w:r>
                      </w:p>
                    </w:tc>
                    <w:tc>
                      <w:tcPr>
                        <w:tcW w:w="1261" w:type="dxa"/>
                      </w:tcPr>
                      <w:p>
                        <w:pPr>
                          <w:pStyle w:val="TableParagraph"/>
                          <w:spacing w:before="90"/>
                          <w:ind w:right="34"/>
                          <w:jc w:val="right"/>
                          <w:rPr>
                            <w:sz w:val="15"/>
                          </w:rPr>
                        </w:pPr>
                        <w:r>
                          <w:rPr>
                            <w:w w:val="102"/>
                            <w:sz w:val="15"/>
                          </w:rPr>
                          <w:t>0</w:t>
                        </w:r>
                      </w:p>
                    </w:tc>
                  </w:tr>
                  <w:tr>
                    <w:trPr>
                      <w:trHeight w:val="173" w:hRule="atLeast"/>
                    </w:trPr>
                    <w:tc>
                      <w:tcPr>
                        <w:tcW w:w="921" w:type="dxa"/>
                      </w:tcPr>
                      <w:p>
                        <w:pPr>
                          <w:pStyle w:val="TableParagraph"/>
                          <w:spacing w:line="153" w:lineRule="exact"/>
                          <w:ind w:right="274"/>
                          <w:jc w:val="right"/>
                          <w:rPr>
                            <w:sz w:val="15"/>
                          </w:rPr>
                        </w:pPr>
                        <w:r>
                          <w:rPr>
                            <w:sz w:val="15"/>
                          </w:rPr>
                          <w:t>4.3.6</w:t>
                        </w:r>
                      </w:p>
                    </w:tc>
                    <w:tc>
                      <w:tcPr>
                        <w:tcW w:w="3201" w:type="dxa"/>
                      </w:tcPr>
                      <w:p>
                        <w:pPr>
                          <w:pStyle w:val="TableParagraph"/>
                          <w:spacing w:line="153" w:lineRule="exact"/>
                          <w:ind w:left="47"/>
                          <w:rPr>
                            <w:b/>
                            <w:sz w:val="15"/>
                          </w:rPr>
                        </w:pPr>
                        <w:r>
                          <w:rPr>
                            <w:b/>
                            <w:sz w:val="15"/>
                          </w:rPr>
                          <w:t>Servicios por obras</w:t>
                        </w:r>
                      </w:p>
                    </w:tc>
                    <w:tc>
                      <w:tcPr>
                        <w:tcW w:w="1261" w:type="dxa"/>
                      </w:tcPr>
                      <w:p>
                        <w:pPr>
                          <w:pStyle w:val="TableParagraph"/>
                          <w:spacing w:line="153" w:lineRule="exact"/>
                          <w:ind w:right="34"/>
                          <w:jc w:val="right"/>
                          <w:rPr>
                            <w:b/>
                            <w:sz w:val="15"/>
                          </w:rPr>
                        </w:pPr>
                        <w:r>
                          <w:rPr>
                            <w:b/>
                            <w:sz w:val="15"/>
                          </w:rPr>
                          <w:t>4,659,954</w:t>
                        </w:r>
                      </w:p>
                    </w:tc>
                  </w:tr>
                  <w:tr>
                    <w:trPr>
                      <w:trHeight w:val="175" w:hRule="atLeast"/>
                    </w:trPr>
                    <w:tc>
                      <w:tcPr>
                        <w:tcW w:w="921" w:type="dxa"/>
                      </w:tcPr>
                      <w:p>
                        <w:pPr>
                          <w:pStyle w:val="TableParagraph"/>
                          <w:spacing w:line="154" w:lineRule="exact" w:before="2"/>
                          <w:ind w:right="209"/>
                          <w:jc w:val="right"/>
                          <w:rPr>
                            <w:sz w:val="15"/>
                          </w:rPr>
                        </w:pPr>
                        <w:r>
                          <w:rPr>
                            <w:sz w:val="15"/>
                          </w:rPr>
                          <w:t>4.3.6.1</w:t>
                        </w:r>
                      </w:p>
                    </w:tc>
                    <w:tc>
                      <w:tcPr>
                        <w:tcW w:w="3201" w:type="dxa"/>
                      </w:tcPr>
                      <w:p>
                        <w:pPr>
                          <w:pStyle w:val="TableParagraph"/>
                          <w:spacing w:line="154" w:lineRule="exact" w:before="2"/>
                          <w:ind w:left="47"/>
                          <w:rPr>
                            <w:sz w:val="15"/>
                          </w:rPr>
                        </w:pPr>
                        <w:r>
                          <w:rPr>
                            <w:sz w:val="15"/>
                          </w:rPr>
                          <w:t>Medición de terrenos</w:t>
                        </w:r>
                      </w:p>
                    </w:tc>
                    <w:tc>
                      <w:tcPr>
                        <w:tcW w:w="1261" w:type="dxa"/>
                      </w:tcPr>
                      <w:p>
                        <w:pPr>
                          <w:pStyle w:val="TableParagraph"/>
                          <w:spacing w:line="154" w:lineRule="exact" w:before="2"/>
                          <w:ind w:right="35"/>
                          <w:jc w:val="right"/>
                          <w:rPr>
                            <w:sz w:val="15"/>
                          </w:rPr>
                        </w:pPr>
                        <w:r>
                          <w:rPr>
                            <w:w w:val="102"/>
                            <w:sz w:val="15"/>
                          </w:rPr>
                          <w:t>0</w:t>
                        </w:r>
                      </w:p>
                    </w:tc>
                  </w:tr>
                  <w:tr>
                    <w:trPr>
                      <w:trHeight w:val="353" w:hRule="atLeast"/>
                    </w:trPr>
                    <w:tc>
                      <w:tcPr>
                        <w:tcW w:w="921" w:type="dxa"/>
                      </w:tcPr>
                      <w:p>
                        <w:pPr>
                          <w:pStyle w:val="TableParagraph"/>
                          <w:spacing w:before="91"/>
                          <w:ind w:right="209"/>
                          <w:jc w:val="right"/>
                          <w:rPr>
                            <w:sz w:val="15"/>
                          </w:rPr>
                        </w:pPr>
                        <w:r>
                          <w:rPr>
                            <w:sz w:val="15"/>
                          </w:rPr>
                          <w:t>4.3.6.2</w:t>
                        </w:r>
                      </w:p>
                    </w:tc>
                    <w:tc>
                      <w:tcPr>
                        <w:tcW w:w="3201" w:type="dxa"/>
                      </w:tcPr>
                      <w:p>
                        <w:pPr>
                          <w:pStyle w:val="TableParagraph"/>
                          <w:spacing w:line="178" w:lineRule="exact"/>
                          <w:ind w:left="47"/>
                          <w:rPr>
                            <w:sz w:val="15"/>
                          </w:rPr>
                        </w:pPr>
                        <w:r>
                          <w:rPr>
                            <w:sz w:val="15"/>
                          </w:rPr>
                          <w:t>Autorización para romper pavimento, banquetas o machuelos</w:t>
                        </w:r>
                      </w:p>
                    </w:tc>
                    <w:tc>
                      <w:tcPr>
                        <w:tcW w:w="1261" w:type="dxa"/>
                      </w:tcPr>
                      <w:p>
                        <w:pPr>
                          <w:pStyle w:val="TableParagraph"/>
                          <w:spacing w:before="91"/>
                          <w:ind w:right="34"/>
                          <w:jc w:val="right"/>
                          <w:rPr>
                            <w:sz w:val="15"/>
                          </w:rPr>
                        </w:pPr>
                        <w:r>
                          <w:rPr>
                            <w:sz w:val="15"/>
                          </w:rPr>
                          <w:t>4,593,120</w:t>
                        </w:r>
                      </w:p>
                    </w:tc>
                  </w:tr>
                  <w:tr>
                    <w:trPr>
                      <w:trHeight w:val="350" w:hRule="atLeast"/>
                    </w:trPr>
                    <w:tc>
                      <w:tcPr>
                        <w:tcW w:w="921" w:type="dxa"/>
                      </w:tcPr>
                      <w:p>
                        <w:pPr>
                          <w:pStyle w:val="TableParagraph"/>
                          <w:spacing w:before="88"/>
                          <w:ind w:right="209"/>
                          <w:jc w:val="right"/>
                          <w:rPr>
                            <w:sz w:val="15"/>
                          </w:rPr>
                        </w:pPr>
                        <w:r>
                          <w:rPr>
                            <w:sz w:val="15"/>
                          </w:rPr>
                          <w:t>4.3.6.3</w:t>
                        </w:r>
                      </w:p>
                    </w:tc>
                    <w:tc>
                      <w:tcPr>
                        <w:tcW w:w="3201" w:type="dxa"/>
                      </w:tcPr>
                      <w:p>
                        <w:pPr>
                          <w:pStyle w:val="TableParagraph"/>
                          <w:spacing w:line="172" w:lineRule="exact"/>
                          <w:ind w:left="47"/>
                          <w:rPr>
                            <w:sz w:val="15"/>
                          </w:rPr>
                        </w:pPr>
                        <w:r>
                          <w:rPr>
                            <w:sz w:val="15"/>
                          </w:rPr>
                          <w:t>Autorización para construcciones de</w:t>
                        </w:r>
                      </w:p>
                      <w:p>
                        <w:pPr>
                          <w:pStyle w:val="TableParagraph"/>
                          <w:spacing w:line="154" w:lineRule="exact" w:before="4"/>
                          <w:ind w:left="47"/>
                          <w:rPr>
                            <w:sz w:val="15"/>
                          </w:rPr>
                        </w:pPr>
                        <w:r>
                          <w:rPr>
                            <w:sz w:val="15"/>
                          </w:rPr>
                          <w:t>infraestructura en la vía pública</w:t>
                        </w:r>
                      </w:p>
                    </w:tc>
                    <w:tc>
                      <w:tcPr>
                        <w:tcW w:w="1261" w:type="dxa"/>
                      </w:tcPr>
                      <w:p>
                        <w:pPr>
                          <w:pStyle w:val="TableParagraph"/>
                          <w:spacing w:before="88"/>
                          <w:ind w:right="34"/>
                          <w:jc w:val="right"/>
                          <w:rPr>
                            <w:sz w:val="15"/>
                          </w:rPr>
                        </w:pPr>
                        <w:r>
                          <w:rPr>
                            <w:sz w:val="15"/>
                          </w:rPr>
                          <w:t>66,834</w:t>
                        </w:r>
                      </w:p>
                    </w:tc>
                  </w:tr>
                  <w:tr>
                    <w:trPr>
                      <w:trHeight w:val="176" w:hRule="atLeast"/>
                    </w:trPr>
                    <w:tc>
                      <w:tcPr>
                        <w:tcW w:w="921" w:type="dxa"/>
                      </w:tcPr>
                      <w:p>
                        <w:pPr>
                          <w:pStyle w:val="TableParagraph"/>
                          <w:spacing w:line="154" w:lineRule="exact" w:before="2"/>
                          <w:ind w:right="274"/>
                          <w:jc w:val="right"/>
                          <w:rPr>
                            <w:sz w:val="15"/>
                          </w:rPr>
                        </w:pPr>
                        <w:r>
                          <w:rPr>
                            <w:sz w:val="15"/>
                          </w:rPr>
                          <w:t>4.3.7</w:t>
                        </w:r>
                      </w:p>
                    </w:tc>
                    <w:tc>
                      <w:tcPr>
                        <w:tcW w:w="3201" w:type="dxa"/>
                      </w:tcPr>
                      <w:p>
                        <w:pPr>
                          <w:pStyle w:val="TableParagraph"/>
                          <w:spacing w:line="153" w:lineRule="exact" w:before="3"/>
                          <w:ind w:left="47"/>
                          <w:rPr>
                            <w:b/>
                            <w:sz w:val="15"/>
                          </w:rPr>
                        </w:pPr>
                        <w:r>
                          <w:rPr>
                            <w:b/>
                            <w:sz w:val="15"/>
                          </w:rPr>
                          <w:t>Regularizaciones de los registros de obra</w:t>
                        </w:r>
                      </w:p>
                    </w:tc>
                    <w:tc>
                      <w:tcPr>
                        <w:tcW w:w="1261" w:type="dxa"/>
                      </w:tcPr>
                      <w:p>
                        <w:pPr>
                          <w:pStyle w:val="TableParagraph"/>
                          <w:spacing w:line="153" w:lineRule="exact" w:before="3"/>
                          <w:ind w:right="34"/>
                          <w:jc w:val="right"/>
                          <w:rPr>
                            <w:b/>
                            <w:sz w:val="15"/>
                          </w:rPr>
                        </w:pPr>
                        <w:r>
                          <w:rPr>
                            <w:b/>
                            <w:w w:val="102"/>
                            <w:sz w:val="15"/>
                          </w:rPr>
                          <w:t>0</w:t>
                        </w:r>
                      </w:p>
                    </w:tc>
                  </w:tr>
                  <w:tr>
                    <w:trPr>
                      <w:trHeight w:val="530" w:hRule="atLeast"/>
                    </w:trPr>
                    <w:tc>
                      <w:tcPr>
                        <w:tcW w:w="921" w:type="dxa"/>
                      </w:tcPr>
                      <w:p>
                        <w:pPr>
                          <w:pStyle w:val="TableParagraph"/>
                          <w:spacing w:before="6"/>
                          <w:rPr>
                            <w:rFonts w:ascii="Times New Roman"/>
                            <w:sz w:val="15"/>
                          </w:rPr>
                        </w:pPr>
                      </w:p>
                      <w:p>
                        <w:pPr>
                          <w:pStyle w:val="TableParagraph"/>
                          <w:ind w:right="209"/>
                          <w:jc w:val="right"/>
                          <w:rPr>
                            <w:sz w:val="15"/>
                          </w:rPr>
                        </w:pPr>
                        <w:r>
                          <w:rPr>
                            <w:sz w:val="15"/>
                          </w:rPr>
                          <w:t>4.3.7.1</w:t>
                        </w:r>
                      </w:p>
                    </w:tc>
                    <w:tc>
                      <w:tcPr>
                        <w:tcW w:w="3201" w:type="dxa"/>
                      </w:tcPr>
                      <w:p>
                        <w:pPr>
                          <w:pStyle w:val="TableParagraph"/>
                          <w:spacing w:line="178" w:lineRule="exact"/>
                          <w:ind w:left="47" w:right="475"/>
                          <w:jc w:val="both"/>
                          <w:rPr>
                            <w:sz w:val="15"/>
                          </w:rPr>
                        </w:pPr>
                        <w:r>
                          <w:rPr>
                            <w:sz w:val="15"/>
                          </w:rPr>
                          <w:t>Regularización de predios en zonas de origen ejidal destinados al uso de casa habitación</w:t>
                        </w:r>
                      </w:p>
                    </w:tc>
                    <w:tc>
                      <w:tcPr>
                        <w:tcW w:w="1261" w:type="dxa"/>
                      </w:tcPr>
                      <w:p>
                        <w:pPr>
                          <w:pStyle w:val="TableParagraph"/>
                          <w:spacing w:before="6"/>
                          <w:rPr>
                            <w:rFonts w:ascii="Times New Roman"/>
                            <w:sz w:val="15"/>
                          </w:rPr>
                        </w:pPr>
                      </w:p>
                      <w:p>
                        <w:pPr>
                          <w:pStyle w:val="TableParagraph"/>
                          <w:ind w:right="34"/>
                          <w:jc w:val="right"/>
                          <w:rPr>
                            <w:sz w:val="15"/>
                          </w:rPr>
                        </w:pPr>
                        <w:r>
                          <w:rPr>
                            <w:w w:val="102"/>
                            <w:sz w:val="15"/>
                          </w:rPr>
                          <w:t>0</w:t>
                        </w:r>
                      </w:p>
                    </w:tc>
                  </w:tr>
                  <w:tr>
                    <w:trPr>
                      <w:trHeight w:val="526" w:hRule="atLeast"/>
                    </w:trPr>
                    <w:tc>
                      <w:tcPr>
                        <w:tcW w:w="921" w:type="dxa"/>
                      </w:tcPr>
                      <w:p>
                        <w:pPr>
                          <w:pStyle w:val="TableParagraph"/>
                          <w:spacing w:before="2"/>
                          <w:rPr>
                            <w:rFonts w:ascii="Times New Roman"/>
                            <w:sz w:val="15"/>
                          </w:rPr>
                        </w:pPr>
                      </w:p>
                      <w:p>
                        <w:pPr>
                          <w:pStyle w:val="TableParagraph"/>
                          <w:ind w:right="209"/>
                          <w:jc w:val="right"/>
                          <w:rPr>
                            <w:sz w:val="15"/>
                          </w:rPr>
                        </w:pPr>
                        <w:r>
                          <w:rPr>
                            <w:sz w:val="15"/>
                          </w:rPr>
                          <w:t>4.3.7.2</w:t>
                        </w:r>
                      </w:p>
                    </w:tc>
                    <w:tc>
                      <w:tcPr>
                        <w:tcW w:w="3201" w:type="dxa"/>
                      </w:tcPr>
                      <w:p>
                        <w:pPr>
                          <w:pStyle w:val="TableParagraph"/>
                          <w:spacing w:line="247" w:lineRule="auto"/>
                          <w:ind w:left="47" w:right="165"/>
                          <w:rPr>
                            <w:sz w:val="15"/>
                          </w:rPr>
                        </w:pPr>
                        <w:r>
                          <w:rPr>
                            <w:sz w:val="15"/>
                          </w:rPr>
                          <w:t>Regularización de edificaciones existentes de uso no habitacional en zonas de origen</w:t>
                        </w:r>
                      </w:p>
                      <w:p>
                        <w:pPr>
                          <w:pStyle w:val="TableParagraph"/>
                          <w:spacing w:line="154" w:lineRule="exact"/>
                          <w:ind w:left="47"/>
                          <w:rPr>
                            <w:sz w:val="15"/>
                          </w:rPr>
                        </w:pPr>
                        <w:r>
                          <w:rPr>
                            <w:sz w:val="15"/>
                          </w:rPr>
                          <w:t>ejidal con antigüedad mayor a los 5 años</w:t>
                        </w:r>
                      </w:p>
                    </w:tc>
                    <w:tc>
                      <w:tcPr>
                        <w:tcW w:w="1261" w:type="dxa"/>
                      </w:tcPr>
                      <w:p>
                        <w:pPr>
                          <w:pStyle w:val="TableParagraph"/>
                          <w:spacing w:before="2"/>
                          <w:rPr>
                            <w:rFonts w:ascii="Times New Roman"/>
                            <w:sz w:val="15"/>
                          </w:rPr>
                        </w:pPr>
                      </w:p>
                      <w:p>
                        <w:pPr>
                          <w:pStyle w:val="TableParagraph"/>
                          <w:ind w:right="34"/>
                          <w:jc w:val="right"/>
                          <w:rPr>
                            <w:sz w:val="15"/>
                          </w:rPr>
                        </w:pPr>
                        <w:r>
                          <w:rPr>
                            <w:w w:val="102"/>
                            <w:sz w:val="15"/>
                          </w:rPr>
                          <w:t>0</w:t>
                        </w:r>
                      </w:p>
                    </w:tc>
                  </w:tr>
                  <w:tr>
                    <w:trPr>
                      <w:trHeight w:val="530" w:hRule="atLeast"/>
                    </w:trPr>
                    <w:tc>
                      <w:tcPr>
                        <w:tcW w:w="921" w:type="dxa"/>
                      </w:tcPr>
                      <w:p>
                        <w:pPr>
                          <w:pStyle w:val="TableParagraph"/>
                          <w:spacing w:before="6"/>
                          <w:rPr>
                            <w:rFonts w:ascii="Times New Roman"/>
                            <w:sz w:val="15"/>
                          </w:rPr>
                        </w:pPr>
                      </w:p>
                      <w:p>
                        <w:pPr>
                          <w:pStyle w:val="TableParagraph"/>
                          <w:ind w:right="209"/>
                          <w:jc w:val="right"/>
                          <w:rPr>
                            <w:sz w:val="15"/>
                          </w:rPr>
                        </w:pPr>
                        <w:r>
                          <w:rPr>
                            <w:sz w:val="15"/>
                          </w:rPr>
                          <w:t>4.3.7.3</w:t>
                        </w:r>
                      </w:p>
                    </w:tc>
                    <w:tc>
                      <w:tcPr>
                        <w:tcW w:w="3201" w:type="dxa"/>
                      </w:tcPr>
                      <w:p>
                        <w:pPr>
                          <w:pStyle w:val="TableParagraph"/>
                          <w:spacing w:line="178" w:lineRule="exact"/>
                          <w:ind w:left="47" w:right="165"/>
                          <w:rPr>
                            <w:sz w:val="15"/>
                          </w:rPr>
                        </w:pPr>
                        <w:r>
                          <w:rPr>
                            <w:sz w:val="15"/>
                          </w:rPr>
                          <w:t>Regularización de edificaciones existentes de uso no habitación en zonas de origen ejidal con antigüedad de hasta 5 años</w:t>
                        </w:r>
                      </w:p>
                    </w:tc>
                    <w:tc>
                      <w:tcPr>
                        <w:tcW w:w="1261" w:type="dxa"/>
                      </w:tcPr>
                      <w:p>
                        <w:pPr>
                          <w:pStyle w:val="TableParagraph"/>
                          <w:spacing w:before="6"/>
                          <w:rPr>
                            <w:rFonts w:ascii="Times New Roman"/>
                            <w:sz w:val="15"/>
                          </w:rPr>
                        </w:pPr>
                      </w:p>
                      <w:p>
                        <w:pPr>
                          <w:pStyle w:val="TableParagraph"/>
                          <w:ind w:right="34"/>
                          <w:jc w:val="right"/>
                          <w:rPr>
                            <w:sz w:val="15"/>
                          </w:rPr>
                        </w:pPr>
                        <w:r>
                          <w:rPr>
                            <w:w w:val="102"/>
                            <w:sz w:val="15"/>
                          </w:rPr>
                          <w:t>0</w:t>
                        </w:r>
                      </w:p>
                    </w:tc>
                  </w:tr>
                  <w:tr>
                    <w:trPr>
                      <w:trHeight w:val="171" w:hRule="atLeast"/>
                    </w:trPr>
                    <w:tc>
                      <w:tcPr>
                        <w:tcW w:w="921" w:type="dxa"/>
                      </w:tcPr>
                      <w:p>
                        <w:pPr>
                          <w:pStyle w:val="TableParagraph"/>
                          <w:spacing w:line="152" w:lineRule="exact"/>
                          <w:ind w:right="274"/>
                          <w:jc w:val="right"/>
                          <w:rPr>
                            <w:sz w:val="15"/>
                          </w:rPr>
                        </w:pPr>
                        <w:r>
                          <w:rPr>
                            <w:sz w:val="15"/>
                          </w:rPr>
                          <w:t>4.3.8</w:t>
                        </w:r>
                      </w:p>
                    </w:tc>
                    <w:tc>
                      <w:tcPr>
                        <w:tcW w:w="3201" w:type="dxa"/>
                      </w:tcPr>
                      <w:p>
                        <w:pPr>
                          <w:pStyle w:val="TableParagraph"/>
                          <w:spacing w:line="152" w:lineRule="exact"/>
                          <w:ind w:left="47"/>
                          <w:rPr>
                            <w:b/>
                            <w:sz w:val="15"/>
                          </w:rPr>
                        </w:pPr>
                        <w:r>
                          <w:rPr>
                            <w:b/>
                            <w:sz w:val="15"/>
                          </w:rPr>
                          <w:t>Servicios de sanidad</w:t>
                        </w:r>
                      </w:p>
                    </w:tc>
                    <w:tc>
                      <w:tcPr>
                        <w:tcW w:w="1261" w:type="dxa"/>
                      </w:tcPr>
                      <w:p>
                        <w:pPr>
                          <w:pStyle w:val="TableParagraph"/>
                          <w:spacing w:line="152" w:lineRule="exact"/>
                          <w:ind w:right="34"/>
                          <w:jc w:val="right"/>
                          <w:rPr>
                            <w:b/>
                            <w:sz w:val="15"/>
                          </w:rPr>
                        </w:pPr>
                        <w:r>
                          <w:rPr>
                            <w:b/>
                            <w:sz w:val="15"/>
                          </w:rPr>
                          <w:t>118,836</w:t>
                        </w:r>
                      </w:p>
                    </w:tc>
                  </w:tr>
                  <w:tr>
                    <w:trPr>
                      <w:trHeight w:val="176" w:hRule="atLeast"/>
                    </w:trPr>
                    <w:tc>
                      <w:tcPr>
                        <w:tcW w:w="921" w:type="dxa"/>
                      </w:tcPr>
                      <w:p>
                        <w:pPr>
                          <w:pStyle w:val="TableParagraph"/>
                          <w:spacing w:line="154" w:lineRule="exact" w:before="2"/>
                          <w:ind w:right="209"/>
                          <w:jc w:val="right"/>
                          <w:rPr>
                            <w:sz w:val="15"/>
                          </w:rPr>
                        </w:pPr>
                        <w:r>
                          <w:rPr>
                            <w:sz w:val="15"/>
                          </w:rPr>
                          <w:t>4.3.8.1</w:t>
                        </w:r>
                      </w:p>
                    </w:tc>
                    <w:tc>
                      <w:tcPr>
                        <w:tcW w:w="3201" w:type="dxa"/>
                      </w:tcPr>
                      <w:p>
                        <w:pPr>
                          <w:pStyle w:val="TableParagraph"/>
                          <w:spacing w:line="154" w:lineRule="exact" w:before="2"/>
                          <w:ind w:left="47"/>
                          <w:rPr>
                            <w:sz w:val="15"/>
                          </w:rPr>
                        </w:pPr>
                        <w:r>
                          <w:rPr>
                            <w:sz w:val="15"/>
                          </w:rPr>
                          <w:t>Inhumaciones y reinhumaciones</w:t>
                        </w:r>
                      </w:p>
                    </w:tc>
                    <w:tc>
                      <w:tcPr>
                        <w:tcW w:w="1261" w:type="dxa"/>
                      </w:tcPr>
                      <w:p>
                        <w:pPr>
                          <w:pStyle w:val="TableParagraph"/>
                          <w:spacing w:line="154" w:lineRule="exact" w:before="2"/>
                          <w:ind w:right="35"/>
                          <w:jc w:val="right"/>
                          <w:rPr>
                            <w:sz w:val="15"/>
                          </w:rPr>
                        </w:pPr>
                        <w:r>
                          <w:rPr>
                            <w:sz w:val="15"/>
                          </w:rPr>
                          <w:t>70,935</w:t>
                        </w:r>
                      </w:p>
                    </w:tc>
                  </w:tr>
                  <w:tr>
                    <w:trPr>
                      <w:trHeight w:val="175" w:hRule="atLeast"/>
                    </w:trPr>
                    <w:tc>
                      <w:tcPr>
                        <w:tcW w:w="921" w:type="dxa"/>
                      </w:tcPr>
                      <w:p>
                        <w:pPr>
                          <w:pStyle w:val="TableParagraph"/>
                          <w:spacing w:line="154" w:lineRule="exact" w:before="2"/>
                          <w:ind w:right="209"/>
                          <w:jc w:val="right"/>
                          <w:rPr>
                            <w:sz w:val="15"/>
                          </w:rPr>
                        </w:pPr>
                        <w:r>
                          <w:rPr>
                            <w:sz w:val="15"/>
                          </w:rPr>
                          <w:t>4.3.8.2</w:t>
                        </w:r>
                      </w:p>
                    </w:tc>
                    <w:tc>
                      <w:tcPr>
                        <w:tcW w:w="3201" w:type="dxa"/>
                      </w:tcPr>
                      <w:p>
                        <w:pPr>
                          <w:pStyle w:val="TableParagraph"/>
                          <w:spacing w:line="154" w:lineRule="exact" w:before="2"/>
                          <w:ind w:left="47"/>
                          <w:rPr>
                            <w:sz w:val="15"/>
                          </w:rPr>
                        </w:pPr>
                        <w:r>
                          <w:rPr>
                            <w:sz w:val="15"/>
                          </w:rPr>
                          <w:t>Exhumaciones</w:t>
                        </w:r>
                      </w:p>
                    </w:tc>
                    <w:tc>
                      <w:tcPr>
                        <w:tcW w:w="1261" w:type="dxa"/>
                      </w:tcPr>
                      <w:p>
                        <w:pPr>
                          <w:pStyle w:val="TableParagraph"/>
                          <w:spacing w:line="154" w:lineRule="exact" w:before="2"/>
                          <w:ind w:right="34"/>
                          <w:jc w:val="right"/>
                          <w:rPr>
                            <w:sz w:val="15"/>
                          </w:rPr>
                        </w:pPr>
                        <w:r>
                          <w:rPr>
                            <w:w w:val="102"/>
                            <w:sz w:val="15"/>
                          </w:rPr>
                          <w:t>0</w:t>
                        </w:r>
                      </w:p>
                    </w:tc>
                  </w:tr>
                  <w:tr>
                    <w:trPr>
                      <w:trHeight w:val="176" w:hRule="atLeast"/>
                    </w:trPr>
                    <w:tc>
                      <w:tcPr>
                        <w:tcW w:w="921" w:type="dxa"/>
                      </w:tcPr>
                      <w:p>
                        <w:pPr>
                          <w:pStyle w:val="TableParagraph"/>
                          <w:spacing w:line="154" w:lineRule="exact" w:before="2"/>
                          <w:ind w:right="209"/>
                          <w:jc w:val="right"/>
                          <w:rPr>
                            <w:sz w:val="15"/>
                          </w:rPr>
                        </w:pPr>
                        <w:r>
                          <w:rPr>
                            <w:sz w:val="15"/>
                          </w:rPr>
                          <w:t>4.3.8.3</w:t>
                        </w:r>
                      </w:p>
                    </w:tc>
                    <w:tc>
                      <w:tcPr>
                        <w:tcW w:w="3201" w:type="dxa"/>
                      </w:tcPr>
                      <w:p>
                        <w:pPr>
                          <w:pStyle w:val="TableParagraph"/>
                          <w:spacing w:line="154" w:lineRule="exact" w:before="2"/>
                          <w:ind w:left="47"/>
                          <w:rPr>
                            <w:sz w:val="15"/>
                          </w:rPr>
                        </w:pPr>
                        <w:r>
                          <w:rPr>
                            <w:sz w:val="15"/>
                          </w:rPr>
                          <w:t>Servicio de cremación</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2"/>
                          <w:ind w:right="209"/>
                          <w:jc w:val="right"/>
                          <w:rPr>
                            <w:sz w:val="15"/>
                          </w:rPr>
                        </w:pPr>
                        <w:r>
                          <w:rPr>
                            <w:sz w:val="15"/>
                          </w:rPr>
                          <w:t>4.3.8.4</w:t>
                        </w:r>
                      </w:p>
                    </w:tc>
                    <w:tc>
                      <w:tcPr>
                        <w:tcW w:w="3201" w:type="dxa"/>
                      </w:tcPr>
                      <w:p>
                        <w:pPr>
                          <w:pStyle w:val="TableParagraph"/>
                          <w:spacing w:line="154" w:lineRule="exact" w:before="2"/>
                          <w:ind w:left="47"/>
                          <w:rPr>
                            <w:sz w:val="15"/>
                          </w:rPr>
                        </w:pPr>
                        <w:r>
                          <w:rPr>
                            <w:sz w:val="15"/>
                          </w:rPr>
                          <w:t>Traslado de cadáveres fuera del municipio</w:t>
                        </w:r>
                      </w:p>
                    </w:tc>
                    <w:tc>
                      <w:tcPr>
                        <w:tcW w:w="1261" w:type="dxa"/>
                      </w:tcPr>
                      <w:p>
                        <w:pPr>
                          <w:pStyle w:val="TableParagraph"/>
                          <w:spacing w:line="154" w:lineRule="exact" w:before="2"/>
                          <w:ind w:right="36"/>
                          <w:jc w:val="right"/>
                          <w:rPr>
                            <w:sz w:val="15"/>
                          </w:rPr>
                        </w:pPr>
                        <w:r>
                          <w:rPr>
                            <w:sz w:val="15"/>
                          </w:rPr>
                          <w:t>47,901</w:t>
                        </w:r>
                      </w:p>
                    </w:tc>
                  </w:tr>
                  <w:tr>
                    <w:trPr>
                      <w:trHeight w:val="530" w:hRule="atLeast"/>
                    </w:trPr>
                    <w:tc>
                      <w:tcPr>
                        <w:tcW w:w="921" w:type="dxa"/>
                      </w:tcPr>
                      <w:p>
                        <w:pPr>
                          <w:pStyle w:val="TableParagraph"/>
                          <w:spacing w:before="6"/>
                          <w:rPr>
                            <w:rFonts w:ascii="Times New Roman"/>
                            <w:sz w:val="15"/>
                          </w:rPr>
                        </w:pPr>
                      </w:p>
                      <w:p>
                        <w:pPr>
                          <w:pStyle w:val="TableParagraph"/>
                          <w:spacing w:before="1"/>
                          <w:ind w:right="274"/>
                          <w:jc w:val="right"/>
                          <w:rPr>
                            <w:sz w:val="15"/>
                          </w:rPr>
                        </w:pPr>
                        <w:r>
                          <w:rPr>
                            <w:sz w:val="15"/>
                          </w:rPr>
                          <w:t>4.3.9</w:t>
                        </w:r>
                      </w:p>
                    </w:tc>
                    <w:tc>
                      <w:tcPr>
                        <w:tcW w:w="3201" w:type="dxa"/>
                      </w:tcPr>
                      <w:p>
                        <w:pPr>
                          <w:pStyle w:val="TableParagraph"/>
                          <w:spacing w:line="178" w:lineRule="exact" w:before="1"/>
                          <w:ind w:left="47" w:right="165"/>
                          <w:rPr>
                            <w:b/>
                            <w:sz w:val="15"/>
                          </w:rPr>
                        </w:pPr>
                        <w:r>
                          <w:rPr>
                            <w:b/>
                            <w:sz w:val="15"/>
                          </w:rPr>
                          <w:t>Servicio de limpieza, recolección, traslado, tratamiento y disposición final de residuos</w:t>
                        </w:r>
                      </w:p>
                    </w:tc>
                    <w:tc>
                      <w:tcPr>
                        <w:tcW w:w="1261" w:type="dxa"/>
                      </w:tcPr>
                      <w:p>
                        <w:pPr>
                          <w:pStyle w:val="TableParagraph"/>
                          <w:spacing w:before="7"/>
                          <w:rPr>
                            <w:rFonts w:ascii="Times New Roman"/>
                            <w:sz w:val="15"/>
                          </w:rPr>
                        </w:pPr>
                      </w:p>
                      <w:p>
                        <w:pPr>
                          <w:pStyle w:val="TableParagraph"/>
                          <w:spacing w:before="1"/>
                          <w:ind w:right="34"/>
                          <w:jc w:val="right"/>
                          <w:rPr>
                            <w:b/>
                            <w:sz w:val="15"/>
                          </w:rPr>
                        </w:pPr>
                        <w:r>
                          <w:rPr>
                            <w:b/>
                            <w:sz w:val="15"/>
                          </w:rPr>
                          <w:t>252,801</w:t>
                        </w:r>
                      </w:p>
                    </w:tc>
                  </w:tr>
                  <w:tr>
                    <w:trPr>
                      <w:trHeight w:val="348" w:hRule="atLeast"/>
                    </w:trPr>
                    <w:tc>
                      <w:tcPr>
                        <w:tcW w:w="921" w:type="dxa"/>
                      </w:tcPr>
                      <w:p>
                        <w:pPr>
                          <w:pStyle w:val="TableParagraph"/>
                          <w:spacing w:before="86"/>
                          <w:ind w:right="209"/>
                          <w:jc w:val="right"/>
                          <w:rPr>
                            <w:sz w:val="15"/>
                          </w:rPr>
                        </w:pPr>
                        <w:r>
                          <w:rPr>
                            <w:sz w:val="15"/>
                          </w:rPr>
                          <w:t>4.3.9.1</w:t>
                        </w:r>
                      </w:p>
                    </w:tc>
                    <w:tc>
                      <w:tcPr>
                        <w:tcW w:w="3201" w:type="dxa"/>
                      </w:tcPr>
                      <w:p>
                        <w:pPr>
                          <w:pStyle w:val="TableParagraph"/>
                          <w:spacing w:line="170" w:lineRule="exact"/>
                          <w:ind w:left="47"/>
                          <w:rPr>
                            <w:sz w:val="15"/>
                          </w:rPr>
                        </w:pPr>
                        <w:r>
                          <w:rPr>
                            <w:sz w:val="15"/>
                          </w:rPr>
                          <w:t>Recolección y traslado de basura, desechos</w:t>
                        </w:r>
                      </w:p>
                      <w:p>
                        <w:pPr>
                          <w:pStyle w:val="TableParagraph"/>
                          <w:spacing w:line="154" w:lineRule="exact" w:before="4"/>
                          <w:ind w:left="47"/>
                          <w:rPr>
                            <w:sz w:val="15"/>
                          </w:rPr>
                        </w:pPr>
                        <w:r>
                          <w:rPr>
                            <w:sz w:val="15"/>
                          </w:rPr>
                          <w:t>o desperdicios no peligrosos</w:t>
                        </w:r>
                      </w:p>
                    </w:tc>
                    <w:tc>
                      <w:tcPr>
                        <w:tcW w:w="1261" w:type="dxa"/>
                      </w:tcPr>
                      <w:p>
                        <w:pPr>
                          <w:pStyle w:val="TableParagraph"/>
                          <w:spacing w:before="86"/>
                          <w:ind w:right="34"/>
                          <w:jc w:val="right"/>
                          <w:rPr>
                            <w:sz w:val="15"/>
                          </w:rPr>
                        </w:pPr>
                        <w:r>
                          <w:rPr>
                            <w:sz w:val="15"/>
                          </w:rPr>
                          <w:t>227,115</w:t>
                        </w:r>
                      </w:p>
                    </w:tc>
                  </w:tr>
                  <w:tr>
                    <w:trPr>
                      <w:trHeight w:val="352" w:hRule="atLeast"/>
                    </w:trPr>
                    <w:tc>
                      <w:tcPr>
                        <w:tcW w:w="921" w:type="dxa"/>
                      </w:tcPr>
                      <w:p>
                        <w:pPr>
                          <w:pStyle w:val="TableParagraph"/>
                          <w:spacing w:before="90"/>
                          <w:ind w:right="209"/>
                          <w:jc w:val="right"/>
                          <w:rPr>
                            <w:sz w:val="15"/>
                          </w:rPr>
                        </w:pPr>
                        <w:r>
                          <w:rPr>
                            <w:sz w:val="15"/>
                          </w:rPr>
                          <w:t>4.3.9.2</w:t>
                        </w:r>
                      </w:p>
                    </w:tc>
                    <w:tc>
                      <w:tcPr>
                        <w:tcW w:w="3201" w:type="dxa"/>
                      </w:tcPr>
                      <w:p>
                        <w:pPr>
                          <w:pStyle w:val="TableParagraph"/>
                          <w:spacing w:line="178" w:lineRule="exact"/>
                          <w:ind w:left="47" w:right="165"/>
                          <w:rPr>
                            <w:sz w:val="15"/>
                          </w:rPr>
                        </w:pPr>
                        <w:r>
                          <w:rPr>
                            <w:sz w:val="15"/>
                          </w:rPr>
                          <w:t>Recolección y traslado de basura, </w:t>
                        </w:r>
                        <w:r>
                          <w:rPr>
                            <w:spacing w:val="-3"/>
                            <w:sz w:val="15"/>
                          </w:rPr>
                          <w:t>desechos </w:t>
                        </w:r>
                        <w:r>
                          <w:rPr>
                            <w:sz w:val="15"/>
                          </w:rPr>
                          <w:t>o desperdicios</w:t>
                        </w:r>
                        <w:r>
                          <w:rPr>
                            <w:spacing w:val="4"/>
                            <w:sz w:val="15"/>
                          </w:rPr>
                          <w:t> </w:t>
                        </w:r>
                        <w:r>
                          <w:rPr>
                            <w:sz w:val="15"/>
                          </w:rPr>
                          <w:t>peligrosos</w:t>
                        </w:r>
                      </w:p>
                    </w:tc>
                    <w:tc>
                      <w:tcPr>
                        <w:tcW w:w="1261" w:type="dxa"/>
                      </w:tcPr>
                      <w:p>
                        <w:pPr>
                          <w:pStyle w:val="TableParagraph"/>
                          <w:spacing w:before="90"/>
                          <w:ind w:right="34"/>
                          <w:jc w:val="right"/>
                          <w:rPr>
                            <w:sz w:val="15"/>
                          </w:rPr>
                        </w:pPr>
                        <w:r>
                          <w:rPr>
                            <w:w w:val="102"/>
                            <w:sz w:val="15"/>
                          </w:rPr>
                          <w:t>0</w:t>
                        </w:r>
                      </w:p>
                    </w:tc>
                  </w:tr>
                </w:tbl>
                <w:p>
                  <w:pPr>
                    <w:pStyle w:val="BodyText"/>
                  </w:pPr>
                </w:p>
              </w:txbxContent>
            </v:textbox>
          </v:shape>
        </w:pict>
      </w:r>
      <w:r>
        <w:rPr>
          <w:rFonts w:ascii="Times New Roman"/>
          <w:sz w:val="20"/>
        </w:rPr>
      </w:r>
      <w:r>
        <w:rPr>
          <w:rFonts w:ascii="Times New Roman"/>
          <w:sz w:val="20"/>
        </w:rPr>
        <w:tab/>
      </w:r>
      <w:r>
        <w:rPr>
          <w:rFonts w:ascii="Times New Roman"/>
          <w:position w:val="5"/>
          <w:sz w:val="20"/>
        </w:rPr>
        <w:pict>
          <v:shape style="width:270.1pt;height:499.7pt;mso-position-horizontal-relative:char;mso-position-vertical-relative:line" type="#_x0000_t202"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1"/>
                    <w:gridCol w:w="3201"/>
                    <w:gridCol w:w="1261"/>
                  </w:tblGrid>
                  <w:tr>
                    <w:trPr>
                      <w:trHeight w:val="353" w:hRule="atLeast"/>
                    </w:trPr>
                    <w:tc>
                      <w:tcPr>
                        <w:tcW w:w="921" w:type="dxa"/>
                        <w:tcBorders>
                          <w:top w:val="nil"/>
                        </w:tcBorders>
                      </w:tcPr>
                      <w:p>
                        <w:pPr>
                          <w:pStyle w:val="TableParagraph"/>
                          <w:spacing w:before="90"/>
                          <w:ind w:right="209"/>
                          <w:jc w:val="right"/>
                          <w:rPr>
                            <w:sz w:val="15"/>
                          </w:rPr>
                        </w:pPr>
                        <w:r>
                          <w:rPr>
                            <w:sz w:val="15"/>
                          </w:rPr>
                          <w:t>4.3.9.3</w:t>
                        </w:r>
                      </w:p>
                    </w:tc>
                    <w:tc>
                      <w:tcPr>
                        <w:tcW w:w="3201" w:type="dxa"/>
                        <w:tcBorders>
                          <w:top w:val="nil"/>
                        </w:tcBorders>
                      </w:tcPr>
                      <w:p>
                        <w:pPr>
                          <w:pStyle w:val="TableParagraph"/>
                          <w:spacing w:line="178" w:lineRule="exact"/>
                          <w:ind w:left="47"/>
                          <w:rPr>
                            <w:sz w:val="15"/>
                          </w:rPr>
                        </w:pPr>
                        <w:r>
                          <w:rPr>
                            <w:sz w:val="15"/>
                          </w:rPr>
                          <w:t>Limpieza de lotes baldíos, jardines, prados, banquetas y similares</w:t>
                        </w:r>
                      </w:p>
                    </w:tc>
                    <w:tc>
                      <w:tcPr>
                        <w:tcW w:w="1261" w:type="dxa"/>
                        <w:tcBorders>
                          <w:top w:val="nil"/>
                        </w:tcBorders>
                      </w:tcPr>
                      <w:p>
                        <w:pPr>
                          <w:pStyle w:val="TableParagraph"/>
                          <w:spacing w:before="90"/>
                          <w:ind w:right="34"/>
                          <w:jc w:val="right"/>
                          <w:rPr>
                            <w:sz w:val="15"/>
                          </w:rPr>
                        </w:pPr>
                        <w:r>
                          <w:rPr>
                            <w:w w:val="102"/>
                            <w:sz w:val="15"/>
                          </w:rPr>
                          <w:t>0</w:t>
                        </w:r>
                      </w:p>
                    </w:tc>
                  </w:tr>
                  <w:tr>
                    <w:trPr>
                      <w:trHeight w:val="173" w:hRule="atLeast"/>
                    </w:trPr>
                    <w:tc>
                      <w:tcPr>
                        <w:tcW w:w="921" w:type="dxa"/>
                      </w:tcPr>
                      <w:p>
                        <w:pPr>
                          <w:pStyle w:val="TableParagraph"/>
                          <w:spacing w:line="153" w:lineRule="exact"/>
                          <w:ind w:right="209"/>
                          <w:jc w:val="right"/>
                          <w:rPr>
                            <w:sz w:val="15"/>
                          </w:rPr>
                        </w:pPr>
                        <w:r>
                          <w:rPr>
                            <w:sz w:val="15"/>
                          </w:rPr>
                          <w:t>4.3.9.4</w:t>
                        </w:r>
                      </w:p>
                    </w:tc>
                    <w:tc>
                      <w:tcPr>
                        <w:tcW w:w="3201" w:type="dxa"/>
                      </w:tcPr>
                      <w:p>
                        <w:pPr>
                          <w:pStyle w:val="TableParagraph"/>
                          <w:spacing w:line="153" w:lineRule="exact"/>
                          <w:ind w:left="47"/>
                          <w:rPr>
                            <w:sz w:val="15"/>
                          </w:rPr>
                        </w:pPr>
                        <w:r>
                          <w:rPr>
                            <w:sz w:val="15"/>
                          </w:rPr>
                          <w:t>Servicio exclusivo de camiones de aseo</w:t>
                        </w:r>
                      </w:p>
                    </w:tc>
                    <w:tc>
                      <w:tcPr>
                        <w:tcW w:w="1261" w:type="dxa"/>
                      </w:tcPr>
                      <w:p>
                        <w:pPr>
                          <w:pStyle w:val="TableParagraph"/>
                          <w:spacing w:line="153" w:lineRule="exact"/>
                          <w:ind w:right="35"/>
                          <w:jc w:val="right"/>
                          <w:rPr>
                            <w:sz w:val="15"/>
                          </w:rPr>
                        </w:pPr>
                        <w:r>
                          <w:rPr>
                            <w:sz w:val="15"/>
                          </w:rPr>
                          <w:t>10,856</w:t>
                        </w:r>
                      </w:p>
                    </w:tc>
                  </w:tr>
                  <w:tr>
                    <w:trPr>
                      <w:trHeight w:val="352" w:hRule="atLeast"/>
                    </w:trPr>
                    <w:tc>
                      <w:tcPr>
                        <w:tcW w:w="921" w:type="dxa"/>
                      </w:tcPr>
                      <w:p>
                        <w:pPr>
                          <w:pStyle w:val="TableParagraph"/>
                          <w:spacing w:before="90"/>
                          <w:ind w:right="209"/>
                          <w:jc w:val="right"/>
                          <w:rPr>
                            <w:sz w:val="15"/>
                          </w:rPr>
                        </w:pPr>
                        <w:r>
                          <w:rPr>
                            <w:sz w:val="15"/>
                          </w:rPr>
                          <w:t>4.3.9.5</w:t>
                        </w:r>
                      </w:p>
                    </w:tc>
                    <w:tc>
                      <w:tcPr>
                        <w:tcW w:w="3201" w:type="dxa"/>
                      </w:tcPr>
                      <w:p>
                        <w:pPr>
                          <w:pStyle w:val="TableParagraph"/>
                          <w:spacing w:line="178" w:lineRule="exact"/>
                          <w:ind w:left="47"/>
                          <w:rPr>
                            <w:sz w:val="15"/>
                          </w:rPr>
                        </w:pPr>
                        <w:r>
                          <w:rPr>
                            <w:sz w:val="15"/>
                          </w:rPr>
                          <w:t>Por utilizar tiraderos y rellenos sanitarios del municipio</w:t>
                        </w:r>
                      </w:p>
                    </w:tc>
                    <w:tc>
                      <w:tcPr>
                        <w:tcW w:w="1261" w:type="dxa"/>
                      </w:tcPr>
                      <w:p>
                        <w:pPr>
                          <w:pStyle w:val="TableParagraph"/>
                          <w:spacing w:before="90"/>
                          <w:ind w:right="34"/>
                          <w:jc w:val="right"/>
                          <w:rPr>
                            <w:sz w:val="15"/>
                          </w:rPr>
                        </w:pPr>
                        <w:r>
                          <w:rPr>
                            <w:sz w:val="15"/>
                          </w:rPr>
                          <w:t>14,604</w:t>
                        </w:r>
                      </w:p>
                    </w:tc>
                  </w:tr>
                  <w:tr>
                    <w:trPr>
                      <w:trHeight w:val="173" w:hRule="atLeast"/>
                    </w:trPr>
                    <w:tc>
                      <w:tcPr>
                        <w:tcW w:w="921" w:type="dxa"/>
                      </w:tcPr>
                      <w:p>
                        <w:pPr>
                          <w:pStyle w:val="TableParagraph"/>
                          <w:spacing w:line="153" w:lineRule="exact"/>
                          <w:ind w:right="209"/>
                          <w:jc w:val="right"/>
                          <w:rPr>
                            <w:sz w:val="15"/>
                          </w:rPr>
                        </w:pPr>
                        <w:r>
                          <w:rPr>
                            <w:sz w:val="15"/>
                          </w:rPr>
                          <w:t>4.3.9.9</w:t>
                        </w:r>
                      </w:p>
                    </w:tc>
                    <w:tc>
                      <w:tcPr>
                        <w:tcW w:w="3201" w:type="dxa"/>
                      </w:tcPr>
                      <w:p>
                        <w:pPr>
                          <w:pStyle w:val="TableParagraph"/>
                          <w:spacing w:line="153" w:lineRule="exact"/>
                          <w:ind w:left="47"/>
                          <w:rPr>
                            <w:sz w:val="15"/>
                          </w:rPr>
                        </w:pPr>
                        <w:r>
                          <w:rPr>
                            <w:sz w:val="15"/>
                          </w:rPr>
                          <w:t>Otros servicios similares</w:t>
                        </w:r>
                      </w:p>
                    </w:tc>
                    <w:tc>
                      <w:tcPr>
                        <w:tcW w:w="1261" w:type="dxa"/>
                      </w:tcPr>
                      <w:p>
                        <w:pPr>
                          <w:pStyle w:val="TableParagraph"/>
                          <w:spacing w:line="153" w:lineRule="exact"/>
                          <w:ind w:right="34"/>
                          <w:jc w:val="right"/>
                          <w:rPr>
                            <w:sz w:val="15"/>
                          </w:rPr>
                        </w:pPr>
                        <w:r>
                          <w:rPr>
                            <w:sz w:val="15"/>
                          </w:rPr>
                          <w:t>226</w:t>
                        </w:r>
                      </w:p>
                    </w:tc>
                  </w:tr>
                  <w:tr>
                    <w:trPr>
                      <w:trHeight w:val="175" w:hRule="atLeast"/>
                    </w:trPr>
                    <w:tc>
                      <w:tcPr>
                        <w:tcW w:w="921" w:type="dxa"/>
                      </w:tcPr>
                      <w:p>
                        <w:pPr>
                          <w:pStyle w:val="TableParagraph"/>
                          <w:spacing w:line="154" w:lineRule="exact" w:before="2"/>
                          <w:ind w:right="231"/>
                          <w:jc w:val="right"/>
                          <w:rPr>
                            <w:sz w:val="15"/>
                          </w:rPr>
                        </w:pPr>
                        <w:r>
                          <w:rPr>
                            <w:sz w:val="15"/>
                          </w:rPr>
                          <w:t>4.3.10</w:t>
                        </w:r>
                      </w:p>
                    </w:tc>
                    <w:tc>
                      <w:tcPr>
                        <w:tcW w:w="3201" w:type="dxa"/>
                      </w:tcPr>
                      <w:p>
                        <w:pPr>
                          <w:pStyle w:val="TableParagraph"/>
                          <w:spacing w:line="153" w:lineRule="exact" w:before="3"/>
                          <w:ind w:left="47"/>
                          <w:rPr>
                            <w:b/>
                            <w:sz w:val="15"/>
                          </w:rPr>
                        </w:pPr>
                        <w:r>
                          <w:rPr>
                            <w:b/>
                            <w:sz w:val="15"/>
                          </w:rPr>
                          <w:t>Agua potable y alcantarillado</w:t>
                        </w:r>
                      </w:p>
                    </w:tc>
                    <w:tc>
                      <w:tcPr>
                        <w:tcW w:w="1261" w:type="dxa"/>
                      </w:tcPr>
                      <w:p>
                        <w:pPr>
                          <w:pStyle w:val="TableParagraph"/>
                          <w:spacing w:line="153" w:lineRule="exact" w:before="3"/>
                          <w:ind w:right="33"/>
                          <w:jc w:val="right"/>
                          <w:rPr>
                            <w:b/>
                            <w:sz w:val="15"/>
                          </w:rPr>
                        </w:pPr>
                        <w:r>
                          <w:rPr>
                            <w:b/>
                            <w:sz w:val="15"/>
                          </w:rPr>
                          <w:t>275,088,069</w:t>
                        </w:r>
                      </w:p>
                    </w:tc>
                  </w:tr>
                  <w:tr>
                    <w:trPr>
                      <w:trHeight w:val="176" w:hRule="atLeast"/>
                    </w:trPr>
                    <w:tc>
                      <w:tcPr>
                        <w:tcW w:w="921" w:type="dxa"/>
                      </w:tcPr>
                      <w:p>
                        <w:pPr>
                          <w:pStyle w:val="TableParagraph"/>
                          <w:spacing w:line="154" w:lineRule="exact" w:before="2"/>
                          <w:ind w:right="166"/>
                          <w:jc w:val="right"/>
                          <w:rPr>
                            <w:sz w:val="15"/>
                          </w:rPr>
                        </w:pPr>
                        <w:r>
                          <w:rPr>
                            <w:sz w:val="15"/>
                          </w:rPr>
                          <w:t>4.3.10.1</w:t>
                        </w:r>
                      </w:p>
                    </w:tc>
                    <w:tc>
                      <w:tcPr>
                        <w:tcW w:w="3201" w:type="dxa"/>
                      </w:tcPr>
                      <w:p>
                        <w:pPr>
                          <w:pStyle w:val="TableParagraph"/>
                          <w:spacing w:line="154" w:lineRule="exact" w:before="2"/>
                          <w:ind w:left="47"/>
                          <w:rPr>
                            <w:sz w:val="15"/>
                          </w:rPr>
                        </w:pPr>
                        <w:r>
                          <w:rPr>
                            <w:sz w:val="15"/>
                          </w:rPr>
                          <w:t>Servicio doméstico</w:t>
                        </w:r>
                      </w:p>
                    </w:tc>
                    <w:tc>
                      <w:tcPr>
                        <w:tcW w:w="1261" w:type="dxa"/>
                      </w:tcPr>
                      <w:p>
                        <w:pPr>
                          <w:pStyle w:val="TableParagraph"/>
                          <w:spacing w:line="154" w:lineRule="exact" w:before="2"/>
                          <w:ind w:right="34"/>
                          <w:jc w:val="right"/>
                          <w:rPr>
                            <w:sz w:val="15"/>
                          </w:rPr>
                        </w:pPr>
                        <w:r>
                          <w:rPr>
                            <w:sz w:val="15"/>
                          </w:rPr>
                          <w:t>131,241,182</w:t>
                        </w:r>
                      </w:p>
                    </w:tc>
                  </w:tr>
                  <w:tr>
                    <w:trPr>
                      <w:trHeight w:val="175" w:hRule="atLeast"/>
                    </w:trPr>
                    <w:tc>
                      <w:tcPr>
                        <w:tcW w:w="921" w:type="dxa"/>
                      </w:tcPr>
                      <w:p>
                        <w:pPr>
                          <w:pStyle w:val="TableParagraph"/>
                          <w:spacing w:line="154" w:lineRule="exact" w:before="2"/>
                          <w:ind w:right="166"/>
                          <w:jc w:val="right"/>
                          <w:rPr>
                            <w:sz w:val="15"/>
                          </w:rPr>
                        </w:pPr>
                        <w:r>
                          <w:rPr>
                            <w:sz w:val="15"/>
                          </w:rPr>
                          <w:t>4.3.10.2</w:t>
                        </w:r>
                      </w:p>
                    </w:tc>
                    <w:tc>
                      <w:tcPr>
                        <w:tcW w:w="3201" w:type="dxa"/>
                      </w:tcPr>
                      <w:p>
                        <w:pPr>
                          <w:pStyle w:val="TableParagraph"/>
                          <w:spacing w:line="154" w:lineRule="exact" w:before="2"/>
                          <w:ind w:left="47"/>
                          <w:rPr>
                            <w:sz w:val="15"/>
                          </w:rPr>
                        </w:pPr>
                        <w:r>
                          <w:rPr>
                            <w:sz w:val="15"/>
                          </w:rPr>
                          <w:t>Servicio no doméstico</w:t>
                        </w:r>
                      </w:p>
                    </w:tc>
                    <w:tc>
                      <w:tcPr>
                        <w:tcW w:w="1261" w:type="dxa"/>
                      </w:tcPr>
                      <w:p>
                        <w:pPr>
                          <w:pStyle w:val="TableParagraph"/>
                          <w:spacing w:line="154" w:lineRule="exact" w:before="2"/>
                          <w:ind w:right="35"/>
                          <w:jc w:val="right"/>
                          <w:rPr>
                            <w:sz w:val="15"/>
                          </w:rPr>
                        </w:pPr>
                        <w:r>
                          <w:rPr>
                            <w:sz w:val="15"/>
                          </w:rPr>
                          <w:t>12,504,146</w:t>
                        </w:r>
                      </w:p>
                    </w:tc>
                  </w:tr>
                  <w:tr>
                    <w:trPr>
                      <w:trHeight w:val="176" w:hRule="atLeast"/>
                    </w:trPr>
                    <w:tc>
                      <w:tcPr>
                        <w:tcW w:w="921" w:type="dxa"/>
                      </w:tcPr>
                      <w:p>
                        <w:pPr>
                          <w:pStyle w:val="TableParagraph"/>
                          <w:spacing w:line="154" w:lineRule="exact" w:before="2"/>
                          <w:ind w:right="166"/>
                          <w:jc w:val="right"/>
                          <w:rPr>
                            <w:sz w:val="15"/>
                          </w:rPr>
                        </w:pPr>
                        <w:r>
                          <w:rPr>
                            <w:sz w:val="15"/>
                          </w:rPr>
                          <w:t>4.3.10.3</w:t>
                        </w:r>
                      </w:p>
                    </w:tc>
                    <w:tc>
                      <w:tcPr>
                        <w:tcW w:w="3201" w:type="dxa"/>
                      </w:tcPr>
                      <w:p>
                        <w:pPr>
                          <w:pStyle w:val="TableParagraph"/>
                          <w:spacing w:line="154" w:lineRule="exact" w:before="2"/>
                          <w:ind w:left="47"/>
                          <w:rPr>
                            <w:sz w:val="15"/>
                          </w:rPr>
                        </w:pPr>
                        <w:r>
                          <w:rPr>
                            <w:sz w:val="15"/>
                          </w:rPr>
                          <w:t>Predios baldíos</w:t>
                        </w:r>
                      </w:p>
                    </w:tc>
                    <w:tc>
                      <w:tcPr>
                        <w:tcW w:w="1261" w:type="dxa"/>
                      </w:tcPr>
                      <w:p>
                        <w:pPr>
                          <w:pStyle w:val="TableParagraph"/>
                          <w:spacing w:line="154" w:lineRule="exact" w:before="2"/>
                          <w:ind w:right="35"/>
                          <w:jc w:val="right"/>
                          <w:rPr>
                            <w:sz w:val="15"/>
                          </w:rPr>
                        </w:pPr>
                        <w:r>
                          <w:rPr>
                            <w:sz w:val="15"/>
                          </w:rPr>
                          <w:t>13,610,811</w:t>
                        </w:r>
                      </w:p>
                    </w:tc>
                  </w:tr>
                  <w:tr>
                    <w:trPr>
                      <w:trHeight w:val="175" w:hRule="atLeast"/>
                    </w:trPr>
                    <w:tc>
                      <w:tcPr>
                        <w:tcW w:w="921" w:type="dxa"/>
                      </w:tcPr>
                      <w:p>
                        <w:pPr>
                          <w:pStyle w:val="TableParagraph"/>
                          <w:spacing w:line="154" w:lineRule="exact" w:before="1"/>
                          <w:ind w:right="166"/>
                          <w:jc w:val="right"/>
                          <w:rPr>
                            <w:sz w:val="15"/>
                          </w:rPr>
                        </w:pPr>
                        <w:r>
                          <w:rPr>
                            <w:sz w:val="15"/>
                          </w:rPr>
                          <w:t>4.3.10.4</w:t>
                        </w:r>
                      </w:p>
                    </w:tc>
                    <w:tc>
                      <w:tcPr>
                        <w:tcW w:w="3201" w:type="dxa"/>
                      </w:tcPr>
                      <w:p>
                        <w:pPr>
                          <w:pStyle w:val="TableParagraph"/>
                          <w:spacing w:line="154" w:lineRule="exact" w:before="1"/>
                          <w:ind w:left="47"/>
                          <w:rPr>
                            <w:sz w:val="15"/>
                          </w:rPr>
                        </w:pPr>
                        <w:r>
                          <w:rPr>
                            <w:sz w:val="15"/>
                          </w:rPr>
                          <w:t>Servicios en localidades</w:t>
                        </w:r>
                      </w:p>
                    </w:tc>
                    <w:tc>
                      <w:tcPr>
                        <w:tcW w:w="1261" w:type="dxa"/>
                      </w:tcPr>
                      <w:p>
                        <w:pPr>
                          <w:pStyle w:val="TableParagraph"/>
                          <w:spacing w:line="154" w:lineRule="exact" w:before="1"/>
                          <w:ind w:right="35"/>
                          <w:jc w:val="right"/>
                          <w:rPr>
                            <w:sz w:val="15"/>
                          </w:rPr>
                        </w:pPr>
                        <w:r>
                          <w:rPr>
                            <w:sz w:val="15"/>
                          </w:rPr>
                          <w:t>270,367</w:t>
                        </w:r>
                      </w:p>
                    </w:tc>
                  </w:tr>
                  <w:tr>
                    <w:trPr>
                      <w:trHeight w:val="353" w:hRule="atLeast"/>
                    </w:trPr>
                    <w:tc>
                      <w:tcPr>
                        <w:tcW w:w="921" w:type="dxa"/>
                      </w:tcPr>
                      <w:p>
                        <w:pPr>
                          <w:pStyle w:val="TableParagraph"/>
                          <w:spacing w:before="90"/>
                          <w:ind w:right="166"/>
                          <w:jc w:val="right"/>
                          <w:rPr>
                            <w:sz w:val="15"/>
                          </w:rPr>
                        </w:pPr>
                        <w:r>
                          <w:rPr>
                            <w:sz w:val="15"/>
                          </w:rPr>
                          <w:t>4.3.10.5</w:t>
                        </w:r>
                      </w:p>
                    </w:tc>
                    <w:tc>
                      <w:tcPr>
                        <w:tcW w:w="3201" w:type="dxa"/>
                      </w:tcPr>
                      <w:p>
                        <w:pPr>
                          <w:pStyle w:val="TableParagraph"/>
                          <w:spacing w:line="178" w:lineRule="exact"/>
                          <w:ind w:left="47"/>
                          <w:rPr>
                            <w:sz w:val="15"/>
                          </w:rPr>
                        </w:pPr>
                        <w:r>
                          <w:rPr>
                            <w:sz w:val="15"/>
                          </w:rPr>
                          <w:t>20% para el saneamiento de las aguas residuales</w:t>
                        </w:r>
                      </w:p>
                    </w:tc>
                    <w:tc>
                      <w:tcPr>
                        <w:tcW w:w="1261" w:type="dxa"/>
                      </w:tcPr>
                      <w:p>
                        <w:pPr>
                          <w:pStyle w:val="TableParagraph"/>
                          <w:spacing w:before="90"/>
                          <w:ind w:right="34"/>
                          <w:jc w:val="right"/>
                          <w:rPr>
                            <w:sz w:val="15"/>
                          </w:rPr>
                        </w:pPr>
                        <w:r>
                          <w:rPr>
                            <w:sz w:val="15"/>
                          </w:rPr>
                          <w:t>29,626,399</w:t>
                        </w:r>
                      </w:p>
                    </w:tc>
                  </w:tr>
                  <w:tr>
                    <w:trPr>
                      <w:trHeight w:val="350" w:hRule="atLeast"/>
                    </w:trPr>
                    <w:tc>
                      <w:tcPr>
                        <w:tcW w:w="921" w:type="dxa"/>
                      </w:tcPr>
                      <w:p>
                        <w:pPr>
                          <w:pStyle w:val="TableParagraph"/>
                          <w:spacing w:before="88"/>
                          <w:ind w:right="166"/>
                          <w:jc w:val="right"/>
                          <w:rPr>
                            <w:sz w:val="15"/>
                          </w:rPr>
                        </w:pPr>
                        <w:r>
                          <w:rPr>
                            <w:sz w:val="15"/>
                          </w:rPr>
                          <w:t>4.3.10.6</w:t>
                        </w:r>
                      </w:p>
                    </w:tc>
                    <w:tc>
                      <w:tcPr>
                        <w:tcW w:w="3201" w:type="dxa"/>
                      </w:tcPr>
                      <w:p>
                        <w:pPr>
                          <w:pStyle w:val="TableParagraph"/>
                          <w:spacing w:line="172" w:lineRule="exact"/>
                          <w:ind w:left="47"/>
                          <w:rPr>
                            <w:sz w:val="15"/>
                          </w:rPr>
                        </w:pPr>
                        <w:r>
                          <w:rPr>
                            <w:sz w:val="15"/>
                          </w:rPr>
                          <w:t>2% o 3% para la infraestructura básica</w:t>
                        </w:r>
                      </w:p>
                      <w:p>
                        <w:pPr>
                          <w:pStyle w:val="TableParagraph"/>
                          <w:spacing w:line="154" w:lineRule="exact" w:before="4"/>
                          <w:ind w:left="47"/>
                          <w:rPr>
                            <w:sz w:val="15"/>
                          </w:rPr>
                        </w:pPr>
                        <w:r>
                          <w:rPr>
                            <w:sz w:val="15"/>
                          </w:rPr>
                          <w:t>existente</w:t>
                        </w:r>
                      </w:p>
                    </w:tc>
                    <w:tc>
                      <w:tcPr>
                        <w:tcW w:w="1261" w:type="dxa"/>
                      </w:tcPr>
                      <w:p>
                        <w:pPr>
                          <w:pStyle w:val="TableParagraph"/>
                          <w:spacing w:before="88"/>
                          <w:ind w:right="34"/>
                          <w:jc w:val="right"/>
                          <w:rPr>
                            <w:sz w:val="15"/>
                          </w:rPr>
                        </w:pPr>
                        <w:r>
                          <w:rPr>
                            <w:sz w:val="15"/>
                          </w:rPr>
                          <w:t>4,443,960</w:t>
                        </w:r>
                      </w:p>
                    </w:tc>
                  </w:tr>
                  <w:tr>
                    <w:trPr>
                      <w:trHeight w:val="352" w:hRule="atLeast"/>
                    </w:trPr>
                    <w:tc>
                      <w:tcPr>
                        <w:tcW w:w="921" w:type="dxa"/>
                      </w:tcPr>
                      <w:p>
                        <w:pPr>
                          <w:pStyle w:val="TableParagraph"/>
                          <w:spacing w:before="90"/>
                          <w:ind w:right="166"/>
                          <w:jc w:val="right"/>
                          <w:rPr>
                            <w:sz w:val="15"/>
                          </w:rPr>
                        </w:pPr>
                        <w:r>
                          <w:rPr>
                            <w:sz w:val="15"/>
                          </w:rPr>
                          <w:t>4.3.10.7</w:t>
                        </w:r>
                      </w:p>
                    </w:tc>
                    <w:tc>
                      <w:tcPr>
                        <w:tcW w:w="3201" w:type="dxa"/>
                      </w:tcPr>
                      <w:p>
                        <w:pPr>
                          <w:pStyle w:val="TableParagraph"/>
                          <w:spacing w:line="176" w:lineRule="exact" w:before="2"/>
                          <w:ind w:left="47"/>
                          <w:rPr>
                            <w:sz w:val="15"/>
                          </w:rPr>
                        </w:pPr>
                        <w:r>
                          <w:rPr>
                            <w:sz w:val="15"/>
                          </w:rPr>
                          <w:t>Aprovechamiento de la infraestructura básica existente</w:t>
                        </w:r>
                      </w:p>
                    </w:tc>
                    <w:tc>
                      <w:tcPr>
                        <w:tcW w:w="1261" w:type="dxa"/>
                      </w:tcPr>
                      <w:p>
                        <w:pPr>
                          <w:pStyle w:val="TableParagraph"/>
                          <w:spacing w:before="90"/>
                          <w:ind w:right="34"/>
                          <w:jc w:val="right"/>
                          <w:rPr>
                            <w:sz w:val="15"/>
                          </w:rPr>
                        </w:pPr>
                        <w:r>
                          <w:rPr>
                            <w:sz w:val="15"/>
                          </w:rPr>
                          <w:t>73,615,965</w:t>
                        </w:r>
                      </w:p>
                    </w:tc>
                  </w:tr>
                  <w:tr>
                    <w:trPr>
                      <w:trHeight w:val="175" w:hRule="atLeast"/>
                    </w:trPr>
                    <w:tc>
                      <w:tcPr>
                        <w:tcW w:w="921" w:type="dxa"/>
                      </w:tcPr>
                      <w:p>
                        <w:pPr>
                          <w:pStyle w:val="TableParagraph"/>
                          <w:spacing w:line="154" w:lineRule="exact" w:before="1"/>
                          <w:ind w:right="166"/>
                          <w:jc w:val="right"/>
                          <w:rPr>
                            <w:sz w:val="15"/>
                          </w:rPr>
                        </w:pPr>
                        <w:r>
                          <w:rPr>
                            <w:sz w:val="15"/>
                          </w:rPr>
                          <w:t>4.3.10.8</w:t>
                        </w:r>
                      </w:p>
                    </w:tc>
                    <w:tc>
                      <w:tcPr>
                        <w:tcW w:w="3201" w:type="dxa"/>
                      </w:tcPr>
                      <w:p>
                        <w:pPr>
                          <w:pStyle w:val="TableParagraph"/>
                          <w:spacing w:line="154" w:lineRule="exact" w:before="1"/>
                          <w:ind w:left="47"/>
                          <w:rPr>
                            <w:sz w:val="15"/>
                          </w:rPr>
                        </w:pPr>
                        <w:r>
                          <w:rPr>
                            <w:sz w:val="15"/>
                          </w:rPr>
                          <w:t>Conexión o reconexión al servicio</w:t>
                        </w:r>
                      </w:p>
                    </w:tc>
                    <w:tc>
                      <w:tcPr>
                        <w:tcW w:w="1261" w:type="dxa"/>
                      </w:tcPr>
                      <w:p>
                        <w:pPr>
                          <w:pStyle w:val="TableParagraph"/>
                          <w:spacing w:line="154" w:lineRule="exact" w:before="1"/>
                          <w:ind w:right="34"/>
                          <w:jc w:val="right"/>
                          <w:rPr>
                            <w:sz w:val="15"/>
                          </w:rPr>
                        </w:pPr>
                        <w:r>
                          <w:rPr>
                            <w:sz w:val="15"/>
                          </w:rPr>
                          <w:t>9,775,240</w:t>
                        </w:r>
                      </w:p>
                    </w:tc>
                  </w:tr>
                  <w:tr>
                    <w:trPr>
                      <w:trHeight w:val="175" w:hRule="atLeast"/>
                    </w:trPr>
                    <w:tc>
                      <w:tcPr>
                        <w:tcW w:w="921" w:type="dxa"/>
                      </w:tcPr>
                      <w:p>
                        <w:pPr>
                          <w:pStyle w:val="TableParagraph"/>
                          <w:spacing w:line="154" w:lineRule="exact" w:before="1"/>
                          <w:ind w:right="231"/>
                          <w:jc w:val="right"/>
                          <w:rPr>
                            <w:sz w:val="15"/>
                          </w:rPr>
                        </w:pPr>
                        <w:r>
                          <w:rPr>
                            <w:sz w:val="15"/>
                          </w:rPr>
                          <w:t>4.3.11</w:t>
                        </w:r>
                      </w:p>
                    </w:tc>
                    <w:tc>
                      <w:tcPr>
                        <w:tcW w:w="3201" w:type="dxa"/>
                      </w:tcPr>
                      <w:p>
                        <w:pPr>
                          <w:pStyle w:val="TableParagraph"/>
                          <w:spacing w:line="153" w:lineRule="exact" w:before="2"/>
                          <w:ind w:left="47"/>
                          <w:rPr>
                            <w:b/>
                            <w:sz w:val="15"/>
                          </w:rPr>
                        </w:pPr>
                        <w:r>
                          <w:rPr>
                            <w:b/>
                            <w:sz w:val="15"/>
                          </w:rPr>
                          <w:t>Rastro</w:t>
                        </w:r>
                      </w:p>
                    </w:tc>
                    <w:tc>
                      <w:tcPr>
                        <w:tcW w:w="1261" w:type="dxa"/>
                      </w:tcPr>
                      <w:p>
                        <w:pPr>
                          <w:pStyle w:val="TableParagraph"/>
                          <w:spacing w:line="153" w:lineRule="exact" w:before="2"/>
                          <w:ind w:right="35"/>
                          <w:jc w:val="right"/>
                          <w:rPr>
                            <w:b/>
                            <w:sz w:val="15"/>
                          </w:rPr>
                        </w:pPr>
                        <w:r>
                          <w:rPr>
                            <w:b/>
                            <w:sz w:val="15"/>
                          </w:rPr>
                          <w:t>2,163,462</w:t>
                        </w:r>
                      </w:p>
                    </w:tc>
                  </w:tr>
                  <w:tr>
                    <w:trPr>
                      <w:trHeight w:val="176" w:hRule="atLeast"/>
                    </w:trPr>
                    <w:tc>
                      <w:tcPr>
                        <w:tcW w:w="921" w:type="dxa"/>
                      </w:tcPr>
                      <w:p>
                        <w:pPr>
                          <w:pStyle w:val="TableParagraph"/>
                          <w:spacing w:line="154" w:lineRule="exact" w:before="2"/>
                          <w:ind w:right="166"/>
                          <w:jc w:val="right"/>
                          <w:rPr>
                            <w:sz w:val="15"/>
                          </w:rPr>
                        </w:pPr>
                        <w:r>
                          <w:rPr>
                            <w:sz w:val="15"/>
                          </w:rPr>
                          <w:t>4.3.11.1</w:t>
                        </w:r>
                      </w:p>
                    </w:tc>
                    <w:tc>
                      <w:tcPr>
                        <w:tcW w:w="3201" w:type="dxa"/>
                      </w:tcPr>
                      <w:p>
                        <w:pPr>
                          <w:pStyle w:val="TableParagraph"/>
                          <w:spacing w:line="154" w:lineRule="exact" w:before="2"/>
                          <w:ind w:left="47"/>
                          <w:rPr>
                            <w:sz w:val="15"/>
                          </w:rPr>
                        </w:pPr>
                        <w:r>
                          <w:rPr>
                            <w:sz w:val="15"/>
                          </w:rPr>
                          <w:t>Autorización de matanza</w:t>
                        </w:r>
                      </w:p>
                    </w:tc>
                    <w:tc>
                      <w:tcPr>
                        <w:tcW w:w="1261" w:type="dxa"/>
                      </w:tcPr>
                      <w:p>
                        <w:pPr>
                          <w:pStyle w:val="TableParagraph"/>
                          <w:spacing w:line="154" w:lineRule="exact" w:before="2"/>
                          <w:ind w:right="35"/>
                          <w:jc w:val="right"/>
                          <w:rPr>
                            <w:sz w:val="15"/>
                          </w:rPr>
                        </w:pPr>
                        <w:r>
                          <w:rPr>
                            <w:sz w:val="15"/>
                          </w:rPr>
                          <w:t>234,052</w:t>
                        </w:r>
                      </w:p>
                    </w:tc>
                  </w:tr>
                  <w:tr>
                    <w:trPr>
                      <w:trHeight w:val="352" w:hRule="atLeast"/>
                    </w:trPr>
                    <w:tc>
                      <w:tcPr>
                        <w:tcW w:w="921" w:type="dxa"/>
                      </w:tcPr>
                      <w:p>
                        <w:pPr>
                          <w:pStyle w:val="TableParagraph"/>
                          <w:spacing w:before="90"/>
                          <w:ind w:right="166"/>
                          <w:jc w:val="right"/>
                          <w:rPr>
                            <w:sz w:val="15"/>
                          </w:rPr>
                        </w:pPr>
                        <w:r>
                          <w:rPr>
                            <w:sz w:val="15"/>
                          </w:rPr>
                          <w:t>4.3.11.2</w:t>
                        </w:r>
                      </w:p>
                    </w:tc>
                    <w:tc>
                      <w:tcPr>
                        <w:tcW w:w="3201" w:type="dxa"/>
                      </w:tcPr>
                      <w:p>
                        <w:pPr>
                          <w:pStyle w:val="TableParagraph"/>
                          <w:spacing w:line="178" w:lineRule="exact"/>
                          <w:ind w:left="47"/>
                          <w:rPr>
                            <w:sz w:val="15"/>
                          </w:rPr>
                        </w:pPr>
                        <w:r>
                          <w:rPr>
                            <w:sz w:val="15"/>
                          </w:rPr>
                          <w:t>Autorización de salida de animales del rastro para envíos fuera del municipio</w:t>
                        </w:r>
                      </w:p>
                    </w:tc>
                    <w:tc>
                      <w:tcPr>
                        <w:tcW w:w="1261" w:type="dxa"/>
                      </w:tcPr>
                      <w:p>
                        <w:pPr>
                          <w:pStyle w:val="TableParagraph"/>
                          <w:spacing w:before="90"/>
                          <w:ind w:right="34"/>
                          <w:jc w:val="right"/>
                          <w:rPr>
                            <w:sz w:val="15"/>
                          </w:rPr>
                        </w:pPr>
                        <w:r>
                          <w:rPr>
                            <w:w w:val="102"/>
                            <w:sz w:val="15"/>
                          </w:rPr>
                          <w:t>0</w:t>
                        </w:r>
                      </w:p>
                    </w:tc>
                  </w:tr>
                  <w:tr>
                    <w:trPr>
                      <w:trHeight w:val="349" w:hRule="atLeast"/>
                    </w:trPr>
                    <w:tc>
                      <w:tcPr>
                        <w:tcW w:w="921" w:type="dxa"/>
                      </w:tcPr>
                      <w:p>
                        <w:pPr>
                          <w:pStyle w:val="TableParagraph"/>
                          <w:spacing w:before="87"/>
                          <w:ind w:right="166"/>
                          <w:jc w:val="right"/>
                          <w:rPr>
                            <w:sz w:val="15"/>
                          </w:rPr>
                        </w:pPr>
                        <w:r>
                          <w:rPr>
                            <w:sz w:val="15"/>
                          </w:rPr>
                          <w:t>4.3.11.3</w:t>
                        </w:r>
                      </w:p>
                    </w:tc>
                    <w:tc>
                      <w:tcPr>
                        <w:tcW w:w="3201" w:type="dxa"/>
                      </w:tcPr>
                      <w:p>
                        <w:pPr>
                          <w:pStyle w:val="TableParagraph"/>
                          <w:spacing w:line="172" w:lineRule="exact"/>
                          <w:ind w:left="47"/>
                          <w:rPr>
                            <w:sz w:val="15"/>
                          </w:rPr>
                        </w:pPr>
                        <w:r>
                          <w:rPr>
                            <w:sz w:val="15"/>
                          </w:rPr>
                          <w:t>Autorización de la introducción de ganado al</w:t>
                        </w:r>
                      </w:p>
                      <w:p>
                        <w:pPr>
                          <w:pStyle w:val="TableParagraph"/>
                          <w:spacing w:line="154" w:lineRule="exact" w:before="4"/>
                          <w:ind w:left="47"/>
                          <w:rPr>
                            <w:sz w:val="15"/>
                          </w:rPr>
                        </w:pPr>
                        <w:r>
                          <w:rPr>
                            <w:sz w:val="15"/>
                          </w:rPr>
                          <w:t>rastro en horas extraordinarias</w:t>
                        </w:r>
                      </w:p>
                    </w:tc>
                    <w:tc>
                      <w:tcPr>
                        <w:tcW w:w="1261" w:type="dxa"/>
                      </w:tcPr>
                      <w:p>
                        <w:pPr>
                          <w:pStyle w:val="TableParagraph"/>
                          <w:spacing w:before="87"/>
                          <w:ind w:right="34"/>
                          <w:jc w:val="right"/>
                          <w:rPr>
                            <w:sz w:val="15"/>
                          </w:rPr>
                        </w:pPr>
                        <w:r>
                          <w:rPr>
                            <w:w w:val="102"/>
                            <w:sz w:val="15"/>
                          </w:rPr>
                          <w:t>0</w:t>
                        </w:r>
                      </w:p>
                    </w:tc>
                  </w:tr>
                  <w:tr>
                    <w:trPr>
                      <w:trHeight w:val="176" w:hRule="atLeast"/>
                    </w:trPr>
                    <w:tc>
                      <w:tcPr>
                        <w:tcW w:w="921" w:type="dxa"/>
                      </w:tcPr>
                      <w:p>
                        <w:pPr>
                          <w:pStyle w:val="TableParagraph"/>
                          <w:spacing w:line="154" w:lineRule="exact" w:before="2"/>
                          <w:ind w:right="166"/>
                          <w:jc w:val="right"/>
                          <w:rPr>
                            <w:sz w:val="15"/>
                          </w:rPr>
                        </w:pPr>
                        <w:r>
                          <w:rPr>
                            <w:sz w:val="15"/>
                          </w:rPr>
                          <w:t>4.3.11.4</w:t>
                        </w:r>
                      </w:p>
                    </w:tc>
                    <w:tc>
                      <w:tcPr>
                        <w:tcW w:w="3201" w:type="dxa"/>
                      </w:tcPr>
                      <w:p>
                        <w:pPr>
                          <w:pStyle w:val="TableParagraph"/>
                          <w:spacing w:line="154" w:lineRule="exact" w:before="2"/>
                          <w:ind w:left="47"/>
                          <w:rPr>
                            <w:sz w:val="15"/>
                          </w:rPr>
                        </w:pPr>
                        <w:r>
                          <w:rPr>
                            <w:sz w:val="15"/>
                          </w:rPr>
                          <w:t>Sello de inspección sanitaria</w:t>
                        </w:r>
                      </w:p>
                    </w:tc>
                    <w:tc>
                      <w:tcPr>
                        <w:tcW w:w="1261" w:type="dxa"/>
                      </w:tcPr>
                      <w:p>
                        <w:pPr>
                          <w:pStyle w:val="TableParagraph"/>
                          <w:spacing w:line="154" w:lineRule="exact" w:before="2"/>
                          <w:ind w:right="35"/>
                          <w:jc w:val="right"/>
                          <w:rPr>
                            <w:sz w:val="15"/>
                          </w:rPr>
                        </w:pPr>
                        <w:r>
                          <w:rPr>
                            <w:w w:val="102"/>
                            <w:sz w:val="15"/>
                          </w:rPr>
                          <w:t>0</w:t>
                        </w:r>
                      </w:p>
                    </w:tc>
                  </w:tr>
                  <w:tr>
                    <w:trPr>
                      <w:trHeight w:val="352" w:hRule="atLeast"/>
                    </w:trPr>
                    <w:tc>
                      <w:tcPr>
                        <w:tcW w:w="921" w:type="dxa"/>
                      </w:tcPr>
                      <w:p>
                        <w:pPr>
                          <w:pStyle w:val="TableParagraph"/>
                          <w:spacing w:before="90"/>
                          <w:ind w:right="166"/>
                          <w:jc w:val="right"/>
                          <w:rPr>
                            <w:sz w:val="15"/>
                          </w:rPr>
                        </w:pPr>
                        <w:r>
                          <w:rPr>
                            <w:sz w:val="15"/>
                          </w:rPr>
                          <w:t>4.3.11.5</w:t>
                        </w:r>
                      </w:p>
                    </w:tc>
                    <w:tc>
                      <w:tcPr>
                        <w:tcW w:w="3201" w:type="dxa"/>
                      </w:tcPr>
                      <w:p>
                        <w:pPr>
                          <w:pStyle w:val="TableParagraph"/>
                          <w:spacing w:line="178" w:lineRule="exact"/>
                          <w:ind w:left="47" w:right="165"/>
                          <w:rPr>
                            <w:sz w:val="15"/>
                          </w:rPr>
                        </w:pPr>
                        <w:r>
                          <w:rPr>
                            <w:sz w:val="15"/>
                          </w:rPr>
                          <w:t>Acarreo de carnes en camiones del municipio</w:t>
                        </w:r>
                      </w:p>
                    </w:tc>
                    <w:tc>
                      <w:tcPr>
                        <w:tcW w:w="1261" w:type="dxa"/>
                      </w:tcPr>
                      <w:p>
                        <w:pPr>
                          <w:pStyle w:val="TableParagraph"/>
                          <w:spacing w:before="90"/>
                          <w:ind w:right="34"/>
                          <w:jc w:val="right"/>
                          <w:rPr>
                            <w:sz w:val="15"/>
                          </w:rPr>
                        </w:pPr>
                        <w:r>
                          <w:rPr>
                            <w:w w:val="102"/>
                            <w:sz w:val="15"/>
                          </w:rPr>
                          <w:t>0</w:t>
                        </w:r>
                      </w:p>
                    </w:tc>
                  </w:tr>
                  <w:tr>
                    <w:trPr>
                      <w:trHeight w:val="172" w:hRule="atLeast"/>
                    </w:trPr>
                    <w:tc>
                      <w:tcPr>
                        <w:tcW w:w="921" w:type="dxa"/>
                      </w:tcPr>
                      <w:p>
                        <w:pPr>
                          <w:pStyle w:val="TableParagraph"/>
                          <w:spacing w:line="153" w:lineRule="exact"/>
                          <w:ind w:right="166"/>
                          <w:jc w:val="right"/>
                          <w:rPr>
                            <w:sz w:val="15"/>
                          </w:rPr>
                        </w:pPr>
                        <w:r>
                          <w:rPr>
                            <w:sz w:val="15"/>
                          </w:rPr>
                          <w:t>4.3.11.6</w:t>
                        </w:r>
                      </w:p>
                    </w:tc>
                    <w:tc>
                      <w:tcPr>
                        <w:tcW w:w="3201" w:type="dxa"/>
                      </w:tcPr>
                      <w:p>
                        <w:pPr>
                          <w:pStyle w:val="TableParagraph"/>
                          <w:spacing w:line="153" w:lineRule="exact"/>
                          <w:ind w:left="47"/>
                          <w:rPr>
                            <w:sz w:val="15"/>
                          </w:rPr>
                        </w:pPr>
                        <w:r>
                          <w:rPr>
                            <w:sz w:val="15"/>
                          </w:rPr>
                          <w:t>Servicios de matanza en el rastro municipal</w:t>
                        </w:r>
                      </w:p>
                    </w:tc>
                    <w:tc>
                      <w:tcPr>
                        <w:tcW w:w="1261" w:type="dxa"/>
                      </w:tcPr>
                      <w:p>
                        <w:pPr>
                          <w:pStyle w:val="TableParagraph"/>
                          <w:spacing w:line="153" w:lineRule="exact"/>
                          <w:ind w:right="34"/>
                          <w:jc w:val="right"/>
                          <w:rPr>
                            <w:sz w:val="15"/>
                          </w:rPr>
                        </w:pPr>
                        <w:r>
                          <w:rPr>
                            <w:sz w:val="15"/>
                          </w:rPr>
                          <w:t>1,926,110</w:t>
                        </w:r>
                      </w:p>
                    </w:tc>
                  </w:tr>
                  <w:tr>
                    <w:trPr>
                      <w:trHeight w:val="176" w:hRule="atLeast"/>
                    </w:trPr>
                    <w:tc>
                      <w:tcPr>
                        <w:tcW w:w="921" w:type="dxa"/>
                      </w:tcPr>
                      <w:p>
                        <w:pPr>
                          <w:pStyle w:val="TableParagraph"/>
                          <w:spacing w:line="154" w:lineRule="exact" w:before="2"/>
                          <w:ind w:right="166"/>
                          <w:jc w:val="right"/>
                          <w:rPr>
                            <w:sz w:val="15"/>
                          </w:rPr>
                        </w:pPr>
                        <w:r>
                          <w:rPr>
                            <w:sz w:val="15"/>
                          </w:rPr>
                          <w:t>4.3.11.7</w:t>
                        </w:r>
                      </w:p>
                    </w:tc>
                    <w:tc>
                      <w:tcPr>
                        <w:tcW w:w="3201" w:type="dxa"/>
                      </w:tcPr>
                      <w:p>
                        <w:pPr>
                          <w:pStyle w:val="TableParagraph"/>
                          <w:spacing w:line="154" w:lineRule="exact" w:before="2"/>
                          <w:ind w:left="47"/>
                          <w:rPr>
                            <w:sz w:val="15"/>
                          </w:rPr>
                        </w:pPr>
                        <w:r>
                          <w:rPr>
                            <w:sz w:val="15"/>
                          </w:rPr>
                          <w:t>Venta de productos obtenidos en el rastro</w:t>
                        </w:r>
                      </w:p>
                    </w:tc>
                    <w:tc>
                      <w:tcPr>
                        <w:tcW w:w="1261" w:type="dxa"/>
                      </w:tcPr>
                      <w:p>
                        <w:pPr>
                          <w:pStyle w:val="TableParagraph"/>
                          <w:spacing w:line="154" w:lineRule="exact" w:before="2"/>
                          <w:ind w:right="35"/>
                          <w:jc w:val="right"/>
                          <w:rPr>
                            <w:sz w:val="15"/>
                          </w:rPr>
                        </w:pPr>
                        <w:r>
                          <w:rPr>
                            <w:w w:val="102"/>
                            <w:sz w:val="15"/>
                          </w:rPr>
                          <w:t>0</w:t>
                        </w:r>
                      </w:p>
                    </w:tc>
                  </w:tr>
                  <w:tr>
                    <w:trPr>
                      <w:trHeight w:val="352" w:hRule="atLeast"/>
                    </w:trPr>
                    <w:tc>
                      <w:tcPr>
                        <w:tcW w:w="921" w:type="dxa"/>
                      </w:tcPr>
                      <w:p>
                        <w:pPr>
                          <w:pStyle w:val="TableParagraph"/>
                          <w:spacing w:before="90"/>
                          <w:ind w:right="166"/>
                          <w:jc w:val="right"/>
                          <w:rPr>
                            <w:sz w:val="15"/>
                          </w:rPr>
                        </w:pPr>
                        <w:r>
                          <w:rPr>
                            <w:sz w:val="15"/>
                          </w:rPr>
                          <w:t>4.3.11.9</w:t>
                        </w:r>
                      </w:p>
                    </w:tc>
                    <w:tc>
                      <w:tcPr>
                        <w:tcW w:w="3201" w:type="dxa"/>
                      </w:tcPr>
                      <w:p>
                        <w:pPr>
                          <w:pStyle w:val="TableParagraph"/>
                          <w:spacing w:line="176" w:lineRule="exact" w:before="2"/>
                          <w:ind w:left="47"/>
                          <w:rPr>
                            <w:sz w:val="15"/>
                          </w:rPr>
                        </w:pPr>
                        <w:r>
                          <w:rPr>
                            <w:sz w:val="15"/>
                          </w:rPr>
                          <w:t>Otros servicios prestados por el rastro municipal</w:t>
                        </w:r>
                      </w:p>
                    </w:tc>
                    <w:tc>
                      <w:tcPr>
                        <w:tcW w:w="1261" w:type="dxa"/>
                      </w:tcPr>
                      <w:p>
                        <w:pPr>
                          <w:pStyle w:val="TableParagraph"/>
                          <w:spacing w:before="90"/>
                          <w:ind w:right="34"/>
                          <w:jc w:val="right"/>
                          <w:rPr>
                            <w:sz w:val="15"/>
                          </w:rPr>
                        </w:pPr>
                        <w:r>
                          <w:rPr>
                            <w:sz w:val="15"/>
                          </w:rPr>
                          <w:t>3,300</w:t>
                        </w:r>
                      </w:p>
                    </w:tc>
                  </w:tr>
                  <w:tr>
                    <w:trPr>
                      <w:trHeight w:val="175" w:hRule="atLeast"/>
                    </w:trPr>
                    <w:tc>
                      <w:tcPr>
                        <w:tcW w:w="921" w:type="dxa"/>
                      </w:tcPr>
                      <w:p>
                        <w:pPr>
                          <w:pStyle w:val="TableParagraph"/>
                          <w:spacing w:line="154" w:lineRule="exact" w:before="1"/>
                          <w:ind w:right="231"/>
                          <w:jc w:val="right"/>
                          <w:rPr>
                            <w:sz w:val="15"/>
                          </w:rPr>
                        </w:pPr>
                        <w:r>
                          <w:rPr>
                            <w:sz w:val="15"/>
                          </w:rPr>
                          <w:t>4.3.12</w:t>
                        </w:r>
                      </w:p>
                    </w:tc>
                    <w:tc>
                      <w:tcPr>
                        <w:tcW w:w="3201" w:type="dxa"/>
                      </w:tcPr>
                      <w:p>
                        <w:pPr>
                          <w:pStyle w:val="TableParagraph"/>
                          <w:spacing w:line="153" w:lineRule="exact" w:before="2"/>
                          <w:ind w:left="47"/>
                          <w:rPr>
                            <w:b/>
                            <w:sz w:val="15"/>
                          </w:rPr>
                        </w:pPr>
                        <w:r>
                          <w:rPr>
                            <w:b/>
                            <w:sz w:val="15"/>
                          </w:rPr>
                          <w:t>Registro civil</w:t>
                        </w:r>
                      </w:p>
                    </w:tc>
                    <w:tc>
                      <w:tcPr>
                        <w:tcW w:w="1261" w:type="dxa"/>
                      </w:tcPr>
                      <w:p>
                        <w:pPr>
                          <w:pStyle w:val="TableParagraph"/>
                          <w:spacing w:line="153" w:lineRule="exact" w:before="2"/>
                          <w:ind w:right="34"/>
                          <w:jc w:val="right"/>
                          <w:rPr>
                            <w:b/>
                            <w:sz w:val="15"/>
                          </w:rPr>
                        </w:pPr>
                        <w:r>
                          <w:rPr>
                            <w:b/>
                            <w:sz w:val="15"/>
                          </w:rPr>
                          <w:t>580,011</w:t>
                        </w:r>
                      </w:p>
                    </w:tc>
                  </w:tr>
                  <w:tr>
                    <w:trPr>
                      <w:trHeight w:val="175" w:hRule="atLeast"/>
                    </w:trPr>
                    <w:tc>
                      <w:tcPr>
                        <w:tcW w:w="921" w:type="dxa"/>
                      </w:tcPr>
                      <w:p>
                        <w:pPr>
                          <w:pStyle w:val="TableParagraph"/>
                          <w:spacing w:line="154" w:lineRule="exact" w:before="1"/>
                          <w:ind w:right="166"/>
                          <w:jc w:val="right"/>
                          <w:rPr>
                            <w:sz w:val="15"/>
                          </w:rPr>
                        </w:pPr>
                        <w:r>
                          <w:rPr>
                            <w:sz w:val="15"/>
                          </w:rPr>
                          <w:t>4.3.12.1</w:t>
                        </w:r>
                      </w:p>
                    </w:tc>
                    <w:tc>
                      <w:tcPr>
                        <w:tcW w:w="3201" w:type="dxa"/>
                      </w:tcPr>
                      <w:p>
                        <w:pPr>
                          <w:pStyle w:val="TableParagraph"/>
                          <w:spacing w:line="154" w:lineRule="exact" w:before="1"/>
                          <w:ind w:left="47"/>
                          <w:rPr>
                            <w:sz w:val="15"/>
                          </w:rPr>
                        </w:pPr>
                        <w:r>
                          <w:rPr>
                            <w:sz w:val="15"/>
                          </w:rPr>
                          <w:t>Servicios en oficina fuera del horario</w:t>
                        </w:r>
                      </w:p>
                    </w:tc>
                    <w:tc>
                      <w:tcPr>
                        <w:tcW w:w="1261" w:type="dxa"/>
                      </w:tcPr>
                      <w:p>
                        <w:pPr>
                          <w:pStyle w:val="TableParagraph"/>
                          <w:spacing w:line="154" w:lineRule="exact" w:before="1"/>
                          <w:ind w:right="34"/>
                          <w:jc w:val="right"/>
                          <w:rPr>
                            <w:sz w:val="15"/>
                          </w:rPr>
                        </w:pPr>
                        <w:r>
                          <w:rPr>
                            <w:sz w:val="15"/>
                          </w:rPr>
                          <w:t>297,571</w:t>
                        </w:r>
                      </w:p>
                    </w:tc>
                  </w:tr>
                  <w:tr>
                    <w:trPr>
                      <w:trHeight w:val="176" w:hRule="atLeast"/>
                    </w:trPr>
                    <w:tc>
                      <w:tcPr>
                        <w:tcW w:w="921" w:type="dxa"/>
                      </w:tcPr>
                      <w:p>
                        <w:pPr>
                          <w:pStyle w:val="TableParagraph"/>
                          <w:spacing w:line="154" w:lineRule="exact" w:before="2"/>
                          <w:ind w:right="166"/>
                          <w:jc w:val="right"/>
                          <w:rPr>
                            <w:sz w:val="15"/>
                          </w:rPr>
                        </w:pPr>
                        <w:r>
                          <w:rPr>
                            <w:sz w:val="15"/>
                          </w:rPr>
                          <w:t>4.3.12.2</w:t>
                        </w:r>
                      </w:p>
                    </w:tc>
                    <w:tc>
                      <w:tcPr>
                        <w:tcW w:w="3201" w:type="dxa"/>
                      </w:tcPr>
                      <w:p>
                        <w:pPr>
                          <w:pStyle w:val="TableParagraph"/>
                          <w:spacing w:line="154" w:lineRule="exact" w:before="2"/>
                          <w:ind w:left="47"/>
                          <w:rPr>
                            <w:sz w:val="15"/>
                          </w:rPr>
                        </w:pPr>
                        <w:r>
                          <w:rPr>
                            <w:sz w:val="15"/>
                          </w:rPr>
                          <w:t>Servicios a domicilio</w:t>
                        </w:r>
                      </w:p>
                    </w:tc>
                    <w:tc>
                      <w:tcPr>
                        <w:tcW w:w="1261" w:type="dxa"/>
                      </w:tcPr>
                      <w:p>
                        <w:pPr>
                          <w:pStyle w:val="TableParagraph"/>
                          <w:spacing w:line="154" w:lineRule="exact" w:before="2"/>
                          <w:ind w:right="35"/>
                          <w:jc w:val="right"/>
                          <w:rPr>
                            <w:sz w:val="15"/>
                          </w:rPr>
                        </w:pPr>
                        <w:r>
                          <w:rPr>
                            <w:sz w:val="15"/>
                          </w:rPr>
                          <w:t>231,092</w:t>
                        </w:r>
                      </w:p>
                    </w:tc>
                  </w:tr>
                  <w:tr>
                    <w:trPr>
                      <w:trHeight w:val="175" w:hRule="atLeast"/>
                    </w:trPr>
                    <w:tc>
                      <w:tcPr>
                        <w:tcW w:w="921" w:type="dxa"/>
                      </w:tcPr>
                      <w:p>
                        <w:pPr>
                          <w:pStyle w:val="TableParagraph"/>
                          <w:spacing w:line="154" w:lineRule="exact" w:before="1"/>
                          <w:ind w:right="166"/>
                          <w:jc w:val="right"/>
                          <w:rPr>
                            <w:sz w:val="15"/>
                          </w:rPr>
                        </w:pPr>
                        <w:r>
                          <w:rPr>
                            <w:sz w:val="15"/>
                          </w:rPr>
                          <w:t>4.3.12.3</w:t>
                        </w:r>
                      </w:p>
                    </w:tc>
                    <w:tc>
                      <w:tcPr>
                        <w:tcW w:w="3201" w:type="dxa"/>
                      </w:tcPr>
                      <w:p>
                        <w:pPr>
                          <w:pStyle w:val="TableParagraph"/>
                          <w:spacing w:line="154" w:lineRule="exact" w:before="1"/>
                          <w:ind w:left="47"/>
                          <w:rPr>
                            <w:sz w:val="15"/>
                          </w:rPr>
                        </w:pPr>
                        <w:r>
                          <w:rPr>
                            <w:sz w:val="15"/>
                          </w:rPr>
                          <w:t>Anotaciones e inserciones en actas</w:t>
                        </w:r>
                      </w:p>
                    </w:tc>
                    <w:tc>
                      <w:tcPr>
                        <w:tcW w:w="1261" w:type="dxa"/>
                      </w:tcPr>
                      <w:p>
                        <w:pPr>
                          <w:pStyle w:val="TableParagraph"/>
                          <w:spacing w:line="154" w:lineRule="exact" w:before="1"/>
                          <w:ind w:right="35"/>
                          <w:jc w:val="right"/>
                          <w:rPr>
                            <w:sz w:val="15"/>
                          </w:rPr>
                        </w:pPr>
                        <w:r>
                          <w:rPr>
                            <w:sz w:val="15"/>
                          </w:rPr>
                          <w:t>51,347</w:t>
                        </w:r>
                      </w:p>
                    </w:tc>
                  </w:tr>
                  <w:tr>
                    <w:trPr>
                      <w:trHeight w:val="176" w:hRule="atLeast"/>
                    </w:trPr>
                    <w:tc>
                      <w:tcPr>
                        <w:tcW w:w="921" w:type="dxa"/>
                      </w:tcPr>
                      <w:p>
                        <w:pPr>
                          <w:pStyle w:val="TableParagraph"/>
                          <w:spacing w:line="154" w:lineRule="exact" w:before="2"/>
                          <w:ind w:right="231"/>
                          <w:jc w:val="right"/>
                          <w:rPr>
                            <w:sz w:val="15"/>
                          </w:rPr>
                        </w:pPr>
                        <w:r>
                          <w:rPr>
                            <w:sz w:val="15"/>
                          </w:rPr>
                          <w:t>4.3.13</w:t>
                        </w:r>
                      </w:p>
                    </w:tc>
                    <w:tc>
                      <w:tcPr>
                        <w:tcW w:w="3201" w:type="dxa"/>
                      </w:tcPr>
                      <w:p>
                        <w:pPr>
                          <w:pStyle w:val="TableParagraph"/>
                          <w:spacing w:line="153" w:lineRule="exact" w:before="3"/>
                          <w:ind w:left="47"/>
                          <w:rPr>
                            <w:b/>
                            <w:sz w:val="15"/>
                          </w:rPr>
                        </w:pPr>
                        <w:r>
                          <w:rPr>
                            <w:b/>
                            <w:sz w:val="15"/>
                          </w:rPr>
                          <w:t>Certificaciones</w:t>
                        </w:r>
                      </w:p>
                    </w:tc>
                    <w:tc>
                      <w:tcPr>
                        <w:tcW w:w="1261" w:type="dxa"/>
                      </w:tcPr>
                      <w:p>
                        <w:pPr>
                          <w:pStyle w:val="TableParagraph"/>
                          <w:spacing w:line="153" w:lineRule="exact" w:before="3"/>
                          <w:ind w:right="34"/>
                          <w:jc w:val="right"/>
                          <w:rPr>
                            <w:b/>
                            <w:sz w:val="15"/>
                          </w:rPr>
                        </w:pPr>
                        <w:r>
                          <w:rPr>
                            <w:b/>
                            <w:sz w:val="15"/>
                          </w:rPr>
                          <w:t>26,732,918</w:t>
                        </w:r>
                      </w:p>
                    </w:tc>
                  </w:tr>
                  <w:tr>
                    <w:trPr>
                      <w:trHeight w:val="352" w:hRule="atLeast"/>
                    </w:trPr>
                    <w:tc>
                      <w:tcPr>
                        <w:tcW w:w="921" w:type="dxa"/>
                      </w:tcPr>
                      <w:p>
                        <w:pPr>
                          <w:pStyle w:val="TableParagraph"/>
                          <w:spacing w:before="90"/>
                          <w:ind w:right="166"/>
                          <w:jc w:val="right"/>
                          <w:rPr>
                            <w:sz w:val="15"/>
                          </w:rPr>
                        </w:pPr>
                        <w:r>
                          <w:rPr>
                            <w:sz w:val="15"/>
                          </w:rPr>
                          <w:t>4.3.13.1</w:t>
                        </w:r>
                      </w:p>
                    </w:tc>
                    <w:tc>
                      <w:tcPr>
                        <w:tcW w:w="3201" w:type="dxa"/>
                      </w:tcPr>
                      <w:p>
                        <w:pPr>
                          <w:pStyle w:val="TableParagraph"/>
                          <w:spacing w:line="178" w:lineRule="exact"/>
                          <w:ind w:left="47"/>
                          <w:rPr>
                            <w:sz w:val="15"/>
                          </w:rPr>
                        </w:pPr>
                        <w:r>
                          <w:rPr>
                            <w:sz w:val="15"/>
                          </w:rPr>
                          <w:t>Expedición de certificados, certificaciones, constancias o copias certificadas</w:t>
                        </w:r>
                      </w:p>
                    </w:tc>
                    <w:tc>
                      <w:tcPr>
                        <w:tcW w:w="1261" w:type="dxa"/>
                      </w:tcPr>
                      <w:p>
                        <w:pPr>
                          <w:pStyle w:val="TableParagraph"/>
                          <w:spacing w:before="90"/>
                          <w:ind w:right="34"/>
                          <w:jc w:val="right"/>
                          <w:rPr>
                            <w:sz w:val="15"/>
                          </w:rPr>
                        </w:pPr>
                        <w:r>
                          <w:rPr>
                            <w:sz w:val="15"/>
                          </w:rPr>
                          <w:t>25,177,840</w:t>
                        </w:r>
                      </w:p>
                    </w:tc>
                  </w:tr>
                  <w:tr>
                    <w:trPr>
                      <w:trHeight w:val="172" w:hRule="atLeast"/>
                    </w:trPr>
                    <w:tc>
                      <w:tcPr>
                        <w:tcW w:w="921" w:type="dxa"/>
                      </w:tcPr>
                      <w:p>
                        <w:pPr>
                          <w:pStyle w:val="TableParagraph"/>
                          <w:spacing w:line="153" w:lineRule="exact"/>
                          <w:ind w:right="166"/>
                          <w:jc w:val="right"/>
                          <w:rPr>
                            <w:sz w:val="15"/>
                          </w:rPr>
                        </w:pPr>
                        <w:r>
                          <w:rPr>
                            <w:sz w:val="15"/>
                          </w:rPr>
                          <w:t>4.3.13.2</w:t>
                        </w:r>
                      </w:p>
                    </w:tc>
                    <w:tc>
                      <w:tcPr>
                        <w:tcW w:w="3201" w:type="dxa"/>
                      </w:tcPr>
                      <w:p>
                        <w:pPr>
                          <w:pStyle w:val="TableParagraph"/>
                          <w:spacing w:line="153" w:lineRule="exact"/>
                          <w:ind w:left="47"/>
                          <w:rPr>
                            <w:sz w:val="15"/>
                          </w:rPr>
                        </w:pPr>
                        <w:r>
                          <w:rPr>
                            <w:sz w:val="15"/>
                          </w:rPr>
                          <w:t>Extractos de actas</w:t>
                        </w:r>
                      </w:p>
                    </w:tc>
                    <w:tc>
                      <w:tcPr>
                        <w:tcW w:w="1261" w:type="dxa"/>
                      </w:tcPr>
                      <w:p>
                        <w:pPr>
                          <w:pStyle w:val="TableParagraph"/>
                          <w:spacing w:line="153" w:lineRule="exact"/>
                          <w:ind w:right="35"/>
                          <w:jc w:val="right"/>
                          <w:rPr>
                            <w:sz w:val="15"/>
                          </w:rPr>
                        </w:pPr>
                        <w:r>
                          <w:rPr>
                            <w:sz w:val="15"/>
                          </w:rPr>
                          <w:t>330,566</w:t>
                        </w:r>
                      </w:p>
                    </w:tc>
                  </w:tr>
                  <w:tr>
                    <w:trPr>
                      <w:trHeight w:val="176" w:hRule="atLeast"/>
                    </w:trPr>
                    <w:tc>
                      <w:tcPr>
                        <w:tcW w:w="921" w:type="dxa"/>
                      </w:tcPr>
                      <w:p>
                        <w:pPr>
                          <w:pStyle w:val="TableParagraph"/>
                          <w:spacing w:line="154" w:lineRule="exact" w:before="2"/>
                          <w:ind w:right="166"/>
                          <w:jc w:val="right"/>
                          <w:rPr>
                            <w:sz w:val="15"/>
                          </w:rPr>
                        </w:pPr>
                        <w:r>
                          <w:rPr>
                            <w:sz w:val="15"/>
                          </w:rPr>
                          <w:t>4.3.13.3</w:t>
                        </w:r>
                      </w:p>
                    </w:tc>
                    <w:tc>
                      <w:tcPr>
                        <w:tcW w:w="3201" w:type="dxa"/>
                      </w:tcPr>
                      <w:p>
                        <w:pPr>
                          <w:pStyle w:val="TableParagraph"/>
                          <w:spacing w:line="154" w:lineRule="exact" w:before="2"/>
                          <w:ind w:left="47"/>
                          <w:rPr>
                            <w:sz w:val="15"/>
                          </w:rPr>
                        </w:pPr>
                        <w:r>
                          <w:rPr>
                            <w:sz w:val="15"/>
                          </w:rPr>
                          <w:t>Dictámenes de trazo, uso y destino</w:t>
                        </w:r>
                      </w:p>
                    </w:tc>
                    <w:tc>
                      <w:tcPr>
                        <w:tcW w:w="1261" w:type="dxa"/>
                      </w:tcPr>
                      <w:p>
                        <w:pPr>
                          <w:pStyle w:val="TableParagraph"/>
                          <w:spacing w:line="154" w:lineRule="exact" w:before="2"/>
                          <w:ind w:right="34"/>
                          <w:jc w:val="right"/>
                          <w:rPr>
                            <w:sz w:val="15"/>
                          </w:rPr>
                        </w:pPr>
                        <w:r>
                          <w:rPr>
                            <w:sz w:val="15"/>
                          </w:rPr>
                          <w:t>1,224,512</w:t>
                        </w:r>
                      </w:p>
                    </w:tc>
                  </w:tr>
                  <w:tr>
                    <w:trPr>
                      <w:trHeight w:val="175" w:hRule="atLeast"/>
                    </w:trPr>
                    <w:tc>
                      <w:tcPr>
                        <w:tcW w:w="921" w:type="dxa"/>
                      </w:tcPr>
                      <w:p>
                        <w:pPr>
                          <w:pStyle w:val="TableParagraph"/>
                          <w:spacing w:line="154" w:lineRule="exact" w:before="2"/>
                          <w:ind w:right="231"/>
                          <w:jc w:val="right"/>
                          <w:rPr>
                            <w:sz w:val="15"/>
                          </w:rPr>
                        </w:pPr>
                        <w:r>
                          <w:rPr>
                            <w:sz w:val="15"/>
                          </w:rPr>
                          <w:t>4.3.14</w:t>
                        </w:r>
                      </w:p>
                    </w:tc>
                    <w:tc>
                      <w:tcPr>
                        <w:tcW w:w="3201" w:type="dxa"/>
                      </w:tcPr>
                      <w:p>
                        <w:pPr>
                          <w:pStyle w:val="TableParagraph"/>
                          <w:spacing w:line="153" w:lineRule="exact" w:before="3"/>
                          <w:ind w:left="47"/>
                          <w:rPr>
                            <w:b/>
                            <w:sz w:val="15"/>
                          </w:rPr>
                        </w:pPr>
                        <w:r>
                          <w:rPr>
                            <w:b/>
                            <w:sz w:val="15"/>
                          </w:rPr>
                          <w:t>Servicios de catastro</w:t>
                        </w:r>
                      </w:p>
                    </w:tc>
                    <w:tc>
                      <w:tcPr>
                        <w:tcW w:w="1261" w:type="dxa"/>
                      </w:tcPr>
                      <w:p>
                        <w:pPr>
                          <w:pStyle w:val="TableParagraph"/>
                          <w:spacing w:line="153" w:lineRule="exact" w:before="3"/>
                          <w:ind w:right="34"/>
                          <w:jc w:val="right"/>
                          <w:rPr>
                            <w:b/>
                            <w:sz w:val="15"/>
                          </w:rPr>
                        </w:pPr>
                        <w:r>
                          <w:rPr>
                            <w:b/>
                            <w:sz w:val="15"/>
                          </w:rPr>
                          <w:t>7,457,414</w:t>
                        </w:r>
                      </w:p>
                    </w:tc>
                  </w:tr>
                  <w:tr>
                    <w:trPr>
                      <w:trHeight w:val="176" w:hRule="atLeast"/>
                    </w:trPr>
                    <w:tc>
                      <w:tcPr>
                        <w:tcW w:w="921" w:type="dxa"/>
                      </w:tcPr>
                      <w:p>
                        <w:pPr>
                          <w:pStyle w:val="TableParagraph"/>
                          <w:spacing w:line="154" w:lineRule="exact" w:before="2"/>
                          <w:ind w:right="166"/>
                          <w:jc w:val="right"/>
                          <w:rPr>
                            <w:sz w:val="15"/>
                          </w:rPr>
                        </w:pPr>
                        <w:r>
                          <w:rPr>
                            <w:sz w:val="15"/>
                          </w:rPr>
                          <w:t>4.3.14.1</w:t>
                        </w:r>
                      </w:p>
                    </w:tc>
                    <w:tc>
                      <w:tcPr>
                        <w:tcW w:w="3201" w:type="dxa"/>
                      </w:tcPr>
                      <w:p>
                        <w:pPr>
                          <w:pStyle w:val="TableParagraph"/>
                          <w:spacing w:line="154" w:lineRule="exact" w:before="2"/>
                          <w:ind w:left="47"/>
                          <w:rPr>
                            <w:sz w:val="15"/>
                          </w:rPr>
                        </w:pPr>
                        <w:r>
                          <w:rPr>
                            <w:sz w:val="15"/>
                          </w:rPr>
                          <w:t>Copias de planos</w:t>
                        </w:r>
                      </w:p>
                    </w:tc>
                    <w:tc>
                      <w:tcPr>
                        <w:tcW w:w="1261" w:type="dxa"/>
                      </w:tcPr>
                      <w:p>
                        <w:pPr>
                          <w:pStyle w:val="TableParagraph"/>
                          <w:spacing w:line="154" w:lineRule="exact" w:before="2"/>
                          <w:ind w:right="36"/>
                          <w:jc w:val="right"/>
                          <w:rPr>
                            <w:sz w:val="15"/>
                          </w:rPr>
                        </w:pPr>
                        <w:r>
                          <w:rPr>
                            <w:sz w:val="15"/>
                          </w:rPr>
                          <w:t>26,309</w:t>
                        </w:r>
                      </w:p>
                    </w:tc>
                  </w:tr>
                  <w:tr>
                    <w:trPr>
                      <w:trHeight w:val="175" w:hRule="atLeast"/>
                    </w:trPr>
                    <w:tc>
                      <w:tcPr>
                        <w:tcW w:w="921" w:type="dxa"/>
                      </w:tcPr>
                      <w:p>
                        <w:pPr>
                          <w:pStyle w:val="TableParagraph"/>
                          <w:spacing w:line="154" w:lineRule="exact" w:before="2"/>
                          <w:ind w:right="166"/>
                          <w:jc w:val="right"/>
                          <w:rPr>
                            <w:sz w:val="15"/>
                          </w:rPr>
                        </w:pPr>
                        <w:r>
                          <w:rPr>
                            <w:sz w:val="15"/>
                          </w:rPr>
                          <w:t>4.3.14.2</w:t>
                        </w:r>
                      </w:p>
                    </w:tc>
                    <w:tc>
                      <w:tcPr>
                        <w:tcW w:w="3201" w:type="dxa"/>
                      </w:tcPr>
                      <w:p>
                        <w:pPr>
                          <w:pStyle w:val="TableParagraph"/>
                          <w:spacing w:line="154" w:lineRule="exact" w:before="2"/>
                          <w:ind w:left="47"/>
                          <w:rPr>
                            <w:sz w:val="15"/>
                          </w:rPr>
                        </w:pPr>
                        <w:r>
                          <w:rPr>
                            <w:sz w:val="15"/>
                          </w:rPr>
                          <w:t>Certificaciones catastrales</w:t>
                        </w:r>
                      </w:p>
                    </w:tc>
                    <w:tc>
                      <w:tcPr>
                        <w:tcW w:w="1261" w:type="dxa"/>
                      </w:tcPr>
                      <w:p>
                        <w:pPr>
                          <w:pStyle w:val="TableParagraph"/>
                          <w:spacing w:line="154" w:lineRule="exact" w:before="2"/>
                          <w:ind w:right="36"/>
                          <w:jc w:val="right"/>
                          <w:rPr>
                            <w:sz w:val="15"/>
                          </w:rPr>
                        </w:pPr>
                        <w:r>
                          <w:rPr>
                            <w:sz w:val="15"/>
                          </w:rPr>
                          <w:t>304,673</w:t>
                        </w:r>
                      </w:p>
                    </w:tc>
                  </w:tr>
                  <w:tr>
                    <w:trPr>
                      <w:trHeight w:val="176" w:hRule="atLeast"/>
                    </w:trPr>
                    <w:tc>
                      <w:tcPr>
                        <w:tcW w:w="921" w:type="dxa"/>
                      </w:tcPr>
                      <w:p>
                        <w:pPr>
                          <w:pStyle w:val="TableParagraph"/>
                          <w:spacing w:line="154" w:lineRule="exact" w:before="2"/>
                          <w:ind w:right="166"/>
                          <w:jc w:val="right"/>
                          <w:rPr>
                            <w:sz w:val="15"/>
                          </w:rPr>
                        </w:pPr>
                        <w:r>
                          <w:rPr>
                            <w:sz w:val="15"/>
                          </w:rPr>
                          <w:t>4.3.14.3</w:t>
                        </w:r>
                      </w:p>
                    </w:tc>
                    <w:tc>
                      <w:tcPr>
                        <w:tcW w:w="3201" w:type="dxa"/>
                      </w:tcPr>
                      <w:p>
                        <w:pPr>
                          <w:pStyle w:val="TableParagraph"/>
                          <w:spacing w:line="154" w:lineRule="exact" w:before="2"/>
                          <w:ind w:left="47"/>
                          <w:rPr>
                            <w:sz w:val="15"/>
                          </w:rPr>
                        </w:pPr>
                        <w:r>
                          <w:rPr>
                            <w:sz w:val="15"/>
                          </w:rPr>
                          <w:t>Informes catastrales</w:t>
                        </w:r>
                      </w:p>
                    </w:tc>
                    <w:tc>
                      <w:tcPr>
                        <w:tcW w:w="1261" w:type="dxa"/>
                      </w:tcPr>
                      <w:p>
                        <w:pPr>
                          <w:pStyle w:val="TableParagraph"/>
                          <w:spacing w:line="154" w:lineRule="exact" w:before="2"/>
                          <w:ind w:right="34"/>
                          <w:jc w:val="right"/>
                          <w:rPr>
                            <w:sz w:val="15"/>
                          </w:rPr>
                        </w:pPr>
                        <w:r>
                          <w:rPr>
                            <w:sz w:val="15"/>
                          </w:rPr>
                          <w:t>7,713</w:t>
                        </w:r>
                      </w:p>
                    </w:tc>
                  </w:tr>
                  <w:tr>
                    <w:trPr>
                      <w:trHeight w:val="175" w:hRule="atLeast"/>
                    </w:trPr>
                    <w:tc>
                      <w:tcPr>
                        <w:tcW w:w="921" w:type="dxa"/>
                      </w:tcPr>
                      <w:p>
                        <w:pPr>
                          <w:pStyle w:val="TableParagraph"/>
                          <w:spacing w:line="154" w:lineRule="exact" w:before="2"/>
                          <w:ind w:right="166"/>
                          <w:jc w:val="right"/>
                          <w:rPr>
                            <w:sz w:val="15"/>
                          </w:rPr>
                        </w:pPr>
                        <w:r>
                          <w:rPr>
                            <w:sz w:val="15"/>
                          </w:rPr>
                          <w:t>4.3.14.4</w:t>
                        </w:r>
                      </w:p>
                    </w:tc>
                    <w:tc>
                      <w:tcPr>
                        <w:tcW w:w="3201" w:type="dxa"/>
                      </w:tcPr>
                      <w:p>
                        <w:pPr>
                          <w:pStyle w:val="TableParagraph"/>
                          <w:spacing w:line="154" w:lineRule="exact" w:before="2"/>
                          <w:ind w:left="47"/>
                          <w:rPr>
                            <w:sz w:val="15"/>
                          </w:rPr>
                        </w:pPr>
                        <w:r>
                          <w:rPr>
                            <w:sz w:val="15"/>
                          </w:rPr>
                          <w:t>Deslindes catastrales</w:t>
                        </w:r>
                      </w:p>
                    </w:tc>
                    <w:tc>
                      <w:tcPr>
                        <w:tcW w:w="1261" w:type="dxa"/>
                      </w:tcPr>
                      <w:p>
                        <w:pPr>
                          <w:pStyle w:val="TableParagraph"/>
                          <w:spacing w:line="154" w:lineRule="exact" w:before="2"/>
                          <w:ind w:right="34"/>
                          <w:jc w:val="right"/>
                          <w:rPr>
                            <w:sz w:val="15"/>
                          </w:rPr>
                        </w:pPr>
                        <w:r>
                          <w:rPr>
                            <w:w w:val="102"/>
                            <w:sz w:val="15"/>
                          </w:rPr>
                          <w:t>0</w:t>
                        </w:r>
                      </w:p>
                    </w:tc>
                  </w:tr>
                  <w:tr>
                    <w:trPr>
                      <w:trHeight w:val="176" w:hRule="atLeast"/>
                    </w:trPr>
                    <w:tc>
                      <w:tcPr>
                        <w:tcW w:w="921" w:type="dxa"/>
                      </w:tcPr>
                      <w:p>
                        <w:pPr>
                          <w:pStyle w:val="TableParagraph"/>
                          <w:spacing w:line="154" w:lineRule="exact" w:before="2"/>
                          <w:ind w:right="166"/>
                          <w:jc w:val="right"/>
                          <w:rPr>
                            <w:sz w:val="15"/>
                          </w:rPr>
                        </w:pPr>
                        <w:r>
                          <w:rPr>
                            <w:sz w:val="15"/>
                          </w:rPr>
                          <w:t>4.3.14.5</w:t>
                        </w:r>
                      </w:p>
                    </w:tc>
                    <w:tc>
                      <w:tcPr>
                        <w:tcW w:w="3201" w:type="dxa"/>
                      </w:tcPr>
                      <w:p>
                        <w:pPr>
                          <w:pStyle w:val="TableParagraph"/>
                          <w:spacing w:line="154" w:lineRule="exact" w:before="2"/>
                          <w:ind w:left="47"/>
                          <w:rPr>
                            <w:sz w:val="15"/>
                          </w:rPr>
                        </w:pPr>
                        <w:r>
                          <w:rPr>
                            <w:sz w:val="15"/>
                          </w:rPr>
                          <w:t>Dictámenes catastrales</w:t>
                        </w:r>
                      </w:p>
                    </w:tc>
                    <w:tc>
                      <w:tcPr>
                        <w:tcW w:w="1261" w:type="dxa"/>
                      </w:tcPr>
                      <w:p>
                        <w:pPr>
                          <w:pStyle w:val="TableParagraph"/>
                          <w:spacing w:line="154" w:lineRule="exact" w:before="2"/>
                          <w:ind w:right="35"/>
                          <w:jc w:val="right"/>
                          <w:rPr>
                            <w:sz w:val="15"/>
                          </w:rPr>
                        </w:pPr>
                        <w:r>
                          <w:rPr>
                            <w:sz w:val="15"/>
                          </w:rPr>
                          <w:t>3,119,249</w:t>
                        </w:r>
                      </w:p>
                    </w:tc>
                  </w:tr>
                  <w:tr>
                    <w:trPr>
                      <w:trHeight w:val="175" w:hRule="atLeast"/>
                    </w:trPr>
                    <w:tc>
                      <w:tcPr>
                        <w:tcW w:w="921" w:type="dxa"/>
                      </w:tcPr>
                      <w:p>
                        <w:pPr>
                          <w:pStyle w:val="TableParagraph"/>
                          <w:spacing w:line="154" w:lineRule="exact" w:before="2"/>
                          <w:ind w:right="166"/>
                          <w:jc w:val="right"/>
                          <w:rPr>
                            <w:sz w:val="15"/>
                          </w:rPr>
                        </w:pPr>
                        <w:r>
                          <w:rPr>
                            <w:sz w:val="15"/>
                          </w:rPr>
                          <w:t>4.3.14.6</w:t>
                        </w:r>
                      </w:p>
                    </w:tc>
                    <w:tc>
                      <w:tcPr>
                        <w:tcW w:w="3201" w:type="dxa"/>
                      </w:tcPr>
                      <w:p>
                        <w:pPr>
                          <w:pStyle w:val="TableParagraph"/>
                          <w:spacing w:line="154" w:lineRule="exact" w:before="2"/>
                          <w:ind w:left="47"/>
                          <w:rPr>
                            <w:sz w:val="15"/>
                          </w:rPr>
                        </w:pPr>
                        <w:r>
                          <w:rPr>
                            <w:sz w:val="15"/>
                          </w:rPr>
                          <w:t>Revisión y autorización de avalúos</w:t>
                        </w:r>
                      </w:p>
                    </w:tc>
                    <w:tc>
                      <w:tcPr>
                        <w:tcW w:w="1261" w:type="dxa"/>
                      </w:tcPr>
                      <w:p>
                        <w:pPr>
                          <w:pStyle w:val="TableParagraph"/>
                          <w:spacing w:line="154" w:lineRule="exact" w:before="2"/>
                          <w:ind w:right="35"/>
                          <w:jc w:val="right"/>
                          <w:rPr>
                            <w:sz w:val="15"/>
                          </w:rPr>
                        </w:pPr>
                        <w:r>
                          <w:rPr>
                            <w:sz w:val="15"/>
                          </w:rPr>
                          <w:t>3,999,470</w:t>
                        </w:r>
                      </w:p>
                    </w:tc>
                  </w:tr>
                  <w:tr>
                    <w:trPr>
                      <w:trHeight w:val="176" w:hRule="atLeast"/>
                    </w:trPr>
                    <w:tc>
                      <w:tcPr>
                        <w:tcW w:w="921" w:type="dxa"/>
                      </w:tcPr>
                      <w:p>
                        <w:pPr>
                          <w:pStyle w:val="TableParagraph"/>
                          <w:spacing w:line="154" w:lineRule="exact" w:before="2"/>
                          <w:ind w:left="104" w:right="92"/>
                          <w:jc w:val="center"/>
                          <w:rPr>
                            <w:sz w:val="15"/>
                          </w:rPr>
                        </w:pPr>
                        <w:r>
                          <w:rPr>
                            <w:sz w:val="15"/>
                          </w:rPr>
                          <w:t>4.4</w:t>
                        </w:r>
                      </w:p>
                    </w:tc>
                    <w:tc>
                      <w:tcPr>
                        <w:tcW w:w="3201" w:type="dxa"/>
                      </w:tcPr>
                      <w:p>
                        <w:pPr>
                          <w:pStyle w:val="TableParagraph"/>
                          <w:spacing w:line="153" w:lineRule="exact" w:before="3"/>
                          <w:ind w:left="47"/>
                          <w:rPr>
                            <w:b/>
                            <w:sz w:val="15"/>
                          </w:rPr>
                        </w:pPr>
                        <w:r>
                          <w:rPr>
                            <w:b/>
                            <w:sz w:val="15"/>
                          </w:rPr>
                          <w:t>OTROS DERECHOS</w:t>
                        </w:r>
                      </w:p>
                    </w:tc>
                    <w:tc>
                      <w:tcPr>
                        <w:tcW w:w="1261" w:type="dxa"/>
                      </w:tcPr>
                      <w:p>
                        <w:pPr>
                          <w:pStyle w:val="TableParagraph"/>
                          <w:spacing w:line="153" w:lineRule="exact" w:before="3"/>
                          <w:ind w:right="34"/>
                          <w:jc w:val="right"/>
                          <w:rPr>
                            <w:b/>
                            <w:sz w:val="15"/>
                          </w:rPr>
                        </w:pPr>
                        <w:r>
                          <w:rPr>
                            <w:b/>
                            <w:sz w:val="15"/>
                          </w:rPr>
                          <w:t>11,030,614</w:t>
                        </w:r>
                      </w:p>
                    </w:tc>
                  </w:tr>
                  <w:tr>
                    <w:trPr>
                      <w:trHeight w:val="175" w:hRule="atLeast"/>
                    </w:trPr>
                    <w:tc>
                      <w:tcPr>
                        <w:tcW w:w="921" w:type="dxa"/>
                      </w:tcPr>
                      <w:p>
                        <w:pPr>
                          <w:pStyle w:val="TableParagraph"/>
                          <w:spacing w:line="154" w:lineRule="exact" w:before="1"/>
                          <w:ind w:left="287"/>
                          <w:rPr>
                            <w:sz w:val="15"/>
                          </w:rPr>
                        </w:pPr>
                        <w:r>
                          <w:rPr>
                            <w:sz w:val="15"/>
                          </w:rPr>
                          <w:t>4.4.1</w:t>
                        </w:r>
                      </w:p>
                    </w:tc>
                    <w:tc>
                      <w:tcPr>
                        <w:tcW w:w="3201" w:type="dxa"/>
                      </w:tcPr>
                      <w:p>
                        <w:pPr>
                          <w:pStyle w:val="TableParagraph"/>
                          <w:spacing w:line="153" w:lineRule="exact" w:before="2"/>
                          <w:ind w:left="47"/>
                          <w:rPr>
                            <w:b/>
                            <w:sz w:val="15"/>
                          </w:rPr>
                        </w:pPr>
                        <w:r>
                          <w:rPr>
                            <w:b/>
                            <w:sz w:val="15"/>
                          </w:rPr>
                          <w:t>Derechos no especificados</w:t>
                        </w:r>
                      </w:p>
                    </w:tc>
                    <w:tc>
                      <w:tcPr>
                        <w:tcW w:w="1261" w:type="dxa"/>
                      </w:tcPr>
                      <w:p>
                        <w:pPr>
                          <w:pStyle w:val="TableParagraph"/>
                          <w:spacing w:line="153" w:lineRule="exact" w:before="2"/>
                          <w:ind w:right="34"/>
                          <w:jc w:val="right"/>
                          <w:rPr>
                            <w:b/>
                            <w:sz w:val="15"/>
                          </w:rPr>
                        </w:pPr>
                        <w:r>
                          <w:rPr>
                            <w:b/>
                            <w:sz w:val="15"/>
                          </w:rPr>
                          <w:t>11,030,614</w:t>
                        </w:r>
                      </w:p>
                    </w:tc>
                  </w:tr>
                  <w:tr>
                    <w:trPr>
                      <w:trHeight w:val="176" w:hRule="atLeast"/>
                    </w:trPr>
                    <w:tc>
                      <w:tcPr>
                        <w:tcW w:w="921" w:type="dxa"/>
                      </w:tcPr>
                      <w:p>
                        <w:pPr>
                          <w:pStyle w:val="TableParagraph"/>
                          <w:spacing w:line="154" w:lineRule="exact" w:before="2"/>
                          <w:ind w:right="209"/>
                          <w:jc w:val="right"/>
                          <w:rPr>
                            <w:sz w:val="15"/>
                          </w:rPr>
                        </w:pPr>
                        <w:r>
                          <w:rPr>
                            <w:sz w:val="15"/>
                          </w:rPr>
                          <w:t>4.4.1.1</w:t>
                        </w:r>
                      </w:p>
                    </w:tc>
                    <w:tc>
                      <w:tcPr>
                        <w:tcW w:w="3201" w:type="dxa"/>
                      </w:tcPr>
                      <w:p>
                        <w:pPr>
                          <w:pStyle w:val="TableParagraph"/>
                          <w:spacing w:line="154" w:lineRule="exact" w:before="2"/>
                          <w:ind w:left="47"/>
                          <w:rPr>
                            <w:sz w:val="15"/>
                          </w:rPr>
                        </w:pPr>
                        <w:r>
                          <w:rPr>
                            <w:sz w:val="15"/>
                          </w:rPr>
                          <w:t>Servicios prestados en horas hábiles</w:t>
                        </w:r>
                      </w:p>
                    </w:tc>
                    <w:tc>
                      <w:tcPr>
                        <w:tcW w:w="1261" w:type="dxa"/>
                      </w:tcPr>
                      <w:p>
                        <w:pPr>
                          <w:pStyle w:val="TableParagraph"/>
                          <w:spacing w:line="154" w:lineRule="exact" w:before="2"/>
                          <w:ind w:right="35"/>
                          <w:jc w:val="right"/>
                          <w:rPr>
                            <w:sz w:val="15"/>
                          </w:rPr>
                        </w:pPr>
                        <w:r>
                          <w:rPr>
                            <w:sz w:val="15"/>
                          </w:rPr>
                          <w:t>635,774</w:t>
                        </w:r>
                      </w:p>
                    </w:tc>
                  </w:tr>
                  <w:tr>
                    <w:trPr>
                      <w:trHeight w:val="175" w:hRule="atLeast"/>
                    </w:trPr>
                    <w:tc>
                      <w:tcPr>
                        <w:tcW w:w="921" w:type="dxa"/>
                      </w:tcPr>
                      <w:p>
                        <w:pPr>
                          <w:pStyle w:val="TableParagraph"/>
                          <w:spacing w:line="154" w:lineRule="exact" w:before="1"/>
                          <w:ind w:right="209"/>
                          <w:jc w:val="right"/>
                          <w:rPr>
                            <w:sz w:val="15"/>
                          </w:rPr>
                        </w:pPr>
                        <w:r>
                          <w:rPr>
                            <w:sz w:val="15"/>
                          </w:rPr>
                          <w:t>4.4.1.2</w:t>
                        </w:r>
                      </w:p>
                    </w:tc>
                    <w:tc>
                      <w:tcPr>
                        <w:tcW w:w="3201" w:type="dxa"/>
                      </w:tcPr>
                      <w:p>
                        <w:pPr>
                          <w:pStyle w:val="TableParagraph"/>
                          <w:spacing w:line="154" w:lineRule="exact" w:before="1"/>
                          <w:ind w:left="47"/>
                          <w:rPr>
                            <w:sz w:val="15"/>
                          </w:rPr>
                        </w:pPr>
                        <w:r>
                          <w:rPr>
                            <w:sz w:val="15"/>
                          </w:rPr>
                          <w:t>Servicios prestados en horas inhábiles</w:t>
                        </w:r>
                      </w:p>
                    </w:tc>
                    <w:tc>
                      <w:tcPr>
                        <w:tcW w:w="1261" w:type="dxa"/>
                      </w:tcPr>
                      <w:p>
                        <w:pPr>
                          <w:pStyle w:val="TableParagraph"/>
                          <w:spacing w:line="154" w:lineRule="exact" w:before="1"/>
                          <w:ind w:right="35"/>
                          <w:jc w:val="right"/>
                          <w:rPr>
                            <w:sz w:val="15"/>
                          </w:rPr>
                        </w:pPr>
                        <w:r>
                          <w:rPr>
                            <w:sz w:val="15"/>
                          </w:rPr>
                          <w:t>814,089</w:t>
                        </w:r>
                      </w:p>
                    </w:tc>
                  </w:tr>
                  <w:tr>
                    <w:trPr>
                      <w:trHeight w:val="176" w:hRule="atLeast"/>
                    </w:trPr>
                    <w:tc>
                      <w:tcPr>
                        <w:tcW w:w="921" w:type="dxa"/>
                      </w:tcPr>
                      <w:p>
                        <w:pPr>
                          <w:pStyle w:val="TableParagraph"/>
                          <w:spacing w:line="154" w:lineRule="exact" w:before="2"/>
                          <w:ind w:right="209"/>
                          <w:jc w:val="right"/>
                          <w:rPr>
                            <w:sz w:val="15"/>
                          </w:rPr>
                        </w:pPr>
                        <w:r>
                          <w:rPr>
                            <w:sz w:val="15"/>
                          </w:rPr>
                          <w:t>4.4.1.3</w:t>
                        </w:r>
                      </w:p>
                    </w:tc>
                    <w:tc>
                      <w:tcPr>
                        <w:tcW w:w="3201" w:type="dxa"/>
                      </w:tcPr>
                      <w:p>
                        <w:pPr>
                          <w:pStyle w:val="TableParagraph"/>
                          <w:spacing w:line="154" w:lineRule="exact" w:before="2"/>
                          <w:ind w:left="47"/>
                          <w:rPr>
                            <w:sz w:val="15"/>
                          </w:rPr>
                        </w:pPr>
                        <w:r>
                          <w:rPr>
                            <w:sz w:val="15"/>
                          </w:rPr>
                          <w:t>Solicitudes de información</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1"/>
                          <w:ind w:right="209"/>
                          <w:jc w:val="right"/>
                          <w:rPr>
                            <w:sz w:val="15"/>
                          </w:rPr>
                        </w:pPr>
                        <w:r>
                          <w:rPr>
                            <w:sz w:val="15"/>
                          </w:rPr>
                          <w:t>4.4.1.4</w:t>
                        </w:r>
                      </w:p>
                    </w:tc>
                    <w:tc>
                      <w:tcPr>
                        <w:tcW w:w="3201" w:type="dxa"/>
                      </w:tcPr>
                      <w:p>
                        <w:pPr>
                          <w:pStyle w:val="TableParagraph"/>
                          <w:spacing w:line="154" w:lineRule="exact" w:before="1"/>
                          <w:ind w:left="47"/>
                          <w:rPr>
                            <w:sz w:val="15"/>
                          </w:rPr>
                        </w:pPr>
                        <w:r>
                          <w:rPr>
                            <w:sz w:val="15"/>
                          </w:rPr>
                          <w:t>Servicios médicos</w:t>
                        </w:r>
                      </w:p>
                    </w:tc>
                    <w:tc>
                      <w:tcPr>
                        <w:tcW w:w="1261" w:type="dxa"/>
                      </w:tcPr>
                      <w:p>
                        <w:pPr>
                          <w:pStyle w:val="TableParagraph"/>
                          <w:spacing w:line="154" w:lineRule="exact" w:before="1"/>
                          <w:ind w:right="35"/>
                          <w:jc w:val="right"/>
                          <w:rPr>
                            <w:sz w:val="15"/>
                          </w:rPr>
                        </w:pPr>
                        <w:r>
                          <w:rPr>
                            <w:sz w:val="15"/>
                          </w:rPr>
                          <w:t>9,580,751</w:t>
                        </w:r>
                      </w:p>
                    </w:tc>
                  </w:tr>
                </w:tbl>
                <w:p>
                  <w:pPr>
                    <w:pStyle w:val="BodyText"/>
                  </w:pPr>
                </w:p>
              </w:txbxContent>
            </v:textbox>
          </v:shape>
        </w:pict>
      </w:r>
      <w:r>
        <w:rPr>
          <w:rFonts w:ascii="Times New Roman"/>
          <w:position w:val="5"/>
          <w:sz w:val="20"/>
        </w:rPr>
      </w:r>
    </w:p>
    <w:p>
      <w:pPr>
        <w:spacing w:after="0" w:line="240" w:lineRule="auto"/>
        <w:rPr>
          <w:rFonts w:ascii="Times New Roman"/>
          <w:sz w:val="20"/>
        </w:rPr>
        <w:sectPr>
          <w:headerReference w:type="default" r:id="rId49"/>
          <w:pgSz w:w="23250" w:h="15310" w:orient="landscape"/>
          <w:pgMar w:header="881" w:footer="499" w:top="1920" w:bottom="680" w:left="1880" w:right="1520"/>
        </w:sectPr>
      </w:pPr>
    </w:p>
    <w:p>
      <w:pPr>
        <w:pStyle w:val="BodyText"/>
        <w:rPr>
          <w:rFonts w:ascii="Times New Roman"/>
          <w:sz w:val="20"/>
        </w:rPr>
      </w:pPr>
    </w:p>
    <w:p>
      <w:pPr>
        <w:pStyle w:val="BodyText"/>
        <w:spacing w:before="6"/>
        <w:rPr>
          <w:rFonts w:ascii="Times New Roman"/>
          <w:sz w:val="27"/>
        </w:rPr>
      </w:pPr>
    </w:p>
    <w:p>
      <w:pPr>
        <w:tabs>
          <w:tab w:pos="12877" w:val="left" w:leader="none"/>
        </w:tabs>
        <w:spacing w:line="240" w:lineRule="auto"/>
        <w:ind w:left="1255" w:right="0" w:firstLine="0"/>
        <w:rPr>
          <w:rFonts w:ascii="Times New Roman"/>
          <w:sz w:val="20"/>
        </w:rPr>
      </w:pPr>
      <w:r>
        <w:rPr>
          <w:rFonts w:ascii="Times New Roman"/>
          <w:position w:val="5"/>
          <w:sz w:val="20"/>
        </w:rPr>
        <w:pict>
          <v:shape style="width:270.1pt;height:496.9pt;mso-position-horizontal-relative:char;mso-position-vertical-relative:line" type="#_x0000_t202"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1"/>
                    <w:gridCol w:w="3201"/>
                    <w:gridCol w:w="1261"/>
                  </w:tblGrid>
                  <w:tr>
                    <w:trPr>
                      <w:trHeight w:val="176" w:hRule="atLeast"/>
                    </w:trPr>
                    <w:tc>
                      <w:tcPr>
                        <w:tcW w:w="921" w:type="dxa"/>
                        <w:tcBorders>
                          <w:top w:val="nil"/>
                        </w:tcBorders>
                      </w:tcPr>
                      <w:p>
                        <w:pPr>
                          <w:pStyle w:val="TableParagraph"/>
                          <w:spacing w:line="154" w:lineRule="exact" w:before="2"/>
                          <w:ind w:left="104" w:right="93"/>
                          <w:jc w:val="center"/>
                          <w:rPr>
                            <w:sz w:val="15"/>
                          </w:rPr>
                        </w:pPr>
                        <w:r>
                          <w:rPr>
                            <w:sz w:val="15"/>
                          </w:rPr>
                          <w:t>4.4.1.9</w:t>
                        </w:r>
                      </w:p>
                    </w:tc>
                    <w:tc>
                      <w:tcPr>
                        <w:tcW w:w="3201" w:type="dxa"/>
                        <w:tcBorders>
                          <w:top w:val="nil"/>
                        </w:tcBorders>
                      </w:tcPr>
                      <w:p>
                        <w:pPr>
                          <w:pStyle w:val="TableParagraph"/>
                          <w:spacing w:line="154" w:lineRule="exact" w:before="2"/>
                          <w:ind w:left="47"/>
                          <w:rPr>
                            <w:sz w:val="15"/>
                          </w:rPr>
                        </w:pPr>
                        <w:r>
                          <w:rPr>
                            <w:sz w:val="15"/>
                          </w:rPr>
                          <w:t>Otros servicios no especificados</w:t>
                        </w:r>
                      </w:p>
                    </w:tc>
                    <w:tc>
                      <w:tcPr>
                        <w:tcW w:w="1261" w:type="dxa"/>
                        <w:tcBorders>
                          <w:top w:val="nil"/>
                        </w:tcBorders>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1"/>
                          <w:ind w:left="104" w:right="92"/>
                          <w:jc w:val="center"/>
                          <w:rPr>
                            <w:sz w:val="15"/>
                          </w:rPr>
                        </w:pPr>
                        <w:r>
                          <w:rPr>
                            <w:sz w:val="15"/>
                          </w:rPr>
                          <w:t>4.5</w:t>
                        </w:r>
                      </w:p>
                    </w:tc>
                    <w:tc>
                      <w:tcPr>
                        <w:tcW w:w="3201" w:type="dxa"/>
                      </w:tcPr>
                      <w:p>
                        <w:pPr>
                          <w:pStyle w:val="TableParagraph"/>
                          <w:spacing w:line="153" w:lineRule="exact" w:before="2"/>
                          <w:ind w:left="47"/>
                          <w:rPr>
                            <w:b/>
                            <w:sz w:val="15"/>
                          </w:rPr>
                        </w:pPr>
                        <w:r>
                          <w:rPr>
                            <w:b/>
                            <w:sz w:val="15"/>
                          </w:rPr>
                          <w:t>ACCESORIOS DE DERECHOS</w:t>
                        </w:r>
                      </w:p>
                    </w:tc>
                    <w:tc>
                      <w:tcPr>
                        <w:tcW w:w="1261" w:type="dxa"/>
                      </w:tcPr>
                      <w:p>
                        <w:pPr>
                          <w:pStyle w:val="TableParagraph"/>
                          <w:spacing w:line="153" w:lineRule="exact" w:before="2"/>
                          <w:ind w:right="35"/>
                          <w:jc w:val="right"/>
                          <w:rPr>
                            <w:b/>
                            <w:sz w:val="15"/>
                          </w:rPr>
                        </w:pPr>
                        <w:r>
                          <w:rPr>
                            <w:b/>
                            <w:sz w:val="15"/>
                          </w:rPr>
                          <w:t>39,352,744</w:t>
                        </w:r>
                      </w:p>
                    </w:tc>
                  </w:tr>
                  <w:tr>
                    <w:trPr>
                      <w:trHeight w:val="176" w:hRule="atLeast"/>
                    </w:trPr>
                    <w:tc>
                      <w:tcPr>
                        <w:tcW w:w="921" w:type="dxa"/>
                      </w:tcPr>
                      <w:p>
                        <w:pPr>
                          <w:pStyle w:val="TableParagraph"/>
                          <w:spacing w:line="154" w:lineRule="exact" w:before="2"/>
                          <w:ind w:left="104" w:right="93"/>
                          <w:jc w:val="center"/>
                          <w:rPr>
                            <w:sz w:val="15"/>
                          </w:rPr>
                        </w:pPr>
                        <w:r>
                          <w:rPr>
                            <w:sz w:val="15"/>
                          </w:rPr>
                          <w:t>4.5.1</w:t>
                        </w:r>
                      </w:p>
                    </w:tc>
                    <w:tc>
                      <w:tcPr>
                        <w:tcW w:w="3201" w:type="dxa"/>
                      </w:tcPr>
                      <w:p>
                        <w:pPr>
                          <w:pStyle w:val="TableParagraph"/>
                          <w:spacing w:line="153" w:lineRule="exact" w:before="3"/>
                          <w:ind w:left="47"/>
                          <w:rPr>
                            <w:b/>
                            <w:sz w:val="15"/>
                          </w:rPr>
                        </w:pPr>
                        <w:r>
                          <w:rPr>
                            <w:b/>
                            <w:sz w:val="15"/>
                          </w:rPr>
                          <w:t>Recargos</w:t>
                        </w:r>
                      </w:p>
                    </w:tc>
                    <w:tc>
                      <w:tcPr>
                        <w:tcW w:w="1261" w:type="dxa"/>
                      </w:tcPr>
                      <w:p>
                        <w:pPr>
                          <w:pStyle w:val="TableParagraph"/>
                          <w:spacing w:line="153" w:lineRule="exact" w:before="3"/>
                          <w:ind w:right="34"/>
                          <w:jc w:val="right"/>
                          <w:rPr>
                            <w:b/>
                            <w:sz w:val="15"/>
                          </w:rPr>
                        </w:pPr>
                        <w:r>
                          <w:rPr>
                            <w:b/>
                            <w:sz w:val="15"/>
                          </w:rPr>
                          <w:t>13,087,194</w:t>
                        </w:r>
                      </w:p>
                    </w:tc>
                  </w:tr>
                  <w:tr>
                    <w:trPr>
                      <w:trHeight w:val="175" w:hRule="atLeast"/>
                    </w:trPr>
                    <w:tc>
                      <w:tcPr>
                        <w:tcW w:w="921" w:type="dxa"/>
                      </w:tcPr>
                      <w:p>
                        <w:pPr>
                          <w:pStyle w:val="TableParagraph"/>
                          <w:spacing w:line="154" w:lineRule="exact" w:before="1"/>
                          <w:ind w:left="104" w:right="93"/>
                          <w:jc w:val="center"/>
                          <w:rPr>
                            <w:sz w:val="15"/>
                          </w:rPr>
                        </w:pPr>
                        <w:r>
                          <w:rPr>
                            <w:sz w:val="15"/>
                          </w:rPr>
                          <w:t>4.5.1.1</w:t>
                        </w:r>
                      </w:p>
                    </w:tc>
                    <w:tc>
                      <w:tcPr>
                        <w:tcW w:w="3201" w:type="dxa"/>
                      </w:tcPr>
                      <w:p>
                        <w:pPr>
                          <w:pStyle w:val="TableParagraph"/>
                          <w:spacing w:line="154" w:lineRule="exact" w:before="1"/>
                          <w:ind w:left="47"/>
                          <w:rPr>
                            <w:sz w:val="15"/>
                          </w:rPr>
                        </w:pPr>
                        <w:r>
                          <w:rPr>
                            <w:sz w:val="15"/>
                          </w:rPr>
                          <w:t>Falta de pago</w:t>
                        </w:r>
                      </w:p>
                    </w:tc>
                    <w:tc>
                      <w:tcPr>
                        <w:tcW w:w="1261" w:type="dxa"/>
                      </w:tcPr>
                      <w:p>
                        <w:pPr>
                          <w:pStyle w:val="TableParagraph"/>
                          <w:spacing w:line="154" w:lineRule="exact" w:before="1"/>
                          <w:ind w:right="35"/>
                          <w:jc w:val="right"/>
                          <w:rPr>
                            <w:sz w:val="15"/>
                          </w:rPr>
                        </w:pPr>
                        <w:r>
                          <w:rPr>
                            <w:sz w:val="15"/>
                          </w:rPr>
                          <w:t>13,087,194</w:t>
                        </w:r>
                      </w:p>
                    </w:tc>
                  </w:tr>
                  <w:tr>
                    <w:trPr>
                      <w:trHeight w:val="176" w:hRule="atLeast"/>
                    </w:trPr>
                    <w:tc>
                      <w:tcPr>
                        <w:tcW w:w="921" w:type="dxa"/>
                      </w:tcPr>
                      <w:p>
                        <w:pPr>
                          <w:pStyle w:val="TableParagraph"/>
                          <w:spacing w:line="154" w:lineRule="exact" w:before="2"/>
                          <w:ind w:left="104" w:right="93"/>
                          <w:jc w:val="center"/>
                          <w:rPr>
                            <w:sz w:val="15"/>
                          </w:rPr>
                        </w:pPr>
                        <w:r>
                          <w:rPr>
                            <w:sz w:val="15"/>
                          </w:rPr>
                          <w:t>4.5.2</w:t>
                        </w:r>
                      </w:p>
                    </w:tc>
                    <w:tc>
                      <w:tcPr>
                        <w:tcW w:w="3201" w:type="dxa"/>
                      </w:tcPr>
                      <w:p>
                        <w:pPr>
                          <w:pStyle w:val="TableParagraph"/>
                          <w:spacing w:line="153" w:lineRule="exact" w:before="3"/>
                          <w:ind w:left="47"/>
                          <w:rPr>
                            <w:b/>
                            <w:sz w:val="15"/>
                          </w:rPr>
                        </w:pPr>
                        <w:r>
                          <w:rPr>
                            <w:b/>
                            <w:sz w:val="15"/>
                          </w:rPr>
                          <w:t>Multas</w:t>
                        </w:r>
                      </w:p>
                    </w:tc>
                    <w:tc>
                      <w:tcPr>
                        <w:tcW w:w="1261" w:type="dxa"/>
                      </w:tcPr>
                      <w:p>
                        <w:pPr>
                          <w:pStyle w:val="TableParagraph"/>
                          <w:spacing w:line="153" w:lineRule="exact" w:before="3"/>
                          <w:ind w:right="34"/>
                          <w:jc w:val="right"/>
                          <w:rPr>
                            <w:b/>
                            <w:sz w:val="15"/>
                          </w:rPr>
                        </w:pPr>
                        <w:r>
                          <w:rPr>
                            <w:b/>
                            <w:sz w:val="15"/>
                          </w:rPr>
                          <w:t>23,012,075</w:t>
                        </w:r>
                      </w:p>
                    </w:tc>
                  </w:tr>
                  <w:tr>
                    <w:trPr>
                      <w:trHeight w:val="175" w:hRule="atLeast"/>
                    </w:trPr>
                    <w:tc>
                      <w:tcPr>
                        <w:tcW w:w="921" w:type="dxa"/>
                      </w:tcPr>
                      <w:p>
                        <w:pPr>
                          <w:pStyle w:val="TableParagraph"/>
                          <w:spacing w:line="154" w:lineRule="exact" w:before="1"/>
                          <w:ind w:left="104" w:right="93"/>
                          <w:jc w:val="center"/>
                          <w:rPr>
                            <w:sz w:val="15"/>
                          </w:rPr>
                        </w:pPr>
                        <w:r>
                          <w:rPr>
                            <w:sz w:val="15"/>
                          </w:rPr>
                          <w:t>4.5.2.1</w:t>
                        </w:r>
                      </w:p>
                    </w:tc>
                    <w:tc>
                      <w:tcPr>
                        <w:tcW w:w="3201" w:type="dxa"/>
                      </w:tcPr>
                      <w:p>
                        <w:pPr>
                          <w:pStyle w:val="TableParagraph"/>
                          <w:spacing w:line="154" w:lineRule="exact" w:before="1"/>
                          <w:ind w:left="47"/>
                          <w:rPr>
                            <w:sz w:val="15"/>
                          </w:rPr>
                        </w:pPr>
                        <w:r>
                          <w:rPr>
                            <w:w w:val="105"/>
                            <w:sz w:val="15"/>
                          </w:rPr>
                          <w:t>lnfracciones</w:t>
                        </w:r>
                      </w:p>
                    </w:tc>
                    <w:tc>
                      <w:tcPr>
                        <w:tcW w:w="1261" w:type="dxa"/>
                      </w:tcPr>
                      <w:p>
                        <w:pPr>
                          <w:pStyle w:val="TableParagraph"/>
                          <w:spacing w:line="154" w:lineRule="exact" w:before="1"/>
                          <w:ind w:right="35"/>
                          <w:jc w:val="right"/>
                          <w:rPr>
                            <w:sz w:val="15"/>
                          </w:rPr>
                        </w:pPr>
                        <w:r>
                          <w:rPr>
                            <w:sz w:val="15"/>
                          </w:rPr>
                          <w:t>23,012,075</w:t>
                        </w:r>
                      </w:p>
                    </w:tc>
                  </w:tr>
                  <w:tr>
                    <w:trPr>
                      <w:trHeight w:val="176" w:hRule="atLeast"/>
                    </w:trPr>
                    <w:tc>
                      <w:tcPr>
                        <w:tcW w:w="921" w:type="dxa"/>
                      </w:tcPr>
                      <w:p>
                        <w:pPr>
                          <w:pStyle w:val="TableParagraph"/>
                          <w:spacing w:line="154" w:lineRule="exact" w:before="2"/>
                          <w:ind w:left="104" w:right="93"/>
                          <w:jc w:val="center"/>
                          <w:rPr>
                            <w:sz w:val="15"/>
                          </w:rPr>
                        </w:pPr>
                        <w:r>
                          <w:rPr>
                            <w:sz w:val="15"/>
                          </w:rPr>
                          <w:t>4.5.3</w:t>
                        </w:r>
                      </w:p>
                    </w:tc>
                    <w:tc>
                      <w:tcPr>
                        <w:tcW w:w="3201" w:type="dxa"/>
                      </w:tcPr>
                      <w:p>
                        <w:pPr>
                          <w:pStyle w:val="TableParagraph"/>
                          <w:spacing w:line="153" w:lineRule="exact" w:before="3"/>
                          <w:ind w:left="47"/>
                          <w:rPr>
                            <w:b/>
                            <w:sz w:val="15"/>
                          </w:rPr>
                        </w:pPr>
                        <w:r>
                          <w:rPr>
                            <w:b/>
                            <w:sz w:val="15"/>
                          </w:rPr>
                          <w:t>Intereses</w:t>
                        </w:r>
                      </w:p>
                    </w:tc>
                    <w:tc>
                      <w:tcPr>
                        <w:tcW w:w="1261" w:type="dxa"/>
                      </w:tcPr>
                      <w:p>
                        <w:pPr>
                          <w:pStyle w:val="TableParagraph"/>
                          <w:spacing w:line="153" w:lineRule="exact" w:before="3"/>
                          <w:ind w:right="34"/>
                          <w:jc w:val="right"/>
                          <w:rPr>
                            <w:b/>
                            <w:sz w:val="15"/>
                          </w:rPr>
                        </w:pPr>
                        <w:r>
                          <w:rPr>
                            <w:b/>
                            <w:sz w:val="15"/>
                          </w:rPr>
                          <w:t>1,442,897</w:t>
                        </w:r>
                      </w:p>
                    </w:tc>
                  </w:tr>
                  <w:tr>
                    <w:trPr>
                      <w:trHeight w:val="175" w:hRule="atLeast"/>
                    </w:trPr>
                    <w:tc>
                      <w:tcPr>
                        <w:tcW w:w="921" w:type="dxa"/>
                      </w:tcPr>
                      <w:p>
                        <w:pPr>
                          <w:pStyle w:val="TableParagraph"/>
                          <w:spacing w:line="154" w:lineRule="exact" w:before="1"/>
                          <w:ind w:left="104" w:right="93"/>
                          <w:jc w:val="center"/>
                          <w:rPr>
                            <w:sz w:val="15"/>
                          </w:rPr>
                        </w:pPr>
                        <w:r>
                          <w:rPr>
                            <w:sz w:val="15"/>
                          </w:rPr>
                          <w:t>4.5.3.1</w:t>
                        </w:r>
                      </w:p>
                    </w:tc>
                    <w:tc>
                      <w:tcPr>
                        <w:tcW w:w="3201" w:type="dxa"/>
                      </w:tcPr>
                      <w:p>
                        <w:pPr>
                          <w:pStyle w:val="TableParagraph"/>
                          <w:spacing w:line="154" w:lineRule="exact" w:before="1"/>
                          <w:ind w:left="47"/>
                          <w:rPr>
                            <w:sz w:val="15"/>
                          </w:rPr>
                        </w:pPr>
                        <w:r>
                          <w:rPr>
                            <w:sz w:val="15"/>
                          </w:rPr>
                          <w:t>Plazo de créditos fiscales</w:t>
                        </w:r>
                      </w:p>
                    </w:tc>
                    <w:tc>
                      <w:tcPr>
                        <w:tcW w:w="1261" w:type="dxa"/>
                      </w:tcPr>
                      <w:p>
                        <w:pPr>
                          <w:pStyle w:val="TableParagraph"/>
                          <w:spacing w:line="154" w:lineRule="exact" w:before="1"/>
                          <w:ind w:right="35"/>
                          <w:jc w:val="right"/>
                          <w:rPr>
                            <w:sz w:val="15"/>
                          </w:rPr>
                        </w:pPr>
                        <w:r>
                          <w:rPr>
                            <w:sz w:val="15"/>
                          </w:rPr>
                          <w:t>1,442,897</w:t>
                        </w:r>
                      </w:p>
                    </w:tc>
                  </w:tr>
                  <w:tr>
                    <w:trPr>
                      <w:trHeight w:val="176" w:hRule="atLeast"/>
                    </w:trPr>
                    <w:tc>
                      <w:tcPr>
                        <w:tcW w:w="921" w:type="dxa"/>
                      </w:tcPr>
                      <w:p>
                        <w:pPr>
                          <w:pStyle w:val="TableParagraph"/>
                          <w:spacing w:line="154" w:lineRule="exact" w:before="2"/>
                          <w:ind w:left="104" w:right="93"/>
                          <w:jc w:val="center"/>
                          <w:rPr>
                            <w:sz w:val="15"/>
                          </w:rPr>
                        </w:pPr>
                        <w:r>
                          <w:rPr>
                            <w:sz w:val="15"/>
                          </w:rPr>
                          <w:t>4.5.4</w:t>
                        </w:r>
                      </w:p>
                    </w:tc>
                    <w:tc>
                      <w:tcPr>
                        <w:tcW w:w="3201" w:type="dxa"/>
                      </w:tcPr>
                      <w:p>
                        <w:pPr>
                          <w:pStyle w:val="TableParagraph"/>
                          <w:spacing w:line="153" w:lineRule="exact" w:before="3"/>
                          <w:ind w:left="47"/>
                          <w:rPr>
                            <w:b/>
                            <w:sz w:val="15"/>
                          </w:rPr>
                        </w:pPr>
                        <w:r>
                          <w:rPr>
                            <w:b/>
                            <w:sz w:val="15"/>
                          </w:rPr>
                          <w:t>Gastos de ejecución y de embargo</w:t>
                        </w:r>
                      </w:p>
                    </w:tc>
                    <w:tc>
                      <w:tcPr>
                        <w:tcW w:w="1261" w:type="dxa"/>
                      </w:tcPr>
                      <w:p>
                        <w:pPr>
                          <w:pStyle w:val="TableParagraph"/>
                          <w:spacing w:line="153" w:lineRule="exact" w:before="3"/>
                          <w:ind w:right="34"/>
                          <w:jc w:val="right"/>
                          <w:rPr>
                            <w:b/>
                            <w:sz w:val="15"/>
                          </w:rPr>
                        </w:pPr>
                        <w:r>
                          <w:rPr>
                            <w:b/>
                            <w:sz w:val="15"/>
                          </w:rPr>
                          <w:t>1,612,322</w:t>
                        </w:r>
                      </w:p>
                    </w:tc>
                  </w:tr>
                  <w:tr>
                    <w:trPr>
                      <w:trHeight w:val="175" w:hRule="atLeast"/>
                    </w:trPr>
                    <w:tc>
                      <w:tcPr>
                        <w:tcW w:w="921" w:type="dxa"/>
                      </w:tcPr>
                      <w:p>
                        <w:pPr>
                          <w:pStyle w:val="TableParagraph"/>
                          <w:spacing w:line="154" w:lineRule="exact" w:before="1"/>
                          <w:ind w:left="104" w:right="93"/>
                          <w:jc w:val="center"/>
                          <w:rPr>
                            <w:sz w:val="15"/>
                          </w:rPr>
                        </w:pPr>
                        <w:r>
                          <w:rPr>
                            <w:sz w:val="15"/>
                          </w:rPr>
                          <w:t>4.5.4.1</w:t>
                        </w:r>
                      </w:p>
                    </w:tc>
                    <w:tc>
                      <w:tcPr>
                        <w:tcW w:w="3201" w:type="dxa"/>
                      </w:tcPr>
                      <w:p>
                        <w:pPr>
                          <w:pStyle w:val="TableParagraph"/>
                          <w:spacing w:line="154" w:lineRule="exact" w:before="1"/>
                          <w:ind w:left="47"/>
                          <w:rPr>
                            <w:sz w:val="15"/>
                          </w:rPr>
                        </w:pPr>
                        <w:r>
                          <w:rPr>
                            <w:sz w:val="15"/>
                          </w:rPr>
                          <w:t>Gastos de notificación</w:t>
                        </w:r>
                      </w:p>
                    </w:tc>
                    <w:tc>
                      <w:tcPr>
                        <w:tcW w:w="1261" w:type="dxa"/>
                      </w:tcPr>
                      <w:p>
                        <w:pPr>
                          <w:pStyle w:val="TableParagraph"/>
                          <w:spacing w:line="154" w:lineRule="exact" w:before="1"/>
                          <w:ind w:right="35"/>
                          <w:jc w:val="right"/>
                          <w:rPr>
                            <w:sz w:val="15"/>
                          </w:rPr>
                        </w:pPr>
                        <w:r>
                          <w:rPr>
                            <w:sz w:val="15"/>
                          </w:rPr>
                          <w:t>1,612,322</w:t>
                        </w:r>
                      </w:p>
                    </w:tc>
                  </w:tr>
                  <w:tr>
                    <w:trPr>
                      <w:trHeight w:val="176" w:hRule="atLeast"/>
                    </w:trPr>
                    <w:tc>
                      <w:tcPr>
                        <w:tcW w:w="921" w:type="dxa"/>
                      </w:tcPr>
                      <w:p>
                        <w:pPr>
                          <w:pStyle w:val="TableParagraph"/>
                          <w:spacing w:line="154" w:lineRule="exact" w:before="2"/>
                          <w:ind w:left="104" w:right="93"/>
                          <w:jc w:val="center"/>
                          <w:rPr>
                            <w:sz w:val="15"/>
                          </w:rPr>
                        </w:pPr>
                        <w:r>
                          <w:rPr>
                            <w:sz w:val="15"/>
                          </w:rPr>
                          <w:t>4.5.4.2</w:t>
                        </w:r>
                      </w:p>
                    </w:tc>
                    <w:tc>
                      <w:tcPr>
                        <w:tcW w:w="3201" w:type="dxa"/>
                      </w:tcPr>
                      <w:p>
                        <w:pPr>
                          <w:pStyle w:val="TableParagraph"/>
                          <w:spacing w:line="154" w:lineRule="exact" w:before="2"/>
                          <w:ind w:left="47"/>
                          <w:rPr>
                            <w:sz w:val="15"/>
                          </w:rPr>
                        </w:pPr>
                        <w:r>
                          <w:rPr>
                            <w:sz w:val="15"/>
                          </w:rPr>
                          <w:t>Gastos de embargo</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4.5.4.3</w:t>
                        </w:r>
                      </w:p>
                    </w:tc>
                    <w:tc>
                      <w:tcPr>
                        <w:tcW w:w="3201" w:type="dxa"/>
                      </w:tcPr>
                      <w:p>
                        <w:pPr>
                          <w:pStyle w:val="TableParagraph"/>
                          <w:spacing w:line="154" w:lineRule="exact" w:before="1"/>
                          <w:ind w:left="47"/>
                          <w:rPr>
                            <w:sz w:val="15"/>
                          </w:rPr>
                        </w:pPr>
                        <w:r>
                          <w:rPr>
                            <w:sz w:val="15"/>
                          </w:rPr>
                          <w:t>Otros gastos del procedimiento</w:t>
                        </w:r>
                      </w:p>
                    </w:tc>
                    <w:tc>
                      <w:tcPr>
                        <w:tcW w:w="1261" w:type="dxa"/>
                      </w:tcPr>
                      <w:p>
                        <w:pPr>
                          <w:pStyle w:val="TableParagraph"/>
                          <w:spacing w:line="154" w:lineRule="exact" w:before="1"/>
                          <w:ind w:right="34"/>
                          <w:jc w:val="right"/>
                          <w:rPr>
                            <w:sz w:val="15"/>
                          </w:rPr>
                        </w:pPr>
                        <w:r>
                          <w:rPr>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4.5.5</w:t>
                        </w:r>
                      </w:p>
                    </w:tc>
                    <w:tc>
                      <w:tcPr>
                        <w:tcW w:w="3201" w:type="dxa"/>
                      </w:tcPr>
                      <w:p>
                        <w:pPr>
                          <w:pStyle w:val="TableParagraph"/>
                          <w:spacing w:line="153" w:lineRule="exact" w:before="3"/>
                          <w:ind w:left="47"/>
                          <w:rPr>
                            <w:b/>
                            <w:sz w:val="15"/>
                          </w:rPr>
                        </w:pPr>
                        <w:r>
                          <w:rPr>
                            <w:b/>
                            <w:sz w:val="15"/>
                          </w:rPr>
                          <w:t>Actualización</w:t>
                        </w:r>
                      </w:p>
                    </w:tc>
                    <w:tc>
                      <w:tcPr>
                        <w:tcW w:w="1261" w:type="dxa"/>
                      </w:tcPr>
                      <w:p>
                        <w:pPr>
                          <w:pStyle w:val="TableParagraph"/>
                          <w:spacing w:line="153" w:lineRule="exact" w:before="3"/>
                          <w:ind w:right="34"/>
                          <w:jc w:val="right"/>
                          <w:rPr>
                            <w:b/>
                            <w:sz w:val="15"/>
                          </w:rPr>
                        </w:pPr>
                        <w:r>
                          <w:rPr>
                            <w:b/>
                            <w:sz w:val="15"/>
                          </w:rPr>
                          <w:t>198,256</w:t>
                        </w:r>
                      </w:p>
                    </w:tc>
                  </w:tr>
                  <w:tr>
                    <w:trPr>
                      <w:trHeight w:val="175" w:hRule="atLeast"/>
                    </w:trPr>
                    <w:tc>
                      <w:tcPr>
                        <w:tcW w:w="921" w:type="dxa"/>
                      </w:tcPr>
                      <w:p>
                        <w:pPr>
                          <w:pStyle w:val="TableParagraph"/>
                          <w:spacing w:line="154" w:lineRule="exact" w:before="1"/>
                          <w:ind w:left="104" w:right="93"/>
                          <w:jc w:val="center"/>
                          <w:rPr>
                            <w:sz w:val="15"/>
                          </w:rPr>
                        </w:pPr>
                        <w:r>
                          <w:rPr>
                            <w:sz w:val="15"/>
                          </w:rPr>
                          <w:t>4.5.5.1</w:t>
                        </w:r>
                      </w:p>
                    </w:tc>
                    <w:tc>
                      <w:tcPr>
                        <w:tcW w:w="3201" w:type="dxa"/>
                      </w:tcPr>
                      <w:p>
                        <w:pPr>
                          <w:pStyle w:val="TableParagraph"/>
                          <w:spacing w:line="154" w:lineRule="exact" w:before="1"/>
                          <w:ind w:left="47"/>
                          <w:rPr>
                            <w:sz w:val="15"/>
                          </w:rPr>
                        </w:pPr>
                        <w:r>
                          <w:rPr>
                            <w:sz w:val="15"/>
                          </w:rPr>
                          <w:t>Actualización</w:t>
                        </w:r>
                      </w:p>
                    </w:tc>
                    <w:tc>
                      <w:tcPr>
                        <w:tcW w:w="1261" w:type="dxa"/>
                      </w:tcPr>
                      <w:p>
                        <w:pPr>
                          <w:pStyle w:val="TableParagraph"/>
                          <w:spacing w:line="154" w:lineRule="exact" w:before="1"/>
                          <w:ind w:right="34"/>
                          <w:jc w:val="right"/>
                          <w:rPr>
                            <w:sz w:val="15"/>
                          </w:rPr>
                        </w:pPr>
                        <w:r>
                          <w:rPr>
                            <w:sz w:val="15"/>
                          </w:rPr>
                          <w:t>198,256</w:t>
                        </w:r>
                      </w:p>
                    </w:tc>
                  </w:tr>
                  <w:tr>
                    <w:trPr>
                      <w:trHeight w:val="176" w:hRule="atLeast"/>
                    </w:trPr>
                    <w:tc>
                      <w:tcPr>
                        <w:tcW w:w="921" w:type="dxa"/>
                      </w:tcPr>
                      <w:p>
                        <w:pPr>
                          <w:pStyle w:val="TableParagraph"/>
                          <w:spacing w:line="154" w:lineRule="exact" w:before="2"/>
                          <w:ind w:left="104" w:right="93"/>
                          <w:jc w:val="center"/>
                          <w:rPr>
                            <w:sz w:val="15"/>
                          </w:rPr>
                        </w:pPr>
                        <w:r>
                          <w:rPr>
                            <w:sz w:val="15"/>
                          </w:rPr>
                          <w:t>4.5.9</w:t>
                        </w:r>
                      </w:p>
                    </w:tc>
                    <w:tc>
                      <w:tcPr>
                        <w:tcW w:w="3201" w:type="dxa"/>
                      </w:tcPr>
                      <w:p>
                        <w:pPr>
                          <w:pStyle w:val="TableParagraph"/>
                          <w:spacing w:line="153" w:lineRule="exact" w:before="3"/>
                          <w:ind w:left="47"/>
                          <w:rPr>
                            <w:b/>
                            <w:sz w:val="15"/>
                          </w:rPr>
                        </w:pPr>
                        <w:r>
                          <w:rPr>
                            <w:b/>
                            <w:sz w:val="15"/>
                          </w:rPr>
                          <w:t>Otros no especificados</w:t>
                        </w:r>
                      </w:p>
                    </w:tc>
                    <w:tc>
                      <w:tcPr>
                        <w:tcW w:w="1261" w:type="dxa"/>
                      </w:tcPr>
                      <w:p>
                        <w:pPr>
                          <w:pStyle w:val="TableParagraph"/>
                          <w:spacing w:line="153" w:lineRule="exact" w:before="3"/>
                          <w:ind w:right="34"/>
                          <w:jc w:val="right"/>
                          <w:rPr>
                            <w:b/>
                            <w:sz w:val="15"/>
                          </w:rPr>
                        </w:pPr>
                        <w:r>
                          <w:rPr>
                            <w:b/>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4.5.9.9</w:t>
                        </w:r>
                      </w:p>
                    </w:tc>
                    <w:tc>
                      <w:tcPr>
                        <w:tcW w:w="3201" w:type="dxa"/>
                      </w:tcPr>
                      <w:p>
                        <w:pPr>
                          <w:pStyle w:val="TableParagraph"/>
                          <w:spacing w:line="154" w:lineRule="exact" w:before="1"/>
                          <w:ind w:left="47"/>
                          <w:rPr>
                            <w:sz w:val="15"/>
                          </w:rPr>
                        </w:pPr>
                        <w:r>
                          <w:rPr>
                            <w:sz w:val="15"/>
                          </w:rPr>
                          <w:t>Otros accesorios</w:t>
                        </w:r>
                      </w:p>
                    </w:tc>
                    <w:tc>
                      <w:tcPr>
                        <w:tcW w:w="1261" w:type="dxa"/>
                      </w:tcPr>
                      <w:p>
                        <w:pPr>
                          <w:pStyle w:val="TableParagraph"/>
                          <w:spacing w:line="154" w:lineRule="exact" w:before="1"/>
                          <w:ind w:right="34"/>
                          <w:jc w:val="right"/>
                          <w:rPr>
                            <w:sz w:val="15"/>
                          </w:rPr>
                        </w:pPr>
                        <w:r>
                          <w:rPr>
                            <w:w w:val="102"/>
                            <w:sz w:val="15"/>
                          </w:rPr>
                          <w:t>0</w:t>
                        </w:r>
                      </w:p>
                    </w:tc>
                  </w:tr>
                  <w:tr>
                    <w:trPr>
                      <w:trHeight w:val="707" w:hRule="atLeast"/>
                    </w:trPr>
                    <w:tc>
                      <w:tcPr>
                        <w:tcW w:w="921" w:type="dxa"/>
                      </w:tcPr>
                      <w:p>
                        <w:pPr>
                          <w:pStyle w:val="TableParagraph"/>
                          <w:spacing w:before="3"/>
                          <w:rPr>
                            <w:rFonts w:ascii="Times New Roman"/>
                            <w:sz w:val="23"/>
                          </w:rPr>
                        </w:pPr>
                      </w:p>
                      <w:p>
                        <w:pPr>
                          <w:pStyle w:val="TableParagraph"/>
                          <w:ind w:left="104" w:right="92"/>
                          <w:jc w:val="center"/>
                          <w:rPr>
                            <w:sz w:val="15"/>
                          </w:rPr>
                        </w:pPr>
                        <w:r>
                          <w:rPr>
                            <w:sz w:val="15"/>
                          </w:rPr>
                          <w:t>4.9</w:t>
                        </w:r>
                      </w:p>
                    </w:tc>
                    <w:tc>
                      <w:tcPr>
                        <w:tcW w:w="3201" w:type="dxa"/>
                      </w:tcPr>
                      <w:p>
                        <w:pPr>
                          <w:pStyle w:val="TableParagraph"/>
                          <w:spacing w:line="244" w:lineRule="auto" w:before="3"/>
                          <w:ind w:left="47"/>
                          <w:rPr>
                            <w:b/>
                            <w:sz w:val="15"/>
                          </w:rPr>
                        </w:pPr>
                        <w:r>
                          <w:rPr>
                            <w:b/>
                            <w:sz w:val="15"/>
                          </w:rPr>
                          <w:t>DERECHOS NO COMPRENDIDOS EN LA LEY DE INGRESOS VIGENTE, CAUSADOS EN EJERCICIOS FISCALES ANTERIORES</w:t>
                        </w:r>
                      </w:p>
                      <w:p>
                        <w:pPr>
                          <w:pStyle w:val="TableParagraph"/>
                          <w:spacing w:line="154" w:lineRule="exact" w:before="3"/>
                          <w:ind w:left="47"/>
                          <w:rPr>
                            <w:b/>
                            <w:sz w:val="15"/>
                          </w:rPr>
                        </w:pPr>
                        <w:r>
                          <w:rPr>
                            <w:b/>
                            <w:sz w:val="15"/>
                          </w:rPr>
                          <w:t>PENDIENTES DE LIQUIDACION O PAGO</w:t>
                        </w:r>
                      </w:p>
                    </w:tc>
                    <w:tc>
                      <w:tcPr>
                        <w:tcW w:w="1261" w:type="dxa"/>
                      </w:tcPr>
                      <w:p>
                        <w:pPr>
                          <w:pStyle w:val="TableParagraph"/>
                          <w:spacing w:before="3"/>
                          <w:rPr>
                            <w:rFonts w:ascii="Times New Roman"/>
                            <w:sz w:val="23"/>
                          </w:rPr>
                        </w:pPr>
                      </w:p>
                      <w:p>
                        <w:pPr>
                          <w:pStyle w:val="TableParagraph"/>
                          <w:spacing w:before="1"/>
                          <w:ind w:right="34"/>
                          <w:jc w:val="right"/>
                          <w:rPr>
                            <w:b/>
                            <w:sz w:val="15"/>
                          </w:rPr>
                        </w:pPr>
                        <w:r>
                          <w:rPr>
                            <w:b/>
                            <w:w w:val="102"/>
                            <w:sz w:val="15"/>
                          </w:rPr>
                          <w:t>0</w:t>
                        </w:r>
                      </w:p>
                    </w:tc>
                  </w:tr>
                  <w:tr>
                    <w:trPr>
                      <w:trHeight w:val="175" w:hRule="atLeast"/>
                    </w:trPr>
                    <w:tc>
                      <w:tcPr>
                        <w:tcW w:w="921" w:type="dxa"/>
                      </w:tcPr>
                      <w:p>
                        <w:pPr>
                          <w:pStyle w:val="TableParagraph"/>
                          <w:rPr>
                            <w:rFonts w:ascii="Times New Roman"/>
                            <w:sz w:val="10"/>
                          </w:rPr>
                        </w:pPr>
                      </w:p>
                    </w:tc>
                    <w:tc>
                      <w:tcPr>
                        <w:tcW w:w="3201" w:type="dxa"/>
                      </w:tcPr>
                      <w:p>
                        <w:pPr>
                          <w:pStyle w:val="TableParagraph"/>
                          <w:rPr>
                            <w:rFonts w:ascii="Times New Roman"/>
                            <w:sz w:val="10"/>
                          </w:rPr>
                        </w:pPr>
                      </w:p>
                    </w:tc>
                    <w:tc>
                      <w:tcPr>
                        <w:tcW w:w="1261" w:type="dxa"/>
                      </w:tcPr>
                      <w:p>
                        <w:pPr>
                          <w:pStyle w:val="TableParagraph"/>
                          <w:rPr>
                            <w:rFonts w:ascii="Times New Roman"/>
                            <w:sz w:val="10"/>
                          </w:rPr>
                        </w:pPr>
                      </w:p>
                    </w:tc>
                  </w:tr>
                  <w:tr>
                    <w:trPr>
                      <w:trHeight w:val="176" w:hRule="atLeast"/>
                    </w:trPr>
                    <w:tc>
                      <w:tcPr>
                        <w:tcW w:w="921" w:type="dxa"/>
                      </w:tcPr>
                      <w:p>
                        <w:pPr>
                          <w:pStyle w:val="TableParagraph"/>
                          <w:spacing w:line="154" w:lineRule="exact" w:before="2"/>
                          <w:ind w:left="104" w:right="92"/>
                          <w:jc w:val="center"/>
                          <w:rPr>
                            <w:sz w:val="15"/>
                          </w:rPr>
                        </w:pPr>
                        <w:r>
                          <w:rPr>
                            <w:sz w:val="15"/>
                          </w:rPr>
                          <w:t>5.1</w:t>
                        </w:r>
                      </w:p>
                    </w:tc>
                    <w:tc>
                      <w:tcPr>
                        <w:tcW w:w="3201" w:type="dxa"/>
                      </w:tcPr>
                      <w:p>
                        <w:pPr>
                          <w:pStyle w:val="TableParagraph"/>
                          <w:spacing w:line="153" w:lineRule="exact" w:before="3"/>
                          <w:ind w:left="47"/>
                          <w:rPr>
                            <w:b/>
                            <w:sz w:val="15"/>
                          </w:rPr>
                        </w:pPr>
                        <w:r>
                          <w:rPr>
                            <w:b/>
                            <w:sz w:val="15"/>
                          </w:rPr>
                          <w:t>PRODUCTOS</w:t>
                        </w:r>
                      </w:p>
                    </w:tc>
                    <w:tc>
                      <w:tcPr>
                        <w:tcW w:w="1261" w:type="dxa"/>
                      </w:tcPr>
                      <w:p>
                        <w:pPr>
                          <w:pStyle w:val="TableParagraph"/>
                          <w:spacing w:line="153" w:lineRule="exact" w:before="3"/>
                          <w:ind w:right="35"/>
                          <w:jc w:val="right"/>
                          <w:rPr>
                            <w:b/>
                            <w:sz w:val="15"/>
                          </w:rPr>
                        </w:pPr>
                        <w:r>
                          <w:rPr>
                            <w:b/>
                            <w:sz w:val="15"/>
                          </w:rPr>
                          <w:t>25,537,866</w:t>
                        </w:r>
                      </w:p>
                    </w:tc>
                  </w:tr>
                  <w:tr>
                    <w:trPr>
                      <w:trHeight w:val="530" w:hRule="atLeast"/>
                    </w:trPr>
                    <w:tc>
                      <w:tcPr>
                        <w:tcW w:w="921" w:type="dxa"/>
                      </w:tcPr>
                      <w:p>
                        <w:pPr>
                          <w:pStyle w:val="TableParagraph"/>
                          <w:spacing w:before="6"/>
                          <w:rPr>
                            <w:rFonts w:ascii="Times New Roman"/>
                            <w:sz w:val="15"/>
                          </w:rPr>
                        </w:pPr>
                      </w:p>
                      <w:p>
                        <w:pPr>
                          <w:pStyle w:val="TableParagraph"/>
                          <w:ind w:left="104" w:right="93"/>
                          <w:jc w:val="center"/>
                          <w:rPr>
                            <w:sz w:val="15"/>
                          </w:rPr>
                        </w:pPr>
                        <w:r>
                          <w:rPr>
                            <w:sz w:val="15"/>
                          </w:rPr>
                          <w:t>5.1.1</w:t>
                        </w:r>
                      </w:p>
                    </w:tc>
                    <w:tc>
                      <w:tcPr>
                        <w:tcW w:w="3201" w:type="dxa"/>
                      </w:tcPr>
                      <w:p>
                        <w:pPr>
                          <w:pStyle w:val="TableParagraph"/>
                          <w:spacing w:line="244" w:lineRule="auto" w:before="3"/>
                          <w:ind w:left="47" w:right="165"/>
                          <w:rPr>
                            <w:b/>
                            <w:sz w:val="15"/>
                          </w:rPr>
                        </w:pPr>
                        <w:r>
                          <w:rPr>
                            <w:b/>
                            <w:sz w:val="15"/>
                          </w:rPr>
                          <w:t>Uso, goce, aprovechamiento o explotación de bienes de dominio</w:t>
                        </w:r>
                      </w:p>
                      <w:p>
                        <w:pPr>
                          <w:pStyle w:val="TableParagraph"/>
                          <w:spacing w:line="154" w:lineRule="exact" w:before="1"/>
                          <w:ind w:left="47"/>
                          <w:rPr>
                            <w:b/>
                            <w:sz w:val="15"/>
                          </w:rPr>
                        </w:pPr>
                        <w:r>
                          <w:rPr>
                            <w:b/>
                            <w:sz w:val="15"/>
                          </w:rPr>
                          <w:t>privado</w:t>
                        </w:r>
                      </w:p>
                    </w:tc>
                    <w:tc>
                      <w:tcPr>
                        <w:tcW w:w="1261" w:type="dxa"/>
                      </w:tcPr>
                      <w:p>
                        <w:pPr>
                          <w:pStyle w:val="TableParagraph"/>
                          <w:spacing w:before="6"/>
                          <w:rPr>
                            <w:rFonts w:ascii="Times New Roman"/>
                            <w:sz w:val="15"/>
                          </w:rPr>
                        </w:pPr>
                      </w:p>
                      <w:p>
                        <w:pPr>
                          <w:pStyle w:val="TableParagraph"/>
                          <w:spacing w:before="1"/>
                          <w:ind w:right="34"/>
                          <w:jc w:val="right"/>
                          <w:rPr>
                            <w:b/>
                            <w:sz w:val="15"/>
                          </w:rPr>
                        </w:pPr>
                        <w:r>
                          <w:rPr>
                            <w:b/>
                            <w:sz w:val="15"/>
                          </w:rPr>
                          <w:t>607,951</w:t>
                        </w:r>
                      </w:p>
                    </w:tc>
                  </w:tr>
                  <w:tr>
                    <w:trPr>
                      <w:trHeight w:val="352" w:hRule="atLeast"/>
                    </w:trPr>
                    <w:tc>
                      <w:tcPr>
                        <w:tcW w:w="921" w:type="dxa"/>
                      </w:tcPr>
                      <w:p>
                        <w:pPr>
                          <w:pStyle w:val="TableParagraph"/>
                          <w:spacing w:before="90"/>
                          <w:ind w:left="104" w:right="93"/>
                          <w:jc w:val="center"/>
                          <w:rPr>
                            <w:sz w:val="15"/>
                          </w:rPr>
                        </w:pPr>
                        <w:r>
                          <w:rPr>
                            <w:sz w:val="15"/>
                          </w:rPr>
                          <w:t>5.1.1.1</w:t>
                        </w:r>
                      </w:p>
                    </w:tc>
                    <w:tc>
                      <w:tcPr>
                        <w:tcW w:w="3201" w:type="dxa"/>
                      </w:tcPr>
                      <w:p>
                        <w:pPr>
                          <w:pStyle w:val="TableParagraph"/>
                          <w:spacing w:line="178" w:lineRule="exact"/>
                          <w:ind w:left="47"/>
                          <w:rPr>
                            <w:sz w:val="15"/>
                          </w:rPr>
                        </w:pPr>
                        <w:r>
                          <w:rPr>
                            <w:sz w:val="15"/>
                          </w:rPr>
                          <w:t>Arrendamiento o concesión de locales en mercados</w:t>
                        </w:r>
                      </w:p>
                    </w:tc>
                    <w:tc>
                      <w:tcPr>
                        <w:tcW w:w="1261" w:type="dxa"/>
                      </w:tcPr>
                      <w:p>
                        <w:pPr>
                          <w:pStyle w:val="TableParagraph"/>
                          <w:spacing w:before="90"/>
                          <w:ind w:right="34"/>
                          <w:jc w:val="right"/>
                          <w:rPr>
                            <w:sz w:val="15"/>
                          </w:rPr>
                        </w:pPr>
                        <w:r>
                          <w:rPr>
                            <w:w w:val="102"/>
                            <w:sz w:val="15"/>
                          </w:rPr>
                          <w:t>0</w:t>
                        </w:r>
                      </w:p>
                    </w:tc>
                  </w:tr>
                  <w:tr>
                    <w:trPr>
                      <w:trHeight w:val="350" w:hRule="atLeast"/>
                    </w:trPr>
                    <w:tc>
                      <w:tcPr>
                        <w:tcW w:w="921" w:type="dxa"/>
                      </w:tcPr>
                      <w:p>
                        <w:pPr>
                          <w:pStyle w:val="TableParagraph"/>
                          <w:spacing w:before="87"/>
                          <w:ind w:left="104" w:right="93"/>
                          <w:jc w:val="center"/>
                          <w:rPr>
                            <w:sz w:val="15"/>
                          </w:rPr>
                        </w:pPr>
                        <w:r>
                          <w:rPr>
                            <w:sz w:val="15"/>
                          </w:rPr>
                          <w:t>5.1.1.2</w:t>
                        </w:r>
                      </w:p>
                    </w:tc>
                    <w:tc>
                      <w:tcPr>
                        <w:tcW w:w="3201" w:type="dxa"/>
                      </w:tcPr>
                      <w:p>
                        <w:pPr>
                          <w:pStyle w:val="TableParagraph"/>
                          <w:spacing w:line="172" w:lineRule="exact"/>
                          <w:ind w:left="47"/>
                          <w:rPr>
                            <w:sz w:val="15"/>
                          </w:rPr>
                        </w:pPr>
                        <w:r>
                          <w:rPr>
                            <w:sz w:val="15"/>
                          </w:rPr>
                          <w:t>Arrendamiento o concesión de kioscos en</w:t>
                        </w:r>
                      </w:p>
                      <w:p>
                        <w:pPr>
                          <w:pStyle w:val="TableParagraph"/>
                          <w:spacing w:line="154" w:lineRule="exact" w:before="4"/>
                          <w:ind w:left="47"/>
                          <w:rPr>
                            <w:sz w:val="15"/>
                          </w:rPr>
                        </w:pPr>
                        <w:r>
                          <w:rPr>
                            <w:sz w:val="15"/>
                          </w:rPr>
                          <w:t>plazas y jardines</w:t>
                        </w:r>
                      </w:p>
                    </w:tc>
                    <w:tc>
                      <w:tcPr>
                        <w:tcW w:w="1261" w:type="dxa"/>
                      </w:tcPr>
                      <w:p>
                        <w:pPr>
                          <w:pStyle w:val="TableParagraph"/>
                          <w:spacing w:before="87"/>
                          <w:ind w:right="34"/>
                          <w:jc w:val="right"/>
                          <w:rPr>
                            <w:sz w:val="15"/>
                          </w:rPr>
                        </w:pPr>
                        <w:r>
                          <w:rPr>
                            <w:w w:val="102"/>
                            <w:sz w:val="15"/>
                          </w:rPr>
                          <w:t>0</w:t>
                        </w:r>
                      </w:p>
                    </w:tc>
                  </w:tr>
                  <w:tr>
                    <w:trPr>
                      <w:trHeight w:val="352" w:hRule="atLeast"/>
                    </w:trPr>
                    <w:tc>
                      <w:tcPr>
                        <w:tcW w:w="921" w:type="dxa"/>
                      </w:tcPr>
                      <w:p>
                        <w:pPr>
                          <w:pStyle w:val="TableParagraph"/>
                          <w:spacing w:before="90"/>
                          <w:ind w:left="104" w:right="93"/>
                          <w:jc w:val="center"/>
                          <w:rPr>
                            <w:sz w:val="15"/>
                          </w:rPr>
                        </w:pPr>
                        <w:r>
                          <w:rPr>
                            <w:sz w:val="15"/>
                          </w:rPr>
                          <w:t>5.1.1.3</w:t>
                        </w:r>
                      </w:p>
                    </w:tc>
                    <w:tc>
                      <w:tcPr>
                        <w:tcW w:w="3201" w:type="dxa"/>
                      </w:tcPr>
                      <w:p>
                        <w:pPr>
                          <w:pStyle w:val="TableParagraph"/>
                          <w:spacing w:line="178" w:lineRule="exact"/>
                          <w:ind w:left="47"/>
                          <w:rPr>
                            <w:sz w:val="15"/>
                          </w:rPr>
                        </w:pPr>
                        <w:r>
                          <w:rPr>
                            <w:sz w:val="15"/>
                          </w:rPr>
                          <w:t>Arrendamiento o concesión de escusados y baños</w:t>
                        </w:r>
                      </w:p>
                    </w:tc>
                    <w:tc>
                      <w:tcPr>
                        <w:tcW w:w="1261" w:type="dxa"/>
                      </w:tcPr>
                      <w:p>
                        <w:pPr>
                          <w:pStyle w:val="TableParagraph"/>
                          <w:spacing w:before="90"/>
                          <w:ind w:right="34"/>
                          <w:jc w:val="right"/>
                          <w:rPr>
                            <w:sz w:val="15"/>
                          </w:rPr>
                        </w:pPr>
                        <w:r>
                          <w:rPr>
                            <w:w w:val="102"/>
                            <w:sz w:val="15"/>
                          </w:rPr>
                          <w:t>0</w:t>
                        </w:r>
                      </w:p>
                    </w:tc>
                  </w:tr>
                  <w:tr>
                    <w:trPr>
                      <w:trHeight w:val="172" w:hRule="atLeast"/>
                    </w:trPr>
                    <w:tc>
                      <w:tcPr>
                        <w:tcW w:w="921" w:type="dxa"/>
                      </w:tcPr>
                      <w:p>
                        <w:pPr>
                          <w:pStyle w:val="TableParagraph"/>
                          <w:spacing w:line="153" w:lineRule="exact"/>
                          <w:ind w:left="104" w:right="93"/>
                          <w:jc w:val="center"/>
                          <w:rPr>
                            <w:sz w:val="15"/>
                          </w:rPr>
                        </w:pPr>
                        <w:r>
                          <w:rPr>
                            <w:sz w:val="15"/>
                          </w:rPr>
                          <w:t>5.1.1.4</w:t>
                        </w:r>
                      </w:p>
                    </w:tc>
                    <w:tc>
                      <w:tcPr>
                        <w:tcW w:w="3201" w:type="dxa"/>
                      </w:tcPr>
                      <w:p>
                        <w:pPr>
                          <w:pStyle w:val="TableParagraph"/>
                          <w:spacing w:line="153" w:lineRule="exact"/>
                          <w:ind w:left="47"/>
                          <w:rPr>
                            <w:sz w:val="15"/>
                          </w:rPr>
                        </w:pPr>
                        <w:r>
                          <w:rPr>
                            <w:sz w:val="15"/>
                          </w:rPr>
                          <w:t>Arrendamiento de inmuebles para anuncios</w:t>
                        </w:r>
                      </w:p>
                    </w:tc>
                    <w:tc>
                      <w:tcPr>
                        <w:tcW w:w="1261" w:type="dxa"/>
                      </w:tcPr>
                      <w:p>
                        <w:pPr>
                          <w:pStyle w:val="TableParagraph"/>
                          <w:spacing w:line="153" w:lineRule="exact"/>
                          <w:ind w:right="36"/>
                          <w:jc w:val="right"/>
                          <w:rPr>
                            <w:sz w:val="15"/>
                          </w:rPr>
                        </w:pPr>
                        <w:r>
                          <w:rPr>
                            <w:w w:val="102"/>
                            <w:sz w:val="15"/>
                          </w:rPr>
                          <w:t>0</w:t>
                        </w:r>
                      </w:p>
                    </w:tc>
                  </w:tr>
                  <w:tr>
                    <w:trPr>
                      <w:trHeight w:val="353" w:hRule="atLeast"/>
                    </w:trPr>
                    <w:tc>
                      <w:tcPr>
                        <w:tcW w:w="921" w:type="dxa"/>
                      </w:tcPr>
                      <w:p>
                        <w:pPr>
                          <w:pStyle w:val="TableParagraph"/>
                          <w:spacing w:before="91"/>
                          <w:ind w:left="104" w:right="93"/>
                          <w:jc w:val="center"/>
                          <w:rPr>
                            <w:sz w:val="15"/>
                          </w:rPr>
                        </w:pPr>
                        <w:r>
                          <w:rPr>
                            <w:sz w:val="15"/>
                          </w:rPr>
                          <w:t>5.1.1.9</w:t>
                        </w:r>
                      </w:p>
                    </w:tc>
                    <w:tc>
                      <w:tcPr>
                        <w:tcW w:w="3201" w:type="dxa"/>
                      </w:tcPr>
                      <w:p>
                        <w:pPr>
                          <w:pStyle w:val="TableParagraph"/>
                          <w:spacing w:line="178" w:lineRule="exact"/>
                          <w:ind w:left="47" w:right="165"/>
                          <w:rPr>
                            <w:sz w:val="15"/>
                          </w:rPr>
                        </w:pPr>
                        <w:r>
                          <w:rPr>
                            <w:sz w:val="15"/>
                          </w:rPr>
                          <w:t>Otros arrendamientos o concesiones de bienes</w:t>
                        </w:r>
                      </w:p>
                    </w:tc>
                    <w:tc>
                      <w:tcPr>
                        <w:tcW w:w="1261" w:type="dxa"/>
                      </w:tcPr>
                      <w:p>
                        <w:pPr>
                          <w:pStyle w:val="TableParagraph"/>
                          <w:spacing w:before="91"/>
                          <w:ind w:right="34"/>
                          <w:jc w:val="right"/>
                          <w:rPr>
                            <w:sz w:val="15"/>
                          </w:rPr>
                        </w:pPr>
                        <w:r>
                          <w:rPr>
                            <w:sz w:val="15"/>
                          </w:rPr>
                          <w:t>607,951</w:t>
                        </w:r>
                      </w:p>
                    </w:tc>
                  </w:tr>
                  <w:tr>
                    <w:trPr>
                      <w:trHeight w:val="173" w:hRule="atLeast"/>
                    </w:trPr>
                    <w:tc>
                      <w:tcPr>
                        <w:tcW w:w="921" w:type="dxa"/>
                      </w:tcPr>
                      <w:p>
                        <w:pPr>
                          <w:pStyle w:val="TableParagraph"/>
                          <w:spacing w:line="153" w:lineRule="exact"/>
                          <w:ind w:left="104" w:right="93"/>
                          <w:jc w:val="center"/>
                          <w:rPr>
                            <w:sz w:val="15"/>
                          </w:rPr>
                        </w:pPr>
                        <w:r>
                          <w:rPr>
                            <w:sz w:val="15"/>
                          </w:rPr>
                          <w:t>5.1.2</w:t>
                        </w:r>
                      </w:p>
                    </w:tc>
                    <w:tc>
                      <w:tcPr>
                        <w:tcW w:w="3201" w:type="dxa"/>
                      </w:tcPr>
                      <w:p>
                        <w:pPr>
                          <w:pStyle w:val="TableParagraph"/>
                          <w:spacing w:line="153" w:lineRule="exact"/>
                          <w:ind w:left="47"/>
                          <w:rPr>
                            <w:b/>
                            <w:sz w:val="15"/>
                          </w:rPr>
                        </w:pPr>
                        <w:r>
                          <w:rPr>
                            <w:b/>
                            <w:sz w:val="15"/>
                          </w:rPr>
                          <w:t>Cementerios de dominio privado</w:t>
                        </w:r>
                      </w:p>
                    </w:tc>
                    <w:tc>
                      <w:tcPr>
                        <w:tcW w:w="1261" w:type="dxa"/>
                      </w:tcPr>
                      <w:p>
                        <w:pPr>
                          <w:pStyle w:val="TableParagraph"/>
                          <w:spacing w:line="153" w:lineRule="exact"/>
                          <w:ind w:right="34"/>
                          <w:jc w:val="right"/>
                          <w:rPr>
                            <w:b/>
                            <w:sz w:val="15"/>
                          </w:rPr>
                        </w:pPr>
                        <w:r>
                          <w:rPr>
                            <w:b/>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5.1.2.1</w:t>
                        </w:r>
                      </w:p>
                    </w:tc>
                    <w:tc>
                      <w:tcPr>
                        <w:tcW w:w="3201" w:type="dxa"/>
                      </w:tcPr>
                      <w:p>
                        <w:pPr>
                          <w:pStyle w:val="TableParagraph"/>
                          <w:spacing w:line="154" w:lineRule="exact" w:before="2"/>
                          <w:ind w:left="47"/>
                          <w:rPr>
                            <w:sz w:val="15"/>
                          </w:rPr>
                        </w:pPr>
                        <w:r>
                          <w:rPr>
                            <w:sz w:val="15"/>
                          </w:rPr>
                          <w:t>Lotes uso perpetuidad y temporal</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5.1.2.2</w:t>
                        </w:r>
                      </w:p>
                    </w:tc>
                    <w:tc>
                      <w:tcPr>
                        <w:tcW w:w="3201" w:type="dxa"/>
                      </w:tcPr>
                      <w:p>
                        <w:pPr>
                          <w:pStyle w:val="TableParagraph"/>
                          <w:spacing w:line="154" w:lineRule="exact" w:before="1"/>
                          <w:ind w:left="47"/>
                          <w:rPr>
                            <w:sz w:val="15"/>
                          </w:rPr>
                        </w:pPr>
                        <w:r>
                          <w:rPr>
                            <w:sz w:val="15"/>
                          </w:rPr>
                          <w:t>Mantenimiento</w:t>
                        </w:r>
                      </w:p>
                    </w:tc>
                    <w:tc>
                      <w:tcPr>
                        <w:tcW w:w="1261" w:type="dxa"/>
                      </w:tcPr>
                      <w:p>
                        <w:pPr>
                          <w:pStyle w:val="TableParagraph"/>
                          <w:spacing w:line="154" w:lineRule="exact" w:before="1"/>
                          <w:ind w:right="35"/>
                          <w:jc w:val="right"/>
                          <w:rPr>
                            <w:sz w:val="15"/>
                          </w:rPr>
                        </w:pPr>
                        <w:r>
                          <w:rPr>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5.1.2.3</w:t>
                        </w:r>
                      </w:p>
                    </w:tc>
                    <w:tc>
                      <w:tcPr>
                        <w:tcW w:w="3201" w:type="dxa"/>
                      </w:tcPr>
                      <w:p>
                        <w:pPr>
                          <w:pStyle w:val="TableParagraph"/>
                          <w:spacing w:line="154" w:lineRule="exact" w:before="2"/>
                          <w:ind w:left="47"/>
                          <w:rPr>
                            <w:sz w:val="15"/>
                          </w:rPr>
                        </w:pPr>
                        <w:r>
                          <w:rPr>
                            <w:sz w:val="15"/>
                          </w:rPr>
                          <w:t>Venta de gavetas a perpetuidad</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5.1.2.9</w:t>
                        </w:r>
                      </w:p>
                    </w:tc>
                    <w:tc>
                      <w:tcPr>
                        <w:tcW w:w="3201" w:type="dxa"/>
                      </w:tcPr>
                      <w:p>
                        <w:pPr>
                          <w:pStyle w:val="TableParagraph"/>
                          <w:spacing w:line="154" w:lineRule="exact" w:before="1"/>
                          <w:ind w:left="47"/>
                          <w:rPr>
                            <w:sz w:val="15"/>
                          </w:rPr>
                        </w:pPr>
                        <w:r>
                          <w:rPr>
                            <w:sz w:val="15"/>
                          </w:rPr>
                          <w:t>Otros</w:t>
                        </w:r>
                      </w:p>
                    </w:tc>
                    <w:tc>
                      <w:tcPr>
                        <w:tcW w:w="1261" w:type="dxa"/>
                      </w:tcPr>
                      <w:p>
                        <w:pPr>
                          <w:pStyle w:val="TableParagraph"/>
                          <w:spacing w:line="154" w:lineRule="exact" w:before="1"/>
                          <w:ind w:right="34"/>
                          <w:jc w:val="right"/>
                          <w:rPr>
                            <w:sz w:val="15"/>
                          </w:rPr>
                        </w:pPr>
                        <w:r>
                          <w:rPr>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5.1.9</w:t>
                        </w:r>
                      </w:p>
                    </w:tc>
                    <w:tc>
                      <w:tcPr>
                        <w:tcW w:w="3201" w:type="dxa"/>
                      </w:tcPr>
                      <w:p>
                        <w:pPr>
                          <w:pStyle w:val="TableParagraph"/>
                          <w:spacing w:line="153" w:lineRule="exact" w:before="3"/>
                          <w:ind w:left="47"/>
                          <w:rPr>
                            <w:b/>
                            <w:sz w:val="15"/>
                          </w:rPr>
                        </w:pPr>
                        <w:r>
                          <w:rPr>
                            <w:b/>
                            <w:sz w:val="15"/>
                          </w:rPr>
                          <w:t>Productos diversos</w:t>
                        </w:r>
                      </w:p>
                    </w:tc>
                    <w:tc>
                      <w:tcPr>
                        <w:tcW w:w="1261" w:type="dxa"/>
                      </w:tcPr>
                      <w:p>
                        <w:pPr>
                          <w:pStyle w:val="TableParagraph"/>
                          <w:spacing w:line="153" w:lineRule="exact" w:before="3"/>
                          <w:ind w:right="34"/>
                          <w:jc w:val="right"/>
                          <w:rPr>
                            <w:b/>
                            <w:sz w:val="15"/>
                          </w:rPr>
                        </w:pPr>
                        <w:r>
                          <w:rPr>
                            <w:b/>
                            <w:sz w:val="15"/>
                          </w:rPr>
                          <w:t>24,929,915</w:t>
                        </w:r>
                      </w:p>
                    </w:tc>
                  </w:tr>
                  <w:tr>
                    <w:trPr>
                      <w:trHeight w:val="175" w:hRule="atLeast"/>
                    </w:trPr>
                    <w:tc>
                      <w:tcPr>
                        <w:tcW w:w="921" w:type="dxa"/>
                      </w:tcPr>
                      <w:p>
                        <w:pPr>
                          <w:pStyle w:val="TableParagraph"/>
                          <w:spacing w:line="154" w:lineRule="exact" w:before="1"/>
                          <w:ind w:left="104" w:right="93"/>
                          <w:jc w:val="center"/>
                          <w:rPr>
                            <w:sz w:val="15"/>
                          </w:rPr>
                        </w:pPr>
                        <w:r>
                          <w:rPr>
                            <w:sz w:val="15"/>
                          </w:rPr>
                          <w:t>5.1.9.1</w:t>
                        </w:r>
                      </w:p>
                    </w:tc>
                    <w:tc>
                      <w:tcPr>
                        <w:tcW w:w="3201" w:type="dxa"/>
                      </w:tcPr>
                      <w:p>
                        <w:pPr>
                          <w:pStyle w:val="TableParagraph"/>
                          <w:spacing w:line="154" w:lineRule="exact" w:before="1"/>
                          <w:ind w:left="47"/>
                          <w:rPr>
                            <w:sz w:val="15"/>
                          </w:rPr>
                        </w:pPr>
                        <w:r>
                          <w:rPr>
                            <w:sz w:val="15"/>
                          </w:rPr>
                          <w:t>Formas y ediciones impresas</w:t>
                        </w:r>
                      </w:p>
                    </w:tc>
                    <w:tc>
                      <w:tcPr>
                        <w:tcW w:w="1261" w:type="dxa"/>
                      </w:tcPr>
                      <w:p>
                        <w:pPr>
                          <w:pStyle w:val="TableParagraph"/>
                          <w:spacing w:line="154" w:lineRule="exact" w:before="1"/>
                          <w:ind w:right="35"/>
                          <w:jc w:val="right"/>
                          <w:rPr>
                            <w:sz w:val="15"/>
                          </w:rPr>
                        </w:pPr>
                        <w:r>
                          <w:rPr>
                            <w:sz w:val="15"/>
                          </w:rPr>
                          <w:t>10,447,222</w:t>
                        </w:r>
                      </w:p>
                    </w:tc>
                  </w:tr>
                  <w:tr>
                    <w:trPr>
                      <w:trHeight w:val="352" w:hRule="atLeast"/>
                    </w:trPr>
                    <w:tc>
                      <w:tcPr>
                        <w:tcW w:w="921" w:type="dxa"/>
                      </w:tcPr>
                      <w:p>
                        <w:pPr>
                          <w:pStyle w:val="TableParagraph"/>
                          <w:spacing w:before="90"/>
                          <w:ind w:left="104" w:right="93"/>
                          <w:jc w:val="center"/>
                          <w:rPr>
                            <w:sz w:val="15"/>
                          </w:rPr>
                        </w:pPr>
                        <w:r>
                          <w:rPr>
                            <w:sz w:val="15"/>
                          </w:rPr>
                          <w:t>5.1.9.2</w:t>
                        </w:r>
                      </w:p>
                    </w:tc>
                    <w:tc>
                      <w:tcPr>
                        <w:tcW w:w="3201" w:type="dxa"/>
                      </w:tcPr>
                      <w:p>
                        <w:pPr>
                          <w:pStyle w:val="TableParagraph"/>
                          <w:spacing w:line="178" w:lineRule="exact"/>
                          <w:ind w:left="47" w:right="104"/>
                          <w:rPr>
                            <w:sz w:val="15"/>
                          </w:rPr>
                        </w:pPr>
                        <w:r>
                          <w:rPr>
                            <w:sz w:val="15"/>
                          </w:rPr>
                          <w:t>Calcomanías, credenciales, placas, escudos y otros medios de</w:t>
                        </w:r>
                        <w:r>
                          <w:rPr>
                            <w:spacing w:val="11"/>
                            <w:sz w:val="15"/>
                          </w:rPr>
                          <w:t> </w:t>
                        </w:r>
                        <w:r>
                          <w:rPr>
                            <w:sz w:val="15"/>
                          </w:rPr>
                          <w:t>identificación</w:t>
                        </w:r>
                      </w:p>
                    </w:tc>
                    <w:tc>
                      <w:tcPr>
                        <w:tcW w:w="1261" w:type="dxa"/>
                      </w:tcPr>
                      <w:p>
                        <w:pPr>
                          <w:pStyle w:val="TableParagraph"/>
                          <w:spacing w:before="90"/>
                          <w:ind w:right="34"/>
                          <w:jc w:val="right"/>
                          <w:rPr>
                            <w:sz w:val="15"/>
                          </w:rPr>
                        </w:pPr>
                        <w:r>
                          <w:rPr>
                            <w:sz w:val="15"/>
                          </w:rPr>
                          <w:t>187,688</w:t>
                        </w:r>
                      </w:p>
                    </w:tc>
                  </w:tr>
                  <w:tr>
                    <w:trPr>
                      <w:trHeight w:val="173" w:hRule="atLeast"/>
                    </w:trPr>
                    <w:tc>
                      <w:tcPr>
                        <w:tcW w:w="921" w:type="dxa"/>
                      </w:tcPr>
                      <w:p>
                        <w:pPr>
                          <w:pStyle w:val="TableParagraph"/>
                          <w:spacing w:line="153" w:lineRule="exact"/>
                          <w:ind w:left="104" w:right="93"/>
                          <w:jc w:val="center"/>
                          <w:rPr>
                            <w:sz w:val="15"/>
                          </w:rPr>
                        </w:pPr>
                        <w:r>
                          <w:rPr>
                            <w:sz w:val="15"/>
                          </w:rPr>
                          <w:t>5.1.9.3</w:t>
                        </w:r>
                      </w:p>
                    </w:tc>
                    <w:tc>
                      <w:tcPr>
                        <w:tcW w:w="3201" w:type="dxa"/>
                      </w:tcPr>
                      <w:p>
                        <w:pPr>
                          <w:pStyle w:val="TableParagraph"/>
                          <w:spacing w:line="153" w:lineRule="exact"/>
                          <w:ind w:left="47"/>
                          <w:rPr>
                            <w:sz w:val="15"/>
                          </w:rPr>
                        </w:pPr>
                        <w:r>
                          <w:rPr>
                            <w:sz w:val="15"/>
                          </w:rPr>
                          <w:t>Depósito de vehículos</w:t>
                        </w:r>
                      </w:p>
                    </w:tc>
                    <w:tc>
                      <w:tcPr>
                        <w:tcW w:w="1261" w:type="dxa"/>
                      </w:tcPr>
                      <w:p>
                        <w:pPr>
                          <w:pStyle w:val="TableParagraph"/>
                          <w:spacing w:line="153" w:lineRule="exact"/>
                          <w:ind w:right="35"/>
                          <w:jc w:val="right"/>
                          <w:rPr>
                            <w:sz w:val="15"/>
                          </w:rPr>
                        </w:pPr>
                        <w:r>
                          <w:rPr>
                            <w:w w:val="102"/>
                            <w:sz w:val="15"/>
                          </w:rPr>
                          <w:t>0</w:t>
                        </w:r>
                      </w:p>
                    </w:tc>
                  </w:tr>
                  <w:tr>
                    <w:trPr>
                      <w:trHeight w:val="352" w:hRule="atLeast"/>
                    </w:trPr>
                    <w:tc>
                      <w:tcPr>
                        <w:tcW w:w="921" w:type="dxa"/>
                      </w:tcPr>
                      <w:p>
                        <w:pPr>
                          <w:pStyle w:val="TableParagraph"/>
                          <w:spacing w:before="90"/>
                          <w:ind w:left="104" w:right="93"/>
                          <w:jc w:val="center"/>
                          <w:rPr>
                            <w:sz w:val="15"/>
                          </w:rPr>
                        </w:pPr>
                        <w:r>
                          <w:rPr>
                            <w:sz w:val="15"/>
                          </w:rPr>
                          <w:t>5.1.9.4</w:t>
                        </w:r>
                      </w:p>
                    </w:tc>
                    <w:tc>
                      <w:tcPr>
                        <w:tcW w:w="3201" w:type="dxa"/>
                      </w:tcPr>
                      <w:p>
                        <w:pPr>
                          <w:pStyle w:val="TableParagraph"/>
                          <w:spacing w:line="176" w:lineRule="exact" w:before="2"/>
                          <w:ind w:left="47" w:right="165"/>
                          <w:rPr>
                            <w:sz w:val="15"/>
                          </w:rPr>
                        </w:pPr>
                        <w:r>
                          <w:rPr>
                            <w:sz w:val="15"/>
                          </w:rPr>
                          <w:t>Explotación de bienes municipales de dominio privado</w:t>
                        </w:r>
                      </w:p>
                    </w:tc>
                    <w:tc>
                      <w:tcPr>
                        <w:tcW w:w="1261" w:type="dxa"/>
                      </w:tcPr>
                      <w:p>
                        <w:pPr>
                          <w:pStyle w:val="TableParagraph"/>
                          <w:spacing w:before="90"/>
                          <w:ind w:right="34"/>
                          <w:jc w:val="right"/>
                          <w:rPr>
                            <w:sz w:val="15"/>
                          </w:rPr>
                        </w:pPr>
                        <w:r>
                          <w:rPr>
                            <w:w w:val="102"/>
                            <w:sz w:val="15"/>
                          </w:rPr>
                          <w:t>0</w:t>
                        </w:r>
                      </w:p>
                    </w:tc>
                  </w:tr>
                  <w:tr>
                    <w:trPr>
                      <w:trHeight w:val="351" w:hRule="atLeast"/>
                    </w:trPr>
                    <w:tc>
                      <w:tcPr>
                        <w:tcW w:w="921" w:type="dxa"/>
                      </w:tcPr>
                      <w:p>
                        <w:pPr>
                          <w:pStyle w:val="TableParagraph"/>
                          <w:spacing w:before="89"/>
                          <w:ind w:left="104" w:right="93"/>
                          <w:jc w:val="center"/>
                          <w:rPr>
                            <w:sz w:val="15"/>
                          </w:rPr>
                        </w:pPr>
                        <w:r>
                          <w:rPr>
                            <w:sz w:val="15"/>
                          </w:rPr>
                          <w:t>5.1.9.5</w:t>
                        </w:r>
                      </w:p>
                    </w:tc>
                    <w:tc>
                      <w:tcPr>
                        <w:tcW w:w="3201" w:type="dxa"/>
                      </w:tcPr>
                      <w:p>
                        <w:pPr>
                          <w:pStyle w:val="TableParagraph"/>
                          <w:spacing w:line="178" w:lineRule="exact"/>
                          <w:ind w:left="47" w:right="165"/>
                          <w:rPr>
                            <w:sz w:val="15"/>
                          </w:rPr>
                        </w:pPr>
                        <w:r>
                          <w:rPr>
                            <w:sz w:val="15"/>
                          </w:rPr>
                          <w:t>Productos o utilidades de talleres y centros de trabajo</w:t>
                        </w:r>
                      </w:p>
                    </w:tc>
                    <w:tc>
                      <w:tcPr>
                        <w:tcW w:w="1261" w:type="dxa"/>
                      </w:tcPr>
                      <w:p>
                        <w:pPr>
                          <w:pStyle w:val="TableParagraph"/>
                          <w:spacing w:before="89"/>
                          <w:ind w:right="34"/>
                          <w:jc w:val="right"/>
                          <w:rPr>
                            <w:sz w:val="15"/>
                          </w:rPr>
                        </w:pPr>
                        <w:r>
                          <w:rPr>
                            <w:w w:val="102"/>
                            <w:sz w:val="15"/>
                          </w:rPr>
                          <w:t>0</w:t>
                        </w:r>
                      </w:p>
                    </w:tc>
                  </w:tr>
                  <w:tr>
                    <w:trPr>
                      <w:trHeight w:val="349" w:hRule="atLeast"/>
                    </w:trPr>
                    <w:tc>
                      <w:tcPr>
                        <w:tcW w:w="921" w:type="dxa"/>
                      </w:tcPr>
                      <w:p>
                        <w:pPr>
                          <w:pStyle w:val="TableParagraph"/>
                          <w:spacing w:before="87"/>
                          <w:ind w:left="104" w:right="93"/>
                          <w:jc w:val="center"/>
                          <w:rPr>
                            <w:sz w:val="15"/>
                          </w:rPr>
                        </w:pPr>
                        <w:r>
                          <w:rPr>
                            <w:sz w:val="15"/>
                          </w:rPr>
                          <w:t>5.1.9.6</w:t>
                        </w:r>
                      </w:p>
                    </w:tc>
                    <w:tc>
                      <w:tcPr>
                        <w:tcW w:w="3201" w:type="dxa"/>
                      </w:tcPr>
                      <w:p>
                        <w:pPr>
                          <w:pStyle w:val="TableParagraph"/>
                          <w:spacing w:line="171" w:lineRule="exact"/>
                          <w:ind w:left="47"/>
                          <w:rPr>
                            <w:sz w:val="15"/>
                          </w:rPr>
                        </w:pPr>
                        <w:r>
                          <w:rPr>
                            <w:sz w:val="15"/>
                          </w:rPr>
                          <w:t>Venta de esquilmos, productos de aparcería,</w:t>
                        </w:r>
                      </w:p>
                      <w:p>
                        <w:pPr>
                          <w:pStyle w:val="TableParagraph"/>
                          <w:spacing w:line="154" w:lineRule="exact" w:before="4"/>
                          <w:ind w:left="47"/>
                          <w:rPr>
                            <w:sz w:val="15"/>
                          </w:rPr>
                        </w:pPr>
                        <w:r>
                          <w:rPr>
                            <w:sz w:val="15"/>
                          </w:rPr>
                          <w:t>desechos y basuras</w:t>
                        </w:r>
                      </w:p>
                    </w:tc>
                    <w:tc>
                      <w:tcPr>
                        <w:tcW w:w="1261" w:type="dxa"/>
                      </w:tcPr>
                      <w:p>
                        <w:pPr>
                          <w:pStyle w:val="TableParagraph"/>
                          <w:spacing w:before="87"/>
                          <w:ind w:right="34"/>
                          <w:jc w:val="right"/>
                          <w:rPr>
                            <w:sz w:val="15"/>
                          </w:rPr>
                        </w:pPr>
                        <w:r>
                          <w:rPr>
                            <w:w w:val="102"/>
                            <w:sz w:val="15"/>
                          </w:rPr>
                          <w:t>0</w:t>
                        </w:r>
                      </w:p>
                    </w:tc>
                  </w:tr>
                  <w:tr>
                    <w:trPr>
                      <w:trHeight w:val="352" w:hRule="atLeast"/>
                    </w:trPr>
                    <w:tc>
                      <w:tcPr>
                        <w:tcW w:w="921" w:type="dxa"/>
                      </w:tcPr>
                      <w:p>
                        <w:pPr>
                          <w:pStyle w:val="TableParagraph"/>
                          <w:spacing w:before="90"/>
                          <w:ind w:left="104" w:right="93"/>
                          <w:jc w:val="center"/>
                          <w:rPr>
                            <w:sz w:val="15"/>
                          </w:rPr>
                        </w:pPr>
                        <w:r>
                          <w:rPr>
                            <w:sz w:val="15"/>
                          </w:rPr>
                          <w:t>5.1.9.7</w:t>
                        </w:r>
                      </w:p>
                    </w:tc>
                    <w:tc>
                      <w:tcPr>
                        <w:tcW w:w="3201" w:type="dxa"/>
                      </w:tcPr>
                      <w:p>
                        <w:pPr>
                          <w:pStyle w:val="TableParagraph"/>
                          <w:spacing w:line="178" w:lineRule="exact"/>
                          <w:ind w:left="47"/>
                          <w:rPr>
                            <w:sz w:val="15"/>
                          </w:rPr>
                        </w:pPr>
                        <w:r>
                          <w:rPr>
                            <w:sz w:val="15"/>
                          </w:rPr>
                          <w:t>Venta de productos procedentes de viveros y jardines</w:t>
                        </w:r>
                      </w:p>
                    </w:tc>
                    <w:tc>
                      <w:tcPr>
                        <w:tcW w:w="1261" w:type="dxa"/>
                      </w:tcPr>
                      <w:p>
                        <w:pPr>
                          <w:pStyle w:val="TableParagraph"/>
                          <w:spacing w:before="90"/>
                          <w:ind w:right="34"/>
                          <w:jc w:val="right"/>
                          <w:rPr>
                            <w:sz w:val="15"/>
                          </w:rPr>
                        </w:pPr>
                        <w:r>
                          <w:rPr>
                            <w:w w:val="102"/>
                            <w:sz w:val="15"/>
                          </w:rPr>
                          <w:t>0</w:t>
                        </w:r>
                      </w:p>
                    </w:tc>
                  </w:tr>
                  <w:tr>
                    <w:trPr>
                      <w:trHeight w:val="172" w:hRule="atLeast"/>
                    </w:trPr>
                    <w:tc>
                      <w:tcPr>
                        <w:tcW w:w="921" w:type="dxa"/>
                      </w:tcPr>
                      <w:p>
                        <w:pPr>
                          <w:pStyle w:val="TableParagraph"/>
                          <w:spacing w:line="153" w:lineRule="exact"/>
                          <w:ind w:left="104" w:right="93"/>
                          <w:jc w:val="center"/>
                          <w:rPr>
                            <w:sz w:val="15"/>
                          </w:rPr>
                        </w:pPr>
                        <w:r>
                          <w:rPr>
                            <w:sz w:val="15"/>
                          </w:rPr>
                          <w:t>5.1.9.8</w:t>
                        </w:r>
                      </w:p>
                    </w:tc>
                    <w:tc>
                      <w:tcPr>
                        <w:tcW w:w="3201" w:type="dxa"/>
                      </w:tcPr>
                      <w:p>
                        <w:pPr>
                          <w:pStyle w:val="TableParagraph"/>
                          <w:spacing w:line="153" w:lineRule="exact"/>
                          <w:ind w:left="47"/>
                          <w:rPr>
                            <w:sz w:val="15"/>
                          </w:rPr>
                        </w:pPr>
                        <w:r>
                          <w:rPr>
                            <w:sz w:val="15"/>
                          </w:rPr>
                          <w:t>Por proporcionar información en documentos</w:t>
                        </w:r>
                      </w:p>
                    </w:tc>
                    <w:tc>
                      <w:tcPr>
                        <w:tcW w:w="1261" w:type="dxa"/>
                      </w:tcPr>
                      <w:p>
                        <w:pPr>
                          <w:pStyle w:val="TableParagraph"/>
                          <w:spacing w:line="153" w:lineRule="exact"/>
                          <w:ind w:right="36"/>
                          <w:jc w:val="right"/>
                          <w:rPr>
                            <w:sz w:val="15"/>
                          </w:rPr>
                        </w:pPr>
                        <w:r>
                          <w:rPr>
                            <w:sz w:val="15"/>
                          </w:rPr>
                          <w:t>26,207</w:t>
                        </w:r>
                      </w:p>
                    </w:tc>
                  </w:tr>
                </w:tbl>
                <w:p>
                  <w:pPr>
                    <w:pStyle w:val="BodyText"/>
                  </w:pPr>
                </w:p>
              </w:txbxContent>
            </v:textbox>
          </v:shape>
        </w:pict>
      </w:r>
      <w:r>
        <w:rPr>
          <w:rFonts w:ascii="Times New Roman"/>
          <w:position w:val="5"/>
          <w:sz w:val="20"/>
        </w:rPr>
      </w:r>
      <w:r>
        <w:rPr>
          <w:rFonts w:ascii="Times New Roman"/>
          <w:position w:val="5"/>
          <w:sz w:val="20"/>
        </w:rPr>
        <w:tab/>
      </w:r>
      <w:r>
        <w:rPr>
          <w:rFonts w:ascii="Times New Roman"/>
          <w:sz w:val="20"/>
        </w:rPr>
        <w:pict>
          <v:shape style="width:270.1pt;height:499.45pt;mso-position-horizontal-relative:char;mso-position-vertical-relative:line" type="#_x0000_t202"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1"/>
                    <w:gridCol w:w="3201"/>
                    <w:gridCol w:w="1261"/>
                  </w:tblGrid>
                  <w:tr>
                    <w:trPr>
                      <w:trHeight w:val="176" w:hRule="atLeast"/>
                    </w:trPr>
                    <w:tc>
                      <w:tcPr>
                        <w:tcW w:w="921" w:type="dxa"/>
                        <w:tcBorders>
                          <w:top w:val="nil"/>
                        </w:tcBorders>
                      </w:tcPr>
                      <w:p>
                        <w:pPr>
                          <w:pStyle w:val="TableParagraph"/>
                          <w:rPr>
                            <w:rFonts w:ascii="Times New Roman"/>
                            <w:sz w:val="10"/>
                          </w:rPr>
                        </w:pPr>
                      </w:p>
                    </w:tc>
                    <w:tc>
                      <w:tcPr>
                        <w:tcW w:w="3201" w:type="dxa"/>
                        <w:tcBorders>
                          <w:top w:val="nil"/>
                        </w:tcBorders>
                      </w:tcPr>
                      <w:p>
                        <w:pPr>
                          <w:pStyle w:val="TableParagraph"/>
                          <w:spacing w:line="154" w:lineRule="exact" w:before="2"/>
                          <w:ind w:left="47"/>
                          <w:rPr>
                            <w:sz w:val="15"/>
                          </w:rPr>
                        </w:pPr>
                        <w:r>
                          <w:rPr>
                            <w:sz w:val="15"/>
                          </w:rPr>
                          <w:t>o elementos técnicos</w:t>
                        </w:r>
                      </w:p>
                    </w:tc>
                    <w:tc>
                      <w:tcPr>
                        <w:tcW w:w="1261" w:type="dxa"/>
                        <w:tcBorders>
                          <w:top w:val="nil"/>
                        </w:tcBorders>
                      </w:tcPr>
                      <w:p>
                        <w:pPr>
                          <w:pStyle w:val="TableParagraph"/>
                          <w:rPr>
                            <w:rFonts w:ascii="Times New Roman"/>
                            <w:sz w:val="10"/>
                          </w:rPr>
                        </w:pPr>
                      </w:p>
                    </w:tc>
                  </w:tr>
                  <w:tr>
                    <w:trPr>
                      <w:trHeight w:val="175" w:hRule="atLeast"/>
                    </w:trPr>
                    <w:tc>
                      <w:tcPr>
                        <w:tcW w:w="921" w:type="dxa"/>
                      </w:tcPr>
                      <w:p>
                        <w:pPr>
                          <w:pStyle w:val="TableParagraph"/>
                          <w:spacing w:line="154" w:lineRule="exact" w:before="1"/>
                          <w:ind w:left="104" w:right="93"/>
                          <w:jc w:val="center"/>
                          <w:rPr>
                            <w:sz w:val="15"/>
                          </w:rPr>
                        </w:pPr>
                        <w:r>
                          <w:rPr>
                            <w:sz w:val="15"/>
                          </w:rPr>
                          <w:t>5.1.9.9</w:t>
                        </w:r>
                      </w:p>
                    </w:tc>
                    <w:tc>
                      <w:tcPr>
                        <w:tcW w:w="3201" w:type="dxa"/>
                      </w:tcPr>
                      <w:p>
                        <w:pPr>
                          <w:pStyle w:val="TableParagraph"/>
                          <w:spacing w:line="154" w:lineRule="exact" w:before="1"/>
                          <w:ind w:left="47"/>
                          <w:rPr>
                            <w:sz w:val="15"/>
                          </w:rPr>
                        </w:pPr>
                        <w:r>
                          <w:rPr>
                            <w:sz w:val="15"/>
                          </w:rPr>
                          <w:t>Otros productos no especificados</w:t>
                        </w:r>
                      </w:p>
                    </w:tc>
                    <w:tc>
                      <w:tcPr>
                        <w:tcW w:w="1261" w:type="dxa"/>
                      </w:tcPr>
                      <w:p>
                        <w:pPr>
                          <w:pStyle w:val="TableParagraph"/>
                          <w:spacing w:line="154" w:lineRule="exact" w:before="1"/>
                          <w:ind w:right="36"/>
                          <w:jc w:val="right"/>
                          <w:rPr>
                            <w:sz w:val="15"/>
                          </w:rPr>
                        </w:pPr>
                        <w:r>
                          <w:rPr>
                            <w:sz w:val="15"/>
                          </w:rPr>
                          <w:t>14,268,798</w:t>
                        </w:r>
                      </w:p>
                    </w:tc>
                  </w:tr>
                  <w:tr>
                    <w:trPr>
                      <w:trHeight w:val="707" w:hRule="atLeast"/>
                    </w:trPr>
                    <w:tc>
                      <w:tcPr>
                        <w:tcW w:w="921" w:type="dxa"/>
                      </w:tcPr>
                      <w:p>
                        <w:pPr>
                          <w:pStyle w:val="TableParagraph"/>
                          <w:spacing w:before="3"/>
                          <w:rPr>
                            <w:rFonts w:ascii="Times New Roman"/>
                            <w:sz w:val="23"/>
                          </w:rPr>
                        </w:pPr>
                      </w:p>
                      <w:p>
                        <w:pPr>
                          <w:pStyle w:val="TableParagraph"/>
                          <w:ind w:left="104" w:right="92"/>
                          <w:jc w:val="center"/>
                          <w:rPr>
                            <w:sz w:val="15"/>
                          </w:rPr>
                        </w:pPr>
                        <w:r>
                          <w:rPr>
                            <w:sz w:val="15"/>
                          </w:rPr>
                          <w:t>5.9</w:t>
                        </w:r>
                      </w:p>
                    </w:tc>
                    <w:tc>
                      <w:tcPr>
                        <w:tcW w:w="3201" w:type="dxa"/>
                      </w:tcPr>
                      <w:p>
                        <w:pPr>
                          <w:pStyle w:val="TableParagraph"/>
                          <w:spacing w:line="247" w:lineRule="auto" w:before="3"/>
                          <w:ind w:left="47" w:right="40"/>
                          <w:jc w:val="both"/>
                          <w:rPr>
                            <w:b/>
                            <w:sz w:val="15"/>
                          </w:rPr>
                        </w:pPr>
                        <w:r>
                          <w:rPr>
                            <w:b/>
                            <w:sz w:val="15"/>
                          </w:rPr>
                          <w:t>PRODUCTOS NO COMPRENDIDOS EN LA LEY DE INGRESOS VIGENTE, CAUSADOS EN EJERCICIOS FISCALES ANTERIORES</w:t>
                        </w:r>
                      </w:p>
                      <w:p>
                        <w:pPr>
                          <w:pStyle w:val="TableParagraph"/>
                          <w:spacing w:line="151" w:lineRule="exact"/>
                          <w:ind w:left="47"/>
                          <w:jc w:val="both"/>
                          <w:rPr>
                            <w:b/>
                            <w:sz w:val="15"/>
                          </w:rPr>
                        </w:pPr>
                        <w:r>
                          <w:rPr>
                            <w:b/>
                            <w:sz w:val="15"/>
                          </w:rPr>
                          <w:t>PENDIENTES DE LIQUIDACION O PAGO</w:t>
                        </w:r>
                      </w:p>
                    </w:tc>
                    <w:tc>
                      <w:tcPr>
                        <w:tcW w:w="1261" w:type="dxa"/>
                      </w:tcPr>
                      <w:p>
                        <w:pPr>
                          <w:pStyle w:val="TableParagraph"/>
                          <w:spacing w:before="4"/>
                          <w:rPr>
                            <w:rFonts w:ascii="Times New Roman"/>
                            <w:sz w:val="23"/>
                          </w:rPr>
                        </w:pPr>
                      </w:p>
                      <w:p>
                        <w:pPr>
                          <w:pStyle w:val="TableParagraph"/>
                          <w:ind w:right="34"/>
                          <w:jc w:val="right"/>
                          <w:rPr>
                            <w:b/>
                            <w:sz w:val="15"/>
                          </w:rPr>
                        </w:pPr>
                        <w:r>
                          <w:rPr>
                            <w:b/>
                            <w:w w:val="102"/>
                            <w:sz w:val="15"/>
                          </w:rPr>
                          <w:t>0</w:t>
                        </w:r>
                      </w:p>
                    </w:tc>
                  </w:tr>
                  <w:tr>
                    <w:trPr>
                      <w:trHeight w:val="176" w:hRule="atLeast"/>
                    </w:trPr>
                    <w:tc>
                      <w:tcPr>
                        <w:tcW w:w="921" w:type="dxa"/>
                      </w:tcPr>
                      <w:p>
                        <w:pPr>
                          <w:pStyle w:val="TableParagraph"/>
                          <w:rPr>
                            <w:rFonts w:ascii="Times New Roman"/>
                            <w:sz w:val="10"/>
                          </w:rPr>
                        </w:pPr>
                      </w:p>
                    </w:tc>
                    <w:tc>
                      <w:tcPr>
                        <w:tcW w:w="3201" w:type="dxa"/>
                      </w:tcPr>
                      <w:p>
                        <w:pPr>
                          <w:pStyle w:val="TableParagraph"/>
                          <w:rPr>
                            <w:rFonts w:ascii="Times New Roman"/>
                            <w:sz w:val="10"/>
                          </w:rPr>
                        </w:pPr>
                      </w:p>
                    </w:tc>
                    <w:tc>
                      <w:tcPr>
                        <w:tcW w:w="1261" w:type="dxa"/>
                      </w:tcPr>
                      <w:p>
                        <w:pPr>
                          <w:pStyle w:val="TableParagraph"/>
                          <w:rPr>
                            <w:rFonts w:ascii="Times New Roman"/>
                            <w:sz w:val="10"/>
                          </w:rPr>
                        </w:pPr>
                      </w:p>
                    </w:tc>
                  </w:tr>
                  <w:tr>
                    <w:trPr>
                      <w:trHeight w:val="175" w:hRule="atLeast"/>
                    </w:trPr>
                    <w:tc>
                      <w:tcPr>
                        <w:tcW w:w="921" w:type="dxa"/>
                      </w:tcPr>
                      <w:p>
                        <w:pPr>
                          <w:pStyle w:val="TableParagraph"/>
                          <w:spacing w:line="154" w:lineRule="exact" w:before="1"/>
                          <w:ind w:left="104" w:right="92"/>
                          <w:jc w:val="center"/>
                          <w:rPr>
                            <w:sz w:val="15"/>
                          </w:rPr>
                        </w:pPr>
                        <w:r>
                          <w:rPr>
                            <w:sz w:val="15"/>
                          </w:rPr>
                          <w:t>6.1</w:t>
                        </w:r>
                      </w:p>
                    </w:tc>
                    <w:tc>
                      <w:tcPr>
                        <w:tcW w:w="3201" w:type="dxa"/>
                      </w:tcPr>
                      <w:p>
                        <w:pPr>
                          <w:pStyle w:val="TableParagraph"/>
                          <w:spacing w:line="153" w:lineRule="exact" w:before="2"/>
                          <w:ind w:left="47"/>
                          <w:rPr>
                            <w:b/>
                            <w:sz w:val="15"/>
                          </w:rPr>
                        </w:pPr>
                        <w:r>
                          <w:rPr>
                            <w:b/>
                            <w:sz w:val="15"/>
                          </w:rPr>
                          <w:t>APROVECHAMIENTOS</w:t>
                        </w:r>
                      </w:p>
                    </w:tc>
                    <w:tc>
                      <w:tcPr>
                        <w:tcW w:w="1261" w:type="dxa"/>
                      </w:tcPr>
                      <w:p>
                        <w:pPr>
                          <w:pStyle w:val="TableParagraph"/>
                          <w:spacing w:line="153" w:lineRule="exact" w:before="2"/>
                          <w:ind w:right="34"/>
                          <w:jc w:val="right"/>
                          <w:rPr>
                            <w:b/>
                            <w:sz w:val="15"/>
                          </w:rPr>
                        </w:pPr>
                        <w:r>
                          <w:rPr>
                            <w:b/>
                            <w:sz w:val="15"/>
                          </w:rPr>
                          <w:t>47,784,574</w:t>
                        </w:r>
                      </w:p>
                    </w:tc>
                  </w:tr>
                  <w:tr>
                    <w:trPr>
                      <w:trHeight w:val="352" w:hRule="atLeast"/>
                    </w:trPr>
                    <w:tc>
                      <w:tcPr>
                        <w:tcW w:w="921" w:type="dxa"/>
                      </w:tcPr>
                      <w:p>
                        <w:pPr>
                          <w:pStyle w:val="TableParagraph"/>
                          <w:spacing w:before="90"/>
                          <w:ind w:left="104" w:right="93"/>
                          <w:jc w:val="center"/>
                          <w:rPr>
                            <w:sz w:val="15"/>
                          </w:rPr>
                        </w:pPr>
                        <w:r>
                          <w:rPr>
                            <w:sz w:val="15"/>
                          </w:rPr>
                          <w:t>6.1.1</w:t>
                        </w:r>
                      </w:p>
                    </w:tc>
                    <w:tc>
                      <w:tcPr>
                        <w:tcW w:w="3201" w:type="dxa"/>
                      </w:tcPr>
                      <w:p>
                        <w:pPr>
                          <w:pStyle w:val="TableParagraph"/>
                          <w:spacing w:line="178" w:lineRule="exact" w:before="1"/>
                          <w:ind w:left="47"/>
                          <w:rPr>
                            <w:b/>
                            <w:sz w:val="15"/>
                          </w:rPr>
                        </w:pPr>
                        <w:r>
                          <w:rPr>
                            <w:b/>
                            <w:sz w:val="15"/>
                          </w:rPr>
                          <w:t>Incentivos derivados de la colaboración fiscal</w:t>
                        </w:r>
                      </w:p>
                    </w:tc>
                    <w:tc>
                      <w:tcPr>
                        <w:tcW w:w="1261" w:type="dxa"/>
                      </w:tcPr>
                      <w:p>
                        <w:pPr>
                          <w:pStyle w:val="TableParagraph"/>
                          <w:spacing w:before="91"/>
                          <w:ind w:right="34"/>
                          <w:jc w:val="right"/>
                          <w:rPr>
                            <w:b/>
                            <w:sz w:val="15"/>
                          </w:rPr>
                        </w:pPr>
                        <w:r>
                          <w:rPr>
                            <w:b/>
                            <w:w w:val="102"/>
                            <w:sz w:val="15"/>
                          </w:rPr>
                          <w:t>0</w:t>
                        </w:r>
                      </w:p>
                    </w:tc>
                  </w:tr>
                  <w:tr>
                    <w:trPr>
                      <w:trHeight w:val="172" w:hRule="atLeast"/>
                    </w:trPr>
                    <w:tc>
                      <w:tcPr>
                        <w:tcW w:w="921" w:type="dxa"/>
                      </w:tcPr>
                      <w:p>
                        <w:pPr>
                          <w:pStyle w:val="TableParagraph"/>
                          <w:spacing w:line="152" w:lineRule="exact"/>
                          <w:ind w:left="104" w:right="93"/>
                          <w:jc w:val="center"/>
                          <w:rPr>
                            <w:sz w:val="15"/>
                          </w:rPr>
                        </w:pPr>
                        <w:r>
                          <w:rPr>
                            <w:sz w:val="15"/>
                          </w:rPr>
                          <w:t>6.1.1.1</w:t>
                        </w:r>
                      </w:p>
                    </w:tc>
                    <w:tc>
                      <w:tcPr>
                        <w:tcW w:w="3201" w:type="dxa"/>
                      </w:tcPr>
                      <w:p>
                        <w:pPr>
                          <w:pStyle w:val="TableParagraph"/>
                          <w:spacing w:line="152" w:lineRule="exact"/>
                          <w:ind w:left="47"/>
                          <w:rPr>
                            <w:sz w:val="15"/>
                          </w:rPr>
                        </w:pPr>
                        <w:r>
                          <w:rPr>
                            <w:sz w:val="15"/>
                          </w:rPr>
                          <w:t>Incentivos de colaboración</w:t>
                        </w:r>
                      </w:p>
                    </w:tc>
                    <w:tc>
                      <w:tcPr>
                        <w:tcW w:w="1261" w:type="dxa"/>
                      </w:tcPr>
                      <w:p>
                        <w:pPr>
                          <w:pStyle w:val="TableParagraph"/>
                          <w:spacing w:line="152" w:lineRule="exact"/>
                          <w:ind w:right="35"/>
                          <w:jc w:val="right"/>
                          <w:rPr>
                            <w:sz w:val="15"/>
                          </w:rPr>
                        </w:pPr>
                        <w:r>
                          <w:rPr>
                            <w:w w:val="102"/>
                            <w:sz w:val="15"/>
                          </w:rPr>
                          <w:t>0</w:t>
                        </w:r>
                      </w:p>
                    </w:tc>
                  </w:tr>
                  <w:tr>
                    <w:trPr>
                      <w:trHeight w:val="175" w:hRule="atLeast"/>
                    </w:trPr>
                    <w:tc>
                      <w:tcPr>
                        <w:tcW w:w="921" w:type="dxa"/>
                      </w:tcPr>
                      <w:p>
                        <w:pPr>
                          <w:pStyle w:val="TableParagraph"/>
                          <w:spacing w:line="154" w:lineRule="exact" w:before="2"/>
                          <w:ind w:left="104" w:right="93"/>
                          <w:jc w:val="center"/>
                          <w:rPr>
                            <w:sz w:val="15"/>
                          </w:rPr>
                        </w:pPr>
                        <w:r>
                          <w:rPr>
                            <w:sz w:val="15"/>
                          </w:rPr>
                          <w:t>6.1.2</w:t>
                        </w:r>
                      </w:p>
                    </w:tc>
                    <w:tc>
                      <w:tcPr>
                        <w:tcW w:w="3201" w:type="dxa"/>
                      </w:tcPr>
                      <w:p>
                        <w:pPr>
                          <w:pStyle w:val="TableParagraph"/>
                          <w:spacing w:line="153" w:lineRule="exact" w:before="3"/>
                          <w:ind w:left="47"/>
                          <w:rPr>
                            <w:b/>
                            <w:sz w:val="15"/>
                          </w:rPr>
                        </w:pPr>
                        <w:r>
                          <w:rPr>
                            <w:b/>
                            <w:sz w:val="15"/>
                          </w:rPr>
                          <w:t>Multas</w:t>
                        </w:r>
                      </w:p>
                    </w:tc>
                    <w:tc>
                      <w:tcPr>
                        <w:tcW w:w="1261" w:type="dxa"/>
                      </w:tcPr>
                      <w:p>
                        <w:pPr>
                          <w:pStyle w:val="TableParagraph"/>
                          <w:spacing w:line="153" w:lineRule="exact" w:before="3"/>
                          <w:ind w:right="34"/>
                          <w:jc w:val="right"/>
                          <w:rPr>
                            <w:b/>
                            <w:sz w:val="15"/>
                          </w:rPr>
                        </w:pPr>
                        <w:r>
                          <w:rPr>
                            <w:b/>
                            <w:sz w:val="15"/>
                          </w:rPr>
                          <w:t>14,091,614</w:t>
                        </w:r>
                      </w:p>
                    </w:tc>
                  </w:tr>
                  <w:tr>
                    <w:trPr>
                      <w:trHeight w:val="176" w:hRule="atLeast"/>
                    </w:trPr>
                    <w:tc>
                      <w:tcPr>
                        <w:tcW w:w="921" w:type="dxa"/>
                      </w:tcPr>
                      <w:p>
                        <w:pPr>
                          <w:pStyle w:val="TableParagraph"/>
                          <w:spacing w:line="154" w:lineRule="exact" w:before="2"/>
                          <w:ind w:left="104" w:right="93"/>
                          <w:jc w:val="center"/>
                          <w:rPr>
                            <w:sz w:val="15"/>
                          </w:rPr>
                        </w:pPr>
                        <w:r>
                          <w:rPr>
                            <w:sz w:val="15"/>
                          </w:rPr>
                          <w:t>6.1.2.1</w:t>
                        </w:r>
                      </w:p>
                    </w:tc>
                    <w:tc>
                      <w:tcPr>
                        <w:tcW w:w="3201" w:type="dxa"/>
                      </w:tcPr>
                      <w:p>
                        <w:pPr>
                          <w:pStyle w:val="TableParagraph"/>
                          <w:spacing w:line="154" w:lineRule="exact" w:before="2"/>
                          <w:ind w:left="47"/>
                          <w:rPr>
                            <w:sz w:val="15"/>
                          </w:rPr>
                        </w:pPr>
                        <w:r>
                          <w:rPr>
                            <w:sz w:val="15"/>
                          </w:rPr>
                          <w:t>Infracciones</w:t>
                        </w:r>
                      </w:p>
                    </w:tc>
                    <w:tc>
                      <w:tcPr>
                        <w:tcW w:w="1261" w:type="dxa"/>
                      </w:tcPr>
                      <w:p>
                        <w:pPr>
                          <w:pStyle w:val="TableParagraph"/>
                          <w:spacing w:line="154" w:lineRule="exact" w:before="2"/>
                          <w:ind w:right="35"/>
                          <w:jc w:val="right"/>
                          <w:rPr>
                            <w:sz w:val="15"/>
                          </w:rPr>
                        </w:pPr>
                        <w:r>
                          <w:rPr>
                            <w:sz w:val="15"/>
                          </w:rPr>
                          <w:t>14,091,614</w:t>
                        </w:r>
                      </w:p>
                    </w:tc>
                  </w:tr>
                  <w:tr>
                    <w:trPr>
                      <w:trHeight w:val="175" w:hRule="atLeast"/>
                    </w:trPr>
                    <w:tc>
                      <w:tcPr>
                        <w:tcW w:w="921" w:type="dxa"/>
                      </w:tcPr>
                      <w:p>
                        <w:pPr>
                          <w:pStyle w:val="TableParagraph"/>
                          <w:spacing w:line="154" w:lineRule="exact" w:before="2"/>
                          <w:ind w:left="104" w:right="93"/>
                          <w:jc w:val="center"/>
                          <w:rPr>
                            <w:sz w:val="15"/>
                          </w:rPr>
                        </w:pPr>
                        <w:r>
                          <w:rPr>
                            <w:sz w:val="15"/>
                          </w:rPr>
                          <w:t>6.1.3</w:t>
                        </w:r>
                      </w:p>
                    </w:tc>
                    <w:tc>
                      <w:tcPr>
                        <w:tcW w:w="3201" w:type="dxa"/>
                      </w:tcPr>
                      <w:p>
                        <w:pPr>
                          <w:pStyle w:val="TableParagraph"/>
                          <w:spacing w:line="153" w:lineRule="exact" w:before="3"/>
                          <w:ind w:left="47"/>
                          <w:rPr>
                            <w:b/>
                            <w:sz w:val="15"/>
                          </w:rPr>
                        </w:pPr>
                        <w:r>
                          <w:rPr>
                            <w:b/>
                            <w:sz w:val="15"/>
                          </w:rPr>
                          <w:t>Indemnizaciones</w:t>
                        </w:r>
                      </w:p>
                    </w:tc>
                    <w:tc>
                      <w:tcPr>
                        <w:tcW w:w="1261" w:type="dxa"/>
                      </w:tcPr>
                      <w:p>
                        <w:pPr>
                          <w:pStyle w:val="TableParagraph"/>
                          <w:spacing w:line="153" w:lineRule="exact" w:before="3"/>
                          <w:ind w:right="34"/>
                          <w:jc w:val="right"/>
                          <w:rPr>
                            <w:b/>
                            <w:sz w:val="15"/>
                          </w:rPr>
                        </w:pPr>
                        <w:r>
                          <w:rPr>
                            <w:b/>
                            <w:sz w:val="15"/>
                          </w:rPr>
                          <w:t>1,179,153</w:t>
                        </w:r>
                      </w:p>
                    </w:tc>
                  </w:tr>
                  <w:tr>
                    <w:trPr>
                      <w:trHeight w:val="176" w:hRule="atLeast"/>
                    </w:trPr>
                    <w:tc>
                      <w:tcPr>
                        <w:tcW w:w="921" w:type="dxa"/>
                      </w:tcPr>
                      <w:p>
                        <w:pPr>
                          <w:pStyle w:val="TableParagraph"/>
                          <w:spacing w:line="154" w:lineRule="exact" w:before="2"/>
                          <w:ind w:left="104" w:right="93"/>
                          <w:jc w:val="center"/>
                          <w:rPr>
                            <w:sz w:val="15"/>
                          </w:rPr>
                        </w:pPr>
                        <w:r>
                          <w:rPr>
                            <w:sz w:val="15"/>
                          </w:rPr>
                          <w:t>6.1.3.1</w:t>
                        </w:r>
                      </w:p>
                    </w:tc>
                    <w:tc>
                      <w:tcPr>
                        <w:tcW w:w="3201" w:type="dxa"/>
                      </w:tcPr>
                      <w:p>
                        <w:pPr>
                          <w:pStyle w:val="TableParagraph"/>
                          <w:spacing w:line="154" w:lineRule="exact" w:before="2"/>
                          <w:ind w:left="47"/>
                          <w:rPr>
                            <w:sz w:val="15"/>
                          </w:rPr>
                        </w:pPr>
                        <w:r>
                          <w:rPr>
                            <w:sz w:val="15"/>
                          </w:rPr>
                          <w:t>Indemnizaciones</w:t>
                        </w:r>
                      </w:p>
                    </w:tc>
                    <w:tc>
                      <w:tcPr>
                        <w:tcW w:w="1261" w:type="dxa"/>
                      </w:tcPr>
                      <w:p>
                        <w:pPr>
                          <w:pStyle w:val="TableParagraph"/>
                          <w:spacing w:line="154" w:lineRule="exact" w:before="2"/>
                          <w:ind w:right="34"/>
                          <w:jc w:val="right"/>
                          <w:rPr>
                            <w:sz w:val="15"/>
                          </w:rPr>
                        </w:pPr>
                        <w:r>
                          <w:rPr>
                            <w:sz w:val="15"/>
                          </w:rPr>
                          <w:t>1,179,153</w:t>
                        </w:r>
                      </w:p>
                    </w:tc>
                  </w:tr>
                  <w:tr>
                    <w:trPr>
                      <w:trHeight w:val="175" w:hRule="atLeast"/>
                    </w:trPr>
                    <w:tc>
                      <w:tcPr>
                        <w:tcW w:w="921" w:type="dxa"/>
                      </w:tcPr>
                      <w:p>
                        <w:pPr>
                          <w:pStyle w:val="TableParagraph"/>
                          <w:spacing w:line="154" w:lineRule="exact" w:before="2"/>
                          <w:ind w:left="104" w:right="93"/>
                          <w:jc w:val="center"/>
                          <w:rPr>
                            <w:sz w:val="15"/>
                          </w:rPr>
                        </w:pPr>
                        <w:r>
                          <w:rPr>
                            <w:sz w:val="15"/>
                          </w:rPr>
                          <w:t>6.1.4</w:t>
                        </w:r>
                      </w:p>
                    </w:tc>
                    <w:tc>
                      <w:tcPr>
                        <w:tcW w:w="3201" w:type="dxa"/>
                      </w:tcPr>
                      <w:p>
                        <w:pPr>
                          <w:pStyle w:val="TableParagraph"/>
                          <w:spacing w:line="153" w:lineRule="exact" w:before="3"/>
                          <w:ind w:left="47"/>
                          <w:rPr>
                            <w:b/>
                            <w:sz w:val="15"/>
                          </w:rPr>
                        </w:pPr>
                        <w:r>
                          <w:rPr>
                            <w:b/>
                            <w:sz w:val="15"/>
                          </w:rPr>
                          <w:t>Reintegros</w:t>
                        </w:r>
                      </w:p>
                    </w:tc>
                    <w:tc>
                      <w:tcPr>
                        <w:tcW w:w="1261" w:type="dxa"/>
                      </w:tcPr>
                      <w:p>
                        <w:pPr>
                          <w:pStyle w:val="TableParagraph"/>
                          <w:spacing w:line="153" w:lineRule="exact" w:before="3"/>
                          <w:ind w:right="34"/>
                          <w:jc w:val="right"/>
                          <w:rPr>
                            <w:b/>
                            <w:sz w:val="15"/>
                          </w:rPr>
                        </w:pPr>
                        <w:r>
                          <w:rPr>
                            <w:b/>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6.1.4.1</w:t>
                        </w:r>
                      </w:p>
                    </w:tc>
                    <w:tc>
                      <w:tcPr>
                        <w:tcW w:w="3201" w:type="dxa"/>
                      </w:tcPr>
                      <w:p>
                        <w:pPr>
                          <w:pStyle w:val="TableParagraph"/>
                          <w:spacing w:line="154" w:lineRule="exact" w:before="2"/>
                          <w:ind w:left="47"/>
                          <w:rPr>
                            <w:sz w:val="15"/>
                          </w:rPr>
                        </w:pPr>
                        <w:r>
                          <w:rPr>
                            <w:sz w:val="15"/>
                          </w:rPr>
                          <w:t>Reintegros</w:t>
                        </w:r>
                      </w:p>
                    </w:tc>
                    <w:tc>
                      <w:tcPr>
                        <w:tcW w:w="1261" w:type="dxa"/>
                      </w:tcPr>
                      <w:p>
                        <w:pPr>
                          <w:pStyle w:val="TableParagraph"/>
                          <w:spacing w:line="154" w:lineRule="exact" w:before="2"/>
                          <w:ind w:right="34"/>
                          <w:jc w:val="right"/>
                          <w:rPr>
                            <w:sz w:val="15"/>
                          </w:rPr>
                        </w:pPr>
                        <w:r>
                          <w:rPr>
                            <w:w w:val="102"/>
                            <w:sz w:val="15"/>
                          </w:rPr>
                          <w:t>0</w:t>
                        </w:r>
                      </w:p>
                    </w:tc>
                  </w:tr>
                  <w:tr>
                    <w:trPr>
                      <w:trHeight w:val="352" w:hRule="atLeast"/>
                    </w:trPr>
                    <w:tc>
                      <w:tcPr>
                        <w:tcW w:w="921" w:type="dxa"/>
                      </w:tcPr>
                      <w:p>
                        <w:pPr>
                          <w:pStyle w:val="TableParagraph"/>
                          <w:spacing w:before="90"/>
                          <w:ind w:left="104" w:right="93"/>
                          <w:jc w:val="center"/>
                          <w:rPr>
                            <w:sz w:val="15"/>
                          </w:rPr>
                        </w:pPr>
                        <w:r>
                          <w:rPr>
                            <w:sz w:val="15"/>
                          </w:rPr>
                          <w:t>6.1.5</w:t>
                        </w:r>
                      </w:p>
                    </w:tc>
                    <w:tc>
                      <w:tcPr>
                        <w:tcW w:w="3201" w:type="dxa"/>
                      </w:tcPr>
                      <w:p>
                        <w:pPr>
                          <w:pStyle w:val="TableParagraph"/>
                          <w:spacing w:line="176" w:lineRule="exact" w:before="3"/>
                          <w:ind w:left="47"/>
                          <w:rPr>
                            <w:b/>
                            <w:sz w:val="15"/>
                          </w:rPr>
                        </w:pPr>
                        <w:r>
                          <w:rPr>
                            <w:b/>
                            <w:sz w:val="15"/>
                          </w:rPr>
                          <w:t>Aprovechamiento provenientes de obras públicas</w:t>
                        </w:r>
                      </w:p>
                    </w:tc>
                    <w:tc>
                      <w:tcPr>
                        <w:tcW w:w="1261" w:type="dxa"/>
                      </w:tcPr>
                      <w:p>
                        <w:pPr>
                          <w:pStyle w:val="TableParagraph"/>
                          <w:spacing w:before="91"/>
                          <w:ind w:right="34"/>
                          <w:jc w:val="right"/>
                          <w:rPr>
                            <w:b/>
                            <w:sz w:val="15"/>
                          </w:rPr>
                        </w:pPr>
                        <w:r>
                          <w:rPr>
                            <w:b/>
                            <w:w w:val="102"/>
                            <w:sz w:val="15"/>
                          </w:rPr>
                          <w:t>0</w:t>
                        </w:r>
                      </w:p>
                    </w:tc>
                  </w:tr>
                  <w:tr>
                    <w:trPr>
                      <w:trHeight w:val="350" w:hRule="atLeast"/>
                    </w:trPr>
                    <w:tc>
                      <w:tcPr>
                        <w:tcW w:w="921" w:type="dxa"/>
                      </w:tcPr>
                      <w:p>
                        <w:pPr>
                          <w:pStyle w:val="TableParagraph"/>
                          <w:spacing w:before="88"/>
                          <w:ind w:left="104" w:right="93"/>
                          <w:jc w:val="center"/>
                          <w:rPr>
                            <w:sz w:val="15"/>
                          </w:rPr>
                        </w:pPr>
                        <w:r>
                          <w:rPr>
                            <w:sz w:val="15"/>
                          </w:rPr>
                          <w:t>6.1.5.1</w:t>
                        </w:r>
                      </w:p>
                    </w:tc>
                    <w:tc>
                      <w:tcPr>
                        <w:tcW w:w="3201" w:type="dxa"/>
                      </w:tcPr>
                      <w:p>
                        <w:pPr>
                          <w:pStyle w:val="TableParagraph"/>
                          <w:ind w:left="47"/>
                          <w:rPr>
                            <w:sz w:val="15"/>
                          </w:rPr>
                        </w:pPr>
                        <w:r>
                          <w:rPr>
                            <w:sz w:val="15"/>
                          </w:rPr>
                          <w:t>Aprovechamientos provenientes de obras</w:t>
                        </w:r>
                      </w:p>
                      <w:p>
                        <w:pPr>
                          <w:pStyle w:val="TableParagraph"/>
                          <w:spacing w:line="154" w:lineRule="exact" w:before="5"/>
                          <w:ind w:left="47"/>
                          <w:rPr>
                            <w:sz w:val="15"/>
                          </w:rPr>
                        </w:pPr>
                        <w:r>
                          <w:rPr>
                            <w:sz w:val="15"/>
                          </w:rPr>
                          <w:t>públicas</w:t>
                        </w:r>
                      </w:p>
                    </w:tc>
                    <w:tc>
                      <w:tcPr>
                        <w:tcW w:w="1261" w:type="dxa"/>
                      </w:tcPr>
                      <w:p>
                        <w:pPr>
                          <w:pStyle w:val="TableParagraph"/>
                          <w:spacing w:before="88"/>
                          <w:ind w:right="34"/>
                          <w:jc w:val="right"/>
                          <w:rPr>
                            <w:sz w:val="15"/>
                          </w:rPr>
                        </w:pPr>
                        <w:r>
                          <w:rPr>
                            <w:w w:val="102"/>
                            <w:sz w:val="15"/>
                          </w:rPr>
                          <w:t>0</w:t>
                        </w:r>
                      </w:p>
                    </w:tc>
                  </w:tr>
                  <w:tr>
                    <w:trPr>
                      <w:trHeight w:val="353" w:hRule="atLeast"/>
                    </w:trPr>
                    <w:tc>
                      <w:tcPr>
                        <w:tcW w:w="921" w:type="dxa"/>
                      </w:tcPr>
                      <w:p>
                        <w:pPr>
                          <w:pStyle w:val="TableParagraph"/>
                          <w:spacing w:before="91"/>
                          <w:ind w:left="104" w:right="93"/>
                          <w:jc w:val="center"/>
                          <w:rPr>
                            <w:sz w:val="15"/>
                          </w:rPr>
                        </w:pPr>
                        <w:r>
                          <w:rPr>
                            <w:sz w:val="15"/>
                          </w:rPr>
                          <w:t>6.1.6</w:t>
                        </w:r>
                      </w:p>
                    </w:tc>
                    <w:tc>
                      <w:tcPr>
                        <w:tcW w:w="3201" w:type="dxa"/>
                      </w:tcPr>
                      <w:p>
                        <w:pPr>
                          <w:pStyle w:val="TableParagraph"/>
                          <w:spacing w:line="178" w:lineRule="exact" w:before="1"/>
                          <w:ind w:left="47"/>
                          <w:rPr>
                            <w:b/>
                            <w:sz w:val="15"/>
                          </w:rPr>
                        </w:pPr>
                        <w:r>
                          <w:rPr>
                            <w:b/>
                            <w:sz w:val="15"/>
                          </w:rPr>
                          <w:t>Aprovechamiento por participaciones derivadas de la aplicación de leyes</w:t>
                        </w:r>
                      </w:p>
                    </w:tc>
                    <w:tc>
                      <w:tcPr>
                        <w:tcW w:w="1261" w:type="dxa"/>
                      </w:tcPr>
                      <w:p>
                        <w:pPr>
                          <w:pStyle w:val="TableParagraph"/>
                          <w:spacing w:before="92"/>
                          <w:ind w:right="34"/>
                          <w:jc w:val="right"/>
                          <w:rPr>
                            <w:b/>
                            <w:sz w:val="15"/>
                          </w:rPr>
                        </w:pPr>
                        <w:r>
                          <w:rPr>
                            <w:b/>
                            <w:w w:val="102"/>
                            <w:sz w:val="15"/>
                          </w:rPr>
                          <w:t>0</w:t>
                        </w:r>
                      </w:p>
                    </w:tc>
                  </w:tr>
                  <w:tr>
                    <w:trPr>
                      <w:trHeight w:val="349" w:hRule="atLeast"/>
                    </w:trPr>
                    <w:tc>
                      <w:tcPr>
                        <w:tcW w:w="921" w:type="dxa"/>
                      </w:tcPr>
                      <w:p>
                        <w:pPr>
                          <w:pStyle w:val="TableParagraph"/>
                          <w:spacing w:before="87"/>
                          <w:ind w:left="104" w:right="93"/>
                          <w:jc w:val="center"/>
                          <w:rPr>
                            <w:sz w:val="15"/>
                          </w:rPr>
                        </w:pPr>
                        <w:r>
                          <w:rPr>
                            <w:sz w:val="15"/>
                          </w:rPr>
                          <w:t>6.1.6.1</w:t>
                        </w:r>
                      </w:p>
                    </w:tc>
                    <w:tc>
                      <w:tcPr>
                        <w:tcW w:w="3201" w:type="dxa"/>
                      </w:tcPr>
                      <w:p>
                        <w:pPr>
                          <w:pStyle w:val="TableParagraph"/>
                          <w:spacing w:line="171" w:lineRule="exact"/>
                          <w:ind w:left="47"/>
                          <w:rPr>
                            <w:sz w:val="15"/>
                          </w:rPr>
                        </w:pPr>
                        <w:r>
                          <w:rPr>
                            <w:sz w:val="15"/>
                          </w:rPr>
                          <w:t>Aprovechamiento por participaciones</w:t>
                        </w:r>
                      </w:p>
                      <w:p>
                        <w:pPr>
                          <w:pStyle w:val="TableParagraph"/>
                          <w:spacing w:line="154" w:lineRule="exact" w:before="4"/>
                          <w:ind w:left="47"/>
                          <w:rPr>
                            <w:sz w:val="15"/>
                          </w:rPr>
                        </w:pPr>
                        <w:r>
                          <w:rPr>
                            <w:sz w:val="15"/>
                          </w:rPr>
                          <w:t>derivadas de la aplicación de leyes</w:t>
                        </w:r>
                      </w:p>
                    </w:tc>
                    <w:tc>
                      <w:tcPr>
                        <w:tcW w:w="1261" w:type="dxa"/>
                      </w:tcPr>
                      <w:p>
                        <w:pPr>
                          <w:pStyle w:val="TableParagraph"/>
                          <w:spacing w:before="87"/>
                          <w:ind w:right="34"/>
                          <w:jc w:val="right"/>
                          <w:rPr>
                            <w:sz w:val="15"/>
                          </w:rPr>
                        </w:pPr>
                        <w:r>
                          <w:rPr>
                            <w:w w:val="102"/>
                            <w:sz w:val="15"/>
                          </w:rPr>
                          <w:t>0</w:t>
                        </w:r>
                      </w:p>
                    </w:tc>
                  </w:tr>
                  <w:tr>
                    <w:trPr>
                      <w:trHeight w:val="352" w:hRule="atLeast"/>
                    </w:trPr>
                    <w:tc>
                      <w:tcPr>
                        <w:tcW w:w="921" w:type="dxa"/>
                      </w:tcPr>
                      <w:p>
                        <w:pPr>
                          <w:pStyle w:val="TableParagraph"/>
                          <w:spacing w:before="90"/>
                          <w:ind w:left="104" w:right="93"/>
                          <w:jc w:val="center"/>
                          <w:rPr>
                            <w:sz w:val="15"/>
                          </w:rPr>
                        </w:pPr>
                        <w:r>
                          <w:rPr>
                            <w:sz w:val="15"/>
                          </w:rPr>
                          <w:t>6.1.7</w:t>
                        </w:r>
                      </w:p>
                    </w:tc>
                    <w:tc>
                      <w:tcPr>
                        <w:tcW w:w="3201" w:type="dxa"/>
                      </w:tcPr>
                      <w:p>
                        <w:pPr>
                          <w:pStyle w:val="TableParagraph"/>
                          <w:spacing w:line="178" w:lineRule="exact" w:before="1"/>
                          <w:ind w:left="47"/>
                          <w:rPr>
                            <w:b/>
                            <w:sz w:val="15"/>
                          </w:rPr>
                        </w:pPr>
                        <w:r>
                          <w:rPr>
                            <w:b/>
                            <w:sz w:val="15"/>
                          </w:rPr>
                          <w:t>Aprovechamientos por aportaciones y cooperaciones</w:t>
                        </w:r>
                      </w:p>
                    </w:tc>
                    <w:tc>
                      <w:tcPr>
                        <w:tcW w:w="1261" w:type="dxa"/>
                      </w:tcPr>
                      <w:p>
                        <w:pPr>
                          <w:pStyle w:val="TableParagraph"/>
                          <w:spacing w:before="91"/>
                          <w:ind w:right="34"/>
                          <w:jc w:val="right"/>
                          <w:rPr>
                            <w:b/>
                            <w:sz w:val="15"/>
                          </w:rPr>
                        </w:pPr>
                        <w:r>
                          <w:rPr>
                            <w:b/>
                            <w:w w:val="102"/>
                            <w:sz w:val="15"/>
                          </w:rPr>
                          <w:t>0</w:t>
                        </w:r>
                      </w:p>
                    </w:tc>
                  </w:tr>
                  <w:tr>
                    <w:trPr>
                      <w:trHeight w:val="349" w:hRule="atLeast"/>
                    </w:trPr>
                    <w:tc>
                      <w:tcPr>
                        <w:tcW w:w="921" w:type="dxa"/>
                      </w:tcPr>
                      <w:p>
                        <w:pPr>
                          <w:pStyle w:val="TableParagraph"/>
                          <w:spacing w:before="86"/>
                          <w:ind w:left="104" w:right="93"/>
                          <w:jc w:val="center"/>
                          <w:rPr>
                            <w:sz w:val="15"/>
                          </w:rPr>
                        </w:pPr>
                        <w:r>
                          <w:rPr>
                            <w:sz w:val="15"/>
                          </w:rPr>
                          <w:t>6.1.7.1</w:t>
                        </w:r>
                      </w:p>
                    </w:tc>
                    <w:tc>
                      <w:tcPr>
                        <w:tcW w:w="3201" w:type="dxa"/>
                      </w:tcPr>
                      <w:p>
                        <w:pPr>
                          <w:pStyle w:val="TableParagraph"/>
                          <w:spacing w:line="171" w:lineRule="exact"/>
                          <w:ind w:left="47"/>
                          <w:rPr>
                            <w:sz w:val="15"/>
                          </w:rPr>
                        </w:pPr>
                        <w:r>
                          <w:rPr>
                            <w:sz w:val="15"/>
                          </w:rPr>
                          <w:t>Aprovechamientos por aportaciones y</w:t>
                        </w:r>
                      </w:p>
                      <w:p>
                        <w:pPr>
                          <w:pStyle w:val="TableParagraph"/>
                          <w:spacing w:line="154" w:lineRule="exact" w:before="4"/>
                          <w:ind w:left="47"/>
                          <w:rPr>
                            <w:sz w:val="15"/>
                          </w:rPr>
                        </w:pPr>
                        <w:r>
                          <w:rPr>
                            <w:sz w:val="15"/>
                          </w:rPr>
                          <w:t>cooperaciones</w:t>
                        </w:r>
                      </w:p>
                    </w:tc>
                    <w:tc>
                      <w:tcPr>
                        <w:tcW w:w="1261" w:type="dxa"/>
                      </w:tcPr>
                      <w:p>
                        <w:pPr>
                          <w:pStyle w:val="TableParagraph"/>
                          <w:spacing w:before="86"/>
                          <w:ind w:right="34"/>
                          <w:jc w:val="right"/>
                          <w:rPr>
                            <w:sz w:val="15"/>
                          </w:rPr>
                        </w:pPr>
                        <w:r>
                          <w:rPr>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6.1.8</w:t>
                        </w:r>
                      </w:p>
                    </w:tc>
                    <w:tc>
                      <w:tcPr>
                        <w:tcW w:w="3201" w:type="dxa"/>
                      </w:tcPr>
                      <w:p>
                        <w:pPr>
                          <w:pStyle w:val="TableParagraph"/>
                          <w:spacing w:line="153" w:lineRule="exact" w:before="2"/>
                          <w:ind w:left="47"/>
                          <w:rPr>
                            <w:b/>
                            <w:sz w:val="15"/>
                          </w:rPr>
                        </w:pPr>
                        <w:r>
                          <w:rPr>
                            <w:b/>
                            <w:sz w:val="15"/>
                          </w:rPr>
                          <w:t>Otros aprovechamientos</w:t>
                        </w:r>
                      </w:p>
                    </w:tc>
                    <w:tc>
                      <w:tcPr>
                        <w:tcW w:w="1261" w:type="dxa"/>
                      </w:tcPr>
                      <w:p>
                        <w:pPr>
                          <w:pStyle w:val="TableParagraph"/>
                          <w:spacing w:line="153" w:lineRule="exact" w:before="2"/>
                          <w:ind w:right="34"/>
                          <w:jc w:val="right"/>
                          <w:rPr>
                            <w:b/>
                            <w:sz w:val="15"/>
                          </w:rPr>
                        </w:pPr>
                        <w:r>
                          <w:rPr>
                            <w:b/>
                            <w:sz w:val="15"/>
                          </w:rPr>
                          <w:t>32,513,807</w:t>
                        </w:r>
                      </w:p>
                    </w:tc>
                  </w:tr>
                  <w:tr>
                    <w:trPr>
                      <w:trHeight w:val="176" w:hRule="atLeast"/>
                    </w:trPr>
                    <w:tc>
                      <w:tcPr>
                        <w:tcW w:w="921" w:type="dxa"/>
                      </w:tcPr>
                      <w:p>
                        <w:pPr>
                          <w:pStyle w:val="TableParagraph"/>
                          <w:spacing w:line="154" w:lineRule="exact" w:before="2"/>
                          <w:ind w:left="104" w:right="93"/>
                          <w:jc w:val="center"/>
                          <w:rPr>
                            <w:sz w:val="15"/>
                          </w:rPr>
                        </w:pPr>
                        <w:r>
                          <w:rPr>
                            <w:sz w:val="15"/>
                          </w:rPr>
                          <w:t>6.1.8.1</w:t>
                        </w:r>
                      </w:p>
                    </w:tc>
                    <w:tc>
                      <w:tcPr>
                        <w:tcW w:w="3201" w:type="dxa"/>
                      </w:tcPr>
                      <w:p>
                        <w:pPr>
                          <w:pStyle w:val="TableParagraph"/>
                          <w:spacing w:line="154" w:lineRule="exact" w:before="2"/>
                          <w:ind w:left="47"/>
                          <w:rPr>
                            <w:sz w:val="15"/>
                          </w:rPr>
                        </w:pPr>
                        <w:r>
                          <w:rPr>
                            <w:sz w:val="15"/>
                          </w:rPr>
                          <w:t>Otros aprovechamientos</w:t>
                        </w:r>
                      </w:p>
                    </w:tc>
                    <w:tc>
                      <w:tcPr>
                        <w:tcW w:w="1261" w:type="dxa"/>
                      </w:tcPr>
                      <w:p>
                        <w:pPr>
                          <w:pStyle w:val="TableParagraph"/>
                          <w:spacing w:line="154" w:lineRule="exact" w:before="2"/>
                          <w:ind w:right="35"/>
                          <w:jc w:val="right"/>
                          <w:rPr>
                            <w:sz w:val="15"/>
                          </w:rPr>
                        </w:pPr>
                        <w:r>
                          <w:rPr>
                            <w:sz w:val="15"/>
                          </w:rPr>
                          <w:t>32,513,807</w:t>
                        </w:r>
                      </w:p>
                    </w:tc>
                  </w:tr>
                  <w:tr>
                    <w:trPr>
                      <w:trHeight w:val="175" w:hRule="atLeast"/>
                    </w:trPr>
                    <w:tc>
                      <w:tcPr>
                        <w:tcW w:w="921" w:type="dxa"/>
                      </w:tcPr>
                      <w:p>
                        <w:pPr>
                          <w:pStyle w:val="TableParagraph"/>
                          <w:spacing w:line="154" w:lineRule="exact" w:before="1"/>
                          <w:ind w:left="104" w:right="92"/>
                          <w:jc w:val="center"/>
                          <w:rPr>
                            <w:sz w:val="15"/>
                          </w:rPr>
                        </w:pPr>
                        <w:r>
                          <w:rPr>
                            <w:sz w:val="15"/>
                          </w:rPr>
                          <w:t>6.2</w:t>
                        </w:r>
                      </w:p>
                    </w:tc>
                    <w:tc>
                      <w:tcPr>
                        <w:tcW w:w="3201" w:type="dxa"/>
                      </w:tcPr>
                      <w:p>
                        <w:pPr>
                          <w:pStyle w:val="TableParagraph"/>
                          <w:spacing w:line="153" w:lineRule="exact" w:before="2"/>
                          <w:ind w:left="47"/>
                          <w:rPr>
                            <w:b/>
                            <w:sz w:val="15"/>
                          </w:rPr>
                        </w:pPr>
                        <w:r>
                          <w:rPr>
                            <w:b/>
                            <w:sz w:val="15"/>
                          </w:rPr>
                          <w:t>APROVECHAMIENTOS PATRIMONIALES</w:t>
                        </w:r>
                      </w:p>
                    </w:tc>
                    <w:tc>
                      <w:tcPr>
                        <w:tcW w:w="1261" w:type="dxa"/>
                      </w:tcPr>
                      <w:p>
                        <w:pPr>
                          <w:pStyle w:val="TableParagraph"/>
                          <w:spacing w:line="153" w:lineRule="exact" w:before="2"/>
                          <w:ind w:right="35"/>
                          <w:jc w:val="right"/>
                          <w:rPr>
                            <w:b/>
                            <w:sz w:val="15"/>
                          </w:rPr>
                        </w:pPr>
                        <w:r>
                          <w:rPr>
                            <w:b/>
                            <w:w w:val="102"/>
                            <w:sz w:val="15"/>
                          </w:rPr>
                          <w:t>0</w:t>
                        </w:r>
                      </w:p>
                    </w:tc>
                  </w:tr>
                  <w:tr>
                    <w:trPr>
                      <w:trHeight w:val="176" w:hRule="atLeast"/>
                    </w:trPr>
                    <w:tc>
                      <w:tcPr>
                        <w:tcW w:w="921" w:type="dxa"/>
                      </w:tcPr>
                      <w:p>
                        <w:pPr>
                          <w:pStyle w:val="TableParagraph"/>
                          <w:spacing w:line="154" w:lineRule="exact" w:before="2"/>
                          <w:ind w:left="104" w:right="92"/>
                          <w:jc w:val="center"/>
                          <w:rPr>
                            <w:sz w:val="15"/>
                          </w:rPr>
                        </w:pPr>
                        <w:r>
                          <w:rPr>
                            <w:sz w:val="15"/>
                          </w:rPr>
                          <w:t>6.3</w:t>
                        </w:r>
                      </w:p>
                    </w:tc>
                    <w:tc>
                      <w:tcPr>
                        <w:tcW w:w="3201" w:type="dxa"/>
                      </w:tcPr>
                      <w:p>
                        <w:pPr>
                          <w:pStyle w:val="TableParagraph"/>
                          <w:spacing w:line="153" w:lineRule="exact" w:before="3"/>
                          <w:ind w:left="47"/>
                          <w:rPr>
                            <w:b/>
                            <w:sz w:val="15"/>
                          </w:rPr>
                        </w:pPr>
                        <w:r>
                          <w:rPr>
                            <w:b/>
                            <w:sz w:val="15"/>
                          </w:rPr>
                          <w:t>ACCESORIOS DE APROVECHAMIENTOS</w:t>
                        </w:r>
                      </w:p>
                    </w:tc>
                    <w:tc>
                      <w:tcPr>
                        <w:tcW w:w="1261" w:type="dxa"/>
                      </w:tcPr>
                      <w:p>
                        <w:pPr>
                          <w:pStyle w:val="TableParagraph"/>
                          <w:spacing w:line="153" w:lineRule="exact" w:before="3"/>
                          <w:ind w:right="33"/>
                          <w:jc w:val="right"/>
                          <w:rPr>
                            <w:b/>
                            <w:sz w:val="15"/>
                          </w:rPr>
                        </w:pPr>
                        <w:r>
                          <w:rPr>
                            <w:b/>
                            <w:sz w:val="15"/>
                          </w:rPr>
                          <w:t>5,884,303</w:t>
                        </w:r>
                      </w:p>
                    </w:tc>
                  </w:tr>
                  <w:tr>
                    <w:trPr>
                      <w:trHeight w:val="175" w:hRule="atLeast"/>
                    </w:trPr>
                    <w:tc>
                      <w:tcPr>
                        <w:tcW w:w="921" w:type="dxa"/>
                      </w:tcPr>
                      <w:p>
                        <w:pPr>
                          <w:pStyle w:val="TableParagraph"/>
                          <w:spacing w:line="154" w:lineRule="exact" w:before="1"/>
                          <w:ind w:left="104" w:right="93"/>
                          <w:jc w:val="center"/>
                          <w:rPr>
                            <w:sz w:val="15"/>
                          </w:rPr>
                        </w:pPr>
                        <w:r>
                          <w:rPr>
                            <w:sz w:val="15"/>
                          </w:rPr>
                          <w:t>6.3.1</w:t>
                        </w:r>
                      </w:p>
                    </w:tc>
                    <w:tc>
                      <w:tcPr>
                        <w:tcW w:w="3201" w:type="dxa"/>
                      </w:tcPr>
                      <w:p>
                        <w:pPr>
                          <w:pStyle w:val="TableParagraph"/>
                          <w:spacing w:line="153" w:lineRule="exact" w:before="2"/>
                          <w:ind w:left="47"/>
                          <w:rPr>
                            <w:b/>
                            <w:sz w:val="15"/>
                          </w:rPr>
                        </w:pPr>
                        <w:r>
                          <w:rPr>
                            <w:b/>
                            <w:sz w:val="15"/>
                          </w:rPr>
                          <w:t>Otros no especificados</w:t>
                        </w:r>
                      </w:p>
                    </w:tc>
                    <w:tc>
                      <w:tcPr>
                        <w:tcW w:w="1261" w:type="dxa"/>
                      </w:tcPr>
                      <w:p>
                        <w:pPr>
                          <w:pStyle w:val="TableParagraph"/>
                          <w:spacing w:line="153" w:lineRule="exact" w:before="2"/>
                          <w:ind w:right="34"/>
                          <w:jc w:val="right"/>
                          <w:rPr>
                            <w:b/>
                            <w:sz w:val="15"/>
                          </w:rPr>
                        </w:pPr>
                        <w:r>
                          <w:rPr>
                            <w:b/>
                            <w:sz w:val="15"/>
                          </w:rPr>
                          <w:t>5,884,303</w:t>
                        </w:r>
                      </w:p>
                    </w:tc>
                  </w:tr>
                  <w:tr>
                    <w:trPr>
                      <w:trHeight w:val="176" w:hRule="atLeast"/>
                    </w:trPr>
                    <w:tc>
                      <w:tcPr>
                        <w:tcW w:w="921" w:type="dxa"/>
                      </w:tcPr>
                      <w:p>
                        <w:pPr>
                          <w:pStyle w:val="TableParagraph"/>
                          <w:spacing w:line="154" w:lineRule="exact" w:before="2"/>
                          <w:ind w:left="104" w:right="93"/>
                          <w:jc w:val="center"/>
                          <w:rPr>
                            <w:sz w:val="15"/>
                          </w:rPr>
                        </w:pPr>
                        <w:r>
                          <w:rPr>
                            <w:sz w:val="15"/>
                          </w:rPr>
                          <w:t>6.3.1.9</w:t>
                        </w:r>
                      </w:p>
                    </w:tc>
                    <w:tc>
                      <w:tcPr>
                        <w:tcW w:w="3201" w:type="dxa"/>
                      </w:tcPr>
                      <w:p>
                        <w:pPr>
                          <w:pStyle w:val="TableParagraph"/>
                          <w:spacing w:line="154" w:lineRule="exact" w:before="2"/>
                          <w:ind w:left="47"/>
                          <w:rPr>
                            <w:sz w:val="15"/>
                          </w:rPr>
                        </w:pPr>
                        <w:r>
                          <w:rPr>
                            <w:sz w:val="15"/>
                          </w:rPr>
                          <w:t>Otros accesorios</w:t>
                        </w:r>
                      </w:p>
                    </w:tc>
                    <w:tc>
                      <w:tcPr>
                        <w:tcW w:w="1261" w:type="dxa"/>
                      </w:tcPr>
                      <w:p>
                        <w:pPr>
                          <w:pStyle w:val="TableParagraph"/>
                          <w:spacing w:line="154" w:lineRule="exact" w:before="2"/>
                          <w:ind w:right="34"/>
                          <w:jc w:val="right"/>
                          <w:rPr>
                            <w:sz w:val="15"/>
                          </w:rPr>
                        </w:pPr>
                        <w:r>
                          <w:rPr>
                            <w:sz w:val="15"/>
                          </w:rPr>
                          <w:t>5,884,303</w:t>
                        </w:r>
                      </w:p>
                    </w:tc>
                  </w:tr>
                  <w:tr>
                    <w:trPr>
                      <w:trHeight w:val="883" w:hRule="atLeast"/>
                    </w:trPr>
                    <w:tc>
                      <w:tcPr>
                        <w:tcW w:w="921" w:type="dxa"/>
                      </w:tcPr>
                      <w:p>
                        <w:pPr>
                          <w:pStyle w:val="TableParagraph"/>
                          <w:rPr>
                            <w:rFonts w:ascii="Times New Roman"/>
                            <w:sz w:val="16"/>
                          </w:rPr>
                        </w:pPr>
                      </w:p>
                      <w:p>
                        <w:pPr>
                          <w:pStyle w:val="TableParagraph"/>
                          <w:spacing w:before="10"/>
                          <w:rPr>
                            <w:rFonts w:ascii="Times New Roman"/>
                            <w:sz w:val="14"/>
                          </w:rPr>
                        </w:pPr>
                      </w:p>
                      <w:p>
                        <w:pPr>
                          <w:pStyle w:val="TableParagraph"/>
                          <w:spacing w:before="1"/>
                          <w:ind w:left="104" w:right="92"/>
                          <w:jc w:val="center"/>
                          <w:rPr>
                            <w:sz w:val="15"/>
                          </w:rPr>
                        </w:pPr>
                        <w:r>
                          <w:rPr>
                            <w:sz w:val="15"/>
                          </w:rPr>
                          <w:t>6.9</w:t>
                        </w:r>
                      </w:p>
                    </w:tc>
                    <w:tc>
                      <w:tcPr>
                        <w:tcW w:w="3201" w:type="dxa"/>
                      </w:tcPr>
                      <w:p>
                        <w:pPr>
                          <w:pStyle w:val="TableParagraph"/>
                          <w:spacing w:line="247" w:lineRule="auto" w:before="2"/>
                          <w:ind w:left="47" w:right="165"/>
                          <w:rPr>
                            <w:b/>
                            <w:sz w:val="15"/>
                          </w:rPr>
                        </w:pPr>
                        <w:r>
                          <w:rPr>
                            <w:b/>
                            <w:sz w:val="15"/>
                          </w:rPr>
                          <w:t>APROVECHAMIENTOS NO COMPRENDIDOS EN LA LEY DE INGRESOS VIGENTE, CAUSADOS EN EJERCICIOS FISCALES ANTERIORES</w:t>
                        </w:r>
                      </w:p>
                      <w:p>
                        <w:pPr>
                          <w:pStyle w:val="TableParagraph"/>
                          <w:spacing w:line="151" w:lineRule="exact"/>
                          <w:ind w:left="47"/>
                          <w:rPr>
                            <w:b/>
                            <w:sz w:val="15"/>
                          </w:rPr>
                        </w:pPr>
                        <w:r>
                          <w:rPr>
                            <w:b/>
                            <w:sz w:val="15"/>
                          </w:rPr>
                          <w:t>PENDIENTES DE LIQUIDACION O PAGO</w:t>
                        </w:r>
                      </w:p>
                    </w:tc>
                    <w:tc>
                      <w:tcPr>
                        <w:tcW w:w="1261" w:type="dxa"/>
                      </w:tcPr>
                      <w:p>
                        <w:pPr>
                          <w:pStyle w:val="TableParagraph"/>
                          <w:rPr>
                            <w:rFonts w:ascii="Times New Roman"/>
                            <w:sz w:val="16"/>
                          </w:rPr>
                        </w:pPr>
                      </w:p>
                      <w:p>
                        <w:pPr>
                          <w:pStyle w:val="TableParagraph"/>
                          <w:spacing w:before="11"/>
                          <w:rPr>
                            <w:rFonts w:ascii="Times New Roman"/>
                            <w:sz w:val="14"/>
                          </w:rPr>
                        </w:pPr>
                      </w:p>
                      <w:p>
                        <w:pPr>
                          <w:pStyle w:val="TableParagraph"/>
                          <w:ind w:right="34"/>
                          <w:jc w:val="right"/>
                          <w:rPr>
                            <w:b/>
                            <w:sz w:val="15"/>
                          </w:rPr>
                        </w:pPr>
                        <w:r>
                          <w:rPr>
                            <w:b/>
                            <w:w w:val="102"/>
                            <w:sz w:val="15"/>
                          </w:rPr>
                          <w:t>0</w:t>
                        </w:r>
                      </w:p>
                    </w:tc>
                  </w:tr>
                  <w:tr>
                    <w:trPr>
                      <w:trHeight w:val="530" w:hRule="atLeast"/>
                    </w:trPr>
                    <w:tc>
                      <w:tcPr>
                        <w:tcW w:w="921" w:type="dxa"/>
                      </w:tcPr>
                      <w:p>
                        <w:pPr>
                          <w:pStyle w:val="TableParagraph"/>
                          <w:rPr>
                            <w:rFonts w:ascii="Times New Roman"/>
                            <w:sz w:val="14"/>
                          </w:rPr>
                        </w:pPr>
                      </w:p>
                    </w:tc>
                    <w:tc>
                      <w:tcPr>
                        <w:tcW w:w="3201" w:type="dxa"/>
                      </w:tcPr>
                      <w:p>
                        <w:pPr>
                          <w:pStyle w:val="TableParagraph"/>
                          <w:rPr>
                            <w:rFonts w:ascii="Times New Roman"/>
                            <w:sz w:val="14"/>
                          </w:rPr>
                        </w:pPr>
                      </w:p>
                    </w:tc>
                    <w:tc>
                      <w:tcPr>
                        <w:tcW w:w="1261" w:type="dxa"/>
                      </w:tcPr>
                      <w:p>
                        <w:pPr>
                          <w:pStyle w:val="TableParagraph"/>
                          <w:rPr>
                            <w:rFonts w:ascii="Times New Roman"/>
                            <w:sz w:val="14"/>
                          </w:rPr>
                        </w:pPr>
                      </w:p>
                    </w:tc>
                  </w:tr>
                  <w:tr>
                    <w:trPr>
                      <w:trHeight w:val="707" w:hRule="atLeast"/>
                    </w:trPr>
                    <w:tc>
                      <w:tcPr>
                        <w:tcW w:w="921" w:type="dxa"/>
                      </w:tcPr>
                      <w:p>
                        <w:pPr>
                          <w:pStyle w:val="TableParagraph"/>
                          <w:spacing w:before="3"/>
                          <w:rPr>
                            <w:rFonts w:ascii="Times New Roman"/>
                            <w:sz w:val="23"/>
                          </w:rPr>
                        </w:pPr>
                      </w:p>
                      <w:p>
                        <w:pPr>
                          <w:pStyle w:val="TableParagraph"/>
                          <w:ind w:left="104" w:right="92"/>
                          <w:jc w:val="center"/>
                          <w:rPr>
                            <w:sz w:val="15"/>
                          </w:rPr>
                        </w:pPr>
                        <w:r>
                          <w:rPr>
                            <w:sz w:val="15"/>
                          </w:rPr>
                          <w:t>7.1</w:t>
                        </w:r>
                      </w:p>
                    </w:tc>
                    <w:tc>
                      <w:tcPr>
                        <w:tcW w:w="3201" w:type="dxa"/>
                      </w:tcPr>
                      <w:p>
                        <w:pPr>
                          <w:pStyle w:val="TableParagraph"/>
                          <w:spacing w:line="178" w:lineRule="exact" w:before="1"/>
                          <w:ind w:left="47" w:right="165"/>
                          <w:rPr>
                            <w:b/>
                            <w:sz w:val="15"/>
                          </w:rPr>
                        </w:pPr>
                        <w:r>
                          <w:rPr>
                            <w:b/>
                            <w:sz w:val="15"/>
                          </w:rPr>
                          <w:t>INGRESOS POR VENTA DE BIENES Y PRESTACION DE SERVICIOS DE INSTITUCIONES PUBLICAS DE SEGURIDAD SOCIAL</w:t>
                        </w:r>
                      </w:p>
                    </w:tc>
                    <w:tc>
                      <w:tcPr>
                        <w:tcW w:w="1261" w:type="dxa"/>
                      </w:tcPr>
                      <w:p>
                        <w:pPr>
                          <w:pStyle w:val="TableParagraph"/>
                          <w:spacing w:before="4"/>
                          <w:rPr>
                            <w:rFonts w:ascii="Times New Roman"/>
                            <w:sz w:val="23"/>
                          </w:rPr>
                        </w:pPr>
                      </w:p>
                      <w:p>
                        <w:pPr>
                          <w:pStyle w:val="TableParagraph"/>
                          <w:ind w:right="34"/>
                          <w:jc w:val="right"/>
                          <w:rPr>
                            <w:b/>
                            <w:sz w:val="15"/>
                          </w:rPr>
                        </w:pPr>
                        <w:r>
                          <w:rPr>
                            <w:b/>
                            <w:w w:val="102"/>
                            <w:sz w:val="15"/>
                          </w:rPr>
                          <w:t>0</w:t>
                        </w:r>
                      </w:p>
                    </w:tc>
                  </w:tr>
                  <w:tr>
                    <w:trPr>
                      <w:trHeight w:val="524" w:hRule="atLeast"/>
                    </w:trPr>
                    <w:tc>
                      <w:tcPr>
                        <w:tcW w:w="921" w:type="dxa"/>
                      </w:tcPr>
                      <w:p>
                        <w:pPr>
                          <w:pStyle w:val="TableParagraph"/>
                          <w:spacing w:before="1"/>
                          <w:rPr>
                            <w:rFonts w:ascii="Times New Roman"/>
                            <w:sz w:val="15"/>
                          </w:rPr>
                        </w:pPr>
                      </w:p>
                      <w:p>
                        <w:pPr>
                          <w:pStyle w:val="TableParagraph"/>
                          <w:ind w:left="104" w:right="92"/>
                          <w:jc w:val="center"/>
                          <w:rPr>
                            <w:sz w:val="15"/>
                          </w:rPr>
                        </w:pPr>
                        <w:r>
                          <w:rPr>
                            <w:sz w:val="15"/>
                          </w:rPr>
                          <w:t>7.2</w:t>
                        </w:r>
                      </w:p>
                    </w:tc>
                    <w:tc>
                      <w:tcPr>
                        <w:tcW w:w="3201" w:type="dxa"/>
                      </w:tcPr>
                      <w:p>
                        <w:pPr>
                          <w:pStyle w:val="TableParagraph"/>
                          <w:spacing w:line="247" w:lineRule="auto"/>
                          <w:ind w:left="47"/>
                          <w:rPr>
                            <w:b/>
                            <w:sz w:val="15"/>
                          </w:rPr>
                        </w:pPr>
                        <w:r>
                          <w:rPr>
                            <w:b/>
                            <w:sz w:val="15"/>
                          </w:rPr>
                          <w:t>INGRESOS POR VENTA DE BIENES Y PRESTACION DE SERVICIOS DE</w:t>
                        </w:r>
                      </w:p>
                      <w:p>
                        <w:pPr>
                          <w:pStyle w:val="TableParagraph"/>
                          <w:spacing w:line="152" w:lineRule="exact"/>
                          <w:ind w:left="47"/>
                          <w:rPr>
                            <w:b/>
                            <w:sz w:val="15"/>
                          </w:rPr>
                        </w:pPr>
                        <w:r>
                          <w:rPr>
                            <w:b/>
                            <w:sz w:val="15"/>
                          </w:rPr>
                          <w:t>EMPRESAS PRODUCTIVAS DEL ESTADO</w:t>
                        </w:r>
                      </w:p>
                    </w:tc>
                    <w:tc>
                      <w:tcPr>
                        <w:tcW w:w="1261" w:type="dxa"/>
                      </w:tcPr>
                      <w:p>
                        <w:pPr>
                          <w:pStyle w:val="TableParagraph"/>
                          <w:spacing w:before="2"/>
                          <w:rPr>
                            <w:rFonts w:ascii="Times New Roman"/>
                            <w:sz w:val="15"/>
                          </w:rPr>
                        </w:pPr>
                      </w:p>
                      <w:p>
                        <w:pPr>
                          <w:pStyle w:val="TableParagraph"/>
                          <w:ind w:right="34"/>
                          <w:jc w:val="right"/>
                          <w:rPr>
                            <w:b/>
                            <w:sz w:val="15"/>
                          </w:rPr>
                        </w:pPr>
                        <w:r>
                          <w:rPr>
                            <w:b/>
                            <w:w w:val="102"/>
                            <w:sz w:val="15"/>
                          </w:rPr>
                          <w:t>0</w:t>
                        </w:r>
                      </w:p>
                    </w:tc>
                  </w:tr>
                  <w:tr>
                    <w:trPr>
                      <w:trHeight w:val="707" w:hRule="atLeast"/>
                    </w:trPr>
                    <w:tc>
                      <w:tcPr>
                        <w:tcW w:w="921" w:type="dxa"/>
                      </w:tcPr>
                      <w:p>
                        <w:pPr>
                          <w:pStyle w:val="TableParagraph"/>
                          <w:spacing w:before="3"/>
                          <w:rPr>
                            <w:rFonts w:ascii="Times New Roman"/>
                            <w:sz w:val="23"/>
                          </w:rPr>
                        </w:pPr>
                      </w:p>
                      <w:p>
                        <w:pPr>
                          <w:pStyle w:val="TableParagraph"/>
                          <w:ind w:left="104" w:right="92"/>
                          <w:jc w:val="center"/>
                          <w:rPr>
                            <w:sz w:val="15"/>
                          </w:rPr>
                        </w:pPr>
                        <w:r>
                          <w:rPr>
                            <w:sz w:val="15"/>
                          </w:rPr>
                          <w:t>7.3</w:t>
                        </w:r>
                      </w:p>
                    </w:tc>
                    <w:tc>
                      <w:tcPr>
                        <w:tcW w:w="3201" w:type="dxa"/>
                      </w:tcPr>
                      <w:p>
                        <w:pPr>
                          <w:pStyle w:val="TableParagraph"/>
                          <w:spacing w:line="178" w:lineRule="exact" w:before="1"/>
                          <w:ind w:left="47"/>
                          <w:rPr>
                            <w:b/>
                            <w:sz w:val="15"/>
                          </w:rPr>
                        </w:pPr>
                        <w:r>
                          <w:rPr>
                            <w:b/>
                            <w:sz w:val="15"/>
                          </w:rPr>
                          <w:t>INGRESOS POR VENTA DE BIENES Y PRESTACION DE SERVICIOS DE ENTIDADES PARAESTATALES Y FIDEICOMISOS NO EMPRESARIALES Y</w:t>
                        </w:r>
                      </w:p>
                    </w:tc>
                    <w:tc>
                      <w:tcPr>
                        <w:tcW w:w="1261" w:type="dxa"/>
                      </w:tcPr>
                      <w:p>
                        <w:pPr>
                          <w:pStyle w:val="TableParagraph"/>
                          <w:spacing w:before="4"/>
                          <w:rPr>
                            <w:rFonts w:ascii="Times New Roman"/>
                            <w:sz w:val="23"/>
                          </w:rPr>
                        </w:pPr>
                      </w:p>
                      <w:p>
                        <w:pPr>
                          <w:pStyle w:val="TableParagraph"/>
                          <w:ind w:right="34"/>
                          <w:jc w:val="right"/>
                          <w:rPr>
                            <w:b/>
                            <w:sz w:val="15"/>
                          </w:rPr>
                        </w:pPr>
                        <w:r>
                          <w:rPr>
                            <w:b/>
                            <w:w w:val="102"/>
                            <w:sz w:val="15"/>
                          </w:rPr>
                          <w:t>0</w:t>
                        </w:r>
                      </w:p>
                    </w:tc>
                  </w:tr>
                </w:tbl>
                <w:p>
                  <w:pPr>
                    <w:pStyle w:val="BodyText"/>
                  </w:pPr>
                </w:p>
              </w:txbxContent>
            </v:textbox>
          </v:shape>
        </w:pict>
      </w:r>
      <w:r>
        <w:rPr>
          <w:rFonts w:ascii="Times New Roman"/>
          <w:sz w:val="20"/>
        </w:rPr>
      </w:r>
    </w:p>
    <w:p>
      <w:pPr>
        <w:spacing w:after="0" w:line="240" w:lineRule="auto"/>
        <w:rPr>
          <w:rFonts w:ascii="Times New Roman"/>
          <w:sz w:val="20"/>
        </w:rPr>
        <w:sectPr>
          <w:headerReference w:type="default" r:id="rId50"/>
          <w:pgSz w:w="23250" w:h="15310" w:orient="landscape"/>
          <w:pgMar w:header="881" w:footer="499" w:top="1920" w:bottom="680" w:left="1880" w:right="15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9"/>
        </w:rPr>
      </w:pPr>
    </w:p>
    <w:p>
      <w:pPr>
        <w:pStyle w:val="BodyText"/>
        <w:tabs>
          <w:tab w:pos="13030" w:val="left" w:leader="none"/>
        </w:tabs>
        <w:spacing w:line="247" w:lineRule="auto"/>
        <w:ind w:left="11773" w:right="5946" w:firstLine="397"/>
        <w:jc w:val="both"/>
      </w:pPr>
      <w:r>
        <w:rPr/>
        <w:pict>
          <v:shape style="position:absolute;margin-left:157.897003pt;margin-top:-150.955673pt;width:270.1pt;height:495.8pt;mso-position-horizontal-relative:page;mso-position-vertical-relative:paragraph;z-index:25168998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1"/>
                    <w:gridCol w:w="3201"/>
                    <w:gridCol w:w="1261"/>
                  </w:tblGrid>
                  <w:tr>
                    <w:trPr>
                      <w:trHeight w:val="350" w:hRule="atLeast"/>
                    </w:trPr>
                    <w:tc>
                      <w:tcPr>
                        <w:tcW w:w="921" w:type="dxa"/>
                        <w:tcBorders>
                          <w:top w:val="nil"/>
                        </w:tcBorders>
                      </w:tcPr>
                      <w:p>
                        <w:pPr>
                          <w:pStyle w:val="TableParagraph"/>
                          <w:rPr>
                            <w:rFonts w:ascii="Times New Roman"/>
                            <w:sz w:val="14"/>
                          </w:rPr>
                        </w:pPr>
                      </w:p>
                    </w:tc>
                    <w:tc>
                      <w:tcPr>
                        <w:tcW w:w="3201" w:type="dxa"/>
                        <w:tcBorders>
                          <w:top w:val="nil"/>
                        </w:tcBorders>
                      </w:tcPr>
                      <w:p>
                        <w:pPr>
                          <w:pStyle w:val="TableParagraph"/>
                          <w:spacing w:before="3"/>
                          <w:ind w:left="47"/>
                          <w:rPr>
                            <w:b/>
                            <w:sz w:val="15"/>
                          </w:rPr>
                        </w:pPr>
                        <w:r>
                          <w:rPr>
                            <w:b/>
                            <w:sz w:val="15"/>
                          </w:rPr>
                          <w:t>NO FINANCIEROS</w:t>
                        </w:r>
                      </w:p>
                    </w:tc>
                    <w:tc>
                      <w:tcPr>
                        <w:tcW w:w="1261" w:type="dxa"/>
                        <w:tcBorders>
                          <w:top w:val="nil"/>
                        </w:tcBorders>
                      </w:tcPr>
                      <w:p>
                        <w:pPr>
                          <w:pStyle w:val="TableParagraph"/>
                          <w:rPr>
                            <w:rFonts w:ascii="Times New Roman"/>
                            <w:sz w:val="14"/>
                          </w:rPr>
                        </w:pPr>
                      </w:p>
                    </w:tc>
                  </w:tr>
                  <w:tr>
                    <w:trPr>
                      <w:trHeight w:val="884" w:hRule="atLeast"/>
                    </w:trPr>
                    <w:tc>
                      <w:tcPr>
                        <w:tcW w:w="921" w:type="dxa"/>
                      </w:tcPr>
                      <w:p>
                        <w:pPr>
                          <w:pStyle w:val="TableParagraph"/>
                          <w:rPr>
                            <w:sz w:val="16"/>
                          </w:rPr>
                        </w:pPr>
                      </w:p>
                      <w:p>
                        <w:pPr>
                          <w:pStyle w:val="TableParagraph"/>
                          <w:rPr>
                            <w:sz w:val="15"/>
                          </w:rPr>
                        </w:pPr>
                      </w:p>
                      <w:p>
                        <w:pPr>
                          <w:pStyle w:val="TableParagraph"/>
                          <w:ind w:left="104" w:right="92"/>
                          <w:jc w:val="center"/>
                          <w:rPr>
                            <w:sz w:val="15"/>
                          </w:rPr>
                        </w:pPr>
                        <w:r>
                          <w:rPr>
                            <w:sz w:val="15"/>
                          </w:rPr>
                          <w:t>7.4</w:t>
                        </w:r>
                      </w:p>
                    </w:tc>
                    <w:tc>
                      <w:tcPr>
                        <w:tcW w:w="3201" w:type="dxa"/>
                      </w:tcPr>
                      <w:p>
                        <w:pPr>
                          <w:pStyle w:val="TableParagraph"/>
                          <w:spacing w:line="247" w:lineRule="auto" w:before="3"/>
                          <w:ind w:left="47" w:right="56"/>
                          <w:rPr>
                            <w:b/>
                            <w:sz w:val="15"/>
                          </w:rPr>
                        </w:pPr>
                        <w:r>
                          <w:rPr>
                            <w:b/>
                            <w:sz w:val="15"/>
                          </w:rPr>
                          <w:t>INGRESOS POR VENTA DE BIENES Y PRESTACION DE SERVICIOS DE ENTIDADES PARAESTATALES EMPRESARIALES  NO  FINANCIERAS</w:t>
                        </w:r>
                        <w:r>
                          <w:rPr>
                            <w:b/>
                            <w:spacing w:val="-21"/>
                            <w:sz w:val="15"/>
                          </w:rPr>
                          <w:t> </w:t>
                        </w:r>
                        <w:r>
                          <w:rPr>
                            <w:b/>
                            <w:sz w:val="15"/>
                          </w:rPr>
                          <w:t>CON</w:t>
                        </w:r>
                      </w:p>
                      <w:p>
                        <w:pPr>
                          <w:pStyle w:val="TableParagraph"/>
                          <w:spacing w:line="151" w:lineRule="exact"/>
                          <w:ind w:left="47"/>
                          <w:rPr>
                            <w:b/>
                            <w:sz w:val="15"/>
                          </w:rPr>
                        </w:pPr>
                        <w:r>
                          <w:rPr>
                            <w:b/>
                            <w:sz w:val="15"/>
                          </w:rPr>
                          <w:t>PARTICIPACION  ESTATAL</w:t>
                        </w:r>
                        <w:r>
                          <w:rPr>
                            <w:b/>
                            <w:spacing w:val="34"/>
                            <w:sz w:val="15"/>
                          </w:rPr>
                          <w:t> </w:t>
                        </w:r>
                        <w:r>
                          <w:rPr>
                            <w:b/>
                            <w:sz w:val="15"/>
                          </w:rPr>
                          <w:t>MAYORITARIA</w:t>
                        </w:r>
                      </w:p>
                    </w:tc>
                    <w:tc>
                      <w:tcPr>
                        <w:tcW w:w="1261" w:type="dxa"/>
                      </w:tcPr>
                      <w:p>
                        <w:pPr>
                          <w:pStyle w:val="TableParagraph"/>
                          <w:rPr>
                            <w:sz w:val="16"/>
                          </w:rPr>
                        </w:pPr>
                      </w:p>
                      <w:p>
                        <w:pPr>
                          <w:pStyle w:val="TableParagraph"/>
                          <w:rPr>
                            <w:sz w:val="15"/>
                          </w:rPr>
                        </w:pPr>
                      </w:p>
                      <w:p>
                        <w:pPr>
                          <w:pStyle w:val="TableParagraph"/>
                          <w:ind w:right="34"/>
                          <w:jc w:val="right"/>
                          <w:rPr>
                            <w:b/>
                            <w:sz w:val="15"/>
                          </w:rPr>
                        </w:pPr>
                        <w:r>
                          <w:rPr>
                            <w:b/>
                            <w:w w:val="102"/>
                            <w:sz w:val="15"/>
                          </w:rPr>
                          <w:t>0</w:t>
                        </w:r>
                      </w:p>
                    </w:tc>
                  </w:tr>
                  <w:tr>
                    <w:trPr>
                      <w:trHeight w:val="1061" w:hRule="atLeast"/>
                    </w:trPr>
                    <w:tc>
                      <w:tcPr>
                        <w:tcW w:w="921" w:type="dxa"/>
                      </w:tcPr>
                      <w:p>
                        <w:pPr>
                          <w:pStyle w:val="TableParagraph"/>
                          <w:rPr>
                            <w:sz w:val="16"/>
                          </w:rPr>
                        </w:pPr>
                      </w:p>
                      <w:p>
                        <w:pPr>
                          <w:pStyle w:val="TableParagraph"/>
                          <w:spacing w:before="7"/>
                          <w:rPr>
                            <w:sz w:val="22"/>
                          </w:rPr>
                        </w:pPr>
                      </w:p>
                      <w:p>
                        <w:pPr>
                          <w:pStyle w:val="TableParagraph"/>
                          <w:spacing w:before="1"/>
                          <w:ind w:left="104" w:right="92"/>
                          <w:jc w:val="center"/>
                          <w:rPr>
                            <w:sz w:val="15"/>
                          </w:rPr>
                        </w:pPr>
                        <w:r>
                          <w:rPr>
                            <w:sz w:val="15"/>
                          </w:rPr>
                          <w:t>7.5</w:t>
                        </w:r>
                      </w:p>
                    </w:tc>
                    <w:tc>
                      <w:tcPr>
                        <w:tcW w:w="3201" w:type="dxa"/>
                      </w:tcPr>
                      <w:p>
                        <w:pPr>
                          <w:pStyle w:val="TableParagraph"/>
                          <w:spacing w:line="247" w:lineRule="auto" w:before="3"/>
                          <w:ind w:left="47"/>
                          <w:rPr>
                            <w:b/>
                            <w:sz w:val="15"/>
                          </w:rPr>
                        </w:pPr>
                        <w:r>
                          <w:rPr>
                            <w:b/>
                            <w:sz w:val="15"/>
                          </w:rPr>
                          <w:t>INGRESOS POR VENTA DE BIENES Y PRESTACION DE SERVICIOS DE ENTIDADES PARAESTATALES EMPRESARIALES FINANCIERAS MONETARIAS CON PARTICIPACION</w:t>
                        </w:r>
                      </w:p>
                      <w:p>
                        <w:pPr>
                          <w:pStyle w:val="TableParagraph"/>
                          <w:spacing w:line="151" w:lineRule="exact"/>
                          <w:ind w:left="47"/>
                          <w:rPr>
                            <w:b/>
                            <w:sz w:val="15"/>
                          </w:rPr>
                        </w:pPr>
                        <w:r>
                          <w:rPr>
                            <w:b/>
                            <w:sz w:val="15"/>
                          </w:rPr>
                          <w:t>ESTATAL MAYORITARIA</w:t>
                        </w:r>
                      </w:p>
                    </w:tc>
                    <w:tc>
                      <w:tcPr>
                        <w:tcW w:w="1261" w:type="dxa"/>
                      </w:tcPr>
                      <w:p>
                        <w:pPr>
                          <w:pStyle w:val="TableParagraph"/>
                          <w:rPr>
                            <w:sz w:val="16"/>
                          </w:rPr>
                        </w:pPr>
                      </w:p>
                      <w:p>
                        <w:pPr>
                          <w:pStyle w:val="TableParagraph"/>
                          <w:spacing w:before="8"/>
                          <w:rPr>
                            <w:sz w:val="22"/>
                          </w:rPr>
                        </w:pPr>
                      </w:p>
                      <w:p>
                        <w:pPr>
                          <w:pStyle w:val="TableParagraph"/>
                          <w:ind w:right="34"/>
                          <w:jc w:val="right"/>
                          <w:rPr>
                            <w:b/>
                            <w:sz w:val="15"/>
                          </w:rPr>
                        </w:pPr>
                        <w:r>
                          <w:rPr>
                            <w:b/>
                            <w:w w:val="102"/>
                            <w:sz w:val="15"/>
                          </w:rPr>
                          <w:t>0</w:t>
                        </w:r>
                      </w:p>
                    </w:tc>
                  </w:tr>
                  <w:tr>
                    <w:trPr>
                      <w:trHeight w:val="1061" w:hRule="atLeast"/>
                    </w:trPr>
                    <w:tc>
                      <w:tcPr>
                        <w:tcW w:w="921" w:type="dxa"/>
                      </w:tcPr>
                      <w:p>
                        <w:pPr>
                          <w:pStyle w:val="TableParagraph"/>
                          <w:rPr>
                            <w:sz w:val="16"/>
                          </w:rPr>
                        </w:pPr>
                      </w:p>
                      <w:p>
                        <w:pPr>
                          <w:pStyle w:val="TableParagraph"/>
                          <w:spacing w:before="7"/>
                          <w:rPr>
                            <w:sz w:val="22"/>
                          </w:rPr>
                        </w:pPr>
                      </w:p>
                      <w:p>
                        <w:pPr>
                          <w:pStyle w:val="TableParagraph"/>
                          <w:ind w:left="104" w:right="92"/>
                          <w:jc w:val="center"/>
                          <w:rPr>
                            <w:sz w:val="15"/>
                          </w:rPr>
                        </w:pPr>
                        <w:r>
                          <w:rPr>
                            <w:sz w:val="15"/>
                          </w:rPr>
                          <w:t>7.6</w:t>
                        </w:r>
                      </w:p>
                    </w:tc>
                    <w:tc>
                      <w:tcPr>
                        <w:tcW w:w="3201" w:type="dxa"/>
                      </w:tcPr>
                      <w:p>
                        <w:pPr>
                          <w:pStyle w:val="TableParagraph"/>
                          <w:spacing w:line="247" w:lineRule="auto" w:before="2"/>
                          <w:ind w:left="47"/>
                          <w:rPr>
                            <w:b/>
                            <w:sz w:val="15"/>
                          </w:rPr>
                        </w:pPr>
                        <w:r>
                          <w:rPr>
                            <w:b/>
                            <w:sz w:val="15"/>
                          </w:rPr>
                          <w:t>INGRESOS POR VENTA DE BIENES Y PRESTACION DE SERVICIOS DE ENTIDADES PARAESTATALES EMPRESARIALES FINANCIERAS NO MONETARIAS CON PARTICIPACION</w:t>
                        </w:r>
                      </w:p>
                      <w:p>
                        <w:pPr>
                          <w:pStyle w:val="TableParagraph"/>
                          <w:spacing w:line="151" w:lineRule="exact"/>
                          <w:ind w:left="47"/>
                          <w:rPr>
                            <w:b/>
                            <w:sz w:val="15"/>
                          </w:rPr>
                        </w:pPr>
                        <w:r>
                          <w:rPr>
                            <w:b/>
                            <w:sz w:val="15"/>
                          </w:rPr>
                          <w:t>ESTATAL MAYORITARIA</w:t>
                        </w:r>
                      </w:p>
                    </w:tc>
                    <w:tc>
                      <w:tcPr>
                        <w:tcW w:w="1261" w:type="dxa"/>
                      </w:tcPr>
                      <w:p>
                        <w:pPr>
                          <w:pStyle w:val="TableParagraph"/>
                          <w:rPr>
                            <w:sz w:val="16"/>
                          </w:rPr>
                        </w:pPr>
                      </w:p>
                      <w:p>
                        <w:pPr>
                          <w:pStyle w:val="TableParagraph"/>
                          <w:spacing w:before="7"/>
                          <w:rPr>
                            <w:sz w:val="22"/>
                          </w:rPr>
                        </w:pPr>
                      </w:p>
                      <w:p>
                        <w:pPr>
                          <w:pStyle w:val="TableParagraph"/>
                          <w:spacing w:before="1"/>
                          <w:ind w:right="34"/>
                          <w:jc w:val="right"/>
                          <w:rPr>
                            <w:b/>
                            <w:sz w:val="15"/>
                          </w:rPr>
                        </w:pPr>
                        <w:r>
                          <w:rPr>
                            <w:b/>
                            <w:w w:val="102"/>
                            <w:sz w:val="15"/>
                          </w:rPr>
                          <w:t>0</w:t>
                        </w:r>
                      </w:p>
                    </w:tc>
                  </w:tr>
                  <w:tr>
                    <w:trPr>
                      <w:trHeight w:val="884" w:hRule="atLeast"/>
                    </w:trPr>
                    <w:tc>
                      <w:tcPr>
                        <w:tcW w:w="921" w:type="dxa"/>
                      </w:tcPr>
                      <w:p>
                        <w:pPr>
                          <w:pStyle w:val="TableParagraph"/>
                          <w:rPr>
                            <w:sz w:val="16"/>
                          </w:rPr>
                        </w:pPr>
                      </w:p>
                      <w:p>
                        <w:pPr>
                          <w:pStyle w:val="TableParagraph"/>
                          <w:spacing w:before="10"/>
                          <w:rPr>
                            <w:sz w:val="14"/>
                          </w:rPr>
                        </w:pPr>
                      </w:p>
                      <w:p>
                        <w:pPr>
                          <w:pStyle w:val="TableParagraph"/>
                          <w:spacing w:before="1"/>
                          <w:ind w:left="104" w:right="92"/>
                          <w:jc w:val="center"/>
                          <w:rPr>
                            <w:sz w:val="15"/>
                          </w:rPr>
                        </w:pPr>
                        <w:r>
                          <w:rPr>
                            <w:sz w:val="15"/>
                          </w:rPr>
                          <w:t>7.7</w:t>
                        </w:r>
                      </w:p>
                    </w:tc>
                    <w:tc>
                      <w:tcPr>
                        <w:tcW w:w="3201" w:type="dxa"/>
                      </w:tcPr>
                      <w:p>
                        <w:pPr>
                          <w:pStyle w:val="TableParagraph"/>
                          <w:spacing w:line="247" w:lineRule="auto" w:before="3"/>
                          <w:ind w:left="47"/>
                          <w:rPr>
                            <w:b/>
                            <w:sz w:val="15"/>
                          </w:rPr>
                        </w:pPr>
                        <w:r>
                          <w:rPr>
                            <w:b/>
                            <w:sz w:val="15"/>
                          </w:rPr>
                          <w:t>INGRESOS POR VENTA DE BIENES Y PRESTACION DE SERVICIOS DE FIDEICOMISOS FINANCIEROS PUBLICOS CON PARTICIPACION ESTATAL</w:t>
                        </w:r>
                      </w:p>
                      <w:p>
                        <w:pPr>
                          <w:pStyle w:val="TableParagraph"/>
                          <w:spacing w:line="151" w:lineRule="exact"/>
                          <w:ind w:left="47"/>
                          <w:rPr>
                            <w:b/>
                            <w:sz w:val="15"/>
                          </w:rPr>
                        </w:pPr>
                        <w:r>
                          <w:rPr>
                            <w:b/>
                            <w:sz w:val="15"/>
                          </w:rPr>
                          <w:t>MAYORITARIA</w:t>
                        </w:r>
                      </w:p>
                    </w:tc>
                    <w:tc>
                      <w:tcPr>
                        <w:tcW w:w="1261" w:type="dxa"/>
                      </w:tcPr>
                      <w:p>
                        <w:pPr>
                          <w:pStyle w:val="TableParagraph"/>
                          <w:rPr>
                            <w:sz w:val="16"/>
                          </w:rPr>
                        </w:pPr>
                      </w:p>
                      <w:p>
                        <w:pPr>
                          <w:pStyle w:val="TableParagraph"/>
                          <w:rPr>
                            <w:sz w:val="15"/>
                          </w:rPr>
                        </w:pPr>
                      </w:p>
                      <w:p>
                        <w:pPr>
                          <w:pStyle w:val="TableParagraph"/>
                          <w:ind w:right="34"/>
                          <w:jc w:val="right"/>
                          <w:rPr>
                            <w:b/>
                            <w:sz w:val="15"/>
                          </w:rPr>
                        </w:pPr>
                        <w:r>
                          <w:rPr>
                            <w:b/>
                            <w:w w:val="102"/>
                            <w:sz w:val="15"/>
                          </w:rPr>
                          <w:t>0</w:t>
                        </w:r>
                      </w:p>
                    </w:tc>
                  </w:tr>
                  <w:tr>
                    <w:trPr>
                      <w:trHeight w:val="707" w:hRule="atLeast"/>
                    </w:trPr>
                    <w:tc>
                      <w:tcPr>
                        <w:tcW w:w="921" w:type="dxa"/>
                      </w:tcPr>
                      <w:p>
                        <w:pPr>
                          <w:pStyle w:val="TableParagraph"/>
                          <w:spacing w:before="3"/>
                          <w:rPr>
                            <w:sz w:val="23"/>
                          </w:rPr>
                        </w:pPr>
                      </w:p>
                      <w:p>
                        <w:pPr>
                          <w:pStyle w:val="TableParagraph"/>
                          <w:ind w:left="104" w:right="92"/>
                          <w:jc w:val="center"/>
                          <w:rPr>
                            <w:sz w:val="15"/>
                          </w:rPr>
                        </w:pPr>
                        <w:r>
                          <w:rPr>
                            <w:sz w:val="15"/>
                          </w:rPr>
                          <w:t>7.8</w:t>
                        </w:r>
                      </w:p>
                    </w:tc>
                    <w:tc>
                      <w:tcPr>
                        <w:tcW w:w="3201" w:type="dxa"/>
                      </w:tcPr>
                      <w:p>
                        <w:pPr>
                          <w:pStyle w:val="TableParagraph"/>
                          <w:spacing w:line="244" w:lineRule="auto" w:before="3"/>
                          <w:ind w:left="47"/>
                          <w:rPr>
                            <w:b/>
                            <w:sz w:val="15"/>
                          </w:rPr>
                        </w:pPr>
                        <w:r>
                          <w:rPr>
                            <w:b/>
                            <w:sz w:val="15"/>
                          </w:rPr>
                          <w:t>INGRESOS POR VENTA DE BIENES Y PRESTACION DE SERVICIOS DE LOS PODERES LEGISLATIVO Y JUDICIAL, Y</w:t>
                        </w:r>
                      </w:p>
                      <w:p>
                        <w:pPr>
                          <w:pStyle w:val="TableParagraph"/>
                          <w:spacing w:line="154" w:lineRule="exact" w:before="3"/>
                          <w:ind w:left="47"/>
                          <w:rPr>
                            <w:b/>
                            <w:sz w:val="15"/>
                          </w:rPr>
                        </w:pPr>
                        <w:r>
                          <w:rPr>
                            <w:b/>
                            <w:sz w:val="15"/>
                          </w:rPr>
                          <w:t>DE LOS ORGANOS AUTONOMOS</w:t>
                        </w:r>
                      </w:p>
                    </w:tc>
                    <w:tc>
                      <w:tcPr>
                        <w:tcW w:w="1261" w:type="dxa"/>
                      </w:tcPr>
                      <w:p>
                        <w:pPr>
                          <w:pStyle w:val="TableParagraph"/>
                          <w:spacing w:before="3"/>
                          <w:rPr>
                            <w:sz w:val="23"/>
                          </w:rPr>
                        </w:pPr>
                      </w:p>
                      <w:p>
                        <w:pPr>
                          <w:pStyle w:val="TableParagraph"/>
                          <w:spacing w:before="1"/>
                          <w:ind w:right="34"/>
                          <w:jc w:val="right"/>
                          <w:rPr>
                            <w:b/>
                            <w:sz w:val="15"/>
                          </w:rPr>
                        </w:pPr>
                        <w:r>
                          <w:rPr>
                            <w:b/>
                            <w:w w:val="102"/>
                            <w:sz w:val="15"/>
                          </w:rPr>
                          <w:t>0</w:t>
                        </w:r>
                      </w:p>
                    </w:tc>
                  </w:tr>
                  <w:tr>
                    <w:trPr>
                      <w:trHeight w:val="175" w:hRule="atLeast"/>
                    </w:trPr>
                    <w:tc>
                      <w:tcPr>
                        <w:tcW w:w="921" w:type="dxa"/>
                      </w:tcPr>
                      <w:p>
                        <w:pPr>
                          <w:pStyle w:val="TableParagraph"/>
                          <w:spacing w:line="154" w:lineRule="exact" w:before="2"/>
                          <w:ind w:left="104" w:right="92"/>
                          <w:jc w:val="center"/>
                          <w:rPr>
                            <w:sz w:val="15"/>
                          </w:rPr>
                        </w:pPr>
                        <w:r>
                          <w:rPr>
                            <w:sz w:val="15"/>
                          </w:rPr>
                          <w:t>7.9</w:t>
                        </w:r>
                      </w:p>
                    </w:tc>
                    <w:tc>
                      <w:tcPr>
                        <w:tcW w:w="3201" w:type="dxa"/>
                      </w:tcPr>
                      <w:p>
                        <w:pPr>
                          <w:pStyle w:val="TableParagraph"/>
                          <w:spacing w:line="153" w:lineRule="exact" w:before="3"/>
                          <w:ind w:left="47"/>
                          <w:rPr>
                            <w:b/>
                            <w:sz w:val="15"/>
                          </w:rPr>
                        </w:pPr>
                        <w:r>
                          <w:rPr>
                            <w:b/>
                            <w:sz w:val="15"/>
                          </w:rPr>
                          <w:t>OTROS INGRESOS</w:t>
                        </w:r>
                      </w:p>
                    </w:tc>
                    <w:tc>
                      <w:tcPr>
                        <w:tcW w:w="1261" w:type="dxa"/>
                      </w:tcPr>
                      <w:p>
                        <w:pPr>
                          <w:pStyle w:val="TableParagraph"/>
                          <w:spacing w:line="153" w:lineRule="exact" w:before="3"/>
                          <w:ind w:right="34"/>
                          <w:jc w:val="right"/>
                          <w:rPr>
                            <w:b/>
                            <w:sz w:val="15"/>
                          </w:rPr>
                        </w:pPr>
                        <w:r>
                          <w:rPr>
                            <w:b/>
                            <w:w w:val="102"/>
                            <w:sz w:val="15"/>
                          </w:rPr>
                          <w:t>0</w:t>
                        </w:r>
                      </w:p>
                    </w:tc>
                  </w:tr>
                  <w:tr>
                    <w:trPr>
                      <w:trHeight w:val="707" w:hRule="atLeast"/>
                    </w:trPr>
                    <w:tc>
                      <w:tcPr>
                        <w:tcW w:w="921" w:type="dxa"/>
                      </w:tcPr>
                      <w:p>
                        <w:pPr>
                          <w:pStyle w:val="TableParagraph"/>
                          <w:rPr>
                            <w:rFonts w:ascii="Times New Roman"/>
                            <w:sz w:val="14"/>
                          </w:rPr>
                        </w:pPr>
                      </w:p>
                    </w:tc>
                    <w:tc>
                      <w:tcPr>
                        <w:tcW w:w="3201" w:type="dxa"/>
                      </w:tcPr>
                      <w:p>
                        <w:pPr>
                          <w:pStyle w:val="TableParagraph"/>
                          <w:rPr>
                            <w:rFonts w:ascii="Times New Roman"/>
                            <w:sz w:val="14"/>
                          </w:rPr>
                        </w:pPr>
                      </w:p>
                    </w:tc>
                    <w:tc>
                      <w:tcPr>
                        <w:tcW w:w="1261" w:type="dxa"/>
                      </w:tcPr>
                      <w:p>
                        <w:pPr>
                          <w:pStyle w:val="TableParagraph"/>
                          <w:rPr>
                            <w:rFonts w:ascii="Times New Roman"/>
                            <w:sz w:val="14"/>
                          </w:rPr>
                        </w:pPr>
                      </w:p>
                    </w:tc>
                  </w:tr>
                  <w:tr>
                    <w:trPr>
                      <w:trHeight w:val="176" w:hRule="atLeast"/>
                    </w:trPr>
                    <w:tc>
                      <w:tcPr>
                        <w:tcW w:w="921" w:type="dxa"/>
                      </w:tcPr>
                      <w:p>
                        <w:pPr>
                          <w:pStyle w:val="TableParagraph"/>
                          <w:spacing w:line="154" w:lineRule="exact" w:before="2"/>
                          <w:ind w:left="104" w:right="92"/>
                          <w:jc w:val="center"/>
                          <w:rPr>
                            <w:sz w:val="15"/>
                          </w:rPr>
                        </w:pPr>
                        <w:r>
                          <w:rPr>
                            <w:sz w:val="15"/>
                          </w:rPr>
                          <w:t>8.1</w:t>
                        </w:r>
                      </w:p>
                    </w:tc>
                    <w:tc>
                      <w:tcPr>
                        <w:tcW w:w="3201" w:type="dxa"/>
                      </w:tcPr>
                      <w:p>
                        <w:pPr>
                          <w:pStyle w:val="TableParagraph"/>
                          <w:spacing w:line="153" w:lineRule="exact" w:before="3"/>
                          <w:ind w:left="47"/>
                          <w:rPr>
                            <w:b/>
                            <w:sz w:val="15"/>
                          </w:rPr>
                        </w:pPr>
                        <w:r>
                          <w:rPr>
                            <w:b/>
                            <w:sz w:val="15"/>
                          </w:rPr>
                          <w:t>PARTICIPACIONES</w:t>
                        </w:r>
                      </w:p>
                    </w:tc>
                    <w:tc>
                      <w:tcPr>
                        <w:tcW w:w="1261" w:type="dxa"/>
                      </w:tcPr>
                      <w:p>
                        <w:pPr>
                          <w:pStyle w:val="TableParagraph"/>
                          <w:spacing w:line="153" w:lineRule="exact" w:before="3"/>
                          <w:ind w:right="33"/>
                          <w:jc w:val="right"/>
                          <w:rPr>
                            <w:b/>
                            <w:sz w:val="15"/>
                          </w:rPr>
                        </w:pPr>
                        <w:r>
                          <w:rPr>
                            <w:b/>
                            <w:sz w:val="15"/>
                          </w:rPr>
                          <w:t>730,264,758</w:t>
                        </w:r>
                      </w:p>
                    </w:tc>
                  </w:tr>
                  <w:tr>
                    <w:trPr>
                      <w:trHeight w:val="175" w:hRule="atLeast"/>
                    </w:trPr>
                    <w:tc>
                      <w:tcPr>
                        <w:tcW w:w="921" w:type="dxa"/>
                      </w:tcPr>
                      <w:p>
                        <w:pPr>
                          <w:pStyle w:val="TableParagraph"/>
                          <w:spacing w:line="154" w:lineRule="exact" w:before="1"/>
                          <w:ind w:left="104" w:right="93"/>
                          <w:jc w:val="center"/>
                          <w:rPr>
                            <w:sz w:val="15"/>
                          </w:rPr>
                        </w:pPr>
                        <w:r>
                          <w:rPr>
                            <w:sz w:val="15"/>
                          </w:rPr>
                          <w:t>8.1.1</w:t>
                        </w:r>
                      </w:p>
                    </w:tc>
                    <w:tc>
                      <w:tcPr>
                        <w:tcW w:w="3201" w:type="dxa"/>
                      </w:tcPr>
                      <w:p>
                        <w:pPr>
                          <w:pStyle w:val="TableParagraph"/>
                          <w:spacing w:line="153" w:lineRule="exact" w:before="2"/>
                          <w:ind w:left="47"/>
                          <w:rPr>
                            <w:b/>
                            <w:sz w:val="15"/>
                          </w:rPr>
                        </w:pPr>
                        <w:r>
                          <w:rPr>
                            <w:b/>
                            <w:sz w:val="15"/>
                          </w:rPr>
                          <w:t>Participaciones</w:t>
                        </w:r>
                      </w:p>
                    </w:tc>
                    <w:tc>
                      <w:tcPr>
                        <w:tcW w:w="1261" w:type="dxa"/>
                      </w:tcPr>
                      <w:p>
                        <w:pPr>
                          <w:pStyle w:val="TableParagraph"/>
                          <w:spacing w:line="153" w:lineRule="exact" w:before="2"/>
                          <w:ind w:right="33"/>
                          <w:jc w:val="right"/>
                          <w:rPr>
                            <w:b/>
                            <w:sz w:val="15"/>
                          </w:rPr>
                        </w:pPr>
                        <w:r>
                          <w:rPr>
                            <w:b/>
                            <w:sz w:val="15"/>
                          </w:rPr>
                          <w:t>730,264,758</w:t>
                        </w:r>
                      </w:p>
                    </w:tc>
                  </w:tr>
                  <w:tr>
                    <w:trPr>
                      <w:trHeight w:val="176" w:hRule="atLeast"/>
                    </w:trPr>
                    <w:tc>
                      <w:tcPr>
                        <w:tcW w:w="921" w:type="dxa"/>
                      </w:tcPr>
                      <w:p>
                        <w:pPr>
                          <w:pStyle w:val="TableParagraph"/>
                          <w:spacing w:line="154" w:lineRule="exact" w:before="2"/>
                          <w:ind w:left="104" w:right="93"/>
                          <w:jc w:val="center"/>
                          <w:rPr>
                            <w:sz w:val="15"/>
                          </w:rPr>
                        </w:pPr>
                        <w:r>
                          <w:rPr>
                            <w:sz w:val="15"/>
                          </w:rPr>
                          <w:t>8.1.1.1</w:t>
                        </w:r>
                      </w:p>
                    </w:tc>
                    <w:tc>
                      <w:tcPr>
                        <w:tcW w:w="3201" w:type="dxa"/>
                      </w:tcPr>
                      <w:p>
                        <w:pPr>
                          <w:pStyle w:val="TableParagraph"/>
                          <w:spacing w:line="154" w:lineRule="exact" w:before="2"/>
                          <w:ind w:left="47"/>
                          <w:rPr>
                            <w:sz w:val="15"/>
                          </w:rPr>
                        </w:pPr>
                        <w:r>
                          <w:rPr>
                            <w:sz w:val="15"/>
                          </w:rPr>
                          <w:t>Federales</w:t>
                        </w:r>
                      </w:p>
                    </w:tc>
                    <w:tc>
                      <w:tcPr>
                        <w:tcW w:w="1261" w:type="dxa"/>
                      </w:tcPr>
                      <w:p>
                        <w:pPr>
                          <w:pStyle w:val="TableParagraph"/>
                          <w:spacing w:line="154" w:lineRule="exact" w:before="2"/>
                          <w:ind w:right="33"/>
                          <w:jc w:val="right"/>
                          <w:rPr>
                            <w:sz w:val="15"/>
                          </w:rPr>
                        </w:pPr>
                        <w:r>
                          <w:rPr>
                            <w:sz w:val="15"/>
                          </w:rPr>
                          <w:t>623,086,173</w:t>
                        </w:r>
                      </w:p>
                    </w:tc>
                  </w:tr>
                  <w:tr>
                    <w:trPr>
                      <w:trHeight w:val="175" w:hRule="atLeast"/>
                    </w:trPr>
                    <w:tc>
                      <w:tcPr>
                        <w:tcW w:w="921" w:type="dxa"/>
                      </w:tcPr>
                      <w:p>
                        <w:pPr>
                          <w:pStyle w:val="TableParagraph"/>
                          <w:spacing w:line="154" w:lineRule="exact" w:before="1"/>
                          <w:ind w:left="104" w:right="93"/>
                          <w:jc w:val="center"/>
                          <w:rPr>
                            <w:sz w:val="15"/>
                          </w:rPr>
                        </w:pPr>
                        <w:r>
                          <w:rPr>
                            <w:sz w:val="15"/>
                          </w:rPr>
                          <w:t>8.1.1.2</w:t>
                        </w:r>
                      </w:p>
                    </w:tc>
                    <w:tc>
                      <w:tcPr>
                        <w:tcW w:w="3201" w:type="dxa"/>
                      </w:tcPr>
                      <w:p>
                        <w:pPr>
                          <w:pStyle w:val="TableParagraph"/>
                          <w:spacing w:line="154" w:lineRule="exact" w:before="1"/>
                          <w:ind w:left="47"/>
                          <w:rPr>
                            <w:sz w:val="15"/>
                          </w:rPr>
                        </w:pPr>
                        <w:r>
                          <w:rPr>
                            <w:sz w:val="15"/>
                          </w:rPr>
                          <w:t>Estatales</w:t>
                        </w:r>
                      </w:p>
                    </w:tc>
                    <w:tc>
                      <w:tcPr>
                        <w:tcW w:w="1261" w:type="dxa"/>
                      </w:tcPr>
                      <w:p>
                        <w:pPr>
                          <w:pStyle w:val="TableParagraph"/>
                          <w:spacing w:line="154" w:lineRule="exact" w:before="1"/>
                          <w:ind w:right="34"/>
                          <w:jc w:val="right"/>
                          <w:rPr>
                            <w:sz w:val="15"/>
                          </w:rPr>
                        </w:pPr>
                        <w:r>
                          <w:rPr>
                            <w:sz w:val="15"/>
                          </w:rPr>
                          <w:t>107,178,585</w:t>
                        </w:r>
                      </w:p>
                    </w:tc>
                  </w:tr>
                  <w:tr>
                    <w:trPr>
                      <w:trHeight w:val="176" w:hRule="atLeast"/>
                    </w:trPr>
                    <w:tc>
                      <w:tcPr>
                        <w:tcW w:w="921" w:type="dxa"/>
                      </w:tcPr>
                      <w:p>
                        <w:pPr>
                          <w:pStyle w:val="TableParagraph"/>
                          <w:spacing w:line="154" w:lineRule="exact" w:before="2"/>
                          <w:ind w:left="104" w:right="92"/>
                          <w:jc w:val="center"/>
                          <w:rPr>
                            <w:sz w:val="15"/>
                          </w:rPr>
                        </w:pPr>
                        <w:r>
                          <w:rPr>
                            <w:sz w:val="15"/>
                          </w:rPr>
                          <w:t>8.2</w:t>
                        </w:r>
                      </w:p>
                    </w:tc>
                    <w:tc>
                      <w:tcPr>
                        <w:tcW w:w="3201" w:type="dxa"/>
                      </w:tcPr>
                      <w:p>
                        <w:pPr>
                          <w:pStyle w:val="TableParagraph"/>
                          <w:spacing w:line="153" w:lineRule="exact" w:before="3"/>
                          <w:ind w:left="47"/>
                          <w:rPr>
                            <w:b/>
                            <w:sz w:val="15"/>
                          </w:rPr>
                        </w:pPr>
                        <w:r>
                          <w:rPr>
                            <w:b/>
                            <w:sz w:val="15"/>
                          </w:rPr>
                          <w:t>APORTACIONES</w:t>
                        </w:r>
                      </w:p>
                    </w:tc>
                    <w:tc>
                      <w:tcPr>
                        <w:tcW w:w="1261" w:type="dxa"/>
                      </w:tcPr>
                      <w:p>
                        <w:pPr>
                          <w:pStyle w:val="TableParagraph"/>
                          <w:spacing w:line="153" w:lineRule="exact" w:before="3"/>
                          <w:ind w:right="33"/>
                          <w:jc w:val="right"/>
                          <w:rPr>
                            <w:b/>
                            <w:sz w:val="15"/>
                          </w:rPr>
                        </w:pPr>
                        <w:r>
                          <w:rPr>
                            <w:b/>
                            <w:sz w:val="15"/>
                          </w:rPr>
                          <w:t>432,382,188</w:t>
                        </w:r>
                      </w:p>
                    </w:tc>
                  </w:tr>
                  <w:tr>
                    <w:trPr>
                      <w:trHeight w:val="175" w:hRule="atLeast"/>
                    </w:trPr>
                    <w:tc>
                      <w:tcPr>
                        <w:tcW w:w="921" w:type="dxa"/>
                      </w:tcPr>
                      <w:p>
                        <w:pPr>
                          <w:pStyle w:val="TableParagraph"/>
                          <w:spacing w:line="154" w:lineRule="exact" w:before="1"/>
                          <w:ind w:left="104" w:right="93"/>
                          <w:jc w:val="center"/>
                          <w:rPr>
                            <w:sz w:val="15"/>
                          </w:rPr>
                        </w:pPr>
                        <w:r>
                          <w:rPr>
                            <w:sz w:val="15"/>
                          </w:rPr>
                          <w:t>8.2.1</w:t>
                        </w:r>
                      </w:p>
                    </w:tc>
                    <w:tc>
                      <w:tcPr>
                        <w:tcW w:w="3201" w:type="dxa"/>
                      </w:tcPr>
                      <w:p>
                        <w:pPr>
                          <w:pStyle w:val="TableParagraph"/>
                          <w:spacing w:line="153" w:lineRule="exact" w:before="2"/>
                          <w:ind w:left="47"/>
                          <w:rPr>
                            <w:b/>
                            <w:sz w:val="15"/>
                          </w:rPr>
                        </w:pPr>
                        <w:r>
                          <w:rPr>
                            <w:b/>
                            <w:sz w:val="15"/>
                          </w:rPr>
                          <w:t>Aportaciones federales</w:t>
                        </w:r>
                      </w:p>
                    </w:tc>
                    <w:tc>
                      <w:tcPr>
                        <w:tcW w:w="1261" w:type="dxa"/>
                      </w:tcPr>
                      <w:p>
                        <w:pPr>
                          <w:pStyle w:val="TableParagraph"/>
                          <w:spacing w:line="153" w:lineRule="exact" w:before="2"/>
                          <w:ind w:right="33"/>
                          <w:jc w:val="right"/>
                          <w:rPr>
                            <w:b/>
                            <w:sz w:val="15"/>
                          </w:rPr>
                        </w:pPr>
                        <w:r>
                          <w:rPr>
                            <w:b/>
                            <w:sz w:val="15"/>
                          </w:rPr>
                          <w:t>432,382,188</w:t>
                        </w:r>
                      </w:p>
                    </w:tc>
                  </w:tr>
                  <w:tr>
                    <w:trPr>
                      <w:trHeight w:val="176" w:hRule="atLeast"/>
                    </w:trPr>
                    <w:tc>
                      <w:tcPr>
                        <w:tcW w:w="921" w:type="dxa"/>
                      </w:tcPr>
                      <w:p>
                        <w:pPr>
                          <w:pStyle w:val="TableParagraph"/>
                          <w:spacing w:line="154" w:lineRule="exact" w:before="2"/>
                          <w:ind w:left="104" w:right="93"/>
                          <w:jc w:val="center"/>
                          <w:rPr>
                            <w:sz w:val="15"/>
                          </w:rPr>
                        </w:pPr>
                        <w:r>
                          <w:rPr>
                            <w:sz w:val="15"/>
                          </w:rPr>
                          <w:t>8.2.1.1</w:t>
                        </w:r>
                      </w:p>
                    </w:tc>
                    <w:tc>
                      <w:tcPr>
                        <w:tcW w:w="3201" w:type="dxa"/>
                      </w:tcPr>
                      <w:p>
                        <w:pPr>
                          <w:pStyle w:val="TableParagraph"/>
                          <w:spacing w:line="154" w:lineRule="exact" w:before="2"/>
                          <w:ind w:left="47"/>
                          <w:rPr>
                            <w:sz w:val="15"/>
                          </w:rPr>
                        </w:pPr>
                        <w:r>
                          <w:rPr>
                            <w:sz w:val="15"/>
                          </w:rPr>
                          <w:t>Del fondo de infraestructura social municipal</w:t>
                        </w:r>
                      </w:p>
                    </w:tc>
                    <w:tc>
                      <w:tcPr>
                        <w:tcW w:w="1261" w:type="dxa"/>
                      </w:tcPr>
                      <w:p>
                        <w:pPr>
                          <w:pStyle w:val="TableParagraph"/>
                          <w:spacing w:line="154" w:lineRule="exact" w:before="2"/>
                          <w:ind w:right="34"/>
                          <w:jc w:val="right"/>
                          <w:rPr>
                            <w:sz w:val="15"/>
                          </w:rPr>
                        </w:pPr>
                        <w:r>
                          <w:rPr>
                            <w:sz w:val="15"/>
                          </w:rPr>
                          <w:t>48,561,750</w:t>
                        </w:r>
                      </w:p>
                    </w:tc>
                  </w:tr>
                  <w:tr>
                    <w:trPr>
                      <w:trHeight w:val="352" w:hRule="atLeast"/>
                    </w:trPr>
                    <w:tc>
                      <w:tcPr>
                        <w:tcW w:w="921" w:type="dxa"/>
                      </w:tcPr>
                      <w:p>
                        <w:pPr>
                          <w:pStyle w:val="TableParagraph"/>
                          <w:spacing w:before="90"/>
                          <w:ind w:left="104" w:right="93"/>
                          <w:jc w:val="center"/>
                          <w:rPr>
                            <w:sz w:val="15"/>
                          </w:rPr>
                        </w:pPr>
                        <w:r>
                          <w:rPr>
                            <w:sz w:val="15"/>
                          </w:rPr>
                          <w:t>8.2.1.2</w:t>
                        </w:r>
                      </w:p>
                    </w:tc>
                    <w:tc>
                      <w:tcPr>
                        <w:tcW w:w="3201" w:type="dxa"/>
                      </w:tcPr>
                      <w:p>
                        <w:pPr>
                          <w:pStyle w:val="TableParagraph"/>
                          <w:spacing w:line="178" w:lineRule="exact"/>
                          <w:ind w:left="47"/>
                          <w:rPr>
                            <w:sz w:val="15"/>
                          </w:rPr>
                        </w:pPr>
                        <w:r>
                          <w:rPr>
                            <w:sz w:val="15"/>
                          </w:rPr>
                          <w:t>Rendimientos financieros del fondo de aportaciones para la infraestructura social</w:t>
                        </w:r>
                      </w:p>
                    </w:tc>
                    <w:tc>
                      <w:tcPr>
                        <w:tcW w:w="1261" w:type="dxa"/>
                      </w:tcPr>
                      <w:p>
                        <w:pPr>
                          <w:pStyle w:val="TableParagraph"/>
                          <w:spacing w:before="90"/>
                          <w:ind w:right="34"/>
                          <w:jc w:val="right"/>
                          <w:rPr>
                            <w:sz w:val="15"/>
                          </w:rPr>
                        </w:pPr>
                        <w:r>
                          <w:rPr>
                            <w:sz w:val="15"/>
                          </w:rPr>
                          <w:t>146,201</w:t>
                        </w:r>
                      </w:p>
                    </w:tc>
                  </w:tr>
                  <w:tr>
                    <w:trPr>
                      <w:trHeight w:val="172" w:hRule="atLeast"/>
                    </w:trPr>
                    <w:tc>
                      <w:tcPr>
                        <w:tcW w:w="921" w:type="dxa"/>
                      </w:tcPr>
                      <w:p>
                        <w:pPr>
                          <w:pStyle w:val="TableParagraph"/>
                          <w:spacing w:line="153" w:lineRule="exact"/>
                          <w:ind w:left="104" w:right="93"/>
                          <w:jc w:val="center"/>
                          <w:rPr>
                            <w:sz w:val="15"/>
                          </w:rPr>
                        </w:pPr>
                        <w:r>
                          <w:rPr>
                            <w:sz w:val="15"/>
                          </w:rPr>
                          <w:t>8.2.1.3</w:t>
                        </w:r>
                      </w:p>
                    </w:tc>
                    <w:tc>
                      <w:tcPr>
                        <w:tcW w:w="3201" w:type="dxa"/>
                      </w:tcPr>
                      <w:p>
                        <w:pPr>
                          <w:pStyle w:val="TableParagraph"/>
                          <w:spacing w:line="153" w:lineRule="exact"/>
                          <w:ind w:left="47"/>
                          <w:rPr>
                            <w:sz w:val="15"/>
                          </w:rPr>
                        </w:pPr>
                        <w:r>
                          <w:rPr>
                            <w:sz w:val="15"/>
                          </w:rPr>
                          <w:t>Del fondo para el fortalecimiento municipal</w:t>
                        </w:r>
                      </w:p>
                    </w:tc>
                    <w:tc>
                      <w:tcPr>
                        <w:tcW w:w="1261" w:type="dxa"/>
                      </w:tcPr>
                      <w:p>
                        <w:pPr>
                          <w:pStyle w:val="TableParagraph"/>
                          <w:spacing w:line="153" w:lineRule="exact"/>
                          <w:ind w:right="34"/>
                          <w:jc w:val="right"/>
                          <w:rPr>
                            <w:sz w:val="15"/>
                          </w:rPr>
                        </w:pPr>
                        <w:r>
                          <w:rPr>
                            <w:sz w:val="15"/>
                          </w:rPr>
                          <w:t>382,281,329</w:t>
                        </w:r>
                      </w:p>
                    </w:tc>
                  </w:tr>
                  <w:tr>
                    <w:trPr>
                      <w:trHeight w:val="531" w:hRule="atLeast"/>
                    </w:trPr>
                    <w:tc>
                      <w:tcPr>
                        <w:tcW w:w="921" w:type="dxa"/>
                      </w:tcPr>
                      <w:p>
                        <w:pPr>
                          <w:pStyle w:val="TableParagraph"/>
                          <w:spacing w:before="6"/>
                          <w:rPr>
                            <w:sz w:val="15"/>
                          </w:rPr>
                        </w:pPr>
                      </w:p>
                      <w:p>
                        <w:pPr>
                          <w:pStyle w:val="TableParagraph"/>
                          <w:spacing w:before="1"/>
                          <w:ind w:left="104" w:right="93"/>
                          <w:jc w:val="center"/>
                          <w:rPr>
                            <w:sz w:val="15"/>
                          </w:rPr>
                        </w:pPr>
                        <w:r>
                          <w:rPr>
                            <w:sz w:val="15"/>
                          </w:rPr>
                          <w:t>8.2.1.4</w:t>
                        </w:r>
                      </w:p>
                    </w:tc>
                    <w:tc>
                      <w:tcPr>
                        <w:tcW w:w="3201" w:type="dxa"/>
                      </w:tcPr>
                      <w:p>
                        <w:pPr>
                          <w:pStyle w:val="TableParagraph"/>
                          <w:spacing w:line="178" w:lineRule="exact"/>
                          <w:ind w:left="47" w:right="165"/>
                          <w:rPr>
                            <w:sz w:val="15"/>
                          </w:rPr>
                        </w:pPr>
                        <w:r>
                          <w:rPr>
                            <w:sz w:val="15"/>
                          </w:rPr>
                          <w:t>Rendimientos financieros del fondo de aportaciones para el fortalecimiento municipal</w:t>
                        </w:r>
                      </w:p>
                    </w:tc>
                    <w:tc>
                      <w:tcPr>
                        <w:tcW w:w="1261" w:type="dxa"/>
                      </w:tcPr>
                      <w:p>
                        <w:pPr>
                          <w:pStyle w:val="TableParagraph"/>
                          <w:spacing w:before="6"/>
                          <w:rPr>
                            <w:sz w:val="15"/>
                          </w:rPr>
                        </w:pPr>
                      </w:p>
                      <w:p>
                        <w:pPr>
                          <w:pStyle w:val="TableParagraph"/>
                          <w:spacing w:before="1"/>
                          <w:ind w:right="34"/>
                          <w:jc w:val="right"/>
                          <w:rPr>
                            <w:sz w:val="15"/>
                          </w:rPr>
                        </w:pPr>
                        <w:r>
                          <w:rPr>
                            <w:sz w:val="15"/>
                          </w:rPr>
                          <w:t>1,392,908</w:t>
                        </w:r>
                      </w:p>
                    </w:tc>
                  </w:tr>
                  <w:tr>
                    <w:trPr>
                      <w:trHeight w:val="172" w:hRule="atLeast"/>
                    </w:trPr>
                    <w:tc>
                      <w:tcPr>
                        <w:tcW w:w="921" w:type="dxa"/>
                      </w:tcPr>
                      <w:p>
                        <w:pPr>
                          <w:pStyle w:val="TableParagraph"/>
                          <w:spacing w:line="153" w:lineRule="exact"/>
                          <w:ind w:left="104" w:right="92"/>
                          <w:jc w:val="center"/>
                          <w:rPr>
                            <w:sz w:val="15"/>
                          </w:rPr>
                        </w:pPr>
                        <w:r>
                          <w:rPr>
                            <w:sz w:val="15"/>
                          </w:rPr>
                          <w:t>8.3</w:t>
                        </w:r>
                      </w:p>
                    </w:tc>
                    <w:tc>
                      <w:tcPr>
                        <w:tcW w:w="3201" w:type="dxa"/>
                      </w:tcPr>
                      <w:p>
                        <w:pPr>
                          <w:pStyle w:val="TableParagraph"/>
                          <w:spacing w:line="153" w:lineRule="exact"/>
                          <w:ind w:left="47"/>
                          <w:rPr>
                            <w:b/>
                            <w:sz w:val="15"/>
                          </w:rPr>
                        </w:pPr>
                        <w:r>
                          <w:rPr>
                            <w:b/>
                            <w:sz w:val="15"/>
                          </w:rPr>
                          <w:t>CONVENIOS</w:t>
                        </w:r>
                      </w:p>
                    </w:tc>
                    <w:tc>
                      <w:tcPr>
                        <w:tcW w:w="1261" w:type="dxa"/>
                      </w:tcPr>
                      <w:p>
                        <w:pPr>
                          <w:pStyle w:val="TableParagraph"/>
                          <w:spacing w:line="153" w:lineRule="exact"/>
                          <w:ind w:right="34"/>
                          <w:jc w:val="right"/>
                          <w:rPr>
                            <w:b/>
                            <w:sz w:val="15"/>
                          </w:rPr>
                        </w:pPr>
                        <w:r>
                          <w:rPr>
                            <w:b/>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8.3.1</w:t>
                        </w:r>
                      </w:p>
                    </w:tc>
                    <w:tc>
                      <w:tcPr>
                        <w:tcW w:w="3201" w:type="dxa"/>
                      </w:tcPr>
                      <w:p>
                        <w:pPr>
                          <w:pStyle w:val="TableParagraph"/>
                          <w:spacing w:line="153" w:lineRule="exact" w:before="3"/>
                          <w:ind w:left="47"/>
                          <w:rPr>
                            <w:b/>
                            <w:sz w:val="15"/>
                          </w:rPr>
                        </w:pPr>
                        <w:r>
                          <w:rPr>
                            <w:b/>
                            <w:sz w:val="15"/>
                          </w:rPr>
                          <w:t>Convenios</w:t>
                        </w:r>
                      </w:p>
                    </w:tc>
                    <w:tc>
                      <w:tcPr>
                        <w:tcW w:w="1261" w:type="dxa"/>
                      </w:tcPr>
                      <w:p>
                        <w:pPr>
                          <w:pStyle w:val="TableParagraph"/>
                          <w:spacing w:line="153" w:lineRule="exact" w:before="3"/>
                          <w:ind w:right="34"/>
                          <w:jc w:val="right"/>
                          <w:rPr>
                            <w:b/>
                            <w:sz w:val="15"/>
                          </w:rPr>
                        </w:pPr>
                        <w:r>
                          <w:rPr>
                            <w:b/>
                            <w:w w:val="102"/>
                            <w:sz w:val="15"/>
                          </w:rPr>
                          <w:t>0</w:t>
                        </w:r>
                      </w:p>
                    </w:tc>
                  </w:tr>
                  <w:tr>
                    <w:trPr>
                      <w:trHeight w:val="175" w:hRule="atLeast"/>
                    </w:trPr>
                    <w:tc>
                      <w:tcPr>
                        <w:tcW w:w="921" w:type="dxa"/>
                      </w:tcPr>
                      <w:p>
                        <w:pPr>
                          <w:pStyle w:val="TableParagraph"/>
                          <w:spacing w:line="154" w:lineRule="exact" w:before="1"/>
                          <w:ind w:left="104" w:right="93"/>
                          <w:jc w:val="center"/>
                          <w:rPr>
                            <w:sz w:val="15"/>
                          </w:rPr>
                        </w:pPr>
                        <w:r>
                          <w:rPr>
                            <w:sz w:val="15"/>
                          </w:rPr>
                          <w:t>8.3.1.1</w:t>
                        </w:r>
                      </w:p>
                    </w:tc>
                    <w:tc>
                      <w:tcPr>
                        <w:tcW w:w="3201" w:type="dxa"/>
                      </w:tcPr>
                      <w:p>
                        <w:pPr>
                          <w:pStyle w:val="TableParagraph"/>
                          <w:spacing w:line="154" w:lineRule="exact" w:before="1"/>
                          <w:ind w:left="47"/>
                          <w:rPr>
                            <w:sz w:val="15"/>
                          </w:rPr>
                        </w:pPr>
                        <w:r>
                          <w:rPr>
                            <w:sz w:val="15"/>
                          </w:rPr>
                          <w:t>Derivados del Gobierno Federal</w:t>
                        </w:r>
                      </w:p>
                    </w:tc>
                    <w:tc>
                      <w:tcPr>
                        <w:tcW w:w="1261" w:type="dxa"/>
                      </w:tcPr>
                      <w:p>
                        <w:pPr>
                          <w:pStyle w:val="TableParagraph"/>
                          <w:spacing w:line="154" w:lineRule="exact" w:before="1"/>
                          <w:ind w:right="34"/>
                          <w:jc w:val="right"/>
                          <w:rPr>
                            <w:sz w:val="15"/>
                          </w:rPr>
                        </w:pPr>
                        <w:r>
                          <w:rPr>
                            <w:w w:val="102"/>
                            <w:sz w:val="15"/>
                          </w:rPr>
                          <w:t>0</w:t>
                        </w:r>
                      </w:p>
                    </w:tc>
                  </w:tr>
                  <w:tr>
                    <w:trPr>
                      <w:trHeight w:val="175" w:hRule="atLeast"/>
                    </w:trPr>
                    <w:tc>
                      <w:tcPr>
                        <w:tcW w:w="921" w:type="dxa"/>
                      </w:tcPr>
                      <w:p>
                        <w:pPr>
                          <w:pStyle w:val="TableParagraph"/>
                          <w:spacing w:line="154" w:lineRule="exact" w:before="2"/>
                          <w:ind w:left="104" w:right="93"/>
                          <w:jc w:val="center"/>
                          <w:rPr>
                            <w:sz w:val="15"/>
                          </w:rPr>
                        </w:pPr>
                        <w:r>
                          <w:rPr>
                            <w:sz w:val="15"/>
                          </w:rPr>
                          <w:t>8.3.1.2</w:t>
                        </w:r>
                      </w:p>
                    </w:tc>
                    <w:tc>
                      <w:tcPr>
                        <w:tcW w:w="3201" w:type="dxa"/>
                      </w:tcPr>
                      <w:p>
                        <w:pPr>
                          <w:pStyle w:val="TableParagraph"/>
                          <w:spacing w:line="154" w:lineRule="exact" w:before="2"/>
                          <w:ind w:left="47"/>
                          <w:rPr>
                            <w:sz w:val="15"/>
                          </w:rPr>
                        </w:pPr>
                        <w:r>
                          <w:rPr>
                            <w:sz w:val="15"/>
                          </w:rPr>
                          <w:t>Derivados del Gobierno Estatal</w:t>
                        </w:r>
                      </w:p>
                    </w:tc>
                    <w:tc>
                      <w:tcPr>
                        <w:tcW w:w="1261" w:type="dxa"/>
                      </w:tcPr>
                      <w:p>
                        <w:pPr>
                          <w:pStyle w:val="TableParagraph"/>
                          <w:spacing w:line="154" w:lineRule="exact" w:before="2"/>
                          <w:ind w:right="35"/>
                          <w:jc w:val="right"/>
                          <w:rPr>
                            <w:sz w:val="15"/>
                          </w:rPr>
                        </w:pPr>
                        <w:r>
                          <w:rPr>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8.3.1.9</w:t>
                        </w:r>
                      </w:p>
                    </w:tc>
                    <w:tc>
                      <w:tcPr>
                        <w:tcW w:w="3201" w:type="dxa"/>
                      </w:tcPr>
                      <w:p>
                        <w:pPr>
                          <w:pStyle w:val="TableParagraph"/>
                          <w:spacing w:line="154" w:lineRule="exact" w:before="2"/>
                          <w:ind w:left="47"/>
                          <w:rPr>
                            <w:sz w:val="15"/>
                          </w:rPr>
                        </w:pPr>
                        <w:r>
                          <w:rPr>
                            <w:sz w:val="15"/>
                          </w:rPr>
                          <w:t>Otros Convenios</w:t>
                        </w:r>
                      </w:p>
                    </w:tc>
                    <w:tc>
                      <w:tcPr>
                        <w:tcW w:w="1261" w:type="dxa"/>
                      </w:tcPr>
                      <w:p>
                        <w:pPr>
                          <w:pStyle w:val="TableParagraph"/>
                          <w:spacing w:line="154" w:lineRule="exact" w:before="2"/>
                          <w:ind w:right="34"/>
                          <w:jc w:val="right"/>
                          <w:rPr>
                            <w:sz w:val="15"/>
                          </w:rPr>
                        </w:pPr>
                        <w:r>
                          <w:rPr>
                            <w:w w:val="102"/>
                            <w:sz w:val="15"/>
                          </w:rPr>
                          <w:t>0</w:t>
                        </w:r>
                      </w:p>
                    </w:tc>
                  </w:tr>
                  <w:tr>
                    <w:trPr>
                      <w:trHeight w:val="352" w:hRule="atLeast"/>
                    </w:trPr>
                    <w:tc>
                      <w:tcPr>
                        <w:tcW w:w="921" w:type="dxa"/>
                      </w:tcPr>
                      <w:p>
                        <w:pPr>
                          <w:pStyle w:val="TableParagraph"/>
                          <w:spacing w:before="90"/>
                          <w:ind w:left="104" w:right="92"/>
                          <w:jc w:val="center"/>
                          <w:rPr>
                            <w:sz w:val="15"/>
                          </w:rPr>
                        </w:pPr>
                        <w:r>
                          <w:rPr>
                            <w:sz w:val="15"/>
                          </w:rPr>
                          <w:t>8.4</w:t>
                        </w:r>
                      </w:p>
                    </w:tc>
                    <w:tc>
                      <w:tcPr>
                        <w:tcW w:w="3201" w:type="dxa"/>
                      </w:tcPr>
                      <w:p>
                        <w:pPr>
                          <w:pStyle w:val="TableParagraph"/>
                          <w:spacing w:line="176" w:lineRule="exact" w:before="3"/>
                          <w:ind w:left="47"/>
                          <w:rPr>
                            <w:b/>
                            <w:sz w:val="15"/>
                          </w:rPr>
                        </w:pPr>
                        <w:r>
                          <w:rPr>
                            <w:b/>
                            <w:sz w:val="15"/>
                          </w:rPr>
                          <w:t>INCENTIVOS DERIVADOS DE LA COLABORACION FISCAL</w:t>
                        </w:r>
                      </w:p>
                    </w:tc>
                    <w:tc>
                      <w:tcPr>
                        <w:tcW w:w="1261" w:type="dxa"/>
                      </w:tcPr>
                      <w:p>
                        <w:pPr>
                          <w:pStyle w:val="TableParagraph"/>
                          <w:spacing w:before="91"/>
                          <w:ind w:right="34"/>
                          <w:jc w:val="right"/>
                          <w:rPr>
                            <w:b/>
                            <w:sz w:val="15"/>
                          </w:rPr>
                        </w:pPr>
                        <w:r>
                          <w:rPr>
                            <w:b/>
                            <w:w w:val="102"/>
                            <w:sz w:val="15"/>
                          </w:rPr>
                          <w:t>0</w:t>
                        </w:r>
                      </w:p>
                    </w:tc>
                  </w:tr>
                  <w:tr>
                    <w:trPr>
                      <w:trHeight w:val="173" w:hRule="atLeast"/>
                    </w:trPr>
                    <w:tc>
                      <w:tcPr>
                        <w:tcW w:w="921" w:type="dxa"/>
                      </w:tcPr>
                      <w:p>
                        <w:pPr>
                          <w:pStyle w:val="TableParagraph"/>
                          <w:spacing w:line="154" w:lineRule="exact"/>
                          <w:ind w:left="104" w:right="92"/>
                          <w:jc w:val="center"/>
                          <w:rPr>
                            <w:sz w:val="15"/>
                          </w:rPr>
                        </w:pPr>
                        <w:r>
                          <w:rPr>
                            <w:sz w:val="15"/>
                          </w:rPr>
                          <w:t>8.5</w:t>
                        </w:r>
                      </w:p>
                    </w:tc>
                    <w:tc>
                      <w:tcPr>
                        <w:tcW w:w="3201" w:type="dxa"/>
                      </w:tcPr>
                      <w:p>
                        <w:pPr>
                          <w:pStyle w:val="TableParagraph"/>
                          <w:spacing w:line="153" w:lineRule="exact" w:before="1"/>
                          <w:ind w:left="47"/>
                          <w:rPr>
                            <w:b/>
                            <w:sz w:val="15"/>
                          </w:rPr>
                        </w:pPr>
                        <w:r>
                          <w:rPr>
                            <w:b/>
                            <w:sz w:val="15"/>
                          </w:rPr>
                          <w:t>FONDOS DISTINTOS DE APORTACIONES</w:t>
                        </w:r>
                      </w:p>
                    </w:tc>
                    <w:tc>
                      <w:tcPr>
                        <w:tcW w:w="1261" w:type="dxa"/>
                      </w:tcPr>
                      <w:p>
                        <w:pPr>
                          <w:pStyle w:val="TableParagraph"/>
                          <w:spacing w:line="153" w:lineRule="exact" w:before="1"/>
                          <w:ind w:right="34"/>
                          <w:jc w:val="right"/>
                          <w:rPr>
                            <w:b/>
                            <w:sz w:val="15"/>
                          </w:rPr>
                        </w:pPr>
                        <w:r>
                          <w:rPr>
                            <w:b/>
                            <w:w w:val="102"/>
                            <w:sz w:val="15"/>
                          </w:rPr>
                          <w:t>0</w:t>
                        </w:r>
                      </w:p>
                    </w:tc>
                  </w:tr>
                </w:tbl>
                <w:p>
                  <w:pPr>
                    <w:pStyle w:val="BodyText"/>
                  </w:pPr>
                </w:p>
              </w:txbxContent>
            </v:textbox>
            <w10:wrap type="none"/>
          </v:shape>
        </w:pict>
      </w:r>
      <w:r>
        <w:rPr/>
        <w:pict>
          <v:shape style="position:absolute;margin-left:793.700012pt;margin-top:-150.95668pt;width:270.1pt;height:253.35pt;mso-position-horizontal-relative:page;mso-position-vertical-relative:paragraph;z-index:25169100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1"/>
                    <w:gridCol w:w="3201"/>
                    <w:gridCol w:w="1261"/>
                  </w:tblGrid>
                  <w:tr>
                    <w:trPr>
                      <w:trHeight w:val="530" w:hRule="atLeast"/>
                    </w:trPr>
                    <w:tc>
                      <w:tcPr>
                        <w:tcW w:w="921" w:type="dxa"/>
                        <w:tcBorders>
                          <w:top w:val="nil"/>
                        </w:tcBorders>
                      </w:tcPr>
                      <w:p>
                        <w:pPr>
                          <w:pStyle w:val="TableParagraph"/>
                          <w:rPr>
                            <w:rFonts w:ascii="Times New Roman"/>
                            <w:sz w:val="14"/>
                          </w:rPr>
                        </w:pPr>
                      </w:p>
                    </w:tc>
                    <w:tc>
                      <w:tcPr>
                        <w:tcW w:w="3201" w:type="dxa"/>
                        <w:tcBorders>
                          <w:top w:val="nil"/>
                        </w:tcBorders>
                      </w:tcPr>
                      <w:p>
                        <w:pPr>
                          <w:pStyle w:val="TableParagraph"/>
                          <w:rPr>
                            <w:rFonts w:ascii="Times New Roman"/>
                            <w:sz w:val="14"/>
                          </w:rPr>
                        </w:pPr>
                      </w:p>
                    </w:tc>
                    <w:tc>
                      <w:tcPr>
                        <w:tcW w:w="1261" w:type="dxa"/>
                        <w:tcBorders>
                          <w:top w:val="nil"/>
                        </w:tcBorders>
                      </w:tcPr>
                      <w:p>
                        <w:pPr>
                          <w:pStyle w:val="TableParagraph"/>
                          <w:rPr>
                            <w:rFonts w:ascii="Times New Roman"/>
                            <w:sz w:val="14"/>
                          </w:rPr>
                        </w:pPr>
                      </w:p>
                    </w:tc>
                  </w:tr>
                  <w:tr>
                    <w:trPr>
                      <w:trHeight w:val="176" w:hRule="atLeast"/>
                    </w:trPr>
                    <w:tc>
                      <w:tcPr>
                        <w:tcW w:w="921" w:type="dxa"/>
                      </w:tcPr>
                      <w:p>
                        <w:pPr>
                          <w:pStyle w:val="TableParagraph"/>
                          <w:spacing w:line="154" w:lineRule="exact" w:before="2"/>
                          <w:ind w:left="104" w:right="92"/>
                          <w:jc w:val="center"/>
                          <w:rPr>
                            <w:sz w:val="15"/>
                          </w:rPr>
                        </w:pPr>
                        <w:r>
                          <w:rPr>
                            <w:sz w:val="15"/>
                          </w:rPr>
                          <w:t>9.1</w:t>
                        </w:r>
                      </w:p>
                    </w:tc>
                    <w:tc>
                      <w:tcPr>
                        <w:tcW w:w="3201" w:type="dxa"/>
                      </w:tcPr>
                      <w:p>
                        <w:pPr>
                          <w:pStyle w:val="TableParagraph"/>
                          <w:spacing w:line="153" w:lineRule="exact" w:before="3"/>
                          <w:ind w:left="47"/>
                          <w:rPr>
                            <w:b/>
                            <w:sz w:val="15"/>
                          </w:rPr>
                        </w:pPr>
                        <w:r>
                          <w:rPr>
                            <w:b/>
                            <w:sz w:val="15"/>
                          </w:rPr>
                          <w:t>TRANSFERENCIAS Y ASIGNACIONES</w:t>
                        </w:r>
                      </w:p>
                    </w:tc>
                    <w:tc>
                      <w:tcPr>
                        <w:tcW w:w="1261" w:type="dxa"/>
                      </w:tcPr>
                      <w:p>
                        <w:pPr>
                          <w:pStyle w:val="TableParagraph"/>
                          <w:spacing w:line="153" w:lineRule="exact" w:before="3"/>
                          <w:ind w:right="34"/>
                          <w:jc w:val="right"/>
                          <w:rPr>
                            <w:b/>
                            <w:sz w:val="15"/>
                          </w:rPr>
                        </w:pPr>
                        <w:r>
                          <w:rPr>
                            <w:b/>
                            <w:w w:val="102"/>
                            <w:sz w:val="15"/>
                          </w:rPr>
                          <w:t>0</w:t>
                        </w:r>
                      </w:p>
                    </w:tc>
                  </w:tr>
                  <w:tr>
                    <w:trPr>
                      <w:trHeight w:val="352" w:hRule="atLeast"/>
                    </w:trPr>
                    <w:tc>
                      <w:tcPr>
                        <w:tcW w:w="921" w:type="dxa"/>
                      </w:tcPr>
                      <w:p>
                        <w:pPr>
                          <w:pStyle w:val="TableParagraph"/>
                          <w:spacing w:before="90"/>
                          <w:ind w:left="104" w:right="93"/>
                          <w:jc w:val="center"/>
                          <w:rPr>
                            <w:sz w:val="15"/>
                          </w:rPr>
                        </w:pPr>
                        <w:r>
                          <w:rPr>
                            <w:sz w:val="15"/>
                          </w:rPr>
                          <w:t>9.1.1</w:t>
                        </w:r>
                      </w:p>
                    </w:tc>
                    <w:tc>
                      <w:tcPr>
                        <w:tcW w:w="3201" w:type="dxa"/>
                      </w:tcPr>
                      <w:p>
                        <w:pPr>
                          <w:pStyle w:val="TableParagraph"/>
                          <w:spacing w:line="176" w:lineRule="exact" w:before="3"/>
                          <w:ind w:left="47"/>
                          <w:rPr>
                            <w:b/>
                            <w:sz w:val="15"/>
                          </w:rPr>
                        </w:pPr>
                        <w:r>
                          <w:rPr>
                            <w:b/>
                            <w:sz w:val="15"/>
                          </w:rPr>
                          <w:t>Transferencias internas y asignaciones al sector público</w:t>
                        </w:r>
                      </w:p>
                    </w:tc>
                    <w:tc>
                      <w:tcPr>
                        <w:tcW w:w="1261" w:type="dxa"/>
                      </w:tcPr>
                      <w:p>
                        <w:pPr>
                          <w:pStyle w:val="TableParagraph"/>
                          <w:spacing w:before="91"/>
                          <w:ind w:right="34"/>
                          <w:jc w:val="right"/>
                          <w:rPr>
                            <w:b/>
                            <w:sz w:val="15"/>
                          </w:rPr>
                        </w:pPr>
                        <w:r>
                          <w:rPr>
                            <w:b/>
                            <w:w w:val="102"/>
                            <w:sz w:val="15"/>
                          </w:rPr>
                          <w:t>0</w:t>
                        </w:r>
                      </w:p>
                    </w:tc>
                  </w:tr>
                  <w:tr>
                    <w:trPr>
                      <w:trHeight w:val="351" w:hRule="atLeast"/>
                    </w:trPr>
                    <w:tc>
                      <w:tcPr>
                        <w:tcW w:w="921" w:type="dxa"/>
                      </w:tcPr>
                      <w:p>
                        <w:pPr>
                          <w:pStyle w:val="TableParagraph"/>
                          <w:spacing w:before="88"/>
                          <w:ind w:left="104" w:right="93"/>
                          <w:jc w:val="center"/>
                          <w:rPr>
                            <w:sz w:val="15"/>
                          </w:rPr>
                        </w:pPr>
                        <w:r>
                          <w:rPr>
                            <w:sz w:val="15"/>
                          </w:rPr>
                          <w:t>9.1.1.1</w:t>
                        </w:r>
                      </w:p>
                    </w:tc>
                    <w:tc>
                      <w:tcPr>
                        <w:tcW w:w="3201" w:type="dxa"/>
                      </w:tcPr>
                      <w:p>
                        <w:pPr>
                          <w:pStyle w:val="TableParagraph"/>
                          <w:ind w:left="47"/>
                          <w:rPr>
                            <w:sz w:val="15"/>
                          </w:rPr>
                        </w:pPr>
                        <w:r>
                          <w:rPr>
                            <w:sz w:val="15"/>
                          </w:rPr>
                          <w:t>Transferencias internas y asignaciones al</w:t>
                        </w:r>
                      </w:p>
                      <w:p>
                        <w:pPr>
                          <w:pStyle w:val="TableParagraph"/>
                          <w:spacing w:line="154" w:lineRule="exact" w:before="4"/>
                          <w:ind w:left="47"/>
                          <w:rPr>
                            <w:sz w:val="15"/>
                          </w:rPr>
                        </w:pPr>
                        <w:r>
                          <w:rPr>
                            <w:sz w:val="15"/>
                          </w:rPr>
                          <w:t>sector público</w:t>
                        </w:r>
                      </w:p>
                    </w:tc>
                    <w:tc>
                      <w:tcPr>
                        <w:tcW w:w="1261" w:type="dxa"/>
                      </w:tcPr>
                      <w:p>
                        <w:pPr>
                          <w:pStyle w:val="TableParagraph"/>
                          <w:spacing w:before="88"/>
                          <w:ind w:right="34"/>
                          <w:jc w:val="right"/>
                          <w:rPr>
                            <w:sz w:val="15"/>
                          </w:rPr>
                        </w:pPr>
                        <w:r>
                          <w:rPr>
                            <w:w w:val="102"/>
                            <w:sz w:val="15"/>
                          </w:rPr>
                          <w:t>0</w:t>
                        </w:r>
                      </w:p>
                    </w:tc>
                  </w:tr>
                  <w:tr>
                    <w:trPr>
                      <w:trHeight w:val="175" w:hRule="atLeast"/>
                    </w:trPr>
                    <w:tc>
                      <w:tcPr>
                        <w:tcW w:w="921" w:type="dxa"/>
                      </w:tcPr>
                      <w:p>
                        <w:pPr>
                          <w:pStyle w:val="TableParagraph"/>
                          <w:spacing w:line="154" w:lineRule="exact" w:before="1"/>
                          <w:ind w:left="104" w:right="92"/>
                          <w:jc w:val="center"/>
                          <w:rPr>
                            <w:sz w:val="15"/>
                          </w:rPr>
                        </w:pPr>
                        <w:r>
                          <w:rPr>
                            <w:sz w:val="15"/>
                          </w:rPr>
                          <w:t>9.3</w:t>
                        </w:r>
                      </w:p>
                    </w:tc>
                    <w:tc>
                      <w:tcPr>
                        <w:tcW w:w="3201" w:type="dxa"/>
                      </w:tcPr>
                      <w:p>
                        <w:pPr>
                          <w:pStyle w:val="TableParagraph"/>
                          <w:spacing w:line="153" w:lineRule="exact" w:before="2"/>
                          <w:ind w:left="47"/>
                          <w:rPr>
                            <w:b/>
                            <w:sz w:val="15"/>
                          </w:rPr>
                        </w:pPr>
                        <w:r>
                          <w:rPr>
                            <w:b/>
                            <w:sz w:val="15"/>
                          </w:rPr>
                          <w:t>SUBSIDIOS Y SUBVENCIONES</w:t>
                        </w:r>
                      </w:p>
                    </w:tc>
                    <w:tc>
                      <w:tcPr>
                        <w:tcW w:w="1261" w:type="dxa"/>
                      </w:tcPr>
                      <w:p>
                        <w:pPr>
                          <w:pStyle w:val="TableParagraph"/>
                          <w:spacing w:line="153" w:lineRule="exact" w:before="2"/>
                          <w:ind w:right="34"/>
                          <w:jc w:val="right"/>
                          <w:rPr>
                            <w:b/>
                            <w:sz w:val="15"/>
                          </w:rPr>
                        </w:pPr>
                        <w:r>
                          <w:rPr>
                            <w:b/>
                            <w:w w:val="102"/>
                            <w:sz w:val="15"/>
                          </w:rPr>
                          <w:t>0</w:t>
                        </w:r>
                      </w:p>
                    </w:tc>
                  </w:tr>
                  <w:tr>
                    <w:trPr>
                      <w:trHeight w:val="175" w:hRule="atLeast"/>
                    </w:trPr>
                    <w:tc>
                      <w:tcPr>
                        <w:tcW w:w="921" w:type="dxa"/>
                      </w:tcPr>
                      <w:p>
                        <w:pPr>
                          <w:pStyle w:val="TableParagraph"/>
                          <w:spacing w:line="154" w:lineRule="exact" w:before="2"/>
                          <w:ind w:left="104" w:right="93"/>
                          <w:jc w:val="center"/>
                          <w:rPr>
                            <w:sz w:val="15"/>
                          </w:rPr>
                        </w:pPr>
                        <w:r>
                          <w:rPr>
                            <w:sz w:val="15"/>
                          </w:rPr>
                          <w:t>9.3.1</w:t>
                        </w:r>
                      </w:p>
                    </w:tc>
                    <w:tc>
                      <w:tcPr>
                        <w:tcW w:w="3201" w:type="dxa"/>
                      </w:tcPr>
                      <w:p>
                        <w:pPr>
                          <w:pStyle w:val="TableParagraph"/>
                          <w:spacing w:line="153" w:lineRule="exact" w:before="3"/>
                          <w:ind w:left="47"/>
                          <w:rPr>
                            <w:b/>
                            <w:sz w:val="15"/>
                          </w:rPr>
                        </w:pPr>
                        <w:r>
                          <w:rPr>
                            <w:b/>
                            <w:sz w:val="15"/>
                          </w:rPr>
                          <w:t>Subsidio</w:t>
                        </w:r>
                      </w:p>
                    </w:tc>
                    <w:tc>
                      <w:tcPr>
                        <w:tcW w:w="1261" w:type="dxa"/>
                      </w:tcPr>
                      <w:p>
                        <w:pPr>
                          <w:pStyle w:val="TableParagraph"/>
                          <w:spacing w:line="153" w:lineRule="exact" w:before="3"/>
                          <w:ind w:right="35"/>
                          <w:jc w:val="right"/>
                          <w:rPr>
                            <w:b/>
                            <w:sz w:val="15"/>
                          </w:rPr>
                        </w:pPr>
                        <w:r>
                          <w:rPr>
                            <w:b/>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9.3.1.1</w:t>
                        </w:r>
                      </w:p>
                    </w:tc>
                    <w:tc>
                      <w:tcPr>
                        <w:tcW w:w="3201" w:type="dxa"/>
                      </w:tcPr>
                      <w:p>
                        <w:pPr>
                          <w:pStyle w:val="TableParagraph"/>
                          <w:spacing w:line="154" w:lineRule="exact" w:before="2"/>
                          <w:ind w:left="47"/>
                          <w:rPr>
                            <w:sz w:val="15"/>
                          </w:rPr>
                        </w:pPr>
                        <w:r>
                          <w:rPr>
                            <w:sz w:val="15"/>
                          </w:rPr>
                          <w:t>Subsidio</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2"/>
                          <w:ind w:left="104" w:right="93"/>
                          <w:jc w:val="center"/>
                          <w:rPr>
                            <w:sz w:val="15"/>
                          </w:rPr>
                        </w:pPr>
                        <w:r>
                          <w:rPr>
                            <w:sz w:val="15"/>
                          </w:rPr>
                          <w:t>9.3.2</w:t>
                        </w:r>
                      </w:p>
                    </w:tc>
                    <w:tc>
                      <w:tcPr>
                        <w:tcW w:w="3201" w:type="dxa"/>
                      </w:tcPr>
                      <w:p>
                        <w:pPr>
                          <w:pStyle w:val="TableParagraph"/>
                          <w:spacing w:line="153" w:lineRule="exact" w:before="3"/>
                          <w:ind w:left="47"/>
                          <w:rPr>
                            <w:b/>
                            <w:sz w:val="15"/>
                          </w:rPr>
                        </w:pPr>
                        <w:r>
                          <w:rPr>
                            <w:b/>
                            <w:sz w:val="15"/>
                          </w:rPr>
                          <w:t>Subvenciones</w:t>
                        </w:r>
                      </w:p>
                    </w:tc>
                    <w:tc>
                      <w:tcPr>
                        <w:tcW w:w="1261" w:type="dxa"/>
                      </w:tcPr>
                      <w:p>
                        <w:pPr>
                          <w:pStyle w:val="TableParagraph"/>
                          <w:spacing w:line="153" w:lineRule="exact" w:before="3"/>
                          <w:ind w:right="34"/>
                          <w:jc w:val="right"/>
                          <w:rPr>
                            <w:b/>
                            <w:sz w:val="15"/>
                          </w:rPr>
                        </w:pPr>
                        <w:r>
                          <w:rPr>
                            <w:b/>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9.3.2.1</w:t>
                        </w:r>
                      </w:p>
                    </w:tc>
                    <w:tc>
                      <w:tcPr>
                        <w:tcW w:w="3201" w:type="dxa"/>
                      </w:tcPr>
                      <w:p>
                        <w:pPr>
                          <w:pStyle w:val="TableParagraph"/>
                          <w:spacing w:line="154" w:lineRule="exact" w:before="2"/>
                          <w:ind w:left="47"/>
                          <w:rPr>
                            <w:sz w:val="15"/>
                          </w:rPr>
                        </w:pPr>
                        <w:r>
                          <w:rPr>
                            <w:sz w:val="15"/>
                          </w:rPr>
                          <w:t>Subvenciones</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2"/>
                          <w:ind w:left="104" w:right="92"/>
                          <w:jc w:val="center"/>
                          <w:rPr>
                            <w:sz w:val="15"/>
                          </w:rPr>
                        </w:pPr>
                        <w:r>
                          <w:rPr>
                            <w:sz w:val="15"/>
                          </w:rPr>
                          <w:t>9.5</w:t>
                        </w:r>
                      </w:p>
                    </w:tc>
                    <w:tc>
                      <w:tcPr>
                        <w:tcW w:w="3201" w:type="dxa"/>
                      </w:tcPr>
                      <w:p>
                        <w:pPr>
                          <w:pStyle w:val="TableParagraph"/>
                          <w:spacing w:line="153" w:lineRule="exact" w:before="3"/>
                          <w:ind w:left="47"/>
                          <w:rPr>
                            <w:b/>
                            <w:sz w:val="15"/>
                          </w:rPr>
                        </w:pPr>
                        <w:r>
                          <w:rPr>
                            <w:b/>
                            <w:sz w:val="15"/>
                          </w:rPr>
                          <w:t>PENSIONES Y JUBILACIONES</w:t>
                        </w:r>
                      </w:p>
                    </w:tc>
                    <w:tc>
                      <w:tcPr>
                        <w:tcW w:w="1261" w:type="dxa"/>
                      </w:tcPr>
                      <w:p>
                        <w:pPr>
                          <w:pStyle w:val="TableParagraph"/>
                          <w:spacing w:line="153" w:lineRule="exact" w:before="3"/>
                          <w:ind w:right="34"/>
                          <w:jc w:val="right"/>
                          <w:rPr>
                            <w:b/>
                            <w:sz w:val="15"/>
                          </w:rPr>
                        </w:pPr>
                        <w:r>
                          <w:rPr>
                            <w:b/>
                            <w:w w:val="102"/>
                            <w:sz w:val="15"/>
                          </w:rPr>
                          <w:t>0</w:t>
                        </w:r>
                      </w:p>
                    </w:tc>
                  </w:tr>
                  <w:tr>
                    <w:trPr>
                      <w:trHeight w:val="530" w:hRule="atLeast"/>
                    </w:trPr>
                    <w:tc>
                      <w:tcPr>
                        <w:tcW w:w="921" w:type="dxa"/>
                      </w:tcPr>
                      <w:p>
                        <w:pPr>
                          <w:pStyle w:val="TableParagraph"/>
                          <w:spacing w:before="6"/>
                          <w:rPr>
                            <w:sz w:val="15"/>
                          </w:rPr>
                        </w:pPr>
                      </w:p>
                      <w:p>
                        <w:pPr>
                          <w:pStyle w:val="TableParagraph"/>
                          <w:spacing w:before="1"/>
                          <w:ind w:left="104" w:right="92"/>
                          <w:jc w:val="center"/>
                          <w:rPr>
                            <w:sz w:val="15"/>
                          </w:rPr>
                        </w:pPr>
                        <w:r>
                          <w:rPr>
                            <w:sz w:val="15"/>
                          </w:rPr>
                          <w:t>9.7</w:t>
                        </w:r>
                      </w:p>
                    </w:tc>
                    <w:tc>
                      <w:tcPr>
                        <w:tcW w:w="3201" w:type="dxa"/>
                      </w:tcPr>
                      <w:p>
                        <w:pPr>
                          <w:pStyle w:val="TableParagraph"/>
                          <w:spacing w:line="178" w:lineRule="exact" w:before="1"/>
                          <w:ind w:left="47" w:right="165"/>
                          <w:rPr>
                            <w:b/>
                            <w:sz w:val="15"/>
                          </w:rPr>
                        </w:pPr>
                        <w:r>
                          <w:rPr>
                            <w:b/>
                            <w:sz w:val="15"/>
                          </w:rPr>
                          <w:t>TRANSFERENCIAS DEL FONDO MEXICANO DEL PETROLEO PARA LA ESTABILIZACION Y EL DESARROLLO</w:t>
                        </w:r>
                      </w:p>
                    </w:tc>
                    <w:tc>
                      <w:tcPr>
                        <w:tcW w:w="1261" w:type="dxa"/>
                      </w:tcPr>
                      <w:p>
                        <w:pPr>
                          <w:pStyle w:val="TableParagraph"/>
                          <w:spacing w:before="7"/>
                          <w:rPr>
                            <w:sz w:val="15"/>
                          </w:rPr>
                        </w:pPr>
                      </w:p>
                      <w:p>
                        <w:pPr>
                          <w:pStyle w:val="TableParagraph"/>
                          <w:spacing w:before="1"/>
                          <w:ind w:right="34"/>
                          <w:jc w:val="right"/>
                          <w:rPr>
                            <w:b/>
                            <w:sz w:val="15"/>
                          </w:rPr>
                        </w:pPr>
                        <w:r>
                          <w:rPr>
                            <w:b/>
                            <w:w w:val="102"/>
                            <w:sz w:val="15"/>
                          </w:rPr>
                          <w:t>0</w:t>
                        </w:r>
                      </w:p>
                    </w:tc>
                  </w:tr>
                  <w:tr>
                    <w:trPr>
                      <w:trHeight w:val="348" w:hRule="atLeast"/>
                    </w:trPr>
                    <w:tc>
                      <w:tcPr>
                        <w:tcW w:w="921" w:type="dxa"/>
                      </w:tcPr>
                      <w:p>
                        <w:pPr>
                          <w:pStyle w:val="TableParagraph"/>
                          <w:rPr>
                            <w:rFonts w:ascii="Times New Roman"/>
                            <w:sz w:val="14"/>
                          </w:rPr>
                        </w:pPr>
                      </w:p>
                    </w:tc>
                    <w:tc>
                      <w:tcPr>
                        <w:tcW w:w="3201" w:type="dxa"/>
                      </w:tcPr>
                      <w:p>
                        <w:pPr>
                          <w:pStyle w:val="TableParagraph"/>
                          <w:rPr>
                            <w:rFonts w:ascii="Times New Roman"/>
                            <w:sz w:val="14"/>
                          </w:rPr>
                        </w:pPr>
                      </w:p>
                    </w:tc>
                    <w:tc>
                      <w:tcPr>
                        <w:tcW w:w="1261" w:type="dxa"/>
                      </w:tcPr>
                      <w:p>
                        <w:pPr>
                          <w:pStyle w:val="TableParagraph"/>
                          <w:rPr>
                            <w:rFonts w:ascii="Times New Roman"/>
                            <w:sz w:val="14"/>
                          </w:rPr>
                        </w:pPr>
                      </w:p>
                    </w:tc>
                  </w:tr>
                  <w:tr>
                    <w:trPr>
                      <w:trHeight w:val="175" w:hRule="atLeast"/>
                    </w:trPr>
                    <w:tc>
                      <w:tcPr>
                        <w:tcW w:w="921" w:type="dxa"/>
                      </w:tcPr>
                      <w:p>
                        <w:pPr>
                          <w:pStyle w:val="TableParagraph"/>
                          <w:spacing w:line="154" w:lineRule="exact" w:before="1"/>
                          <w:ind w:left="104" w:right="92"/>
                          <w:jc w:val="center"/>
                          <w:rPr>
                            <w:sz w:val="15"/>
                          </w:rPr>
                        </w:pPr>
                        <w:r>
                          <w:rPr>
                            <w:sz w:val="15"/>
                          </w:rPr>
                          <w:t>10.1</w:t>
                        </w:r>
                      </w:p>
                    </w:tc>
                    <w:tc>
                      <w:tcPr>
                        <w:tcW w:w="3201" w:type="dxa"/>
                      </w:tcPr>
                      <w:p>
                        <w:pPr>
                          <w:pStyle w:val="TableParagraph"/>
                          <w:spacing w:line="153" w:lineRule="exact" w:before="2"/>
                          <w:ind w:left="47"/>
                          <w:rPr>
                            <w:b/>
                            <w:sz w:val="15"/>
                          </w:rPr>
                        </w:pPr>
                        <w:r>
                          <w:rPr>
                            <w:b/>
                            <w:sz w:val="15"/>
                          </w:rPr>
                          <w:t>ENDEUDAMIENTO INTERNO</w:t>
                        </w:r>
                      </w:p>
                    </w:tc>
                    <w:tc>
                      <w:tcPr>
                        <w:tcW w:w="1261" w:type="dxa"/>
                      </w:tcPr>
                      <w:p>
                        <w:pPr>
                          <w:pStyle w:val="TableParagraph"/>
                          <w:spacing w:line="153" w:lineRule="exact" w:before="2"/>
                          <w:ind w:right="34"/>
                          <w:jc w:val="right"/>
                          <w:rPr>
                            <w:b/>
                            <w:sz w:val="15"/>
                          </w:rPr>
                        </w:pPr>
                        <w:r>
                          <w:rPr>
                            <w:b/>
                            <w:w w:val="102"/>
                            <w:sz w:val="15"/>
                          </w:rPr>
                          <w:t>0</w:t>
                        </w:r>
                      </w:p>
                    </w:tc>
                  </w:tr>
                  <w:tr>
                    <w:trPr>
                      <w:trHeight w:val="176" w:hRule="atLeast"/>
                    </w:trPr>
                    <w:tc>
                      <w:tcPr>
                        <w:tcW w:w="921" w:type="dxa"/>
                      </w:tcPr>
                      <w:p>
                        <w:pPr>
                          <w:pStyle w:val="TableParagraph"/>
                          <w:spacing w:line="154" w:lineRule="exact" w:before="2"/>
                          <w:ind w:left="104" w:right="93"/>
                          <w:jc w:val="center"/>
                          <w:rPr>
                            <w:sz w:val="15"/>
                          </w:rPr>
                        </w:pPr>
                        <w:r>
                          <w:rPr>
                            <w:sz w:val="15"/>
                          </w:rPr>
                          <w:t>10.1.0.1</w:t>
                        </w:r>
                      </w:p>
                    </w:tc>
                    <w:tc>
                      <w:tcPr>
                        <w:tcW w:w="3201" w:type="dxa"/>
                      </w:tcPr>
                      <w:p>
                        <w:pPr>
                          <w:pStyle w:val="TableParagraph"/>
                          <w:spacing w:line="153" w:lineRule="exact" w:before="3"/>
                          <w:ind w:left="47"/>
                          <w:rPr>
                            <w:b/>
                            <w:sz w:val="15"/>
                          </w:rPr>
                        </w:pPr>
                        <w:r>
                          <w:rPr>
                            <w:b/>
                            <w:sz w:val="15"/>
                          </w:rPr>
                          <w:t>Financiamientos</w:t>
                        </w:r>
                      </w:p>
                    </w:tc>
                    <w:tc>
                      <w:tcPr>
                        <w:tcW w:w="1261" w:type="dxa"/>
                      </w:tcPr>
                      <w:p>
                        <w:pPr>
                          <w:pStyle w:val="TableParagraph"/>
                          <w:spacing w:line="153" w:lineRule="exact" w:before="3"/>
                          <w:ind w:right="34"/>
                          <w:jc w:val="right"/>
                          <w:rPr>
                            <w:b/>
                            <w:sz w:val="15"/>
                          </w:rPr>
                        </w:pPr>
                        <w:r>
                          <w:rPr>
                            <w:b/>
                            <w:w w:val="102"/>
                            <w:sz w:val="15"/>
                          </w:rPr>
                          <w:t>0</w:t>
                        </w:r>
                      </w:p>
                    </w:tc>
                  </w:tr>
                  <w:tr>
                    <w:trPr>
                      <w:trHeight w:val="175" w:hRule="atLeast"/>
                    </w:trPr>
                    <w:tc>
                      <w:tcPr>
                        <w:tcW w:w="921" w:type="dxa"/>
                      </w:tcPr>
                      <w:p>
                        <w:pPr>
                          <w:pStyle w:val="TableParagraph"/>
                          <w:spacing w:line="154" w:lineRule="exact" w:before="1"/>
                          <w:ind w:left="104" w:right="92"/>
                          <w:jc w:val="center"/>
                          <w:rPr>
                            <w:sz w:val="15"/>
                          </w:rPr>
                        </w:pPr>
                        <w:r>
                          <w:rPr>
                            <w:sz w:val="15"/>
                          </w:rPr>
                          <w:t>10.1.0.1.1</w:t>
                        </w:r>
                      </w:p>
                    </w:tc>
                    <w:tc>
                      <w:tcPr>
                        <w:tcW w:w="3201" w:type="dxa"/>
                      </w:tcPr>
                      <w:p>
                        <w:pPr>
                          <w:pStyle w:val="TableParagraph"/>
                          <w:spacing w:line="154" w:lineRule="exact" w:before="1"/>
                          <w:ind w:left="47"/>
                          <w:rPr>
                            <w:sz w:val="15"/>
                          </w:rPr>
                        </w:pPr>
                        <w:r>
                          <w:rPr>
                            <w:sz w:val="15"/>
                          </w:rPr>
                          <w:t>Banca oficial</w:t>
                        </w:r>
                      </w:p>
                    </w:tc>
                    <w:tc>
                      <w:tcPr>
                        <w:tcW w:w="1261" w:type="dxa"/>
                      </w:tcPr>
                      <w:p>
                        <w:pPr>
                          <w:pStyle w:val="TableParagraph"/>
                          <w:spacing w:line="154" w:lineRule="exact" w:before="1"/>
                          <w:ind w:right="34"/>
                          <w:jc w:val="right"/>
                          <w:rPr>
                            <w:sz w:val="15"/>
                          </w:rPr>
                        </w:pPr>
                        <w:r>
                          <w:rPr>
                            <w:w w:val="102"/>
                            <w:sz w:val="15"/>
                          </w:rPr>
                          <w:t>0</w:t>
                        </w:r>
                      </w:p>
                    </w:tc>
                  </w:tr>
                  <w:tr>
                    <w:trPr>
                      <w:trHeight w:val="176" w:hRule="atLeast"/>
                    </w:trPr>
                    <w:tc>
                      <w:tcPr>
                        <w:tcW w:w="921" w:type="dxa"/>
                      </w:tcPr>
                      <w:p>
                        <w:pPr>
                          <w:pStyle w:val="TableParagraph"/>
                          <w:spacing w:line="154" w:lineRule="exact" w:before="2"/>
                          <w:ind w:left="104" w:right="92"/>
                          <w:jc w:val="center"/>
                          <w:rPr>
                            <w:sz w:val="15"/>
                          </w:rPr>
                        </w:pPr>
                        <w:r>
                          <w:rPr>
                            <w:sz w:val="15"/>
                          </w:rPr>
                          <w:t>10.1.0.1.2</w:t>
                        </w:r>
                      </w:p>
                    </w:tc>
                    <w:tc>
                      <w:tcPr>
                        <w:tcW w:w="3201" w:type="dxa"/>
                      </w:tcPr>
                      <w:p>
                        <w:pPr>
                          <w:pStyle w:val="TableParagraph"/>
                          <w:spacing w:line="154" w:lineRule="exact" w:before="2"/>
                          <w:ind w:left="47"/>
                          <w:rPr>
                            <w:sz w:val="15"/>
                          </w:rPr>
                        </w:pPr>
                        <w:r>
                          <w:rPr>
                            <w:sz w:val="15"/>
                          </w:rPr>
                          <w:t>Banca comercial</w:t>
                        </w:r>
                      </w:p>
                    </w:tc>
                    <w:tc>
                      <w:tcPr>
                        <w:tcW w:w="1261" w:type="dxa"/>
                      </w:tcPr>
                      <w:p>
                        <w:pPr>
                          <w:pStyle w:val="TableParagraph"/>
                          <w:spacing w:line="154" w:lineRule="exact" w:before="2"/>
                          <w:ind w:right="35"/>
                          <w:jc w:val="right"/>
                          <w:rPr>
                            <w:sz w:val="15"/>
                          </w:rPr>
                        </w:pPr>
                        <w:r>
                          <w:rPr>
                            <w:w w:val="102"/>
                            <w:sz w:val="15"/>
                          </w:rPr>
                          <w:t>0</w:t>
                        </w:r>
                      </w:p>
                    </w:tc>
                  </w:tr>
                  <w:tr>
                    <w:trPr>
                      <w:trHeight w:val="175" w:hRule="atLeast"/>
                    </w:trPr>
                    <w:tc>
                      <w:tcPr>
                        <w:tcW w:w="921" w:type="dxa"/>
                      </w:tcPr>
                      <w:p>
                        <w:pPr>
                          <w:pStyle w:val="TableParagraph"/>
                          <w:spacing w:line="154" w:lineRule="exact" w:before="1"/>
                          <w:ind w:left="103" w:right="93"/>
                          <w:jc w:val="center"/>
                          <w:rPr>
                            <w:sz w:val="15"/>
                          </w:rPr>
                        </w:pPr>
                        <w:r>
                          <w:rPr>
                            <w:sz w:val="15"/>
                          </w:rPr>
                          <w:t>10.1.0.1.3</w:t>
                        </w:r>
                      </w:p>
                    </w:tc>
                    <w:tc>
                      <w:tcPr>
                        <w:tcW w:w="3201" w:type="dxa"/>
                      </w:tcPr>
                      <w:p>
                        <w:pPr>
                          <w:pStyle w:val="TableParagraph"/>
                          <w:spacing w:line="154" w:lineRule="exact" w:before="1"/>
                          <w:ind w:left="46"/>
                          <w:rPr>
                            <w:sz w:val="15"/>
                          </w:rPr>
                        </w:pPr>
                        <w:r>
                          <w:rPr>
                            <w:sz w:val="15"/>
                          </w:rPr>
                          <w:t>Créditos financieros</w:t>
                        </w:r>
                      </w:p>
                    </w:tc>
                    <w:tc>
                      <w:tcPr>
                        <w:tcW w:w="1261" w:type="dxa"/>
                      </w:tcPr>
                      <w:p>
                        <w:pPr>
                          <w:pStyle w:val="TableParagraph"/>
                          <w:spacing w:line="154" w:lineRule="exact" w:before="1"/>
                          <w:ind w:right="36"/>
                          <w:jc w:val="right"/>
                          <w:rPr>
                            <w:sz w:val="15"/>
                          </w:rPr>
                        </w:pPr>
                        <w:r>
                          <w:rPr>
                            <w:w w:val="102"/>
                            <w:sz w:val="15"/>
                          </w:rPr>
                          <w:t>0</w:t>
                        </w:r>
                      </w:p>
                    </w:tc>
                  </w:tr>
                  <w:tr>
                    <w:trPr>
                      <w:trHeight w:val="176" w:hRule="atLeast"/>
                    </w:trPr>
                    <w:tc>
                      <w:tcPr>
                        <w:tcW w:w="921" w:type="dxa"/>
                      </w:tcPr>
                      <w:p>
                        <w:pPr>
                          <w:pStyle w:val="TableParagraph"/>
                          <w:spacing w:line="154" w:lineRule="exact" w:before="2"/>
                          <w:ind w:left="104" w:right="92"/>
                          <w:jc w:val="center"/>
                          <w:rPr>
                            <w:sz w:val="15"/>
                          </w:rPr>
                        </w:pPr>
                        <w:r>
                          <w:rPr>
                            <w:sz w:val="15"/>
                          </w:rPr>
                          <w:t>10.1.0.1.9</w:t>
                        </w:r>
                      </w:p>
                    </w:tc>
                    <w:tc>
                      <w:tcPr>
                        <w:tcW w:w="3201" w:type="dxa"/>
                      </w:tcPr>
                      <w:p>
                        <w:pPr>
                          <w:pStyle w:val="TableParagraph"/>
                          <w:spacing w:line="154" w:lineRule="exact" w:before="2"/>
                          <w:ind w:left="47"/>
                          <w:rPr>
                            <w:sz w:val="15"/>
                          </w:rPr>
                        </w:pPr>
                        <w:r>
                          <w:rPr>
                            <w:sz w:val="15"/>
                          </w:rPr>
                          <w:t>Otros financiamientos no especificados</w:t>
                        </w:r>
                      </w:p>
                    </w:tc>
                    <w:tc>
                      <w:tcPr>
                        <w:tcW w:w="1261" w:type="dxa"/>
                      </w:tcPr>
                      <w:p>
                        <w:pPr>
                          <w:pStyle w:val="TableParagraph"/>
                          <w:spacing w:line="154" w:lineRule="exact" w:before="2"/>
                          <w:ind w:right="34"/>
                          <w:jc w:val="right"/>
                          <w:rPr>
                            <w:sz w:val="15"/>
                          </w:rPr>
                        </w:pPr>
                        <w:r>
                          <w:rPr>
                            <w:w w:val="102"/>
                            <w:sz w:val="15"/>
                          </w:rPr>
                          <w:t>0</w:t>
                        </w:r>
                      </w:p>
                    </w:tc>
                  </w:tr>
                  <w:tr>
                    <w:trPr>
                      <w:trHeight w:val="175" w:hRule="atLeast"/>
                    </w:trPr>
                    <w:tc>
                      <w:tcPr>
                        <w:tcW w:w="921" w:type="dxa"/>
                      </w:tcPr>
                      <w:p>
                        <w:pPr>
                          <w:pStyle w:val="TableParagraph"/>
                          <w:spacing w:line="154" w:lineRule="exact" w:before="1"/>
                          <w:ind w:left="104" w:right="92"/>
                          <w:jc w:val="center"/>
                          <w:rPr>
                            <w:sz w:val="15"/>
                          </w:rPr>
                        </w:pPr>
                        <w:r>
                          <w:rPr>
                            <w:sz w:val="15"/>
                          </w:rPr>
                          <w:t>10.2</w:t>
                        </w:r>
                      </w:p>
                    </w:tc>
                    <w:tc>
                      <w:tcPr>
                        <w:tcW w:w="3201" w:type="dxa"/>
                      </w:tcPr>
                      <w:p>
                        <w:pPr>
                          <w:pStyle w:val="TableParagraph"/>
                          <w:spacing w:line="153" w:lineRule="exact" w:before="2"/>
                          <w:ind w:left="47"/>
                          <w:rPr>
                            <w:b/>
                            <w:sz w:val="15"/>
                          </w:rPr>
                        </w:pPr>
                        <w:r>
                          <w:rPr>
                            <w:b/>
                            <w:sz w:val="15"/>
                          </w:rPr>
                          <w:t>ENDEUDAMIENTO EXTERNO</w:t>
                        </w:r>
                      </w:p>
                    </w:tc>
                    <w:tc>
                      <w:tcPr>
                        <w:tcW w:w="1261" w:type="dxa"/>
                      </w:tcPr>
                      <w:p>
                        <w:pPr>
                          <w:pStyle w:val="TableParagraph"/>
                          <w:spacing w:line="153" w:lineRule="exact" w:before="2"/>
                          <w:ind w:right="34"/>
                          <w:jc w:val="right"/>
                          <w:rPr>
                            <w:b/>
                            <w:sz w:val="15"/>
                          </w:rPr>
                        </w:pPr>
                        <w:r>
                          <w:rPr>
                            <w:b/>
                            <w:w w:val="102"/>
                            <w:sz w:val="15"/>
                          </w:rPr>
                          <w:t>0</w:t>
                        </w:r>
                      </w:p>
                    </w:tc>
                  </w:tr>
                  <w:tr>
                    <w:trPr>
                      <w:trHeight w:val="175" w:hRule="atLeast"/>
                    </w:trPr>
                    <w:tc>
                      <w:tcPr>
                        <w:tcW w:w="921" w:type="dxa"/>
                      </w:tcPr>
                      <w:p>
                        <w:pPr>
                          <w:pStyle w:val="TableParagraph"/>
                          <w:spacing w:line="154" w:lineRule="exact" w:before="2"/>
                          <w:ind w:left="104" w:right="92"/>
                          <w:jc w:val="center"/>
                          <w:rPr>
                            <w:sz w:val="15"/>
                          </w:rPr>
                        </w:pPr>
                        <w:r>
                          <w:rPr>
                            <w:sz w:val="15"/>
                          </w:rPr>
                          <w:t>10.3</w:t>
                        </w:r>
                      </w:p>
                    </w:tc>
                    <w:tc>
                      <w:tcPr>
                        <w:tcW w:w="3201" w:type="dxa"/>
                      </w:tcPr>
                      <w:p>
                        <w:pPr>
                          <w:pStyle w:val="TableParagraph"/>
                          <w:spacing w:line="153" w:lineRule="exact" w:before="3"/>
                          <w:ind w:left="47"/>
                          <w:rPr>
                            <w:b/>
                            <w:sz w:val="15"/>
                          </w:rPr>
                        </w:pPr>
                        <w:r>
                          <w:rPr>
                            <w:b/>
                            <w:sz w:val="15"/>
                          </w:rPr>
                          <w:t>FINANCIAMIENTO INTERNO</w:t>
                        </w:r>
                      </w:p>
                    </w:tc>
                    <w:tc>
                      <w:tcPr>
                        <w:tcW w:w="1261" w:type="dxa"/>
                      </w:tcPr>
                      <w:p>
                        <w:pPr>
                          <w:pStyle w:val="TableParagraph"/>
                          <w:spacing w:line="153" w:lineRule="exact" w:before="3"/>
                          <w:ind w:right="34"/>
                          <w:jc w:val="right"/>
                          <w:rPr>
                            <w:b/>
                            <w:sz w:val="15"/>
                          </w:rPr>
                        </w:pPr>
                        <w:r>
                          <w:rPr>
                            <w:b/>
                            <w:w w:val="102"/>
                            <w:sz w:val="15"/>
                          </w:rPr>
                          <w:t>0</w:t>
                        </w:r>
                      </w:p>
                    </w:tc>
                  </w:tr>
                </w:tbl>
                <w:p>
                  <w:pPr>
                    <w:pStyle w:val="BodyText"/>
                  </w:pPr>
                </w:p>
              </w:txbxContent>
            </v:textbox>
            <w10:wrap type="none"/>
          </v:shape>
        </w:pict>
      </w:r>
      <w:r>
        <w:rPr>
          <w:b/>
        </w:rPr>
        <w:t>Artículo 2.- </w:t>
      </w:r>
      <w:r>
        <w:rPr>
          <w:spacing w:val="-6"/>
        </w:rPr>
        <w:t>Los </w:t>
      </w:r>
      <w:r>
        <w:rPr/>
        <w:t>impuestos por concepto </w:t>
      </w:r>
      <w:r>
        <w:rPr>
          <w:spacing w:val="-6"/>
        </w:rPr>
        <w:t>de </w:t>
      </w:r>
      <w:r>
        <w:rPr/>
        <w:t>actividades</w:t>
        <w:tab/>
      </w:r>
      <w:r>
        <w:rPr>
          <w:spacing w:val="-2"/>
        </w:rPr>
        <w:t>comerciales, </w:t>
      </w:r>
      <w:r>
        <w:rPr/>
        <w:t>industriales, prestación de servicios, diversiones </w:t>
      </w:r>
      <w:r>
        <w:rPr>
          <w:spacing w:val="-3"/>
        </w:rPr>
        <w:t>públicas, </w:t>
      </w:r>
      <w:r>
        <w:rPr/>
        <w:t>sobre matanza de ganado, aves y otras especies y </w:t>
      </w:r>
      <w:r>
        <w:rPr>
          <w:spacing w:val="-3"/>
        </w:rPr>
        <w:t>sobre </w:t>
      </w:r>
      <w:r>
        <w:rPr/>
        <w:t>posesión y explotación </w:t>
      </w:r>
      <w:r>
        <w:rPr>
          <w:spacing w:val="-6"/>
        </w:rPr>
        <w:t>de </w:t>
      </w:r>
      <w:r>
        <w:rPr/>
        <w:t>carros fúnebres, a que </w:t>
      </w:r>
      <w:r>
        <w:rPr>
          <w:spacing w:val="-7"/>
        </w:rPr>
        <w:t>se</w:t>
      </w:r>
      <w:r>
        <w:rPr>
          <w:spacing w:val="27"/>
        </w:rPr>
        <w:t> </w:t>
      </w:r>
      <w:r>
        <w:rPr/>
        <w:t>refieren los capítulos II, III, IV </w:t>
      </w:r>
      <w:r>
        <w:rPr>
          <w:spacing w:val="-14"/>
        </w:rPr>
        <w:t>y </w:t>
      </w:r>
      <w:r>
        <w:rPr/>
        <w:t>V del Libro Segundo de la Ley de Hacienda Municipal</w:t>
      </w:r>
      <w:r>
        <w:rPr>
          <w:spacing w:val="25"/>
        </w:rPr>
        <w:t> </w:t>
      </w:r>
      <w:r>
        <w:rPr>
          <w:spacing w:val="-5"/>
        </w:rPr>
        <w:t>del</w:t>
      </w:r>
    </w:p>
    <w:p>
      <w:pPr>
        <w:pStyle w:val="BodyText"/>
        <w:spacing w:line="244" w:lineRule="auto"/>
        <w:ind w:left="11773" w:right="510"/>
        <w:jc w:val="both"/>
      </w:pPr>
      <w:r>
        <w:rPr/>
        <w:t>Estado de Jalisco, respectivamente, quedarán en suspenso, en tanto subsista la vigencia del Convenio de Adhesión al Sistema Nacional de Coordinación Fiscal, suscrito por la Federación y el Estado de Jalisco.</w:t>
      </w:r>
    </w:p>
    <w:p>
      <w:pPr>
        <w:pStyle w:val="BodyText"/>
      </w:pPr>
    </w:p>
    <w:p>
      <w:pPr>
        <w:pStyle w:val="BodyText"/>
        <w:spacing w:line="247" w:lineRule="auto"/>
        <w:ind w:left="11773" w:right="510" w:firstLine="440"/>
        <w:jc w:val="both"/>
      </w:pPr>
      <w:r>
        <w:rPr/>
        <w:t>Quedarán igualmente en suspenso, en tanto subsista la vigencia de la Declaratoria de Coordinación y el decreto 15432 que emite el Poder Legislativo del Congreso del Estado, los derechos citados en el artículo 132  de la Ley de Hacienda Municipal en sus fracciones I, II, III y IX. De igual forma  aquellos  que  como  aportaciones, donativos u otros cualquiera que sea su denominación condicionen el ejercicio de actividades comerciales, industriales y prestación de servicios; con las excepciones y salvedades que se precisan en el artículo 10-A de la Ley de Coordinación</w:t>
      </w:r>
      <w:r>
        <w:rPr>
          <w:spacing w:val="2"/>
        </w:rPr>
        <w:t> </w:t>
      </w:r>
      <w:r>
        <w:rPr/>
        <w:t>Fiscal.</w:t>
      </w:r>
    </w:p>
    <w:p>
      <w:pPr>
        <w:pStyle w:val="BodyText"/>
        <w:spacing w:before="1"/>
      </w:pPr>
    </w:p>
    <w:p>
      <w:pPr>
        <w:pStyle w:val="BodyText"/>
        <w:spacing w:line="247" w:lineRule="auto"/>
        <w:ind w:left="11773" w:right="510" w:firstLine="397"/>
        <w:jc w:val="both"/>
      </w:pPr>
      <w:r>
        <w:rPr/>
        <w:t>El Ayuntamiento, continuará con sus facultades para requerir, expedir, vigilar; y en su caso, cancelar las licencias, registros, permisos o autorizaciones, previo el procedimiento respectivo; así  como  otorgar concesiones y realizar actos de inspección y vigilancia; por lo que en ningún caso lo dispuesto en los párrafos anteriores, limitará el ejercicio de dichas</w:t>
      </w:r>
      <w:r>
        <w:rPr>
          <w:spacing w:val="10"/>
        </w:rPr>
        <w:t> </w:t>
      </w:r>
      <w:r>
        <w:rPr/>
        <w:t>facultades.</w:t>
      </w:r>
    </w:p>
    <w:p>
      <w:pPr>
        <w:pStyle w:val="BodyText"/>
        <w:spacing w:before="3"/>
      </w:pPr>
    </w:p>
    <w:p>
      <w:pPr>
        <w:pStyle w:val="Heading4"/>
        <w:ind w:left="14643" w:right="3382"/>
      </w:pPr>
      <w:r>
        <w:rPr/>
        <w:t>CAPÍTULO PRIMERO</w:t>
      </w:r>
    </w:p>
    <w:p>
      <w:pPr>
        <w:spacing w:before="5"/>
        <w:ind w:left="14643" w:right="3382" w:firstLine="0"/>
        <w:jc w:val="center"/>
        <w:rPr>
          <w:b/>
          <w:sz w:val="15"/>
        </w:rPr>
      </w:pPr>
      <w:r>
        <w:rPr>
          <w:b/>
          <w:sz w:val="15"/>
        </w:rPr>
        <w:t>Disposiciones Generales</w:t>
      </w:r>
    </w:p>
    <w:p>
      <w:pPr>
        <w:pStyle w:val="BodyText"/>
        <w:spacing w:before="7"/>
        <w:rPr>
          <w:b/>
        </w:rPr>
      </w:pPr>
    </w:p>
    <w:p>
      <w:pPr>
        <w:pStyle w:val="BodyText"/>
        <w:spacing w:line="247" w:lineRule="auto" w:before="1"/>
        <w:ind w:left="11773" w:right="508" w:firstLine="397"/>
        <w:jc w:val="both"/>
      </w:pPr>
      <w:r>
        <w:rPr>
          <w:b/>
        </w:rPr>
        <w:t>Artículo 3.-</w:t>
      </w:r>
      <w:r>
        <w:rPr/>
        <w:t>La Tesorería Municipal con el auxilio de las dependencias de la administración pública municipal, es la autoridad competente para fijar, entre los mínimos y máximos, las cuotas que conforme a la presente </w:t>
      </w:r>
      <w:r>
        <w:rPr>
          <w:spacing w:val="-3"/>
        </w:rPr>
        <w:t>ley, </w:t>
      </w:r>
      <w:r>
        <w:rPr/>
        <w:t>se deben cubrir al erario municipal, debiendo efectuar los contribuyentes sus pagos en efectivo,  con cheque certificado, con tarjeta de crédito o tarjeta de débito, con transferencia bancaria (spei) en los    kioscos multitrámite, en la página oficial del Municipio, en las recaudadoras del Municipio, en las tiendas departamentales, de conveniencia o sucursales de las instituciones bancarias con  las  cuales  el  Municipio tenga  celebrado  convenios   para   tal   efecto,   mediante   la   expedición   del   recibo   oficial   correspondiente. Asimismo, se podrán recibir pagos mediante cheques no certificados, cuando el </w:t>
      </w:r>
      <w:r>
        <w:rPr>
          <w:spacing w:val="-3"/>
        </w:rPr>
        <w:t>Tesorero </w:t>
      </w:r>
      <w:r>
        <w:rPr/>
        <w:t>Municipal</w:t>
      </w:r>
      <w:r>
        <w:rPr>
          <w:spacing w:val="26"/>
        </w:rPr>
        <w:t> </w:t>
      </w:r>
      <w:r>
        <w:rPr/>
        <w:t>o</w:t>
      </w:r>
      <w:r>
        <w:rPr>
          <w:spacing w:val="26"/>
        </w:rPr>
        <w:t> </w:t>
      </w:r>
      <w:r>
        <w:rPr/>
        <w:t>el</w:t>
      </w:r>
      <w:r>
        <w:rPr>
          <w:spacing w:val="26"/>
        </w:rPr>
        <w:t> </w:t>
      </w:r>
      <w:r>
        <w:rPr/>
        <w:t>Director</w:t>
      </w:r>
      <w:r>
        <w:rPr>
          <w:spacing w:val="26"/>
        </w:rPr>
        <w:t> </w:t>
      </w:r>
      <w:r>
        <w:rPr/>
        <w:t>General</w:t>
      </w:r>
      <w:r>
        <w:rPr>
          <w:spacing w:val="26"/>
        </w:rPr>
        <w:t> </w:t>
      </w:r>
      <w:r>
        <w:rPr/>
        <w:t>de</w:t>
      </w:r>
      <w:r>
        <w:rPr>
          <w:spacing w:val="27"/>
        </w:rPr>
        <w:t> </w:t>
      </w:r>
      <w:r>
        <w:rPr/>
        <w:t>Ingresos</w:t>
      </w:r>
      <w:r>
        <w:rPr>
          <w:spacing w:val="27"/>
        </w:rPr>
        <w:t> </w:t>
      </w:r>
      <w:r>
        <w:rPr/>
        <w:t>así</w:t>
      </w:r>
      <w:r>
        <w:rPr>
          <w:spacing w:val="25"/>
        </w:rPr>
        <w:t> </w:t>
      </w:r>
      <w:r>
        <w:rPr/>
        <w:t>lo</w:t>
      </w:r>
      <w:r>
        <w:rPr>
          <w:spacing w:val="27"/>
        </w:rPr>
        <w:t> </w:t>
      </w:r>
      <w:r>
        <w:rPr/>
        <w:t>determinen,</w:t>
      </w:r>
      <w:r>
        <w:rPr>
          <w:spacing w:val="27"/>
        </w:rPr>
        <w:t> </w:t>
      </w:r>
      <w:r>
        <w:rPr/>
        <w:t>tomando</w:t>
      </w:r>
      <w:r>
        <w:rPr>
          <w:spacing w:val="27"/>
        </w:rPr>
        <w:t> </w:t>
      </w:r>
      <w:r>
        <w:rPr/>
        <w:t>en</w:t>
      </w:r>
      <w:r>
        <w:rPr>
          <w:spacing w:val="27"/>
        </w:rPr>
        <w:t> </w:t>
      </w:r>
      <w:r>
        <w:rPr/>
        <w:t>consideración</w:t>
      </w:r>
      <w:r>
        <w:rPr>
          <w:spacing w:val="26"/>
        </w:rPr>
        <w:t> </w:t>
      </w:r>
      <w:r>
        <w:rPr/>
        <w:t>las</w:t>
      </w:r>
      <w:r>
        <w:rPr>
          <w:spacing w:val="26"/>
        </w:rPr>
        <w:t> </w:t>
      </w:r>
      <w:r>
        <w:rPr/>
        <w:t>características</w:t>
      </w:r>
    </w:p>
    <w:p>
      <w:pPr>
        <w:spacing w:after="0" w:line="247" w:lineRule="auto"/>
        <w:jc w:val="both"/>
        <w:sectPr>
          <w:headerReference w:type="default" r:id="rId51"/>
          <w:pgSz w:w="23250" w:h="15310" w:orient="landscape"/>
          <w:pgMar w:header="881" w:footer="499" w:top="1920" w:bottom="680" w:left="1880" w:right="1520"/>
        </w:sectPr>
      </w:pPr>
    </w:p>
    <w:p>
      <w:pPr>
        <w:pStyle w:val="BodyText"/>
        <w:rPr>
          <w:sz w:val="20"/>
        </w:rPr>
      </w:pPr>
    </w:p>
    <w:p>
      <w:pPr>
        <w:pStyle w:val="BodyText"/>
        <w:spacing w:before="7"/>
        <w:rPr>
          <w:sz w:val="29"/>
        </w:rPr>
      </w:pPr>
    </w:p>
    <w:p>
      <w:pPr>
        <w:spacing w:after="0"/>
        <w:rPr>
          <w:sz w:val="29"/>
        </w:rPr>
        <w:sectPr>
          <w:headerReference w:type="default" r:id="rId52"/>
          <w:pgSz w:w="23250" w:h="15310" w:orient="landscape"/>
          <w:pgMar w:header="881" w:footer="499" w:top="1920" w:bottom="680" w:left="1880" w:right="1520"/>
        </w:sectPr>
      </w:pPr>
    </w:p>
    <w:p>
      <w:pPr>
        <w:pStyle w:val="BodyText"/>
        <w:spacing w:line="247" w:lineRule="auto" w:before="99"/>
        <w:ind w:left="151" w:right="39"/>
        <w:jc w:val="both"/>
      </w:pPr>
      <w:r>
        <w:rPr/>
        <w:t>del caso particular, estando obligados estos funcionarios a garantizar que no se haga entrega a los contribuyentes de los recibos oficiales de pago hasta en tanto se tenga la certeza de que los cheques correspondientes fueron cobrados adecuadamente, sin ningún inconveniente o problema.</w:t>
      </w:r>
    </w:p>
    <w:p>
      <w:pPr>
        <w:pStyle w:val="BodyText"/>
        <w:spacing w:before="2"/>
      </w:pPr>
    </w:p>
    <w:p>
      <w:pPr>
        <w:pStyle w:val="BodyText"/>
        <w:spacing w:line="247" w:lineRule="auto"/>
        <w:ind w:left="151" w:right="39" w:firstLine="397"/>
        <w:jc w:val="both"/>
      </w:pPr>
      <w:r>
        <w:rPr/>
        <w:t>Los pagos realizados por los contribuyentes en los términos de la presente Ley  se  considerarán  definitivos y no se admitirán reclamaciones de devolución por lo pagado, de acuerdo  a  lo  previsto  en  el artículo 56 de la Ley de Hacienda Municipal del Estado de</w:t>
      </w:r>
      <w:r>
        <w:rPr>
          <w:spacing w:val="22"/>
        </w:rPr>
        <w:t> </w:t>
      </w:r>
      <w:r>
        <w:rPr/>
        <w:t>Jalisco.</w:t>
      </w:r>
    </w:p>
    <w:p>
      <w:pPr>
        <w:pStyle w:val="BodyText"/>
        <w:spacing w:before="4"/>
      </w:pPr>
    </w:p>
    <w:p>
      <w:pPr>
        <w:pStyle w:val="BodyText"/>
        <w:spacing w:line="247" w:lineRule="auto"/>
        <w:ind w:left="151" w:right="38" w:firstLine="397"/>
        <w:jc w:val="both"/>
      </w:pPr>
      <w:r>
        <w:rPr/>
        <w:t>En este sentido, el recibo oficial constituye el documento público que expide el Municipio a favor de los contribuyentes cuando éstos pagan las contribuciones a su cargo, porque  éste  es  el  documento  fehaciente con el que se acredita el entero correspondiente de las contribuciones, sin que ningún diverso documento, por   sí mismo, tenga el efecto de desvirtuar lo asentado en el recibo</w:t>
      </w:r>
      <w:r>
        <w:rPr>
          <w:spacing w:val="27"/>
        </w:rPr>
        <w:t> </w:t>
      </w:r>
      <w:r>
        <w:rPr/>
        <w:t>oficial.</w:t>
      </w:r>
    </w:p>
    <w:p>
      <w:pPr>
        <w:pStyle w:val="BodyText"/>
        <w:spacing w:before="2"/>
      </w:pPr>
    </w:p>
    <w:p>
      <w:pPr>
        <w:pStyle w:val="BodyText"/>
        <w:spacing w:line="247" w:lineRule="auto"/>
        <w:ind w:left="151" w:right="38" w:firstLine="397"/>
        <w:jc w:val="both"/>
      </w:pPr>
      <w:r>
        <w:rPr/>
        <w:t>Por lo anterior, los contribuyentes podrán realizar cualquier aclaración o  manifestación  respecto  del recibo oficial que le expida el Ayuntamiento, únicamente en el mismo día en que pagaron las contribuciones      de que se trate; transcurrido dicho periodo, sin que el contribuyente de que se trate hubiese hecho alguna manifestación respecto del recibo oficial que se le expidió, éste quedará firme para todos los efectos legales correspondientes, y lo asentado en él, no podrá ser modificado bajo ninguna</w:t>
      </w:r>
      <w:r>
        <w:rPr>
          <w:spacing w:val="5"/>
        </w:rPr>
        <w:t> </w:t>
      </w:r>
      <w:r>
        <w:rPr/>
        <w:t>circunstancia.</w:t>
      </w:r>
    </w:p>
    <w:p>
      <w:pPr>
        <w:pStyle w:val="BodyText"/>
        <w:spacing w:before="1"/>
      </w:pPr>
    </w:p>
    <w:p>
      <w:pPr>
        <w:pStyle w:val="BodyText"/>
        <w:spacing w:line="247" w:lineRule="auto"/>
        <w:ind w:left="151" w:right="38"/>
        <w:jc w:val="both"/>
      </w:pPr>
      <w:r>
        <w:rPr/>
        <w:t>El Tesorero Municipal tiene la facultad de certificar copias de los recibos oficiales que emita, asimismo tiene atribución para realizar las aclaraciones pertinentes en el caso de que se haya asentado algún dato erróneamente, así como para realizar la anotación correspondiente cuando se hubiera devuelto por cualquier motivo el entero de la contribución contenida en dicho recibo oficial.</w:t>
      </w:r>
    </w:p>
    <w:p>
      <w:pPr>
        <w:pStyle w:val="BodyText"/>
        <w:spacing w:before="3"/>
      </w:pPr>
    </w:p>
    <w:p>
      <w:pPr>
        <w:pStyle w:val="BodyText"/>
        <w:spacing w:line="247" w:lineRule="auto"/>
        <w:ind w:left="151" w:right="38" w:firstLine="397"/>
        <w:jc w:val="both"/>
      </w:pPr>
      <w:r>
        <w:rPr/>
        <w:t>Los funcionarios que determine el Ayuntamiento en los términos del artículo 10 Bis de  la  Ley  de  Hacienda Municipal del Estado de Jalisco, deben caucionar el manejo de fondos, en cualquiera de las formas previstas por el artículo 47 de la misma Ley de  Hacienda Municipal del Estado de Jalisco. La caución a cubrir     a favor del Municipio será el importe resultante de multiplicar el promedio mensual del presupuesto de egresos aprobado por el Ayuntamiento para el ejercicio fiscal en que estará vigente la presente Ley por el 0.15% y a lo que resulte se adicionará la cantidad</w:t>
      </w:r>
      <w:r>
        <w:rPr>
          <w:spacing w:val="7"/>
        </w:rPr>
        <w:t> </w:t>
      </w:r>
      <w:r>
        <w:rPr/>
        <w:t>de:</w:t>
      </w:r>
    </w:p>
    <w:p>
      <w:pPr>
        <w:pStyle w:val="BodyText"/>
        <w:spacing w:before="11"/>
        <w:rPr>
          <w:sz w:val="23"/>
        </w:rPr>
      </w:pPr>
      <w:r>
        <w:rPr/>
        <w:br w:type="column"/>
      </w:r>
      <w:r>
        <w:rPr>
          <w:sz w:val="23"/>
        </w:rPr>
      </w:r>
    </w:p>
    <w:p>
      <w:pPr>
        <w:pStyle w:val="BodyText"/>
        <w:ind w:left="675" w:right="674"/>
        <w:jc w:val="center"/>
      </w:pPr>
      <w:r>
        <w:rPr/>
        <w:t>II.- Cuando se otorguen dentro del segundo cuatrimestre del ejercicio fiscal, se pagará por la misma el:</w:t>
      </w:r>
    </w:p>
    <w:p>
      <w:pPr>
        <w:pStyle w:val="BodyText"/>
        <w:spacing w:before="5"/>
        <w:ind w:left="675" w:right="1850"/>
        <w:jc w:val="center"/>
      </w:pPr>
      <w:r>
        <w:rPr/>
        <w:t>70%;</w:t>
      </w:r>
    </w:p>
    <w:p>
      <w:pPr>
        <w:pStyle w:val="BodyText"/>
        <w:spacing w:before="8"/>
      </w:pPr>
    </w:p>
    <w:p>
      <w:pPr>
        <w:pStyle w:val="BodyText"/>
        <w:spacing w:line="247" w:lineRule="auto"/>
        <w:ind w:left="151" w:right="544" w:firstLine="397"/>
        <w:jc w:val="both"/>
      </w:pPr>
      <w:r>
        <w:rPr/>
        <w:t>III.- Cuando se otorguen dentro del tercer cuatrimestre del ejercicio fiscal, se pagará por la misma el:   35%;</w:t>
      </w:r>
      <w:r>
        <w:rPr>
          <w:spacing w:val="1"/>
        </w:rPr>
        <w:t> </w:t>
      </w:r>
      <w:r>
        <w:rPr/>
        <w:t>y</w:t>
      </w:r>
    </w:p>
    <w:p>
      <w:pPr>
        <w:pStyle w:val="BodyText"/>
        <w:spacing w:before="4"/>
      </w:pPr>
    </w:p>
    <w:p>
      <w:pPr>
        <w:pStyle w:val="BodyText"/>
        <w:spacing w:line="244" w:lineRule="auto"/>
        <w:ind w:left="151" w:right="510" w:firstLine="397"/>
        <w:jc w:val="both"/>
      </w:pPr>
      <w:r>
        <w:rPr/>
        <w:t>No resultará aplicable lo anterior, en beneficio del Titular, si dicho giro inició sus actividades previamente    a ser legalmente autorizado para ello, aplicándose en estos casos las sanciones que conforme a la ley correspondan;</w:t>
      </w:r>
    </w:p>
    <w:p>
      <w:pPr>
        <w:pStyle w:val="BodyText"/>
        <w:spacing w:before="8"/>
      </w:pPr>
    </w:p>
    <w:p>
      <w:pPr>
        <w:pStyle w:val="BodyText"/>
        <w:spacing w:line="247" w:lineRule="auto"/>
        <w:ind w:left="151" w:right="508" w:firstLine="397"/>
        <w:jc w:val="both"/>
      </w:pPr>
      <w:r>
        <w:rPr>
          <w:b/>
        </w:rPr>
        <w:t>Artículo 9.- </w:t>
      </w:r>
      <w:r>
        <w:rPr/>
        <w:t>Los titulares de licencias de anuncios, giros comerciales, industriales o de prestación de servicios, deberán efectuar el pago de refrendo anual ya sea de manera ordinaria o extemporánea en los términos establecidos en el artículo 141 de la Ley de Hacienda Municipal del Estado de Jalisco, además de  pagar lo correspondiente al costo de la cédula municipal de licencia de</w:t>
      </w:r>
      <w:r>
        <w:rPr>
          <w:spacing w:val="28"/>
        </w:rPr>
        <w:t> </w:t>
      </w:r>
      <w:r>
        <w:rPr/>
        <w:t>giro.</w:t>
      </w:r>
    </w:p>
    <w:p>
      <w:pPr>
        <w:pStyle w:val="BodyText"/>
        <w:spacing w:before="2"/>
      </w:pPr>
    </w:p>
    <w:p>
      <w:pPr>
        <w:pStyle w:val="BodyText"/>
        <w:spacing w:line="247" w:lineRule="auto"/>
        <w:ind w:left="151" w:right="508" w:firstLine="397"/>
        <w:jc w:val="both"/>
      </w:pPr>
      <w:r>
        <w:rPr/>
        <w:t>La autorización de suspensión de actividades será resuelta a juicio de la autoridad municipal, previa solicitud y justificación por parte del contribuyente interesado, sobre las causas que las motivasen. Dicha suspensión se solicitará y autorizará por un periodo no menor de tres meses y no mayor del ejercicio fiscal en que tenga vigencia esta </w:t>
      </w:r>
      <w:r>
        <w:rPr>
          <w:spacing w:val="-4"/>
        </w:rPr>
        <w:t>ley, </w:t>
      </w:r>
      <w:r>
        <w:rPr/>
        <w:t>en cuyo</w:t>
      </w:r>
      <w:r>
        <w:rPr>
          <w:spacing w:val="14"/>
        </w:rPr>
        <w:t> </w:t>
      </w:r>
      <w:r>
        <w:rPr/>
        <w:t>caso:</w:t>
      </w:r>
    </w:p>
    <w:p>
      <w:pPr>
        <w:pStyle w:val="BodyText"/>
        <w:spacing w:before="2"/>
      </w:pPr>
    </w:p>
    <w:p>
      <w:pPr>
        <w:pStyle w:val="ListParagraph"/>
        <w:numPr>
          <w:ilvl w:val="0"/>
          <w:numId w:val="1"/>
        </w:numPr>
        <w:tabs>
          <w:tab w:pos="736" w:val="left" w:leader="none"/>
        </w:tabs>
        <w:spacing w:line="247" w:lineRule="auto" w:before="0" w:after="0"/>
        <w:ind w:left="151" w:right="508" w:firstLine="397"/>
        <w:jc w:val="left"/>
        <w:rPr>
          <w:sz w:val="15"/>
        </w:rPr>
      </w:pPr>
      <w:r>
        <w:rPr>
          <w:sz w:val="15"/>
        </w:rPr>
        <w:t>Se autorizará un descuento en el valor de la licencia, en proporción al tiempo de la suspensión, pero    en</w:t>
      </w:r>
      <w:r>
        <w:rPr>
          <w:spacing w:val="5"/>
          <w:sz w:val="15"/>
        </w:rPr>
        <w:t> </w:t>
      </w:r>
      <w:r>
        <w:rPr>
          <w:sz w:val="15"/>
        </w:rPr>
        <w:t>ningún</w:t>
      </w:r>
      <w:r>
        <w:rPr>
          <w:spacing w:val="6"/>
          <w:sz w:val="15"/>
        </w:rPr>
        <w:t> </w:t>
      </w:r>
      <w:r>
        <w:rPr>
          <w:sz w:val="15"/>
        </w:rPr>
        <w:t>caso</w:t>
      </w:r>
      <w:r>
        <w:rPr>
          <w:spacing w:val="5"/>
          <w:sz w:val="15"/>
        </w:rPr>
        <w:t> </w:t>
      </w:r>
      <w:r>
        <w:rPr>
          <w:sz w:val="15"/>
        </w:rPr>
        <w:t>excederá</w:t>
      </w:r>
      <w:r>
        <w:rPr>
          <w:spacing w:val="6"/>
          <w:sz w:val="15"/>
        </w:rPr>
        <w:t> </w:t>
      </w:r>
      <w:r>
        <w:rPr>
          <w:sz w:val="15"/>
        </w:rPr>
        <w:t>del</w:t>
      </w:r>
      <w:r>
        <w:rPr>
          <w:spacing w:val="5"/>
          <w:sz w:val="15"/>
        </w:rPr>
        <w:t> </w:t>
      </w:r>
      <w:r>
        <w:rPr>
          <w:sz w:val="15"/>
        </w:rPr>
        <w:t>50%</w:t>
      </w:r>
      <w:r>
        <w:rPr>
          <w:spacing w:val="6"/>
          <w:sz w:val="15"/>
        </w:rPr>
        <w:t> </w:t>
      </w:r>
      <w:r>
        <w:rPr>
          <w:sz w:val="15"/>
        </w:rPr>
        <w:t>de</w:t>
      </w:r>
      <w:r>
        <w:rPr>
          <w:spacing w:val="5"/>
          <w:sz w:val="15"/>
        </w:rPr>
        <w:t> </w:t>
      </w:r>
      <w:r>
        <w:rPr>
          <w:sz w:val="15"/>
        </w:rPr>
        <w:t>la</w:t>
      </w:r>
      <w:r>
        <w:rPr>
          <w:spacing w:val="6"/>
          <w:sz w:val="15"/>
        </w:rPr>
        <w:t> </w:t>
      </w:r>
      <w:r>
        <w:rPr>
          <w:sz w:val="15"/>
        </w:rPr>
        <w:t>tarifa</w:t>
      </w:r>
      <w:r>
        <w:rPr>
          <w:spacing w:val="6"/>
          <w:sz w:val="15"/>
        </w:rPr>
        <w:t> </w:t>
      </w:r>
      <w:r>
        <w:rPr>
          <w:sz w:val="15"/>
        </w:rPr>
        <w:t>que</w:t>
      </w:r>
      <w:r>
        <w:rPr>
          <w:spacing w:val="5"/>
          <w:sz w:val="15"/>
        </w:rPr>
        <w:t> </w:t>
      </w:r>
      <w:r>
        <w:rPr>
          <w:sz w:val="15"/>
        </w:rPr>
        <w:t>la</w:t>
      </w:r>
      <w:r>
        <w:rPr>
          <w:spacing w:val="6"/>
          <w:sz w:val="15"/>
        </w:rPr>
        <w:t> </w:t>
      </w:r>
      <w:r>
        <w:rPr>
          <w:sz w:val="15"/>
        </w:rPr>
        <w:t>presente</w:t>
      </w:r>
      <w:r>
        <w:rPr>
          <w:spacing w:val="5"/>
          <w:sz w:val="15"/>
        </w:rPr>
        <w:t> </w:t>
      </w:r>
      <w:r>
        <w:rPr>
          <w:sz w:val="15"/>
        </w:rPr>
        <w:t>ley</w:t>
      </w:r>
      <w:r>
        <w:rPr>
          <w:spacing w:val="6"/>
          <w:sz w:val="15"/>
        </w:rPr>
        <w:t> </w:t>
      </w:r>
      <w:r>
        <w:rPr>
          <w:sz w:val="15"/>
        </w:rPr>
        <w:t>señale</w:t>
      </w:r>
      <w:r>
        <w:rPr>
          <w:spacing w:val="4"/>
          <w:sz w:val="15"/>
        </w:rPr>
        <w:t> </w:t>
      </w:r>
      <w:r>
        <w:rPr>
          <w:sz w:val="15"/>
        </w:rPr>
        <w:t>para</w:t>
      </w:r>
      <w:r>
        <w:rPr>
          <w:spacing w:val="6"/>
          <w:sz w:val="15"/>
        </w:rPr>
        <w:t> </w:t>
      </w:r>
      <w:r>
        <w:rPr>
          <w:sz w:val="15"/>
        </w:rPr>
        <w:t>la</w:t>
      </w:r>
      <w:r>
        <w:rPr>
          <w:spacing w:val="5"/>
          <w:sz w:val="15"/>
        </w:rPr>
        <w:t> </w:t>
      </w:r>
      <w:r>
        <w:rPr>
          <w:sz w:val="15"/>
        </w:rPr>
        <w:t>licencia</w:t>
      </w:r>
      <w:r>
        <w:rPr>
          <w:spacing w:val="6"/>
          <w:sz w:val="15"/>
        </w:rPr>
        <w:t> </w:t>
      </w:r>
      <w:r>
        <w:rPr>
          <w:sz w:val="15"/>
        </w:rPr>
        <w:t>de</w:t>
      </w:r>
      <w:r>
        <w:rPr>
          <w:spacing w:val="6"/>
          <w:sz w:val="15"/>
        </w:rPr>
        <w:t> </w:t>
      </w:r>
      <w:r>
        <w:rPr>
          <w:sz w:val="15"/>
        </w:rPr>
        <w:t>que</w:t>
      </w:r>
      <w:r>
        <w:rPr>
          <w:spacing w:val="4"/>
          <w:sz w:val="15"/>
        </w:rPr>
        <w:t> </w:t>
      </w:r>
      <w:r>
        <w:rPr>
          <w:sz w:val="15"/>
        </w:rPr>
        <w:t>se</w:t>
      </w:r>
      <w:r>
        <w:rPr>
          <w:spacing w:val="6"/>
          <w:sz w:val="15"/>
        </w:rPr>
        <w:t> </w:t>
      </w:r>
      <w:r>
        <w:rPr>
          <w:sz w:val="15"/>
        </w:rPr>
        <w:t>trate;</w:t>
      </w:r>
    </w:p>
    <w:p>
      <w:pPr>
        <w:pStyle w:val="BodyText"/>
        <w:spacing w:before="4"/>
      </w:pPr>
    </w:p>
    <w:p>
      <w:pPr>
        <w:pStyle w:val="ListParagraph"/>
        <w:numPr>
          <w:ilvl w:val="0"/>
          <w:numId w:val="1"/>
        </w:numPr>
        <w:tabs>
          <w:tab w:pos="730" w:val="left" w:leader="none"/>
        </w:tabs>
        <w:spacing w:line="244" w:lineRule="auto" w:before="0" w:after="0"/>
        <w:ind w:left="151" w:right="509" w:firstLine="397"/>
        <w:jc w:val="left"/>
        <w:rPr>
          <w:sz w:val="15"/>
        </w:rPr>
      </w:pPr>
      <w:r>
        <w:rPr>
          <w:sz w:val="15"/>
        </w:rPr>
        <w:t>Para efectos de obtener el derecho al descuento de que se trate, la suspensión de actividades deberá de</w:t>
      </w:r>
      <w:r>
        <w:rPr>
          <w:spacing w:val="3"/>
          <w:sz w:val="15"/>
        </w:rPr>
        <w:t> </w:t>
      </w:r>
      <w:r>
        <w:rPr>
          <w:sz w:val="15"/>
        </w:rPr>
        <w:t>solicitarse</w:t>
      </w:r>
      <w:r>
        <w:rPr>
          <w:spacing w:val="3"/>
          <w:sz w:val="15"/>
        </w:rPr>
        <w:t> </w:t>
      </w:r>
      <w:r>
        <w:rPr>
          <w:sz w:val="15"/>
        </w:rPr>
        <w:t>hasta</w:t>
      </w:r>
      <w:r>
        <w:rPr>
          <w:spacing w:val="3"/>
          <w:sz w:val="15"/>
        </w:rPr>
        <w:t> </w:t>
      </w:r>
      <w:r>
        <w:rPr>
          <w:sz w:val="15"/>
        </w:rPr>
        <w:t>el</w:t>
      </w:r>
      <w:r>
        <w:rPr>
          <w:spacing w:val="3"/>
          <w:sz w:val="15"/>
        </w:rPr>
        <w:t> </w:t>
      </w:r>
      <w:r>
        <w:rPr>
          <w:sz w:val="15"/>
        </w:rPr>
        <w:t>treinta</w:t>
      </w:r>
      <w:r>
        <w:rPr>
          <w:spacing w:val="3"/>
          <w:sz w:val="15"/>
        </w:rPr>
        <w:t> </w:t>
      </w:r>
      <w:r>
        <w:rPr>
          <w:sz w:val="15"/>
        </w:rPr>
        <w:t>y</w:t>
      </w:r>
      <w:r>
        <w:rPr>
          <w:spacing w:val="4"/>
          <w:sz w:val="15"/>
        </w:rPr>
        <w:t> </w:t>
      </w:r>
      <w:r>
        <w:rPr>
          <w:sz w:val="15"/>
        </w:rPr>
        <w:t>uno</w:t>
      </w:r>
      <w:r>
        <w:rPr>
          <w:spacing w:val="3"/>
          <w:sz w:val="15"/>
        </w:rPr>
        <w:t> </w:t>
      </w:r>
      <w:r>
        <w:rPr>
          <w:sz w:val="15"/>
        </w:rPr>
        <w:t>de</w:t>
      </w:r>
      <w:r>
        <w:rPr>
          <w:spacing w:val="3"/>
          <w:sz w:val="15"/>
        </w:rPr>
        <w:t> </w:t>
      </w:r>
      <w:r>
        <w:rPr>
          <w:sz w:val="15"/>
        </w:rPr>
        <w:t>marzo</w:t>
      </w:r>
      <w:r>
        <w:rPr>
          <w:spacing w:val="3"/>
          <w:sz w:val="15"/>
        </w:rPr>
        <w:t> </w:t>
      </w:r>
      <w:r>
        <w:rPr>
          <w:sz w:val="15"/>
        </w:rPr>
        <w:t>y</w:t>
      </w:r>
      <w:r>
        <w:rPr>
          <w:spacing w:val="4"/>
          <w:sz w:val="15"/>
        </w:rPr>
        <w:t> </w:t>
      </w:r>
      <w:r>
        <w:rPr>
          <w:sz w:val="15"/>
        </w:rPr>
        <w:t>antes</w:t>
      </w:r>
      <w:r>
        <w:rPr>
          <w:spacing w:val="4"/>
          <w:sz w:val="15"/>
        </w:rPr>
        <w:t> </w:t>
      </w:r>
      <w:r>
        <w:rPr>
          <w:sz w:val="15"/>
        </w:rPr>
        <w:t>de</w:t>
      </w:r>
      <w:r>
        <w:rPr>
          <w:spacing w:val="3"/>
          <w:sz w:val="15"/>
        </w:rPr>
        <w:t> </w:t>
      </w:r>
      <w:r>
        <w:rPr>
          <w:sz w:val="15"/>
        </w:rPr>
        <w:t>cubrir</w:t>
      </w:r>
      <w:r>
        <w:rPr>
          <w:spacing w:val="3"/>
          <w:sz w:val="15"/>
        </w:rPr>
        <w:t> </w:t>
      </w:r>
      <w:r>
        <w:rPr>
          <w:sz w:val="15"/>
        </w:rPr>
        <w:t>el</w:t>
      </w:r>
      <w:r>
        <w:rPr>
          <w:spacing w:val="3"/>
          <w:sz w:val="15"/>
        </w:rPr>
        <w:t> </w:t>
      </w:r>
      <w:r>
        <w:rPr>
          <w:sz w:val="15"/>
        </w:rPr>
        <w:t>monto</w:t>
      </w:r>
      <w:r>
        <w:rPr>
          <w:spacing w:val="3"/>
          <w:sz w:val="15"/>
        </w:rPr>
        <w:t> </w:t>
      </w:r>
      <w:r>
        <w:rPr>
          <w:sz w:val="15"/>
        </w:rPr>
        <w:t>de</w:t>
      </w:r>
      <w:r>
        <w:rPr>
          <w:spacing w:val="4"/>
          <w:sz w:val="15"/>
        </w:rPr>
        <w:t> </w:t>
      </w:r>
      <w:r>
        <w:rPr>
          <w:sz w:val="15"/>
        </w:rPr>
        <w:t>los</w:t>
      </w:r>
      <w:r>
        <w:rPr>
          <w:spacing w:val="3"/>
          <w:sz w:val="15"/>
        </w:rPr>
        <w:t> </w:t>
      </w:r>
      <w:r>
        <w:rPr>
          <w:sz w:val="15"/>
        </w:rPr>
        <w:t>derechos.</w:t>
      </w:r>
    </w:p>
    <w:p>
      <w:pPr>
        <w:pStyle w:val="BodyText"/>
        <w:spacing w:before="7"/>
      </w:pPr>
    </w:p>
    <w:p>
      <w:pPr>
        <w:pStyle w:val="BodyText"/>
        <w:spacing w:line="247" w:lineRule="auto"/>
        <w:ind w:left="151" w:right="507" w:firstLine="397"/>
        <w:jc w:val="both"/>
      </w:pPr>
      <w:r>
        <w:rPr>
          <w:b/>
        </w:rPr>
        <w:t>Artículo 10.- </w:t>
      </w:r>
      <w:r>
        <w:rPr/>
        <w:t>En los actos que originen modificaciones al padrón municipal  de  giros,  se  actuará  conforme a las siguientes</w:t>
      </w:r>
      <w:r>
        <w:rPr>
          <w:spacing w:val="5"/>
        </w:rPr>
        <w:t> </w:t>
      </w:r>
      <w:r>
        <w:rPr/>
        <w:t>bases:</w:t>
      </w:r>
    </w:p>
    <w:p>
      <w:pPr>
        <w:spacing w:after="0" w:line="247" w:lineRule="auto"/>
        <w:jc w:val="both"/>
        <w:sectPr>
          <w:type w:val="continuous"/>
          <w:pgSz w:w="23250" w:h="15310" w:orient="landscape"/>
          <w:pgMar w:top="0" w:bottom="0" w:left="1880" w:right="1520"/>
          <w:cols w:num="2" w:equalWidth="0">
            <w:col w:w="7752" w:space="3871"/>
            <w:col w:w="8227"/>
          </w:cols>
        </w:sectPr>
      </w:pPr>
    </w:p>
    <w:p>
      <w:pPr>
        <w:pStyle w:val="BodyText"/>
        <w:spacing w:line="168" w:lineRule="exact"/>
        <w:ind w:right="40"/>
        <w:jc w:val="right"/>
      </w:pPr>
      <w:r>
        <w:rPr/>
        <w:t>$85,000.00</w:t>
      </w:r>
    </w:p>
    <w:p>
      <w:pPr>
        <w:pStyle w:val="BodyText"/>
        <w:spacing w:before="9"/>
      </w:pPr>
    </w:p>
    <w:p>
      <w:pPr>
        <w:pStyle w:val="BodyText"/>
        <w:spacing w:line="247" w:lineRule="auto"/>
        <w:ind w:left="151" w:right="40" w:firstLine="397"/>
        <w:jc w:val="both"/>
      </w:pPr>
      <w:r>
        <w:rPr>
          <w:b/>
        </w:rPr>
        <w:t>Artículo 4.- </w:t>
      </w:r>
      <w:r>
        <w:rPr/>
        <w:t>Para los efectos de esta ley, las responsabilidades pecuniarias que cuantifique la Auditoría Superior del Estado de Jalisco, en contra de los servidores públicos municipales, se equipararán a créditos fiscales, previa la aprobación del Congreso del Estado; en consecuencia, la Hacienda Municipal tendrá la obligación de hacerlos efectivos.</w:t>
      </w:r>
    </w:p>
    <w:p>
      <w:pPr>
        <w:pStyle w:val="BodyText"/>
        <w:spacing w:before="2"/>
      </w:pPr>
    </w:p>
    <w:p>
      <w:pPr>
        <w:pStyle w:val="BodyText"/>
        <w:spacing w:line="247" w:lineRule="auto"/>
        <w:ind w:left="151" w:right="39" w:firstLine="397"/>
        <w:jc w:val="both"/>
      </w:pPr>
      <w:r>
        <w:rPr>
          <w:b/>
        </w:rPr>
        <w:t>Artículo 5.- </w:t>
      </w:r>
      <w:r>
        <w:rPr/>
        <w:t>Queda estrictamente prohibido modificar las cuotas, tasas y tarifas que en esta Ley se establecen, ya sea para aumentarlas o disminuirlas a excepción  de lo que establece el artículo 37, fracción I    de la Ley del Gobierno y la Administración Pública Municipal del Estado de Jalisco. Quien incumpla esta obligación,</w:t>
      </w:r>
      <w:r>
        <w:rPr>
          <w:spacing w:val="6"/>
        </w:rPr>
        <w:t> </w:t>
      </w:r>
      <w:r>
        <w:rPr/>
        <w:t>incurrirá</w:t>
      </w:r>
      <w:r>
        <w:rPr>
          <w:spacing w:val="7"/>
        </w:rPr>
        <w:t> </w:t>
      </w:r>
      <w:r>
        <w:rPr/>
        <w:t>en</w:t>
      </w:r>
      <w:r>
        <w:rPr>
          <w:spacing w:val="7"/>
        </w:rPr>
        <w:t> </w:t>
      </w:r>
      <w:r>
        <w:rPr/>
        <w:t>responsabilidad</w:t>
      </w:r>
      <w:r>
        <w:rPr>
          <w:spacing w:val="7"/>
        </w:rPr>
        <w:t> </w:t>
      </w:r>
      <w:r>
        <w:rPr/>
        <w:t>y</w:t>
      </w:r>
      <w:r>
        <w:rPr>
          <w:spacing w:val="7"/>
        </w:rPr>
        <w:t> </w:t>
      </w:r>
      <w:r>
        <w:rPr/>
        <w:t>se</w:t>
      </w:r>
      <w:r>
        <w:rPr>
          <w:spacing w:val="8"/>
        </w:rPr>
        <w:t> </w:t>
      </w:r>
      <w:r>
        <w:rPr/>
        <w:t>hará</w:t>
      </w:r>
      <w:r>
        <w:rPr>
          <w:spacing w:val="7"/>
        </w:rPr>
        <w:t> </w:t>
      </w:r>
      <w:r>
        <w:rPr/>
        <w:t>acreedor</w:t>
      </w:r>
      <w:r>
        <w:rPr>
          <w:spacing w:val="7"/>
        </w:rPr>
        <w:t> </w:t>
      </w:r>
      <w:r>
        <w:rPr/>
        <w:t>a</w:t>
      </w:r>
      <w:r>
        <w:rPr>
          <w:spacing w:val="7"/>
        </w:rPr>
        <w:t> </w:t>
      </w:r>
      <w:r>
        <w:rPr/>
        <w:t>las</w:t>
      </w:r>
      <w:r>
        <w:rPr>
          <w:spacing w:val="7"/>
        </w:rPr>
        <w:t> </w:t>
      </w:r>
      <w:r>
        <w:rPr/>
        <w:t>sanciones</w:t>
      </w:r>
      <w:r>
        <w:rPr>
          <w:spacing w:val="8"/>
        </w:rPr>
        <w:t> </w:t>
      </w:r>
      <w:r>
        <w:rPr/>
        <w:t>que</w:t>
      </w:r>
      <w:r>
        <w:rPr>
          <w:spacing w:val="7"/>
        </w:rPr>
        <w:t> </w:t>
      </w:r>
      <w:r>
        <w:rPr/>
        <w:t>precisa</w:t>
      </w:r>
      <w:r>
        <w:rPr>
          <w:spacing w:val="7"/>
        </w:rPr>
        <w:t> </w:t>
      </w:r>
      <w:r>
        <w:rPr/>
        <w:t>la</w:t>
      </w:r>
      <w:r>
        <w:rPr>
          <w:spacing w:val="7"/>
        </w:rPr>
        <w:t> </w:t>
      </w:r>
      <w:r>
        <w:rPr/>
        <w:t>ley</w:t>
      </w:r>
      <w:r>
        <w:rPr>
          <w:spacing w:val="7"/>
        </w:rPr>
        <w:t> </w:t>
      </w:r>
      <w:r>
        <w:rPr/>
        <w:t>de</w:t>
      </w:r>
      <w:r>
        <w:rPr>
          <w:spacing w:val="8"/>
        </w:rPr>
        <w:t> </w:t>
      </w:r>
      <w:r>
        <w:rPr/>
        <w:t>la</w:t>
      </w:r>
      <w:r>
        <w:rPr>
          <w:spacing w:val="7"/>
        </w:rPr>
        <w:t> </w:t>
      </w:r>
      <w:r>
        <w:rPr/>
        <w:t>materia.</w:t>
      </w:r>
    </w:p>
    <w:p>
      <w:pPr>
        <w:pStyle w:val="BodyText"/>
        <w:spacing w:before="2"/>
      </w:pPr>
    </w:p>
    <w:p>
      <w:pPr>
        <w:pStyle w:val="BodyText"/>
        <w:spacing w:line="247" w:lineRule="auto" w:before="1"/>
        <w:ind w:left="151" w:right="39" w:firstLine="397"/>
        <w:jc w:val="both"/>
      </w:pPr>
      <w:r>
        <w:rPr>
          <w:b/>
        </w:rPr>
        <w:t>Artículo 6.- </w:t>
      </w:r>
      <w:r>
        <w:rPr/>
        <w:t>Respecto a las concesiones otorgadas por el Municipio en los que se lleve  a  cabo  explotación comercial o de prestación de servicios, los concesionarios deberán obtener la  licencia funcionamiento de giro y realizar el pago de los derechos correspondiente conforme a la presente Ley de Ingresos.</w:t>
      </w:r>
    </w:p>
    <w:p>
      <w:pPr>
        <w:pStyle w:val="BodyText"/>
        <w:spacing w:before="1"/>
      </w:pPr>
    </w:p>
    <w:p>
      <w:pPr>
        <w:pStyle w:val="BodyText"/>
        <w:spacing w:line="247" w:lineRule="auto" w:before="1"/>
        <w:ind w:left="151" w:right="39" w:firstLine="397"/>
        <w:jc w:val="both"/>
      </w:pPr>
      <w:r>
        <w:rPr>
          <w:b/>
        </w:rPr>
        <w:t>Artículo 7.- </w:t>
      </w:r>
      <w:r>
        <w:rPr/>
        <w:t>Los depósitos en garantía de obligaciones fiscales que no sean reclamados dentro del plazo que señala la Ley de Hacienda Municipal del Estado de Jalisco, para la prescripción de créditos fiscales quedarán a favor del</w:t>
      </w:r>
      <w:r>
        <w:rPr>
          <w:spacing w:val="5"/>
        </w:rPr>
        <w:t> </w:t>
      </w:r>
      <w:r>
        <w:rPr/>
        <w:t>Municipio.</w:t>
      </w:r>
    </w:p>
    <w:p>
      <w:pPr>
        <w:pStyle w:val="BodyText"/>
        <w:spacing w:before="3"/>
      </w:pPr>
    </w:p>
    <w:p>
      <w:pPr>
        <w:pStyle w:val="BodyText"/>
        <w:spacing w:line="244" w:lineRule="auto"/>
        <w:ind w:left="151" w:right="39" w:firstLine="397"/>
        <w:jc w:val="both"/>
      </w:pPr>
      <w:r>
        <w:rPr>
          <w:b/>
        </w:rPr>
        <w:t>Artículo 8.- </w:t>
      </w:r>
      <w:r>
        <w:rPr/>
        <w:t>Para efecto del alta de un giro principal o complementario, así como de un anuncio permanente, el contribuyente cubrirá los derechos correspondientes conforme a las siguientes bases:</w:t>
      </w:r>
    </w:p>
    <w:p>
      <w:pPr>
        <w:pStyle w:val="BodyText"/>
        <w:spacing w:before="6"/>
      </w:pPr>
    </w:p>
    <w:p>
      <w:pPr>
        <w:pStyle w:val="BodyText"/>
        <w:spacing w:line="247" w:lineRule="auto" w:before="1"/>
        <w:ind w:left="151" w:right="38" w:firstLine="397"/>
        <w:jc w:val="both"/>
      </w:pPr>
      <w:r>
        <w:rPr/>
        <w:t>I.- Cuando se otorguen dentro del primer cuatrimestre del ejercicio fiscal se pagará por la misma el:    100%;</w:t>
      </w:r>
    </w:p>
    <w:p>
      <w:pPr>
        <w:pStyle w:val="BodyText"/>
        <w:spacing w:line="247" w:lineRule="auto"/>
        <w:ind w:left="151" w:right="508" w:firstLine="397"/>
        <w:jc w:val="both"/>
      </w:pPr>
      <w:r>
        <w:rPr/>
        <w:br w:type="column"/>
      </w:r>
      <w:r>
        <w:rPr/>
        <w:t>I.- Los propietarios, arrendatarios o Titulares de giros comerciales, industriales o de prestación  de  servicios que pretendan realizar cambios de domicilio o actividad, o cambio de domicilio de anuncio o de sus características, deberán de solicitarlo ante la autoridad municipal, a efecto de que resuelva al respecto, previo pago de los derechos del ejercicio actual establecidos en la presente</w:t>
      </w:r>
      <w:r>
        <w:rPr>
          <w:spacing w:val="22"/>
        </w:rPr>
        <w:t> </w:t>
      </w:r>
      <w:r>
        <w:rPr/>
        <w:t>Ley;</w:t>
      </w:r>
    </w:p>
    <w:p>
      <w:pPr>
        <w:pStyle w:val="BodyText"/>
        <w:spacing w:before="9"/>
        <w:rPr>
          <w:sz w:val="14"/>
        </w:rPr>
      </w:pPr>
    </w:p>
    <w:p>
      <w:pPr>
        <w:pStyle w:val="BodyText"/>
        <w:spacing w:line="247" w:lineRule="auto" w:before="1"/>
        <w:ind w:left="151" w:right="509" w:firstLine="397"/>
        <w:jc w:val="both"/>
      </w:pPr>
      <w:r>
        <w:rPr/>
        <w:t>II.- Los cambios de domicilio, actividad, nombre, denominación, razón social del giro o cambio en las características de los anuncios causarán derechos del 50% de la cuota de la licencia que  se  pretenda  modificar; dicha solicitud deberá ser realizada ante la autoridad municipal correspondiente previo el  cumplimiento de los requisitos que para tales efectos determine la normatividad</w:t>
      </w:r>
      <w:r>
        <w:rPr>
          <w:spacing w:val="2"/>
        </w:rPr>
        <w:t> </w:t>
      </w:r>
      <w:r>
        <w:rPr/>
        <w:t>aplicable;</w:t>
      </w:r>
    </w:p>
    <w:p>
      <w:pPr>
        <w:pStyle w:val="BodyText"/>
        <w:spacing w:before="2"/>
      </w:pPr>
    </w:p>
    <w:p>
      <w:pPr>
        <w:pStyle w:val="BodyText"/>
        <w:spacing w:line="244" w:lineRule="auto"/>
        <w:ind w:left="151" w:right="510" w:firstLine="397"/>
        <w:jc w:val="both"/>
      </w:pPr>
      <w:r>
        <w:rPr/>
        <w:t>III.- Las modificaciones del giro principal y sus complementarios se realizará de acuerdo a los siguientes supuestos:</w:t>
      </w:r>
    </w:p>
    <w:p>
      <w:pPr>
        <w:pStyle w:val="BodyText"/>
        <w:spacing w:before="6"/>
      </w:pPr>
    </w:p>
    <w:p>
      <w:pPr>
        <w:pStyle w:val="ListParagraph"/>
        <w:numPr>
          <w:ilvl w:val="0"/>
          <w:numId w:val="2"/>
        </w:numPr>
        <w:tabs>
          <w:tab w:pos="647" w:val="left" w:leader="none"/>
        </w:tabs>
        <w:spacing w:line="247" w:lineRule="auto" w:before="0" w:after="0"/>
        <w:ind w:left="655" w:right="510" w:hanging="252"/>
        <w:jc w:val="left"/>
        <w:rPr>
          <w:sz w:val="15"/>
        </w:rPr>
      </w:pPr>
      <w:r>
        <w:rPr>
          <w:sz w:val="15"/>
        </w:rPr>
        <w:t>Las adiciones de giros complementarios causarán derechos de conformidad a lo establecido en  el artículo 8 de la presente</w:t>
      </w:r>
      <w:r>
        <w:rPr>
          <w:spacing w:val="4"/>
          <w:sz w:val="15"/>
        </w:rPr>
        <w:t> </w:t>
      </w:r>
      <w:r>
        <w:rPr>
          <w:sz w:val="15"/>
        </w:rPr>
        <w:t>ley;</w:t>
      </w:r>
    </w:p>
    <w:p>
      <w:pPr>
        <w:pStyle w:val="BodyText"/>
        <w:spacing w:before="4"/>
      </w:pPr>
    </w:p>
    <w:p>
      <w:pPr>
        <w:pStyle w:val="ListParagraph"/>
        <w:numPr>
          <w:ilvl w:val="0"/>
          <w:numId w:val="2"/>
        </w:numPr>
        <w:tabs>
          <w:tab w:pos="647" w:val="left" w:leader="none"/>
        </w:tabs>
        <w:spacing w:line="244" w:lineRule="auto" w:before="0" w:after="0"/>
        <w:ind w:left="655" w:right="509" w:hanging="252"/>
        <w:jc w:val="left"/>
        <w:rPr>
          <w:sz w:val="15"/>
        </w:rPr>
      </w:pPr>
      <w:r>
        <w:rPr>
          <w:sz w:val="15"/>
        </w:rPr>
        <w:t>La reasignación de giro complementario a giro principal o viceversa no causará derechos y sólo podrá efectuarse entre los giros</w:t>
      </w:r>
      <w:r>
        <w:rPr>
          <w:spacing w:val="6"/>
          <w:sz w:val="15"/>
        </w:rPr>
        <w:t> </w:t>
      </w:r>
      <w:r>
        <w:rPr>
          <w:sz w:val="15"/>
        </w:rPr>
        <w:t>autorizados.</w:t>
      </w:r>
    </w:p>
    <w:p>
      <w:pPr>
        <w:pStyle w:val="BodyText"/>
        <w:spacing w:before="6"/>
      </w:pPr>
    </w:p>
    <w:p>
      <w:pPr>
        <w:pStyle w:val="BodyText"/>
        <w:spacing w:before="1"/>
        <w:ind w:left="548"/>
      </w:pPr>
      <w:r>
        <w:rPr/>
        <w:t>IV.- Las ampliaciones de giro causarán derechos equivalentes al valor de licencias similares;</w:t>
      </w:r>
    </w:p>
    <w:p>
      <w:pPr>
        <w:pStyle w:val="BodyText"/>
        <w:spacing w:before="9"/>
      </w:pPr>
    </w:p>
    <w:p>
      <w:pPr>
        <w:pStyle w:val="BodyText"/>
        <w:spacing w:line="247" w:lineRule="auto"/>
        <w:ind w:left="151" w:right="508" w:firstLine="397"/>
        <w:jc w:val="both"/>
      </w:pPr>
      <w:r>
        <w:rPr>
          <w:spacing w:val="-5"/>
        </w:rPr>
        <w:t>V.-  </w:t>
      </w:r>
      <w:r>
        <w:rPr/>
        <w:t>En los casos de cambio de Titular, denominación o razón social de Licencia de Giro o de anuncio,   será indispensable para su autorización, la comparecencia del cedente y del cesionario ante la Autoridad Municipal competente, a efecto de realizar el trámite correspondiente, siendo obligatoria la devolución  del original de la cédula vigente, de igual forma se deberá acreditar que se encuentran cubiertos los pagos de derechos</w:t>
      </w:r>
      <w:r>
        <w:rPr>
          <w:spacing w:val="8"/>
        </w:rPr>
        <w:t> </w:t>
      </w:r>
      <w:r>
        <w:rPr/>
        <w:t>relativos</w:t>
      </w:r>
      <w:r>
        <w:rPr>
          <w:spacing w:val="9"/>
        </w:rPr>
        <w:t> </w:t>
      </w:r>
      <w:r>
        <w:rPr/>
        <w:t>a</w:t>
      </w:r>
      <w:r>
        <w:rPr>
          <w:spacing w:val="8"/>
        </w:rPr>
        <w:t> </w:t>
      </w:r>
      <w:r>
        <w:rPr/>
        <w:t>la</w:t>
      </w:r>
      <w:r>
        <w:rPr>
          <w:spacing w:val="9"/>
        </w:rPr>
        <w:t> </w:t>
      </w:r>
      <w:r>
        <w:rPr/>
        <w:t>misma.</w:t>
      </w:r>
      <w:r>
        <w:rPr>
          <w:spacing w:val="9"/>
        </w:rPr>
        <w:t> </w:t>
      </w:r>
      <w:r>
        <w:rPr/>
        <w:t>Una</w:t>
      </w:r>
      <w:r>
        <w:rPr>
          <w:spacing w:val="9"/>
        </w:rPr>
        <w:t> </w:t>
      </w:r>
      <w:r>
        <w:rPr/>
        <w:t>vez</w:t>
      </w:r>
      <w:r>
        <w:rPr>
          <w:spacing w:val="8"/>
        </w:rPr>
        <w:t> </w:t>
      </w:r>
      <w:r>
        <w:rPr/>
        <w:t>autorizado</w:t>
      </w:r>
      <w:r>
        <w:rPr>
          <w:spacing w:val="9"/>
        </w:rPr>
        <w:t> </w:t>
      </w:r>
      <w:r>
        <w:rPr/>
        <w:t>el</w:t>
      </w:r>
      <w:r>
        <w:rPr>
          <w:spacing w:val="8"/>
        </w:rPr>
        <w:t> </w:t>
      </w:r>
      <w:r>
        <w:rPr/>
        <w:t>traspaso,</w:t>
      </w:r>
      <w:r>
        <w:rPr>
          <w:spacing w:val="11"/>
        </w:rPr>
        <w:t> </w:t>
      </w:r>
      <w:r>
        <w:rPr/>
        <w:t>la</w:t>
      </w:r>
      <w:r>
        <w:rPr>
          <w:spacing w:val="40"/>
        </w:rPr>
        <w:t> </w:t>
      </w:r>
      <w:r>
        <w:rPr/>
        <w:t>Autoridad</w:t>
      </w:r>
      <w:r>
        <w:rPr>
          <w:spacing w:val="9"/>
        </w:rPr>
        <w:t> </w:t>
      </w:r>
      <w:r>
        <w:rPr/>
        <w:t>Municipal</w:t>
      </w:r>
      <w:r>
        <w:rPr>
          <w:spacing w:val="8"/>
        </w:rPr>
        <w:t> </w:t>
      </w:r>
      <w:r>
        <w:rPr/>
        <w:t>emitirá</w:t>
      </w:r>
      <w:r>
        <w:rPr>
          <w:spacing w:val="9"/>
        </w:rPr>
        <w:t> </w:t>
      </w:r>
      <w:r>
        <w:rPr/>
        <w:t>la</w:t>
      </w:r>
      <w:r>
        <w:rPr>
          <w:spacing w:val="8"/>
        </w:rPr>
        <w:t> </w:t>
      </w:r>
      <w:r>
        <w:rPr/>
        <w:t>nueva</w:t>
      </w:r>
    </w:p>
    <w:p>
      <w:pPr>
        <w:spacing w:after="0" w:line="247" w:lineRule="auto"/>
        <w:jc w:val="both"/>
        <w:sectPr>
          <w:type w:val="continuous"/>
          <w:pgSz w:w="23250" w:h="15310" w:orient="landscape"/>
          <w:pgMar w:top="0" w:bottom="0" w:left="1880" w:right="1520"/>
          <w:cols w:num="2" w:equalWidth="0">
            <w:col w:w="7754" w:space="3869"/>
            <w:col w:w="8227"/>
          </w:cols>
        </w:sectPr>
      </w:pPr>
    </w:p>
    <w:p>
      <w:pPr>
        <w:pStyle w:val="BodyText"/>
        <w:rPr>
          <w:sz w:val="20"/>
        </w:rPr>
      </w:pPr>
    </w:p>
    <w:p>
      <w:pPr>
        <w:pStyle w:val="BodyText"/>
        <w:spacing w:before="7"/>
        <w:rPr>
          <w:sz w:val="29"/>
        </w:rPr>
      </w:pPr>
    </w:p>
    <w:p>
      <w:pPr>
        <w:spacing w:after="0"/>
        <w:rPr>
          <w:sz w:val="29"/>
        </w:rPr>
        <w:sectPr>
          <w:headerReference w:type="default" r:id="rId53"/>
          <w:pgSz w:w="23250" w:h="15310" w:orient="landscape"/>
          <w:pgMar w:header="881" w:footer="499" w:top="1920" w:bottom="680" w:left="1880" w:right="1520"/>
        </w:sectPr>
      </w:pPr>
    </w:p>
    <w:p>
      <w:pPr>
        <w:pStyle w:val="BodyText"/>
        <w:spacing w:line="247" w:lineRule="auto" w:before="99"/>
        <w:ind w:left="151" w:right="233"/>
      </w:pPr>
      <w:r>
        <w:rPr/>
        <w:t>Licencia. EI pago de estos derechos se cubrirá de manera proporcionaI a Ios meses que resten aI ejercicio   fiscaI de que se</w:t>
      </w:r>
      <w:r>
        <w:rPr>
          <w:spacing w:val="3"/>
        </w:rPr>
        <w:t> </w:t>
      </w:r>
      <w:r>
        <w:rPr/>
        <w:t>trate.</w:t>
      </w:r>
    </w:p>
    <w:p>
      <w:pPr>
        <w:pStyle w:val="BodyText"/>
        <w:spacing w:before="3"/>
      </w:pPr>
    </w:p>
    <w:p>
      <w:pPr>
        <w:pStyle w:val="BodyText"/>
        <w:spacing w:line="247" w:lineRule="auto"/>
        <w:ind w:left="151" w:right="39" w:firstLine="397"/>
        <w:jc w:val="both"/>
      </w:pPr>
      <w:r>
        <w:rPr/>
        <w:t>EI pago de Ios derechos a que se refieren Ias fracciones anteriores deberán enterarse a Ia Hacienda MunicipaI, en un pIazo improrrogabIe de quince días, transcurrido este pIazo y no hecho eI pago, quedarán sin efecto Ios trámites reaIizados;</w:t>
      </w:r>
    </w:p>
    <w:p>
      <w:pPr>
        <w:pStyle w:val="BodyText"/>
        <w:spacing w:before="3"/>
      </w:pPr>
    </w:p>
    <w:p>
      <w:pPr>
        <w:pStyle w:val="BodyText"/>
        <w:spacing w:line="247" w:lineRule="auto"/>
        <w:ind w:left="151" w:right="39" w:firstLine="313"/>
        <w:jc w:val="both"/>
      </w:pPr>
      <w:r>
        <w:rPr/>
        <w:t>VI.- Tratándose de giros comerciaIes, industriaIes o de prestación de servicios suspendidos con motivo     deI convenio de coordinación fiscaI en materia de derechos, no causarán Ios pagos a que se refieren Ias fracciones I, II, III, IV y V de este artícuIo, siendo necesario únicamente eI pago de Ios productos correspondientes y Ia autorización</w:t>
      </w:r>
      <w:r>
        <w:rPr>
          <w:spacing w:val="3"/>
        </w:rPr>
        <w:t> </w:t>
      </w:r>
      <w:r>
        <w:rPr/>
        <w:t>municipaI;</w:t>
      </w:r>
    </w:p>
    <w:p>
      <w:pPr>
        <w:pStyle w:val="BodyText"/>
        <w:spacing w:before="2"/>
      </w:pPr>
    </w:p>
    <w:p>
      <w:pPr>
        <w:pStyle w:val="BodyText"/>
        <w:spacing w:line="244" w:lineRule="auto"/>
        <w:ind w:left="151" w:right="38" w:firstLine="397"/>
        <w:jc w:val="both"/>
      </w:pPr>
      <w:r>
        <w:rPr/>
        <w:t>VII.- Cuando Ia modificación aI padrón se reaIice por disposición de Ia autoridad municipaI,  no  se  causará este derecho, debiendo pagar únicamente eI monto de Ias formas correspondientes,  para  cuyos efectos Ia autoridad municipaI emitirá acuerdo fundado y</w:t>
      </w:r>
      <w:r>
        <w:rPr>
          <w:spacing w:val="16"/>
        </w:rPr>
        <w:t> </w:t>
      </w:r>
      <w:r>
        <w:rPr/>
        <w:t>motivado.</w:t>
      </w:r>
    </w:p>
    <w:p>
      <w:pPr>
        <w:pStyle w:val="BodyText"/>
        <w:spacing w:before="8"/>
      </w:pPr>
    </w:p>
    <w:p>
      <w:pPr>
        <w:pStyle w:val="BodyText"/>
        <w:ind w:left="563"/>
      </w:pPr>
      <w:r>
        <w:rPr>
          <w:b/>
        </w:rPr>
        <w:t>Artículo 11.-</w:t>
      </w:r>
      <w:r>
        <w:rPr/>
        <w:t>La baja administrativa de Ia Iicencia podrá ser de oficio, a petición de parte u ordinaria:</w:t>
      </w:r>
    </w:p>
    <w:p>
      <w:pPr>
        <w:pStyle w:val="BodyText"/>
        <w:spacing w:before="10"/>
        <w:rPr>
          <w:sz w:val="16"/>
        </w:rPr>
      </w:pPr>
    </w:p>
    <w:p>
      <w:pPr>
        <w:pStyle w:val="ListParagraph"/>
        <w:numPr>
          <w:ilvl w:val="1"/>
          <w:numId w:val="2"/>
        </w:numPr>
        <w:tabs>
          <w:tab w:pos="773" w:val="left" w:leader="none"/>
        </w:tabs>
        <w:spacing w:line="247" w:lineRule="auto" w:before="0" w:after="0"/>
        <w:ind w:left="151" w:right="39" w:firstLine="397"/>
        <w:jc w:val="both"/>
        <w:rPr>
          <w:sz w:val="15"/>
        </w:rPr>
      </w:pPr>
      <w:r>
        <w:rPr>
          <w:sz w:val="15"/>
        </w:rPr>
        <w:t>Procede de oficio cuando Ios tituIares de Ias Iicencias de giros o anuncios no hayan reaIizado eI pago de refrendo de Ias mismas en Ios úItimos cinco ejercicios fiscaIes contados a partir de que Ia autoridad   descubra Ia omisión; o en eI caso de que hayan sido omisos en dar eI aviso de baja correspondiente habiendo cesado Ia actividad para Ia cuaI fueron otorgadas. Podrán ser dadas de baja deI padrón de Iicencias y deI padrón fiscaI y canceIar Ios adeudos a partir de que cesó Ia actividad   siempre y cuando no obre constancia    de que haya sido requerido de pago eI contribuyente obIigado, debidamente</w:t>
      </w:r>
      <w:r>
        <w:rPr>
          <w:spacing w:val="35"/>
          <w:sz w:val="15"/>
        </w:rPr>
        <w:t> </w:t>
      </w:r>
      <w:r>
        <w:rPr>
          <w:sz w:val="15"/>
        </w:rPr>
        <w:t>notificada.</w:t>
      </w:r>
    </w:p>
    <w:p>
      <w:pPr>
        <w:pStyle w:val="BodyText"/>
      </w:pPr>
    </w:p>
    <w:p>
      <w:pPr>
        <w:pStyle w:val="ListParagraph"/>
        <w:numPr>
          <w:ilvl w:val="1"/>
          <w:numId w:val="2"/>
        </w:numPr>
        <w:tabs>
          <w:tab w:pos="820" w:val="left" w:leader="none"/>
        </w:tabs>
        <w:spacing w:line="247" w:lineRule="auto" w:before="0" w:after="0"/>
        <w:ind w:left="151" w:right="38" w:firstLine="397"/>
        <w:jc w:val="both"/>
        <w:rPr>
          <w:sz w:val="15"/>
        </w:rPr>
      </w:pPr>
      <w:r>
        <w:rPr>
          <w:sz w:val="15"/>
        </w:rPr>
        <w:t>Procede Ia baja administrativa a petición de parte cuando Ia soIicitud sea presentada por  eI  propietario deI inmuebIe que no es tituIar de Ia Iicencia por haber cesado Ia actividad para Ia cuaI fue otorgada, procediendo en este supuesto Ia canceIación de Ios adeudos correspondientes a partir de que cesó  Ia  actividad.</w:t>
      </w:r>
    </w:p>
    <w:p>
      <w:pPr>
        <w:pStyle w:val="BodyText"/>
        <w:spacing w:before="3"/>
      </w:pPr>
    </w:p>
    <w:p>
      <w:pPr>
        <w:pStyle w:val="BodyText"/>
        <w:spacing w:line="244" w:lineRule="auto"/>
        <w:ind w:left="151" w:right="39" w:firstLine="495"/>
        <w:jc w:val="both"/>
      </w:pPr>
      <w:r>
        <w:rPr/>
        <w:t>En caso de simuIación o engaño a Ia autoridad, eI propietario deI inmuebIe asumirá responsabiIidad soIidaria por Ia totaIidad de Ia obIigación eIudida.</w:t>
      </w:r>
    </w:p>
    <w:p>
      <w:pPr>
        <w:pStyle w:val="BodyText"/>
        <w:spacing w:before="7"/>
      </w:pPr>
    </w:p>
    <w:p>
      <w:pPr>
        <w:pStyle w:val="ListParagraph"/>
        <w:numPr>
          <w:ilvl w:val="1"/>
          <w:numId w:val="2"/>
        </w:numPr>
        <w:tabs>
          <w:tab w:pos="805" w:val="left" w:leader="none"/>
        </w:tabs>
        <w:spacing w:line="247" w:lineRule="auto" w:before="0" w:after="0"/>
        <w:ind w:left="151" w:right="38" w:firstLine="397"/>
        <w:jc w:val="both"/>
        <w:rPr>
          <w:sz w:val="15"/>
        </w:rPr>
      </w:pPr>
      <w:r>
        <w:rPr>
          <w:sz w:val="15"/>
        </w:rPr>
        <w:t>Procede Ia baja ordinaria cuando Ia soIicitud sea presentada por eI tituIar de Ia Iicencia o su representante IegaI y efectuada dentro deI periodo de refrendo ordinario. Para taI efecto deberá acreditar estar  aI corriente en eI pago de Ios derechos reIativos a Ios ejercicios de Ios 5 años anteriores aI de Ia soIicitud. En caso de presentar Ia soIicitud fuera deI periodo ordinario de refrendo, cubrirá eI refrendo por Ios meses trascurridos hasta Ia fecha en que efectúe eI pago correspondiente además de Ias muItas y recargos que procedan.</w:t>
      </w:r>
    </w:p>
    <w:p>
      <w:pPr>
        <w:pStyle w:val="BodyText"/>
        <w:spacing w:before="1"/>
      </w:pPr>
    </w:p>
    <w:p>
      <w:pPr>
        <w:pStyle w:val="BodyText"/>
        <w:spacing w:line="244" w:lineRule="auto"/>
        <w:ind w:left="151" w:right="41" w:firstLine="397"/>
        <w:jc w:val="both"/>
      </w:pPr>
      <w:r>
        <w:rPr/>
        <w:t>Una vez presentado eI aviso de baja, Ia misma se considerará definitiva, sin que eI interesado pueda desistirse deI trámite.</w:t>
      </w:r>
    </w:p>
    <w:p>
      <w:pPr>
        <w:pStyle w:val="BodyText"/>
        <w:spacing w:before="6"/>
      </w:pPr>
    </w:p>
    <w:p>
      <w:pPr>
        <w:spacing w:before="1"/>
        <w:ind w:left="548" w:right="0" w:firstLine="0"/>
        <w:jc w:val="left"/>
        <w:rPr>
          <w:sz w:val="15"/>
        </w:rPr>
      </w:pPr>
      <w:r>
        <w:rPr>
          <w:b/>
          <w:sz w:val="15"/>
        </w:rPr>
        <w:t>Artículo 12.- </w:t>
      </w:r>
      <w:r>
        <w:rPr>
          <w:sz w:val="15"/>
        </w:rPr>
        <w:t>Para Ios efectos de esta Iey, se entenderá por:</w:t>
      </w:r>
    </w:p>
    <w:p>
      <w:pPr>
        <w:pStyle w:val="BodyText"/>
        <w:spacing w:before="9"/>
      </w:pPr>
    </w:p>
    <w:p>
      <w:pPr>
        <w:pStyle w:val="ListParagraph"/>
        <w:numPr>
          <w:ilvl w:val="0"/>
          <w:numId w:val="3"/>
        </w:numPr>
        <w:tabs>
          <w:tab w:pos="680" w:val="left" w:leader="none"/>
        </w:tabs>
        <w:spacing w:line="247" w:lineRule="auto" w:before="0" w:after="0"/>
        <w:ind w:left="151" w:right="39" w:firstLine="397"/>
        <w:jc w:val="left"/>
        <w:rPr>
          <w:sz w:val="15"/>
        </w:rPr>
      </w:pPr>
      <w:r>
        <w:rPr>
          <w:sz w:val="15"/>
        </w:rPr>
        <w:t>Licencia: La autorización municipaI para Ia instaIación y funcionamiento de industrias, estabIecimientos comerciaIes, anuncios y Ia prestación de servicios, sean o no</w:t>
      </w:r>
      <w:r>
        <w:rPr>
          <w:spacing w:val="20"/>
          <w:sz w:val="15"/>
        </w:rPr>
        <w:t> </w:t>
      </w:r>
      <w:r>
        <w:rPr>
          <w:sz w:val="15"/>
        </w:rPr>
        <w:t>profesionaIes;</w:t>
      </w:r>
    </w:p>
    <w:p>
      <w:pPr>
        <w:pStyle w:val="BodyText"/>
        <w:spacing w:before="3"/>
      </w:pPr>
    </w:p>
    <w:p>
      <w:pPr>
        <w:pStyle w:val="ListParagraph"/>
        <w:numPr>
          <w:ilvl w:val="0"/>
          <w:numId w:val="3"/>
        </w:numPr>
        <w:tabs>
          <w:tab w:pos="769" w:val="left" w:leader="none"/>
        </w:tabs>
        <w:spacing w:line="247" w:lineRule="auto" w:before="0" w:after="0"/>
        <w:ind w:left="151" w:right="40" w:firstLine="397"/>
        <w:jc w:val="left"/>
        <w:rPr>
          <w:sz w:val="15"/>
        </w:rPr>
      </w:pPr>
      <w:r>
        <w:rPr>
          <w:sz w:val="15"/>
        </w:rPr>
        <w:t>Permiso: La autorización municipaI para Ia reaIización de actividades determinadas, señaIadas previamente por eI</w:t>
      </w:r>
      <w:r>
        <w:rPr>
          <w:spacing w:val="-5"/>
          <w:sz w:val="15"/>
        </w:rPr>
        <w:t> </w:t>
      </w:r>
      <w:r>
        <w:rPr>
          <w:sz w:val="15"/>
        </w:rPr>
        <w:t>Ayuntamiento;</w:t>
      </w:r>
    </w:p>
    <w:p>
      <w:pPr>
        <w:pStyle w:val="BodyText"/>
        <w:spacing w:before="4"/>
      </w:pPr>
    </w:p>
    <w:p>
      <w:pPr>
        <w:pStyle w:val="ListParagraph"/>
        <w:numPr>
          <w:ilvl w:val="0"/>
          <w:numId w:val="3"/>
        </w:numPr>
        <w:tabs>
          <w:tab w:pos="764" w:val="left" w:leader="none"/>
        </w:tabs>
        <w:spacing w:line="240" w:lineRule="auto" w:before="0" w:after="0"/>
        <w:ind w:left="763" w:right="0" w:hanging="216"/>
        <w:jc w:val="left"/>
        <w:rPr>
          <w:sz w:val="15"/>
        </w:rPr>
      </w:pPr>
      <w:r>
        <w:rPr>
          <w:sz w:val="15"/>
        </w:rPr>
        <w:t>Registro:</w:t>
      </w:r>
      <w:r>
        <w:rPr>
          <w:spacing w:val="4"/>
          <w:sz w:val="15"/>
        </w:rPr>
        <w:t> </w:t>
      </w:r>
      <w:r>
        <w:rPr>
          <w:sz w:val="15"/>
        </w:rPr>
        <w:t>La</w:t>
      </w:r>
      <w:r>
        <w:rPr>
          <w:spacing w:val="6"/>
          <w:sz w:val="15"/>
        </w:rPr>
        <w:t> </w:t>
      </w:r>
      <w:r>
        <w:rPr>
          <w:sz w:val="15"/>
        </w:rPr>
        <w:t>acción</w:t>
      </w:r>
      <w:r>
        <w:rPr>
          <w:spacing w:val="6"/>
          <w:sz w:val="15"/>
        </w:rPr>
        <w:t> </w:t>
      </w:r>
      <w:r>
        <w:rPr>
          <w:sz w:val="15"/>
        </w:rPr>
        <w:t>derivada</w:t>
      </w:r>
      <w:r>
        <w:rPr>
          <w:spacing w:val="6"/>
          <w:sz w:val="15"/>
        </w:rPr>
        <w:t> </w:t>
      </w:r>
      <w:r>
        <w:rPr>
          <w:sz w:val="15"/>
        </w:rPr>
        <w:t>de</w:t>
      </w:r>
      <w:r>
        <w:rPr>
          <w:spacing w:val="6"/>
          <w:sz w:val="15"/>
        </w:rPr>
        <w:t> </w:t>
      </w:r>
      <w:r>
        <w:rPr>
          <w:sz w:val="15"/>
        </w:rPr>
        <w:t>una</w:t>
      </w:r>
      <w:r>
        <w:rPr>
          <w:spacing w:val="6"/>
          <w:sz w:val="15"/>
        </w:rPr>
        <w:t> </w:t>
      </w:r>
      <w:r>
        <w:rPr>
          <w:sz w:val="15"/>
        </w:rPr>
        <w:t>inscripción</w:t>
      </w:r>
      <w:r>
        <w:rPr>
          <w:spacing w:val="6"/>
          <w:sz w:val="15"/>
        </w:rPr>
        <w:t> </w:t>
      </w:r>
      <w:r>
        <w:rPr>
          <w:sz w:val="15"/>
        </w:rPr>
        <w:t>o</w:t>
      </w:r>
      <w:r>
        <w:rPr>
          <w:spacing w:val="6"/>
          <w:sz w:val="15"/>
        </w:rPr>
        <w:t> </w:t>
      </w:r>
      <w:r>
        <w:rPr>
          <w:sz w:val="15"/>
        </w:rPr>
        <w:t>certificación</w:t>
      </w:r>
      <w:r>
        <w:rPr>
          <w:spacing w:val="6"/>
          <w:sz w:val="15"/>
        </w:rPr>
        <w:t> </w:t>
      </w:r>
      <w:r>
        <w:rPr>
          <w:sz w:val="15"/>
        </w:rPr>
        <w:t>que</w:t>
      </w:r>
      <w:r>
        <w:rPr>
          <w:spacing w:val="6"/>
          <w:sz w:val="15"/>
        </w:rPr>
        <w:t> </w:t>
      </w:r>
      <w:r>
        <w:rPr>
          <w:sz w:val="15"/>
        </w:rPr>
        <w:t>reaIiza</w:t>
      </w:r>
      <w:r>
        <w:rPr>
          <w:spacing w:val="6"/>
          <w:sz w:val="15"/>
        </w:rPr>
        <w:t> </w:t>
      </w:r>
      <w:r>
        <w:rPr>
          <w:sz w:val="15"/>
        </w:rPr>
        <w:t>Ia</w:t>
      </w:r>
      <w:r>
        <w:rPr>
          <w:spacing w:val="6"/>
          <w:sz w:val="15"/>
        </w:rPr>
        <w:t> </w:t>
      </w:r>
      <w:r>
        <w:rPr>
          <w:sz w:val="15"/>
        </w:rPr>
        <w:t>autoridad</w:t>
      </w:r>
      <w:r>
        <w:rPr>
          <w:spacing w:val="6"/>
          <w:sz w:val="15"/>
        </w:rPr>
        <w:t> </w:t>
      </w:r>
      <w:r>
        <w:rPr>
          <w:sz w:val="15"/>
        </w:rPr>
        <w:t>municipaI;</w:t>
      </w:r>
    </w:p>
    <w:p>
      <w:pPr>
        <w:pStyle w:val="BodyText"/>
        <w:spacing w:before="8"/>
      </w:pPr>
    </w:p>
    <w:p>
      <w:pPr>
        <w:pStyle w:val="ListParagraph"/>
        <w:numPr>
          <w:ilvl w:val="0"/>
          <w:numId w:val="3"/>
        </w:numPr>
        <w:tabs>
          <w:tab w:pos="779" w:val="left" w:leader="none"/>
        </w:tabs>
        <w:spacing w:line="247" w:lineRule="auto" w:before="1" w:after="0"/>
        <w:ind w:left="151" w:right="42" w:firstLine="397"/>
        <w:jc w:val="left"/>
        <w:rPr>
          <w:sz w:val="15"/>
        </w:rPr>
      </w:pPr>
      <w:r>
        <w:rPr>
          <w:sz w:val="15"/>
        </w:rPr>
        <w:t>Giro: Es todo tipo de actividad o grupo de actividades concretas ya sean económicas, comerciaIes, industriaIes o de prestación de servicios, según Ia cIasificación de Ios padrones deI</w:t>
      </w:r>
      <w:r>
        <w:rPr>
          <w:spacing w:val="36"/>
          <w:sz w:val="15"/>
        </w:rPr>
        <w:t> </w:t>
      </w:r>
      <w:r>
        <w:rPr>
          <w:sz w:val="15"/>
        </w:rPr>
        <w:t>Ayuntamiento;</w:t>
      </w:r>
    </w:p>
    <w:p>
      <w:pPr>
        <w:pStyle w:val="ListParagraph"/>
        <w:numPr>
          <w:ilvl w:val="0"/>
          <w:numId w:val="3"/>
        </w:numPr>
        <w:tabs>
          <w:tab w:pos="731" w:val="left" w:leader="none"/>
        </w:tabs>
        <w:spacing w:line="247" w:lineRule="auto" w:before="98" w:after="0"/>
        <w:ind w:left="151" w:right="509" w:firstLine="397"/>
        <w:jc w:val="both"/>
        <w:rPr>
          <w:sz w:val="15"/>
        </w:rPr>
      </w:pPr>
      <w:r>
        <w:rPr>
          <w:spacing w:val="-1"/>
          <w:w w:val="102"/>
          <w:sz w:val="15"/>
        </w:rPr>
        <w:br w:type="column"/>
      </w:r>
      <w:r>
        <w:rPr>
          <w:sz w:val="15"/>
        </w:rPr>
        <w:t>Establecimiento: </w:t>
      </w:r>
      <w:r>
        <w:rPr>
          <w:spacing w:val="-5"/>
          <w:sz w:val="15"/>
        </w:rPr>
        <w:t>Toda  </w:t>
      </w:r>
      <w:r>
        <w:rPr>
          <w:sz w:val="15"/>
        </w:rPr>
        <w:t>unidad económica instalada en un domicilio permanente para desarrollar   total   o parcialmente actividades comerciales, industriales o prestación de</w:t>
      </w:r>
      <w:r>
        <w:rPr>
          <w:spacing w:val="22"/>
          <w:sz w:val="15"/>
        </w:rPr>
        <w:t> </w:t>
      </w:r>
      <w:r>
        <w:rPr>
          <w:sz w:val="15"/>
        </w:rPr>
        <w:t>servicios;</w:t>
      </w:r>
    </w:p>
    <w:p>
      <w:pPr>
        <w:pStyle w:val="BodyText"/>
        <w:spacing w:before="3"/>
      </w:pPr>
    </w:p>
    <w:p>
      <w:pPr>
        <w:pStyle w:val="ListParagraph"/>
        <w:numPr>
          <w:ilvl w:val="0"/>
          <w:numId w:val="3"/>
        </w:numPr>
        <w:tabs>
          <w:tab w:pos="798" w:val="left" w:leader="none"/>
        </w:tabs>
        <w:spacing w:line="247" w:lineRule="auto" w:before="0" w:after="0"/>
        <w:ind w:left="151" w:right="510" w:firstLine="397"/>
        <w:jc w:val="both"/>
        <w:rPr>
          <w:sz w:val="15"/>
        </w:rPr>
      </w:pPr>
      <w:r>
        <w:rPr>
          <w:sz w:val="15"/>
        </w:rPr>
        <w:t>Local: Cada uno de los espacios abiertos o cerrados, en que se divide el interior y exterior de los mercados conforme haya sido su estructura original para el desarrollo de actividades comerciales, industriales    o prestación de servicios;</w:t>
      </w:r>
      <w:r>
        <w:rPr>
          <w:spacing w:val="4"/>
          <w:sz w:val="15"/>
        </w:rPr>
        <w:t> </w:t>
      </w:r>
      <w:r>
        <w:rPr>
          <w:sz w:val="15"/>
        </w:rPr>
        <w:t>y</w:t>
      </w:r>
    </w:p>
    <w:p>
      <w:pPr>
        <w:pStyle w:val="BodyText"/>
        <w:spacing w:before="4"/>
      </w:pPr>
    </w:p>
    <w:p>
      <w:pPr>
        <w:pStyle w:val="ListParagraph"/>
        <w:numPr>
          <w:ilvl w:val="0"/>
          <w:numId w:val="3"/>
        </w:numPr>
        <w:tabs>
          <w:tab w:pos="859" w:val="left" w:leader="none"/>
        </w:tabs>
        <w:spacing w:line="247" w:lineRule="auto" w:before="0" w:after="0"/>
        <w:ind w:left="151" w:right="507" w:firstLine="397"/>
        <w:jc w:val="both"/>
        <w:rPr>
          <w:sz w:val="15"/>
        </w:rPr>
      </w:pPr>
      <w:r>
        <w:rPr>
          <w:sz w:val="15"/>
        </w:rPr>
        <w:t>Puesto: </w:t>
      </w:r>
      <w:r>
        <w:rPr>
          <w:spacing w:val="-5"/>
          <w:sz w:val="15"/>
        </w:rPr>
        <w:t>Toda </w:t>
      </w:r>
      <w:r>
        <w:rPr>
          <w:sz w:val="15"/>
        </w:rPr>
        <w:t>instalación fija, semifija o móvil permanente o eventual en el que se desarrollen actividades comerciales o prestación de servicios en calles, plazas públicas, lugares públicos y  espacios  abiertos de predios privados. En el caso de cocheras, éstas podrán ser utilizadas sólo cuando se ejerza el comercio en puestos</w:t>
      </w:r>
      <w:r>
        <w:rPr>
          <w:spacing w:val="4"/>
          <w:sz w:val="15"/>
        </w:rPr>
        <w:t> </w:t>
      </w:r>
      <w:r>
        <w:rPr>
          <w:sz w:val="15"/>
        </w:rPr>
        <w:t>semifijos.</w:t>
      </w:r>
    </w:p>
    <w:p>
      <w:pPr>
        <w:pStyle w:val="BodyText"/>
        <w:spacing w:before="2"/>
      </w:pPr>
    </w:p>
    <w:p>
      <w:pPr>
        <w:pStyle w:val="ListParagraph"/>
        <w:numPr>
          <w:ilvl w:val="0"/>
          <w:numId w:val="3"/>
        </w:numPr>
        <w:tabs>
          <w:tab w:pos="880" w:val="left" w:leader="none"/>
        </w:tabs>
        <w:spacing w:line="244" w:lineRule="auto" w:before="0" w:after="0"/>
        <w:ind w:left="151" w:right="510" w:firstLine="397"/>
        <w:jc w:val="both"/>
        <w:rPr>
          <w:sz w:val="15"/>
        </w:rPr>
      </w:pPr>
      <w:r>
        <w:rPr>
          <w:sz w:val="15"/>
        </w:rPr>
        <w:t>Periodo de Refrendo ordinario: Periodo a partir del 1 de enero hasta lo establecido en el acuerdo emitido por la Tesorería Municipal, según lo dispuesto en el artículo 141 de la Ley de Hacienda Municipal del Estado de</w:t>
      </w:r>
      <w:r>
        <w:rPr>
          <w:spacing w:val="2"/>
          <w:sz w:val="15"/>
        </w:rPr>
        <w:t> </w:t>
      </w:r>
      <w:r>
        <w:rPr>
          <w:sz w:val="15"/>
        </w:rPr>
        <w:t>Jalisco.</w:t>
      </w:r>
    </w:p>
    <w:p>
      <w:pPr>
        <w:pStyle w:val="BodyText"/>
        <w:spacing w:before="7"/>
      </w:pPr>
    </w:p>
    <w:p>
      <w:pPr>
        <w:pStyle w:val="ListParagraph"/>
        <w:numPr>
          <w:ilvl w:val="0"/>
          <w:numId w:val="3"/>
        </w:numPr>
        <w:tabs>
          <w:tab w:pos="788" w:val="left" w:leader="none"/>
        </w:tabs>
        <w:spacing w:line="247" w:lineRule="auto" w:before="1" w:after="0"/>
        <w:ind w:left="151" w:right="508" w:firstLine="397"/>
        <w:jc w:val="both"/>
        <w:rPr>
          <w:sz w:val="15"/>
        </w:rPr>
      </w:pPr>
      <w:r>
        <w:rPr>
          <w:sz w:val="15"/>
        </w:rPr>
        <w:t>Periodo  de Refrendo extemporáneo: Periodo que comprende la fecha posterior al refrendo ordinario     y hasta el 31 de diciembre del ejercicio</w:t>
      </w:r>
      <w:r>
        <w:rPr>
          <w:spacing w:val="12"/>
          <w:sz w:val="15"/>
        </w:rPr>
        <w:t> </w:t>
      </w:r>
      <w:r>
        <w:rPr>
          <w:sz w:val="15"/>
        </w:rPr>
        <w:t>actual.</w:t>
      </w:r>
    </w:p>
    <w:p>
      <w:pPr>
        <w:pStyle w:val="BodyText"/>
        <w:spacing w:before="2"/>
      </w:pPr>
    </w:p>
    <w:p>
      <w:pPr>
        <w:pStyle w:val="ListParagraph"/>
        <w:numPr>
          <w:ilvl w:val="0"/>
          <w:numId w:val="3"/>
        </w:numPr>
        <w:tabs>
          <w:tab w:pos="743" w:val="left" w:leader="none"/>
        </w:tabs>
        <w:spacing w:line="247" w:lineRule="auto" w:before="1" w:after="0"/>
        <w:ind w:left="151" w:right="509" w:firstLine="397"/>
        <w:jc w:val="both"/>
        <w:rPr>
          <w:sz w:val="15"/>
        </w:rPr>
      </w:pPr>
      <w:r>
        <w:rPr>
          <w:sz w:val="15"/>
        </w:rPr>
        <w:t>Giro Principal: La actividad predominante autorizadas expresamente en la licencia de funcionamiento para un tipo de negocio en</w:t>
      </w:r>
      <w:r>
        <w:rPr>
          <w:spacing w:val="7"/>
          <w:sz w:val="15"/>
        </w:rPr>
        <w:t> </w:t>
      </w:r>
      <w:r>
        <w:rPr>
          <w:sz w:val="15"/>
        </w:rPr>
        <w:t>específico.</w:t>
      </w:r>
    </w:p>
    <w:p>
      <w:pPr>
        <w:pStyle w:val="BodyText"/>
        <w:spacing w:before="3"/>
      </w:pPr>
    </w:p>
    <w:p>
      <w:pPr>
        <w:pStyle w:val="ListParagraph"/>
        <w:numPr>
          <w:ilvl w:val="0"/>
          <w:numId w:val="3"/>
        </w:numPr>
        <w:tabs>
          <w:tab w:pos="804" w:val="left" w:leader="none"/>
        </w:tabs>
        <w:spacing w:line="247" w:lineRule="auto" w:before="1" w:after="0"/>
        <w:ind w:left="151" w:right="509" w:firstLine="397"/>
        <w:jc w:val="both"/>
        <w:rPr>
          <w:sz w:val="15"/>
        </w:rPr>
      </w:pPr>
      <w:r>
        <w:rPr>
          <w:sz w:val="15"/>
        </w:rPr>
        <w:t>Giro Complementario: La actividad o actividades afines al giro principal que se desarrollan en un establecimiento con el objeto de prestar un servicio integral y no  superen  en  importancia  y/o  existencias físicas al giro</w:t>
      </w:r>
      <w:r>
        <w:rPr>
          <w:spacing w:val="3"/>
          <w:sz w:val="15"/>
        </w:rPr>
        <w:t> </w:t>
      </w:r>
      <w:r>
        <w:rPr>
          <w:sz w:val="15"/>
        </w:rPr>
        <w:t>principal.</w:t>
      </w:r>
    </w:p>
    <w:p>
      <w:pPr>
        <w:pStyle w:val="BodyText"/>
        <w:spacing w:before="2"/>
      </w:pPr>
    </w:p>
    <w:p>
      <w:pPr>
        <w:pStyle w:val="ListParagraph"/>
        <w:numPr>
          <w:ilvl w:val="0"/>
          <w:numId w:val="3"/>
        </w:numPr>
        <w:tabs>
          <w:tab w:pos="860" w:val="left" w:leader="none"/>
        </w:tabs>
        <w:spacing w:line="247" w:lineRule="auto" w:before="0" w:after="0"/>
        <w:ind w:left="151" w:right="508" w:firstLine="397"/>
        <w:jc w:val="both"/>
        <w:rPr>
          <w:sz w:val="15"/>
        </w:rPr>
      </w:pPr>
      <w:r>
        <w:rPr>
          <w:sz w:val="15"/>
        </w:rPr>
        <w:t>Baja administrativa de oficio: Acción efectuada por la autoridad administrativa correspondiente, mediante la cual cancela o da de baja una licencia de giro o anuncio por haber cesado por cualquier causa la actividad relativa, sin necesidad de que medie solicitud del titular de la licencia, con la finalidad de depurar el padrón de licencias de giros comerciales, industriales o de prestación de</w:t>
      </w:r>
      <w:r>
        <w:rPr>
          <w:spacing w:val="30"/>
          <w:sz w:val="15"/>
        </w:rPr>
        <w:t> </w:t>
      </w:r>
      <w:r>
        <w:rPr>
          <w:sz w:val="15"/>
        </w:rPr>
        <w:t>servicios.</w:t>
      </w:r>
    </w:p>
    <w:p>
      <w:pPr>
        <w:pStyle w:val="BodyText"/>
        <w:spacing w:before="2"/>
      </w:pPr>
    </w:p>
    <w:p>
      <w:pPr>
        <w:pStyle w:val="ListParagraph"/>
        <w:numPr>
          <w:ilvl w:val="0"/>
          <w:numId w:val="3"/>
        </w:numPr>
        <w:tabs>
          <w:tab w:pos="882" w:val="left" w:leader="none"/>
        </w:tabs>
        <w:spacing w:line="247" w:lineRule="auto" w:before="0" w:after="0"/>
        <w:ind w:left="151" w:right="511" w:firstLine="397"/>
        <w:jc w:val="both"/>
        <w:rPr>
          <w:sz w:val="15"/>
        </w:rPr>
      </w:pPr>
      <w:r>
        <w:rPr>
          <w:sz w:val="15"/>
        </w:rPr>
        <w:t>Baja administrativa a petición de parte: Solicitud realizada por el propietario del predio que no es  titular de la licencia, mediante la cual se cancela o da de baja una licencia de giro o anuncio por haber cesado por cualquier causa la actividad</w:t>
      </w:r>
      <w:r>
        <w:rPr>
          <w:spacing w:val="7"/>
          <w:sz w:val="15"/>
        </w:rPr>
        <w:t> </w:t>
      </w:r>
      <w:r>
        <w:rPr>
          <w:sz w:val="15"/>
        </w:rPr>
        <w:t>relativa.</w:t>
      </w:r>
    </w:p>
    <w:p>
      <w:pPr>
        <w:pStyle w:val="BodyText"/>
        <w:spacing w:before="4"/>
      </w:pPr>
    </w:p>
    <w:p>
      <w:pPr>
        <w:pStyle w:val="BodyText"/>
        <w:spacing w:line="244" w:lineRule="auto"/>
        <w:ind w:left="151" w:right="510" w:firstLine="397"/>
        <w:jc w:val="both"/>
      </w:pPr>
      <w:r>
        <w:rPr/>
        <w:t>XIV Baja Ordinaria: solicitud realizada por el titular de la licencia para cancelar o dar de baja una licencia autorizada de giro o anuncio, por cese de actividades.</w:t>
      </w:r>
    </w:p>
    <w:p>
      <w:pPr>
        <w:pStyle w:val="BodyText"/>
        <w:spacing w:before="6"/>
      </w:pPr>
    </w:p>
    <w:p>
      <w:pPr>
        <w:pStyle w:val="BodyText"/>
        <w:spacing w:line="247" w:lineRule="auto"/>
        <w:ind w:left="151" w:right="509" w:firstLine="397"/>
        <w:jc w:val="both"/>
      </w:pPr>
      <w:r>
        <w:rPr/>
        <w:t>XV. Suspensión de Licencia: Pausa temporal de actividades comerciales, industriales o de prestación de servicio, realizada mediante solicitud del titular de la licencia de giro o anuncio.</w:t>
      </w:r>
    </w:p>
    <w:p>
      <w:pPr>
        <w:pStyle w:val="BodyText"/>
        <w:spacing w:before="3"/>
      </w:pPr>
    </w:p>
    <w:p>
      <w:pPr>
        <w:pStyle w:val="BodyText"/>
        <w:spacing w:line="247" w:lineRule="auto"/>
        <w:ind w:left="151" w:right="508" w:firstLine="397"/>
        <w:jc w:val="both"/>
      </w:pPr>
      <w:r>
        <w:rPr>
          <w:b/>
        </w:rPr>
        <w:t>Artículo 13.- </w:t>
      </w:r>
      <w:r>
        <w:rPr/>
        <w:t>Los arrendatarios de locales en mercados municipales pagarán los productos correspondientes. El gasto de luz, recolección de basura, mantenimiento, agua y de cualquier otro servicio de   los locales arrendados en los mercados, será exclusivamente a cargo del</w:t>
      </w:r>
      <w:r>
        <w:rPr>
          <w:spacing w:val="39"/>
        </w:rPr>
        <w:t> </w:t>
      </w:r>
      <w:r>
        <w:rPr/>
        <w:t>arrendatario.</w:t>
      </w:r>
    </w:p>
    <w:p>
      <w:pPr>
        <w:pStyle w:val="BodyText"/>
        <w:spacing w:before="4"/>
      </w:pPr>
    </w:p>
    <w:p>
      <w:pPr>
        <w:pStyle w:val="BodyText"/>
        <w:spacing w:line="247" w:lineRule="auto"/>
        <w:ind w:left="151" w:right="509" w:firstLine="397"/>
        <w:jc w:val="both"/>
      </w:pPr>
      <w:r>
        <w:rPr>
          <w:b/>
        </w:rPr>
        <w:t>Artículo 14.- </w:t>
      </w:r>
      <w:r>
        <w:rPr/>
        <w:t>Cuando los urbanizadores no enteren o no entreguen con la debida oportunidad las contribuciones, porciones, porcentajes o aportaciones que la legislación en materia de desarrollo urbano que corresponda al Municipio, el </w:t>
      </w:r>
      <w:r>
        <w:rPr>
          <w:spacing w:val="-3"/>
        </w:rPr>
        <w:t>Tesorero </w:t>
      </w:r>
      <w:r>
        <w:rPr/>
        <w:t>Municipal en coordinación con los Directores Generales de  Obras  Públicas y de Ordenamiento Territorial, deberán cuantificarlos de acuerdo con los datos que se obtengan al respecto, exigirlos de los propios contribuyentes y ejercitar, en su caso, el procedimiento administrativo de ejecución, cobrando su importe en</w:t>
      </w:r>
      <w:r>
        <w:rPr>
          <w:spacing w:val="6"/>
        </w:rPr>
        <w:t> </w:t>
      </w:r>
      <w:r>
        <w:rPr/>
        <w:t>efectivo.</w:t>
      </w:r>
    </w:p>
    <w:p>
      <w:pPr>
        <w:pStyle w:val="BodyText"/>
      </w:pPr>
    </w:p>
    <w:p>
      <w:pPr>
        <w:pStyle w:val="BodyText"/>
        <w:spacing w:line="247" w:lineRule="auto"/>
        <w:ind w:left="151" w:right="507" w:firstLine="397"/>
        <w:jc w:val="both"/>
      </w:pPr>
      <w:r>
        <w:rPr/>
        <w:t>Para los efectos de los predios irregulares que se inscribieron  a los decretos 16664 o 19580, y se acojan  al decreto 20,920 aprobados por el Congreso del Estado de Jalisco y publicados por el ejecutivo estatal o la    Ley para la Regularización y Titulación de Predios Urbanos en el Estado de Jalisco, se aplicará un beneficio      de</w:t>
      </w:r>
      <w:r>
        <w:rPr>
          <w:spacing w:val="21"/>
        </w:rPr>
        <w:t> </w:t>
      </w:r>
      <w:r>
        <w:rPr/>
        <w:t>acuerdo</w:t>
      </w:r>
      <w:r>
        <w:rPr>
          <w:spacing w:val="21"/>
        </w:rPr>
        <w:t> </w:t>
      </w:r>
      <w:r>
        <w:rPr/>
        <w:t>al</w:t>
      </w:r>
      <w:r>
        <w:rPr>
          <w:spacing w:val="22"/>
        </w:rPr>
        <w:t> </w:t>
      </w:r>
      <w:r>
        <w:rPr/>
        <w:t>avalúo</w:t>
      </w:r>
      <w:r>
        <w:rPr>
          <w:spacing w:val="22"/>
        </w:rPr>
        <w:t> </w:t>
      </w:r>
      <w:r>
        <w:rPr/>
        <w:t>elaborado</w:t>
      </w:r>
      <w:r>
        <w:rPr>
          <w:spacing w:val="21"/>
        </w:rPr>
        <w:t> </w:t>
      </w:r>
      <w:r>
        <w:rPr/>
        <w:t>por</w:t>
      </w:r>
      <w:r>
        <w:rPr>
          <w:spacing w:val="21"/>
        </w:rPr>
        <w:t> </w:t>
      </w:r>
      <w:r>
        <w:rPr/>
        <w:t>la</w:t>
      </w:r>
      <w:r>
        <w:rPr>
          <w:spacing w:val="22"/>
        </w:rPr>
        <w:t> </w:t>
      </w:r>
      <w:r>
        <w:rPr/>
        <w:t>Dirección</w:t>
      </w:r>
      <w:r>
        <w:rPr>
          <w:spacing w:val="22"/>
        </w:rPr>
        <w:t> </w:t>
      </w:r>
      <w:r>
        <w:rPr/>
        <w:t>de</w:t>
      </w:r>
      <w:r>
        <w:rPr>
          <w:spacing w:val="21"/>
        </w:rPr>
        <w:t> </w:t>
      </w:r>
      <w:r>
        <w:rPr/>
        <w:t>Catastro</w:t>
      </w:r>
      <w:r>
        <w:rPr>
          <w:spacing w:val="22"/>
        </w:rPr>
        <w:t> </w:t>
      </w:r>
      <w:r>
        <w:rPr/>
        <w:t>Municipal</w:t>
      </w:r>
      <w:r>
        <w:rPr>
          <w:spacing w:val="22"/>
        </w:rPr>
        <w:t> </w:t>
      </w:r>
      <w:r>
        <w:rPr/>
        <w:t>para</w:t>
      </w:r>
      <w:r>
        <w:rPr>
          <w:spacing w:val="22"/>
        </w:rPr>
        <w:t> </w:t>
      </w:r>
      <w:r>
        <w:rPr/>
        <w:t>el</w:t>
      </w:r>
      <w:r>
        <w:rPr>
          <w:spacing w:val="22"/>
        </w:rPr>
        <w:t> </w:t>
      </w:r>
      <w:r>
        <w:rPr/>
        <w:t>cobro</w:t>
      </w:r>
      <w:r>
        <w:rPr>
          <w:spacing w:val="22"/>
        </w:rPr>
        <w:t> </w:t>
      </w:r>
      <w:r>
        <w:rPr/>
        <w:t>de</w:t>
      </w:r>
      <w:r>
        <w:rPr>
          <w:spacing w:val="21"/>
        </w:rPr>
        <w:t> </w:t>
      </w:r>
      <w:r>
        <w:rPr/>
        <w:t>las</w:t>
      </w:r>
      <w:r>
        <w:rPr>
          <w:spacing w:val="22"/>
        </w:rPr>
        <w:t> </w:t>
      </w:r>
      <w:r>
        <w:rPr/>
        <w:t>áreas</w:t>
      </w:r>
      <w:r>
        <w:rPr>
          <w:spacing w:val="22"/>
        </w:rPr>
        <w:t> </w:t>
      </w:r>
      <w:r>
        <w:rPr/>
        <w:t>de</w:t>
      </w:r>
      <w:r>
        <w:rPr>
          <w:spacing w:val="22"/>
        </w:rPr>
        <w:t> </w:t>
      </w:r>
      <w:r>
        <w:rPr/>
        <w:t>cesión</w:t>
      </w:r>
    </w:p>
    <w:p>
      <w:pPr>
        <w:spacing w:after="0" w:line="247" w:lineRule="auto"/>
        <w:jc w:val="both"/>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spacing w:before="7"/>
        <w:rPr>
          <w:sz w:val="29"/>
        </w:rPr>
      </w:pPr>
    </w:p>
    <w:p>
      <w:pPr>
        <w:spacing w:after="0"/>
        <w:rPr>
          <w:sz w:val="29"/>
        </w:rPr>
        <w:sectPr>
          <w:headerReference w:type="default" r:id="rId54"/>
          <w:pgSz w:w="23250" w:h="15310" w:orient="landscape"/>
          <w:pgMar w:header="881" w:footer="499" w:top="1920" w:bottom="680" w:left="1880" w:right="1520"/>
        </w:sectPr>
      </w:pPr>
    </w:p>
    <w:p>
      <w:pPr>
        <w:pStyle w:val="BodyText"/>
        <w:spacing w:line="247" w:lineRule="auto" w:before="99"/>
        <w:ind w:left="151" w:right="114"/>
      </w:pPr>
      <w:r>
        <w:rPr/>
        <w:t>para destinos hasta de un 90%, de acuerdo a la densidad de población, previo dictamen o acuerdo de la Comisión Municipal de Regularización (COMUR) o el Instituto Nacional del Suelo Sustentable (INSUS).</w:t>
      </w:r>
    </w:p>
    <w:p>
      <w:pPr>
        <w:pStyle w:val="BodyText"/>
        <w:spacing w:before="3"/>
      </w:pPr>
    </w:p>
    <w:p>
      <w:pPr>
        <w:pStyle w:val="BodyText"/>
        <w:spacing w:line="247" w:lineRule="auto"/>
        <w:ind w:left="151" w:right="39" w:firstLine="397"/>
        <w:jc w:val="both"/>
      </w:pPr>
      <w:r>
        <w:rPr/>
        <w:t>Cuando el urbanizador pretenda construir escuelas y el Municipio lo autorice, podrá el  primero  construirlas, debiendo apegarse a las normas del Instituto de la Infraestructura Física Educativa del Estado de Jalisco (INFEJAL), del Reglamento Municipal de Zonificación de Tlajomulco de Zúñiga, Jalisco y bajo la supervisión de la Dirección General de Obras Públicas quien las recibirá a su terminación y  ordenará en su  caso, las modificaciones procedentes quedando el urbanizador obligado a atenderlas, en el plazo que se fije previamente.</w:t>
      </w:r>
    </w:p>
    <w:p>
      <w:pPr>
        <w:pStyle w:val="BodyText"/>
        <w:spacing w:before="1"/>
      </w:pPr>
    </w:p>
    <w:p>
      <w:pPr>
        <w:pStyle w:val="BodyText"/>
        <w:spacing w:line="247" w:lineRule="auto"/>
        <w:ind w:left="151" w:right="38" w:firstLine="397"/>
        <w:jc w:val="both"/>
      </w:pPr>
      <w:r>
        <w:rPr>
          <w:b/>
        </w:rPr>
        <w:t>Artículo 15.- </w:t>
      </w:r>
      <w:r>
        <w:rPr/>
        <w:t>Los establecimientos comerciales, de servicios e Industriales, así como los puestos fijos, semifijos, ambulantes, eventuales o permanentes que operen en el Municipio y los horarios para su funcionamiento, se regirán por las disposiciones contenidas en el reglamento correspondiente; así como tratándose de los giros previstos en la Ley para regular la </w:t>
      </w:r>
      <w:r>
        <w:rPr>
          <w:spacing w:val="-3"/>
        </w:rPr>
        <w:t>Venta  </w:t>
      </w:r>
      <w:r>
        <w:rPr/>
        <w:t>y Consumo de Bebidas Alcohólicas en el  Estado de Jalisco y su</w:t>
      </w:r>
      <w:r>
        <w:rPr>
          <w:spacing w:val="6"/>
        </w:rPr>
        <w:t> </w:t>
      </w:r>
      <w:r>
        <w:rPr/>
        <w:t>reglamento.</w:t>
      </w:r>
    </w:p>
    <w:p>
      <w:pPr>
        <w:pStyle w:val="BodyText"/>
        <w:spacing w:before="2"/>
      </w:pPr>
    </w:p>
    <w:p>
      <w:pPr>
        <w:pStyle w:val="BodyText"/>
        <w:spacing w:line="247" w:lineRule="auto"/>
        <w:ind w:left="151" w:right="40" w:firstLine="397"/>
        <w:jc w:val="both"/>
      </w:pPr>
      <w:r>
        <w:rPr>
          <w:b/>
        </w:rPr>
        <w:t>Artículo 16.- </w:t>
      </w:r>
      <w:r>
        <w:rPr/>
        <w:t>La realización de eventos, espectáculos y diversiones públicas, ya  sea  de  manera  eventual, permanente o por una sola ocasión deberá sujetarse a  las siguientes disposiciones, sin perjuicio de  las demás consignadas en los reglamentos u ordenamientos</w:t>
      </w:r>
      <w:r>
        <w:rPr>
          <w:spacing w:val="19"/>
        </w:rPr>
        <w:t> </w:t>
      </w:r>
      <w:r>
        <w:rPr/>
        <w:t>respectivos.</w:t>
      </w:r>
    </w:p>
    <w:p>
      <w:pPr>
        <w:pStyle w:val="BodyText"/>
        <w:spacing w:before="2"/>
      </w:pPr>
    </w:p>
    <w:p>
      <w:pPr>
        <w:pStyle w:val="BodyText"/>
        <w:spacing w:line="247" w:lineRule="auto"/>
        <w:ind w:left="151" w:right="39" w:firstLine="397"/>
        <w:jc w:val="both"/>
      </w:pPr>
      <w:r>
        <w:rPr/>
        <w:t>Para el caso de que la expedición del boletaje o controles similares se hagan por medios electrónicos, la persona física o jurídica responsable de dicha operación será deudor solidario con respecto del pago del impuesto sobre espectáculos públicos, para el caso que el organizador sea omiso en cumplir con el mismo:</w:t>
      </w:r>
    </w:p>
    <w:p>
      <w:pPr>
        <w:pStyle w:val="BodyText"/>
        <w:spacing w:before="4"/>
      </w:pPr>
    </w:p>
    <w:p>
      <w:pPr>
        <w:pStyle w:val="ListParagraph"/>
        <w:numPr>
          <w:ilvl w:val="0"/>
          <w:numId w:val="4"/>
        </w:numPr>
        <w:tabs>
          <w:tab w:pos="689" w:val="left" w:leader="none"/>
        </w:tabs>
        <w:spacing w:line="247" w:lineRule="auto" w:before="0" w:after="0"/>
        <w:ind w:left="151" w:right="39" w:firstLine="397"/>
        <w:jc w:val="both"/>
        <w:rPr>
          <w:sz w:val="15"/>
        </w:rPr>
      </w:pPr>
      <w:r>
        <w:rPr>
          <w:sz w:val="15"/>
        </w:rPr>
        <w:t>En todos los eventos, diversiones y espectáculos públicos en que se cobre el ingreso, a través de la venta de boletos impresos o electrónicos, se deberá contar con  la autorización previa de la Dirección General  de Padrón y Licencias y para el sellado del tiraje total emitido el cual en ningún caso  será  mayor  a  la capacidad o aforo del lugar en donde se realice el evento; así  mismo la persona física o moral responsable de   la operación de los boletos electrónicos, pondrán a disposición de la Autoridad Municipal, los manuales de la operación de los sistemas y entregar al día siguiente hábil los reportes de resultados que se le soliciten y en general adoptar las medidas de control que para la correcta determinación del impuesto establezca  la  Tesorería.</w:t>
      </w:r>
    </w:p>
    <w:p>
      <w:pPr>
        <w:pStyle w:val="BodyText"/>
        <w:spacing w:before="11"/>
        <w:rPr>
          <w:sz w:val="14"/>
        </w:rPr>
      </w:pPr>
    </w:p>
    <w:p>
      <w:pPr>
        <w:pStyle w:val="BodyText"/>
        <w:spacing w:line="247" w:lineRule="auto"/>
        <w:ind w:left="151" w:right="38" w:firstLine="397"/>
        <w:jc w:val="both"/>
      </w:pPr>
      <w:r>
        <w:rPr/>
        <w:t>Las personas físicas o jurídicas a las que les sea otorgado el permiso o autorización,  podrán  emitir boletos de cortesías que no podrán exceder del 10% del aforo autorizado en el permiso correspondiente, debiendo presentar el tiraje para que sean debidamente foliados y autorizados por la Dirección General de Padrón y</w:t>
      </w:r>
      <w:r>
        <w:rPr>
          <w:spacing w:val="2"/>
        </w:rPr>
        <w:t> </w:t>
      </w:r>
      <w:r>
        <w:rPr/>
        <w:t>Licencias;</w:t>
      </w:r>
    </w:p>
    <w:p>
      <w:pPr>
        <w:pStyle w:val="BodyText"/>
        <w:spacing w:before="2"/>
      </w:pPr>
    </w:p>
    <w:p>
      <w:pPr>
        <w:pStyle w:val="ListParagraph"/>
        <w:numPr>
          <w:ilvl w:val="0"/>
          <w:numId w:val="4"/>
        </w:numPr>
        <w:tabs>
          <w:tab w:pos="753" w:val="left" w:leader="none"/>
        </w:tabs>
        <w:spacing w:line="247" w:lineRule="auto" w:before="0" w:after="0"/>
        <w:ind w:left="151" w:right="39" w:firstLine="397"/>
        <w:jc w:val="both"/>
        <w:rPr>
          <w:sz w:val="15"/>
        </w:rPr>
      </w:pPr>
      <w:r>
        <w:rPr>
          <w:sz w:val="15"/>
        </w:rPr>
        <w:t>Para los efectos de la aplicación de esta </w:t>
      </w:r>
      <w:r>
        <w:rPr>
          <w:spacing w:val="-4"/>
          <w:sz w:val="15"/>
        </w:rPr>
        <w:t>ley, </w:t>
      </w:r>
      <w:r>
        <w:rPr>
          <w:sz w:val="15"/>
        </w:rPr>
        <w:t>se consideran espectáculos y diversiones públicas eventuales o por una sola ocasión, aquellos cuya realización no constituya parte de la actividad habitual del  lugar donde se presente y exista venta de boletaje para el ingreso al lugar, debiendo realizar la persona física     o moral el respectivo pago de impuesto al día siguiente hábil en las  oficinas  de  </w:t>
      </w:r>
      <w:r>
        <w:rPr>
          <w:spacing w:val="-3"/>
          <w:sz w:val="15"/>
        </w:rPr>
        <w:t>Tesorería  </w:t>
      </w:r>
      <w:r>
        <w:rPr>
          <w:sz w:val="15"/>
        </w:rPr>
        <w:t>Municipal,  de acuerdo</w:t>
      </w:r>
      <w:r>
        <w:rPr>
          <w:spacing w:val="6"/>
          <w:sz w:val="15"/>
        </w:rPr>
        <w:t> </w:t>
      </w:r>
      <w:r>
        <w:rPr>
          <w:sz w:val="15"/>
        </w:rPr>
        <w:t>a</w:t>
      </w:r>
      <w:r>
        <w:rPr>
          <w:spacing w:val="6"/>
          <w:sz w:val="15"/>
        </w:rPr>
        <w:t> </w:t>
      </w:r>
      <w:r>
        <w:rPr>
          <w:sz w:val="15"/>
        </w:rPr>
        <w:t>lo</w:t>
      </w:r>
      <w:r>
        <w:rPr>
          <w:spacing w:val="4"/>
          <w:sz w:val="15"/>
        </w:rPr>
        <w:t> </w:t>
      </w:r>
      <w:r>
        <w:rPr>
          <w:sz w:val="15"/>
        </w:rPr>
        <w:t>previsto</w:t>
      </w:r>
      <w:r>
        <w:rPr>
          <w:spacing w:val="6"/>
          <w:sz w:val="15"/>
        </w:rPr>
        <w:t> </w:t>
      </w:r>
      <w:r>
        <w:rPr>
          <w:sz w:val="15"/>
        </w:rPr>
        <w:t>en</w:t>
      </w:r>
      <w:r>
        <w:rPr>
          <w:spacing w:val="6"/>
          <w:sz w:val="15"/>
        </w:rPr>
        <w:t> </w:t>
      </w:r>
      <w:r>
        <w:rPr>
          <w:sz w:val="15"/>
        </w:rPr>
        <w:t>el</w:t>
      </w:r>
      <w:r>
        <w:rPr>
          <w:spacing w:val="-4"/>
          <w:sz w:val="15"/>
        </w:rPr>
        <w:t> </w:t>
      </w:r>
      <w:r>
        <w:rPr>
          <w:sz w:val="15"/>
        </w:rPr>
        <w:t>Artículo</w:t>
      </w:r>
      <w:r>
        <w:rPr>
          <w:spacing w:val="6"/>
          <w:sz w:val="15"/>
        </w:rPr>
        <w:t> </w:t>
      </w:r>
      <w:r>
        <w:rPr>
          <w:sz w:val="15"/>
        </w:rPr>
        <w:t>77,</w:t>
      </w:r>
      <w:r>
        <w:rPr>
          <w:spacing w:val="6"/>
          <w:sz w:val="15"/>
        </w:rPr>
        <w:t> </w:t>
      </w:r>
      <w:r>
        <w:rPr>
          <w:sz w:val="15"/>
        </w:rPr>
        <w:t>fracción</w:t>
      </w:r>
      <w:r>
        <w:rPr>
          <w:spacing w:val="6"/>
          <w:sz w:val="15"/>
        </w:rPr>
        <w:t> </w:t>
      </w:r>
      <w:r>
        <w:rPr>
          <w:sz w:val="15"/>
        </w:rPr>
        <w:t>II</w:t>
      </w:r>
      <w:r>
        <w:rPr>
          <w:spacing w:val="5"/>
          <w:sz w:val="15"/>
        </w:rPr>
        <w:t> </w:t>
      </w:r>
      <w:r>
        <w:rPr>
          <w:sz w:val="15"/>
        </w:rPr>
        <w:t>de</w:t>
      </w:r>
      <w:r>
        <w:rPr>
          <w:spacing w:val="6"/>
          <w:sz w:val="15"/>
        </w:rPr>
        <w:t> </w:t>
      </w:r>
      <w:r>
        <w:rPr>
          <w:sz w:val="15"/>
        </w:rPr>
        <w:t>la</w:t>
      </w:r>
      <w:r>
        <w:rPr>
          <w:spacing w:val="6"/>
          <w:sz w:val="15"/>
        </w:rPr>
        <w:t> </w:t>
      </w:r>
      <w:r>
        <w:rPr>
          <w:sz w:val="15"/>
        </w:rPr>
        <w:t>Ley</w:t>
      </w:r>
      <w:r>
        <w:rPr>
          <w:spacing w:val="7"/>
          <w:sz w:val="15"/>
        </w:rPr>
        <w:t> </w:t>
      </w:r>
      <w:r>
        <w:rPr>
          <w:sz w:val="15"/>
        </w:rPr>
        <w:t>de</w:t>
      </w:r>
      <w:r>
        <w:rPr>
          <w:spacing w:val="6"/>
          <w:sz w:val="15"/>
        </w:rPr>
        <w:t> </w:t>
      </w:r>
      <w:r>
        <w:rPr>
          <w:sz w:val="15"/>
        </w:rPr>
        <w:t>Hacienda</w:t>
      </w:r>
      <w:r>
        <w:rPr>
          <w:spacing w:val="5"/>
          <w:sz w:val="15"/>
        </w:rPr>
        <w:t> </w:t>
      </w:r>
      <w:r>
        <w:rPr>
          <w:sz w:val="15"/>
        </w:rPr>
        <w:t>Municipal</w:t>
      </w:r>
      <w:r>
        <w:rPr>
          <w:spacing w:val="6"/>
          <w:sz w:val="15"/>
        </w:rPr>
        <w:t> </w:t>
      </w:r>
      <w:r>
        <w:rPr>
          <w:sz w:val="15"/>
        </w:rPr>
        <w:t>del</w:t>
      </w:r>
      <w:r>
        <w:rPr>
          <w:spacing w:val="6"/>
          <w:sz w:val="15"/>
        </w:rPr>
        <w:t> </w:t>
      </w:r>
      <w:r>
        <w:rPr>
          <w:sz w:val="15"/>
        </w:rPr>
        <w:t>Estado</w:t>
      </w:r>
      <w:r>
        <w:rPr>
          <w:spacing w:val="6"/>
          <w:sz w:val="15"/>
        </w:rPr>
        <w:t> </w:t>
      </w:r>
      <w:r>
        <w:rPr>
          <w:sz w:val="15"/>
        </w:rPr>
        <w:t>de</w:t>
      </w:r>
      <w:r>
        <w:rPr>
          <w:spacing w:val="6"/>
          <w:sz w:val="15"/>
        </w:rPr>
        <w:t> </w:t>
      </w:r>
      <w:r>
        <w:rPr>
          <w:sz w:val="15"/>
        </w:rPr>
        <w:t>Jalisco.</w:t>
      </w:r>
    </w:p>
    <w:p>
      <w:pPr>
        <w:pStyle w:val="BodyText"/>
        <w:spacing w:before="2"/>
      </w:pPr>
    </w:p>
    <w:p>
      <w:pPr>
        <w:pStyle w:val="ListParagraph"/>
        <w:numPr>
          <w:ilvl w:val="0"/>
          <w:numId w:val="4"/>
        </w:numPr>
        <w:tabs>
          <w:tab w:pos="775" w:val="left" w:leader="none"/>
        </w:tabs>
        <w:spacing w:line="247" w:lineRule="auto" w:before="0" w:after="0"/>
        <w:ind w:left="151" w:right="38" w:firstLine="397"/>
        <w:jc w:val="both"/>
        <w:rPr>
          <w:sz w:val="15"/>
        </w:rPr>
      </w:pPr>
      <w:r>
        <w:rPr>
          <w:sz w:val="15"/>
        </w:rPr>
        <w:t>Los organizadores deberán garantizar la seguridad de los asistentes en los términos que determine      la Autoridad Municipal competente en materia de seguridad pública, ya sea mediante la  contratación  de  cuerpos de seguridad privada o, en su defecto, a través de las Autoridades Municipales respectivas, en cuyo caso deberán pagar al erario Municipal los gastos y los accesorios que deriven de la contratación de los    policías</w:t>
      </w:r>
      <w:r>
        <w:rPr>
          <w:spacing w:val="12"/>
          <w:sz w:val="15"/>
        </w:rPr>
        <w:t> </w:t>
      </w:r>
      <w:r>
        <w:rPr>
          <w:sz w:val="15"/>
        </w:rPr>
        <w:t>municipales,</w:t>
      </w:r>
      <w:r>
        <w:rPr>
          <w:spacing w:val="12"/>
          <w:sz w:val="15"/>
        </w:rPr>
        <w:t> </w:t>
      </w:r>
      <w:r>
        <w:rPr>
          <w:sz w:val="15"/>
        </w:rPr>
        <w:t>además</w:t>
      </w:r>
      <w:r>
        <w:rPr>
          <w:spacing w:val="12"/>
          <w:sz w:val="15"/>
        </w:rPr>
        <w:t> </w:t>
      </w:r>
      <w:r>
        <w:rPr>
          <w:sz w:val="15"/>
        </w:rPr>
        <w:t>de</w:t>
      </w:r>
      <w:r>
        <w:rPr>
          <w:spacing w:val="13"/>
          <w:sz w:val="15"/>
        </w:rPr>
        <w:t> </w:t>
      </w:r>
      <w:r>
        <w:rPr>
          <w:sz w:val="15"/>
        </w:rPr>
        <w:t>los</w:t>
      </w:r>
      <w:r>
        <w:rPr>
          <w:spacing w:val="12"/>
          <w:sz w:val="15"/>
        </w:rPr>
        <w:t> </w:t>
      </w:r>
      <w:r>
        <w:rPr>
          <w:sz w:val="15"/>
        </w:rPr>
        <w:t>elementos</w:t>
      </w:r>
      <w:r>
        <w:rPr>
          <w:spacing w:val="12"/>
          <w:sz w:val="15"/>
        </w:rPr>
        <w:t> </w:t>
      </w:r>
      <w:r>
        <w:rPr>
          <w:sz w:val="15"/>
        </w:rPr>
        <w:t>de</w:t>
      </w:r>
      <w:r>
        <w:rPr>
          <w:spacing w:val="12"/>
          <w:sz w:val="15"/>
        </w:rPr>
        <w:t> </w:t>
      </w:r>
      <w:r>
        <w:rPr>
          <w:sz w:val="15"/>
        </w:rPr>
        <w:t>protección</w:t>
      </w:r>
      <w:r>
        <w:rPr>
          <w:spacing w:val="13"/>
          <w:sz w:val="15"/>
        </w:rPr>
        <w:t> </w:t>
      </w:r>
      <w:r>
        <w:rPr>
          <w:sz w:val="15"/>
        </w:rPr>
        <w:t>civil,</w:t>
      </w:r>
      <w:r>
        <w:rPr>
          <w:spacing w:val="12"/>
          <w:sz w:val="15"/>
        </w:rPr>
        <w:t> </w:t>
      </w:r>
      <w:r>
        <w:rPr>
          <w:sz w:val="15"/>
        </w:rPr>
        <w:t>interventores,</w:t>
      </w:r>
      <w:r>
        <w:rPr>
          <w:spacing w:val="12"/>
          <w:sz w:val="15"/>
        </w:rPr>
        <w:t> </w:t>
      </w:r>
      <w:r>
        <w:rPr>
          <w:sz w:val="15"/>
        </w:rPr>
        <w:t>paramédicos</w:t>
      </w:r>
      <w:r>
        <w:rPr>
          <w:spacing w:val="12"/>
          <w:sz w:val="15"/>
        </w:rPr>
        <w:t> </w:t>
      </w:r>
      <w:r>
        <w:rPr>
          <w:sz w:val="15"/>
        </w:rPr>
        <w:t>y</w:t>
      </w:r>
      <w:r>
        <w:rPr>
          <w:spacing w:val="13"/>
          <w:sz w:val="15"/>
        </w:rPr>
        <w:t> </w:t>
      </w:r>
      <w:r>
        <w:rPr>
          <w:sz w:val="15"/>
        </w:rPr>
        <w:t>reglamentos;</w:t>
      </w:r>
    </w:p>
    <w:p>
      <w:pPr>
        <w:pStyle w:val="BodyText"/>
        <w:spacing w:before="1"/>
      </w:pPr>
    </w:p>
    <w:p>
      <w:pPr>
        <w:pStyle w:val="ListParagraph"/>
        <w:numPr>
          <w:ilvl w:val="0"/>
          <w:numId w:val="4"/>
        </w:numPr>
        <w:tabs>
          <w:tab w:pos="786" w:val="left" w:leader="none"/>
        </w:tabs>
        <w:spacing w:line="247" w:lineRule="auto" w:before="0" w:after="0"/>
        <w:ind w:left="151" w:right="38" w:firstLine="397"/>
        <w:jc w:val="both"/>
        <w:rPr>
          <w:sz w:val="15"/>
        </w:rPr>
      </w:pPr>
      <w:r>
        <w:rPr>
          <w:sz w:val="15"/>
        </w:rPr>
        <w:t>Los eventos, espectáculos públicos o diversiones, que se lleven a cabo con fines de beneficencia pública</w:t>
      </w:r>
      <w:r>
        <w:rPr>
          <w:spacing w:val="4"/>
          <w:sz w:val="15"/>
        </w:rPr>
        <w:t> </w:t>
      </w:r>
      <w:r>
        <w:rPr>
          <w:sz w:val="15"/>
        </w:rPr>
        <w:t>o</w:t>
      </w:r>
      <w:r>
        <w:rPr>
          <w:spacing w:val="4"/>
          <w:sz w:val="15"/>
        </w:rPr>
        <w:t> </w:t>
      </w:r>
      <w:r>
        <w:rPr>
          <w:sz w:val="15"/>
        </w:rPr>
        <w:t>social,</w:t>
      </w:r>
      <w:r>
        <w:rPr>
          <w:spacing w:val="4"/>
          <w:sz w:val="15"/>
        </w:rPr>
        <w:t> </w:t>
      </w:r>
      <w:r>
        <w:rPr>
          <w:sz w:val="15"/>
        </w:rPr>
        <w:t>deberán</w:t>
      </w:r>
      <w:r>
        <w:rPr>
          <w:spacing w:val="5"/>
          <w:sz w:val="15"/>
        </w:rPr>
        <w:t> </w:t>
      </w:r>
      <w:r>
        <w:rPr>
          <w:sz w:val="15"/>
        </w:rPr>
        <w:t>recabar</w:t>
      </w:r>
      <w:r>
        <w:rPr>
          <w:spacing w:val="5"/>
          <w:sz w:val="15"/>
        </w:rPr>
        <w:t> </w:t>
      </w:r>
      <w:r>
        <w:rPr>
          <w:sz w:val="15"/>
        </w:rPr>
        <w:t>previamente</w:t>
      </w:r>
      <w:r>
        <w:rPr>
          <w:spacing w:val="4"/>
          <w:sz w:val="15"/>
        </w:rPr>
        <w:t> </w:t>
      </w:r>
      <w:r>
        <w:rPr>
          <w:sz w:val="15"/>
        </w:rPr>
        <w:t>el</w:t>
      </w:r>
      <w:r>
        <w:rPr>
          <w:spacing w:val="5"/>
          <w:sz w:val="15"/>
        </w:rPr>
        <w:t> </w:t>
      </w:r>
      <w:r>
        <w:rPr>
          <w:sz w:val="15"/>
        </w:rPr>
        <w:t>permiso</w:t>
      </w:r>
      <w:r>
        <w:rPr>
          <w:spacing w:val="5"/>
          <w:sz w:val="15"/>
        </w:rPr>
        <w:t> </w:t>
      </w:r>
      <w:r>
        <w:rPr>
          <w:sz w:val="15"/>
        </w:rPr>
        <w:t>respectivo</w:t>
      </w:r>
      <w:r>
        <w:rPr>
          <w:spacing w:val="4"/>
          <w:sz w:val="15"/>
        </w:rPr>
        <w:t> </w:t>
      </w:r>
      <w:r>
        <w:rPr>
          <w:sz w:val="15"/>
        </w:rPr>
        <w:t>de</w:t>
      </w:r>
      <w:r>
        <w:rPr>
          <w:spacing w:val="5"/>
          <w:sz w:val="15"/>
        </w:rPr>
        <w:t> </w:t>
      </w:r>
      <w:r>
        <w:rPr>
          <w:sz w:val="15"/>
        </w:rPr>
        <w:t>la</w:t>
      </w:r>
      <w:r>
        <w:rPr>
          <w:spacing w:val="4"/>
          <w:sz w:val="15"/>
        </w:rPr>
        <w:t> </w:t>
      </w:r>
      <w:r>
        <w:rPr>
          <w:sz w:val="15"/>
        </w:rPr>
        <w:t>autoridad</w:t>
      </w:r>
      <w:r>
        <w:rPr>
          <w:spacing w:val="4"/>
          <w:sz w:val="15"/>
        </w:rPr>
        <w:t> </w:t>
      </w:r>
      <w:r>
        <w:rPr>
          <w:sz w:val="15"/>
        </w:rPr>
        <w:t>municipal;</w:t>
      </w:r>
    </w:p>
    <w:p>
      <w:pPr>
        <w:pStyle w:val="BodyText"/>
        <w:spacing w:before="3"/>
      </w:pPr>
    </w:p>
    <w:p>
      <w:pPr>
        <w:pStyle w:val="ListParagraph"/>
        <w:numPr>
          <w:ilvl w:val="0"/>
          <w:numId w:val="4"/>
        </w:numPr>
        <w:tabs>
          <w:tab w:pos="741" w:val="left" w:leader="none"/>
        </w:tabs>
        <w:spacing w:line="247" w:lineRule="auto" w:before="0" w:after="0"/>
        <w:ind w:left="151" w:right="41" w:firstLine="397"/>
        <w:jc w:val="both"/>
        <w:rPr>
          <w:sz w:val="15"/>
        </w:rPr>
      </w:pPr>
      <w:r>
        <w:rPr>
          <w:sz w:val="15"/>
        </w:rPr>
        <w:t>Las personas físicas o jurídicas, que realicen espectáculos públicos en forma eventual, tendrán las siguientes</w:t>
      </w:r>
      <w:r>
        <w:rPr>
          <w:spacing w:val="1"/>
          <w:sz w:val="15"/>
        </w:rPr>
        <w:t> </w:t>
      </w:r>
      <w:r>
        <w:rPr>
          <w:sz w:val="15"/>
        </w:rPr>
        <w:t>obligaciones:</w:t>
      </w:r>
    </w:p>
    <w:p>
      <w:pPr>
        <w:pStyle w:val="ListParagraph"/>
        <w:numPr>
          <w:ilvl w:val="0"/>
          <w:numId w:val="5"/>
        </w:numPr>
        <w:tabs>
          <w:tab w:pos="741" w:val="left" w:leader="none"/>
        </w:tabs>
        <w:spacing w:line="247" w:lineRule="auto" w:before="98" w:after="0"/>
        <w:ind w:left="151" w:right="509" w:firstLine="397"/>
        <w:jc w:val="both"/>
        <w:rPr>
          <w:sz w:val="15"/>
        </w:rPr>
      </w:pPr>
      <w:r>
        <w:rPr>
          <w:spacing w:val="-1"/>
          <w:w w:val="102"/>
          <w:sz w:val="15"/>
        </w:rPr>
        <w:br w:type="column"/>
      </w:r>
      <w:r>
        <w:rPr>
          <w:sz w:val="15"/>
        </w:rPr>
        <w:t>Dar aviso de iniciación de actividades a la dependencia en materia de Padrón y Licencias, con diez   días hábiles de anticipación a la realización del espectáculo, señalando la fecha en que habrán de concluir sus actividades;</w:t>
      </w:r>
    </w:p>
    <w:p>
      <w:pPr>
        <w:pStyle w:val="BodyText"/>
        <w:spacing w:before="3"/>
      </w:pPr>
    </w:p>
    <w:p>
      <w:pPr>
        <w:pStyle w:val="ListParagraph"/>
        <w:numPr>
          <w:ilvl w:val="0"/>
          <w:numId w:val="5"/>
        </w:numPr>
        <w:tabs>
          <w:tab w:pos="745" w:val="left" w:leader="none"/>
        </w:tabs>
        <w:spacing w:line="247" w:lineRule="auto" w:before="0" w:after="0"/>
        <w:ind w:left="151" w:right="509" w:firstLine="397"/>
        <w:jc w:val="both"/>
        <w:rPr>
          <w:sz w:val="15"/>
        </w:rPr>
      </w:pPr>
      <w:r>
        <w:rPr>
          <w:sz w:val="15"/>
        </w:rPr>
        <w:t>Dar el aviso correspondiente en los casos de ampliación del período de explotación, a la Dirección General de Padrón y Licencias, a más tardar cinco días hábiles al último día que comprenda el aviso cuya vigencia se vaya a</w:t>
      </w:r>
      <w:r>
        <w:rPr>
          <w:spacing w:val="5"/>
          <w:sz w:val="15"/>
        </w:rPr>
        <w:t> </w:t>
      </w:r>
      <w:r>
        <w:rPr>
          <w:sz w:val="15"/>
        </w:rPr>
        <w:t>ampliar;</w:t>
      </w:r>
    </w:p>
    <w:p>
      <w:pPr>
        <w:pStyle w:val="BodyText"/>
        <w:spacing w:before="3"/>
      </w:pPr>
    </w:p>
    <w:p>
      <w:pPr>
        <w:pStyle w:val="ListParagraph"/>
        <w:numPr>
          <w:ilvl w:val="0"/>
          <w:numId w:val="5"/>
        </w:numPr>
        <w:tabs>
          <w:tab w:pos="733" w:val="left" w:leader="none"/>
        </w:tabs>
        <w:spacing w:line="247" w:lineRule="auto" w:before="0" w:after="0"/>
        <w:ind w:left="151" w:right="508" w:firstLine="397"/>
        <w:jc w:val="both"/>
        <w:rPr>
          <w:sz w:val="15"/>
        </w:rPr>
      </w:pPr>
      <w:r>
        <w:rPr>
          <w:sz w:val="15"/>
        </w:rPr>
        <w:t>Previamente a la iniciación de actividades, otorgar garantía  a satisfacción de la Hacienda Municipal,    en caso de ser requerida en alguna de las formas previstas en la Ley de Hacienda Municipal, que no será  inferior a los ingresos estimados para un día de actividades, ni superior al que pudiera corresponder estimativamente a tres días. Cuando no se cumpla con esta obligación, la  Hacienda  Municipal  podrá  suspender el espectáculo, hasta en tanto no se garantice el pago, para lo cual, el  interventor  designado solicitará el auxilio de la fuerza pública. En caso de no realizarse el evento, se cobrará la sanción correspondiente,</w:t>
      </w:r>
      <w:r>
        <w:rPr>
          <w:spacing w:val="1"/>
          <w:sz w:val="15"/>
        </w:rPr>
        <w:t> </w:t>
      </w:r>
      <w:r>
        <w:rPr>
          <w:sz w:val="15"/>
        </w:rPr>
        <w:t>y</w:t>
      </w:r>
    </w:p>
    <w:p>
      <w:pPr>
        <w:pStyle w:val="BodyText"/>
      </w:pPr>
    </w:p>
    <w:p>
      <w:pPr>
        <w:pStyle w:val="ListParagraph"/>
        <w:numPr>
          <w:ilvl w:val="0"/>
          <w:numId w:val="4"/>
        </w:numPr>
        <w:tabs>
          <w:tab w:pos="805" w:val="left" w:leader="none"/>
        </w:tabs>
        <w:spacing w:line="247" w:lineRule="auto" w:before="0" w:after="0"/>
        <w:ind w:left="151" w:right="507" w:firstLine="397"/>
        <w:jc w:val="both"/>
        <w:rPr>
          <w:sz w:val="15"/>
        </w:rPr>
      </w:pPr>
      <w:r>
        <w:rPr>
          <w:sz w:val="15"/>
        </w:rPr>
        <w:t>Previo a su funcionamiento, todos los establecimientos construidos ex profeso o destinados para presentar espectáculos públicos en forma permanente o eventual, deberán obtener su certificado de  operatividad expedido por la Dirección General de Protección Civil y Bomberos, misma que acompañará a su solicitud copia fotostática para su cotejo, así como su bitácora de mantenimiento, debidamente firmada por personal calificado. Este requisito además, deberá ser cubierto por las personas físicas o jurídicas que tengan juegos mecánicos, electromecánicos, hidráulicos  o de cualquier  naturaleza, cuya actividad implique un riesgo    a la integridad de las</w:t>
      </w:r>
      <w:r>
        <w:rPr>
          <w:spacing w:val="6"/>
          <w:sz w:val="15"/>
        </w:rPr>
        <w:t> </w:t>
      </w:r>
      <w:r>
        <w:rPr>
          <w:sz w:val="15"/>
        </w:rPr>
        <w:t>personas.</w:t>
      </w:r>
    </w:p>
    <w:p>
      <w:pPr>
        <w:pStyle w:val="BodyText"/>
        <w:spacing w:before="1"/>
      </w:pPr>
    </w:p>
    <w:p>
      <w:pPr>
        <w:pStyle w:val="BodyText"/>
        <w:spacing w:line="244" w:lineRule="auto"/>
        <w:ind w:left="151" w:right="509" w:firstLine="397"/>
        <w:jc w:val="both"/>
      </w:pPr>
      <w:r>
        <w:rPr>
          <w:b/>
        </w:rPr>
        <w:t>Artículo 17.- </w:t>
      </w:r>
      <w:r>
        <w:rPr/>
        <w:t>En los casos que el contribuyente del impuesto predial, o el usuario de los servicios de    agua potable, drenaje, alcantarillado, tratamiento y disposición final de aguas residuales, acrediten el derecho     a</w:t>
      </w:r>
      <w:r>
        <w:rPr>
          <w:spacing w:val="7"/>
        </w:rPr>
        <w:t> </w:t>
      </w:r>
      <w:r>
        <w:rPr/>
        <w:t>más</w:t>
      </w:r>
      <w:r>
        <w:rPr>
          <w:spacing w:val="8"/>
        </w:rPr>
        <w:t> </w:t>
      </w:r>
      <w:r>
        <w:rPr/>
        <w:t>de</w:t>
      </w:r>
      <w:r>
        <w:rPr>
          <w:spacing w:val="8"/>
        </w:rPr>
        <w:t> </w:t>
      </w:r>
      <w:r>
        <w:rPr/>
        <w:t>un</w:t>
      </w:r>
      <w:r>
        <w:rPr>
          <w:spacing w:val="7"/>
        </w:rPr>
        <w:t> </w:t>
      </w:r>
      <w:r>
        <w:rPr/>
        <w:t>beneficio,</w:t>
      </w:r>
      <w:r>
        <w:rPr>
          <w:spacing w:val="7"/>
        </w:rPr>
        <w:t> </w:t>
      </w:r>
      <w:r>
        <w:rPr/>
        <w:t>sólo</w:t>
      </w:r>
      <w:r>
        <w:rPr>
          <w:spacing w:val="8"/>
        </w:rPr>
        <w:t> </w:t>
      </w:r>
      <w:r>
        <w:rPr/>
        <w:t>se</w:t>
      </w:r>
      <w:r>
        <w:rPr>
          <w:spacing w:val="7"/>
        </w:rPr>
        <w:t> </w:t>
      </w:r>
      <w:r>
        <w:rPr/>
        <w:t>le</w:t>
      </w:r>
      <w:r>
        <w:rPr>
          <w:spacing w:val="8"/>
        </w:rPr>
        <w:t> </w:t>
      </w:r>
      <w:r>
        <w:rPr/>
        <w:t>otorgará</w:t>
      </w:r>
      <w:r>
        <w:rPr>
          <w:spacing w:val="8"/>
        </w:rPr>
        <w:t> </w:t>
      </w:r>
      <w:r>
        <w:rPr/>
        <w:t>el</w:t>
      </w:r>
      <w:r>
        <w:rPr>
          <w:spacing w:val="8"/>
        </w:rPr>
        <w:t> </w:t>
      </w:r>
      <w:r>
        <w:rPr/>
        <w:t>de</w:t>
      </w:r>
      <w:r>
        <w:rPr>
          <w:spacing w:val="6"/>
        </w:rPr>
        <w:t> </w:t>
      </w:r>
      <w:r>
        <w:rPr/>
        <w:t>mayor</w:t>
      </w:r>
      <w:r>
        <w:rPr>
          <w:spacing w:val="8"/>
        </w:rPr>
        <w:t> </w:t>
      </w:r>
      <w:r>
        <w:rPr/>
        <w:t>cuantía;</w:t>
      </w:r>
      <w:r>
        <w:rPr>
          <w:spacing w:val="8"/>
        </w:rPr>
        <w:t> </w:t>
      </w:r>
      <w:r>
        <w:rPr/>
        <w:t>dicho</w:t>
      </w:r>
      <w:r>
        <w:rPr>
          <w:spacing w:val="7"/>
        </w:rPr>
        <w:t> </w:t>
      </w:r>
      <w:r>
        <w:rPr/>
        <w:t>beneficio</w:t>
      </w:r>
      <w:r>
        <w:rPr>
          <w:spacing w:val="8"/>
        </w:rPr>
        <w:t> </w:t>
      </w:r>
      <w:r>
        <w:rPr/>
        <w:t>será</w:t>
      </w:r>
      <w:r>
        <w:rPr>
          <w:spacing w:val="7"/>
        </w:rPr>
        <w:t> </w:t>
      </w:r>
      <w:r>
        <w:rPr/>
        <w:t>aplicable</w:t>
      </w:r>
      <w:r>
        <w:rPr>
          <w:spacing w:val="7"/>
        </w:rPr>
        <w:t> </w:t>
      </w:r>
      <w:r>
        <w:rPr/>
        <w:t>en</w:t>
      </w:r>
      <w:r>
        <w:rPr>
          <w:spacing w:val="7"/>
        </w:rPr>
        <w:t> </w:t>
      </w:r>
      <w:r>
        <w:rPr/>
        <w:t>cada</w:t>
      </w:r>
      <w:r>
        <w:rPr>
          <w:spacing w:val="8"/>
        </w:rPr>
        <w:t> </w:t>
      </w:r>
      <w:r>
        <w:rPr/>
        <w:t>rubro.</w:t>
      </w:r>
    </w:p>
    <w:p>
      <w:pPr>
        <w:pStyle w:val="BodyText"/>
        <w:spacing w:before="8"/>
      </w:pPr>
    </w:p>
    <w:p>
      <w:pPr>
        <w:pStyle w:val="BodyText"/>
        <w:spacing w:line="247" w:lineRule="auto"/>
        <w:ind w:left="151" w:right="510" w:firstLine="397"/>
        <w:jc w:val="both"/>
      </w:pPr>
      <w:r>
        <w:rPr/>
        <w:t>En todo lo no previsto por la presente </w:t>
      </w:r>
      <w:r>
        <w:rPr>
          <w:spacing w:val="-4"/>
        </w:rPr>
        <w:t>ley,  </w:t>
      </w:r>
      <w:r>
        <w:rPr/>
        <w:t>para su interpretación, se estará a lo dispuesto por las Leyes   de Hacienda Municipal del Estado de Jalisco, las disposiciones  legales federales y estatales en materia fiscal     y los ordenamientos municipales vigentes. De manera supletoria se estará a lo que señala el Código de Procedimientos Civiles del Estado de Jalisco, el Código Civil del Estado de  Jalisco,  el  Código  Penal  del Estado de Jalisco y el Código de Comercio, cuando su aplicación no sea contraria a la naturaleza propia del Derecho Fiscal y la</w:t>
      </w:r>
      <w:r>
        <w:rPr>
          <w:spacing w:val="5"/>
        </w:rPr>
        <w:t> </w:t>
      </w:r>
      <w:r>
        <w:rPr/>
        <w:t>Jurisprudencia.</w:t>
      </w:r>
    </w:p>
    <w:p>
      <w:pPr>
        <w:pStyle w:val="BodyText"/>
        <w:spacing w:before="1"/>
      </w:pPr>
    </w:p>
    <w:p>
      <w:pPr>
        <w:pStyle w:val="BodyText"/>
        <w:spacing w:line="247" w:lineRule="auto"/>
        <w:ind w:left="151" w:right="507" w:firstLine="397"/>
        <w:jc w:val="both"/>
      </w:pPr>
      <w:r>
        <w:rPr>
          <w:b/>
        </w:rPr>
        <w:t>Artículo 18.- </w:t>
      </w:r>
      <w:r>
        <w:rPr/>
        <w:t>El Municipio percibirá ingresos por los impuestos, contribuciones de mejora, derechos, productos y aprovechamientos no comprendidos en las fracciones de la Ley de  Ingresos  causados  en  ejercicios fiscales anteriores pendientes de liquidación de pago, que hubiesen estado vigentes en ejercicios fiscales</w:t>
      </w:r>
      <w:r>
        <w:rPr>
          <w:spacing w:val="7"/>
        </w:rPr>
        <w:t> </w:t>
      </w:r>
      <w:r>
        <w:rPr/>
        <w:t>anteriores,</w:t>
      </w:r>
      <w:r>
        <w:rPr>
          <w:spacing w:val="7"/>
        </w:rPr>
        <w:t> </w:t>
      </w:r>
      <w:r>
        <w:rPr/>
        <w:t>y</w:t>
      </w:r>
      <w:r>
        <w:rPr>
          <w:spacing w:val="7"/>
        </w:rPr>
        <w:t> </w:t>
      </w:r>
      <w:r>
        <w:rPr/>
        <w:t>que</w:t>
      </w:r>
      <w:r>
        <w:rPr>
          <w:spacing w:val="7"/>
        </w:rPr>
        <w:t> </w:t>
      </w:r>
      <w:r>
        <w:rPr/>
        <w:t>hayan</w:t>
      </w:r>
      <w:r>
        <w:rPr>
          <w:spacing w:val="7"/>
        </w:rPr>
        <w:t> </w:t>
      </w:r>
      <w:r>
        <w:rPr/>
        <w:t>sido</w:t>
      </w:r>
      <w:r>
        <w:rPr>
          <w:spacing w:val="7"/>
        </w:rPr>
        <w:t> </w:t>
      </w:r>
      <w:r>
        <w:rPr/>
        <w:t>efectivamente</w:t>
      </w:r>
      <w:r>
        <w:rPr>
          <w:spacing w:val="7"/>
        </w:rPr>
        <w:t> </w:t>
      </w:r>
      <w:r>
        <w:rPr/>
        <w:t>causados,</w:t>
      </w:r>
      <w:r>
        <w:rPr>
          <w:spacing w:val="8"/>
        </w:rPr>
        <w:t> </w:t>
      </w:r>
      <w:r>
        <w:rPr/>
        <w:t>y</w:t>
      </w:r>
      <w:r>
        <w:rPr>
          <w:spacing w:val="8"/>
        </w:rPr>
        <w:t> </w:t>
      </w:r>
      <w:r>
        <w:rPr/>
        <w:t>no</w:t>
      </w:r>
      <w:r>
        <w:rPr>
          <w:spacing w:val="7"/>
        </w:rPr>
        <w:t> </w:t>
      </w:r>
      <w:r>
        <w:rPr/>
        <w:t>hechos</w:t>
      </w:r>
      <w:r>
        <w:rPr>
          <w:spacing w:val="7"/>
        </w:rPr>
        <w:t> </w:t>
      </w:r>
      <w:r>
        <w:rPr/>
        <w:t>los</w:t>
      </w:r>
      <w:r>
        <w:rPr>
          <w:spacing w:val="7"/>
        </w:rPr>
        <w:t> </w:t>
      </w:r>
      <w:r>
        <w:rPr/>
        <w:t>pagos</w:t>
      </w:r>
      <w:r>
        <w:rPr>
          <w:spacing w:val="6"/>
        </w:rPr>
        <w:t> </w:t>
      </w:r>
      <w:r>
        <w:rPr/>
        <w:t>correspondientes.</w:t>
      </w:r>
    </w:p>
    <w:p>
      <w:pPr>
        <w:pStyle w:val="BodyText"/>
        <w:spacing w:before="3"/>
      </w:pPr>
    </w:p>
    <w:p>
      <w:pPr>
        <w:pStyle w:val="Heading4"/>
        <w:ind w:left="317" w:right="674"/>
      </w:pPr>
      <w:r>
        <w:rPr/>
        <w:t>CAPÍTULO SEGUNDO</w:t>
      </w:r>
    </w:p>
    <w:p>
      <w:pPr>
        <w:spacing w:before="4"/>
        <w:ind w:left="318" w:right="674" w:firstLine="0"/>
        <w:jc w:val="center"/>
        <w:rPr>
          <w:b/>
          <w:sz w:val="15"/>
        </w:rPr>
      </w:pPr>
      <w:r>
        <w:rPr>
          <w:b/>
          <w:sz w:val="15"/>
        </w:rPr>
        <w:t>De los Incentivos Fiscales para el Desarrollo Municipal</w:t>
      </w:r>
    </w:p>
    <w:p>
      <w:pPr>
        <w:pStyle w:val="BodyText"/>
        <w:spacing w:before="9"/>
        <w:rPr>
          <w:b/>
        </w:rPr>
      </w:pPr>
    </w:p>
    <w:p>
      <w:pPr>
        <w:spacing w:before="1"/>
        <w:ind w:left="322" w:right="674" w:firstLine="0"/>
        <w:jc w:val="center"/>
        <w:rPr>
          <w:b/>
          <w:sz w:val="15"/>
        </w:rPr>
      </w:pPr>
      <w:r>
        <w:rPr>
          <w:b/>
          <w:sz w:val="15"/>
        </w:rPr>
        <w:t>SECCIÓN PRIMERA</w:t>
      </w:r>
    </w:p>
    <w:p>
      <w:pPr>
        <w:spacing w:before="4"/>
        <w:ind w:left="318" w:right="674" w:firstLine="0"/>
        <w:jc w:val="center"/>
        <w:rPr>
          <w:b/>
          <w:sz w:val="15"/>
        </w:rPr>
      </w:pPr>
      <w:r>
        <w:rPr>
          <w:b/>
          <w:sz w:val="15"/>
        </w:rPr>
        <w:t>Generalidades de los Incentivos Fiscales</w:t>
      </w:r>
    </w:p>
    <w:p>
      <w:pPr>
        <w:pStyle w:val="BodyText"/>
        <w:spacing w:before="9"/>
        <w:rPr>
          <w:b/>
        </w:rPr>
      </w:pPr>
    </w:p>
    <w:p>
      <w:pPr>
        <w:pStyle w:val="BodyText"/>
        <w:spacing w:line="247" w:lineRule="auto"/>
        <w:ind w:left="174" w:right="508" w:firstLine="420"/>
        <w:jc w:val="both"/>
      </w:pPr>
      <w:r>
        <w:rPr>
          <w:b/>
        </w:rPr>
        <w:t>Artículo 19.-</w:t>
      </w:r>
      <w:r>
        <w:rPr/>
        <w:t>Podrán gozar de incentivos fiscales a la actividad productiva las  personas  físicas  o  jurídicas que durante el año 2020 inicien o amplíen actividades  industriales, agroindustriales, comerciales o     de servicios en el Municipio de Tlajomulco de Zúñiga, Jalisco, conforme a la legislación y  normatividad  aplicable; que generen nuevas fuentes de empleo directas y permanentes, realicen inversiones en  la  adquisición o construcción de activos fijos (inmuebles) destinados a esos fines, así como desarrollos inmobiliarios construidos bajo criterios de sustentabilidad por algún sistema  de  certificación  con  reconocimiento y validez internacional, nacional, estatal o municipal  para  edificios  sustentables,  que  presenten el certificado de empresa graduada por una incubadora  avalada por la Secretaría de Economía,      así como los contribuyentes que se instalen en el municipio o amplíen sus actividades respecto  a  las destinadas al entretenimiento o enseñanza de artes, o que comprueben realizar alguna de las</w:t>
      </w:r>
      <w:r>
        <w:rPr>
          <w:spacing w:val="15"/>
        </w:rPr>
        <w:t> </w:t>
      </w:r>
      <w:r>
        <w:rPr/>
        <w:t>actividades</w:t>
      </w:r>
    </w:p>
    <w:p>
      <w:pPr>
        <w:spacing w:after="0" w:line="247" w:lineRule="auto"/>
        <w:jc w:val="both"/>
        <w:sectPr>
          <w:type w:val="continuous"/>
          <w:pgSz w:w="23250" w:h="15310" w:orient="landscape"/>
          <w:pgMar w:top="0" w:bottom="0" w:left="1880" w:right="1520"/>
          <w:cols w:num="2" w:equalWidth="0">
            <w:col w:w="7753" w:space="3870"/>
            <w:col w:w="8227"/>
          </w:cols>
        </w:sectPr>
      </w:pPr>
    </w:p>
    <w:p>
      <w:pPr>
        <w:pStyle w:val="BodyText"/>
        <w:rPr>
          <w:sz w:val="20"/>
        </w:rPr>
      </w:pPr>
    </w:p>
    <w:p>
      <w:pPr>
        <w:pStyle w:val="BodyText"/>
        <w:spacing w:before="7"/>
        <w:rPr>
          <w:sz w:val="29"/>
        </w:rPr>
      </w:pPr>
    </w:p>
    <w:p>
      <w:pPr>
        <w:spacing w:after="0"/>
        <w:rPr>
          <w:sz w:val="29"/>
        </w:rPr>
        <w:sectPr>
          <w:headerReference w:type="default" r:id="rId55"/>
          <w:pgSz w:w="23250" w:h="15310" w:orient="landscape"/>
          <w:pgMar w:header="881" w:footer="499" w:top="1920" w:bottom="680" w:left="1880" w:right="1520"/>
        </w:sectPr>
      </w:pPr>
    </w:p>
    <w:p>
      <w:pPr>
        <w:pStyle w:val="BodyText"/>
        <w:spacing w:line="247" w:lineRule="auto" w:before="99"/>
        <w:ind w:left="174" w:right="38"/>
        <w:jc w:val="both"/>
      </w:pPr>
      <w:r>
        <w:rPr/>
        <w:t>señaladas a las que hace referencia la presente </w:t>
      </w:r>
      <w:r>
        <w:rPr>
          <w:spacing w:val="-4"/>
        </w:rPr>
        <w:t>ley,  </w:t>
      </w:r>
      <w:r>
        <w:rPr/>
        <w:t>por los equivalentes señalados en los artículos 20 al 28    de esta </w:t>
      </w:r>
      <w:r>
        <w:rPr>
          <w:spacing w:val="-4"/>
        </w:rPr>
        <w:t>Ley,  </w:t>
      </w:r>
      <w:r>
        <w:rPr/>
        <w:t>en los términos que establezca el Dictamen aprobado por el Consejo de Desarrollo Económico    del Municipio y los plazos para hacerlos efectivos establecidos  en el ordenamiento municipal en la materia,     por las siguientes</w:t>
      </w:r>
      <w:r>
        <w:rPr>
          <w:spacing w:val="4"/>
        </w:rPr>
        <w:t> </w:t>
      </w:r>
      <w:r>
        <w:rPr/>
        <w:t>contribuciones:</w:t>
      </w:r>
    </w:p>
    <w:p>
      <w:pPr>
        <w:pStyle w:val="BodyText"/>
        <w:spacing w:before="2"/>
      </w:pPr>
    </w:p>
    <w:p>
      <w:pPr>
        <w:pStyle w:val="ListParagraph"/>
        <w:numPr>
          <w:ilvl w:val="0"/>
          <w:numId w:val="6"/>
        </w:numPr>
        <w:tabs>
          <w:tab w:pos="678" w:val="left" w:leader="none"/>
        </w:tabs>
        <w:spacing w:line="240" w:lineRule="auto" w:before="0" w:after="0"/>
        <w:ind w:left="677" w:right="0" w:hanging="130"/>
        <w:jc w:val="left"/>
        <w:rPr>
          <w:sz w:val="15"/>
        </w:rPr>
      </w:pPr>
      <w:r>
        <w:rPr>
          <w:sz w:val="15"/>
        </w:rPr>
        <w:t>Reducción temporal de</w:t>
      </w:r>
      <w:r>
        <w:rPr>
          <w:spacing w:val="3"/>
          <w:sz w:val="15"/>
        </w:rPr>
        <w:t> </w:t>
      </w:r>
      <w:r>
        <w:rPr>
          <w:sz w:val="15"/>
        </w:rPr>
        <w:t>impuestos:</w:t>
      </w:r>
    </w:p>
    <w:p>
      <w:pPr>
        <w:pStyle w:val="BodyText"/>
        <w:spacing w:before="9"/>
      </w:pPr>
    </w:p>
    <w:p>
      <w:pPr>
        <w:pStyle w:val="ListParagraph"/>
        <w:numPr>
          <w:ilvl w:val="0"/>
          <w:numId w:val="7"/>
        </w:numPr>
        <w:tabs>
          <w:tab w:pos="756" w:val="left" w:leader="none"/>
        </w:tabs>
        <w:spacing w:line="244" w:lineRule="auto" w:before="0" w:after="0"/>
        <w:ind w:left="151" w:right="40" w:firstLine="397"/>
        <w:jc w:val="both"/>
        <w:rPr>
          <w:sz w:val="15"/>
        </w:rPr>
      </w:pPr>
      <w:r>
        <w:rPr>
          <w:sz w:val="15"/>
        </w:rPr>
        <w:t>Impuesto predial: Beneficio de reducción del Impuesto Predial para el ejercicio fiscal en vigor del inmueble en que se encuentren asentadas las instalaciones de la empresa, en el caso  de  ampliación</w:t>
      </w:r>
      <w:r>
        <w:rPr>
          <w:spacing w:val="15"/>
          <w:sz w:val="15"/>
        </w:rPr>
        <w:t> </w:t>
      </w:r>
      <w:r>
        <w:rPr>
          <w:sz w:val="15"/>
        </w:rPr>
        <w:t>se aplicará el incentivo únicamente sobre el</w:t>
      </w:r>
      <w:r>
        <w:rPr>
          <w:spacing w:val="9"/>
          <w:sz w:val="15"/>
        </w:rPr>
        <w:t> </w:t>
      </w:r>
      <w:r>
        <w:rPr>
          <w:sz w:val="15"/>
        </w:rPr>
        <w:t>excedente.</w:t>
      </w:r>
    </w:p>
    <w:p>
      <w:pPr>
        <w:pStyle w:val="BodyText"/>
        <w:spacing w:before="8"/>
      </w:pPr>
    </w:p>
    <w:p>
      <w:pPr>
        <w:pStyle w:val="ListParagraph"/>
        <w:numPr>
          <w:ilvl w:val="0"/>
          <w:numId w:val="7"/>
        </w:numPr>
        <w:tabs>
          <w:tab w:pos="733" w:val="left" w:leader="none"/>
        </w:tabs>
        <w:spacing w:line="247" w:lineRule="auto" w:before="0" w:after="0"/>
        <w:ind w:left="151" w:right="39" w:firstLine="397"/>
        <w:jc w:val="both"/>
        <w:rPr>
          <w:sz w:val="15"/>
        </w:rPr>
      </w:pPr>
      <w:r>
        <w:rPr>
          <w:sz w:val="15"/>
        </w:rPr>
        <w:t>Impuesto Sobre Transmisiones Patrimoniales: Beneficio de reducción del impuesto correspondiente a   la adquisición del o de los inmuebles destinados a las actividades aprobadas en el proyecto siempre y cuando  se realice dentro del presente ejercicio</w:t>
      </w:r>
      <w:r>
        <w:rPr>
          <w:spacing w:val="8"/>
          <w:sz w:val="15"/>
        </w:rPr>
        <w:t> </w:t>
      </w:r>
      <w:r>
        <w:rPr>
          <w:sz w:val="15"/>
        </w:rPr>
        <w:t>fiscal.</w:t>
      </w:r>
    </w:p>
    <w:p>
      <w:pPr>
        <w:pStyle w:val="BodyText"/>
        <w:spacing w:before="3"/>
      </w:pPr>
    </w:p>
    <w:p>
      <w:pPr>
        <w:pStyle w:val="ListParagraph"/>
        <w:numPr>
          <w:ilvl w:val="0"/>
          <w:numId w:val="7"/>
        </w:numPr>
        <w:tabs>
          <w:tab w:pos="726" w:val="left" w:leader="none"/>
        </w:tabs>
        <w:spacing w:line="247" w:lineRule="auto" w:before="0" w:after="0"/>
        <w:ind w:left="151" w:right="38" w:firstLine="397"/>
        <w:jc w:val="both"/>
        <w:rPr>
          <w:sz w:val="15"/>
        </w:rPr>
      </w:pPr>
      <w:r>
        <w:rPr>
          <w:sz w:val="15"/>
        </w:rPr>
        <w:t>Impuesto Sobre Negocios Jurídicos: Beneficio de reducción del impuesto tratándose de construcción, reconstrucción, ampliación, y demolición del inmueble en que se encuentre la</w:t>
      </w:r>
      <w:r>
        <w:rPr>
          <w:spacing w:val="41"/>
          <w:sz w:val="15"/>
        </w:rPr>
        <w:t> </w:t>
      </w:r>
      <w:r>
        <w:rPr>
          <w:sz w:val="15"/>
        </w:rPr>
        <w:t>empresa;</w:t>
      </w:r>
    </w:p>
    <w:p>
      <w:pPr>
        <w:pStyle w:val="BodyText"/>
        <w:spacing w:before="3"/>
      </w:pPr>
    </w:p>
    <w:p>
      <w:pPr>
        <w:pStyle w:val="ListParagraph"/>
        <w:numPr>
          <w:ilvl w:val="0"/>
          <w:numId w:val="6"/>
        </w:numPr>
        <w:tabs>
          <w:tab w:pos="720" w:val="left" w:leader="none"/>
        </w:tabs>
        <w:spacing w:line="240" w:lineRule="auto" w:before="1" w:after="0"/>
        <w:ind w:left="719" w:right="0" w:hanging="172"/>
        <w:jc w:val="left"/>
        <w:rPr>
          <w:sz w:val="15"/>
        </w:rPr>
      </w:pPr>
      <w:r>
        <w:rPr>
          <w:sz w:val="15"/>
        </w:rPr>
        <w:t>Beneficio de reducción temporal del pago de</w:t>
      </w:r>
      <w:r>
        <w:rPr>
          <w:spacing w:val="12"/>
          <w:sz w:val="15"/>
        </w:rPr>
        <w:t> </w:t>
      </w:r>
      <w:r>
        <w:rPr>
          <w:sz w:val="15"/>
        </w:rPr>
        <w:t>derechos:</w:t>
      </w:r>
    </w:p>
    <w:p>
      <w:pPr>
        <w:pStyle w:val="BodyText"/>
        <w:spacing w:before="8"/>
      </w:pPr>
    </w:p>
    <w:p>
      <w:pPr>
        <w:pStyle w:val="ListParagraph"/>
        <w:numPr>
          <w:ilvl w:val="0"/>
          <w:numId w:val="8"/>
        </w:numPr>
        <w:tabs>
          <w:tab w:pos="732" w:val="left" w:leader="none"/>
        </w:tabs>
        <w:spacing w:line="247" w:lineRule="auto" w:before="0" w:after="0"/>
        <w:ind w:left="150" w:right="38" w:firstLine="397"/>
        <w:jc w:val="both"/>
        <w:rPr>
          <w:sz w:val="15"/>
        </w:rPr>
      </w:pPr>
      <w:r>
        <w:rPr>
          <w:sz w:val="15"/>
        </w:rPr>
        <w:t>Derechos por aprovechamiento de la infraestructura básica existente: Reducción de estos derechos a los propietarios de predios intra-urbanos localizados dentro de la zona de reserva urbana, exclusivamente tratándose de inmuebles de uso no habitacional en los que se instale el establecimiento industrial, comercial o  de prestación de servicios, en la superficie que determine el proyecto</w:t>
      </w:r>
      <w:r>
        <w:rPr>
          <w:spacing w:val="31"/>
          <w:sz w:val="15"/>
        </w:rPr>
        <w:t> </w:t>
      </w:r>
      <w:r>
        <w:rPr>
          <w:sz w:val="15"/>
        </w:rPr>
        <w:t>aprobado;</w:t>
      </w:r>
    </w:p>
    <w:p>
      <w:pPr>
        <w:pStyle w:val="BodyText"/>
        <w:spacing w:before="2"/>
      </w:pPr>
    </w:p>
    <w:p>
      <w:pPr>
        <w:pStyle w:val="ListParagraph"/>
        <w:numPr>
          <w:ilvl w:val="0"/>
          <w:numId w:val="8"/>
        </w:numPr>
        <w:tabs>
          <w:tab w:pos="730" w:val="left" w:leader="none"/>
        </w:tabs>
        <w:spacing w:line="247" w:lineRule="auto" w:before="0" w:after="0"/>
        <w:ind w:left="150" w:right="39" w:firstLine="397"/>
        <w:jc w:val="both"/>
        <w:rPr>
          <w:sz w:val="15"/>
        </w:rPr>
      </w:pPr>
      <w:r>
        <w:rPr>
          <w:sz w:val="15"/>
        </w:rPr>
        <w:t>Derechos por la emisión de Licencia de Construcción: Reducción de los derechos por la emisión de la licencia de construcción respecto del inmueble de uso no habitacional a construirse destinado a la industria, comercio y prestación de servicios o uso</w:t>
      </w:r>
      <w:r>
        <w:rPr>
          <w:spacing w:val="10"/>
          <w:sz w:val="15"/>
        </w:rPr>
        <w:t> </w:t>
      </w:r>
      <w:r>
        <w:rPr>
          <w:sz w:val="15"/>
        </w:rPr>
        <w:t>turístico;</w:t>
      </w:r>
    </w:p>
    <w:p>
      <w:pPr>
        <w:pStyle w:val="BodyText"/>
        <w:spacing w:before="4"/>
      </w:pPr>
    </w:p>
    <w:p>
      <w:pPr>
        <w:pStyle w:val="ListParagraph"/>
        <w:numPr>
          <w:ilvl w:val="0"/>
          <w:numId w:val="8"/>
        </w:numPr>
        <w:tabs>
          <w:tab w:pos="734" w:val="left" w:leader="none"/>
        </w:tabs>
        <w:spacing w:line="244" w:lineRule="auto" w:before="0" w:after="0"/>
        <w:ind w:left="151" w:right="39" w:firstLine="397"/>
        <w:jc w:val="both"/>
        <w:rPr>
          <w:sz w:val="15"/>
        </w:rPr>
      </w:pPr>
      <w:r>
        <w:rPr>
          <w:sz w:val="15"/>
        </w:rPr>
        <w:t>Derechos por la emisión del Certificado de Habitabilidad: Reducción de los derechos por la emisión     del certificado de habitabilidad respecto del inmueble a construirse destinado a la industria, comercio y  prestación de servicios o uso turístico;</w:t>
      </w:r>
      <w:r>
        <w:rPr>
          <w:spacing w:val="8"/>
          <w:sz w:val="15"/>
        </w:rPr>
        <w:t> </w:t>
      </w:r>
      <w:r>
        <w:rPr>
          <w:sz w:val="15"/>
        </w:rPr>
        <w:t>y</w:t>
      </w:r>
    </w:p>
    <w:p>
      <w:pPr>
        <w:pStyle w:val="BodyText"/>
        <w:spacing w:before="7"/>
      </w:pPr>
    </w:p>
    <w:p>
      <w:pPr>
        <w:pStyle w:val="ListParagraph"/>
        <w:numPr>
          <w:ilvl w:val="0"/>
          <w:numId w:val="8"/>
        </w:numPr>
        <w:tabs>
          <w:tab w:pos="745" w:val="left" w:leader="none"/>
        </w:tabs>
        <w:spacing w:line="247" w:lineRule="auto" w:before="1" w:after="0"/>
        <w:ind w:left="151" w:right="40" w:firstLine="397"/>
        <w:jc w:val="both"/>
        <w:rPr>
          <w:sz w:val="15"/>
        </w:rPr>
      </w:pPr>
      <w:r>
        <w:rPr>
          <w:sz w:val="15"/>
        </w:rPr>
        <w:t>Licencia de Urbanización: Reducción de los derechos por la emisión de la licencia de urbanización respecto del inmueble de uso no habitacional a construirse destinado a la industria, comercio y prestación de servicios o uso</w:t>
      </w:r>
      <w:r>
        <w:rPr>
          <w:spacing w:val="3"/>
          <w:sz w:val="15"/>
        </w:rPr>
        <w:t> </w:t>
      </w:r>
      <w:r>
        <w:rPr>
          <w:sz w:val="15"/>
        </w:rPr>
        <w:t>turístico.</w:t>
      </w:r>
    </w:p>
    <w:p>
      <w:pPr>
        <w:pStyle w:val="BodyText"/>
        <w:spacing w:before="2"/>
      </w:pPr>
    </w:p>
    <w:p>
      <w:pPr>
        <w:pStyle w:val="BodyText"/>
        <w:spacing w:line="247" w:lineRule="auto"/>
        <w:ind w:left="174" w:right="41" w:firstLine="419"/>
        <w:jc w:val="both"/>
      </w:pPr>
      <w:r>
        <w:rPr/>
        <w:t>Los incentivos fiscales que se otorguen por etapas que vayan a desarrollarse o hacerse efectivos en el año 2021 deberán solicitar a la Tesorería Municipal la autorización para hacerlos efectivos en dicho año en los términos de lo previsto en el ordenamiento municipal en la</w:t>
      </w:r>
      <w:r>
        <w:rPr>
          <w:spacing w:val="21"/>
        </w:rPr>
        <w:t> </w:t>
      </w:r>
      <w:r>
        <w:rPr/>
        <w:t>materia.</w:t>
      </w:r>
    </w:p>
    <w:p>
      <w:pPr>
        <w:pStyle w:val="BodyText"/>
        <w:spacing w:before="3"/>
      </w:pPr>
    </w:p>
    <w:p>
      <w:pPr>
        <w:pStyle w:val="BodyText"/>
        <w:spacing w:line="247" w:lineRule="auto"/>
        <w:ind w:left="174" w:right="38" w:firstLine="419"/>
        <w:jc w:val="both"/>
      </w:pPr>
      <w:r>
        <w:rPr/>
        <w:t>Las personas físicas o morales que encuadren en alguno de los supuestos normativos establecidos en   los artículos 20 al 28, y se adapten a los planes de desarrollo económico y territorial del Municipio, o sus equivalentes, se les otorgara un incentivo de carácter adicional de hasta el 15% a los establecidos en el  presente capítulo, que será aplicable al pago del Impuesto</w:t>
      </w:r>
      <w:r>
        <w:rPr>
          <w:spacing w:val="20"/>
        </w:rPr>
        <w:t> </w:t>
      </w:r>
      <w:r>
        <w:rPr/>
        <w:t>Predial.</w:t>
      </w:r>
    </w:p>
    <w:p>
      <w:pPr>
        <w:pStyle w:val="BodyText"/>
        <w:spacing w:before="3"/>
      </w:pPr>
    </w:p>
    <w:p>
      <w:pPr>
        <w:pStyle w:val="BodyText"/>
        <w:spacing w:line="247" w:lineRule="auto"/>
        <w:ind w:left="174" w:right="38" w:firstLine="419"/>
        <w:jc w:val="both"/>
      </w:pPr>
      <w:r>
        <w:rPr/>
        <w:t>Los solicitantes que obtengan un dictamen favorable tendrán un plazo máximo general de 12 meses    para cumplir con las obligaciones derivadas del beneficio fiscal, contados a partir de la  fecha  en  que  se celebre convenio de incentivos fiscales con este H. Ayuntamiento, salvo el caso de inversiones, en el que el periodo de realización de obra rebase dicho término, respaldado en su programa de obra  previamente  aprobado por la Dirección de Obras Públicas del</w:t>
      </w:r>
      <w:r>
        <w:rPr>
          <w:spacing w:val="15"/>
        </w:rPr>
        <w:t> </w:t>
      </w:r>
      <w:r>
        <w:rPr/>
        <w:t>Municipio.</w:t>
      </w:r>
    </w:p>
    <w:p>
      <w:pPr>
        <w:pStyle w:val="BodyText"/>
        <w:rPr>
          <w:sz w:val="16"/>
        </w:rPr>
      </w:pPr>
    </w:p>
    <w:p>
      <w:pPr>
        <w:pStyle w:val="BodyText"/>
        <w:spacing w:before="6"/>
        <w:rPr>
          <w:sz w:val="14"/>
        </w:rPr>
      </w:pPr>
    </w:p>
    <w:p>
      <w:pPr>
        <w:pStyle w:val="Heading4"/>
        <w:ind w:left="274" w:right="157"/>
      </w:pPr>
      <w:r>
        <w:rPr/>
        <w:t>SECCIÓN SEGUNDA</w:t>
      </w:r>
    </w:p>
    <w:p>
      <w:pPr>
        <w:spacing w:before="5"/>
        <w:ind w:left="271" w:right="160" w:firstLine="0"/>
        <w:jc w:val="center"/>
        <w:rPr>
          <w:b/>
          <w:sz w:val="15"/>
        </w:rPr>
      </w:pPr>
      <w:r>
        <w:rPr>
          <w:b/>
          <w:sz w:val="15"/>
        </w:rPr>
        <w:t>De los Incentivos Fiscales a la Actividad Productiva</w:t>
      </w:r>
    </w:p>
    <w:p>
      <w:pPr>
        <w:pStyle w:val="BodyText"/>
        <w:spacing w:line="247" w:lineRule="auto" w:before="99"/>
        <w:ind w:left="151" w:right="509" w:firstLine="397"/>
        <w:jc w:val="both"/>
      </w:pPr>
      <w:r>
        <w:rPr/>
        <w:br w:type="column"/>
      </w:r>
      <w:r>
        <w:rPr>
          <w:b/>
        </w:rPr>
        <w:t>Artículo 20.- </w:t>
      </w:r>
      <w:r>
        <w:rPr/>
        <w:t>Los incentivos señalados en razón del número de empleos generados, se aplicarán según    la siguiente tabla, siempre que el contribuyente se comprometa a mantener las fuentes  de  empleo  en  el periodo establecido de acuerdo al convenio establecido con este</w:t>
      </w:r>
      <w:r>
        <w:rPr>
          <w:spacing w:val="18"/>
        </w:rPr>
        <w:t> </w:t>
      </w:r>
      <w:r>
        <w:rPr/>
        <w:t>Ayuntamiento:</w:t>
      </w:r>
    </w:p>
    <w:p>
      <w:pPr>
        <w:pStyle w:val="BodyText"/>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646"/>
        <w:gridCol w:w="1221"/>
        <w:gridCol w:w="900"/>
        <w:gridCol w:w="1337"/>
        <w:gridCol w:w="1075"/>
        <w:gridCol w:w="1161"/>
      </w:tblGrid>
      <w:tr>
        <w:trPr>
          <w:trHeight w:val="351" w:hRule="atLeast"/>
        </w:trPr>
        <w:tc>
          <w:tcPr>
            <w:tcW w:w="1294" w:type="dxa"/>
            <w:shd w:val="clear" w:color="auto" w:fill="F89938"/>
          </w:tcPr>
          <w:p>
            <w:pPr>
              <w:pStyle w:val="TableParagraph"/>
              <w:spacing w:line="176" w:lineRule="exact" w:before="2"/>
              <w:ind w:left="174" w:hanging="107"/>
              <w:rPr>
                <w:b/>
                <w:sz w:val="15"/>
              </w:rPr>
            </w:pPr>
            <w:r>
              <w:rPr>
                <w:b/>
                <w:sz w:val="15"/>
              </w:rPr>
              <w:t>Condicionantes del incentivo</w:t>
            </w:r>
          </w:p>
        </w:tc>
        <w:tc>
          <w:tcPr>
            <w:tcW w:w="2767" w:type="dxa"/>
            <w:gridSpan w:val="3"/>
            <w:shd w:val="clear" w:color="auto" w:fill="F89938"/>
          </w:tcPr>
          <w:p>
            <w:pPr>
              <w:pStyle w:val="TableParagraph"/>
              <w:spacing w:before="90"/>
              <w:ind w:left="922" w:right="911"/>
              <w:jc w:val="center"/>
              <w:rPr>
                <w:b/>
                <w:sz w:val="15"/>
              </w:rPr>
            </w:pPr>
            <w:r>
              <w:rPr>
                <w:b/>
                <w:sz w:val="15"/>
              </w:rPr>
              <w:t>IMPUESTOS</w:t>
            </w:r>
          </w:p>
        </w:tc>
        <w:tc>
          <w:tcPr>
            <w:tcW w:w="3573" w:type="dxa"/>
            <w:gridSpan w:val="3"/>
            <w:shd w:val="clear" w:color="auto" w:fill="F89938"/>
          </w:tcPr>
          <w:p>
            <w:pPr>
              <w:pStyle w:val="TableParagraph"/>
              <w:spacing w:before="90"/>
              <w:ind w:left="1343" w:right="1329"/>
              <w:jc w:val="center"/>
              <w:rPr>
                <w:b/>
                <w:sz w:val="15"/>
              </w:rPr>
            </w:pPr>
            <w:r>
              <w:rPr>
                <w:b/>
                <w:sz w:val="15"/>
              </w:rPr>
              <w:t>DERECHOS</w:t>
            </w:r>
          </w:p>
        </w:tc>
      </w:tr>
      <w:tr>
        <w:trPr>
          <w:trHeight w:val="702" w:hRule="atLeast"/>
        </w:trPr>
        <w:tc>
          <w:tcPr>
            <w:tcW w:w="1294" w:type="dxa"/>
          </w:tcPr>
          <w:p>
            <w:pPr>
              <w:pStyle w:val="TableParagraph"/>
              <w:spacing w:before="2"/>
              <w:rPr>
                <w:sz w:val="15"/>
              </w:rPr>
            </w:pPr>
          </w:p>
          <w:p>
            <w:pPr>
              <w:pStyle w:val="TableParagraph"/>
              <w:spacing w:line="247" w:lineRule="auto"/>
              <w:ind w:left="84" w:firstLine="145"/>
              <w:rPr>
                <w:sz w:val="15"/>
              </w:rPr>
            </w:pPr>
            <w:r>
              <w:rPr>
                <w:sz w:val="15"/>
              </w:rPr>
              <w:t>Creación de nuevos empleos</w:t>
            </w:r>
          </w:p>
        </w:tc>
        <w:tc>
          <w:tcPr>
            <w:tcW w:w="646" w:type="dxa"/>
          </w:tcPr>
          <w:p>
            <w:pPr>
              <w:pStyle w:val="TableParagraph"/>
              <w:spacing w:line="247" w:lineRule="auto" w:before="86"/>
              <w:ind w:left="60" w:right="50"/>
              <w:jc w:val="center"/>
              <w:rPr>
                <w:sz w:val="15"/>
              </w:rPr>
            </w:pPr>
            <w:r>
              <w:rPr>
                <w:sz w:val="15"/>
              </w:rPr>
              <w:t>Predial, hasta un</w:t>
            </w:r>
          </w:p>
        </w:tc>
        <w:tc>
          <w:tcPr>
            <w:tcW w:w="1221" w:type="dxa"/>
          </w:tcPr>
          <w:p>
            <w:pPr>
              <w:pStyle w:val="TableParagraph"/>
              <w:spacing w:line="247" w:lineRule="auto" w:before="86"/>
              <w:ind w:left="70" w:right="59"/>
              <w:jc w:val="center"/>
              <w:rPr>
                <w:sz w:val="15"/>
              </w:rPr>
            </w:pPr>
            <w:r>
              <w:rPr>
                <w:sz w:val="15"/>
              </w:rPr>
              <w:t>Transmisiones Patrimoniales, hasta un</w:t>
            </w:r>
          </w:p>
        </w:tc>
        <w:tc>
          <w:tcPr>
            <w:tcW w:w="900" w:type="dxa"/>
          </w:tcPr>
          <w:p>
            <w:pPr>
              <w:pStyle w:val="TableParagraph"/>
              <w:spacing w:line="247" w:lineRule="auto" w:before="86"/>
              <w:ind w:left="120" w:right="106" w:firstLine="8"/>
              <w:jc w:val="both"/>
              <w:rPr>
                <w:sz w:val="15"/>
              </w:rPr>
            </w:pPr>
            <w:r>
              <w:rPr>
                <w:sz w:val="15"/>
              </w:rPr>
              <w:t>Negocios Jurídicos, hasta un</w:t>
            </w:r>
          </w:p>
        </w:tc>
        <w:tc>
          <w:tcPr>
            <w:tcW w:w="1337" w:type="dxa"/>
          </w:tcPr>
          <w:p>
            <w:pPr>
              <w:pStyle w:val="TableParagraph"/>
              <w:spacing w:line="247" w:lineRule="auto"/>
              <w:ind w:left="70" w:right="55"/>
              <w:jc w:val="both"/>
              <w:rPr>
                <w:sz w:val="15"/>
              </w:rPr>
            </w:pPr>
            <w:r>
              <w:rPr>
                <w:sz w:val="15"/>
              </w:rPr>
              <w:t>Aprovechamiento de infraestructura básica existente,</w:t>
            </w:r>
          </w:p>
          <w:p>
            <w:pPr>
              <w:pStyle w:val="TableParagraph"/>
              <w:spacing w:line="151" w:lineRule="exact"/>
              <w:ind w:left="375"/>
              <w:jc w:val="both"/>
              <w:rPr>
                <w:sz w:val="15"/>
              </w:rPr>
            </w:pPr>
            <w:r>
              <w:rPr>
                <w:sz w:val="15"/>
              </w:rPr>
              <w:t>hasta un</w:t>
            </w:r>
          </w:p>
        </w:tc>
        <w:tc>
          <w:tcPr>
            <w:tcW w:w="1075" w:type="dxa"/>
          </w:tcPr>
          <w:p>
            <w:pPr>
              <w:pStyle w:val="TableParagraph"/>
              <w:spacing w:line="247" w:lineRule="auto" w:before="86"/>
              <w:ind w:left="70" w:right="52" w:firstLine="2"/>
              <w:jc w:val="center"/>
              <w:rPr>
                <w:sz w:val="15"/>
              </w:rPr>
            </w:pPr>
            <w:r>
              <w:rPr>
                <w:sz w:val="15"/>
              </w:rPr>
              <w:t>Licencias de Construcción, hasta un</w:t>
            </w:r>
          </w:p>
        </w:tc>
        <w:tc>
          <w:tcPr>
            <w:tcW w:w="1161" w:type="dxa"/>
          </w:tcPr>
          <w:p>
            <w:pPr>
              <w:pStyle w:val="TableParagraph"/>
              <w:spacing w:line="247" w:lineRule="auto" w:before="86"/>
              <w:ind w:left="109" w:right="90"/>
              <w:jc w:val="center"/>
              <w:rPr>
                <w:sz w:val="15"/>
              </w:rPr>
            </w:pPr>
            <w:r>
              <w:rPr>
                <w:sz w:val="15"/>
              </w:rPr>
              <w:t>Certificado de Habitabilidad, hasta un</w:t>
            </w:r>
          </w:p>
        </w:tc>
      </w:tr>
      <w:tr>
        <w:trPr>
          <w:trHeight w:val="173" w:hRule="atLeast"/>
        </w:trPr>
        <w:tc>
          <w:tcPr>
            <w:tcW w:w="1294" w:type="dxa"/>
          </w:tcPr>
          <w:p>
            <w:pPr>
              <w:pStyle w:val="TableParagraph"/>
              <w:spacing w:line="154" w:lineRule="exact"/>
              <w:ind w:left="48" w:right="41"/>
              <w:jc w:val="center"/>
              <w:rPr>
                <w:sz w:val="15"/>
              </w:rPr>
            </w:pPr>
            <w:r>
              <w:rPr>
                <w:sz w:val="15"/>
              </w:rPr>
              <w:t>301 en adelante</w:t>
            </w:r>
          </w:p>
        </w:tc>
        <w:tc>
          <w:tcPr>
            <w:tcW w:w="6340" w:type="dxa"/>
            <w:gridSpan w:val="6"/>
          </w:tcPr>
          <w:p>
            <w:pPr>
              <w:pStyle w:val="TableParagraph"/>
              <w:spacing w:line="154" w:lineRule="exact"/>
              <w:ind w:left="3001" w:right="2988"/>
              <w:jc w:val="center"/>
              <w:rPr>
                <w:sz w:val="15"/>
              </w:rPr>
            </w:pPr>
            <w:r>
              <w:rPr>
                <w:sz w:val="15"/>
              </w:rPr>
              <w:t>35%</w:t>
            </w:r>
          </w:p>
        </w:tc>
      </w:tr>
      <w:tr>
        <w:trPr>
          <w:trHeight w:val="173" w:hRule="atLeast"/>
        </w:trPr>
        <w:tc>
          <w:tcPr>
            <w:tcW w:w="1294" w:type="dxa"/>
          </w:tcPr>
          <w:p>
            <w:pPr>
              <w:pStyle w:val="TableParagraph"/>
              <w:spacing w:line="154" w:lineRule="exact"/>
              <w:ind w:left="48" w:right="41"/>
              <w:jc w:val="center"/>
              <w:rPr>
                <w:sz w:val="15"/>
              </w:rPr>
            </w:pPr>
            <w:r>
              <w:rPr>
                <w:sz w:val="15"/>
              </w:rPr>
              <w:t>100 a 300</w:t>
            </w:r>
          </w:p>
        </w:tc>
        <w:tc>
          <w:tcPr>
            <w:tcW w:w="6340" w:type="dxa"/>
            <w:gridSpan w:val="6"/>
          </w:tcPr>
          <w:p>
            <w:pPr>
              <w:pStyle w:val="TableParagraph"/>
              <w:spacing w:line="154" w:lineRule="exact"/>
              <w:ind w:left="3001" w:right="2988"/>
              <w:jc w:val="center"/>
              <w:rPr>
                <w:sz w:val="15"/>
              </w:rPr>
            </w:pPr>
            <w:r>
              <w:rPr>
                <w:sz w:val="15"/>
              </w:rPr>
              <w:t>30%</w:t>
            </w:r>
          </w:p>
        </w:tc>
      </w:tr>
      <w:tr>
        <w:trPr>
          <w:trHeight w:val="173" w:hRule="atLeast"/>
        </w:trPr>
        <w:tc>
          <w:tcPr>
            <w:tcW w:w="1294" w:type="dxa"/>
          </w:tcPr>
          <w:p>
            <w:pPr>
              <w:pStyle w:val="TableParagraph"/>
              <w:spacing w:line="154" w:lineRule="exact"/>
              <w:ind w:left="48" w:right="41"/>
              <w:jc w:val="center"/>
              <w:rPr>
                <w:sz w:val="15"/>
              </w:rPr>
            </w:pPr>
            <w:r>
              <w:rPr>
                <w:sz w:val="15"/>
              </w:rPr>
              <w:t>75 a 99</w:t>
            </w:r>
          </w:p>
        </w:tc>
        <w:tc>
          <w:tcPr>
            <w:tcW w:w="6340" w:type="dxa"/>
            <w:gridSpan w:val="6"/>
          </w:tcPr>
          <w:p>
            <w:pPr>
              <w:pStyle w:val="TableParagraph"/>
              <w:spacing w:line="154" w:lineRule="exact"/>
              <w:ind w:left="3001" w:right="2988"/>
              <w:jc w:val="center"/>
              <w:rPr>
                <w:sz w:val="15"/>
              </w:rPr>
            </w:pPr>
            <w:r>
              <w:rPr>
                <w:sz w:val="15"/>
              </w:rPr>
              <w:t>25%</w:t>
            </w:r>
          </w:p>
        </w:tc>
      </w:tr>
      <w:tr>
        <w:trPr>
          <w:trHeight w:val="173" w:hRule="atLeast"/>
        </w:trPr>
        <w:tc>
          <w:tcPr>
            <w:tcW w:w="1294" w:type="dxa"/>
          </w:tcPr>
          <w:p>
            <w:pPr>
              <w:pStyle w:val="TableParagraph"/>
              <w:spacing w:line="153" w:lineRule="exact" w:before="1"/>
              <w:ind w:left="48" w:right="41"/>
              <w:jc w:val="center"/>
              <w:rPr>
                <w:sz w:val="15"/>
              </w:rPr>
            </w:pPr>
            <w:r>
              <w:rPr>
                <w:sz w:val="15"/>
              </w:rPr>
              <w:t>50 a 74</w:t>
            </w:r>
          </w:p>
        </w:tc>
        <w:tc>
          <w:tcPr>
            <w:tcW w:w="6340" w:type="dxa"/>
            <w:gridSpan w:val="6"/>
          </w:tcPr>
          <w:p>
            <w:pPr>
              <w:pStyle w:val="TableParagraph"/>
              <w:spacing w:line="153" w:lineRule="exact" w:before="1"/>
              <w:ind w:left="3001" w:right="2988"/>
              <w:jc w:val="center"/>
              <w:rPr>
                <w:sz w:val="15"/>
              </w:rPr>
            </w:pPr>
            <w:r>
              <w:rPr>
                <w:sz w:val="15"/>
              </w:rPr>
              <w:t>20%</w:t>
            </w:r>
          </w:p>
        </w:tc>
      </w:tr>
      <w:tr>
        <w:trPr>
          <w:trHeight w:val="174" w:hRule="atLeast"/>
        </w:trPr>
        <w:tc>
          <w:tcPr>
            <w:tcW w:w="1294" w:type="dxa"/>
          </w:tcPr>
          <w:p>
            <w:pPr>
              <w:pStyle w:val="TableParagraph"/>
              <w:spacing w:line="153" w:lineRule="exact" w:before="1"/>
              <w:ind w:left="48" w:right="41"/>
              <w:jc w:val="center"/>
              <w:rPr>
                <w:sz w:val="15"/>
              </w:rPr>
            </w:pPr>
            <w:r>
              <w:rPr>
                <w:sz w:val="15"/>
              </w:rPr>
              <w:t>15 a 49</w:t>
            </w:r>
          </w:p>
        </w:tc>
        <w:tc>
          <w:tcPr>
            <w:tcW w:w="6340" w:type="dxa"/>
            <w:gridSpan w:val="6"/>
          </w:tcPr>
          <w:p>
            <w:pPr>
              <w:pStyle w:val="TableParagraph"/>
              <w:spacing w:line="153" w:lineRule="exact" w:before="1"/>
              <w:ind w:left="3001" w:right="2988"/>
              <w:jc w:val="center"/>
              <w:rPr>
                <w:sz w:val="15"/>
              </w:rPr>
            </w:pPr>
            <w:r>
              <w:rPr>
                <w:sz w:val="15"/>
              </w:rPr>
              <w:t>15%</w:t>
            </w:r>
          </w:p>
        </w:tc>
      </w:tr>
    </w:tbl>
    <w:p>
      <w:pPr>
        <w:pStyle w:val="BodyText"/>
        <w:rPr>
          <w:sz w:val="16"/>
        </w:rPr>
      </w:pPr>
    </w:p>
    <w:p>
      <w:pPr>
        <w:pStyle w:val="BodyText"/>
        <w:spacing w:before="1"/>
      </w:pPr>
    </w:p>
    <w:p>
      <w:pPr>
        <w:pStyle w:val="Heading4"/>
        <w:ind w:left="273" w:right="632"/>
      </w:pPr>
      <w:r>
        <w:rPr/>
        <w:t>SECCIÓN TERCERA</w:t>
      </w:r>
    </w:p>
    <w:p>
      <w:pPr>
        <w:pStyle w:val="BodyText"/>
        <w:spacing w:before="8"/>
        <w:rPr>
          <w:b/>
        </w:rPr>
      </w:pPr>
    </w:p>
    <w:p>
      <w:pPr>
        <w:spacing w:line="247" w:lineRule="auto" w:before="0"/>
        <w:ind w:left="277" w:right="632" w:firstLine="0"/>
        <w:jc w:val="center"/>
        <w:rPr>
          <w:b/>
          <w:sz w:val="15"/>
        </w:rPr>
      </w:pPr>
      <w:r>
        <w:rPr>
          <w:b/>
          <w:sz w:val="15"/>
        </w:rPr>
        <w:t>De los Incentivos Fiscales a la Actividad Productiva por el monto total a pagar en impuestos y derechos municipales</w:t>
      </w:r>
    </w:p>
    <w:p>
      <w:pPr>
        <w:pStyle w:val="BodyText"/>
        <w:spacing w:before="3"/>
        <w:rPr>
          <w:b/>
        </w:rPr>
      </w:pPr>
    </w:p>
    <w:p>
      <w:pPr>
        <w:pStyle w:val="BodyText"/>
        <w:spacing w:line="247" w:lineRule="auto"/>
        <w:ind w:left="150" w:right="509" w:firstLine="397"/>
        <w:jc w:val="both"/>
      </w:pPr>
      <w:r>
        <w:rPr/>
        <w:pict>
          <v:shape style="position:absolute;margin-left:680.468018pt;margin-top:44.166412pt;width:382.55pt;height:259.9pt;mso-position-horizontal-relative:page;mso-position-vertical-relative:paragraph;z-index:25169203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8"/>
                    <w:gridCol w:w="575"/>
                    <w:gridCol w:w="1040"/>
                    <w:gridCol w:w="727"/>
                    <w:gridCol w:w="1239"/>
                    <w:gridCol w:w="1001"/>
                    <w:gridCol w:w="975"/>
                    <w:gridCol w:w="979"/>
                  </w:tblGrid>
                  <w:tr>
                    <w:trPr>
                      <w:trHeight w:val="527" w:hRule="atLeast"/>
                    </w:trPr>
                    <w:tc>
                      <w:tcPr>
                        <w:tcW w:w="1108" w:type="dxa"/>
                        <w:shd w:val="clear" w:color="auto" w:fill="F89938"/>
                      </w:tcPr>
                      <w:p>
                        <w:pPr>
                          <w:pStyle w:val="TableParagraph"/>
                          <w:spacing w:line="178" w:lineRule="exact"/>
                          <w:ind w:left="60" w:right="51"/>
                          <w:jc w:val="center"/>
                          <w:rPr>
                            <w:b/>
                            <w:sz w:val="15"/>
                          </w:rPr>
                        </w:pPr>
                        <w:r>
                          <w:rPr>
                            <w:b/>
                            <w:sz w:val="15"/>
                          </w:rPr>
                          <w:t>Condicionant es del incentivo</w:t>
                        </w:r>
                      </w:p>
                    </w:tc>
                    <w:tc>
                      <w:tcPr>
                        <w:tcW w:w="2342" w:type="dxa"/>
                        <w:gridSpan w:val="3"/>
                        <w:shd w:val="clear" w:color="auto" w:fill="F89938"/>
                      </w:tcPr>
                      <w:p>
                        <w:pPr>
                          <w:pStyle w:val="TableParagraph"/>
                          <w:spacing w:before="6"/>
                          <w:rPr>
                            <w:sz w:val="15"/>
                          </w:rPr>
                        </w:pPr>
                      </w:p>
                      <w:p>
                        <w:pPr>
                          <w:pStyle w:val="TableParagraph"/>
                          <w:ind w:left="716"/>
                          <w:rPr>
                            <w:b/>
                            <w:sz w:val="15"/>
                          </w:rPr>
                        </w:pPr>
                        <w:r>
                          <w:rPr>
                            <w:b/>
                            <w:sz w:val="15"/>
                          </w:rPr>
                          <w:t>IMPUESTOS</w:t>
                        </w:r>
                      </w:p>
                    </w:tc>
                    <w:tc>
                      <w:tcPr>
                        <w:tcW w:w="4194" w:type="dxa"/>
                        <w:gridSpan w:val="4"/>
                        <w:shd w:val="clear" w:color="auto" w:fill="F89938"/>
                      </w:tcPr>
                      <w:p>
                        <w:pPr>
                          <w:pStyle w:val="TableParagraph"/>
                          <w:spacing w:before="6"/>
                          <w:rPr>
                            <w:sz w:val="15"/>
                          </w:rPr>
                        </w:pPr>
                      </w:p>
                      <w:p>
                        <w:pPr>
                          <w:pStyle w:val="TableParagraph"/>
                          <w:ind w:left="1646" w:right="1646"/>
                          <w:jc w:val="center"/>
                          <w:rPr>
                            <w:b/>
                            <w:sz w:val="15"/>
                          </w:rPr>
                        </w:pPr>
                        <w:r>
                          <w:rPr>
                            <w:b/>
                            <w:sz w:val="15"/>
                          </w:rPr>
                          <w:t>DERECHOS</w:t>
                        </w:r>
                      </w:p>
                    </w:tc>
                  </w:tr>
                  <w:tr>
                    <w:trPr>
                      <w:trHeight w:val="1054" w:hRule="atLeast"/>
                    </w:trPr>
                    <w:tc>
                      <w:tcPr>
                        <w:tcW w:w="1108" w:type="dxa"/>
                      </w:tcPr>
                      <w:p>
                        <w:pPr>
                          <w:pStyle w:val="TableParagraph"/>
                          <w:spacing w:line="247" w:lineRule="auto"/>
                          <w:ind w:left="77" w:right="69" w:hanging="1"/>
                          <w:jc w:val="center"/>
                          <w:rPr>
                            <w:b/>
                            <w:sz w:val="15"/>
                          </w:rPr>
                        </w:pPr>
                        <w:r>
                          <w:rPr>
                            <w:b/>
                            <w:sz w:val="15"/>
                          </w:rPr>
                          <w:t>Rango de cuantificació n de pago </w:t>
                        </w:r>
                        <w:r>
                          <w:rPr>
                            <w:b/>
                            <w:spacing w:val="-6"/>
                            <w:sz w:val="15"/>
                          </w:rPr>
                          <w:t>de </w:t>
                        </w:r>
                        <w:r>
                          <w:rPr>
                            <w:b/>
                            <w:sz w:val="15"/>
                          </w:rPr>
                          <w:t>impuestos ylo</w:t>
                        </w:r>
                        <w:r>
                          <w:rPr>
                            <w:b/>
                            <w:spacing w:val="30"/>
                            <w:sz w:val="15"/>
                          </w:rPr>
                          <w:t> </w:t>
                        </w:r>
                        <w:r>
                          <w:rPr>
                            <w:b/>
                            <w:spacing w:val="-3"/>
                            <w:sz w:val="15"/>
                          </w:rPr>
                          <w:t>derechos</w:t>
                        </w:r>
                      </w:p>
                      <w:p>
                        <w:pPr>
                          <w:pStyle w:val="TableParagraph"/>
                          <w:spacing w:line="150" w:lineRule="exact"/>
                          <w:ind w:left="57" w:right="51"/>
                          <w:jc w:val="center"/>
                          <w:rPr>
                            <w:b/>
                            <w:sz w:val="15"/>
                          </w:rPr>
                        </w:pPr>
                        <w:r>
                          <w:rPr>
                            <w:b/>
                            <w:sz w:val="15"/>
                          </w:rPr>
                          <w:t>municipales</w:t>
                        </w:r>
                      </w:p>
                    </w:tc>
                    <w:tc>
                      <w:tcPr>
                        <w:tcW w:w="575" w:type="dxa"/>
                      </w:tcPr>
                      <w:p>
                        <w:pPr>
                          <w:pStyle w:val="TableParagraph"/>
                          <w:rPr>
                            <w:sz w:val="15"/>
                          </w:rPr>
                        </w:pPr>
                      </w:p>
                      <w:p>
                        <w:pPr>
                          <w:pStyle w:val="TableParagraph"/>
                          <w:spacing w:line="247" w:lineRule="auto"/>
                          <w:ind w:left="49" w:right="43"/>
                          <w:jc w:val="center"/>
                          <w:rPr>
                            <w:b/>
                            <w:sz w:val="15"/>
                          </w:rPr>
                        </w:pPr>
                        <w:r>
                          <w:rPr>
                            <w:b/>
                            <w:sz w:val="15"/>
                          </w:rPr>
                          <w:t>Predia l,   hasta un</w:t>
                        </w:r>
                      </w:p>
                    </w:tc>
                    <w:tc>
                      <w:tcPr>
                        <w:tcW w:w="1040" w:type="dxa"/>
                      </w:tcPr>
                      <w:p>
                        <w:pPr>
                          <w:pStyle w:val="TableParagraph"/>
                          <w:spacing w:line="247" w:lineRule="auto" w:before="83"/>
                          <w:ind w:left="56" w:right="47" w:hanging="1"/>
                          <w:jc w:val="center"/>
                          <w:rPr>
                            <w:b/>
                            <w:sz w:val="15"/>
                          </w:rPr>
                        </w:pPr>
                        <w:r>
                          <w:rPr>
                            <w:b/>
                            <w:sz w:val="15"/>
                          </w:rPr>
                          <w:t>Transmision es      Patrimoniale s,</w:t>
                        </w:r>
                      </w:p>
                      <w:p>
                        <w:pPr>
                          <w:pStyle w:val="TableParagraph"/>
                          <w:spacing w:line="170" w:lineRule="exact"/>
                          <w:ind w:left="189" w:right="183"/>
                          <w:jc w:val="center"/>
                          <w:rPr>
                            <w:b/>
                            <w:sz w:val="15"/>
                          </w:rPr>
                        </w:pPr>
                        <w:r>
                          <w:rPr>
                            <w:b/>
                            <w:sz w:val="15"/>
                          </w:rPr>
                          <w:t>hasta un</w:t>
                        </w:r>
                      </w:p>
                    </w:tc>
                    <w:tc>
                      <w:tcPr>
                        <w:tcW w:w="727" w:type="dxa"/>
                      </w:tcPr>
                      <w:p>
                        <w:pPr>
                          <w:pStyle w:val="TableParagraph"/>
                          <w:spacing w:line="247" w:lineRule="auto" w:before="83"/>
                          <w:ind w:left="57" w:right="50"/>
                          <w:jc w:val="center"/>
                          <w:rPr>
                            <w:b/>
                            <w:sz w:val="15"/>
                          </w:rPr>
                        </w:pPr>
                        <w:r>
                          <w:rPr>
                            <w:b/>
                            <w:sz w:val="15"/>
                          </w:rPr>
                          <w:t>Negocio s     Jurídico s,</w:t>
                        </w:r>
                      </w:p>
                      <w:p>
                        <w:pPr>
                          <w:pStyle w:val="TableParagraph"/>
                          <w:spacing w:line="170" w:lineRule="exact"/>
                          <w:ind w:left="32" w:right="27"/>
                          <w:jc w:val="center"/>
                          <w:rPr>
                            <w:b/>
                            <w:sz w:val="15"/>
                          </w:rPr>
                        </w:pPr>
                        <w:r>
                          <w:rPr>
                            <w:b/>
                            <w:sz w:val="15"/>
                          </w:rPr>
                          <w:t>hasta un</w:t>
                        </w:r>
                      </w:p>
                    </w:tc>
                    <w:tc>
                      <w:tcPr>
                        <w:tcW w:w="1239" w:type="dxa"/>
                      </w:tcPr>
                      <w:p>
                        <w:pPr>
                          <w:pStyle w:val="TableParagraph"/>
                          <w:spacing w:line="247" w:lineRule="auto"/>
                          <w:ind w:left="38" w:right="32"/>
                          <w:jc w:val="center"/>
                          <w:rPr>
                            <w:b/>
                            <w:sz w:val="15"/>
                          </w:rPr>
                        </w:pPr>
                        <w:r>
                          <w:rPr>
                            <w:b/>
                            <w:sz w:val="15"/>
                          </w:rPr>
                          <w:t>Aprovechamien to de infraestructura básica existente,</w:t>
                        </w:r>
                      </w:p>
                      <w:p>
                        <w:pPr>
                          <w:pStyle w:val="TableParagraph"/>
                          <w:spacing w:line="150" w:lineRule="exact"/>
                          <w:ind w:left="287" w:right="284"/>
                          <w:jc w:val="center"/>
                          <w:rPr>
                            <w:b/>
                            <w:sz w:val="15"/>
                          </w:rPr>
                        </w:pPr>
                        <w:r>
                          <w:rPr>
                            <w:b/>
                            <w:sz w:val="15"/>
                          </w:rPr>
                          <w:t>hasta un</w:t>
                        </w:r>
                      </w:p>
                    </w:tc>
                    <w:tc>
                      <w:tcPr>
                        <w:tcW w:w="1001" w:type="dxa"/>
                      </w:tcPr>
                      <w:p>
                        <w:pPr>
                          <w:pStyle w:val="TableParagraph"/>
                          <w:spacing w:line="247" w:lineRule="auto" w:before="83"/>
                          <w:ind w:left="47" w:right="42"/>
                          <w:jc w:val="center"/>
                          <w:rPr>
                            <w:b/>
                            <w:sz w:val="15"/>
                          </w:rPr>
                        </w:pPr>
                        <w:r>
                          <w:rPr>
                            <w:b/>
                            <w:sz w:val="15"/>
                          </w:rPr>
                          <w:t>Licencias  de     Construcció n,</w:t>
                        </w:r>
                      </w:p>
                      <w:p>
                        <w:pPr>
                          <w:pStyle w:val="TableParagraph"/>
                          <w:spacing w:line="170" w:lineRule="exact"/>
                          <w:ind w:left="45" w:right="42"/>
                          <w:jc w:val="center"/>
                          <w:rPr>
                            <w:b/>
                            <w:sz w:val="15"/>
                          </w:rPr>
                        </w:pPr>
                        <w:r>
                          <w:rPr>
                            <w:b/>
                            <w:sz w:val="15"/>
                          </w:rPr>
                          <w:t>hasta un</w:t>
                        </w:r>
                      </w:p>
                    </w:tc>
                    <w:tc>
                      <w:tcPr>
                        <w:tcW w:w="975" w:type="dxa"/>
                      </w:tcPr>
                      <w:p>
                        <w:pPr>
                          <w:pStyle w:val="TableParagraph"/>
                          <w:spacing w:line="247" w:lineRule="auto" w:before="83"/>
                          <w:ind w:left="49" w:right="45" w:firstLine="1"/>
                          <w:jc w:val="center"/>
                          <w:rPr>
                            <w:b/>
                            <w:sz w:val="15"/>
                          </w:rPr>
                        </w:pPr>
                        <w:r>
                          <w:rPr>
                            <w:b/>
                            <w:sz w:val="15"/>
                          </w:rPr>
                          <w:t>Certificado de     Habitabilida d,</w:t>
                        </w:r>
                      </w:p>
                      <w:p>
                        <w:pPr>
                          <w:pStyle w:val="TableParagraph"/>
                          <w:spacing w:line="170" w:lineRule="exact"/>
                          <w:ind w:left="155" w:right="152"/>
                          <w:jc w:val="center"/>
                          <w:rPr>
                            <w:b/>
                            <w:sz w:val="15"/>
                          </w:rPr>
                        </w:pPr>
                        <w:r>
                          <w:rPr>
                            <w:b/>
                            <w:sz w:val="15"/>
                          </w:rPr>
                          <w:t>hasta un</w:t>
                        </w:r>
                      </w:p>
                    </w:tc>
                    <w:tc>
                      <w:tcPr>
                        <w:tcW w:w="979" w:type="dxa"/>
                      </w:tcPr>
                      <w:p>
                        <w:pPr>
                          <w:pStyle w:val="TableParagraph"/>
                          <w:spacing w:before="7"/>
                          <w:rPr>
                            <w:sz w:val="22"/>
                          </w:rPr>
                        </w:pPr>
                      </w:p>
                      <w:p>
                        <w:pPr>
                          <w:pStyle w:val="TableParagraph"/>
                          <w:spacing w:line="247" w:lineRule="auto"/>
                          <w:ind w:left="48" w:right="45" w:firstLine="16"/>
                          <w:jc w:val="both"/>
                          <w:rPr>
                            <w:b/>
                            <w:sz w:val="15"/>
                          </w:rPr>
                        </w:pPr>
                        <w:r>
                          <w:rPr>
                            <w:b/>
                            <w:sz w:val="15"/>
                          </w:rPr>
                          <w:t>Licencia de Urbanizació n, hasta un</w:t>
                        </w:r>
                      </w:p>
                    </w:tc>
                  </w:tr>
                  <w:tr>
                    <w:trPr>
                      <w:trHeight w:val="527" w:hRule="atLeast"/>
                    </w:trPr>
                    <w:tc>
                      <w:tcPr>
                        <w:tcW w:w="1108" w:type="dxa"/>
                      </w:tcPr>
                      <w:p>
                        <w:pPr>
                          <w:pStyle w:val="TableParagraph"/>
                          <w:ind w:left="170" w:hanging="42"/>
                          <w:rPr>
                            <w:sz w:val="15"/>
                          </w:rPr>
                        </w:pPr>
                        <w:r>
                          <w:rPr>
                            <w:sz w:val="15"/>
                          </w:rPr>
                          <w:t>$5 mdp más</w:t>
                        </w:r>
                      </w:p>
                      <w:p>
                        <w:pPr>
                          <w:pStyle w:val="TableParagraph"/>
                          <w:spacing w:line="170" w:lineRule="atLeast" w:before="5"/>
                          <w:ind w:left="257" w:hanging="87"/>
                          <w:rPr>
                            <w:sz w:val="15"/>
                          </w:rPr>
                        </w:pPr>
                        <w:r>
                          <w:rPr>
                            <w:sz w:val="15"/>
                          </w:rPr>
                          <w:t>un peso en adelanto</w:t>
                        </w:r>
                      </w:p>
                    </w:tc>
                    <w:tc>
                      <w:tcPr>
                        <w:tcW w:w="6536" w:type="dxa"/>
                        <w:gridSpan w:val="7"/>
                      </w:tcPr>
                      <w:p>
                        <w:pPr>
                          <w:pStyle w:val="TableParagraph"/>
                          <w:spacing w:before="5"/>
                          <w:rPr>
                            <w:sz w:val="15"/>
                          </w:rPr>
                        </w:pPr>
                      </w:p>
                      <w:p>
                        <w:pPr>
                          <w:pStyle w:val="TableParagraph"/>
                          <w:ind w:left="3093" w:right="3092"/>
                          <w:jc w:val="center"/>
                          <w:rPr>
                            <w:sz w:val="15"/>
                          </w:rPr>
                        </w:pPr>
                        <w:r>
                          <w:rPr>
                            <w:sz w:val="15"/>
                          </w:rPr>
                          <w:t>40%</w:t>
                        </w:r>
                      </w:p>
                    </w:tc>
                  </w:tr>
                  <w:tr>
                    <w:trPr>
                      <w:trHeight w:val="528" w:hRule="atLeast"/>
                    </w:trPr>
                    <w:tc>
                      <w:tcPr>
                        <w:tcW w:w="1108" w:type="dxa"/>
                      </w:tcPr>
                      <w:p>
                        <w:pPr>
                          <w:pStyle w:val="TableParagraph"/>
                          <w:spacing w:line="247" w:lineRule="auto" w:before="1"/>
                          <w:ind w:left="69" w:right="61" w:hanging="2"/>
                          <w:jc w:val="center"/>
                          <w:rPr>
                            <w:sz w:val="15"/>
                          </w:rPr>
                        </w:pPr>
                        <w:r>
                          <w:rPr>
                            <w:sz w:val="15"/>
                          </w:rPr>
                          <w:t>$3 mdp más un peso hasta</w:t>
                        </w:r>
                      </w:p>
                      <w:p>
                        <w:pPr>
                          <w:pStyle w:val="TableParagraph"/>
                          <w:spacing w:line="152" w:lineRule="exact"/>
                          <w:ind w:left="56" w:right="51"/>
                          <w:jc w:val="center"/>
                          <w:rPr>
                            <w:sz w:val="15"/>
                          </w:rPr>
                        </w:pPr>
                        <w:r>
                          <w:rPr>
                            <w:sz w:val="15"/>
                          </w:rPr>
                          <w:t>$5 mdp</w:t>
                        </w:r>
                      </w:p>
                    </w:tc>
                    <w:tc>
                      <w:tcPr>
                        <w:tcW w:w="6536" w:type="dxa"/>
                        <w:gridSpan w:val="7"/>
                      </w:tcPr>
                      <w:p>
                        <w:pPr>
                          <w:pStyle w:val="TableParagraph"/>
                          <w:spacing w:before="6"/>
                          <w:rPr>
                            <w:sz w:val="15"/>
                          </w:rPr>
                        </w:pPr>
                      </w:p>
                      <w:p>
                        <w:pPr>
                          <w:pStyle w:val="TableParagraph"/>
                          <w:ind w:left="3093" w:right="3092"/>
                          <w:jc w:val="center"/>
                          <w:rPr>
                            <w:sz w:val="15"/>
                          </w:rPr>
                        </w:pPr>
                        <w:r>
                          <w:rPr>
                            <w:sz w:val="15"/>
                          </w:rPr>
                          <w:t>35%</w:t>
                        </w:r>
                      </w:p>
                    </w:tc>
                  </w:tr>
                  <w:tr>
                    <w:trPr>
                      <w:trHeight w:val="528" w:hRule="atLeast"/>
                    </w:trPr>
                    <w:tc>
                      <w:tcPr>
                        <w:tcW w:w="1108" w:type="dxa"/>
                      </w:tcPr>
                      <w:p>
                        <w:pPr>
                          <w:pStyle w:val="TableParagraph"/>
                          <w:spacing w:line="244" w:lineRule="auto" w:before="1"/>
                          <w:ind w:left="59" w:right="51"/>
                          <w:jc w:val="center"/>
                          <w:rPr>
                            <w:sz w:val="15"/>
                          </w:rPr>
                        </w:pPr>
                        <w:r>
                          <w:rPr>
                            <w:sz w:val="15"/>
                          </w:rPr>
                          <w:t>$1.5 mdp más un peso hasta</w:t>
                        </w:r>
                      </w:p>
                      <w:p>
                        <w:pPr>
                          <w:pStyle w:val="TableParagraph"/>
                          <w:spacing w:line="154" w:lineRule="exact" w:before="2"/>
                          <w:ind w:left="56" w:right="51"/>
                          <w:jc w:val="center"/>
                          <w:rPr>
                            <w:sz w:val="15"/>
                          </w:rPr>
                        </w:pPr>
                        <w:r>
                          <w:rPr>
                            <w:sz w:val="15"/>
                          </w:rPr>
                          <w:t>$3 mdp</w:t>
                        </w:r>
                      </w:p>
                    </w:tc>
                    <w:tc>
                      <w:tcPr>
                        <w:tcW w:w="6536" w:type="dxa"/>
                        <w:gridSpan w:val="7"/>
                      </w:tcPr>
                      <w:p>
                        <w:pPr>
                          <w:pStyle w:val="TableParagraph"/>
                          <w:spacing w:before="5"/>
                          <w:rPr>
                            <w:sz w:val="15"/>
                          </w:rPr>
                        </w:pPr>
                      </w:p>
                      <w:p>
                        <w:pPr>
                          <w:pStyle w:val="TableParagraph"/>
                          <w:ind w:left="3093" w:right="3092"/>
                          <w:jc w:val="center"/>
                          <w:rPr>
                            <w:sz w:val="15"/>
                          </w:rPr>
                        </w:pPr>
                        <w:r>
                          <w:rPr>
                            <w:sz w:val="15"/>
                          </w:rPr>
                          <w:t>30%</w:t>
                        </w:r>
                      </w:p>
                    </w:tc>
                  </w:tr>
                  <w:tr>
                    <w:trPr>
                      <w:trHeight w:val="705" w:hRule="atLeast"/>
                    </w:trPr>
                    <w:tc>
                      <w:tcPr>
                        <w:tcW w:w="1108" w:type="dxa"/>
                      </w:tcPr>
                      <w:p>
                        <w:pPr>
                          <w:pStyle w:val="TableParagraph"/>
                          <w:spacing w:line="247" w:lineRule="auto"/>
                          <w:ind w:left="73" w:right="65"/>
                          <w:jc w:val="center"/>
                          <w:rPr>
                            <w:sz w:val="15"/>
                          </w:rPr>
                        </w:pPr>
                        <w:r>
                          <w:rPr>
                            <w:sz w:val="15"/>
                          </w:rPr>
                          <w:t>$500 mil pesos más un peso hasta</w:t>
                        </w:r>
                      </w:p>
                      <w:p>
                        <w:pPr>
                          <w:pStyle w:val="TableParagraph"/>
                          <w:spacing w:line="152" w:lineRule="exact"/>
                          <w:ind w:left="55" w:right="51"/>
                          <w:jc w:val="center"/>
                          <w:rPr>
                            <w:sz w:val="15"/>
                          </w:rPr>
                        </w:pPr>
                        <w:r>
                          <w:rPr>
                            <w:sz w:val="15"/>
                          </w:rPr>
                          <w:t>$1.5 mdp</w:t>
                        </w:r>
                      </w:p>
                    </w:tc>
                    <w:tc>
                      <w:tcPr>
                        <w:tcW w:w="6536" w:type="dxa"/>
                        <w:gridSpan w:val="7"/>
                      </w:tcPr>
                      <w:p>
                        <w:pPr>
                          <w:pStyle w:val="TableParagraph"/>
                          <w:spacing w:before="2"/>
                          <w:rPr>
                            <w:sz w:val="23"/>
                          </w:rPr>
                        </w:pPr>
                      </w:p>
                      <w:p>
                        <w:pPr>
                          <w:pStyle w:val="TableParagraph"/>
                          <w:ind w:left="3093" w:right="3092"/>
                          <w:jc w:val="center"/>
                          <w:rPr>
                            <w:sz w:val="15"/>
                          </w:rPr>
                        </w:pPr>
                        <w:r>
                          <w:rPr>
                            <w:sz w:val="15"/>
                          </w:rPr>
                          <w:t>25%</w:t>
                        </w:r>
                      </w:p>
                    </w:tc>
                  </w:tr>
                  <w:tr>
                    <w:trPr>
                      <w:trHeight w:val="527" w:hRule="atLeast"/>
                    </w:trPr>
                    <w:tc>
                      <w:tcPr>
                        <w:tcW w:w="1108" w:type="dxa"/>
                      </w:tcPr>
                      <w:p>
                        <w:pPr>
                          <w:pStyle w:val="TableParagraph"/>
                          <w:spacing w:line="247" w:lineRule="auto"/>
                          <w:ind w:left="59" w:right="51"/>
                          <w:jc w:val="center"/>
                          <w:rPr>
                            <w:sz w:val="15"/>
                          </w:rPr>
                        </w:pPr>
                        <w:r>
                          <w:rPr>
                            <w:sz w:val="15"/>
                          </w:rPr>
                          <w:t>$250 mil más un peso hasta</w:t>
                        </w:r>
                      </w:p>
                      <w:p>
                        <w:pPr>
                          <w:pStyle w:val="TableParagraph"/>
                          <w:spacing w:line="152" w:lineRule="exact"/>
                          <w:ind w:left="57" w:right="51"/>
                          <w:jc w:val="center"/>
                          <w:rPr>
                            <w:sz w:val="15"/>
                          </w:rPr>
                        </w:pPr>
                        <w:r>
                          <w:rPr>
                            <w:sz w:val="15"/>
                          </w:rPr>
                          <w:t>$500 mil</w:t>
                        </w:r>
                      </w:p>
                    </w:tc>
                    <w:tc>
                      <w:tcPr>
                        <w:tcW w:w="6536" w:type="dxa"/>
                        <w:gridSpan w:val="7"/>
                      </w:tcPr>
                      <w:p>
                        <w:pPr>
                          <w:pStyle w:val="TableParagraph"/>
                          <w:spacing w:before="5"/>
                          <w:rPr>
                            <w:sz w:val="15"/>
                          </w:rPr>
                        </w:pPr>
                      </w:p>
                      <w:p>
                        <w:pPr>
                          <w:pStyle w:val="TableParagraph"/>
                          <w:ind w:left="3093" w:right="3092"/>
                          <w:jc w:val="center"/>
                          <w:rPr>
                            <w:sz w:val="15"/>
                          </w:rPr>
                        </w:pPr>
                        <w:r>
                          <w:rPr>
                            <w:sz w:val="15"/>
                          </w:rPr>
                          <w:t>20%</w:t>
                        </w:r>
                      </w:p>
                    </w:tc>
                  </w:tr>
                  <w:tr>
                    <w:trPr>
                      <w:trHeight w:val="705" w:hRule="atLeast"/>
                    </w:trPr>
                    <w:tc>
                      <w:tcPr>
                        <w:tcW w:w="1108" w:type="dxa"/>
                      </w:tcPr>
                      <w:p>
                        <w:pPr>
                          <w:pStyle w:val="TableParagraph"/>
                          <w:spacing w:line="247" w:lineRule="auto" w:before="1"/>
                          <w:ind w:left="137" w:firstLine="123"/>
                          <w:rPr>
                            <w:sz w:val="15"/>
                          </w:rPr>
                        </w:pPr>
                        <w:r>
                          <w:rPr>
                            <w:sz w:val="15"/>
                          </w:rPr>
                          <w:t>$100 mil pesos hasta</w:t>
                        </w:r>
                      </w:p>
                      <w:p>
                        <w:pPr>
                          <w:pStyle w:val="TableParagraph"/>
                          <w:spacing w:line="171" w:lineRule="exact"/>
                          <w:ind w:left="261"/>
                          <w:rPr>
                            <w:sz w:val="15"/>
                          </w:rPr>
                        </w:pPr>
                        <w:r>
                          <w:rPr>
                            <w:sz w:val="15"/>
                          </w:rPr>
                          <w:t>$250 mil</w:t>
                        </w:r>
                      </w:p>
                      <w:p>
                        <w:pPr>
                          <w:pStyle w:val="TableParagraph"/>
                          <w:spacing w:line="154" w:lineRule="exact" w:before="5"/>
                          <w:ind w:left="346"/>
                          <w:rPr>
                            <w:sz w:val="15"/>
                          </w:rPr>
                        </w:pPr>
                        <w:r>
                          <w:rPr>
                            <w:sz w:val="15"/>
                          </w:rPr>
                          <w:t>pesos</w:t>
                        </w:r>
                      </w:p>
                    </w:tc>
                    <w:tc>
                      <w:tcPr>
                        <w:tcW w:w="6536" w:type="dxa"/>
                        <w:gridSpan w:val="7"/>
                      </w:tcPr>
                      <w:p>
                        <w:pPr>
                          <w:pStyle w:val="TableParagraph"/>
                          <w:spacing w:before="2"/>
                          <w:rPr>
                            <w:sz w:val="23"/>
                          </w:rPr>
                        </w:pPr>
                      </w:p>
                      <w:p>
                        <w:pPr>
                          <w:pStyle w:val="TableParagraph"/>
                          <w:ind w:left="3093" w:right="3092"/>
                          <w:jc w:val="center"/>
                          <w:rPr>
                            <w:sz w:val="15"/>
                          </w:rPr>
                        </w:pPr>
                        <w:r>
                          <w:rPr>
                            <w:sz w:val="15"/>
                          </w:rPr>
                          <w:t>15%</w:t>
                        </w:r>
                      </w:p>
                    </w:tc>
                  </w:tr>
                </w:tbl>
                <w:p>
                  <w:pPr>
                    <w:pStyle w:val="BodyText"/>
                  </w:pPr>
                </w:p>
              </w:txbxContent>
            </v:textbox>
            <w10:wrap type="none"/>
          </v:shape>
        </w:pict>
      </w:r>
      <w:r>
        <w:rPr>
          <w:b/>
        </w:rPr>
        <w:t>Artículo 21.- </w:t>
      </w:r>
      <w:r>
        <w:rPr/>
        <w:t>Los incentivos señalados en razón del monto de inversión destinada a la construcción y/o urbanización de proyectos industriales, agroindustriales y de servicios a la industria, se aplicarán según la siguiente tabla, comprometiéndose a generar la inversión en el periodo establecido a través de convenios que haya celebrado con este Municipio:</w:t>
      </w:r>
    </w:p>
    <w:p>
      <w:pPr>
        <w:spacing w:after="0" w:line="247" w:lineRule="auto"/>
        <w:jc w:val="both"/>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spacing w:before="7"/>
        <w:rPr>
          <w:sz w:val="29"/>
        </w:rPr>
      </w:pPr>
    </w:p>
    <w:p>
      <w:pPr>
        <w:spacing w:after="0"/>
        <w:rPr>
          <w:sz w:val="29"/>
        </w:rPr>
        <w:sectPr>
          <w:headerReference w:type="default" r:id="rId56"/>
          <w:pgSz w:w="23250" w:h="15310" w:orient="landscape"/>
          <w:pgMar w:header="881" w:footer="499" w:top="1920" w:bottom="680" w:left="1880" w:right="1520"/>
        </w:sectPr>
      </w:pPr>
    </w:p>
    <w:p>
      <w:pPr>
        <w:pStyle w:val="BodyText"/>
        <w:rPr>
          <w:sz w:val="16"/>
        </w:rPr>
      </w:pPr>
    </w:p>
    <w:p>
      <w:pPr>
        <w:pStyle w:val="BodyText"/>
        <w:spacing w:before="4"/>
        <w:rPr>
          <w:sz w:val="23"/>
        </w:rPr>
      </w:pPr>
    </w:p>
    <w:p>
      <w:pPr>
        <w:pStyle w:val="BodyText"/>
        <w:spacing w:line="244" w:lineRule="auto" w:before="1"/>
        <w:ind w:left="150" w:right="39" w:firstLine="397"/>
        <w:jc w:val="both"/>
      </w:pPr>
      <w:r>
        <w:rPr/>
        <w:t>Los conceptos a considerar para la cuantificación del monto total son los contenidos en la tabla del presente</w:t>
      </w:r>
      <w:r>
        <w:rPr>
          <w:spacing w:val="1"/>
        </w:rPr>
        <w:t> </w:t>
      </w:r>
      <w:r>
        <w:rPr/>
        <w:t>artículo.</w:t>
      </w:r>
    </w:p>
    <w:p>
      <w:pPr>
        <w:pStyle w:val="BodyText"/>
        <w:rPr>
          <w:sz w:val="16"/>
        </w:rPr>
      </w:pPr>
    </w:p>
    <w:p>
      <w:pPr>
        <w:pStyle w:val="BodyText"/>
      </w:pPr>
    </w:p>
    <w:p>
      <w:pPr>
        <w:pStyle w:val="Heading4"/>
        <w:ind w:left="294" w:right="185"/>
      </w:pPr>
      <w:r>
        <w:rPr/>
        <w:t>SECCIÓN CUARTA</w:t>
      </w:r>
    </w:p>
    <w:p>
      <w:pPr>
        <w:spacing w:before="5"/>
        <w:ind w:left="295" w:right="185" w:firstLine="0"/>
        <w:jc w:val="center"/>
        <w:rPr>
          <w:b/>
          <w:sz w:val="15"/>
        </w:rPr>
      </w:pPr>
      <w:r>
        <w:rPr>
          <w:b/>
          <w:sz w:val="15"/>
        </w:rPr>
        <w:t>De los Incentivos Fiscales a la Actividad de Investigación Científica y Tecnológica</w:t>
      </w:r>
    </w:p>
    <w:p>
      <w:pPr>
        <w:pStyle w:val="BodyText"/>
        <w:spacing w:before="8"/>
        <w:rPr>
          <w:b/>
        </w:rPr>
      </w:pPr>
    </w:p>
    <w:p>
      <w:pPr>
        <w:pStyle w:val="BodyText"/>
        <w:spacing w:line="247" w:lineRule="auto"/>
        <w:ind w:left="150" w:right="38" w:firstLine="397"/>
        <w:jc w:val="both"/>
      </w:pPr>
      <w:r>
        <w:rPr/>
        <w:pict>
          <v:shape style="position:absolute;margin-left:99.365997pt;margin-top:44.163242pt;width:382.55pt;height:99.9pt;mso-position-horizontal-relative:page;mso-position-vertical-relative:paragraph;z-index:25169305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6"/>
                    <w:gridCol w:w="637"/>
                    <w:gridCol w:w="1217"/>
                    <w:gridCol w:w="898"/>
                    <w:gridCol w:w="1381"/>
                    <w:gridCol w:w="1116"/>
                    <w:gridCol w:w="1157"/>
                  </w:tblGrid>
                  <w:tr>
                    <w:trPr>
                      <w:trHeight w:val="351" w:hRule="atLeast"/>
                    </w:trPr>
                    <w:tc>
                      <w:tcPr>
                        <w:tcW w:w="1236" w:type="dxa"/>
                        <w:shd w:val="clear" w:color="auto" w:fill="F89938"/>
                      </w:tcPr>
                      <w:p>
                        <w:pPr>
                          <w:pStyle w:val="TableParagraph"/>
                          <w:spacing w:line="178" w:lineRule="exact"/>
                          <w:ind w:left="145" w:hanging="107"/>
                          <w:rPr>
                            <w:b/>
                            <w:sz w:val="15"/>
                          </w:rPr>
                        </w:pPr>
                        <w:r>
                          <w:rPr>
                            <w:b/>
                            <w:sz w:val="15"/>
                          </w:rPr>
                          <w:t>Condicionantes del incentivo</w:t>
                        </w:r>
                      </w:p>
                    </w:tc>
                    <w:tc>
                      <w:tcPr>
                        <w:tcW w:w="2752" w:type="dxa"/>
                        <w:gridSpan w:val="3"/>
                        <w:shd w:val="clear" w:color="auto" w:fill="F89938"/>
                      </w:tcPr>
                      <w:p>
                        <w:pPr>
                          <w:pStyle w:val="TableParagraph"/>
                          <w:spacing w:before="90"/>
                          <w:ind w:left="912" w:right="906"/>
                          <w:jc w:val="center"/>
                          <w:rPr>
                            <w:b/>
                            <w:sz w:val="15"/>
                          </w:rPr>
                        </w:pPr>
                        <w:r>
                          <w:rPr>
                            <w:b/>
                            <w:sz w:val="15"/>
                          </w:rPr>
                          <w:t>IMPUESTOS</w:t>
                        </w:r>
                      </w:p>
                    </w:tc>
                    <w:tc>
                      <w:tcPr>
                        <w:tcW w:w="3654" w:type="dxa"/>
                        <w:gridSpan w:val="3"/>
                        <w:shd w:val="clear" w:color="auto" w:fill="F89938"/>
                      </w:tcPr>
                      <w:p>
                        <w:pPr>
                          <w:pStyle w:val="TableParagraph"/>
                          <w:spacing w:before="90"/>
                          <w:ind w:left="1378" w:right="1375"/>
                          <w:jc w:val="center"/>
                          <w:rPr>
                            <w:b/>
                            <w:sz w:val="15"/>
                          </w:rPr>
                        </w:pPr>
                        <w:r>
                          <w:rPr>
                            <w:b/>
                            <w:sz w:val="15"/>
                          </w:rPr>
                          <w:t>DERECHOS</w:t>
                        </w:r>
                      </w:p>
                    </w:tc>
                  </w:tr>
                  <w:tr>
                    <w:trPr>
                      <w:trHeight w:val="877" w:hRule="atLeast"/>
                    </w:trPr>
                    <w:tc>
                      <w:tcPr>
                        <w:tcW w:w="1236" w:type="dxa"/>
                      </w:tcPr>
                      <w:p>
                        <w:pPr>
                          <w:pStyle w:val="TableParagraph"/>
                          <w:spacing w:before="2"/>
                          <w:rPr>
                            <w:sz w:val="15"/>
                          </w:rPr>
                        </w:pPr>
                      </w:p>
                      <w:p>
                        <w:pPr>
                          <w:pStyle w:val="TableParagraph"/>
                          <w:spacing w:line="244" w:lineRule="auto"/>
                          <w:ind w:left="175" w:right="167"/>
                          <w:jc w:val="center"/>
                          <w:rPr>
                            <w:b/>
                            <w:sz w:val="15"/>
                          </w:rPr>
                        </w:pPr>
                        <w:r>
                          <w:rPr>
                            <w:b/>
                            <w:sz w:val="15"/>
                          </w:rPr>
                          <w:t>Creación de nuevos empleos</w:t>
                        </w:r>
                      </w:p>
                    </w:tc>
                    <w:tc>
                      <w:tcPr>
                        <w:tcW w:w="637" w:type="dxa"/>
                      </w:tcPr>
                      <w:p>
                        <w:pPr>
                          <w:pStyle w:val="TableParagraph"/>
                          <w:spacing w:before="1"/>
                          <w:rPr>
                            <w:sz w:val="15"/>
                          </w:rPr>
                        </w:pPr>
                      </w:p>
                      <w:p>
                        <w:pPr>
                          <w:pStyle w:val="TableParagraph"/>
                          <w:spacing w:line="244" w:lineRule="auto" w:before="1"/>
                          <w:ind w:left="38" w:right="30"/>
                          <w:jc w:val="center"/>
                          <w:rPr>
                            <w:b/>
                            <w:sz w:val="15"/>
                          </w:rPr>
                        </w:pPr>
                        <w:r>
                          <w:rPr>
                            <w:b/>
                            <w:sz w:val="15"/>
                          </w:rPr>
                          <w:t>Predial, hasta un</w:t>
                        </w:r>
                      </w:p>
                    </w:tc>
                    <w:tc>
                      <w:tcPr>
                        <w:tcW w:w="1217" w:type="dxa"/>
                      </w:tcPr>
                      <w:p>
                        <w:pPr>
                          <w:pStyle w:val="TableParagraph"/>
                          <w:spacing w:before="1"/>
                          <w:rPr>
                            <w:sz w:val="15"/>
                          </w:rPr>
                        </w:pPr>
                      </w:p>
                      <w:p>
                        <w:pPr>
                          <w:pStyle w:val="TableParagraph"/>
                          <w:spacing w:line="244" w:lineRule="auto"/>
                          <w:ind w:left="66" w:right="60"/>
                          <w:jc w:val="center"/>
                          <w:rPr>
                            <w:b/>
                            <w:sz w:val="15"/>
                          </w:rPr>
                        </w:pPr>
                        <w:r>
                          <w:rPr>
                            <w:b/>
                            <w:sz w:val="15"/>
                          </w:rPr>
                          <w:t>Transmisiones Patrimoniales, hasta un</w:t>
                        </w:r>
                      </w:p>
                    </w:tc>
                    <w:tc>
                      <w:tcPr>
                        <w:tcW w:w="898" w:type="dxa"/>
                      </w:tcPr>
                      <w:p>
                        <w:pPr>
                          <w:pStyle w:val="TableParagraph"/>
                          <w:spacing w:before="1"/>
                          <w:rPr>
                            <w:sz w:val="15"/>
                          </w:rPr>
                        </w:pPr>
                      </w:p>
                      <w:p>
                        <w:pPr>
                          <w:pStyle w:val="TableParagraph"/>
                          <w:spacing w:line="244" w:lineRule="auto"/>
                          <w:ind w:left="83" w:right="74" w:firstLine="16"/>
                          <w:jc w:val="both"/>
                          <w:rPr>
                            <w:b/>
                            <w:sz w:val="15"/>
                          </w:rPr>
                        </w:pPr>
                        <w:r>
                          <w:rPr>
                            <w:b/>
                            <w:sz w:val="15"/>
                          </w:rPr>
                          <w:t>Negocios Jurídicos, hasta un</w:t>
                        </w:r>
                      </w:p>
                    </w:tc>
                    <w:tc>
                      <w:tcPr>
                        <w:tcW w:w="1381" w:type="dxa"/>
                      </w:tcPr>
                      <w:p>
                        <w:pPr>
                          <w:pStyle w:val="TableParagraph"/>
                          <w:spacing w:line="247" w:lineRule="auto"/>
                          <w:ind w:left="56" w:right="47"/>
                          <w:jc w:val="center"/>
                          <w:rPr>
                            <w:b/>
                            <w:sz w:val="15"/>
                          </w:rPr>
                        </w:pPr>
                        <w:r>
                          <w:rPr>
                            <w:b/>
                            <w:sz w:val="15"/>
                          </w:rPr>
                          <w:t>Aprovechamiento de          infraestructura básica</w:t>
                        </w:r>
                        <w:r>
                          <w:rPr>
                            <w:b/>
                            <w:spacing w:val="15"/>
                            <w:sz w:val="15"/>
                          </w:rPr>
                          <w:t> </w:t>
                        </w:r>
                        <w:r>
                          <w:rPr>
                            <w:b/>
                            <w:sz w:val="15"/>
                          </w:rPr>
                          <w:t>existente,</w:t>
                        </w:r>
                      </w:p>
                      <w:p>
                        <w:pPr>
                          <w:pStyle w:val="TableParagraph"/>
                          <w:spacing w:line="151" w:lineRule="exact"/>
                          <w:ind w:left="360" w:right="354"/>
                          <w:jc w:val="center"/>
                          <w:rPr>
                            <w:b/>
                            <w:sz w:val="15"/>
                          </w:rPr>
                        </w:pPr>
                        <w:r>
                          <w:rPr>
                            <w:b/>
                            <w:sz w:val="15"/>
                          </w:rPr>
                          <w:t>hasta un</w:t>
                        </w:r>
                      </w:p>
                    </w:tc>
                    <w:tc>
                      <w:tcPr>
                        <w:tcW w:w="1116" w:type="dxa"/>
                      </w:tcPr>
                      <w:p>
                        <w:pPr>
                          <w:pStyle w:val="TableParagraph"/>
                          <w:spacing w:before="1"/>
                          <w:rPr>
                            <w:sz w:val="15"/>
                          </w:rPr>
                        </w:pPr>
                      </w:p>
                      <w:p>
                        <w:pPr>
                          <w:pStyle w:val="TableParagraph"/>
                          <w:spacing w:line="244" w:lineRule="auto"/>
                          <w:ind w:left="38" w:right="29" w:hanging="2"/>
                          <w:jc w:val="center"/>
                          <w:rPr>
                            <w:b/>
                            <w:sz w:val="15"/>
                          </w:rPr>
                        </w:pPr>
                        <w:r>
                          <w:rPr>
                            <w:b/>
                            <w:sz w:val="15"/>
                          </w:rPr>
                          <w:t>Licencias de Construcción, hasta un</w:t>
                        </w:r>
                      </w:p>
                    </w:tc>
                    <w:tc>
                      <w:tcPr>
                        <w:tcW w:w="1157" w:type="dxa"/>
                      </w:tcPr>
                      <w:p>
                        <w:pPr>
                          <w:pStyle w:val="TableParagraph"/>
                          <w:spacing w:before="1"/>
                          <w:rPr>
                            <w:sz w:val="15"/>
                          </w:rPr>
                        </w:pPr>
                      </w:p>
                      <w:p>
                        <w:pPr>
                          <w:pStyle w:val="TableParagraph"/>
                          <w:spacing w:line="244" w:lineRule="auto"/>
                          <w:ind w:left="61" w:right="56"/>
                          <w:jc w:val="center"/>
                          <w:rPr>
                            <w:b/>
                            <w:sz w:val="15"/>
                          </w:rPr>
                        </w:pPr>
                        <w:r>
                          <w:rPr>
                            <w:b/>
                            <w:sz w:val="15"/>
                          </w:rPr>
                          <w:t>Certificado de Habitabilidad, hasta un</w:t>
                        </w:r>
                      </w:p>
                    </w:tc>
                  </w:tr>
                  <w:tr>
                    <w:trPr>
                      <w:trHeight w:val="173" w:hRule="atLeast"/>
                    </w:trPr>
                    <w:tc>
                      <w:tcPr>
                        <w:tcW w:w="1236" w:type="dxa"/>
                      </w:tcPr>
                      <w:p>
                        <w:pPr>
                          <w:pStyle w:val="TableParagraph"/>
                          <w:spacing w:line="153" w:lineRule="exact"/>
                          <w:ind w:left="58" w:right="52"/>
                          <w:jc w:val="center"/>
                          <w:rPr>
                            <w:sz w:val="15"/>
                          </w:rPr>
                        </w:pPr>
                        <w:r>
                          <w:rPr>
                            <w:sz w:val="15"/>
                          </w:rPr>
                          <w:t>100 en adelante</w:t>
                        </w:r>
                      </w:p>
                    </w:tc>
                    <w:tc>
                      <w:tcPr>
                        <w:tcW w:w="6406" w:type="dxa"/>
                        <w:gridSpan w:val="6"/>
                      </w:tcPr>
                      <w:p>
                        <w:pPr>
                          <w:pStyle w:val="TableParagraph"/>
                          <w:spacing w:line="153" w:lineRule="exact"/>
                          <w:ind w:left="3029" w:right="3025"/>
                          <w:jc w:val="center"/>
                          <w:rPr>
                            <w:sz w:val="15"/>
                          </w:rPr>
                        </w:pPr>
                        <w:r>
                          <w:rPr>
                            <w:sz w:val="15"/>
                          </w:rPr>
                          <w:t>40%</w:t>
                        </w:r>
                      </w:p>
                    </w:tc>
                  </w:tr>
                  <w:tr>
                    <w:trPr>
                      <w:trHeight w:val="173" w:hRule="atLeast"/>
                    </w:trPr>
                    <w:tc>
                      <w:tcPr>
                        <w:tcW w:w="1236" w:type="dxa"/>
                      </w:tcPr>
                      <w:p>
                        <w:pPr>
                          <w:pStyle w:val="TableParagraph"/>
                          <w:spacing w:line="153" w:lineRule="exact"/>
                          <w:ind w:left="173" w:right="167"/>
                          <w:jc w:val="center"/>
                          <w:rPr>
                            <w:sz w:val="15"/>
                          </w:rPr>
                        </w:pPr>
                        <w:r>
                          <w:rPr>
                            <w:sz w:val="15"/>
                          </w:rPr>
                          <w:t>75 a 99</w:t>
                        </w:r>
                      </w:p>
                    </w:tc>
                    <w:tc>
                      <w:tcPr>
                        <w:tcW w:w="6406" w:type="dxa"/>
                        <w:gridSpan w:val="6"/>
                      </w:tcPr>
                      <w:p>
                        <w:pPr>
                          <w:pStyle w:val="TableParagraph"/>
                          <w:spacing w:line="153" w:lineRule="exact"/>
                          <w:ind w:left="3029" w:right="3025"/>
                          <w:jc w:val="center"/>
                          <w:rPr>
                            <w:sz w:val="15"/>
                          </w:rPr>
                        </w:pPr>
                        <w:r>
                          <w:rPr>
                            <w:sz w:val="15"/>
                          </w:rPr>
                          <w:t>30%</w:t>
                        </w:r>
                      </w:p>
                    </w:tc>
                  </w:tr>
                  <w:tr>
                    <w:trPr>
                      <w:trHeight w:val="173" w:hRule="atLeast"/>
                    </w:trPr>
                    <w:tc>
                      <w:tcPr>
                        <w:tcW w:w="1236" w:type="dxa"/>
                      </w:tcPr>
                      <w:p>
                        <w:pPr>
                          <w:pStyle w:val="TableParagraph"/>
                          <w:spacing w:line="153" w:lineRule="exact"/>
                          <w:ind w:left="173" w:right="167"/>
                          <w:jc w:val="center"/>
                          <w:rPr>
                            <w:sz w:val="15"/>
                          </w:rPr>
                        </w:pPr>
                        <w:r>
                          <w:rPr>
                            <w:sz w:val="15"/>
                          </w:rPr>
                          <w:t>50 a 74</w:t>
                        </w:r>
                      </w:p>
                    </w:tc>
                    <w:tc>
                      <w:tcPr>
                        <w:tcW w:w="6406" w:type="dxa"/>
                        <w:gridSpan w:val="6"/>
                      </w:tcPr>
                      <w:p>
                        <w:pPr>
                          <w:pStyle w:val="TableParagraph"/>
                          <w:spacing w:line="153" w:lineRule="exact"/>
                          <w:ind w:left="3029" w:right="3025"/>
                          <w:jc w:val="center"/>
                          <w:rPr>
                            <w:sz w:val="15"/>
                          </w:rPr>
                        </w:pPr>
                        <w:r>
                          <w:rPr>
                            <w:sz w:val="15"/>
                          </w:rPr>
                          <w:t>20%</w:t>
                        </w:r>
                      </w:p>
                    </w:tc>
                  </w:tr>
                  <w:tr>
                    <w:trPr>
                      <w:trHeight w:val="174" w:hRule="atLeast"/>
                    </w:trPr>
                    <w:tc>
                      <w:tcPr>
                        <w:tcW w:w="1236" w:type="dxa"/>
                      </w:tcPr>
                      <w:p>
                        <w:pPr>
                          <w:pStyle w:val="TableParagraph"/>
                          <w:spacing w:line="153" w:lineRule="exact" w:before="1"/>
                          <w:ind w:left="173" w:right="167"/>
                          <w:jc w:val="center"/>
                          <w:rPr>
                            <w:sz w:val="15"/>
                          </w:rPr>
                        </w:pPr>
                        <w:r>
                          <w:rPr>
                            <w:sz w:val="15"/>
                          </w:rPr>
                          <w:t>15 a 49</w:t>
                        </w:r>
                      </w:p>
                    </w:tc>
                    <w:tc>
                      <w:tcPr>
                        <w:tcW w:w="6406" w:type="dxa"/>
                        <w:gridSpan w:val="6"/>
                      </w:tcPr>
                      <w:p>
                        <w:pPr>
                          <w:pStyle w:val="TableParagraph"/>
                          <w:spacing w:line="153" w:lineRule="exact" w:before="1"/>
                          <w:ind w:left="3029" w:right="3025"/>
                          <w:jc w:val="center"/>
                          <w:rPr>
                            <w:sz w:val="15"/>
                          </w:rPr>
                        </w:pPr>
                        <w:r>
                          <w:rPr>
                            <w:sz w:val="15"/>
                          </w:rPr>
                          <w:t>10%</w:t>
                        </w:r>
                      </w:p>
                    </w:tc>
                  </w:tr>
                </w:tbl>
                <w:p>
                  <w:pPr>
                    <w:pStyle w:val="BodyText"/>
                  </w:pPr>
                </w:p>
              </w:txbxContent>
            </v:textbox>
            <w10:wrap type="none"/>
          </v:shape>
        </w:pict>
      </w:r>
      <w:r>
        <w:rPr>
          <w:b/>
        </w:rPr>
        <w:t>Artículo 22.- </w:t>
      </w:r>
      <w:r>
        <w:rPr/>
        <w:t>Los incentivos señalados en razón de los empleos generados por  empresas dedicadas a     la investigación y desarrollo científico o de tecnología, se aplicarán de la siguiente forma, siempre y cuando  estas generen un vínculo de colaboración con las instituciones educativas del</w:t>
      </w:r>
      <w:r>
        <w:rPr>
          <w:spacing w:val="1"/>
        </w:rPr>
        <w:t> </w:t>
      </w:r>
      <w:r>
        <w:rPr/>
        <w:t>Municipio:</w:t>
      </w:r>
    </w:p>
    <w:p>
      <w:pPr>
        <w:pStyle w:val="BodyText"/>
        <w:spacing w:line="247" w:lineRule="auto" w:before="99"/>
        <w:ind w:left="150" w:right="748"/>
      </w:pPr>
      <w:r>
        <w:rPr/>
        <w:br w:type="column"/>
      </w:r>
      <w:r>
        <w:rPr/>
        <w:t>podrá efectuarse anualmente en tanto las empresas mantengan los números y porcentajes personales de las fuentes de trabajo. Podrán acceder al beneficio al cumplir con alguno de los siguientes supuestos:</w:t>
      </w:r>
    </w:p>
    <w:p>
      <w:pPr>
        <w:pStyle w:val="BodyText"/>
        <w:spacing w:before="3"/>
      </w:pPr>
    </w:p>
    <w:p>
      <w:pPr>
        <w:pStyle w:val="BodyText"/>
        <w:ind w:left="548"/>
      </w:pPr>
      <w:r>
        <w:rPr/>
        <w:t>I.- Contratar a 5 personas con discapacidad y/o de la tercera edad.</w:t>
      </w:r>
    </w:p>
    <w:p>
      <w:pPr>
        <w:pStyle w:val="BodyText"/>
        <w:spacing w:before="9"/>
      </w:pPr>
    </w:p>
    <w:p>
      <w:pPr>
        <w:pStyle w:val="BodyText"/>
        <w:ind w:left="548"/>
      </w:pPr>
      <w:r>
        <w:rPr/>
        <w:t>II.- Contratar al 5% de su plantilla laboral con discapacidad y/o de la tercera edad.</w:t>
      </w:r>
    </w:p>
    <w:p>
      <w:pPr>
        <w:pStyle w:val="BodyText"/>
        <w:spacing w:before="10"/>
      </w:pPr>
    </w:p>
    <w:p>
      <w:pPr>
        <w:pStyle w:val="BodyText"/>
        <w:spacing w:line="244" w:lineRule="auto"/>
        <w:ind w:left="150" w:right="509" w:firstLine="397"/>
        <w:jc w:val="both"/>
      </w:pPr>
      <w:r>
        <w:rPr/>
        <w:t>Se entenderá por empleos directos aquellos puestos de trabajo generados  bajo  una  subordinación  laboral que deban ejecutarse de forma personal y directa en el centro de trabajo que se beneficie de los estímulos fiscales de la presente</w:t>
      </w:r>
      <w:r>
        <w:rPr>
          <w:spacing w:val="5"/>
        </w:rPr>
        <w:t> </w:t>
      </w:r>
      <w:r>
        <w:rPr>
          <w:spacing w:val="-4"/>
        </w:rPr>
        <w:t>Ley.</w:t>
      </w:r>
    </w:p>
    <w:p>
      <w:pPr>
        <w:pStyle w:val="BodyText"/>
        <w:spacing w:before="7"/>
      </w:pPr>
    </w:p>
    <w:p>
      <w:pPr>
        <w:pStyle w:val="BodyText"/>
        <w:spacing w:line="247" w:lineRule="auto" w:before="1"/>
        <w:ind w:left="150" w:right="510" w:firstLine="397"/>
        <w:jc w:val="both"/>
      </w:pPr>
      <w:r>
        <w:rPr/>
        <w:t>Se entenderá por empleos permanentes a aquellos puestos de trabajo generados que por su naturaleza obedezcan a una relación laboral por tiempo indeterminado según la definición que hace referencia la Ley Federal del Trabajo en sus numerales del 35 al</w:t>
      </w:r>
      <w:r>
        <w:rPr>
          <w:spacing w:val="10"/>
        </w:rPr>
        <w:t> </w:t>
      </w:r>
      <w:r>
        <w:rPr/>
        <w:t>40.</w:t>
      </w:r>
    </w:p>
    <w:p>
      <w:pPr>
        <w:pStyle w:val="BodyText"/>
        <w:spacing w:before="2"/>
      </w:pPr>
    </w:p>
    <w:p>
      <w:pPr>
        <w:pStyle w:val="BodyText"/>
        <w:spacing w:line="247" w:lineRule="auto"/>
        <w:ind w:left="150" w:right="508" w:firstLine="397"/>
        <w:jc w:val="both"/>
      </w:pPr>
      <w:r>
        <w:rPr/>
        <w:t>En los casos de subcontratación de personal, los nuevos empleos se considerarán generados  por  la fuente primaria, entendiendo por ésta la unidad económica que ocupa en actividades  productivas  o  de  servicios a un número fijo o variables de empleados que le son proveídos por otra institución, llamada fuente secundaria, que suscribe por si los contratos de prestación de servicios y asume las responsabilidades  derivadas de la legislación en materia de trabajo y previsión</w:t>
      </w:r>
      <w:r>
        <w:rPr>
          <w:spacing w:val="21"/>
        </w:rPr>
        <w:t> </w:t>
      </w:r>
      <w:r>
        <w:rPr/>
        <w:t>social.</w:t>
      </w:r>
    </w:p>
    <w:p>
      <w:pPr>
        <w:pStyle w:val="BodyText"/>
        <w:spacing w:before="2"/>
      </w:pPr>
    </w:p>
    <w:p>
      <w:pPr>
        <w:pStyle w:val="BodyText"/>
        <w:spacing w:line="247" w:lineRule="auto"/>
        <w:ind w:left="150" w:right="511" w:firstLine="397"/>
        <w:jc w:val="both"/>
      </w:pPr>
      <w:r>
        <w:rPr/>
        <w:t>Los contribuyentes que realicen obras para mejorar la accesibilidad de las personas con discapacidad a sus instalaciones se les otorgarán el 100% de descuento en la licencia de construcción correspondiente a esta obra.</w:t>
      </w:r>
    </w:p>
    <w:p>
      <w:pPr>
        <w:spacing w:after="0" w:line="247" w:lineRule="auto"/>
        <w:jc w:val="both"/>
        <w:sectPr>
          <w:type w:val="continuous"/>
          <w:pgSz w:w="23250" w:h="15310" w:orient="landscape"/>
          <w:pgMar w:top="0" w:bottom="0" w:left="1880" w:right="1520"/>
          <w:cols w:num="2" w:equalWidth="0">
            <w:col w:w="7751" w:space="3871"/>
            <w:col w:w="8228"/>
          </w:cols>
        </w:sectPr>
      </w:pPr>
    </w:p>
    <w:p>
      <w:pPr>
        <w:pStyle w:val="BodyText"/>
        <w:rPr>
          <w:sz w:val="16"/>
        </w:rPr>
      </w:pPr>
    </w:p>
    <w:p>
      <w:pPr>
        <w:pStyle w:val="BodyText"/>
        <w:rPr>
          <w:sz w:val="16"/>
        </w:rPr>
      </w:pPr>
    </w:p>
    <w:p>
      <w:pPr>
        <w:pStyle w:val="BodyText"/>
        <w:spacing w:before="4"/>
        <w:rPr>
          <w:sz w:val="18"/>
        </w:rPr>
      </w:pPr>
    </w:p>
    <w:p>
      <w:pPr>
        <w:pStyle w:val="Heading4"/>
        <w:ind w:left="255" w:right="187"/>
      </w:pPr>
      <w:r>
        <w:rPr/>
        <w:t>SECCIÓN QUINTA</w:t>
      </w:r>
    </w:p>
    <w:p>
      <w:pPr>
        <w:spacing w:line="247" w:lineRule="auto" w:before="5"/>
        <w:ind w:left="261" w:right="187" w:firstLine="0"/>
        <w:jc w:val="center"/>
        <w:rPr>
          <w:b/>
          <w:sz w:val="15"/>
        </w:rPr>
      </w:pPr>
      <w:r>
        <w:rPr>
          <w:b/>
          <w:sz w:val="15"/>
        </w:rPr>
        <w:t>De los Incentivos Fiscales a Empresas que se Instalen en Parques Industriales y zonas industriales en desarrollo.</w:t>
      </w:r>
    </w:p>
    <w:p>
      <w:pPr>
        <w:pStyle w:val="BodyText"/>
        <w:spacing w:before="3"/>
        <w:rPr>
          <w:b/>
        </w:rPr>
      </w:pPr>
    </w:p>
    <w:p>
      <w:pPr>
        <w:pStyle w:val="BodyText"/>
        <w:spacing w:line="247" w:lineRule="auto"/>
        <w:ind w:left="174" w:right="79" w:firstLine="373"/>
        <w:jc w:val="both"/>
      </w:pPr>
      <w:r>
        <w:rPr>
          <w:b/>
        </w:rPr>
        <w:t>Artículo 23.- </w:t>
      </w:r>
      <w:r>
        <w:rPr/>
        <w:t>Los incentivos señalados en razón de los empleos generados por empresas industriales, agroindustriales y de servicios a la industria o al comercio que inicien o amplíen actividades en los parques industriales registrados en el municipio, se aplicarán de la siguiente manera, siempre que el contribuyente se comprometa a mantener las fuentes de empleo en el periodo establecido de acuerdo  al  artículo  19  del presente ordenamiento y al convenio que haya celebrado con este</w:t>
      </w:r>
      <w:r>
        <w:rPr>
          <w:spacing w:val="29"/>
        </w:rPr>
        <w:t> </w:t>
      </w:r>
      <w:r>
        <w:rPr/>
        <w:t>Municipio:</w:t>
      </w:r>
    </w:p>
    <w:p>
      <w:pPr>
        <w:pStyle w:val="BodyText"/>
        <w:rPr>
          <w:sz w:val="20"/>
        </w:rPr>
      </w:pPr>
    </w:p>
    <w:p>
      <w:pPr>
        <w:pStyle w:val="BodyText"/>
        <w:spacing w:before="4"/>
        <w:rPr>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6"/>
        <w:gridCol w:w="670"/>
        <w:gridCol w:w="1189"/>
        <w:gridCol w:w="839"/>
        <w:gridCol w:w="1413"/>
        <w:gridCol w:w="1147"/>
        <w:gridCol w:w="1122"/>
      </w:tblGrid>
      <w:tr>
        <w:trPr>
          <w:trHeight w:val="351" w:hRule="atLeast"/>
        </w:trPr>
        <w:tc>
          <w:tcPr>
            <w:tcW w:w="1266" w:type="dxa"/>
            <w:shd w:val="clear" w:color="auto" w:fill="F89938"/>
          </w:tcPr>
          <w:p>
            <w:pPr>
              <w:pStyle w:val="TableParagraph"/>
              <w:spacing w:line="176" w:lineRule="exact" w:before="2"/>
              <w:ind w:left="160" w:hanging="107"/>
              <w:rPr>
                <w:b/>
                <w:sz w:val="15"/>
              </w:rPr>
            </w:pPr>
            <w:r>
              <w:rPr>
                <w:b/>
                <w:sz w:val="15"/>
              </w:rPr>
              <w:t>Condicionantes del incentivo</w:t>
            </w:r>
          </w:p>
        </w:tc>
        <w:tc>
          <w:tcPr>
            <w:tcW w:w="2698" w:type="dxa"/>
            <w:gridSpan w:val="3"/>
            <w:shd w:val="clear" w:color="auto" w:fill="F89938"/>
          </w:tcPr>
          <w:p>
            <w:pPr>
              <w:pStyle w:val="TableParagraph"/>
              <w:spacing w:before="90"/>
              <w:ind w:left="894"/>
              <w:rPr>
                <w:b/>
                <w:sz w:val="15"/>
              </w:rPr>
            </w:pPr>
            <w:r>
              <w:rPr>
                <w:b/>
                <w:sz w:val="15"/>
              </w:rPr>
              <w:t>IMPUESTOS</w:t>
            </w:r>
          </w:p>
        </w:tc>
        <w:tc>
          <w:tcPr>
            <w:tcW w:w="3682" w:type="dxa"/>
            <w:gridSpan w:val="3"/>
            <w:shd w:val="clear" w:color="auto" w:fill="F89938"/>
          </w:tcPr>
          <w:p>
            <w:pPr>
              <w:pStyle w:val="TableParagraph"/>
              <w:spacing w:before="90"/>
              <w:ind w:left="1390" w:right="1391"/>
              <w:jc w:val="center"/>
              <w:rPr>
                <w:b/>
                <w:sz w:val="15"/>
              </w:rPr>
            </w:pPr>
            <w:r>
              <w:rPr>
                <w:b/>
                <w:sz w:val="15"/>
              </w:rPr>
              <w:t>DERECHOS</w:t>
            </w:r>
          </w:p>
        </w:tc>
      </w:tr>
      <w:tr>
        <w:trPr>
          <w:trHeight w:val="702" w:hRule="atLeast"/>
        </w:trPr>
        <w:tc>
          <w:tcPr>
            <w:tcW w:w="1266" w:type="dxa"/>
          </w:tcPr>
          <w:p>
            <w:pPr>
              <w:pStyle w:val="TableParagraph"/>
              <w:spacing w:line="247" w:lineRule="auto" w:before="87"/>
              <w:ind w:left="190" w:right="181"/>
              <w:jc w:val="center"/>
              <w:rPr>
                <w:b/>
                <w:sz w:val="15"/>
              </w:rPr>
            </w:pPr>
            <w:r>
              <w:rPr>
                <w:b/>
                <w:sz w:val="15"/>
              </w:rPr>
              <w:t>Creación de nuevos empleos</w:t>
            </w:r>
          </w:p>
        </w:tc>
        <w:tc>
          <w:tcPr>
            <w:tcW w:w="670" w:type="dxa"/>
          </w:tcPr>
          <w:p>
            <w:pPr>
              <w:pStyle w:val="TableParagraph"/>
              <w:spacing w:line="247" w:lineRule="auto" w:before="87"/>
              <w:ind w:left="55" w:right="46"/>
              <w:jc w:val="center"/>
              <w:rPr>
                <w:b/>
                <w:sz w:val="15"/>
              </w:rPr>
            </w:pPr>
            <w:r>
              <w:rPr>
                <w:b/>
                <w:sz w:val="15"/>
              </w:rPr>
              <w:t>Predial, hasta un</w:t>
            </w:r>
          </w:p>
        </w:tc>
        <w:tc>
          <w:tcPr>
            <w:tcW w:w="1189" w:type="dxa"/>
          </w:tcPr>
          <w:p>
            <w:pPr>
              <w:pStyle w:val="TableParagraph"/>
              <w:spacing w:line="247" w:lineRule="auto" w:before="87"/>
              <w:ind w:left="52" w:right="46"/>
              <w:jc w:val="center"/>
              <w:rPr>
                <w:b/>
                <w:sz w:val="15"/>
              </w:rPr>
            </w:pPr>
            <w:r>
              <w:rPr>
                <w:b/>
                <w:sz w:val="15"/>
              </w:rPr>
              <w:t>Transmisiones Patrimoniales, hasta un</w:t>
            </w:r>
          </w:p>
        </w:tc>
        <w:tc>
          <w:tcPr>
            <w:tcW w:w="839" w:type="dxa"/>
          </w:tcPr>
          <w:p>
            <w:pPr>
              <w:pStyle w:val="TableParagraph"/>
              <w:spacing w:line="247" w:lineRule="auto" w:before="87"/>
              <w:ind w:left="51" w:right="47" w:firstLine="17"/>
              <w:jc w:val="both"/>
              <w:rPr>
                <w:b/>
                <w:sz w:val="15"/>
              </w:rPr>
            </w:pPr>
            <w:r>
              <w:rPr>
                <w:b/>
                <w:sz w:val="15"/>
              </w:rPr>
              <w:t>Negocios Jurídicos, hasta un</w:t>
            </w:r>
          </w:p>
        </w:tc>
        <w:tc>
          <w:tcPr>
            <w:tcW w:w="1413" w:type="dxa"/>
          </w:tcPr>
          <w:p>
            <w:pPr>
              <w:pStyle w:val="TableParagraph"/>
              <w:spacing w:line="244" w:lineRule="auto"/>
              <w:ind w:left="48" w:right="44" w:firstLine="3"/>
              <w:jc w:val="both"/>
              <w:rPr>
                <w:b/>
                <w:sz w:val="15"/>
              </w:rPr>
            </w:pPr>
            <w:r>
              <w:rPr>
                <w:b/>
                <w:sz w:val="15"/>
              </w:rPr>
              <w:t>Aprovechamiento de infraestructura básica existente,</w:t>
            </w:r>
          </w:p>
          <w:p>
            <w:pPr>
              <w:pStyle w:val="TableParagraph"/>
              <w:spacing w:line="153" w:lineRule="exact" w:before="2"/>
              <w:ind w:left="388"/>
              <w:jc w:val="both"/>
              <w:rPr>
                <w:b/>
                <w:sz w:val="15"/>
              </w:rPr>
            </w:pPr>
            <w:r>
              <w:rPr>
                <w:b/>
                <w:sz w:val="15"/>
              </w:rPr>
              <w:t>hasta un</w:t>
            </w:r>
          </w:p>
        </w:tc>
        <w:tc>
          <w:tcPr>
            <w:tcW w:w="1147" w:type="dxa"/>
          </w:tcPr>
          <w:p>
            <w:pPr>
              <w:pStyle w:val="TableParagraph"/>
              <w:spacing w:line="247" w:lineRule="auto" w:before="87"/>
              <w:ind w:left="51" w:right="47"/>
              <w:jc w:val="center"/>
              <w:rPr>
                <w:b/>
                <w:sz w:val="15"/>
              </w:rPr>
            </w:pPr>
            <w:r>
              <w:rPr>
                <w:b/>
                <w:sz w:val="15"/>
              </w:rPr>
              <w:t>Licencias de Construcción, hasta un</w:t>
            </w:r>
          </w:p>
        </w:tc>
        <w:tc>
          <w:tcPr>
            <w:tcW w:w="1122" w:type="dxa"/>
          </w:tcPr>
          <w:p>
            <w:pPr>
              <w:pStyle w:val="TableParagraph"/>
              <w:spacing w:line="247" w:lineRule="auto" w:before="87"/>
              <w:ind w:left="41" w:right="41"/>
              <w:jc w:val="center"/>
              <w:rPr>
                <w:b/>
                <w:sz w:val="15"/>
              </w:rPr>
            </w:pPr>
            <w:r>
              <w:rPr>
                <w:b/>
                <w:sz w:val="15"/>
              </w:rPr>
              <w:t>Certificado de Habitabilidad, hasta un</w:t>
            </w:r>
          </w:p>
        </w:tc>
      </w:tr>
      <w:tr>
        <w:trPr>
          <w:trHeight w:val="173" w:hRule="atLeast"/>
        </w:trPr>
        <w:tc>
          <w:tcPr>
            <w:tcW w:w="1266" w:type="dxa"/>
          </w:tcPr>
          <w:p>
            <w:pPr>
              <w:pStyle w:val="TableParagraph"/>
              <w:spacing w:line="153" w:lineRule="exact"/>
              <w:ind w:left="73" w:right="67"/>
              <w:jc w:val="center"/>
              <w:rPr>
                <w:sz w:val="15"/>
              </w:rPr>
            </w:pPr>
            <w:r>
              <w:rPr>
                <w:sz w:val="15"/>
              </w:rPr>
              <w:t>100 en adelante</w:t>
            </w:r>
          </w:p>
        </w:tc>
        <w:tc>
          <w:tcPr>
            <w:tcW w:w="6380" w:type="dxa"/>
            <w:gridSpan w:val="6"/>
          </w:tcPr>
          <w:p>
            <w:pPr>
              <w:pStyle w:val="TableParagraph"/>
              <w:spacing w:line="153" w:lineRule="exact"/>
              <w:ind w:left="3014" w:right="3014"/>
              <w:jc w:val="center"/>
              <w:rPr>
                <w:sz w:val="15"/>
              </w:rPr>
            </w:pPr>
            <w:r>
              <w:rPr>
                <w:sz w:val="15"/>
              </w:rPr>
              <w:t>20%</w:t>
            </w:r>
          </w:p>
        </w:tc>
      </w:tr>
      <w:tr>
        <w:trPr>
          <w:trHeight w:val="173" w:hRule="atLeast"/>
        </w:trPr>
        <w:tc>
          <w:tcPr>
            <w:tcW w:w="1266" w:type="dxa"/>
          </w:tcPr>
          <w:p>
            <w:pPr>
              <w:pStyle w:val="TableParagraph"/>
              <w:spacing w:line="153" w:lineRule="exact"/>
              <w:ind w:left="188" w:right="181"/>
              <w:jc w:val="center"/>
              <w:rPr>
                <w:sz w:val="15"/>
              </w:rPr>
            </w:pPr>
            <w:r>
              <w:rPr>
                <w:sz w:val="15"/>
              </w:rPr>
              <w:t>75 a 99</w:t>
            </w:r>
          </w:p>
        </w:tc>
        <w:tc>
          <w:tcPr>
            <w:tcW w:w="6380" w:type="dxa"/>
            <w:gridSpan w:val="6"/>
          </w:tcPr>
          <w:p>
            <w:pPr>
              <w:pStyle w:val="TableParagraph"/>
              <w:spacing w:line="153" w:lineRule="exact"/>
              <w:ind w:left="3014" w:right="3013"/>
              <w:jc w:val="center"/>
              <w:rPr>
                <w:sz w:val="15"/>
              </w:rPr>
            </w:pPr>
            <w:r>
              <w:rPr>
                <w:sz w:val="15"/>
              </w:rPr>
              <w:t>15%</w:t>
            </w:r>
          </w:p>
        </w:tc>
      </w:tr>
      <w:tr>
        <w:trPr>
          <w:trHeight w:val="173" w:hRule="atLeast"/>
        </w:trPr>
        <w:tc>
          <w:tcPr>
            <w:tcW w:w="1266" w:type="dxa"/>
          </w:tcPr>
          <w:p>
            <w:pPr>
              <w:pStyle w:val="TableParagraph"/>
              <w:spacing w:line="153" w:lineRule="exact" w:before="1"/>
              <w:ind w:left="188" w:right="181"/>
              <w:jc w:val="center"/>
              <w:rPr>
                <w:sz w:val="15"/>
              </w:rPr>
            </w:pPr>
            <w:r>
              <w:rPr>
                <w:sz w:val="15"/>
              </w:rPr>
              <w:t>50 a 74</w:t>
            </w:r>
          </w:p>
        </w:tc>
        <w:tc>
          <w:tcPr>
            <w:tcW w:w="6380" w:type="dxa"/>
            <w:gridSpan w:val="6"/>
          </w:tcPr>
          <w:p>
            <w:pPr>
              <w:pStyle w:val="TableParagraph"/>
              <w:spacing w:line="153" w:lineRule="exact" w:before="1"/>
              <w:ind w:left="3014" w:right="3013"/>
              <w:jc w:val="center"/>
              <w:rPr>
                <w:sz w:val="15"/>
              </w:rPr>
            </w:pPr>
            <w:r>
              <w:rPr>
                <w:sz w:val="15"/>
              </w:rPr>
              <w:t>10%</w:t>
            </w:r>
          </w:p>
        </w:tc>
      </w:tr>
      <w:tr>
        <w:trPr>
          <w:trHeight w:val="174" w:hRule="atLeast"/>
        </w:trPr>
        <w:tc>
          <w:tcPr>
            <w:tcW w:w="1266" w:type="dxa"/>
          </w:tcPr>
          <w:p>
            <w:pPr>
              <w:pStyle w:val="TableParagraph"/>
              <w:spacing w:line="154" w:lineRule="exact" w:before="1"/>
              <w:ind w:left="188" w:right="181"/>
              <w:jc w:val="center"/>
              <w:rPr>
                <w:sz w:val="15"/>
              </w:rPr>
            </w:pPr>
            <w:r>
              <w:rPr>
                <w:sz w:val="15"/>
              </w:rPr>
              <w:t>15 a 49</w:t>
            </w:r>
          </w:p>
        </w:tc>
        <w:tc>
          <w:tcPr>
            <w:tcW w:w="6380" w:type="dxa"/>
            <w:gridSpan w:val="6"/>
          </w:tcPr>
          <w:p>
            <w:pPr>
              <w:pStyle w:val="TableParagraph"/>
              <w:spacing w:line="154" w:lineRule="exact" w:before="1"/>
              <w:ind w:left="3014" w:right="3013"/>
              <w:jc w:val="center"/>
              <w:rPr>
                <w:sz w:val="15"/>
              </w:rPr>
            </w:pPr>
            <w:r>
              <w:rPr>
                <w:sz w:val="15"/>
              </w:rPr>
              <w:t>5%</w:t>
            </w:r>
          </w:p>
        </w:tc>
      </w:tr>
    </w:tbl>
    <w:p>
      <w:pPr>
        <w:pStyle w:val="BodyText"/>
        <w:rPr>
          <w:sz w:val="16"/>
        </w:rPr>
      </w:pPr>
    </w:p>
    <w:p>
      <w:pPr>
        <w:pStyle w:val="BodyText"/>
        <w:spacing w:before="10"/>
        <w:rPr>
          <w:sz w:val="14"/>
        </w:rPr>
      </w:pPr>
    </w:p>
    <w:p>
      <w:pPr>
        <w:pStyle w:val="BodyText"/>
        <w:spacing w:line="247" w:lineRule="auto"/>
        <w:ind w:left="151" w:right="78" w:firstLine="495"/>
        <w:jc w:val="both"/>
      </w:pPr>
      <w:r>
        <w:rPr>
          <w:b/>
        </w:rPr>
        <w:t>Artículo 24.- </w:t>
      </w:r>
      <w:r>
        <w:rPr/>
        <w:t>Podrán acceder a un incentivo fiscal de hasta el 5% en el pago   anual del impuesto    predial las empresas establecidas en el Municipio de los sectores industrial, agroindustrial, comercial, de entretenimiento o enseñanza de artes y de servicios, que generen o mantengan empleos  permanentes  y directos a personas con discapacidad y/o de la tercera</w:t>
      </w:r>
      <w:r>
        <w:rPr>
          <w:spacing w:val="16"/>
        </w:rPr>
        <w:t> </w:t>
      </w:r>
      <w:r>
        <w:rPr/>
        <w:t>edad.</w:t>
      </w:r>
    </w:p>
    <w:p>
      <w:pPr>
        <w:pStyle w:val="BodyText"/>
        <w:spacing w:before="3"/>
      </w:pPr>
    </w:p>
    <w:p>
      <w:pPr>
        <w:pStyle w:val="BodyText"/>
        <w:ind w:left="548"/>
      </w:pPr>
      <w:r>
        <w:rPr/>
        <w:t>Dicho descuento será de carácter adicional, además que el descuento al pago del impuesto predial</w:t>
      </w:r>
    </w:p>
    <w:p>
      <w:pPr>
        <w:pStyle w:val="BodyText"/>
        <w:spacing w:before="2"/>
      </w:pPr>
      <w:r>
        <w:rPr/>
        <w:br w:type="column"/>
      </w:r>
      <w:r>
        <w:rPr/>
      </w:r>
    </w:p>
    <w:p>
      <w:pPr>
        <w:pStyle w:val="BodyText"/>
        <w:spacing w:line="247" w:lineRule="auto"/>
        <w:ind w:left="110" w:right="508" w:firstLine="495"/>
        <w:jc w:val="both"/>
      </w:pPr>
      <w:r>
        <w:rPr/>
        <w:t>Para la computarización de los empleados con discapacidad o de la tercera edad se deberá demostrar que el personal esté debidamente inscrito ante el Instituto Mexicano del Seguro Social.</w:t>
      </w:r>
    </w:p>
    <w:p>
      <w:pPr>
        <w:pStyle w:val="BodyText"/>
        <w:spacing w:before="4"/>
      </w:pPr>
    </w:p>
    <w:p>
      <w:pPr>
        <w:pStyle w:val="BodyText"/>
        <w:spacing w:line="244" w:lineRule="auto"/>
        <w:ind w:left="110" w:right="509" w:firstLine="495"/>
        <w:jc w:val="both"/>
      </w:pPr>
      <w:r>
        <w:rPr/>
        <w:t>En el caso del personal con discapacidad deberán contar con el  certificado de discapacidad expedido  por el IMSS “para efectos del artículo 186 de la Ley del Impuesto Sobre la Renta” o su acreditación mediante    las credenciales que expide el DIF</w:t>
      </w:r>
      <w:r>
        <w:rPr>
          <w:spacing w:val="7"/>
        </w:rPr>
        <w:t> </w:t>
      </w:r>
      <w:r>
        <w:rPr/>
        <w:t>estatal.</w:t>
      </w:r>
    </w:p>
    <w:p>
      <w:pPr>
        <w:pStyle w:val="BodyText"/>
        <w:spacing w:before="8"/>
      </w:pPr>
    </w:p>
    <w:p>
      <w:pPr>
        <w:pStyle w:val="BodyText"/>
        <w:spacing w:line="247" w:lineRule="auto"/>
        <w:ind w:left="110" w:right="510" w:firstLine="495"/>
        <w:jc w:val="both"/>
      </w:pPr>
      <w:r>
        <w:rPr/>
        <w:t>Para el cómputo de los empleados que sean adultos mayores deberán estar inscritos al régimen de Seguridad Social y bastará para acreditar su edad la exhibición  de una copia de cualquier documentación   oficial que la</w:t>
      </w:r>
      <w:r>
        <w:rPr>
          <w:spacing w:val="1"/>
        </w:rPr>
        <w:t> </w:t>
      </w:r>
      <w:r>
        <w:rPr/>
        <w:t>refiera.</w:t>
      </w:r>
    </w:p>
    <w:p>
      <w:pPr>
        <w:pStyle w:val="BodyText"/>
        <w:spacing w:before="2"/>
      </w:pPr>
    </w:p>
    <w:p>
      <w:pPr>
        <w:pStyle w:val="BodyText"/>
        <w:spacing w:before="1"/>
        <w:ind w:left="508"/>
      </w:pPr>
      <w:r>
        <w:rPr/>
        <w:t>Este incentivo podrá ser acumulable con lo establecido en el artículo 36 de la presente ley.</w:t>
      </w:r>
    </w:p>
    <w:p>
      <w:pPr>
        <w:pStyle w:val="BodyText"/>
        <w:rPr>
          <w:sz w:val="16"/>
        </w:rPr>
      </w:pPr>
    </w:p>
    <w:p>
      <w:pPr>
        <w:pStyle w:val="BodyText"/>
        <w:spacing w:before="3"/>
      </w:pPr>
    </w:p>
    <w:p>
      <w:pPr>
        <w:pStyle w:val="Heading4"/>
        <w:ind w:left="2394" w:right="2791"/>
      </w:pPr>
      <w:r>
        <w:rPr/>
        <w:t>SECCIÓN SEXTA</w:t>
      </w:r>
    </w:p>
    <w:p>
      <w:pPr>
        <w:spacing w:before="5"/>
        <w:ind w:left="2395" w:right="2791" w:firstLine="0"/>
        <w:jc w:val="center"/>
        <w:rPr>
          <w:b/>
          <w:sz w:val="15"/>
        </w:rPr>
      </w:pPr>
      <w:r>
        <w:rPr>
          <w:b/>
          <w:sz w:val="15"/>
        </w:rPr>
        <w:t>De los Incentivos Fiscales a la Educación</w:t>
      </w:r>
    </w:p>
    <w:p>
      <w:pPr>
        <w:pStyle w:val="BodyText"/>
        <w:spacing w:before="8"/>
        <w:rPr>
          <w:b/>
        </w:rPr>
      </w:pPr>
    </w:p>
    <w:p>
      <w:pPr>
        <w:pStyle w:val="BodyText"/>
        <w:spacing w:line="247" w:lineRule="auto"/>
        <w:ind w:left="110" w:right="509" w:firstLine="397"/>
        <w:jc w:val="both"/>
      </w:pPr>
      <w:r>
        <w:rPr>
          <w:b/>
        </w:rPr>
        <w:t>Artículo 25.-</w:t>
      </w:r>
      <w:r>
        <w:rPr/>
        <w:t>A los centros de educación de formación académica de nivel medio superior en adelante,    con reconocimiento de validez oficial, que se instalen o se amplíen durante la vigencia de esta </w:t>
      </w:r>
      <w:r>
        <w:rPr>
          <w:spacing w:val="-4"/>
        </w:rPr>
        <w:t>ley, </w:t>
      </w:r>
      <w:r>
        <w:rPr/>
        <w:t>en el  Municipio de Tlajomulco de Zúñiga, Jalisco, respecto de las  inversiones  en  inmuebles  destinados  directamente a la enseñanza, aprendizaje, investigación científica, y tecnológica, se aplicarán los incentivos fiscales conforme a los porcentajes de la siguiente</w:t>
      </w:r>
      <w:r>
        <w:rPr>
          <w:spacing w:val="14"/>
        </w:rPr>
        <w:t> </w:t>
      </w:r>
      <w:r>
        <w:rPr/>
        <w:t>tabla:</w:t>
      </w:r>
    </w:p>
    <w:p>
      <w:pPr>
        <w:pStyle w:val="BodyText"/>
        <w:rPr>
          <w:sz w:val="20"/>
        </w:rPr>
      </w:pPr>
    </w:p>
    <w:p>
      <w:pPr>
        <w:pStyle w:val="BodyText"/>
        <w:spacing w:before="9"/>
        <w:rPr>
          <w:sz w:val="25"/>
        </w:rPr>
      </w:pPr>
    </w:p>
    <w:tbl>
      <w:tblPr>
        <w:tblW w:w="0" w:type="auto"/>
        <w:jc w:val="left"/>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4"/>
        <w:gridCol w:w="1215"/>
        <w:gridCol w:w="1036"/>
        <w:gridCol w:w="1442"/>
        <w:gridCol w:w="1172"/>
        <w:gridCol w:w="1425"/>
      </w:tblGrid>
      <w:tr>
        <w:trPr>
          <w:trHeight w:val="351" w:hRule="atLeast"/>
        </w:trPr>
        <w:tc>
          <w:tcPr>
            <w:tcW w:w="1304" w:type="dxa"/>
            <w:shd w:val="clear" w:color="auto" w:fill="F89938"/>
          </w:tcPr>
          <w:p>
            <w:pPr>
              <w:pStyle w:val="TableParagraph"/>
              <w:spacing w:line="178" w:lineRule="exact"/>
              <w:ind w:left="179" w:hanging="107"/>
              <w:rPr>
                <w:b/>
                <w:sz w:val="15"/>
              </w:rPr>
            </w:pPr>
            <w:r>
              <w:rPr>
                <w:b/>
                <w:sz w:val="15"/>
              </w:rPr>
              <w:t>Condicionantes del incentivo</w:t>
            </w:r>
          </w:p>
        </w:tc>
        <w:tc>
          <w:tcPr>
            <w:tcW w:w="2251" w:type="dxa"/>
            <w:gridSpan w:val="2"/>
            <w:shd w:val="clear" w:color="auto" w:fill="F89938"/>
          </w:tcPr>
          <w:p>
            <w:pPr>
              <w:pStyle w:val="TableParagraph"/>
              <w:spacing w:before="90"/>
              <w:ind w:left="670"/>
              <w:rPr>
                <w:b/>
                <w:sz w:val="15"/>
              </w:rPr>
            </w:pPr>
            <w:r>
              <w:rPr>
                <w:b/>
                <w:sz w:val="15"/>
              </w:rPr>
              <w:t>IMPUESTOS</w:t>
            </w:r>
          </w:p>
        </w:tc>
        <w:tc>
          <w:tcPr>
            <w:tcW w:w="4039" w:type="dxa"/>
            <w:gridSpan w:val="3"/>
            <w:shd w:val="clear" w:color="auto" w:fill="F89938"/>
          </w:tcPr>
          <w:p>
            <w:pPr>
              <w:pStyle w:val="TableParagraph"/>
              <w:spacing w:before="90"/>
              <w:ind w:left="1569" w:right="1569"/>
              <w:jc w:val="center"/>
              <w:rPr>
                <w:b/>
                <w:sz w:val="15"/>
              </w:rPr>
            </w:pPr>
            <w:r>
              <w:rPr>
                <w:b/>
                <w:sz w:val="15"/>
              </w:rPr>
              <w:t>DERECHOS</w:t>
            </w:r>
          </w:p>
        </w:tc>
      </w:tr>
      <w:tr>
        <w:trPr>
          <w:trHeight w:val="700" w:hRule="atLeast"/>
        </w:trPr>
        <w:tc>
          <w:tcPr>
            <w:tcW w:w="1304" w:type="dxa"/>
          </w:tcPr>
          <w:p>
            <w:pPr>
              <w:pStyle w:val="TableParagraph"/>
              <w:spacing w:line="247" w:lineRule="auto"/>
              <w:ind w:left="82" w:right="74"/>
              <w:jc w:val="center"/>
              <w:rPr>
                <w:b/>
                <w:sz w:val="15"/>
              </w:rPr>
            </w:pPr>
            <w:r>
              <w:rPr>
                <w:b/>
                <w:sz w:val="15"/>
              </w:rPr>
              <w:t>Rango de cuantificación de pago de</w:t>
            </w:r>
          </w:p>
          <w:p>
            <w:pPr>
              <w:pStyle w:val="TableParagraph"/>
              <w:spacing w:line="151" w:lineRule="exact"/>
              <w:ind w:left="80" w:right="74"/>
              <w:jc w:val="center"/>
              <w:rPr>
                <w:b/>
                <w:sz w:val="15"/>
              </w:rPr>
            </w:pPr>
            <w:r>
              <w:rPr>
                <w:b/>
                <w:sz w:val="15"/>
              </w:rPr>
              <w:t>impuestos ylo</w:t>
            </w:r>
          </w:p>
        </w:tc>
        <w:tc>
          <w:tcPr>
            <w:tcW w:w="1215" w:type="dxa"/>
          </w:tcPr>
          <w:p>
            <w:pPr>
              <w:pStyle w:val="TableParagraph"/>
              <w:spacing w:line="247" w:lineRule="auto" w:before="84"/>
              <w:ind w:left="66" w:right="59"/>
              <w:jc w:val="center"/>
              <w:rPr>
                <w:b/>
                <w:sz w:val="15"/>
              </w:rPr>
            </w:pPr>
            <w:r>
              <w:rPr>
                <w:b/>
                <w:sz w:val="15"/>
              </w:rPr>
              <w:t>Transmisiones Patrimoniales, hasta un</w:t>
            </w:r>
          </w:p>
        </w:tc>
        <w:tc>
          <w:tcPr>
            <w:tcW w:w="1036" w:type="dxa"/>
          </w:tcPr>
          <w:p>
            <w:pPr>
              <w:pStyle w:val="TableParagraph"/>
              <w:spacing w:line="247" w:lineRule="auto" w:before="84"/>
              <w:ind w:left="152" w:right="144" w:firstLine="16"/>
              <w:jc w:val="both"/>
              <w:rPr>
                <w:b/>
                <w:sz w:val="15"/>
              </w:rPr>
            </w:pPr>
            <w:r>
              <w:rPr>
                <w:b/>
                <w:sz w:val="15"/>
              </w:rPr>
              <w:t>Negocios Jurídicos, hasta un</w:t>
            </w:r>
          </w:p>
        </w:tc>
        <w:tc>
          <w:tcPr>
            <w:tcW w:w="1442" w:type="dxa"/>
          </w:tcPr>
          <w:p>
            <w:pPr>
              <w:pStyle w:val="TableParagraph"/>
              <w:spacing w:line="247" w:lineRule="auto"/>
              <w:ind w:left="63" w:right="58" w:firstLine="3"/>
              <w:jc w:val="both"/>
              <w:rPr>
                <w:b/>
                <w:sz w:val="15"/>
              </w:rPr>
            </w:pPr>
            <w:r>
              <w:rPr>
                <w:b/>
                <w:sz w:val="15"/>
              </w:rPr>
              <w:t>Aprovechamiento de infraestructura básica existente,</w:t>
            </w:r>
          </w:p>
          <w:p>
            <w:pPr>
              <w:pStyle w:val="TableParagraph"/>
              <w:spacing w:line="151" w:lineRule="exact"/>
              <w:ind w:left="403"/>
              <w:jc w:val="both"/>
              <w:rPr>
                <w:b/>
                <w:sz w:val="15"/>
              </w:rPr>
            </w:pPr>
            <w:r>
              <w:rPr>
                <w:b/>
                <w:sz w:val="15"/>
              </w:rPr>
              <w:t>hasta un</w:t>
            </w:r>
          </w:p>
        </w:tc>
        <w:tc>
          <w:tcPr>
            <w:tcW w:w="1172" w:type="dxa"/>
          </w:tcPr>
          <w:p>
            <w:pPr>
              <w:pStyle w:val="TableParagraph"/>
              <w:spacing w:line="247" w:lineRule="auto" w:before="84"/>
              <w:ind w:left="63" w:right="59"/>
              <w:jc w:val="center"/>
              <w:rPr>
                <w:b/>
                <w:sz w:val="15"/>
              </w:rPr>
            </w:pPr>
            <w:r>
              <w:rPr>
                <w:b/>
                <w:sz w:val="15"/>
              </w:rPr>
              <w:t>Licencias de Construcción, hasta un</w:t>
            </w:r>
          </w:p>
        </w:tc>
        <w:tc>
          <w:tcPr>
            <w:tcW w:w="1425" w:type="dxa"/>
          </w:tcPr>
          <w:p>
            <w:pPr>
              <w:pStyle w:val="TableParagraph"/>
              <w:spacing w:line="247" w:lineRule="auto" w:before="84"/>
              <w:ind w:left="193" w:right="192"/>
              <w:jc w:val="center"/>
              <w:rPr>
                <w:b/>
                <w:sz w:val="15"/>
              </w:rPr>
            </w:pPr>
            <w:r>
              <w:rPr>
                <w:b/>
                <w:sz w:val="15"/>
              </w:rPr>
              <w:t>Certificado de Habitabilidad, hasta un</w:t>
            </w:r>
          </w:p>
        </w:tc>
      </w:tr>
    </w:tbl>
    <w:p>
      <w:pPr>
        <w:spacing w:after="0" w:line="247" w:lineRule="auto"/>
        <w:jc w:val="center"/>
        <w:rPr>
          <w:sz w:val="15"/>
        </w:rPr>
        <w:sectPr>
          <w:type w:val="continuous"/>
          <w:pgSz w:w="23250" w:h="15310" w:orient="landscape"/>
          <w:pgMar w:top="0" w:bottom="0" w:left="1880" w:right="1520"/>
          <w:cols w:num="2" w:equalWidth="0">
            <w:col w:w="7792" w:space="3871"/>
            <w:col w:w="8187"/>
          </w:cols>
        </w:sectPr>
      </w:pPr>
    </w:p>
    <w:p>
      <w:pPr>
        <w:pStyle w:val="BodyText"/>
        <w:rPr>
          <w:sz w:val="20"/>
        </w:rPr>
      </w:pPr>
    </w:p>
    <w:p>
      <w:pPr>
        <w:pStyle w:val="BodyText"/>
        <w:rPr>
          <w:sz w:val="20"/>
        </w:rPr>
      </w:pPr>
    </w:p>
    <w:p>
      <w:pPr>
        <w:pStyle w:val="BodyText"/>
        <w:rPr>
          <w:sz w:val="18"/>
        </w:rPr>
      </w:pPr>
    </w:p>
    <w:tbl>
      <w:tblPr>
        <w:tblW w:w="0" w:type="auto"/>
        <w:jc w:val="left"/>
        <w:tblInd w:w="11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6509"/>
      </w:tblGrid>
      <w:tr>
        <w:trPr>
          <w:trHeight w:val="173" w:hRule="atLeast"/>
        </w:trPr>
        <w:tc>
          <w:tcPr>
            <w:tcW w:w="1294" w:type="dxa"/>
          </w:tcPr>
          <w:p>
            <w:pPr>
              <w:pStyle w:val="TableParagraph"/>
              <w:spacing w:line="153" w:lineRule="exact"/>
              <w:ind w:left="354"/>
              <w:rPr>
                <w:sz w:val="15"/>
              </w:rPr>
            </w:pPr>
            <w:r>
              <w:rPr>
                <w:sz w:val="15"/>
              </w:rPr>
              <w:t>$500 mil</w:t>
            </w:r>
          </w:p>
        </w:tc>
        <w:tc>
          <w:tcPr>
            <w:tcW w:w="6509" w:type="dxa"/>
          </w:tcPr>
          <w:p>
            <w:pPr>
              <w:pStyle w:val="TableParagraph"/>
              <w:rPr>
                <w:rFonts w:ascii="Times New Roman"/>
                <w:sz w:val="10"/>
              </w:rPr>
            </w:pPr>
          </w:p>
        </w:tc>
      </w:tr>
      <w:tr>
        <w:trPr>
          <w:trHeight w:val="528" w:hRule="atLeast"/>
        </w:trPr>
        <w:tc>
          <w:tcPr>
            <w:tcW w:w="1294" w:type="dxa"/>
          </w:tcPr>
          <w:p>
            <w:pPr>
              <w:pStyle w:val="TableParagraph"/>
              <w:spacing w:line="247" w:lineRule="auto"/>
              <w:ind w:left="50" w:right="41"/>
              <w:jc w:val="center"/>
              <w:rPr>
                <w:sz w:val="15"/>
              </w:rPr>
            </w:pPr>
            <w:r>
              <w:rPr>
                <w:sz w:val="15"/>
              </w:rPr>
              <w:t>De $50 mil pesos hasta $200 mil</w:t>
            </w:r>
          </w:p>
          <w:p>
            <w:pPr>
              <w:pStyle w:val="TableParagraph"/>
              <w:spacing w:line="153" w:lineRule="exact"/>
              <w:ind w:left="48" w:right="41"/>
              <w:jc w:val="center"/>
              <w:rPr>
                <w:sz w:val="15"/>
              </w:rPr>
            </w:pPr>
            <w:r>
              <w:rPr>
                <w:sz w:val="15"/>
              </w:rPr>
              <w:t>pesos</w:t>
            </w:r>
          </w:p>
        </w:tc>
        <w:tc>
          <w:tcPr>
            <w:tcW w:w="6509" w:type="dxa"/>
          </w:tcPr>
          <w:p>
            <w:pPr>
              <w:pStyle w:val="TableParagraph"/>
              <w:spacing w:before="5"/>
              <w:rPr>
                <w:sz w:val="15"/>
              </w:rPr>
            </w:pPr>
          </w:p>
          <w:p>
            <w:pPr>
              <w:pStyle w:val="TableParagraph"/>
              <w:ind w:left="3081" w:right="3075"/>
              <w:jc w:val="center"/>
              <w:rPr>
                <w:sz w:val="15"/>
              </w:rPr>
            </w:pPr>
            <w:r>
              <w:rPr>
                <w:sz w:val="15"/>
              </w:rPr>
              <w:t>5%</w:t>
            </w:r>
          </w:p>
        </w:tc>
      </w:tr>
    </w:tbl>
    <w:p>
      <w:pPr>
        <w:pStyle w:val="BodyText"/>
        <w:rPr>
          <w:sz w:val="7"/>
        </w:rPr>
      </w:pPr>
    </w:p>
    <w:p>
      <w:pPr>
        <w:pStyle w:val="BodyText"/>
        <w:spacing w:line="247" w:lineRule="auto" w:before="99"/>
        <w:ind w:left="11773" w:right="447" w:firstLine="495"/>
      </w:pPr>
      <w:r>
        <w:rPr/>
        <w:pict>
          <v:shape style="position:absolute;margin-left:99.365997pt;margin-top:-40.473774pt;width:380.05pt;height:143.8pt;mso-position-horizontal-relative:page;mso-position-vertical-relative:paragraph;z-index:25169408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4"/>
                    <w:gridCol w:w="1215"/>
                    <w:gridCol w:w="1036"/>
                    <w:gridCol w:w="1442"/>
                    <w:gridCol w:w="1172"/>
                    <w:gridCol w:w="1425"/>
                  </w:tblGrid>
                  <w:tr>
                    <w:trPr>
                      <w:trHeight w:val="351" w:hRule="atLeast"/>
                    </w:trPr>
                    <w:tc>
                      <w:tcPr>
                        <w:tcW w:w="1304" w:type="dxa"/>
                      </w:tcPr>
                      <w:p>
                        <w:pPr>
                          <w:pStyle w:val="TableParagraph"/>
                          <w:spacing w:line="178" w:lineRule="exact"/>
                          <w:ind w:left="207" w:firstLine="100"/>
                          <w:rPr>
                            <w:b/>
                            <w:sz w:val="15"/>
                          </w:rPr>
                        </w:pPr>
                        <w:r>
                          <w:rPr>
                            <w:b/>
                            <w:sz w:val="15"/>
                          </w:rPr>
                          <w:t>derechos municipales</w:t>
                        </w:r>
                      </w:p>
                    </w:tc>
                    <w:tc>
                      <w:tcPr>
                        <w:tcW w:w="1215" w:type="dxa"/>
                      </w:tcPr>
                      <w:p>
                        <w:pPr>
                          <w:pStyle w:val="TableParagraph"/>
                          <w:rPr>
                            <w:rFonts w:ascii="Times New Roman"/>
                            <w:sz w:val="14"/>
                          </w:rPr>
                        </w:pPr>
                      </w:p>
                    </w:tc>
                    <w:tc>
                      <w:tcPr>
                        <w:tcW w:w="1036" w:type="dxa"/>
                      </w:tcPr>
                      <w:p>
                        <w:pPr>
                          <w:pStyle w:val="TableParagraph"/>
                          <w:rPr>
                            <w:rFonts w:ascii="Times New Roman"/>
                            <w:sz w:val="14"/>
                          </w:rPr>
                        </w:pPr>
                      </w:p>
                    </w:tc>
                    <w:tc>
                      <w:tcPr>
                        <w:tcW w:w="1442" w:type="dxa"/>
                      </w:tcPr>
                      <w:p>
                        <w:pPr>
                          <w:pStyle w:val="TableParagraph"/>
                          <w:rPr>
                            <w:rFonts w:ascii="Times New Roman"/>
                            <w:sz w:val="14"/>
                          </w:rPr>
                        </w:pPr>
                      </w:p>
                    </w:tc>
                    <w:tc>
                      <w:tcPr>
                        <w:tcW w:w="1172" w:type="dxa"/>
                      </w:tcPr>
                      <w:p>
                        <w:pPr>
                          <w:pStyle w:val="TableParagraph"/>
                          <w:rPr>
                            <w:rFonts w:ascii="Times New Roman"/>
                            <w:sz w:val="14"/>
                          </w:rPr>
                        </w:pPr>
                      </w:p>
                    </w:tc>
                    <w:tc>
                      <w:tcPr>
                        <w:tcW w:w="1425" w:type="dxa"/>
                      </w:tcPr>
                      <w:p>
                        <w:pPr>
                          <w:pStyle w:val="TableParagraph"/>
                          <w:rPr>
                            <w:rFonts w:ascii="Times New Roman"/>
                            <w:sz w:val="14"/>
                          </w:rPr>
                        </w:pPr>
                      </w:p>
                    </w:tc>
                  </w:tr>
                  <w:tr>
                    <w:trPr>
                      <w:trHeight w:val="523" w:hRule="atLeast"/>
                    </w:trPr>
                    <w:tc>
                      <w:tcPr>
                        <w:tcW w:w="1304" w:type="dxa"/>
                      </w:tcPr>
                      <w:p>
                        <w:pPr>
                          <w:pStyle w:val="TableParagraph"/>
                          <w:spacing w:line="168" w:lineRule="exact"/>
                          <w:ind w:left="80" w:right="74"/>
                          <w:jc w:val="center"/>
                          <w:rPr>
                            <w:sz w:val="15"/>
                          </w:rPr>
                        </w:pPr>
                        <w:r>
                          <w:rPr>
                            <w:sz w:val="15"/>
                          </w:rPr>
                          <w:t>De $1 mdp más</w:t>
                        </w:r>
                      </w:p>
                      <w:p>
                        <w:pPr>
                          <w:pStyle w:val="TableParagraph"/>
                          <w:spacing w:line="170" w:lineRule="atLeast" w:before="4"/>
                          <w:ind w:left="81" w:right="74"/>
                          <w:jc w:val="center"/>
                          <w:rPr>
                            <w:sz w:val="15"/>
                          </w:rPr>
                        </w:pPr>
                        <w:r>
                          <w:rPr>
                            <w:sz w:val="15"/>
                          </w:rPr>
                          <w:t>$1 peso en adelante</w:t>
                        </w:r>
                      </w:p>
                    </w:tc>
                    <w:tc>
                      <w:tcPr>
                        <w:tcW w:w="6290" w:type="dxa"/>
                        <w:gridSpan w:val="5"/>
                      </w:tcPr>
                      <w:p>
                        <w:pPr>
                          <w:pStyle w:val="TableParagraph"/>
                          <w:rPr>
                            <w:sz w:val="15"/>
                          </w:rPr>
                        </w:pPr>
                      </w:p>
                      <w:p>
                        <w:pPr>
                          <w:pStyle w:val="TableParagraph"/>
                          <w:ind w:left="2970" w:right="2969"/>
                          <w:jc w:val="center"/>
                          <w:rPr>
                            <w:sz w:val="15"/>
                          </w:rPr>
                        </w:pPr>
                        <w:r>
                          <w:rPr>
                            <w:sz w:val="15"/>
                          </w:rPr>
                          <w:t>30%</w:t>
                        </w:r>
                      </w:p>
                    </w:tc>
                  </w:tr>
                  <w:tr>
                    <w:trPr>
                      <w:trHeight w:val="704" w:hRule="atLeast"/>
                    </w:trPr>
                    <w:tc>
                      <w:tcPr>
                        <w:tcW w:w="1304" w:type="dxa"/>
                      </w:tcPr>
                      <w:p>
                        <w:pPr>
                          <w:pStyle w:val="TableParagraph"/>
                          <w:spacing w:line="247" w:lineRule="auto"/>
                          <w:ind w:left="80" w:right="74"/>
                          <w:jc w:val="center"/>
                          <w:rPr>
                            <w:sz w:val="15"/>
                          </w:rPr>
                        </w:pPr>
                        <w:r>
                          <w:rPr>
                            <w:sz w:val="15"/>
                          </w:rPr>
                          <w:t>De $500 mil pesos más $1 peso hasta $1</w:t>
                        </w:r>
                      </w:p>
                      <w:p>
                        <w:pPr>
                          <w:pStyle w:val="TableParagraph"/>
                          <w:spacing w:line="151" w:lineRule="exact"/>
                          <w:ind w:left="79" w:right="74"/>
                          <w:jc w:val="center"/>
                          <w:rPr>
                            <w:sz w:val="15"/>
                          </w:rPr>
                        </w:pPr>
                        <w:r>
                          <w:rPr>
                            <w:sz w:val="15"/>
                          </w:rPr>
                          <w:t>mdp</w:t>
                        </w:r>
                      </w:p>
                    </w:tc>
                    <w:tc>
                      <w:tcPr>
                        <w:tcW w:w="6290" w:type="dxa"/>
                        <w:gridSpan w:val="5"/>
                      </w:tcPr>
                      <w:p>
                        <w:pPr>
                          <w:pStyle w:val="TableParagraph"/>
                          <w:spacing w:before="1"/>
                          <w:rPr>
                            <w:sz w:val="23"/>
                          </w:rPr>
                        </w:pPr>
                      </w:p>
                      <w:p>
                        <w:pPr>
                          <w:pStyle w:val="TableParagraph"/>
                          <w:ind w:left="2970" w:right="2969"/>
                          <w:jc w:val="center"/>
                          <w:rPr>
                            <w:sz w:val="15"/>
                          </w:rPr>
                        </w:pPr>
                        <w:r>
                          <w:rPr>
                            <w:sz w:val="15"/>
                          </w:rPr>
                          <w:t>25%</w:t>
                        </w:r>
                      </w:p>
                    </w:tc>
                  </w:tr>
                  <w:tr>
                    <w:trPr>
                      <w:trHeight w:val="705" w:hRule="atLeast"/>
                    </w:trPr>
                    <w:tc>
                      <w:tcPr>
                        <w:tcW w:w="1304" w:type="dxa"/>
                      </w:tcPr>
                      <w:p>
                        <w:pPr>
                          <w:pStyle w:val="TableParagraph"/>
                          <w:spacing w:line="244" w:lineRule="auto" w:before="1"/>
                          <w:ind w:left="82" w:right="74"/>
                          <w:jc w:val="center"/>
                          <w:rPr>
                            <w:sz w:val="15"/>
                          </w:rPr>
                        </w:pPr>
                        <w:r>
                          <w:rPr>
                            <w:sz w:val="15"/>
                          </w:rPr>
                          <w:t>De $300 mil pesos más $1 peso hasta $500</w:t>
                        </w:r>
                      </w:p>
                      <w:p>
                        <w:pPr>
                          <w:pStyle w:val="TableParagraph"/>
                          <w:spacing w:line="154" w:lineRule="exact" w:before="3"/>
                          <w:ind w:left="80" w:right="74"/>
                          <w:jc w:val="center"/>
                          <w:rPr>
                            <w:sz w:val="15"/>
                          </w:rPr>
                        </w:pPr>
                        <w:r>
                          <w:rPr>
                            <w:sz w:val="15"/>
                          </w:rPr>
                          <w:t>mil pesos</w:t>
                        </w:r>
                      </w:p>
                    </w:tc>
                    <w:tc>
                      <w:tcPr>
                        <w:tcW w:w="6290" w:type="dxa"/>
                        <w:gridSpan w:val="5"/>
                      </w:tcPr>
                      <w:p>
                        <w:pPr>
                          <w:pStyle w:val="TableParagraph"/>
                          <w:spacing w:before="2"/>
                          <w:rPr>
                            <w:sz w:val="23"/>
                          </w:rPr>
                        </w:pPr>
                      </w:p>
                      <w:p>
                        <w:pPr>
                          <w:pStyle w:val="TableParagraph"/>
                          <w:ind w:left="2970" w:right="2969"/>
                          <w:jc w:val="center"/>
                          <w:rPr>
                            <w:sz w:val="15"/>
                          </w:rPr>
                        </w:pPr>
                        <w:r>
                          <w:rPr>
                            <w:sz w:val="15"/>
                          </w:rPr>
                          <w:t>20%</w:t>
                        </w:r>
                      </w:p>
                    </w:tc>
                  </w:tr>
                  <w:tr>
                    <w:trPr>
                      <w:trHeight w:val="528" w:hRule="atLeast"/>
                    </w:trPr>
                    <w:tc>
                      <w:tcPr>
                        <w:tcW w:w="1304" w:type="dxa"/>
                      </w:tcPr>
                      <w:p>
                        <w:pPr>
                          <w:pStyle w:val="TableParagraph"/>
                          <w:ind w:left="79" w:right="74"/>
                          <w:jc w:val="center"/>
                          <w:rPr>
                            <w:sz w:val="15"/>
                          </w:rPr>
                        </w:pPr>
                        <w:r>
                          <w:rPr>
                            <w:sz w:val="15"/>
                          </w:rPr>
                          <w:t>De $150 mil</w:t>
                        </w:r>
                      </w:p>
                      <w:p>
                        <w:pPr>
                          <w:pStyle w:val="TableParagraph"/>
                          <w:spacing w:line="170" w:lineRule="atLeast" w:before="5"/>
                          <w:ind w:left="43" w:right="35"/>
                          <w:jc w:val="center"/>
                          <w:rPr>
                            <w:sz w:val="15"/>
                          </w:rPr>
                        </w:pPr>
                        <w:r>
                          <w:rPr>
                            <w:sz w:val="15"/>
                          </w:rPr>
                          <w:t>pesos hasta $300 mil pesos</w:t>
                        </w:r>
                      </w:p>
                    </w:tc>
                    <w:tc>
                      <w:tcPr>
                        <w:tcW w:w="6290" w:type="dxa"/>
                        <w:gridSpan w:val="5"/>
                      </w:tcPr>
                      <w:p>
                        <w:pPr>
                          <w:pStyle w:val="TableParagraph"/>
                          <w:spacing w:before="5"/>
                          <w:rPr>
                            <w:sz w:val="15"/>
                          </w:rPr>
                        </w:pPr>
                      </w:p>
                      <w:p>
                        <w:pPr>
                          <w:pStyle w:val="TableParagraph"/>
                          <w:ind w:left="2970" w:right="2969"/>
                          <w:jc w:val="center"/>
                          <w:rPr>
                            <w:sz w:val="15"/>
                          </w:rPr>
                        </w:pPr>
                        <w:r>
                          <w:rPr>
                            <w:sz w:val="15"/>
                          </w:rPr>
                          <w:t>15%</w:t>
                        </w:r>
                      </w:p>
                    </w:tc>
                  </w:tr>
                </w:tbl>
                <w:p>
                  <w:pPr>
                    <w:pStyle w:val="BodyText"/>
                  </w:pPr>
                </w:p>
              </w:txbxContent>
            </v:textbox>
            <w10:wrap type="none"/>
          </v:shape>
        </w:pict>
      </w:r>
      <w:r>
        <w:rPr/>
        <w:t>Los conceptos a considerar para la cuantificación del monto total son los contenidos en la tabla del presente artículo.</w:t>
      </w:r>
    </w:p>
    <w:p>
      <w:pPr>
        <w:pStyle w:val="BodyText"/>
        <w:spacing w:before="2"/>
        <w:rPr>
          <w:sz w:val="22"/>
        </w:rPr>
      </w:pPr>
    </w:p>
    <w:p>
      <w:pPr>
        <w:spacing w:after="0"/>
        <w:rPr>
          <w:sz w:val="22"/>
        </w:rPr>
        <w:sectPr>
          <w:headerReference w:type="default" r:id="rId57"/>
          <w:pgSz w:w="23250" w:h="15310" w:orient="landscape"/>
          <w:pgMar w:header="881" w:footer="499" w:top="1920" w:bottom="680" w:left="1880" w:right="152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20"/>
        </w:rPr>
      </w:pPr>
    </w:p>
    <w:p>
      <w:pPr>
        <w:pStyle w:val="BodyText"/>
        <w:spacing w:line="244" w:lineRule="auto"/>
        <w:ind w:left="151" w:right="38" w:firstLine="495"/>
        <w:jc w:val="both"/>
      </w:pPr>
      <w:r>
        <w:rPr/>
        <w:t>Los contribuyentes que se instalen en el municipio o amplíen  sus  actividades  respecto  a  las destinadas al entretenimiento o enseñanza de artes, se les aplicarán los incentivos fiscales de acuerdo a la   tabla del presente</w:t>
      </w:r>
      <w:r>
        <w:rPr>
          <w:spacing w:val="3"/>
        </w:rPr>
        <w:t> </w:t>
      </w:r>
      <w:r>
        <w:rPr/>
        <w:t>artículo.</w:t>
      </w:r>
    </w:p>
    <w:p>
      <w:pPr>
        <w:pStyle w:val="BodyText"/>
        <w:spacing w:before="7"/>
      </w:pPr>
    </w:p>
    <w:p>
      <w:pPr>
        <w:pStyle w:val="BodyText"/>
        <w:spacing w:line="247" w:lineRule="auto" w:before="1"/>
        <w:ind w:left="151" w:right="40" w:firstLine="495"/>
        <w:jc w:val="both"/>
      </w:pPr>
      <w:r>
        <w:rPr/>
        <w:t>Los conceptos a considerar para la cuantificación del monto total son los contenidos en la tabla del presente artículo.</w:t>
      </w:r>
    </w:p>
    <w:p>
      <w:pPr>
        <w:pStyle w:val="BodyText"/>
        <w:rPr>
          <w:sz w:val="16"/>
        </w:rPr>
      </w:pPr>
    </w:p>
    <w:p>
      <w:pPr>
        <w:pStyle w:val="BodyText"/>
        <w:rPr>
          <w:sz w:val="16"/>
        </w:rPr>
      </w:pPr>
    </w:p>
    <w:p>
      <w:pPr>
        <w:pStyle w:val="BodyText"/>
        <w:rPr>
          <w:sz w:val="16"/>
        </w:rPr>
      </w:pPr>
    </w:p>
    <w:p>
      <w:pPr>
        <w:pStyle w:val="BodyText"/>
        <w:spacing w:before="6"/>
        <w:rPr>
          <w:sz w:val="13"/>
        </w:rPr>
      </w:pPr>
    </w:p>
    <w:p>
      <w:pPr>
        <w:pStyle w:val="Heading4"/>
        <w:ind w:left="270"/>
      </w:pPr>
      <w:r>
        <w:rPr/>
        <w:t>SECCIÓN SÉPTIMA</w:t>
      </w:r>
    </w:p>
    <w:p>
      <w:pPr>
        <w:spacing w:before="5"/>
        <w:ind w:left="272" w:right="160" w:firstLine="0"/>
        <w:jc w:val="center"/>
        <w:rPr>
          <w:b/>
          <w:sz w:val="15"/>
        </w:rPr>
      </w:pPr>
      <w:r>
        <w:rPr>
          <w:b/>
          <w:sz w:val="15"/>
        </w:rPr>
        <w:t>De los Incentivos Fiscales por el Monto de Inversión en Proyectos Comerciales y de Servicios</w:t>
      </w:r>
    </w:p>
    <w:p>
      <w:pPr>
        <w:pStyle w:val="BodyText"/>
        <w:spacing w:before="8"/>
        <w:rPr>
          <w:b/>
        </w:rPr>
      </w:pPr>
    </w:p>
    <w:p>
      <w:pPr>
        <w:pStyle w:val="BodyText"/>
        <w:spacing w:line="247" w:lineRule="auto"/>
        <w:ind w:left="174" w:right="39" w:firstLine="373"/>
        <w:jc w:val="both"/>
      </w:pPr>
      <w:r>
        <w:rPr/>
        <w:pict>
          <v:shape style="position:absolute;margin-left:101.382004pt;margin-top:53.030308pt;width:390.7pt;height:170.7pt;mso-position-horizontal-relative:page;mso-position-vertical-relative:paragraph;z-index:25169510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682"/>
                    <w:gridCol w:w="1214"/>
                    <w:gridCol w:w="857"/>
                    <w:gridCol w:w="1442"/>
                    <w:gridCol w:w="1170"/>
                    <w:gridCol w:w="1144"/>
                  </w:tblGrid>
                  <w:tr>
                    <w:trPr>
                      <w:trHeight w:val="351" w:hRule="atLeast"/>
                    </w:trPr>
                    <w:tc>
                      <w:tcPr>
                        <w:tcW w:w="1294" w:type="dxa"/>
                        <w:shd w:val="clear" w:color="auto" w:fill="F89938"/>
                      </w:tcPr>
                      <w:p>
                        <w:pPr>
                          <w:pStyle w:val="TableParagraph"/>
                          <w:spacing w:line="176" w:lineRule="exact" w:before="2"/>
                          <w:ind w:left="224" w:hanging="157"/>
                          <w:rPr>
                            <w:b/>
                            <w:sz w:val="15"/>
                          </w:rPr>
                        </w:pPr>
                        <w:r>
                          <w:rPr>
                            <w:b/>
                            <w:sz w:val="15"/>
                          </w:rPr>
                          <w:t>Condicionantes del incentivo</w:t>
                        </w:r>
                      </w:p>
                    </w:tc>
                    <w:tc>
                      <w:tcPr>
                        <w:tcW w:w="2753" w:type="dxa"/>
                        <w:gridSpan w:val="3"/>
                        <w:shd w:val="clear" w:color="auto" w:fill="F89938"/>
                      </w:tcPr>
                      <w:p>
                        <w:pPr>
                          <w:pStyle w:val="TableParagraph"/>
                          <w:spacing w:before="90"/>
                          <w:ind w:left="913" w:right="906"/>
                          <w:jc w:val="center"/>
                          <w:rPr>
                            <w:b/>
                            <w:sz w:val="15"/>
                          </w:rPr>
                        </w:pPr>
                        <w:r>
                          <w:rPr>
                            <w:b/>
                            <w:sz w:val="15"/>
                          </w:rPr>
                          <w:t>IMPUESTOS</w:t>
                        </w:r>
                      </w:p>
                    </w:tc>
                    <w:tc>
                      <w:tcPr>
                        <w:tcW w:w="3756" w:type="dxa"/>
                        <w:gridSpan w:val="3"/>
                        <w:shd w:val="clear" w:color="auto" w:fill="F89938"/>
                      </w:tcPr>
                      <w:p>
                        <w:pPr>
                          <w:pStyle w:val="TableParagraph"/>
                          <w:spacing w:before="90"/>
                          <w:ind w:left="1431" w:right="1424"/>
                          <w:jc w:val="center"/>
                          <w:rPr>
                            <w:b/>
                            <w:sz w:val="15"/>
                          </w:rPr>
                        </w:pPr>
                        <w:r>
                          <w:rPr>
                            <w:b/>
                            <w:sz w:val="15"/>
                          </w:rPr>
                          <w:t>DERECHOS</w:t>
                        </w:r>
                      </w:p>
                    </w:tc>
                  </w:tr>
                  <w:tr>
                    <w:trPr>
                      <w:trHeight w:val="1056" w:hRule="atLeast"/>
                    </w:trPr>
                    <w:tc>
                      <w:tcPr>
                        <w:tcW w:w="1294" w:type="dxa"/>
                      </w:tcPr>
                      <w:p>
                        <w:pPr>
                          <w:pStyle w:val="TableParagraph"/>
                          <w:spacing w:line="247" w:lineRule="auto"/>
                          <w:ind w:left="127" w:right="118" w:hanging="1"/>
                          <w:jc w:val="center"/>
                          <w:rPr>
                            <w:b/>
                            <w:sz w:val="15"/>
                          </w:rPr>
                        </w:pPr>
                        <w:r>
                          <w:rPr>
                            <w:b/>
                            <w:sz w:val="15"/>
                          </w:rPr>
                          <w:t>Rango de cuantificación de pago de impuestos ylo derechos</w:t>
                        </w:r>
                      </w:p>
                      <w:p>
                        <w:pPr>
                          <w:pStyle w:val="TableParagraph"/>
                          <w:spacing w:line="150" w:lineRule="exact"/>
                          <w:ind w:left="47" w:right="41"/>
                          <w:jc w:val="center"/>
                          <w:rPr>
                            <w:b/>
                            <w:sz w:val="15"/>
                          </w:rPr>
                        </w:pPr>
                        <w:r>
                          <w:rPr>
                            <w:b/>
                            <w:sz w:val="15"/>
                          </w:rPr>
                          <w:t>municipales</w:t>
                        </w:r>
                      </w:p>
                    </w:tc>
                    <w:tc>
                      <w:tcPr>
                        <w:tcW w:w="682" w:type="dxa"/>
                      </w:tcPr>
                      <w:p>
                        <w:pPr>
                          <w:pStyle w:val="TableParagraph"/>
                          <w:rPr>
                            <w:sz w:val="23"/>
                          </w:rPr>
                        </w:pPr>
                      </w:p>
                      <w:p>
                        <w:pPr>
                          <w:pStyle w:val="TableParagraph"/>
                          <w:spacing w:line="244" w:lineRule="auto"/>
                          <w:ind w:left="61" w:right="52"/>
                          <w:jc w:val="center"/>
                          <w:rPr>
                            <w:b/>
                            <w:sz w:val="15"/>
                          </w:rPr>
                        </w:pPr>
                        <w:r>
                          <w:rPr>
                            <w:b/>
                            <w:sz w:val="15"/>
                          </w:rPr>
                          <w:t>Predial, hasta un</w:t>
                        </w:r>
                      </w:p>
                    </w:tc>
                    <w:tc>
                      <w:tcPr>
                        <w:tcW w:w="1214" w:type="dxa"/>
                      </w:tcPr>
                      <w:p>
                        <w:pPr>
                          <w:pStyle w:val="TableParagraph"/>
                          <w:rPr>
                            <w:sz w:val="23"/>
                          </w:rPr>
                        </w:pPr>
                      </w:p>
                      <w:p>
                        <w:pPr>
                          <w:pStyle w:val="TableParagraph"/>
                          <w:spacing w:line="244" w:lineRule="auto"/>
                          <w:ind w:left="66" w:right="58"/>
                          <w:jc w:val="center"/>
                          <w:rPr>
                            <w:b/>
                            <w:sz w:val="15"/>
                          </w:rPr>
                        </w:pPr>
                        <w:r>
                          <w:rPr>
                            <w:b/>
                            <w:sz w:val="15"/>
                          </w:rPr>
                          <w:t>Transmisiones Patrimoniales, hasta un</w:t>
                        </w:r>
                      </w:p>
                    </w:tc>
                    <w:tc>
                      <w:tcPr>
                        <w:tcW w:w="857" w:type="dxa"/>
                      </w:tcPr>
                      <w:p>
                        <w:pPr>
                          <w:pStyle w:val="TableParagraph"/>
                          <w:rPr>
                            <w:sz w:val="23"/>
                          </w:rPr>
                        </w:pPr>
                      </w:p>
                      <w:p>
                        <w:pPr>
                          <w:pStyle w:val="TableParagraph"/>
                          <w:spacing w:line="244" w:lineRule="auto"/>
                          <w:ind w:left="63" w:right="54" w:firstLine="17"/>
                          <w:jc w:val="both"/>
                          <w:rPr>
                            <w:b/>
                            <w:sz w:val="15"/>
                          </w:rPr>
                        </w:pPr>
                        <w:r>
                          <w:rPr>
                            <w:b/>
                            <w:sz w:val="15"/>
                          </w:rPr>
                          <w:t>Negocios Jurídicos, hasta un</w:t>
                        </w:r>
                      </w:p>
                    </w:tc>
                    <w:tc>
                      <w:tcPr>
                        <w:tcW w:w="1442" w:type="dxa"/>
                      </w:tcPr>
                      <w:p>
                        <w:pPr>
                          <w:pStyle w:val="TableParagraph"/>
                          <w:spacing w:before="3"/>
                          <w:rPr>
                            <w:sz w:val="15"/>
                          </w:rPr>
                        </w:pPr>
                      </w:p>
                      <w:p>
                        <w:pPr>
                          <w:pStyle w:val="TableParagraph"/>
                          <w:spacing w:line="247" w:lineRule="auto"/>
                          <w:ind w:left="65" w:right="56" w:hanging="1"/>
                          <w:jc w:val="center"/>
                          <w:rPr>
                            <w:b/>
                            <w:sz w:val="15"/>
                          </w:rPr>
                        </w:pPr>
                        <w:r>
                          <w:rPr>
                            <w:b/>
                            <w:sz w:val="15"/>
                          </w:rPr>
                          <w:t>Aprovechamiento de infraestructura básica existente, hasta un</w:t>
                        </w:r>
                      </w:p>
                    </w:tc>
                    <w:tc>
                      <w:tcPr>
                        <w:tcW w:w="1170" w:type="dxa"/>
                      </w:tcPr>
                      <w:p>
                        <w:pPr>
                          <w:pStyle w:val="TableParagraph"/>
                          <w:rPr>
                            <w:sz w:val="23"/>
                          </w:rPr>
                        </w:pPr>
                      </w:p>
                      <w:p>
                        <w:pPr>
                          <w:pStyle w:val="TableParagraph"/>
                          <w:spacing w:line="244" w:lineRule="auto"/>
                          <w:ind w:left="65" w:right="56"/>
                          <w:jc w:val="center"/>
                          <w:rPr>
                            <w:b/>
                            <w:sz w:val="15"/>
                          </w:rPr>
                        </w:pPr>
                        <w:r>
                          <w:rPr>
                            <w:b/>
                            <w:sz w:val="15"/>
                          </w:rPr>
                          <w:t>Licencias de Construcción, hasta un</w:t>
                        </w:r>
                      </w:p>
                    </w:tc>
                    <w:tc>
                      <w:tcPr>
                        <w:tcW w:w="1144" w:type="dxa"/>
                      </w:tcPr>
                      <w:p>
                        <w:pPr>
                          <w:pStyle w:val="TableParagraph"/>
                          <w:rPr>
                            <w:sz w:val="23"/>
                          </w:rPr>
                        </w:pPr>
                      </w:p>
                      <w:p>
                        <w:pPr>
                          <w:pStyle w:val="TableParagraph"/>
                          <w:spacing w:line="244" w:lineRule="auto"/>
                          <w:ind w:left="56" w:right="46"/>
                          <w:jc w:val="center"/>
                          <w:rPr>
                            <w:b/>
                            <w:sz w:val="15"/>
                          </w:rPr>
                        </w:pPr>
                        <w:r>
                          <w:rPr>
                            <w:b/>
                            <w:sz w:val="15"/>
                          </w:rPr>
                          <w:t>Certificado de Habitabilidad, hasta un</w:t>
                        </w:r>
                      </w:p>
                    </w:tc>
                  </w:tr>
                  <w:tr>
                    <w:trPr>
                      <w:trHeight w:val="528" w:hRule="atLeast"/>
                    </w:trPr>
                    <w:tc>
                      <w:tcPr>
                        <w:tcW w:w="1294" w:type="dxa"/>
                      </w:tcPr>
                      <w:p>
                        <w:pPr>
                          <w:pStyle w:val="TableParagraph"/>
                          <w:spacing w:before="1"/>
                          <w:ind w:left="47" w:right="41"/>
                          <w:jc w:val="center"/>
                          <w:rPr>
                            <w:sz w:val="15"/>
                          </w:rPr>
                        </w:pPr>
                        <w:r>
                          <w:rPr>
                            <w:sz w:val="15"/>
                          </w:rPr>
                          <w:t>De $5 mdp más</w:t>
                        </w:r>
                      </w:p>
                      <w:p>
                        <w:pPr>
                          <w:pStyle w:val="TableParagraph"/>
                          <w:spacing w:line="170" w:lineRule="atLeast" w:before="5"/>
                          <w:ind w:left="50" w:right="41"/>
                          <w:jc w:val="center"/>
                          <w:rPr>
                            <w:sz w:val="15"/>
                          </w:rPr>
                        </w:pPr>
                        <w:r>
                          <w:rPr>
                            <w:sz w:val="15"/>
                          </w:rPr>
                          <w:t>$1 peso en adelante</w:t>
                        </w:r>
                      </w:p>
                    </w:tc>
                    <w:tc>
                      <w:tcPr>
                        <w:tcW w:w="6509" w:type="dxa"/>
                        <w:gridSpan w:val="6"/>
                      </w:tcPr>
                      <w:p>
                        <w:pPr>
                          <w:pStyle w:val="TableParagraph"/>
                          <w:spacing w:before="6"/>
                          <w:rPr>
                            <w:sz w:val="15"/>
                          </w:rPr>
                        </w:pPr>
                      </w:p>
                      <w:p>
                        <w:pPr>
                          <w:pStyle w:val="TableParagraph"/>
                          <w:ind w:left="3081" w:right="3076"/>
                          <w:jc w:val="center"/>
                          <w:rPr>
                            <w:sz w:val="15"/>
                          </w:rPr>
                        </w:pPr>
                        <w:r>
                          <w:rPr>
                            <w:sz w:val="15"/>
                          </w:rPr>
                          <w:t>25%</w:t>
                        </w:r>
                      </w:p>
                    </w:tc>
                  </w:tr>
                  <w:tr>
                    <w:trPr>
                      <w:trHeight w:val="528" w:hRule="atLeast"/>
                    </w:trPr>
                    <w:tc>
                      <w:tcPr>
                        <w:tcW w:w="1294" w:type="dxa"/>
                      </w:tcPr>
                      <w:p>
                        <w:pPr>
                          <w:pStyle w:val="TableParagraph"/>
                          <w:ind w:left="103"/>
                          <w:rPr>
                            <w:sz w:val="15"/>
                          </w:rPr>
                        </w:pPr>
                        <w:r>
                          <w:rPr>
                            <w:sz w:val="15"/>
                          </w:rPr>
                          <w:t>De $1 mdp más</w:t>
                        </w:r>
                      </w:p>
                      <w:p>
                        <w:pPr>
                          <w:pStyle w:val="TableParagraph"/>
                          <w:spacing w:line="170" w:lineRule="atLeast" w:before="5"/>
                          <w:ind w:left="497" w:hanging="442"/>
                          <w:rPr>
                            <w:sz w:val="15"/>
                          </w:rPr>
                        </w:pPr>
                        <w:r>
                          <w:rPr>
                            <w:sz w:val="15"/>
                          </w:rPr>
                          <w:t>$1 peso hasta $5 mdp</w:t>
                        </w:r>
                      </w:p>
                    </w:tc>
                    <w:tc>
                      <w:tcPr>
                        <w:tcW w:w="6509" w:type="dxa"/>
                        <w:gridSpan w:val="6"/>
                      </w:tcPr>
                      <w:p>
                        <w:pPr>
                          <w:pStyle w:val="TableParagraph"/>
                          <w:spacing w:before="5"/>
                          <w:rPr>
                            <w:sz w:val="15"/>
                          </w:rPr>
                        </w:pPr>
                      </w:p>
                      <w:p>
                        <w:pPr>
                          <w:pStyle w:val="TableParagraph"/>
                          <w:ind w:left="3081" w:right="3076"/>
                          <w:jc w:val="center"/>
                          <w:rPr>
                            <w:sz w:val="15"/>
                          </w:rPr>
                        </w:pPr>
                        <w:r>
                          <w:rPr>
                            <w:sz w:val="15"/>
                          </w:rPr>
                          <w:t>20%</w:t>
                        </w:r>
                      </w:p>
                    </w:tc>
                  </w:tr>
                  <w:tr>
                    <w:trPr>
                      <w:trHeight w:val="528" w:hRule="atLeast"/>
                    </w:trPr>
                    <w:tc>
                      <w:tcPr>
                        <w:tcW w:w="1294" w:type="dxa"/>
                      </w:tcPr>
                      <w:p>
                        <w:pPr>
                          <w:pStyle w:val="TableParagraph"/>
                          <w:ind w:left="68"/>
                          <w:rPr>
                            <w:sz w:val="15"/>
                          </w:rPr>
                        </w:pPr>
                        <w:r>
                          <w:rPr>
                            <w:sz w:val="15"/>
                          </w:rPr>
                          <w:t>De $500 mil más</w:t>
                        </w:r>
                      </w:p>
                      <w:p>
                        <w:pPr>
                          <w:pStyle w:val="TableParagraph"/>
                          <w:spacing w:line="170" w:lineRule="atLeast" w:before="5"/>
                          <w:ind w:left="497" w:hanging="442"/>
                          <w:rPr>
                            <w:sz w:val="15"/>
                          </w:rPr>
                        </w:pPr>
                        <w:r>
                          <w:rPr>
                            <w:sz w:val="15"/>
                          </w:rPr>
                          <w:t>$1 peso hasta $1 mdp</w:t>
                        </w:r>
                      </w:p>
                    </w:tc>
                    <w:tc>
                      <w:tcPr>
                        <w:tcW w:w="6509" w:type="dxa"/>
                        <w:gridSpan w:val="6"/>
                      </w:tcPr>
                      <w:p>
                        <w:pPr>
                          <w:pStyle w:val="TableParagraph"/>
                          <w:spacing w:before="5"/>
                          <w:rPr>
                            <w:sz w:val="15"/>
                          </w:rPr>
                        </w:pPr>
                      </w:p>
                      <w:p>
                        <w:pPr>
                          <w:pStyle w:val="TableParagraph"/>
                          <w:ind w:left="3081" w:right="3076"/>
                          <w:jc w:val="center"/>
                          <w:rPr>
                            <w:sz w:val="15"/>
                          </w:rPr>
                        </w:pPr>
                        <w:r>
                          <w:rPr>
                            <w:sz w:val="15"/>
                          </w:rPr>
                          <w:t>15%</w:t>
                        </w:r>
                      </w:p>
                    </w:tc>
                  </w:tr>
                  <w:tr>
                    <w:trPr>
                      <w:trHeight w:val="351" w:hRule="atLeast"/>
                    </w:trPr>
                    <w:tc>
                      <w:tcPr>
                        <w:tcW w:w="1294" w:type="dxa"/>
                      </w:tcPr>
                      <w:p>
                        <w:pPr>
                          <w:pStyle w:val="TableParagraph"/>
                          <w:ind w:left="68"/>
                          <w:rPr>
                            <w:sz w:val="15"/>
                          </w:rPr>
                        </w:pPr>
                        <w:r>
                          <w:rPr>
                            <w:sz w:val="15"/>
                          </w:rPr>
                          <w:t>De $200 mil más</w:t>
                        </w:r>
                      </w:p>
                      <w:p>
                        <w:pPr>
                          <w:pStyle w:val="TableParagraph"/>
                          <w:spacing w:line="153" w:lineRule="exact" w:before="5"/>
                          <w:ind w:left="162"/>
                          <w:rPr>
                            <w:sz w:val="15"/>
                          </w:rPr>
                        </w:pPr>
                        <w:r>
                          <w:rPr>
                            <w:sz w:val="15"/>
                          </w:rPr>
                          <w:t>$1 peso hasta</w:t>
                        </w:r>
                      </w:p>
                    </w:tc>
                    <w:tc>
                      <w:tcPr>
                        <w:tcW w:w="6509" w:type="dxa"/>
                        <w:gridSpan w:val="6"/>
                      </w:tcPr>
                      <w:p>
                        <w:pPr>
                          <w:pStyle w:val="TableParagraph"/>
                          <w:spacing w:before="88"/>
                          <w:ind w:left="3081" w:right="3076"/>
                          <w:jc w:val="center"/>
                          <w:rPr>
                            <w:sz w:val="15"/>
                          </w:rPr>
                        </w:pPr>
                        <w:r>
                          <w:rPr>
                            <w:sz w:val="15"/>
                          </w:rPr>
                          <w:t>10%</w:t>
                        </w:r>
                      </w:p>
                    </w:tc>
                  </w:tr>
                </w:tbl>
                <w:p>
                  <w:pPr>
                    <w:pStyle w:val="BodyText"/>
                  </w:pPr>
                </w:p>
              </w:txbxContent>
            </v:textbox>
            <w10:wrap type="none"/>
          </v:shape>
        </w:pict>
      </w:r>
      <w:r>
        <w:rPr>
          <w:b/>
        </w:rPr>
        <w:t>Artículo 26.- </w:t>
      </w:r>
      <w:r>
        <w:rPr/>
        <w:t>Se otorgarán incentivos fiscales en razón del monto total de pagos de  impuestos  y  derechos al municipio para proyectos comerciales y de servicios conforme a la siguiente tabla, comprometiéndose a generar el pago en el periodo establecido en  el artículo 19 de la presente ley  y a través  de convenios que haya celebrado con este</w:t>
      </w:r>
      <w:r>
        <w:rPr>
          <w:spacing w:val="12"/>
        </w:rPr>
        <w:t> </w:t>
      </w:r>
      <w:r>
        <w:rPr/>
        <w:t>Municipio:</w:t>
      </w:r>
    </w:p>
    <w:p>
      <w:pPr>
        <w:pStyle w:val="Heading4"/>
        <w:spacing w:before="98"/>
        <w:ind w:left="273" w:right="632"/>
      </w:pPr>
      <w:r>
        <w:rPr>
          <w:b w:val="0"/>
        </w:rPr>
        <w:br w:type="column"/>
      </w:r>
      <w:r>
        <w:rPr/>
        <w:t>SECCIÓN OCTAVA</w:t>
      </w:r>
    </w:p>
    <w:p>
      <w:pPr>
        <w:pStyle w:val="BodyText"/>
        <w:spacing w:before="10"/>
        <w:rPr>
          <w:b/>
        </w:rPr>
      </w:pPr>
    </w:p>
    <w:p>
      <w:pPr>
        <w:spacing w:line="247" w:lineRule="auto" w:before="0"/>
        <w:ind w:left="276" w:right="632" w:firstLine="0"/>
        <w:jc w:val="center"/>
        <w:rPr>
          <w:b/>
          <w:sz w:val="15"/>
        </w:rPr>
      </w:pPr>
      <w:r>
        <w:rPr>
          <w:b/>
          <w:sz w:val="15"/>
        </w:rPr>
        <w:t>De los Incentivos Fiscales a la Urbanización y Construcción de Desarrollos bajo los Criterios de Sustentabilidad (Inmuebles Verdes)</w:t>
      </w:r>
    </w:p>
    <w:p>
      <w:pPr>
        <w:pStyle w:val="BodyText"/>
        <w:spacing w:before="2"/>
        <w:rPr>
          <w:b/>
        </w:rPr>
      </w:pPr>
    </w:p>
    <w:p>
      <w:pPr>
        <w:pStyle w:val="BodyText"/>
        <w:spacing w:line="247" w:lineRule="auto"/>
        <w:ind w:left="151" w:right="510" w:firstLine="397"/>
        <w:jc w:val="both"/>
      </w:pPr>
      <w:r>
        <w:rPr>
          <w:b/>
        </w:rPr>
        <w:t>Artículo 27.- </w:t>
      </w:r>
      <w:r>
        <w:rPr/>
        <w:t>A los urbanizadores y constructores que lleven a cabo obras de urbanización y edificación exclusivamente de uso no habitacional en el Municipio destinadas a la construcción  de  desarrollos  bajo  criterios de sustentabilidad (inmuebles verdes) durante la vigencia de esta ley, se les otorgara un incentivo de carácter adicional de hasta el 10% a los establecidos en el presente capítulo, que será aplicable al pago del Impuesto de</w:t>
      </w:r>
      <w:r>
        <w:rPr>
          <w:spacing w:val="2"/>
        </w:rPr>
        <w:t> </w:t>
      </w:r>
      <w:r>
        <w:rPr/>
        <w:t>Predial.</w:t>
      </w:r>
    </w:p>
    <w:p>
      <w:pPr>
        <w:pStyle w:val="BodyText"/>
        <w:spacing w:line="247" w:lineRule="auto" w:before="110"/>
        <w:ind w:left="151" w:right="510" w:firstLine="397"/>
        <w:jc w:val="both"/>
      </w:pPr>
      <w:r>
        <w:rPr/>
        <w:t>Las empresas que estén establecidas en el municipio podrán obtener el beneficio  establecido  en</w:t>
      </w:r>
      <w:r>
        <w:rPr>
          <w:spacing w:val="17"/>
        </w:rPr>
        <w:t> </w:t>
      </w:r>
      <w:r>
        <w:rPr/>
        <w:t>el párrafo anterior, siempre y cuando cuenten con algún sistema de certificación con reconocimiento y validez internacional, nacional, estatal o municipal y estén al corriente de sus pagos con este Ayuntamiento. Este incentivo, además de ser de carácter adicional, podrá ser renovado y efectuado anualmente con hasta un 10% de descuento sobre el pago anual del impuesto predial en tanto el inmueble siga cumpliendo con los  lineamientos ecológicos por los cuales se hizo acreedor al incentivo</w:t>
      </w:r>
      <w:r>
        <w:rPr>
          <w:spacing w:val="25"/>
        </w:rPr>
        <w:t> </w:t>
      </w:r>
      <w:r>
        <w:rPr/>
        <w:t>fisca</w:t>
      </w:r>
    </w:p>
    <w:p>
      <w:pPr>
        <w:pStyle w:val="BodyText"/>
        <w:spacing w:line="247" w:lineRule="auto" w:before="108"/>
        <w:ind w:left="151" w:right="511" w:firstLine="397"/>
        <w:jc w:val="both"/>
      </w:pPr>
      <w:r>
        <w:rPr/>
        <w:t>Inmuebles Verdes: Son inmuebles sustentables los construidos bajo lineamientos establecidos por algún sistema de certificación con reconocimiento, uso y validez internacional para edificios sustentables, y que consideren los aspectos de:</w:t>
      </w:r>
    </w:p>
    <w:p>
      <w:pPr>
        <w:pStyle w:val="BodyText"/>
        <w:spacing w:before="2"/>
      </w:pPr>
    </w:p>
    <w:p>
      <w:pPr>
        <w:pStyle w:val="BodyText"/>
        <w:spacing w:line="247" w:lineRule="auto"/>
        <w:ind w:left="151" w:right="513" w:firstLine="397"/>
        <w:jc w:val="both"/>
      </w:pPr>
      <w:r>
        <w:rPr/>
        <w:t>Selección del lugar de edificación, ahorro de agua potable, ahorro en energía, selección de materiales      de acuerdo a criterios medioambientales y calidad ambiental al interior del</w:t>
      </w:r>
      <w:r>
        <w:rPr>
          <w:spacing w:val="34"/>
        </w:rPr>
        <w:t> </w:t>
      </w:r>
      <w:r>
        <w:rPr/>
        <w:t>edificio.</w:t>
      </w:r>
    </w:p>
    <w:p>
      <w:pPr>
        <w:pStyle w:val="BodyText"/>
        <w:spacing w:line="354" w:lineRule="exact" w:before="34"/>
        <w:ind w:left="646" w:right="748" w:hanging="99"/>
      </w:pPr>
      <w:r>
        <w:rPr/>
        <w:t>Este incentivo podrá ser acumulable con lo establecido en el artículo 36 de la presente ley. CONDICIONANTES DEL INCENTIVO:</w:t>
      </w:r>
    </w:p>
    <w:p>
      <w:pPr>
        <w:pStyle w:val="BodyText"/>
        <w:spacing w:line="247" w:lineRule="auto" w:before="78"/>
        <w:ind w:left="151" w:right="509" w:firstLine="397"/>
        <w:jc w:val="both"/>
      </w:pPr>
      <w:r>
        <w:rPr/>
        <w:t>En el caso de nuevo proyecto, el inversionista deberá presentar carta de intención de obtener una certificación de construcción de inmuebles sustentables con algún sistema de certificación con reconocimiento    y validez internacional, nacional, estatal o municipal, así como el registro del proyecto  al  momento  de  presentar</w:t>
      </w:r>
      <w:r>
        <w:rPr>
          <w:spacing w:val="4"/>
        </w:rPr>
        <w:t> </w:t>
      </w:r>
      <w:r>
        <w:rPr/>
        <w:t>la</w:t>
      </w:r>
      <w:r>
        <w:rPr>
          <w:spacing w:val="4"/>
        </w:rPr>
        <w:t> </w:t>
      </w:r>
      <w:r>
        <w:rPr/>
        <w:t>solicitud</w:t>
      </w:r>
      <w:r>
        <w:rPr>
          <w:spacing w:val="4"/>
        </w:rPr>
        <w:t> </w:t>
      </w:r>
      <w:r>
        <w:rPr/>
        <w:t>de</w:t>
      </w:r>
      <w:r>
        <w:rPr>
          <w:spacing w:val="5"/>
        </w:rPr>
        <w:t> </w:t>
      </w:r>
      <w:r>
        <w:rPr/>
        <w:t>Incentivos</w:t>
      </w:r>
      <w:r>
        <w:rPr>
          <w:spacing w:val="5"/>
        </w:rPr>
        <w:t> </w:t>
      </w:r>
      <w:r>
        <w:rPr/>
        <w:t>fiscales,</w:t>
      </w:r>
      <w:r>
        <w:rPr>
          <w:spacing w:val="4"/>
        </w:rPr>
        <w:t> </w:t>
      </w:r>
      <w:r>
        <w:rPr/>
        <w:t>respecto</w:t>
      </w:r>
      <w:r>
        <w:rPr>
          <w:spacing w:val="5"/>
        </w:rPr>
        <w:t> </w:t>
      </w:r>
      <w:r>
        <w:rPr/>
        <w:t>del</w:t>
      </w:r>
      <w:r>
        <w:rPr>
          <w:spacing w:val="5"/>
        </w:rPr>
        <w:t> </w:t>
      </w:r>
      <w:r>
        <w:rPr/>
        <w:t>proyecto</w:t>
      </w:r>
      <w:r>
        <w:rPr>
          <w:spacing w:val="4"/>
        </w:rPr>
        <w:t> </w:t>
      </w:r>
      <w:r>
        <w:rPr/>
        <w:t>que</w:t>
      </w:r>
      <w:r>
        <w:rPr>
          <w:spacing w:val="5"/>
        </w:rPr>
        <w:t> </w:t>
      </w:r>
      <w:r>
        <w:rPr/>
        <w:t>obtendrá</w:t>
      </w:r>
      <w:r>
        <w:rPr>
          <w:spacing w:val="5"/>
        </w:rPr>
        <w:t> </w:t>
      </w:r>
      <w:r>
        <w:rPr/>
        <w:t>la</w:t>
      </w:r>
      <w:r>
        <w:rPr>
          <w:spacing w:val="4"/>
        </w:rPr>
        <w:t> </w:t>
      </w:r>
      <w:r>
        <w:rPr/>
        <w:t>certificación.</w:t>
      </w:r>
    </w:p>
    <w:p>
      <w:pPr>
        <w:pStyle w:val="BodyText"/>
        <w:spacing w:before="2"/>
      </w:pPr>
    </w:p>
    <w:p>
      <w:pPr>
        <w:pStyle w:val="BodyText"/>
        <w:spacing w:line="244" w:lineRule="auto"/>
        <w:ind w:left="151" w:right="510" w:firstLine="397"/>
        <w:jc w:val="both"/>
      </w:pPr>
      <w:r>
        <w:rPr/>
        <w:t>En el caso de que la empresa ya esté establecida en el municipio, el inversionista deberá presentar la certificación de inmueble sustentable con algún sistema de certificación con reconocimiento y validez internacional, nacional, estatal o municipal al momento de presentar la solicitud de Incentivos fiscales.</w:t>
      </w:r>
    </w:p>
    <w:p>
      <w:pPr>
        <w:pStyle w:val="BodyText"/>
        <w:spacing w:before="8"/>
      </w:pPr>
    </w:p>
    <w:p>
      <w:pPr>
        <w:pStyle w:val="BodyText"/>
        <w:spacing w:line="247" w:lineRule="auto"/>
        <w:ind w:left="151" w:right="509" w:firstLine="397"/>
        <w:jc w:val="both"/>
      </w:pPr>
      <w:r>
        <w:rPr/>
        <w:t>Para ambos casos, es requisito indispensable para poder ingresar la solicitud de incentivos fiscales, presentar el resolutivo favorable en materia de impacto urbano ambiental.</w:t>
      </w:r>
    </w:p>
    <w:p>
      <w:pPr>
        <w:pStyle w:val="BodyText"/>
        <w:spacing w:before="3"/>
      </w:pPr>
    </w:p>
    <w:p>
      <w:pPr>
        <w:pStyle w:val="BodyText"/>
        <w:spacing w:line="247" w:lineRule="auto"/>
        <w:ind w:left="151" w:right="510" w:firstLine="397"/>
        <w:jc w:val="both"/>
      </w:pPr>
      <w:r>
        <w:rPr/>
        <w:t>Para acceder al beneficio señalado en el presente artículo, según sea el caso, el desarrollador deberá presentar carta de intención de obtener la certificación internacional, nacional, estatal o municipal, así como el registro del Proyecto al momento de presentar la solicitud de los incentivos fiscales. Si en un lapso de 12    meses el desarrollador incumple con la carta de intención y no presenta la Certificación correspondiente o no concluye la construcción, la </w:t>
      </w:r>
      <w:r>
        <w:rPr>
          <w:spacing w:val="-3"/>
        </w:rPr>
        <w:t>Tesorería </w:t>
      </w:r>
      <w:r>
        <w:rPr/>
        <w:t>Municipal requerirá al causante por la totalidad del crédito fiscal y sus accesorios.</w:t>
      </w:r>
    </w:p>
    <w:p>
      <w:pPr>
        <w:spacing w:after="0" w:line="247" w:lineRule="auto"/>
        <w:jc w:val="both"/>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spacing w:before="7"/>
        <w:rPr>
          <w:sz w:val="29"/>
        </w:rPr>
      </w:pPr>
    </w:p>
    <w:p>
      <w:pPr>
        <w:spacing w:after="0"/>
        <w:rPr>
          <w:sz w:val="29"/>
        </w:rPr>
        <w:sectPr>
          <w:headerReference w:type="default" r:id="rId58"/>
          <w:pgSz w:w="23250" w:h="15310" w:orient="landscape"/>
          <w:pgMar w:header="881" w:footer="499" w:top="1920" w:bottom="680" w:left="1880" w:right="1520"/>
        </w:sectPr>
      </w:pPr>
    </w:p>
    <w:p>
      <w:pPr>
        <w:pStyle w:val="BodyText"/>
        <w:spacing w:line="247" w:lineRule="auto" w:before="99"/>
        <w:ind w:left="174" w:right="38" w:firstLine="372"/>
        <w:jc w:val="both"/>
      </w:pPr>
      <w:r>
        <w:rPr>
          <w:b/>
        </w:rPr>
        <w:t>Artículo 28.-</w:t>
      </w:r>
      <w:r>
        <w:rPr/>
        <w:t>Tratándose de personas físicas o jurídicas que durante el año fiscal en vigencia inicien actividades industriales, agroindustriales, comerciales o de servicios dentro del municipio  y  se  desarrollen como nuevas empresas dentro algún programa de Incubación de Empresas, que presenten un certificado de empresa graduada por una incubadora avalada por la Secretaría de Economía, que no haya facturado más      de cinco millones de pesos desde su creación, que no sea subsidiaria o filial de un grupo empresarial o      alguna empresa ya consolidada y que demuestren que su constitución legal no es mayor a un año, gozarán      de los siguientes</w:t>
      </w:r>
      <w:r>
        <w:rPr>
          <w:spacing w:val="3"/>
        </w:rPr>
        <w:t> </w:t>
      </w:r>
      <w:r>
        <w:rPr/>
        <w:t>incentivos:</w:t>
      </w:r>
    </w:p>
    <w:p>
      <w:pPr>
        <w:pStyle w:val="BodyText"/>
        <w:spacing w:before="10"/>
        <w:rPr>
          <w:sz w:val="14"/>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3"/>
        <w:gridCol w:w="670"/>
        <w:gridCol w:w="1221"/>
        <w:gridCol w:w="850"/>
        <w:gridCol w:w="1454"/>
        <w:gridCol w:w="1173"/>
        <w:gridCol w:w="1144"/>
      </w:tblGrid>
      <w:tr>
        <w:trPr>
          <w:trHeight w:val="350" w:hRule="atLeast"/>
        </w:trPr>
        <w:tc>
          <w:tcPr>
            <w:tcW w:w="1303" w:type="dxa"/>
            <w:shd w:val="clear" w:color="auto" w:fill="F89938"/>
          </w:tcPr>
          <w:p>
            <w:pPr>
              <w:pStyle w:val="TableParagraph"/>
              <w:spacing w:line="178" w:lineRule="exact"/>
              <w:ind w:left="228" w:hanging="157"/>
              <w:rPr>
                <w:b/>
                <w:sz w:val="15"/>
              </w:rPr>
            </w:pPr>
            <w:r>
              <w:rPr>
                <w:b/>
                <w:sz w:val="15"/>
              </w:rPr>
              <w:t>Condicionantes del incentivo</w:t>
            </w:r>
          </w:p>
        </w:tc>
        <w:tc>
          <w:tcPr>
            <w:tcW w:w="2741" w:type="dxa"/>
            <w:gridSpan w:val="3"/>
            <w:shd w:val="clear" w:color="auto" w:fill="F89938"/>
          </w:tcPr>
          <w:p>
            <w:pPr>
              <w:pStyle w:val="TableParagraph"/>
              <w:spacing w:before="89"/>
              <w:ind w:left="916"/>
              <w:rPr>
                <w:b/>
                <w:sz w:val="15"/>
              </w:rPr>
            </w:pPr>
            <w:r>
              <w:rPr>
                <w:b/>
                <w:sz w:val="15"/>
              </w:rPr>
              <w:t>IMPUESTOS</w:t>
            </w:r>
          </w:p>
        </w:tc>
        <w:tc>
          <w:tcPr>
            <w:tcW w:w="3771" w:type="dxa"/>
            <w:gridSpan w:val="3"/>
            <w:shd w:val="clear" w:color="auto" w:fill="F89938"/>
          </w:tcPr>
          <w:p>
            <w:pPr>
              <w:pStyle w:val="TableParagraph"/>
              <w:spacing w:before="89"/>
              <w:ind w:left="1439" w:right="1431"/>
              <w:jc w:val="center"/>
              <w:rPr>
                <w:b/>
                <w:sz w:val="15"/>
              </w:rPr>
            </w:pPr>
            <w:r>
              <w:rPr>
                <w:b/>
                <w:sz w:val="15"/>
              </w:rPr>
              <w:t>DERECHOS</w:t>
            </w:r>
          </w:p>
        </w:tc>
      </w:tr>
      <w:tr>
        <w:trPr>
          <w:trHeight w:val="808" w:hRule="atLeast"/>
        </w:trPr>
        <w:tc>
          <w:tcPr>
            <w:tcW w:w="1303" w:type="dxa"/>
            <w:vMerge w:val="restart"/>
          </w:tcPr>
          <w:p>
            <w:pPr>
              <w:pStyle w:val="TableParagraph"/>
              <w:spacing w:line="247" w:lineRule="auto"/>
              <w:ind w:left="71" w:right="63"/>
              <w:jc w:val="center"/>
              <w:rPr>
                <w:b/>
                <w:sz w:val="15"/>
              </w:rPr>
            </w:pPr>
            <w:r>
              <w:rPr>
                <w:b/>
                <w:sz w:val="15"/>
              </w:rPr>
              <w:t>Empresa graduada que no pertenezca a ningún grupo comercial o civil; que no haya facturado más de cinco millones de pesos desde su creación; que no sea subsidiaria o filial de un grupo empresarial o alguna</w:t>
            </w:r>
            <w:r>
              <w:rPr>
                <w:b/>
                <w:spacing w:val="33"/>
                <w:sz w:val="15"/>
              </w:rPr>
              <w:t> </w:t>
            </w:r>
            <w:r>
              <w:rPr>
                <w:b/>
                <w:spacing w:val="-3"/>
                <w:sz w:val="15"/>
              </w:rPr>
              <w:t>empresa</w:t>
            </w:r>
          </w:p>
          <w:p>
            <w:pPr>
              <w:pStyle w:val="TableParagraph"/>
              <w:spacing w:line="143" w:lineRule="exact"/>
              <w:ind w:left="53" w:right="47"/>
              <w:jc w:val="center"/>
              <w:rPr>
                <w:b/>
                <w:sz w:val="15"/>
              </w:rPr>
            </w:pPr>
            <w:r>
              <w:rPr>
                <w:b/>
                <w:sz w:val="15"/>
              </w:rPr>
              <w:t>ya</w:t>
            </w:r>
            <w:r>
              <w:rPr>
                <w:b/>
                <w:spacing w:val="27"/>
                <w:sz w:val="15"/>
              </w:rPr>
              <w:t> </w:t>
            </w:r>
            <w:r>
              <w:rPr>
                <w:b/>
                <w:sz w:val="15"/>
              </w:rPr>
              <w:t>consolidada.</w:t>
            </w:r>
          </w:p>
        </w:tc>
        <w:tc>
          <w:tcPr>
            <w:tcW w:w="670" w:type="dxa"/>
          </w:tcPr>
          <w:p>
            <w:pPr>
              <w:pStyle w:val="TableParagraph"/>
              <w:spacing w:line="247" w:lineRule="auto" w:before="139"/>
              <w:ind w:left="54" w:right="46"/>
              <w:jc w:val="center"/>
              <w:rPr>
                <w:b/>
                <w:sz w:val="15"/>
              </w:rPr>
            </w:pPr>
            <w:r>
              <w:rPr>
                <w:b/>
                <w:sz w:val="15"/>
              </w:rPr>
              <w:t>Predial, hasta un</w:t>
            </w:r>
          </w:p>
        </w:tc>
        <w:tc>
          <w:tcPr>
            <w:tcW w:w="1221" w:type="dxa"/>
          </w:tcPr>
          <w:p>
            <w:pPr>
              <w:pStyle w:val="TableParagraph"/>
              <w:spacing w:line="247" w:lineRule="auto" w:before="139"/>
              <w:ind w:left="70" w:right="61"/>
              <w:jc w:val="center"/>
              <w:rPr>
                <w:b/>
                <w:sz w:val="15"/>
              </w:rPr>
            </w:pPr>
            <w:r>
              <w:rPr>
                <w:b/>
                <w:sz w:val="15"/>
              </w:rPr>
              <w:t>Transmisiones Patrimoniales, hasta un</w:t>
            </w:r>
          </w:p>
        </w:tc>
        <w:tc>
          <w:tcPr>
            <w:tcW w:w="850" w:type="dxa"/>
          </w:tcPr>
          <w:p>
            <w:pPr>
              <w:pStyle w:val="TableParagraph"/>
              <w:spacing w:line="247" w:lineRule="auto" w:before="139"/>
              <w:ind w:left="60" w:right="50" w:firstLine="16"/>
              <w:jc w:val="both"/>
              <w:rPr>
                <w:b/>
                <w:sz w:val="15"/>
              </w:rPr>
            </w:pPr>
            <w:r>
              <w:rPr>
                <w:b/>
                <w:sz w:val="15"/>
              </w:rPr>
              <w:t>Negocios Jurídicos, hasta un</w:t>
            </w:r>
          </w:p>
        </w:tc>
        <w:tc>
          <w:tcPr>
            <w:tcW w:w="1454" w:type="dxa"/>
          </w:tcPr>
          <w:p>
            <w:pPr>
              <w:pStyle w:val="TableParagraph"/>
              <w:spacing w:line="247" w:lineRule="auto" w:before="51"/>
              <w:ind w:left="72" w:right="61" w:hanging="1"/>
              <w:jc w:val="center"/>
              <w:rPr>
                <w:b/>
                <w:sz w:val="15"/>
              </w:rPr>
            </w:pPr>
            <w:r>
              <w:rPr>
                <w:b/>
                <w:sz w:val="15"/>
              </w:rPr>
              <w:t>Aprovechamiento de infraestructura básica existente, hasta un</w:t>
            </w:r>
          </w:p>
        </w:tc>
        <w:tc>
          <w:tcPr>
            <w:tcW w:w="1173" w:type="dxa"/>
          </w:tcPr>
          <w:p>
            <w:pPr>
              <w:pStyle w:val="TableParagraph"/>
              <w:spacing w:line="247" w:lineRule="auto" w:before="139"/>
              <w:ind w:left="67" w:right="57"/>
              <w:jc w:val="center"/>
              <w:rPr>
                <w:b/>
                <w:sz w:val="15"/>
              </w:rPr>
            </w:pPr>
            <w:r>
              <w:rPr>
                <w:b/>
                <w:sz w:val="15"/>
              </w:rPr>
              <w:t>Licencias de Construcción, hasta un</w:t>
            </w:r>
          </w:p>
        </w:tc>
        <w:tc>
          <w:tcPr>
            <w:tcW w:w="1144" w:type="dxa"/>
          </w:tcPr>
          <w:p>
            <w:pPr>
              <w:pStyle w:val="TableParagraph"/>
              <w:spacing w:line="247" w:lineRule="auto" w:before="139"/>
              <w:ind w:left="57" w:right="44"/>
              <w:jc w:val="center"/>
              <w:rPr>
                <w:b/>
                <w:sz w:val="15"/>
              </w:rPr>
            </w:pPr>
            <w:r>
              <w:rPr>
                <w:b/>
                <w:sz w:val="15"/>
              </w:rPr>
              <w:t>Certificado de Habitabilidad, hasta un</w:t>
            </w:r>
          </w:p>
        </w:tc>
      </w:tr>
      <w:tr>
        <w:trPr>
          <w:trHeight w:val="2360" w:hRule="atLeast"/>
        </w:trPr>
        <w:tc>
          <w:tcPr>
            <w:tcW w:w="1303" w:type="dxa"/>
            <w:vMerge/>
            <w:tcBorders>
              <w:top w:val="nil"/>
            </w:tcBorders>
          </w:tcPr>
          <w:p>
            <w:pPr>
              <w:rPr>
                <w:sz w:val="2"/>
                <w:szCs w:val="2"/>
              </w:rPr>
            </w:pPr>
          </w:p>
        </w:tc>
        <w:tc>
          <w:tcPr>
            <w:tcW w:w="670"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5"/>
              </w:rPr>
            </w:pPr>
          </w:p>
          <w:p>
            <w:pPr>
              <w:pStyle w:val="TableParagraph"/>
              <w:ind w:left="178"/>
              <w:rPr>
                <w:sz w:val="15"/>
              </w:rPr>
            </w:pPr>
            <w:r>
              <w:rPr>
                <w:sz w:val="15"/>
              </w:rPr>
              <w:t>50%</w:t>
            </w:r>
          </w:p>
        </w:tc>
        <w:tc>
          <w:tcPr>
            <w:tcW w:w="1221"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5"/>
              </w:rPr>
            </w:pPr>
          </w:p>
          <w:p>
            <w:pPr>
              <w:pStyle w:val="TableParagraph"/>
              <w:ind w:left="66" w:right="61"/>
              <w:jc w:val="center"/>
              <w:rPr>
                <w:sz w:val="15"/>
              </w:rPr>
            </w:pPr>
            <w:r>
              <w:rPr>
                <w:sz w:val="15"/>
              </w:rPr>
              <w:t>50%</w:t>
            </w:r>
          </w:p>
        </w:tc>
        <w:tc>
          <w:tcPr>
            <w:tcW w:w="850"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5"/>
              </w:rPr>
            </w:pPr>
          </w:p>
          <w:p>
            <w:pPr>
              <w:pStyle w:val="TableParagraph"/>
              <w:ind w:left="268"/>
              <w:rPr>
                <w:sz w:val="15"/>
              </w:rPr>
            </w:pPr>
            <w:r>
              <w:rPr>
                <w:sz w:val="15"/>
              </w:rPr>
              <w:t>50%</w:t>
            </w:r>
          </w:p>
        </w:tc>
        <w:tc>
          <w:tcPr>
            <w:tcW w:w="1454"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5"/>
              </w:rPr>
            </w:pPr>
          </w:p>
          <w:p>
            <w:pPr>
              <w:pStyle w:val="TableParagraph"/>
              <w:ind w:left="554" w:right="548"/>
              <w:jc w:val="center"/>
              <w:rPr>
                <w:sz w:val="15"/>
              </w:rPr>
            </w:pPr>
            <w:r>
              <w:rPr>
                <w:sz w:val="15"/>
              </w:rPr>
              <w:t>50%</w:t>
            </w:r>
          </w:p>
        </w:tc>
        <w:tc>
          <w:tcPr>
            <w:tcW w:w="1173"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5"/>
              </w:rPr>
            </w:pPr>
          </w:p>
          <w:p>
            <w:pPr>
              <w:pStyle w:val="TableParagraph"/>
              <w:ind w:left="62" w:right="57"/>
              <w:jc w:val="center"/>
              <w:rPr>
                <w:sz w:val="15"/>
              </w:rPr>
            </w:pPr>
            <w:r>
              <w:rPr>
                <w:sz w:val="15"/>
              </w:rPr>
              <w:t>50%</w:t>
            </w:r>
          </w:p>
        </w:tc>
        <w:tc>
          <w:tcPr>
            <w:tcW w:w="1144" w:type="dxa"/>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5"/>
              </w:rPr>
            </w:pPr>
          </w:p>
          <w:p>
            <w:pPr>
              <w:pStyle w:val="TableParagraph"/>
              <w:ind w:left="53" w:right="46"/>
              <w:jc w:val="center"/>
              <w:rPr>
                <w:sz w:val="15"/>
              </w:rPr>
            </w:pPr>
            <w:r>
              <w:rPr>
                <w:sz w:val="15"/>
              </w:rPr>
              <w:t>50%</w:t>
            </w:r>
          </w:p>
        </w:tc>
      </w:tr>
    </w:tbl>
    <w:p>
      <w:pPr>
        <w:pStyle w:val="BodyText"/>
        <w:rPr>
          <w:sz w:val="16"/>
        </w:rPr>
      </w:pPr>
    </w:p>
    <w:p>
      <w:pPr>
        <w:pStyle w:val="Heading4"/>
        <w:spacing w:before="108"/>
        <w:ind w:left="268"/>
      </w:pPr>
      <w:r>
        <w:rPr/>
        <w:t>SECCIÓN NOVENA</w:t>
      </w:r>
    </w:p>
    <w:p>
      <w:pPr>
        <w:pStyle w:val="BodyText"/>
        <w:spacing w:before="9"/>
        <w:rPr>
          <w:b/>
        </w:rPr>
      </w:pPr>
    </w:p>
    <w:p>
      <w:pPr>
        <w:spacing w:line="244" w:lineRule="auto" w:before="0"/>
        <w:ind w:left="274" w:right="160" w:firstLine="0"/>
        <w:jc w:val="center"/>
        <w:rPr>
          <w:b/>
          <w:sz w:val="15"/>
        </w:rPr>
      </w:pPr>
      <w:r>
        <w:rPr>
          <w:b/>
          <w:sz w:val="15"/>
        </w:rPr>
        <w:t>Incentivos por las Condiciones Particulares del Contribuyente Relativos a los Adeudos de Licencias y Permisos</w:t>
      </w:r>
    </w:p>
    <w:p>
      <w:pPr>
        <w:pStyle w:val="BodyText"/>
        <w:spacing w:before="5"/>
        <w:rPr>
          <w:b/>
        </w:rPr>
      </w:pPr>
    </w:p>
    <w:p>
      <w:pPr>
        <w:pStyle w:val="BodyText"/>
        <w:spacing w:line="247" w:lineRule="auto" w:before="1"/>
        <w:ind w:left="151" w:right="38" w:firstLine="397"/>
        <w:jc w:val="both"/>
      </w:pPr>
      <w:r>
        <w:rPr>
          <w:b/>
        </w:rPr>
        <w:t>Artículo 29.- </w:t>
      </w:r>
      <w:r>
        <w:rPr/>
        <w:t>Respecto de otras licencias o permisos, excepto las licencias y/o permisos para anuncios y para venta de bebidas alcohólicas, el </w:t>
      </w:r>
      <w:r>
        <w:rPr>
          <w:spacing w:val="-3"/>
        </w:rPr>
        <w:t>Tesorero </w:t>
      </w:r>
      <w:r>
        <w:rPr/>
        <w:t>Municipal tendrá la facultad de aplicar una reducción de hasta 50% en el monto resultante de los derechos que ordinariamente le correspondería pagar al contribuyente, mediante la emisión de un acuerdo fundado y motivado, a aquellas personas que se encuentren en  los siguientes</w:t>
      </w:r>
      <w:r>
        <w:rPr>
          <w:spacing w:val="1"/>
        </w:rPr>
        <w:t> </w:t>
      </w:r>
      <w:r>
        <w:rPr/>
        <w:t>supuestos:</w:t>
      </w:r>
    </w:p>
    <w:p>
      <w:pPr>
        <w:pStyle w:val="BodyText"/>
        <w:spacing w:before="1"/>
      </w:pPr>
    </w:p>
    <w:p>
      <w:pPr>
        <w:pStyle w:val="ListParagraph"/>
        <w:numPr>
          <w:ilvl w:val="0"/>
          <w:numId w:val="9"/>
        </w:numPr>
        <w:tabs>
          <w:tab w:pos="678" w:val="left" w:leader="none"/>
        </w:tabs>
        <w:spacing w:line="240" w:lineRule="auto" w:before="0" w:after="0"/>
        <w:ind w:left="677" w:right="0" w:hanging="130"/>
        <w:jc w:val="left"/>
        <w:rPr>
          <w:sz w:val="15"/>
        </w:rPr>
      </w:pPr>
      <w:r>
        <w:rPr>
          <w:sz w:val="15"/>
        </w:rPr>
        <w:t>Será exclusivo para personas</w:t>
      </w:r>
      <w:r>
        <w:rPr>
          <w:spacing w:val="5"/>
          <w:sz w:val="15"/>
        </w:rPr>
        <w:t> </w:t>
      </w:r>
      <w:r>
        <w:rPr>
          <w:sz w:val="15"/>
        </w:rPr>
        <w:t>físicas;</w:t>
      </w:r>
    </w:p>
    <w:p>
      <w:pPr>
        <w:pStyle w:val="BodyText"/>
        <w:spacing w:before="10"/>
      </w:pPr>
    </w:p>
    <w:p>
      <w:pPr>
        <w:pStyle w:val="ListParagraph"/>
        <w:numPr>
          <w:ilvl w:val="0"/>
          <w:numId w:val="9"/>
        </w:numPr>
        <w:tabs>
          <w:tab w:pos="721" w:val="left" w:leader="none"/>
        </w:tabs>
        <w:spacing w:line="244" w:lineRule="auto" w:before="0" w:after="0"/>
        <w:ind w:left="151" w:right="38" w:firstLine="397"/>
        <w:jc w:val="left"/>
        <w:rPr>
          <w:sz w:val="15"/>
        </w:rPr>
      </w:pPr>
      <w:r>
        <w:rPr>
          <w:sz w:val="15"/>
        </w:rPr>
        <w:t>Se otorgará a contribuyentes de 60 años o más, o discapacitados o viudos, así como los casos que se determine según la valoración que se realice de las circunstancias del caso</w:t>
      </w:r>
      <w:r>
        <w:rPr>
          <w:spacing w:val="36"/>
          <w:sz w:val="15"/>
        </w:rPr>
        <w:t> </w:t>
      </w:r>
      <w:r>
        <w:rPr>
          <w:sz w:val="15"/>
        </w:rPr>
        <w:t>particular.</w:t>
      </w:r>
    </w:p>
    <w:p>
      <w:pPr>
        <w:pStyle w:val="BodyText"/>
        <w:spacing w:before="6"/>
      </w:pPr>
    </w:p>
    <w:p>
      <w:pPr>
        <w:pStyle w:val="ListParagraph"/>
        <w:numPr>
          <w:ilvl w:val="0"/>
          <w:numId w:val="9"/>
        </w:numPr>
        <w:tabs>
          <w:tab w:pos="774" w:val="left" w:leader="none"/>
        </w:tabs>
        <w:spacing w:line="247" w:lineRule="auto" w:before="0" w:after="0"/>
        <w:ind w:left="151" w:right="39" w:firstLine="397"/>
        <w:jc w:val="left"/>
        <w:rPr>
          <w:sz w:val="15"/>
        </w:rPr>
      </w:pPr>
      <w:r>
        <w:rPr>
          <w:sz w:val="15"/>
        </w:rPr>
        <w:t>Las personas de 60 años o más deberán exhibir el documento público que así lo acredite, entre los   que se señalan, de manera enunciativa más no</w:t>
      </w:r>
      <w:r>
        <w:rPr>
          <w:spacing w:val="14"/>
          <w:sz w:val="15"/>
        </w:rPr>
        <w:t> </w:t>
      </w:r>
      <w:r>
        <w:rPr>
          <w:sz w:val="15"/>
        </w:rPr>
        <w:t>limitativa:</w:t>
      </w:r>
    </w:p>
    <w:p>
      <w:pPr>
        <w:pStyle w:val="BodyText"/>
        <w:spacing w:before="3"/>
      </w:pPr>
    </w:p>
    <w:p>
      <w:pPr>
        <w:pStyle w:val="ListParagraph"/>
        <w:numPr>
          <w:ilvl w:val="1"/>
          <w:numId w:val="9"/>
        </w:numPr>
        <w:tabs>
          <w:tab w:pos="1142" w:val="left" w:leader="none"/>
          <w:tab w:pos="1143" w:val="left" w:leader="none"/>
        </w:tabs>
        <w:spacing w:line="240" w:lineRule="auto" w:before="0" w:after="0"/>
        <w:ind w:left="1142" w:right="0" w:hanging="397"/>
        <w:jc w:val="left"/>
        <w:rPr>
          <w:sz w:val="15"/>
        </w:rPr>
      </w:pPr>
      <w:r>
        <w:rPr>
          <w:sz w:val="15"/>
        </w:rPr>
        <w:t>Copia de acta de</w:t>
      </w:r>
      <w:r>
        <w:rPr>
          <w:spacing w:val="5"/>
          <w:sz w:val="15"/>
        </w:rPr>
        <w:t> </w:t>
      </w:r>
      <w:r>
        <w:rPr>
          <w:sz w:val="15"/>
        </w:rPr>
        <w:t>nacimiento;</w:t>
      </w:r>
    </w:p>
    <w:p>
      <w:pPr>
        <w:pStyle w:val="ListParagraph"/>
        <w:numPr>
          <w:ilvl w:val="1"/>
          <w:numId w:val="9"/>
        </w:numPr>
        <w:tabs>
          <w:tab w:pos="1142" w:val="left" w:leader="none"/>
          <w:tab w:pos="1143" w:val="left" w:leader="none"/>
        </w:tabs>
        <w:spacing w:line="240" w:lineRule="auto" w:before="5" w:after="0"/>
        <w:ind w:left="1142" w:right="0" w:hanging="397"/>
        <w:jc w:val="left"/>
        <w:rPr>
          <w:sz w:val="15"/>
        </w:rPr>
      </w:pPr>
      <w:r>
        <w:rPr>
          <w:sz w:val="15"/>
        </w:rPr>
        <w:t>Copia de identificación emitida por la Secretaría de Desarrollo</w:t>
      </w:r>
      <w:r>
        <w:rPr>
          <w:spacing w:val="25"/>
          <w:sz w:val="15"/>
        </w:rPr>
        <w:t> </w:t>
      </w:r>
      <w:r>
        <w:rPr>
          <w:sz w:val="15"/>
        </w:rPr>
        <w:t>Social;</w:t>
      </w:r>
    </w:p>
    <w:p>
      <w:pPr>
        <w:pStyle w:val="ListParagraph"/>
        <w:numPr>
          <w:ilvl w:val="1"/>
          <w:numId w:val="9"/>
        </w:numPr>
        <w:tabs>
          <w:tab w:pos="1142" w:val="left" w:leader="none"/>
          <w:tab w:pos="1143" w:val="left" w:leader="none"/>
        </w:tabs>
        <w:spacing w:line="240" w:lineRule="auto" w:before="5" w:after="0"/>
        <w:ind w:left="1142" w:right="0" w:hanging="397"/>
        <w:jc w:val="left"/>
        <w:rPr>
          <w:sz w:val="15"/>
        </w:rPr>
      </w:pPr>
      <w:r>
        <w:rPr>
          <w:sz w:val="15"/>
        </w:rPr>
        <w:t>Copia de la Clave Única de Registro de Población;</w:t>
      </w:r>
      <w:r>
        <w:rPr>
          <w:spacing w:val="15"/>
          <w:sz w:val="15"/>
        </w:rPr>
        <w:t> </w:t>
      </w:r>
      <w:r>
        <w:rPr>
          <w:sz w:val="15"/>
        </w:rPr>
        <w:t>o</w:t>
      </w:r>
    </w:p>
    <w:p>
      <w:pPr>
        <w:pStyle w:val="ListParagraph"/>
        <w:numPr>
          <w:ilvl w:val="1"/>
          <w:numId w:val="9"/>
        </w:numPr>
        <w:tabs>
          <w:tab w:pos="1142" w:val="left" w:leader="none"/>
          <w:tab w:pos="1143" w:val="left" w:leader="none"/>
        </w:tabs>
        <w:spacing w:line="240" w:lineRule="auto" w:before="5" w:after="0"/>
        <w:ind w:left="1142" w:right="0" w:hanging="397"/>
        <w:jc w:val="left"/>
        <w:rPr>
          <w:sz w:val="15"/>
        </w:rPr>
      </w:pPr>
      <w:r>
        <w:rPr>
          <w:sz w:val="15"/>
        </w:rPr>
        <w:t>Copia de credencial para votar expedida por el Instituto Nacional</w:t>
      </w:r>
      <w:r>
        <w:rPr>
          <w:spacing w:val="32"/>
          <w:sz w:val="15"/>
        </w:rPr>
        <w:t> </w:t>
      </w:r>
      <w:r>
        <w:rPr>
          <w:sz w:val="15"/>
        </w:rPr>
        <w:t>Electoral.</w:t>
      </w:r>
    </w:p>
    <w:p>
      <w:pPr>
        <w:pStyle w:val="BodyText"/>
        <w:spacing w:before="9"/>
      </w:pPr>
    </w:p>
    <w:p>
      <w:pPr>
        <w:pStyle w:val="ListParagraph"/>
        <w:numPr>
          <w:ilvl w:val="0"/>
          <w:numId w:val="9"/>
        </w:numPr>
        <w:tabs>
          <w:tab w:pos="776" w:val="left" w:leader="none"/>
        </w:tabs>
        <w:spacing w:line="244" w:lineRule="auto" w:before="0" w:after="0"/>
        <w:ind w:left="151" w:right="40" w:firstLine="397"/>
        <w:jc w:val="left"/>
        <w:rPr>
          <w:sz w:val="15"/>
        </w:rPr>
      </w:pPr>
      <w:r>
        <w:rPr>
          <w:sz w:val="15"/>
        </w:rPr>
        <w:t>La reducción será aplicada sólo a petición de parte, mediante solicitud presentada ante la Tesorería Municipal en la que se acrediten los requisitos establecidos para tal</w:t>
      </w:r>
      <w:r>
        <w:rPr>
          <w:spacing w:val="25"/>
          <w:sz w:val="15"/>
        </w:rPr>
        <w:t> </w:t>
      </w:r>
      <w:r>
        <w:rPr>
          <w:sz w:val="15"/>
        </w:rPr>
        <w:t>efecto.</w:t>
      </w:r>
    </w:p>
    <w:p>
      <w:pPr>
        <w:pStyle w:val="BodyText"/>
        <w:rPr>
          <w:sz w:val="16"/>
        </w:rPr>
      </w:pPr>
      <w:r>
        <w:rPr/>
        <w:br w:type="column"/>
      </w:r>
      <w:r>
        <w:rPr>
          <w:sz w:val="16"/>
        </w:rPr>
      </w:r>
    </w:p>
    <w:p>
      <w:pPr>
        <w:pStyle w:val="Heading4"/>
        <w:spacing w:before="93"/>
        <w:ind w:left="1835" w:right="2192"/>
      </w:pPr>
      <w:r>
        <w:rPr/>
        <w:t>SECCIÓN DECIMA</w:t>
      </w:r>
    </w:p>
    <w:p>
      <w:pPr>
        <w:spacing w:before="4"/>
        <w:ind w:left="1878" w:right="2192" w:firstLine="0"/>
        <w:jc w:val="center"/>
        <w:rPr>
          <w:b/>
          <w:sz w:val="15"/>
        </w:rPr>
      </w:pPr>
      <w:r>
        <w:rPr>
          <w:b/>
          <w:sz w:val="15"/>
        </w:rPr>
        <w:t>De las Disposiciones Comunes de los Incentivos Fiscales</w:t>
      </w:r>
    </w:p>
    <w:p>
      <w:pPr>
        <w:pStyle w:val="BodyText"/>
        <w:spacing w:before="8"/>
        <w:rPr>
          <w:b/>
        </w:rPr>
      </w:pPr>
    </w:p>
    <w:p>
      <w:pPr>
        <w:pStyle w:val="BodyText"/>
        <w:spacing w:line="247" w:lineRule="auto"/>
        <w:ind w:left="174" w:right="510" w:firstLine="373"/>
        <w:jc w:val="both"/>
      </w:pPr>
      <w:r>
        <w:rPr>
          <w:b/>
        </w:rPr>
        <w:t>Artículo 30.- </w:t>
      </w:r>
      <w:r>
        <w:rPr/>
        <w:t>No se considerará que existe el inicio o ampliación de actividades o una nueva inversión      de personas físicas  o jurídicas, si ésta estuviere ya constituida antes del ejercicio fiscal inmediato anterior, por  el solo hecho de que cambie su nombre, denominación o razón social, y en el caso de los establecimientos    que con anterioridad a la entrada en vigor de esta </w:t>
      </w:r>
      <w:r>
        <w:rPr>
          <w:spacing w:val="-4"/>
        </w:rPr>
        <w:t>ley, </w:t>
      </w:r>
      <w:r>
        <w:rPr/>
        <w:t>ya se encontraban operando y sean adquiridos por un tercero que solicite en su beneficio la aplicación de esta disposición, o tratándose  de  las  personas  jurídicas que resulten de la fusión o escisión de otras personas jurídicas ya constituidas. La reducción del Impuesto  Sobre Transmisiones Patrimoniales no aplica si la adquisición del inmueble es anterior a más de un año a la presentación de la solicitud de</w:t>
      </w:r>
      <w:r>
        <w:rPr>
          <w:spacing w:val="7"/>
        </w:rPr>
        <w:t> </w:t>
      </w:r>
      <w:r>
        <w:rPr/>
        <w:t>incentivos.</w:t>
      </w:r>
    </w:p>
    <w:p>
      <w:pPr>
        <w:pStyle w:val="BodyText"/>
        <w:spacing w:before="1"/>
      </w:pPr>
    </w:p>
    <w:p>
      <w:pPr>
        <w:pStyle w:val="BodyText"/>
        <w:spacing w:line="244" w:lineRule="auto"/>
        <w:ind w:left="151" w:right="510" w:firstLine="397"/>
        <w:jc w:val="both"/>
      </w:pPr>
      <w:r>
        <w:rPr/>
        <w:t>La presentación de la solicitud, no genera derecho alguno en favor del solicitante, hasta en tanto exista     la aprobación por el Consejo de Desarrollo Económico del</w:t>
      </w:r>
      <w:r>
        <w:rPr>
          <w:spacing w:val="21"/>
        </w:rPr>
        <w:t> </w:t>
      </w:r>
      <w:r>
        <w:rPr/>
        <w:t>Municipio.</w:t>
      </w:r>
    </w:p>
    <w:p>
      <w:pPr>
        <w:pStyle w:val="BodyText"/>
        <w:spacing w:before="6"/>
      </w:pPr>
    </w:p>
    <w:p>
      <w:pPr>
        <w:pStyle w:val="BodyText"/>
        <w:spacing w:line="247" w:lineRule="auto"/>
        <w:ind w:left="151" w:right="509" w:firstLine="397"/>
        <w:jc w:val="both"/>
      </w:pPr>
      <w:r>
        <w:rPr/>
        <w:t>A partir de la fecha de presentación de la solicitud y hasta que sea aprobado su otorgamiento y hecho efectivo, los contribuyentes deberán realizar los pagos que correspondan, mismos que en el caso de que el contribuyente haya obtenido un dictamen favorable, serán reintegrados al solicitante mediante compensación sobre las demás contribuciones que resulten a su cargo.</w:t>
      </w:r>
    </w:p>
    <w:p>
      <w:pPr>
        <w:pStyle w:val="BodyText"/>
        <w:spacing w:before="2"/>
      </w:pPr>
    </w:p>
    <w:p>
      <w:pPr>
        <w:pStyle w:val="BodyText"/>
        <w:spacing w:line="247" w:lineRule="auto"/>
        <w:ind w:left="173" w:right="508" w:firstLine="397"/>
        <w:jc w:val="both"/>
      </w:pPr>
      <w:r>
        <w:rPr>
          <w:b/>
        </w:rPr>
        <w:t>Artículo 31.- </w:t>
      </w:r>
      <w:r>
        <w:rPr/>
        <w:t>En los casos en que se compruebe que las personas físicas o jurídicas que hayan sido beneficiadas por estos incentivos fiscales no hubiesen cumplido  con los presupuestos de creación de las  nuevas fuentes de empleos directas correspondientes al esquema  de  incentivos  fiscales  que  promovieron, que es irregular la constitución del derecho de superficie o el arrendamiento de inmuebles, deberán enterar al Ayuntamiento, por medio de la Hacienda Municipal las cantidades que conforme a la Ley de Ingresos del Municipio debieron haber pagado por los conceptos de impuestos y  derechos  causados  originalmente,  además de los accesorios que procedan conforme a la</w:t>
      </w:r>
      <w:r>
        <w:rPr>
          <w:spacing w:val="17"/>
        </w:rPr>
        <w:t> </w:t>
      </w:r>
      <w:r>
        <w:rPr>
          <w:spacing w:val="-4"/>
        </w:rPr>
        <w:t>ley.</w:t>
      </w:r>
    </w:p>
    <w:p>
      <w:pPr>
        <w:pStyle w:val="BodyText"/>
        <w:spacing w:before="1"/>
      </w:pPr>
    </w:p>
    <w:p>
      <w:pPr>
        <w:pStyle w:val="BodyText"/>
        <w:spacing w:line="244" w:lineRule="auto"/>
        <w:ind w:left="151" w:right="510" w:firstLine="397"/>
        <w:jc w:val="both"/>
      </w:pPr>
      <w:r>
        <w:rPr>
          <w:b/>
        </w:rPr>
        <w:t>Artículo 32.- </w:t>
      </w:r>
      <w:r>
        <w:rPr/>
        <w:t>Los incentivos fiscales previstos en esta ley por regla general no son acumulables a excepción de aquellos incentivos especiales que de forma expresa la presente Ley permite  acumularse a    otros.</w:t>
      </w:r>
    </w:p>
    <w:p>
      <w:pPr>
        <w:pStyle w:val="BodyText"/>
        <w:rPr>
          <w:sz w:val="16"/>
        </w:rPr>
      </w:pPr>
    </w:p>
    <w:p>
      <w:pPr>
        <w:pStyle w:val="BodyText"/>
        <w:spacing w:before="2"/>
      </w:pPr>
    </w:p>
    <w:p>
      <w:pPr>
        <w:pStyle w:val="Heading4"/>
        <w:ind w:left="1833" w:right="2192"/>
      </w:pPr>
      <w:r>
        <w:rPr/>
        <w:t>LIBRO SEGUNDO</w:t>
      </w:r>
    </w:p>
    <w:p>
      <w:pPr>
        <w:spacing w:before="5"/>
        <w:ind w:left="1834" w:right="2192" w:firstLine="0"/>
        <w:jc w:val="center"/>
        <w:rPr>
          <w:b/>
          <w:sz w:val="15"/>
        </w:rPr>
      </w:pPr>
      <w:r>
        <w:rPr>
          <w:b/>
          <w:sz w:val="15"/>
        </w:rPr>
        <w:t>De los Ingresos</w:t>
      </w:r>
    </w:p>
    <w:p>
      <w:pPr>
        <w:pStyle w:val="BodyText"/>
        <w:spacing w:before="8"/>
        <w:rPr>
          <w:b/>
        </w:rPr>
      </w:pPr>
    </w:p>
    <w:p>
      <w:pPr>
        <w:spacing w:before="0"/>
        <w:ind w:left="1834" w:right="2192" w:firstLine="0"/>
        <w:jc w:val="center"/>
        <w:rPr>
          <w:b/>
          <w:sz w:val="15"/>
        </w:rPr>
      </w:pPr>
      <w:r>
        <w:rPr>
          <w:b/>
          <w:sz w:val="15"/>
        </w:rPr>
        <w:t>TÍTULO</w:t>
      </w:r>
      <w:r>
        <w:rPr>
          <w:b/>
          <w:spacing w:val="32"/>
          <w:sz w:val="15"/>
        </w:rPr>
        <w:t> </w:t>
      </w:r>
      <w:r>
        <w:rPr>
          <w:b/>
          <w:sz w:val="15"/>
        </w:rPr>
        <w:t>PRIMERO</w:t>
      </w:r>
    </w:p>
    <w:p>
      <w:pPr>
        <w:spacing w:before="5"/>
        <w:ind w:left="1835" w:right="2192" w:firstLine="0"/>
        <w:jc w:val="center"/>
        <w:rPr>
          <w:b/>
          <w:sz w:val="15"/>
        </w:rPr>
      </w:pPr>
      <w:r>
        <w:rPr>
          <w:b/>
          <w:sz w:val="15"/>
        </w:rPr>
        <w:t>De  los</w:t>
      </w:r>
      <w:r>
        <w:rPr>
          <w:b/>
          <w:spacing w:val="-11"/>
          <w:sz w:val="15"/>
        </w:rPr>
        <w:t> </w:t>
      </w:r>
      <w:r>
        <w:rPr>
          <w:b/>
          <w:sz w:val="15"/>
        </w:rPr>
        <w:t>Impuestos</w:t>
      </w:r>
    </w:p>
    <w:p>
      <w:pPr>
        <w:pStyle w:val="BodyText"/>
        <w:spacing w:before="10"/>
        <w:rPr>
          <w:b/>
        </w:rPr>
      </w:pPr>
    </w:p>
    <w:p>
      <w:pPr>
        <w:spacing w:before="0"/>
        <w:ind w:left="1834" w:right="2192" w:firstLine="0"/>
        <w:jc w:val="center"/>
        <w:rPr>
          <w:b/>
          <w:sz w:val="15"/>
        </w:rPr>
      </w:pPr>
      <w:r>
        <w:rPr>
          <w:b/>
          <w:sz w:val="15"/>
        </w:rPr>
        <w:t>CAPÍTULO PRIMERO</w:t>
      </w:r>
    </w:p>
    <w:p>
      <w:pPr>
        <w:spacing w:before="4"/>
        <w:ind w:left="1835" w:right="2192" w:firstLine="0"/>
        <w:jc w:val="center"/>
        <w:rPr>
          <w:b/>
          <w:sz w:val="15"/>
        </w:rPr>
      </w:pPr>
      <w:r>
        <w:rPr>
          <w:b/>
          <w:sz w:val="15"/>
        </w:rPr>
        <w:t>De los Impuestos sobre los Ingresos</w:t>
      </w:r>
    </w:p>
    <w:p>
      <w:pPr>
        <w:pStyle w:val="BodyText"/>
        <w:spacing w:before="9"/>
        <w:rPr>
          <w:b/>
        </w:rPr>
      </w:pPr>
    </w:p>
    <w:p>
      <w:pPr>
        <w:spacing w:before="0"/>
        <w:ind w:left="1832" w:right="2192" w:firstLine="0"/>
        <w:jc w:val="center"/>
        <w:rPr>
          <w:b/>
          <w:sz w:val="15"/>
        </w:rPr>
      </w:pPr>
      <w:r>
        <w:rPr>
          <w:b/>
          <w:sz w:val="15"/>
        </w:rPr>
        <w:t>SECCIÓN PRIMERA</w:t>
      </w:r>
    </w:p>
    <w:p>
      <w:pPr>
        <w:spacing w:before="5"/>
        <w:ind w:left="1834" w:right="2192" w:firstLine="0"/>
        <w:jc w:val="center"/>
        <w:rPr>
          <w:b/>
          <w:sz w:val="15"/>
        </w:rPr>
      </w:pPr>
      <w:r>
        <w:rPr>
          <w:b/>
          <w:sz w:val="15"/>
        </w:rPr>
        <w:t>Del Impuesto sobre Espectáculos Públicos</w:t>
      </w:r>
    </w:p>
    <w:p>
      <w:pPr>
        <w:pStyle w:val="BodyText"/>
        <w:spacing w:before="8"/>
        <w:rPr>
          <w:b/>
        </w:rPr>
      </w:pPr>
    </w:p>
    <w:p>
      <w:pPr>
        <w:pStyle w:val="BodyText"/>
        <w:ind w:left="548"/>
      </w:pPr>
      <w:r>
        <w:rPr>
          <w:b/>
        </w:rPr>
        <w:t>Artículo 33.- </w:t>
      </w:r>
      <w:r>
        <w:rPr/>
        <w:t>Este impuesto se causará y pagará de acuerdo con las siguientes tarifas:</w:t>
      </w:r>
    </w:p>
    <w:p>
      <w:pPr>
        <w:pStyle w:val="BodyText"/>
        <w:spacing w:before="9"/>
      </w:pPr>
    </w:p>
    <w:p>
      <w:pPr>
        <w:pStyle w:val="ListParagraph"/>
        <w:numPr>
          <w:ilvl w:val="0"/>
          <w:numId w:val="10"/>
        </w:numPr>
        <w:tabs>
          <w:tab w:pos="352" w:val="left" w:leader="none"/>
        </w:tabs>
        <w:spacing w:line="247" w:lineRule="auto" w:before="0" w:after="0"/>
        <w:ind w:left="191" w:right="3346" w:firstLine="0"/>
        <w:jc w:val="both"/>
        <w:rPr>
          <w:sz w:val="15"/>
        </w:rPr>
      </w:pPr>
      <w:r>
        <w:rPr>
          <w:sz w:val="15"/>
        </w:rPr>
        <w:t>Funciones de circo o carpa, que en sus funciones no incluyan animales, sobre el monto de los ingresos que se obtengan por la venta</w:t>
      </w:r>
      <w:r>
        <w:rPr>
          <w:spacing w:val="17"/>
          <w:sz w:val="15"/>
        </w:rPr>
        <w:t> </w:t>
      </w:r>
      <w:r>
        <w:rPr>
          <w:sz w:val="15"/>
        </w:rPr>
        <w:t>de</w:t>
      </w:r>
      <w:r>
        <w:rPr>
          <w:spacing w:val="17"/>
          <w:sz w:val="15"/>
        </w:rPr>
        <w:t> </w:t>
      </w:r>
      <w:r>
        <w:rPr>
          <w:sz w:val="15"/>
        </w:rPr>
        <w:t>boletos</w:t>
      </w:r>
      <w:r>
        <w:rPr>
          <w:spacing w:val="18"/>
          <w:sz w:val="15"/>
        </w:rPr>
        <w:t> </w:t>
      </w:r>
      <w:r>
        <w:rPr>
          <w:sz w:val="15"/>
        </w:rPr>
        <w:t>de</w:t>
      </w:r>
      <w:r>
        <w:rPr>
          <w:spacing w:val="17"/>
          <w:sz w:val="15"/>
        </w:rPr>
        <w:t> </w:t>
      </w:r>
      <w:r>
        <w:rPr>
          <w:sz w:val="15"/>
        </w:rPr>
        <w:t>entrada</w:t>
      </w:r>
      <w:r>
        <w:rPr>
          <w:spacing w:val="17"/>
          <w:sz w:val="15"/>
        </w:rPr>
        <w:t> </w:t>
      </w:r>
      <w:r>
        <w:rPr>
          <w:sz w:val="15"/>
        </w:rPr>
        <w:t>previamente</w:t>
      </w:r>
      <w:r>
        <w:rPr>
          <w:spacing w:val="18"/>
          <w:sz w:val="15"/>
        </w:rPr>
        <w:t> </w:t>
      </w:r>
      <w:r>
        <w:rPr>
          <w:sz w:val="15"/>
        </w:rPr>
        <w:t>autorizados</w:t>
      </w:r>
      <w:r>
        <w:rPr>
          <w:spacing w:val="17"/>
          <w:sz w:val="15"/>
        </w:rPr>
        <w:t> </w:t>
      </w:r>
      <w:r>
        <w:rPr>
          <w:sz w:val="15"/>
        </w:rPr>
        <w:t>y</w:t>
      </w:r>
      <w:r>
        <w:rPr>
          <w:spacing w:val="16"/>
          <w:sz w:val="15"/>
        </w:rPr>
        <w:t> </w:t>
      </w:r>
      <w:r>
        <w:rPr>
          <w:sz w:val="15"/>
        </w:rPr>
        <w:t>sellados</w:t>
      </w:r>
      <w:r>
        <w:rPr>
          <w:spacing w:val="20"/>
          <w:sz w:val="15"/>
        </w:rPr>
        <w:t> </w:t>
      </w:r>
      <w:r>
        <w:rPr>
          <w:sz w:val="15"/>
        </w:rPr>
        <w:t>por</w:t>
      </w:r>
    </w:p>
    <w:p>
      <w:pPr>
        <w:pStyle w:val="BodyText"/>
        <w:tabs>
          <w:tab w:pos="5219" w:val="left" w:leader="none"/>
        </w:tabs>
        <w:spacing w:line="171" w:lineRule="exact"/>
        <w:ind w:left="191"/>
        <w:jc w:val="both"/>
      </w:pPr>
      <w:r>
        <w:rPr/>
        <w:t>la autoridad</w:t>
      </w:r>
      <w:r>
        <w:rPr>
          <w:spacing w:val="14"/>
        </w:rPr>
        <w:t> </w:t>
      </w:r>
      <w:r>
        <w:rPr/>
        <w:t>Municipal</w:t>
      </w:r>
      <w:r>
        <w:rPr>
          <w:spacing w:val="8"/>
        </w:rPr>
        <w:t> </w:t>
      </w:r>
      <w:r>
        <w:rPr/>
        <w:t>el:</w:t>
        <w:tab/>
        <w:t>4.60%;</w:t>
      </w:r>
    </w:p>
    <w:p>
      <w:pPr>
        <w:pStyle w:val="BodyText"/>
        <w:spacing w:before="8"/>
      </w:pPr>
    </w:p>
    <w:p>
      <w:pPr>
        <w:pStyle w:val="ListParagraph"/>
        <w:numPr>
          <w:ilvl w:val="0"/>
          <w:numId w:val="10"/>
        </w:numPr>
        <w:tabs>
          <w:tab w:pos="428" w:val="left" w:leader="none"/>
        </w:tabs>
        <w:spacing w:line="247" w:lineRule="auto" w:before="1" w:after="0"/>
        <w:ind w:left="191" w:right="3346" w:firstLine="0"/>
        <w:jc w:val="both"/>
        <w:rPr>
          <w:sz w:val="15"/>
        </w:rPr>
      </w:pPr>
      <w:r>
        <w:rPr>
          <w:sz w:val="15"/>
        </w:rPr>
        <w:t>Conciertos y audiciones musicales, exhibiciones, concursos, funciones de box, lucha libre, fútbol, básquetbol, béisbol y otros espectáculos</w:t>
      </w:r>
      <w:r>
        <w:rPr>
          <w:spacing w:val="32"/>
          <w:sz w:val="15"/>
        </w:rPr>
        <w:t> </w:t>
      </w:r>
      <w:r>
        <w:rPr>
          <w:sz w:val="15"/>
        </w:rPr>
        <w:t>deportivos,</w:t>
      </w:r>
      <w:r>
        <w:rPr>
          <w:spacing w:val="32"/>
          <w:sz w:val="15"/>
        </w:rPr>
        <w:t> </w:t>
      </w:r>
      <w:r>
        <w:rPr>
          <w:sz w:val="15"/>
        </w:rPr>
        <w:t>sobre</w:t>
      </w:r>
      <w:r>
        <w:rPr>
          <w:spacing w:val="32"/>
          <w:sz w:val="15"/>
        </w:rPr>
        <w:t> </w:t>
      </w:r>
      <w:r>
        <w:rPr>
          <w:sz w:val="15"/>
        </w:rPr>
        <w:t>el</w:t>
      </w:r>
      <w:r>
        <w:rPr>
          <w:spacing w:val="33"/>
          <w:sz w:val="15"/>
        </w:rPr>
        <w:t> </w:t>
      </w:r>
      <w:r>
        <w:rPr>
          <w:sz w:val="15"/>
        </w:rPr>
        <w:t>ingreso</w:t>
      </w:r>
      <w:r>
        <w:rPr>
          <w:spacing w:val="32"/>
          <w:sz w:val="15"/>
        </w:rPr>
        <w:t> </w:t>
      </w:r>
      <w:r>
        <w:rPr>
          <w:sz w:val="15"/>
        </w:rPr>
        <w:t>percibido</w:t>
      </w:r>
      <w:r>
        <w:rPr>
          <w:spacing w:val="32"/>
          <w:sz w:val="15"/>
        </w:rPr>
        <w:t> </w:t>
      </w:r>
      <w:r>
        <w:rPr>
          <w:sz w:val="15"/>
        </w:rPr>
        <w:t>por</w:t>
      </w:r>
      <w:r>
        <w:rPr>
          <w:spacing w:val="33"/>
          <w:sz w:val="15"/>
        </w:rPr>
        <w:t> </w:t>
      </w:r>
      <w:r>
        <w:rPr>
          <w:sz w:val="15"/>
        </w:rPr>
        <w:t>boletos</w:t>
      </w:r>
      <w:r>
        <w:rPr>
          <w:spacing w:val="37"/>
          <w:sz w:val="15"/>
        </w:rPr>
        <w:t> </w:t>
      </w:r>
      <w:r>
        <w:rPr>
          <w:sz w:val="15"/>
        </w:rPr>
        <w:t>de</w:t>
      </w:r>
    </w:p>
    <w:p>
      <w:pPr>
        <w:spacing w:after="0" w:line="247" w:lineRule="auto"/>
        <w:jc w:val="both"/>
        <w:rPr>
          <w:sz w:val="15"/>
        </w:rPr>
        <w:sectPr>
          <w:type w:val="continuous"/>
          <w:pgSz w:w="23250" w:h="15310" w:orient="landscape"/>
          <w:pgMar w:top="0" w:bottom="0" w:left="1880" w:right="1520"/>
          <w:cols w:num="2" w:equalWidth="0">
            <w:col w:w="7752" w:space="3869"/>
            <w:col w:w="8229"/>
          </w:cols>
        </w:sectPr>
      </w:pPr>
    </w:p>
    <w:p>
      <w:pPr>
        <w:pStyle w:val="BodyText"/>
        <w:rPr>
          <w:sz w:val="20"/>
        </w:rPr>
      </w:pPr>
    </w:p>
    <w:p>
      <w:pPr>
        <w:pStyle w:val="BodyText"/>
        <w:spacing w:before="7"/>
        <w:rPr>
          <w:sz w:val="29"/>
        </w:rPr>
      </w:pPr>
    </w:p>
    <w:p>
      <w:pPr>
        <w:spacing w:after="0"/>
        <w:rPr>
          <w:sz w:val="29"/>
        </w:rPr>
        <w:sectPr>
          <w:headerReference w:type="default" r:id="rId59"/>
          <w:pgSz w:w="23250" w:h="15310" w:orient="landscape"/>
          <w:pgMar w:header="881" w:footer="499" w:top="1920" w:bottom="680" w:left="1880" w:right="1520"/>
        </w:sectPr>
      </w:pPr>
    </w:p>
    <w:p>
      <w:pPr>
        <w:pStyle w:val="BodyText"/>
        <w:tabs>
          <w:tab w:pos="5219" w:val="left" w:leader="none"/>
        </w:tabs>
        <w:spacing w:before="99"/>
        <w:ind w:left="191"/>
      </w:pPr>
      <w:r>
        <w:rPr/>
        <w:t>entrada,</w:t>
      </w:r>
      <w:r>
        <w:rPr>
          <w:spacing w:val="6"/>
        </w:rPr>
        <w:t> </w:t>
      </w:r>
      <w:r>
        <w:rPr/>
        <w:t>el:</w:t>
        <w:tab/>
        <w:t>7.70%;</w:t>
      </w:r>
    </w:p>
    <w:p>
      <w:pPr>
        <w:pStyle w:val="BodyText"/>
        <w:spacing w:before="9"/>
      </w:pPr>
    </w:p>
    <w:p>
      <w:pPr>
        <w:pStyle w:val="ListParagraph"/>
        <w:numPr>
          <w:ilvl w:val="0"/>
          <w:numId w:val="10"/>
        </w:numPr>
        <w:tabs>
          <w:tab w:pos="531" w:val="left" w:leader="none"/>
        </w:tabs>
        <w:spacing w:line="240" w:lineRule="auto" w:before="0" w:after="0"/>
        <w:ind w:left="530" w:right="0" w:hanging="340"/>
        <w:jc w:val="left"/>
        <w:rPr>
          <w:sz w:val="15"/>
        </w:rPr>
      </w:pPr>
      <w:r>
        <w:rPr>
          <w:sz w:val="15"/>
        </w:rPr>
        <w:t>Espectáculos teatrales, comedia, conferencias,</w:t>
      </w:r>
      <w:r>
        <w:rPr>
          <w:spacing w:val="18"/>
          <w:sz w:val="15"/>
        </w:rPr>
        <w:t> </w:t>
      </w:r>
      <w:r>
        <w:rPr>
          <w:sz w:val="15"/>
        </w:rPr>
        <w:t>eventos,</w:t>
      </w:r>
    </w:p>
    <w:p>
      <w:pPr>
        <w:pStyle w:val="BodyText"/>
        <w:tabs>
          <w:tab w:pos="5219" w:val="left" w:leader="none"/>
        </w:tabs>
        <w:spacing w:before="4"/>
        <w:ind w:left="191"/>
      </w:pPr>
      <w:r>
        <w:rPr/>
        <w:t>culturales, recitales, pasarela, ballet y </w:t>
      </w:r>
      <w:r>
        <w:rPr>
          <w:spacing w:val="2"/>
        </w:rPr>
        <w:t> </w:t>
      </w:r>
      <w:r>
        <w:rPr/>
        <w:t>ópera,</w:t>
      </w:r>
      <w:r>
        <w:rPr>
          <w:spacing w:val="9"/>
        </w:rPr>
        <w:t> </w:t>
      </w:r>
      <w:r>
        <w:rPr/>
        <w:t>el:</w:t>
        <w:tab/>
        <w:t>3.40%;</w:t>
      </w:r>
    </w:p>
    <w:p>
      <w:pPr>
        <w:pStyle w:val="BodyText"/>
        <w:spacing w:before="9"/>
      </w:pPr>
    </w:p>
    <w:p>
      <w:pPr>
        <w:pStyle w:val="ListParagraph"/>
        <w:numPr>
          <w:ilvl w:val="0"/>
          <w:numId w:val="10"/>
        </w:numPr>
        <w:tabs>
          <w:tab w:pos="438" w:val="left" w:leader="none"/>
        </w:tabs>
        <w:spacing w:line="240" w:lineRule="auto" w:before="1" w:after="0"/>
        <w:ind w:left="437" w:right="0" w:hanging="247"/>
        <w:jc w:val="left"/>
        <w:rPr>
          <w:sz w:val="15"/>
        </w:rPr>
      </w:pPr>
      <w:r>
        <w:rPr>
          <w:sz w:val="15"/>
        </w:rPr>
        <w:t>Peleas</w:t>
      </w:r>
      <w:r>
        <w:rPr>
          <w:spacing w:val="32"/>
          <w:sz w:val="15"/>
        </w:rPr>
        <w:t> </w:t>
      </w:r>
      <w:r>
        <w:rPr>
          <w:sz w:val="15"/>
        </w:rPr>
        <w:t>de</w:t>
      </w:r>
      <w:r>
        <w:rPr>
          <w:spacing w:val="33"/>
          <w:sz w:val="15"/>
        </w:rPr>
        <w:t> </w:t>
      </w:r>
      <w:r>
        <w:rPr>
          <w:sz w:val="15"/>
        </w:rPr>
        <w:t>gallos,</w:t>
      </w:r>
      <w:r>
        <w:rPr>
          <w:spacing w:val="32"/>
          <w:sz w:val="15"/>
        </w:rPr>
        <w:t> </w:t>
      </w:r>
      <w:r>
        <w:rPr>
          <w:sz w:val="15"/>
        </w:rPr>
        <w:t>taurinos,</w:t>
      </w:r>
      <w:r>
        <w:rPr>
          <w:spacing w:val="33"/>
          <w:sz w:val="15"/>
        </w:rPr>
        <w:t> </w:t>
      </w:r>
      <w:r>
        <w:rPr>
          <w:sz w:val="15"/>
        </w:rPr>
        <w:t>palenques</w:t>
      </w:r>
      <w:r>
        <w:rPr>
          <w:spacing w:val="32"/>
          <w:sz w:val="15"/>
        </w:rPr>
        <w:t> </w:t>
      </w:r>
      <w:r>
        <w:rPr>
          <w:sz w:val="15"/>
        </w:rPr>
        <w:t>y</w:t>
      </w:r>
      <w:r>
        <w:rPr>
          <w:spacing w:val="32"/>
          <w:sz w:val="15"/>
        </w:rPr>
        <w:t> </w:t>
      </w:r>
      <w:r>
        <w:rPr>
          <w:sz w:val="15"/>
        </w:rPr>
        <w:t>espectáculos</w:t>
      </w:r>
      <w:r>
        <w:rPr>
          <w:spacing w:val="32"/>
          <w:sz w:val="15"/>
        </w:rPr>
        <w:t> </w:t>
      </w:r>
      <w:r>
        <w:rPr>
          <w:sz w:val="15"/>
        </w:rPr>
        <w:t>de</w:t>
      </w:r>
      <w:r>
        <w:rPr>
          <w:spacing w:val="33"/>
          <w:sz w:val="15"/>
        </w:rPr>
        <w:t> </w:t>
      </w:r>
      <w:r>
        <w:rPr>
          <w:sz w:val="15"/>
        </w:rPr>
        <w:t>baile</w:t>
      </w:r>
    </w:p>
    <w:p>
      <w:pPr>
        <w:pStyle w:val="BodyText"/>
        <w:tabs>
          <w:tab w:pos="5145" w:val="left" w:leader="none"/>
        </w:tabs>
        <w:spacing w:before="4"/>
        <w:ind w:left="191"/>
      </w:pPr>
      <w:r>
        <w:rPr/>
        <w:t>erótico,</w:t>
      </w:r>
      <w:r>
        <w:rPr>
          <w:spacing w:val="6"/>
        </w:rPr>
        <w:t> </w:t>
      </w:r>
      <w:r>
        <w:rPr/>
        <w:t>el:</w:t>
        <w:tab/>
        <w:t>11.50%;</w:t>
      </w:r>
    </w:p>
    <w:p>
      <w:pPr>
        <w:pStyle w:val="BodyText"/>
        <w:spacing w:before="10"/>
      </w:pPr>
    </w:p>
    <w:p>
      <w:pPr>
        <w:pStyle w:val="BodyText"/>
        <w:spacing w:line="247" w:lineRule="auto"/>
        <w:ind w:left="150" w:right="38" w:firstLine="397"/>
        <w:jc w:val="both"/>
      </w:pPr>
      <w:r>
        <w:rPr/>
        <w:t>No se consideran objeto de este impuesto los ingresos que obtengan la Federación, el Estado y los Municipios por la explotación de espectáculos públicos que directamente realicen. </w:t>
      </w:r>
      <w:r>
        <w:rPr>
          <w:spacing w:val="-3"/>
        </w:rPr>
        <w:t>Tampoco </w:t>
      </w:r>
      <w:r>
        <w:rPr/>
        <w:t>se  consideran objeto de este impuesto los ingresos que se perciban por el boleto de entrada en los eventos de exposición   para el fomento de actividades comerciales, industriales, agrícolas, ganaderas, de pesca y charrería, así como los ingresos que se obtengan por la celebración de eventos cuyos fondos se canalicen exclusivamente a instituciones</w:t>
      </w:r>
      <w:r>
        <w:rPr>
          <w:spacing w:val="8"/>
        </w:rPr>
        <w:t> </w:t>
      </w:r>
      <w:r>
        <w:rPr/>
        <w:t>asistenciales</w:t>
      </w:r>
      <w:r>
        <w:rPr>
          <w:spacing w:val="8"/>
        </w:rPr>
        <w:t> </w:t>
      </w:r>
      <w:r>
        <w:rPr/>
        <w:t>o</w:t>
      </w:r>
      <w:r>
        <w:rPr>
          <w:spacing w:val="8"/>
        </w:rPr>
        <w:t> </w:t>
      </w:r>
      <w:r>
        <w:rPr/>
        <w:t>de</w:t>
      </w:r>
      <w:r>
        <w:rPr>
          <w:spacing w:val="8"/>
        </w:rPr>
        <w:t> </w:t>
      </w:r>
      <w:r>
        <w:rPr/>
        <w:t>beneficencia</w:t>
      </w:r>
      <w:r>
        <w:rPr>
          <w:spacing w:val="8"/>
        </w:rPr>
        <w:t> </w:t>
      </w:r>
      <w:r>
        <w:rPr/>
        <w:t>o</w:t>
      </w:r>
      <w:r>
        <w:rPr>
          <w:spacing w:val="6"/>
        </w:rPr>
        <w:t> </w:t>
      </w:r>
      <w:r>
        <w:rPr/>
        <w:t>a</w:t>
      </w:r>
      <w:r>
        <w:rPr>
          <w:spacing w:val="9"/>
        </w:rPr>
        <w:t> </w:t>
      </w:r>
      <w:r>
        <w:rPr/>
        <w:t>la</w:t>
      </w:r>
      <w:r>
        <w:rPr>
          <w:spacing w:val="8"/>
        </w:rPr>
        <w:t> </w:t>
      </w:r>
      <w:r>
        <w:rPr/>
        <w:t>realización</w:t>
      </w:r>
      <w:r>
        <w:rPr>
          <w:spacing w:val="8"/>
        </w:rPr>
        <w:t> </w:t>
      </w:r>
      <w:r>
        <w:rPr/>
        <w:t>de</w:t>
      </w:r>
      <w:r>
        <w:rPr>
          <w:spacing w:val="8"/>
        </w:rPr>
        <w:t> </w:t>
      </w:r>
      <w:r>
        <w:rPr/>
        <w:t>una</w:t>
      </w:r>
      <w:r>
        <w:rPr>
          <w:spacing w:val="8"/>
        </w:rPr>
        <w:t> </w:t>
      </w:r>
      <w:r>
        <w:rPr/>
        <w:t>obra</w:t>
      </w:r>
      <w:r>
        <w:rPr>
          <w:spacing w:val="8"/>
        </w:rPr>
        <w:t> </w:t>
      </w:r>
      <w:r>
        <w:rPr/>
        <w:t>pública</w:t>
      </w:r>
      <w:r>
        <w:rPr>
          <w:spacing w:val="8"/>
        </w:rPr>
        <w:t> </w:t>
      </w:r>
      <w:r>
        <w:rPr/>
        <w:t>o</w:t>
      </w:r>
      <w:r>
        <w:rPr>
          <w:spacing w:val="7"/>
        </w:rPr>
        <w:t> </w:t>
      </w:r>
      <w:r>
        <w:rPr/>
        <w:t>de</w:t>
      </w:r>
      <w:r>
        <w:rPr>
          <w:spacing w:val="8"/>
        </w:rPr>
        <w:t> </w:t>
      </w:r>
      <w:r>
        <w:rPr/>
        <w:t>beneficio</w:t>
      </w:r>
      <w:r>
        <w:rPr>
          <w:spacing w:val="6"/>
        </w:rPr>
        <w:t> </w:t>
      </w:r>
      <w:r>
        <w:rPr/>
        <w:t>colectivo.</w:t>
      </w:r>
    </w:p>
    <w:p>
      <w:pPr>
        <w:pStyle w:val="BodyText"/>
      </w:pPr>
    </w:p>
    <w:p>
      <w:pPr>
        <w:pStyle w:val="BodyText"/>
        <w:spacing w:line="247" w:lineRule="auto"/>
        <w:ind w:left="150" w:right="38" w:firstLine="397"/>
        <w:jc w:val="both"/>
      </w:pPr>
      <w:r>
        <w:rPr/>
        <w:t>En caso de que un evento sea cancelado y se efectúe la devolución íntegra de las entradas no se    causará el impuesto, en caso contrario, el impuesto a pagar se calculará en base al importe de las entradas      no</w:t>
      </w:r>
      <w:r>
        <w:rPr>
          <w:spacing w:val="1"/>
        </w:rPr>
        <w:t> </w:t>
      </w:r>
      <w:r>
        <w:rPr/>
        <w:t>devueltas.</w:t>
      </w:r>
    </w:p>
    <w:p>
      <w:pPr>
        <w:pStyle w:val="BodyText"/>
        <w:spacing w:before="4"/>
      </w:pPr>
    </w:p>
    <w:p>
      <w:pPr>
        <w:pStyle w:val="Heading4"/>
        <w:ind w:left="293" w:right="185"/>
      </w:pPr>
      <w:r>
        <w:rPr/>
        <w:t>CAPITULO SEGUNDO</w:t>
      </w:r>
    </w:p>
    <w:p>
      <w:pPr>
        <w:spacing w:before="5"/>
        <w:ind w:left="296" w:right="185" w:firstLine="0"/>
        <w:jc w:val="center"/>
        <w:rPr>
          <w:b/>
          <w:sz w:val="15"/>
        </w:rPr>
      </w:pPr>
      <w:r>
        <w:rPr>
          <w:b/>
          <w:sz w:val="15"/>
        </w:rPr>
        <w:t>De los Impuestos sobre el Patrimonio</w:t>
      </w:r>
    </w:p>
    <w:p>
      <w:pPr>
        <w:pStyle w:val="BodyText"/>
        <w:spacing w:before="9"/>
        <w:rPr>
          <w:b/>
        </w:rPr>
      </w:pPr>
    </w:p>
    <w:p>
      <w:pPr>
        <w:spacing w:before="0"/>
        <w:ind w:left="293" w:right="185" w:firstLine="0"/>
        <w:jc w:val="center"/>
        <w:rPr>
          <w:b/>
          <w:sz w:val="15"/>
        </w:rPr>
      </w:pPr>
      <w:r>
        <w:rPr>
          <w:b/>
          <w:sz w:val="15"/>
        </w:rPr>
        <w:t>SECCIÓN PRIMERA</w:t>
      </w:r>
    </w:p>
    <w:p>
      <w:pPr>
        <w:spacing w:before="5"/>
        <w:ind w:left="296" w:right="185" w:firstLine="0"/>
        <w:jc w:val="center"/>
        <w:rPr>
          <w:b/>
          <w:sz w:val="15"/>
        </w:rPr>
      </w:pPr>
      <w:r>
        <w:rPr>
          <w:b/>
          <w:sz w:val="15"/>
        </w:rPr>
        <w:t>Del Impuesto Predial</w:t>
      </w:r>
    </w:p>
    <w:p>
      <w:pPr>
        <w:pStyle w:val="BodyText"/>
        <w:spacing w:before="7"/>
        <w:rPr>
          <w:b/>
        </w:rPr>
      </w:pPr>
    </w:p>
    <w:p>
      <w:pPr>
        <w:pStyle w:val="BodyText"/>
        <w:spacing w:line="247" w:lineRule="auto"/>
        <w:ind w:left="150" w:right="39" w:firstLine="298"/>
        <w:jc w:val="both"/>
      </w:pPr>
      <w:r>
        <w:rPr>
          <w:b/>
        </w:rPr>
        <w:t>Artículo 34.- </w:t>
      </w:r>
      <w:r>
        <w:rPr/>
        <w:t>Este impuesto se causará y pagará conforme a las bases y tasas a que se refieren las siguientes dos fracciones, las cuales son bimestrales y al millar:</w:t>
      </w:r>
    </w:p>
    <w:p>
      <w:pPr>
        <w:pStyle w:val="BodyText"/>
        <w:spacing w:before="4"/>
      </w:pPr>
    </w:p>
    <w:p>
      <w:pPr>
        <w:pStyle w:val="ListParagraph"/>
        <w:numPr>
          <w:ilvl w:val="1"/>
          <w:numId w:val="10"/>
        </w:numPr>
        <w:tabs>
          <w:tab w:pos="578" w:val="left" w:leader="none"/>
        </w:tabs>
        <w:spacing w:line="240" w:lineRule="auto" w:before="0" w:after="0"/>
        <w:ind w:left="577" w:right="0" w:hanging="129"/>
        <w:jc w:val="left"/>
        <w:rPr>
          <w:sz w:val="15"/>
        </w:rPr>
      </w:pPr>
      <w:r>
        <w:rPr>
          <w:sz w:val="15"/>
        </w:rPr>
        <w:t>Predios</w:t>
      </w:r>
      <w:r>
        <w:rPr>
          <w:spacing w:val="1"/>
          <w:sz w:val="15"/>
        </w:rPr>
        <w:t> </w:t>
      </w:r>
      <w:r>
        <w:rPr>
          <w:sz w:val="15"/>
        </w:rPr>
        <w:t>rústicos:</w:t>
      </w:r>
    </w:p>
    <w:p>
      <w:pPr>
        <w:pStyle w:val="BodyText"/>
        <w:spacing w:before="9"/>
      </w:pPr>
    </w:p>
    <w:p>
      <w:pPr>
        <w:pStyle w:val="ListParagraph"/>
        <w:numPr>
          <w:ilvl w:val="2"/>
          <w:numId w:val="10"/>
        </w:numPr>
        <w:tabs>
          <w:tab w:pos="1123" w:val="left" w:leader="none"/>
        </w:tabs>
        <w:spacing w:line="247" w:lineRule="auto" w:before="0" w:after="0"/>
        <w:ind w:left="587" w:right="2875" w:firstLine="298"/>
        <w:jc w:val="both"/>
        <w:rPr>
          <w:sz w:val="15"/>
        </w:rPr>
      </w:pPr>
      <w:r>
        <w:rPr>
          <w:sz w:val="15"/>
        </w:rPr>
        <w:t>Para predios cuyo valor real se determine en los términos de la Ley de Hacienda Municipal del Estado  de  Jalisco</w:t>
      </w:r>
      <w:r>
        <w:rPr>
          <w:spacing w:val="17"/>
          <w:sz w:val="15"/>
        </w:rPr>
        <w:t> </w:t>
      </w:r>
      <w:r>
        <w:rPr>
          <w:sz w:val="15"/>
        </w:rPr>
        <w:t>(del</w:t>
      </w:r>
      <w:r>
        <w:rPr>
          <w:spacing w:val="17"/>
          <w:sz w:val="15"/>
        </w:rPr>
        <w:t> </w:t>
      </w:r>
      <w:r>
        <w:rPr>
          <w:sz w:val="15"/>
        </w:rPr>
        <w:t>terreno</w:t>
      </w:r>
      <w:r>
        <w:rPr>
          <w:spacing w:val="17"/>
          <w:sz w:val="15"/>
        </w:rPr>
        <w:t> </w:t>
      </w:r>
      <w:r>
        <w:rPr>
          <w:sz w:val="15"/>
        </w:rPr>
        <w:t>y</w:t>
      </w:r>
      <w:r>
        <w:rPr>
          <w:spacing w:val="18"/>
          <w:sz w:val="15"/>
        </w:rPr>
        <w:t> </w:t>
      </w:r>
      <w:r>
        <w:rPr>
          <w:sz w:val="15"/>
        </w:rPr>
        <w:t>las</w:t>
      </w:r>
      <w:r>
        <w:rPr>
          <w:spacing w:val="18"/>
          <w:sz w:val="15"/>
        </w:rPr>
        <w:t> </w:t>
      </w:r>
      <w:r>
        <w:rPr>
          <w:sz w:val="15"/>
        </w:rPr>
        <w:t>construcciones</w:t>
      </w:r>
      <w:r>
        <w:rPr>
          <w:spacing w:val="17"/>
          <w:sz w:val="15"/>
        </w:rPr>
        <w:t> </w:t>
      </w:r>
      <w:r>
        <w:rPr>
          <w:sz w:val="15"/>
        </w:rPr>
        <w:t>en</w:t>
      </w:r>
      <w:r>
        <w:rPr>
          <w:spacing w:val="18"/>
          <w:sz w:val="15"/>
        </w:rPr>
        <w:t> </w:t>
      </w:r>
      <w:r>
        <w:rPr>
          <w:sz w:val="15"/>
        </w:rPr>
        <w:t>su</w:t>
      </w:r>
      <w:r>
        <w:rPr>
          <w:spacing w:val="16"/>
          <w:sz w:val="15"/>
        </w:rPr>
        <w:t> </w:t>
      </w:r>
      <w:r>
        <w:rPr>
          <w:sz w:val="15"/>
        </w:rPr>
        <w:t>caso),</w:t>
      </w:r>
      <w:r>
        <w:rPr>
          <w:spacing w:val="18"/>
          <w:sz w:val="15"/>
        </w:rPr>
        <w:t> </w:t>
      </w:r>
      <w:r>
        <w:rPr>
          <w:sz w:val="15"/>
        </w:rPr>
        <w:t>sobre</w:t>
      </w:r>
      <w:r>
        <w:rPr>
          <w:spacing w:val="16"/>
          <w:sz w:val="15"/>
        </w:rPr>
        <w:t> </w:t>
      </w:r>
      <w:r>
        <w:rPr>
          <w:sz w:val="15"/>
        </w:rPr>
        <w:t>el</w:t>
      </w:r>
    </w:p>
    <w:p>
      <w:pPr>
        <w:pStyle w:val="BodyText"/>
        <w:tabs>
          <w:tab w:pos="4953" w:val="left" w:leader="none"/>
        </w:tabs>
        <w:spacing w:line="171" w:lineRule="exact"/>
        <w:ind w:left="587"/>
        <w:jc w:val="both"/>
      </w:pPr>
      <w:r>
        <w:rPr/>
        <w:t>valor fiscal</w:t>
      </w:r>
      <w:r>
        <w:rPr>
          <w:spacing w:val="18"/>
        </w:rPr>
        <w:t> </w:t>
      </w:r>
      <w:r>
        <w:rPr/>
        <w:t>determinado,</w:t>
      </w:r>
      <w:r>
        <w:rPr>
          <w:spacing w:val="9"/>
        </w:rPr>
        <w:t> </w:t>
      </w:r>
      <w:r>
        <w:rPr/>
        <w:t>el:</w:t>
        <w:tab/>
        <w:t>0.23;</w:t>
      </w:r>
    </w:p>
    <w:p>
      <w:pPr>
        <w:pStyle w:val="BodyText"/>
        <w:spacing w:before="9"/>
      </w:pPr>
    </w:p>
    <w:p>
      <w:pPr>
        <w:pStyle w:val="ListParagraph"/>
        <w:numPr>
          <w:ilvl w:val="2"/>
          <w:numId w:val="10"/>
        </w:numPr>
        <w:tabs>
          <w:tab w:pos="632" w:val="left" w:leader="none"/>
        </w:tabs>
        <w:spacing w:line="244" w:lineRule="auto" w:before="0" w:after="0"/>
        <w:ind w:left="150" w:right="39" w:firstLine="298"/>
        <w:jc w:val="both"/>
        <w:rPr>
          <w:sz w:val="15"/>
        </w:rPr>
      </w:pPr>
      <w:r>
        <w:rPr>
          <w:sz w:val="15"/>
        </w:rPr>
        <w:t>Estos predios tendrán derecho a los siguientes beneficios fiscales, siempre que acrediten los requisitos que al efecto se</w:t>
      </w:r>
      <w:r>
        <w:rPr>
          <w:spacing w:val="5"/>
          <w:sz w:val="15"/>
        </w:rPr>
        <w:t> </w:t>
      </w:r>
      <w:r>
        <w:rPr>
          <w:sz w:val="15"/>
        </w:rPr>
        <w:t>establecen:</w:t>
      </w:r>
    </w:p>
    <w:p>
      <w:pPr>
        <w:pStyle w:val="BodyText"/>
        <w:spacing w:before="7"/>
      </w:pPr>
    </w:p>
    <w:p>
      <w:pPr>
        <w:pStyle w:val="ListParagraph"/>
        <w:numPr>
          <w:ilvl w:val="0"/>
          <w:numId w:val="11"/>
        </w:numPr>
        <w:tabs>
          <w:tab w:pos="649" w:val="left" w:leader="none"/>
        </w:tabs>
        <w:spacing w:line="247" w:lineRule="auto" w:before="0" w:after="0"/>
        <w:ind w:left="150" w:right="38" w:firstLine="298"/>
        <w:jc w:val="both"/>
        <w:rPr>
          <w:sz w:val="15"/>
        </w:rPr>
      </w:pPr>
      <w:r>
        <w:rPr>
          <w:sz w:val="15"/>
        </w:rPr>
        <w:t>Tratándose de predios rústicos según la definición de la Ley de Catastro Municipal  del  Estado</w:t>
      </w:r>
      <w:r>
        <w:rPr>
          <w:spacing w:val="4"/>
          <w:sz w:val="15"/>
        </w:rPr>
        <w:t> </w:t>
      </w:r>
      <w:r>
        <w:rPr>
          <w:sz w:val="15"/>
        </w:rPr>
        <w:t>de Jalisco, dedicados preponderantemente a fines agropecuarios en producción, previa  constancia  de  la  Dirección de Catastro Municipal designe y cuyo valor se determine, tendrán un beneficio de hasta el 90% en el pago</w:t>
      </w:r>
      <w:r>
        <w:rPr>
          <w:spacing w:val="4"/>
          <w:sz w:val="15"/>
        </w:rPr>
        <w:t> </w:t>
      </w:r>
      <w:r>
        <w:rPr>
          <w:sz w:val="15"/>
        </w:rPr>
        <w:t>del</w:t>
      </w:r>
      <w:r>
        <w:rPr>
          <w:spacing w:val="4"/>
          <w:sz w:val="15"/>
        </w:rPr>
        <w:t> </w:t>
      </w:r>
      <w:r>
        <w:rPr>
          <w:sz w:val="15"/>
        </w:rPr>
        <w:t>impuesto,</w:t>
      </w:r>
      <w:r>
        <w:rPr>
          <w:spacing w:val="5"/>
          <w:sz w:val="15"/>
        </w:rPr>
        <w:t> </w:t>
      </w:r>
      <w:r>
        <w:rPr>
          <w:sz w:val="15"/>
        </w:rPr>
        <w:t>siempre</w:t>
      </w:r>
      <w:r>
        <w:rPr>
          <w:spacing w:val="4"/>
          <w:sz w:val="15"/>
        </w:rPr>
        <w:t> </w:t>
      </w:r>
      <w:r>
        <w:rPr>
          <w:sz w:val="15"/>
        </w:rPr>
        <w:t>y</w:t>
      </w:r>
      <w:r>
        <w:rPr>
          <w:spacing w:val="4"/>
          <w:sz w:val="15"/>
        </w:rPr>
        <w:t> </w:t>
      </w:r>
      <w:r>
        <w:rPr>
          <w:sz w:val="15"/>
        </w:rPr>
        <w:t>cuando</w:t>
      </w:r>
      <w:r>
        <w:rPr>
          <w:spacing w:val="5"/>
          <w:sz w:val="15"/>
        </w:rPr>
        <w:t> </w:t>
      </w:r>
      <w:r>
        <w:rPr>
          <w:sz w:val="15"/>
        </w:rPr>
        <w:t>esté</w:t>
      </w:r>
      <w:r>
        <w:rPr>
          <w:spacing w:val="4"/>
          <w:sz w:val="15"/>
        </w:rPr>
        <w:t> </w:t>
      </w:r>
      <w:r>
        <w:rPr>
          <w:sz w:val="15"/>
        </w:rPr>
        <w:t>al</w:t>
      </w:r>
      <w:r>
        <w:rPr>
          <w:spacing w:val="4"/>
          <w:sz w:val="15"/>
        </w:rPr>
        <w:t> </w:t>
      </w:r>
      <w:r>
        <w:rPr>
          <w:sz w:val="15"/>
        </w:rPr>
        <w:t>corriente</w:t>
      </w:r>
      <w:r>
        <w:rPr>
          <w:spacing w:val="4"/>
          <w:sz w:val="15"/>
        </w:rPr>
        <w:t> </w:t>
      </w:r>
      <w:r>
        <w:rPr>
          <w:sz w:val="15"/>
        </w:rPr>
        <w:t>en</w:t>
      </w:r>
      <w:r>
        <w:rPr>
          <w:spacing w:val="4"/>
          <w:sz w:val="15"/>
        </w:rPr>
        <w:t> </w:t>
      </w:r>
      <w:r>
        <w:rPr>
          <w:sz w:val="15"/>
        </w:rPr>
        <w:t>el</w:t>
      </w:r>
      <w:r>
        <w:rPr>
          <w:spacing w:val="4"/>
          <w:sz w:val="15"/>
        </w:rPr>
        <w:t> </w:t>
      </w:r>
      <w:r>
        <w:rPr>
          <w:sz w:val="15"/>
        </w:rPr>
        <w:t>pago</w:t>
      </w:r>
      <w:r>
        <w:rPr>
          <w:spacing w:val="4"/>
          <w:sz w:val="15"/>
        </w:rPr>
        <w:t> </w:t>
      </w:r>
      <w:r>
        <w:rPr>
          <w:sz w:val="15"/>
        </w:rPr>
        <w:t>del</w:t>
      </w:r>
      <w:r>
        <w:rPr>
          <w:spacing w:val="5"/>
          <w:sz w:val="15"/>
        </w:rPr>
        <w:t> </w:t>
      </w:r>
      <w:r>
        <w:rPr>
          <w:sz w:val="15"/>
        </w:rPr>
        <w:t>impuesto</w:t>
      </w:r>
      <w:r>
        <w:rPr>
          <w:spacing w:val="4"/>
          <w:sz w:val="15"/>
        </w:rPr>
        <w:t> </w:t>
      </w:r>
      <w:r>
        <w:rPr>
          <w:sz w:val="15"/>
        </w:rPr>
        <w:t>del</w:t>
      </w:r>
      <w:r>
        <w:rPr>
          <w:spacing w:val="4"/>
          <w:sz w:val="15"/>
        </w:rPr>
        <w:t> </w:t>
      </w:r>
      <w:r>
        <w:rPr>
          <w:sz w:val="15"/>
        </w:rPr>
        <w:t>año</w:t>
      </w:r>
      <w:r>
        <w:rPr>
          <w:spacing w:val="5"/>
          <w:sz w:val="15"/>
        </w:rPr>
        <w:t> </w:t>
      </w:r>
      <w:r>
        <w:rPr>
          <w:sz w:val="15"/>
        </w:rPr>
        <w:t>anterior;</w:t>
      </w:r>
    </w:p>
    <w:p>
      <w:pPr>
        <w:pStyle w:val="BodyText"/>
        <w:spacing w:before="2"/>
      </w:pPr>
    </w:p>
    <w:p>
      <w:pPr>
        <w:pStyle w:val="ListParagraph"/>
        <w:numPr>
          <w:ilvl w:val="0"/>
          <w:numId w:val="11"/>
        </w:numPr>
        <w:tabs>
          <w:tab w:pos="662" w:val="left" w:leader="none"/>
        </w:tabs>
        <w:spacing w:line="247" w:lineRule="auto" w:before="0" w:after="0"/>
        <w:ind w:left="150" w:right="38" w:firstLine="298"/>
        <w:jc w:val="both"/>
        <w:rPr>
          <w:sz w:val="15"/>
        </w:rPr>
      </w:pPr>
      <w:r>
        <w:rPr>
          <w:sz w:val="15"/>
        </w:rPr>
        <w:t>Los predios rústicos de comunidades indígenas y ejidales, así como aquellos catalogados como  pequeña propiedad dedicados preponderantemente a fines agropecuarios en producción, previa constancia expedida por la Dirección de Catastro Municipal, tendrán un beneficio del 90%, siempre y cuando esté al corriente en el pago del impuesto predial del año</w:t>
      </w:r>
      <w:r>
        <w:rPr>
          <w:spacing w:val="14"/>
          <w:sz w:val="15"/>
        </w:rPr>
        <w:t> </w:t>
      </w:r>
      <w:r>
        <w:rPr>
          <w:sz w:val="15"/>
        </w:rPr>
        <w:t>anterior.</w:t>
      </w:r>
    </w:p>
    <w:p>
      <w:pPr>
        <w:pStyle w:val="BodyText"/>
        <w:spacing w:before="2"/>
      </w:pPr>
    </w:p>
    <w:p>
      <w:pPr>
        <w:pStyle w:val="BodyText"/>
        <w:spacing w:line="247" w:lineRule="auto"/>
        <w:ind w:left="150" w:right="40" w:firstLine="298"/>
        <w:jc w:val="both"/>
      </w:pPr>
      <w:r>
        <w:rPr/>
        <w:t>Para el caso de que los predios rústicos de comunidades indígenas y ejidales señalados en el párrafo anterior no se encuentren al corriente en el pago del citado impuesto y sus adeudos no sean mayores  a 5    años,</w:t>
      </w:r>
      <w:r>
        <w:rPr>
          <w:spacing w:val="8"/>
        </w:rPr>
        <w:t> </w:t>
      </w:r>
      <w:r>
        <w:rPr/>
        <w:t>el</w:t>
      </w:r>
      <w:r>
        <w:rPr>
          <w:spacing w:val="8"/>
        </w:rPr>
        <w:t> </w:t>
      </w:r>
      <w:r>
        <w:rPr/>
        <w:t>Tesorero</w:t>
      </w:r>
      <w:r>
        <w:rPr>
          <w:spacing w:val="8"/>
        </w:rPr>
        <w:t> </w:t>
      </w:r>
      <w:r>
        <w:rPr/>
        <w:t>Municipal,</w:t>
      </w:r>
      <w:r>
        <w:rPr>
          <w:spacing w:val="8"/>
        </w:rPr>
        <w:t> </w:t>
      </w:r>
      <w:r>
        <w:rPr/>
        <w:t>podrá</w:t>
      </w:r>
      <w:r>
        <w:rPr>
          <w:spacing w:val="8"/>
        </w:rPr>
        <w:t> </w:t>
      </w:r>
      <w:r>
        <w:rPr/>
        <w:t>aplicarles</w:t>
      </w:r>
      <w:r>
        <w:rPr>
          <w:spacing w:val="8"/>
        </w:rPr>
        <w:t> </w:t>
      </w:r>
      <w:r>
        <w:rPr/>
        <w:t>este</w:t>
      </w:r>
      <w:r>
        <w:rPr>
          <w:spacing w:val="8"/>
        </w:rPr>
        <w:t> </w:t>
      </w:r>
      <w:r>
        <w:rPr/>
        <w:t>beneficio</w:t>
      </w:r>
      <w:r>
        <w:rPr>
          <w:spacing w:val="7"/>
        </w:rPr>
        <w:t> </w:t>
      </w:r>
      <w:r>
        <w:rPr/>
        <w:t>al</w:t>
      </w:r>
      <w:r>
        <w:rPr>
          <w:spacing w:val="12"/>
        </w:rPr>
        <w:t> </w:t>
      </w:r>
      <w:r>
        <w:rPr/>
        <w:t>impuesto</w:t>
      </w:r>
      <w:r>
        <w:rPr>
          <w:spacing w:val="6"/>
        </w:rPr>
        <w:t> </w:t>
      </w:r>
      <w:r>
        <w:rPr/>
        <w:t>no</w:t>
      </w:r>
      <w:r>
        <w:rPr>
          <w:spacing w:val="9"/>
        </w:rPr>
        <w:t> </w:t>
      </w:r>
      <w:r>
        <w:rPr/>
        <w:t>pagado</w:t>
      </w:r>
      <w:r>
        <w:rPr>
          <w:spacing w:val="8"/>
        </w:rPr>
        <w:t> </w:t>
      </w:r>
      <w:r>
        <w:rPr/>
        <w:t>durante</w:t>
      </w:r>
      <w:r>
        <w:rPr>
          <w:spacing w:val="8"/>
        </w:rPr>
        <w:t> </w:t>
      </w:r>
      <w:r>
        <w:rPr/>
        <w:t>dicho</w:t>
      </w:r>
      <w:r>
        <w:rPr>
          <w:spacing w:val="7"/>
        </w:rPr>
        <w:t> </w:t>
      </w:r>
      <w:r>
        <w:rPr/>
        <w:t>periodo.</w:t>
      </w:r>
    </w:p>
    <w:p>
      <w:pPr>
        <w:pStyle w:val="BodyText"/>
        <w:spacing w:before="3"/>
      </w:pPr>
    </w:p>
    <w:p>
      <w:pPr>
        <w:pStyle w:val="ListParagraph"/>
        <w:numPr>
          <w:ilvl w:val="0"/>
          <w:numId w:val="11"/>
        </w:numPr>
        <w:tabs>
          <w:tab w:pos="631" w:val="left" w:leader="none"/>
        </w:tabs>
        <w:spacing w:line="247" w:lineRule="auto" w:before="0" w:after="0"/>
        <w:ind w:left="150" w:right="38" w:firstLine="298"/>
        <w:jc w:val="both"/>
        <w:rPr>
          <w:sz w:val="15"/>
        </w:rPr>
      </w:pPr>
      <w:r>
        <w:rPr>
          <w:sz w:val="15"/>
        </w:rPr>
        <w:t>En el caso de las comunidades indígenas y ejidales que dediquen sus predios preponderantemente a      la actividad agropecuaria, y que su actividad por las características de sus tierras no sean productivas </w:t>
      </w:r>
      <w:r>
        <w:rPr>
          <w:spacing w:val="-7"/>
          <w:sz w:val="15"/>
        </w:rPr>
        <w:t>y, </w:t>
      </w:r>
      <w:r>
        <w:rPr>
          <w:sz w:val="15"/>
        </w:rPr>
        <w:t>sus adeudos no sean mayores a 5 años; el Ayuntamiento por conducto del </w:t>
      </w:r>
      <w:r>
        <w:rPr>
          <w:spacing w:val="-3"/>
          <w:sz w:val="15"/>
        </w:rPr>
        <w:t>Tesorero </w:t>
      </w:r>
      <w:r>
        <w:rPr>
          <w:sz w:val="15"/>
        </w:rPr>
        <w:t>Municipal, podrán valorar su situación económica y otorgarles el beneficio establecido en el número</w:t>
      </w:r>
      <w:r>
        <w:rPr>
          <w:spacing w:val="29"/>
          <w:sz w:val="15"/>
        </w:rPr>
        <w:t> </w:t>
      </w:r>
      <w:r>
        <w:rPr>
          <w:sz w:val="15"/>
        </w:rPr>
        <w:t>anterior;</w:t>
      </w:r>
    </w:p>
    <w:p>
      <w:pPr>
        <w:pStyle w:val="BodyText"/>
        <w:spacing w:before="11"/>
        <w:rPr>
          <w:sz w:val="23"/>
        </w:rPr>
      </w:pPr>
      <w:r>
        <w:rPr/>
        <w:br w:type="column"/>
      </w:r>
      <w:r>
        <w:rPr>
          <w:sz w:val="23"/>
        </w:rPr>
      </w:r>
    </w:p>
    <w:p>
      <w:pPr>
        <w:pStyle w:val="ListParagraph"/>
        <w:numPr>
          <w:ilvl w:val="2"/>
          <w:numId w:val="10"/>
        </w:numPr>
        <w:tabs>
          <w:tab w:pos="864" w:val="left" w:leader="none"/>
        </w:tabs>
        <w:spacing w:line="240" w:lineRule="auto" w:before="0" w:after="0"/>
        <w:ind w:left="863" w:right="0" w:hanging="163"/>
        <w:jc w:val="left"/>
        <w:rPr>
          <w:sz w:val="15"/>
        </w:rPr>
      </w:pPr>
      <w:r>
        <w:rPr>
          <w:sz w:val="15"/>
        </w:rPr>
        <w:t>A la cantidad que resulte se le adicionará una cuota fija de $5.00 bimestrales;</w:t>
      </w:r>
      <w:r>
        <w:rPr>
          <w:spacing w:val="29"/>
          <w:sz w:val="15"/>
        </w:rPr>
        <w:t> </w:t>
      </w:r>
      <w:r>
        <w:rPr>
          <w:sz w:val="15"/>
        </w:rPr>
        <w:t>y</w:t>
      </w:r>
    </w:p>
    <w:p>
      <w:pPr>
        <w:pStyle w:val="BodyText"/>
        <w:spacing w:before="8"/>
      </w:pPr>
    </w:p>
    <w:p>
      <w:pPr>
        <w:pStyle w:val="ListParagraph"/>
        <w:numPr>
          <w:ilvl w:val="1"/>
          <w:numId w:val="10"/>
        </w:numPr>
        <w:tabs>
          <w:tab w:pos="873" w:val="left" w:leader="none"/>
        </w:tabs>
        <w:spacing w:line="240" w:lineRule="auto" w:before="1" w:after="0"/>
        <w:ind w:left="872" w:right="0" w:hanging="172"/>
        <w:jc w:val="left"/>
        <w:rPr>
          <w:sz w:val="15"/>
        </w:rPr>
      </w:pPr>
      <w:r>
        <w:rPr>
          <w:sz w:val="15"/>
        </w:rPr>
        <w:t>Predios</w:t>
      </w:r>
      <w:r>
        <w:rPr>
          <w:spacing w:val="1"/>
          <w:sz w:val="15"/>
        </w:rPr>
        <w:t> </w:t>
      </w:r>
      <w:r>
        <w:rPr>
          <w:sz w:val="15"/>
        </w:rPr>
        <w:t>urbanos:</w:t>
      </w:r>
    </w:p>
    <w:p>
      <w:pPr>
        <w:pStyle w:val="BodyText"/>
        <w:spacing w:before="9"/>
      </w:pPr>
    </w:p>
    <w:p>
      <w:pPr>
        <w:pStyle w:val="ListParagraph"/>
        <w:numPr>
          <w:ilvl w:val="2"/>
          <w:numId w:val="10"/>
        </w:numPr>
        <w:tabs>
          <w:tab w:pos="1331" w:val="left" w:leader="none"/>
          <w:tab w:pos="5206" w:val="left" w:leader="none"/>
        </w:tabs>
        <w:spacing w:line="247" w:lineRule="auto" w:before="0" w:after="0"/>
        <w:ind w:left="839" w:right="2923" w:firstLine="298"/>
        <w:jc w:val="left"/>
        <w:rPr>
          <w:sz w:val="15"/>
        </w:rPr>
      </w:pPr>
      <w:r>
        <w:rPr>
          <w:sz w:val="15"/>
        </w:rPr>
        <w:t>Predios edificados cuyo valor real se determine en  los términos  de  la  Ley  de  Hacienda  Municipal  del   Estado   de Jalisco, sobre el valor </w:t>
      </w:r>
      <w:r>
        <w:rPr>
          <w:spacing w:val="7"/>
          <w:sz w:val="15"/>
        </w:rPr>
        <w:t> </w:t>
      </w:r>
      <w:r>
        <w:rPr>
          <w:sz w:val="15"/>
        </w:rPr>
        <w:t>determinado,</w:t>
      </w:r>
      <w:r>
        <w:rPr>
          <w:spacing w:val="12"/>
          <w:sz w:val="15"/>
        </w:rPr>
        <w:t> </w:t>
      </w:r>
      <w:r>
        <w:rPr>
          <w:sz w:val="15"/>
        </w:rPr>
        <w:t>el:</w:t>
        <w:tab/>
      </w:r>
      <w:r>
        <w:rPr>
          <w:spacing w:val="-4"/>
          <w:sz w:val="15"/>
        </w:rPr>
        <w:t>0.23;</w:t>
      </w:r>
    </w:p>
    <w:p>
      <w:pPr>
        <w:pStyle w:val="BodyText"/>
        <w:spacing w:before="3"/>
      </w:pPr>
    </w:p>
    <w:p>
      <w:pPr>
        <w:pStyle w:val="ListParagraph"/>
        <w:numPr>
          <w:ilvl w:val="2"/>
          <w:numId w:val="10"/>
        </w:numPr>
        <w:tabs>
          <w:tab w:pos="1348" w:val="left" w:leader="none"/>
          <w:tab w:pos="5204" w:val="left" w:leader="none"/>
        </w:tabs>
        <w:spacing w:line="247" w:lineRule="auto" w:before="0" w:after="0"/>
        <w:ind w:left="839" w:right="2805" w:firstLine="298"/>
        <w:jc w:val="left"/>
        <w:rPr>
          <w:sz w:val="15"/>
        </w:rPr>
      </w:pPr>
      <w:r>
        <w:rPr>
          <w:sz w:val="15"/>
        </w:rPr>
        <w:t>Predios baldíos,  cuyo  valor  real  se  determine  en  los términos  de  la  Ley  de   Hacienda   Municipal   del   Estado   de Jalisco, sobre el valor </w:t>
      </w:r>
      <w:r>
        <w:rPr>
          <w:spacing w:val="7"/>
          <w:sz w:val="15"/>
        </w:rPr>
        <w:t> </w:t>
      </w:r>
      <w:r>
        <w:rPr>
          <w:sz w:val="15"/>
        </w:rPr>
        <w:t>determinado,</w:t>
      </w:r>
      <w:r>
        <w:rPr>
          <w:spacing w:val="12"/>
          <w:sz w:val="15"/>
        </w:rPr>
        <w:t> </w:t>
      </w:r>
      <w:r>
        <w:rPr>
          <w:sz w:val="15"/>
        </w:rPr>
        <w:t>el:</w:t>
        <w:tab/>
        <w:t>0.70;</w:t>
      </w:r>
      <w:r>
        <w:rPr>
          <w:spacing w:val="8"/>
          <w:sz w:val="15"/>
        </w:rPr>
        <w:t> </w:t>
      </w:r>
      <w:r>
        <w:rPr>
          <w:spacing w:val="-17"/>
          <w:sz w:val="15"/>
        </w:rPr>
        <w:t>y</w:t>
      </w:r>
    </w:p>
    <w:p>
      <w:pPr>
        <w:pStyle w:val="BodyText"/>
        <w:spacing w:before="3"/>
      </w:pPr>
    </w:p>
    <w:p>
      <w:pPr>
        <w:pStyle w:val="ListParagraph"/>
        <w:numPr>
          <w:ilvl w:val="2"/>
          <w:numId w:val="10"/>
        </w:numPr>
        <w:tabs>
          <w:tab w:pos="871" w:val="left" w:leader="none"/>
        </w:tabs>
        <w:spacing w:line="244" w:lineRule="auto" w:before="0" w:after="0"/>
        <w:ind w:left="402" w:right="511" w:firstLine="298"/>
        <w:jc w:val="both"/>
        <w:rPr>
          <w:sz w:val="15"/>
        </w:rPr>
      </w:pPr>
      <w:r>
        <w:rPr>
          <w:sz w:val="15"/>
        </w:rPr>
        <w:t>A las cantidades determinadas mediante la aplicación de las tasas señaladas en los incisos a) y b), de esta</w:t>
      </w:r>
      <w:r>
        <w:rPr>
          <w:spacing w:val="6"/>
          <w:sz w:val="15"/>
        </w:rPr>
        <w:t> </w:t>
      </w:r>
      <w:r>
        <w:rPr>
          <w:sz w:val="15"/>
        </w:rPr>
        <w:t>fracción,</w:t>
      </w:r>
      <w:r>
        <w:rPr>
          <w:spacing w:val="6"/>
          <w:sz w:val="15"/>
        </w:rPr>
        <w:t> </w:t>
      </w:r>
      <w:r>
        <w:rPr>
          <w:sz w:val="15"/>
        </w:rPr>
        <w:t>se</w:t>
      </w:r>
      <w:r>
        <w:rPr>
          <w:spacing w:val="6"/>
          <w:sz w:val="15"/>
        </w:rPr>
        <w:t> </w:t>
      </w:r>
      <w:r>
        <w:rPr>
          <w:sz w:val="15"/>
        </w:rPr>
        <w:t>les</w:t>
      </w:r>
      <w:r>
        <w:rPr>
          <w:spacing w:val="6"/>
          <w:sz w:val="15"/>
        </w:rPr>
        <w:t> </w:t>
      </w:r>
      <w:r>
        <w:rPr>
          <w:sz w:val="15"/>
        </w:rPr>
        <w:t>adicionará</w:t>
      </w:r>
      <w:r>
        <w:rPr>
          <w:spacing w:val="7"/>
          <w:sz w:val="15"/>
        </w:rPr>
        <w:t> </w:t>
      </w:r>
      <w:r>
        <w:rPr>
          <w:sz w:val="15"/>
        </w:rPr>
        <w:t>una</w:t>
      </w:r>
      <w:r>
        <w:rPr>
          <w:spacing w:val="5"/>
          <w:sz w:val="15"/>
        </w:rPr>
        <w:t> </w:t>
      </w:r>
      <w:r>
        <w:rPr>
          <w:sz w:val="15"/>
        </w:rPr>
        <w:t>cuota</w:t>
      </w:r>
      <w:r>
        <w:rPr>
          <w:spacing w:val="6"/>
          <w:sz w:val="15"/>
        </w:rPr>
        <w:t> </w:t>
      </w:r>
      <w:r>
        <w:rPr>
          <w:sz w:val="15"/>
        </w:rPr>
        <w:t>fija</w:t>
      </w:r>
      <w:r>
        <w:rPr>
          <w:spacing w:val="6"/>
          <w:sz w:val="15"/>
        </w:rPr>
        <w:t> </w:t>
      </w:r>
      <w:r>
        <w:rPr>
          <w:sz w:val="15"/>
        </w:rPr>
        <w:t>de</w:t>
      </w:r>
      <w:r>
        <w:rPr>
          <w:spacing w:val="5"/>
          <w:sz w:val="15"/>
        </w:rPr>
        <w:t> </w:t>
      </w:r>
      <w:r>
        <w:rPr>
          <w:sz w:val="15"/>
        </w:rPr>
        <w:t>$4.00</w:t>
      </w:r>
      <w:r>
        <w:rPr>
          <w:spacing w:val="7"/>
          <w:sz w:val="15"/>
        </w:rPr>
        <w:t> </w:t>
      </w:r>
      <w:r>
        <w:rPr>
          <w:sz w:val="15"/>
        </w:rPr>
        <w:t>bimestrales</w:t>
      </w:r>
      <w:r>
        <w:rPr>
          <w:spacing w:val="6"/>
          <w:sz w:val="15"/>
        </w:rPr>
        <w:t> </w:t>
      </w:r>
      <w:r>
        <w:rPr>
          <w:sz w:val="15"/>
        </w:rPr>
        <w:t>y</w:t>
      </w:r>
      <w:r>
        <w:rPr>
          <w:spacing w:val="6"/>
          <w:sz w:val="15"/>
        </w:rPr>
        <w:t> </w:t>
      </w:r>
      <w:r>
        <w:rPr>
          <w:sz w:val="15"/>
        </w:rPr>
        <w:t>el</w:t>
      </w:r>
      <w:r>
        <w:rPr>
          <w:spacing w:val="6"/>
          <w:sz w:val="15"/>
        </w:rPr>
        <w:t> </w:t>
      </w:r>
      <w:r>
        <w:rPr>
          <w:sz w:val="15"/>
        </w:rPr>
        <w:t>resultado</w:t>
      </w:r>
      <w:r>
        <w:rPr>
          <w:spacing w:val="6"/>
          <w:sz w:val="15"/>
        </w:rPr>
        <w:t> </w:t>
      </w:r>
      <w:r>
        <w:rPr>
          <w:sz w:val="15"/>
        </w:rPr>
        <w:t>será</w:t>
      </w:r>
      <w:r>
        <w:rPr>
          <w:spacing w:val="7"/>
          <w:sz w:val="15"/>
        </w:rPr>
        <w:t> </w:t>
      </w:r>
      <w:r>
        <w:rPr>
          <w:sz w:val="15"/>
        </w:rPr>
        <w:t>el</w:t>
      </w:r>
      <w:r>
        <w:rPr>
          <w:spacing w:val="6"/>
          <w:sz w:val="15"/>
        </w:rPr>
        <w:t> </w:t>
      </w:r>
      <w:r>
        <w:rPr>
          <w:sz w:val="15"/>
        </w:rPr>
        <w:t>impuesto</w:t>
      </w:r>
      <w:r>
        <w:rPr>
          <w:spacing w:val="6"/>
          <w:sz w:val="15"/>
        </w:rPr>
        <w:t> </w:t>
      </w:r>
      <w:r>
        <w:rPr>
          <w:sz w:val="15"/>
        </w:rPr>
        <w:t>a</w:t>
      </w:r>
      <w:r>
        <w:rPr>
          <w:spacing w:val="6"/>
          <w:sz w:val="15"/>
        </w:rPr>
        <w:t> </w:t>
      </w:r>
      <w:r>
        <w:rPr>
          <w:sz w:val="15"/>
        </w:rPr>
        <w:t>pagar.</w:t>
      </w:r>
    </w:p>
    <w:p>
      <w:pPr>
        <w:pStyle w:val="BodyText"/>
        <w:spacing w:before="6"/>
      </w:pPr>
    </w:p>
    <w:p>
      <w:pPr>
        <w:pStyle w:val="BodyText"/>
        <w:spacing w:line="247" w:lineRule="auto" w:before="1"/>
        <w:ind w:left="402" w:right="510" w:firstLine="397"/>
        <w:jc w:val="both"/>
      </w:pPr>
      <w:r>
        <w:rPr>
          <w:b/>
        </w:rPr>
        <w:t>Artículo 35.- </w:t>
      </w:r>
      <w:r>
        <w:rPr/>
        <w:t>A los sujetos de este impuesto en términos del artículo 93 de la Ley de Hacienda Municipal del Estado de Jalisco, que se encuentren comprendidos en las fracciones siguientes, se les otorgará con   efectos a partir del bimestre en que sean entregados los documentos completos que acrediten el derecho, los beneficios</w:t>
      </w:r>
      <w:r>
        <w:rPr>
          <w:spacing w:val="1"/>
        </w:rPr>
        <w:t> </w:t>
      </w:r>
      <w:r>
        <w:rPr/>
        <w:t>fiscales:</w:t>
      </w:r>
    </w:p>
    <w:p>
      <w:pPr>
        <w:pStyle w:val="BodyText"/>
        <w:spacing w:before="2"/>
      </w:pPr>
    </w:p>
    <w:p>
      <w:pPr>
        <w:pStyle w:val="ListParagraph"/>
        <w:numPr>
          <w:ilvl w:val="3"/>
          <w:numId w:val="10"/>
        </w:numPr>
        <w:tabs>
          <w:tab w:pos="960" w:val="left" w:leader="none"/>
        </w:tabs>
        <w:spacing w:line="247" w:lineRule="auto" w:before="0" w:after="0"/>
        <w:ind w:left="402" w:right="511" w:firstLine="397"/>
        <w:jc w:val="both"/>
        <w:rPr>
          <w:sz w:val="15"/>
        </w:rPr>
      </w:pPr>
      <w:r>
        <w:rPr>
          <w:sz w:val="15"/>
        </w:rPr>
        <w:t>A las instituciones privadas de asistencia o de beneficencia social constituidas y autorizadas de conformidad con las leyes de la materia, así como las sociedades o asociaciones civiles que tengan como actividades las que se señalan en los siguientes incisos se les otorgará un beneficio del 50% en el pago del impuesto predial, respecto a los predios de los que sean</w:t>
      </w:r>
      <w:r>
        <w:rPr>
          <w:spacing w:val="22"/>
          <w:sz w:val="15"/>
        </w:rPr>
        <w:t> </w:t>
      </w:r>
      <w:r>
        <w:rPr>
          <w:sz w:val="15"/>
        </w:rPr>
        <w:t>propietarios:</w:t>
      </w:r>
    </w:p>
    <w:p>
      <w:pPr>
        <w:pStyle w:val="BodyText"/>
        <w:spacing w:before="2"/>
      </w:pPr>
    </w:p>
    <w:p>
      <w:pPr>
        <w:pStyle w:val="ListParagraph"/>
        <w:numPr>
          <w:ilvl w:val="0"/>
          <w:numId w:val="12"/>
        </w:numPr>
        <w:tabs>
          <w:tab w:pos="998" w:val="left" w:leader="none"/>
          <w:tab w:pos="999" w:val="left" w:leader="none"/>
        </w:tabs>
        <w:spacing w:line="247" w:lineRule="auto" w:before="0" w:after="0"/>
        <w:ind w:left="402" w:right="509" w:hanging="252"/>
        <w:jc w:val="both"/>
        <w:rPr>
          <w:sz w:val="15"/>
        </w:rPr>
      </w:pPr>
      <w:r>
        <w:rPr/>
        <w:tab/>
      </w:r>
      <w:r>
        <w:rPr>
          <w:sz w:val="15"/>
        </w:rPr>
        <w:t>La atención a personas que, por sus carencias socioeconómicas o por problemas de discapacidad,      se vean impedidas para satisfacer sus requerimientos básicos de subsistencia y desarrollo;</w:t>
      </w:r>
    </w:p>
    <w:p>
      <w:pPr>
        <w:pStyle w:val="BodyText"/>
        <w:spacing w:before="4"/>
      </w:pPr>
    </w:p>
    <w:p>
      <w:pPr>
        <w:pStyle w:val="ListParagraph"/>
        <w:numPr>
          <w:ilvl w:val="0"/>
          <w:numId w:val="12"/>
        </w:numPr>
        <w:tabs>
          <w:tab w:pos="998" w:val="left" w:leader="none"/>
          <w:tab w:pos="999" w:val="left" w:leader="none"/>
        </w:tabs>
        <w:spacing w:line="244" w:lineRule="auto" w:before="0" w:after="0"/>
        <w:ind w:left="402" w:right="509" w:hanging="252"/>
        <w:jc w:val="both"/>
        <w:rPr>
          <w:sz w:val="15"/>
        </w:rPr>
      </w:pPr>
      <w:r>
        <w:rPr/>
        <w:tab/>
      </w:r>
      <w:r>
        <w:rPr>
          <w:sz w:val="15"/>
        </w:rPr>
        <w:t>La atención en establecimientos especializados a menores y adultos mayores de 60 años en estado    de</w:t>
      </w:r>
      <w:r>
        <w:rPr>
          <w:spacing w:val="5"/>
          <w:sz w:val="15"/>
        </w:rPr>
        <w:t> </w:t>
      </w:r>
      <w:r>
        <w:rPr>
          <w:sz w:val="15"/>
        </w:rPr>
        <w:t>abandono</w:t>
      </w:r>
      <w:r>
        <w:rPr>
          <w:spacing w:val="6"/>
          <w:sz w:val="15"/>
        </w:rPr>
        <w:t> </w:t>
      </w:r>
      <w:r>
        <w:rPr>
          <w:sz w:val="15"/>
        </w:rPr>
        <w:t>o</w:t>
      </w:r>
      <w:r>
        <w:rPr>
          <w:spacing w:val="5"/>
          <w:sz w:val="15"/>
        </w:rPr>
        <w:t> </w:t>
      </w:r>
      <w:r>
        <w:rPr>
          <w:sz w:val="15"/>
        </w:rPr>
        <w:t>desamparo,</w:t>
      </w:r>
      <w:r>
        <w:rPr>
          <w:spacing w:val="6"/>
          <w:sz w:val="15"/>
        </w:rPr>
        <w:t> </w:t>
      </w:r>
      <w:r>
        <w:rPr>
          <w:sz w:val="15"/>
        </w:rPr>
        <w:t>inválidos</w:t>
      </w:r>
      <w:r>
        <w:rPr>
          <w:spacing w:val="5"/>
          <w:sz w:val="15"/>
        </w:rPr>
        <w:t> </w:t>
      </w:r>
      <w:r>
        <w:rPr>
          <w:sz w:val="15"/>
        </w:rPr>
        <w:t>y</w:t>
      </w:r>
      <w:r>
        <w:rPr>
          <w:spacing w:val="6"/>
          <w:sz w:val="15"/>
        </w:rPr>
        <w:t> </w:t>
      </w:r>
      <w:r>
        <w:rPr>
          <w:sz w:val="15"/>
        </w:rPr>
        <w:t>personas</w:t>
      </w:r>
      <w:r>
        <w:rPr>
          <w:spacing w:val="5"/>
          <w:sz w:val="15"/>
        </w:rPr>
        <w:t> </w:t>
      </w:r>
      <w:r>
        <w:rPr>
          <w:sz w:val="15"/>
        </w:rPr>
        <w:t>con</w:t>
      </w:r>
      <w:r>
        <w:rPr>
          <w:spacing w:val="6"/>
          <w:sz w:val="15"/>
        </w:rPr>
        <w:t> </w:t>
      </w:r>
      <w:r>
        <w:rPr>
          <w:sz w:val="15"/>
        </w:rPr>
        <w:t>capacidades</w:t>
      </w:r>
      <w:r>
        <w:rPr>
          <w:spacing w:val="6"/>
          <w:sz w:val="15"/>
        </w:rPr>
        <w:t> </w:t>
      </w:r>
      <w:r>
        <w:rPr>
          <w:sz w:val="15"/>
        </w:rPr>
        <w:t>diferentes</w:t>
      </w:r>
      <w:r>
        <w:rPr>
          <w:spacing w:val="5"/>
          <w:sz w:val="15"/>
        </w:rPr>
        <w:t> </w:t>
      </w:r>
      <w:r>
        <w:rPr>
          <w:sz w:val="15"/>
        </w:rPr>
        <w:t>de</w:t>
      </w:r>
      <w:r>
        <w:rPr>
          <w:spacing w:val="6"/>
          <w:sz w:val="15"/>
        </w:rPr>
        <w:t> </w:t>
      </w:r>
      <w:r>
        <w:rPr>
          <w:sz w:val="15"/>
        </w:rPr>
        <w:t>escasos</w:t>
      </w:r>
      <w:r>
        <w:rPr>
          <w:spacing w:val="5"/>
          <w:sz w:val="15"/>
        </w:rPr>
        <w:t> </w:t>
      </w:r>
      <w:r>
        <w:rPr>
          <w:sz w:val="15"/>
        </w:rPr>
        <w:t>recursos;</w:t>
      </w:r>
    </w:p>
    <w:p>
      <w:pPr>
        <w:pStyle w:val="BodyText"/>
        <w:spacing w:before="6"/>
      </w:pPr>
    </w:p>
    <w:p>
      <w:pPr>
        <w:pStyle w:val="ListParagraph"/>
        <w:numPr>
          <w:ilvl w:val="0"/>
          <w:numId w:val="12"/>
        </w:numPr>
        <w:tabs>
          <w:tab w:pos="998" w:val="left" w:leader="none"/>
          <w:tab w:pos="999" w:val="left" w:leader="none"/>
        </w:tabs>
        <w:spacing w:line="247" w:lineRule="auto" w:before="0" w:after="0"/>
        <w:ind w:left="402" w:right="510" w:hanging="252"/>
        <w:jc w:val="both"/>
        <w:rPr>
          <w:sz w:val="15"/>
        </w:rPr>
      </w:pPr>
      <w:r>
        <w:rPr/>
        <w:tab/>
      </w:r>
      <w:r>
        <w:rPr>
          <w:sz w:val="15"/>
        </w:rPr>
        <w:t>La prestación de asistencia médica o jurídica, de orientación social, de  servicios  funerarios  a  personas de escasos recursos, especialmente a menores, adultos mayores de 60 años y con capacidades diferentes.</w:t>
      </w:r>
    </w:p>
    <w:p>
      <w:pPr>
        <w:pStyle w:val="BodyText"/>
        <w:spacing w:before="3"/>
      </w:pPr>
    </w:p>
    <w:p>
      <w:pPr>
        <w:pStyle w:val="ListParagraph"/>
        <w:numPr>
          <w:ilvl w:val="0"/>
          <w:numId w:val="12"/>
        </w:numPr>
        <w:tabs>
          <w:tab w:pos="998" w:val="left" w:leader="none"/>
          <w:tab w:pos="999" w:val="left" w:leader="none"/>
        </w:tabs>
        <w:spacing w:line="240" w:lineRule="auto" w:before="0" w:after="0"/>
        <w:ind w:left="998" w:right="0" w:hanging="849"/>
        <w:jc w:val="left"/>
        <w:rPr>
          <w:sz w:val="15"/>
        </w:rPr>
      </w:pPr>
      <w:r>
        <w:rPr>
          <w:sz w:val="15"/>
        </w:rPr>
        <w:t>La readaptación social de personas que han llevado a cabo conductas</w:t>
      </w:r>
      <w:r>
        <w:rPr>
          <w:spacing w:val="28"/>
          <w:sz w:val="15"/>
        </w:rPr>
        <w:t> </w:t>
      </w:r>
      <w:r>
        <w:rPr>
          <w:sz w:val="15"/>
        </w:rPr>
        <w:t>ilícitas;</w:t>
      </w:r>
    </w:p>
    <w:p>
      <w:pPr>
        <w:pStyle w:val="BodyText"/>
        <w:spacing w:before="9"/>
      </w:pPr>
    </w:p>
    <w:p>
      <w:pPr>
        <w:pStyle w:val="ListParagraph"/>
        <w:numPr>
          <w:ilvl w:val="0"/>
          <w:numId w:val="12"/>
        </w:numPr>
        <w:tabs>
          <w:tab w:pos="998" w:val="left" w:leader="none"/>
          <w:tab w:pos="999" w:val="left" w:leader="none"/>
        </w:tabs>
        <w:spacing w:line="240" w:lineRule="auto" w:before="0" w:after="0"/>
        <w:ind w:left="998" w:right="0" w:hanging="849"/>
        <w:jc w:val="left"/>
        <w:rPr>
          <w:sz w:val="15"/>
        </w:rPr>
      </w:pPr>
      <w:r>
        <w:rPr>
          <w:sz w:val="15"/>
        </w:rPr>
        <w:t>La rehabilitación de farmacodependientes de escasos</w:t>
      </w:r>
      <w:r>
        <w:rPr>
          <w:spacing w:val="13"/>
          <w:sz w:val="15"/>
        </w:rPr>
        <w:t> </w:t>
      </w:r>
      <w:r>
        <w:rPr>
          <w:sz w:val="15"/>
        </w:rPr>
        <w:t>recursos;</w:t>
      </w:r>
    </w:p>
    <w:p>
      <w:pPr>
        <w:pStyle w:val="BodyText"/>
        <w:spacing w:before="10"/>
      </w:pPr>
    </w:p>
    <w:p>
      <w:pPr>
        <w:pStyle w:val="ListParagraph"/>
        <w:numPr>
          <w:ilvl w:val="0"/>
          <w:numId w:val="12"/>
        </w:numPr>
        <w:tabs>
          <w:tab w:pos="998" w:val="left" w:leader="none"/>
          <w:tab w:pos="999" w:val="left" w:leader="none"/>
        </w:tabs>
        <w:spacing w:line="244" w:lineRule="auto" w:before="0" w:after="0"/>
        <w:ind w:left="403" w:right="509" w:hanging="253"/>
        <w:jc w:val="both"/>
        <w:rPr>
          <w:sz w:val="15"/>
        </w:rPr>
      </w:pPr>
      <w:r>
        <w:rPr/>
        <w:tab/>
      </w:r>
      <w:r>
        <w:rPr>
          <w:sz w:val="15"/>
        </w:rPr>
        <w:t>Sociedades o asociaciones de carácter civil que se dediquen a la  enseñanza  gratuita,  con  autorización</w:t>
      </w:r>
      <w:r>
        <w:rPr>
          <w:spacing w:val="7"/>
          <w:sz w:val="15"/>
        </w:rPr>
        <w:t> </w:t>
      </w:r>
      <w:r>
        <w:rPr>
          <w:sz w:val="15"/>
        </w:rPr>
        <w:t>o</w:t>
      </w:r>
      <w:r>
        <w:rPr>
          <w:spacing w:val="9"/>
          <w:sz w:val="15"/>
        </w:rPr>
        <w:t> </w:t>
      </w:r>
      <w:r>
        <w:rPr>
          <w:sz w:val="15"/>
        </w:rPr>
        <w:t>reconocimiento</w:t>
      </w:r>
      <w:r>
        <w:rPr>
          <w:spacing w:val="9"/>
          <w:sz w:val="15"/>
        </w:rPr>
        <w:t> </w:t>
      </w:r>
      <w:r>
        <w:rPr>
          <w:sz w:val="15"/>
        </w:rPr>
        <w:t>de</w:t>
      </w:r>
      <w:r>
        <w:rPr>
          <w:spacing w:val="9"/>
          <w:sz w:val="15"/>
        </w:rPr>
        <w:t> </w:t>
      </w:r>
      <w:r>
        <w:rPr>
          <w:sz w:val="15"/>
        </w:rPr>
        <w:t>validez</w:t>
      </w:r>
      <w:r>
        <w:rPr>
          <w:spacing w:val="9"/>
          <w:sz w:val="15"/>
        </w:rPr>
        <w:t> </w:t>
      </w:r>
      <w:r>
        <w:rPr>
          <w:sz w:val="15"/>
        </w:rPr>
        <w:t>oficial</w:t>
      </w:r>
      <w:r>
        <w:rPr>
          <w:spacing w:val="9"/>
          <w:sz w:val="15"/>
        </w:rPr>
        <w:t> </w:t>
      </w:r>
      <w:r>
        <w:rPr>
          <w:sz w:val="15"/>
        </w:rPr>
        <w:t>de</w:t>
      </w:r>
      <w:r>
        <w:rPr>
          <w:spacing w:val="10"/>
          <w:sz w:val="15"/>
        </w:rPr>
        <w:t> </w:t>
      </w:r>
      <w:r>
        <w:rPr>
          <w:sz w:val="15"/>
        </w:rPr>
        <w:t>estudios</w:t>
      </w:r>
      <w:r>
        <w:rPr>
          <w:spacing w:val="9"/>
          <w:sz w:val="15"/>
        </w:rPr>
        <w:t> </w:t>
      </w:r>
      <w:r>
        <w:rPr>
          <w:sz w:val="15"/>
        </w:rPr>
        <w:t>en</w:t>
      </w:r>
      <w:r>
        <w:rPr>
          <w:spacing w:val="10"/>
          <w:sz w:val="15"/>
        </w:rPr>
        <w:t> </w:t>
      </w:r>
      <w:r>
        <w:rPr>
          <w:sz w:val="15"/>
        </w:rPr>
        <w:t>los</w:t>
      </w:r>
      <w:r>
        <w:rPr>
          <w:spacing w:val="9"/>
          <w:sz w:val="15"/>
        </w:rPr>
        <w:t> </w:t>
      </w:r>
      <w:r>
        <w:rPr>
          <w:sz w:val="15"/>
        </w:rPr>
        <w:t>términos</w:t>
      </w:r>
      <w:r>
        <w:rPr>
          <w:spacing w:val="9"/>
          <w:sz w:val="15"/>
        </w:rPr>
        <w:t> </w:t>
      </w:r>
      <w:r>
        <w:rPr>
          <w:sz w:val="15"/>
        </w:rPr>
        <w:t>de</w:t>
      </w:r>
      <w:r>
        <w:rPr>
          <w:spacing w:val="9"/>
          <w:sz w:val="15"/>
        </w:rPr>
        <w:t> </w:t>
      </w:r>
      <w:r>
        <w:rPr>
          <w:sz w:val="15"/>
        </w:rPr>
        <w:t>la</w:t>
      </w:r>
      <w:r>
        <w:rPr>
          <w:spacing w:val="9"/>
          <w:sz w:val="15"/>
        </w:rPr>
        <w:t> </w:t>
      </w:r>
      <w:r>
        <w:rPr>
          <w:sz w:val="15"/>
        </w:rPr>
        <w:t>Ley</w:t>
      </w:r>
      <w:r>
        <w:rPr>
          <w:spacing w:val="8"/>
          <w:sz w:val="15"/>
        </w:rPr>
        <w:t> </w:t>
      </w:r>
      <w:r>
        <w:rPr>
          <w:sz w:val="15"/>
        </w:rPr>
        <w:t>General</w:t>
      </w:r>
      <w:r>
        <w:rPr>
          <w:spacing w:val="9"/>
          <w:sz w:val="15"/>
        </w:rPr>
        <w:t> </w:t>
      </w:r>
      <w:r>
        <w:rPr>
          <w:sz w:val="15"/>
        </w:rPr>
        <w:t>de</w:t>
      </w:r>
      <w:r>
        <w:rPr>
          <w:spacing w:val="9"/>
          <w:sz w:val="15"/>
        </w:rPr>
        <w:t> </w:t>
      </w:r>
      <w:r>
        <w:rPr>
          <w:sz w:val="15"/>
        </w:rPr>
        <w:t>Educación;</w:t>
      </w:r>
    </w:p>
    <w:p>
      <w:pPr>
        <w:pStyle w:val="BodyText"/>
        <w:spacing w:before="6"/>
      </w:pPr>
    </w:p>
    <w:p>
      <w:pPr>
        <w:pStyle w:val="BodyText"/>
        <w:spacing w:line="247" w:lineRule="auto"/>
        <w:ind w:left="403" w:right="509" w:firstLine="483"/>
        <w:jc w:val="both"/>
      </w:pPr>
      <w:r>
        <w:rPr/>
        <w:t>El documento idóneo para acreditar los supuestos previstos en las fracciones anteriores, tratándose de personas jurídicas, es la correspondiente acta constitutiva, de  la que se desprenda cuál es su objeto social.     No obstante, las personas físicas y las personas jurídicas, están en condición de acreditar con algún otro     medio de convicción que realizan algunas de las actividades que se señalan, sin embargo, éste será valorado  por el </w:t>
      </w:r>
      <w:r>
        <w:rPr>
          <w:spacing w:val="-3"/>
        </w:rPr>
        <w:t>Tesorero </w:t>
      </w:r>
      <w:r>
        <w:rPr/>
        <w:t>Municipal, quien discrecionalmente podrá determinar si es idóneo o no  para  acreditar  el  extremo de que se trate. En el caso de que el beneficio fiscal se solicite por tratarse de una institución de beneficencia social, indefectiblemente se tendrá que exhibir la constancia que lo acredita emitida por la Subsecretaría para el Desarrollo y Vinculación con Organizaciones de la Sociedad</w:t>
      </w:r>
      <w:r>
        <w:rPr>
          <w:spacing w:val="37"/>
        </w:rPr>
        <w:t> </w:t>
      </w:r>
      <w:r>
        <w:rPr/>
        <w:t>Civil.</w:t>
      </w:r>
    </w:p>
    <w:p>
      <w:pPr>
        <w:pStyle w:val="BodyText"/>
      </w:pPr>
    </w:p>
    <w:p>
      <w:pPr>
        <w:pStyle w:val="ListParagraph"/>
        <w:numPr>
          <w:ilvl w:val="3"/>
          <w:numId w:val="10"/>
        </w:numPr>
        <w:tabs>
          <w:tab w:pos="1004" w:val="left" w:leader="none"/>
        </w:tabs>
        <w:spacing w:line="247" w:lineRule="auto" w:before="0" w:after="0"/>
        <w:ind w:left="402" w:right="511" w:firstLine="397"/>
        <w:jc w:val="both"/>
        <w:rPr>
          <w:sz w:val="15"/>
        </w:rPr>
      </w:pPr>
      <w:r>
        <w:rPr>
          <w:sz w:val="15"/>
        </w:rPr>
        <w:t>A las asociaciones religiosas legalmente constituidas, se les otorgará un beneficio del 50% del  impuesto que les resulte, siempre y cuando el inmueble sea utilizado para asistencia social o a la educación,      lo cual deberán acreditar con la constancia emitida por la Subsecretaría para el Desarrollo y Vinculación con Organizaciones</w:t>
      </w:r>
      <w:r>
        <w:rPr>
          <w:spacing w:val="13"/>
          <w:sz w:val="15"/>
        </w:rPr>
        <w:t> </w:t>
      </w:r>
      <w:r>
        <w:rPr>
          <w:sz w:val="15"/>
        </w:rPr>
        <w:t>de</w:t>
      </w:r>
      <w:r>
        <w:rPr>
          <w:spacing w:val="14"/>
          <w:sz w:val="15"/>
        </w:rPr>
        <w:t> </w:t>
      </w:r>
      <w:r>
        <w:rPr>
          <w:sz w:val="15"/>
        </w:rPr>
        <w:t>la</w:t>
      </w:r>
      <w:r>
        <w:rPr>
          <w:spacing w:val="14"/>
          <w:sz w:val="15"/>
        </w:rPr>
        <w:t> </w:t>
      </w:r>
      <w:r>
        <w:rPr>
          <w:sz w:val="15"/>
        </w:rPr>
        <w:t>Sociedad</w:t>
      </w:r>
      <w:r>
        <w:rPr>
          <w:spacing w:val="14"/>
          <w:sz w:val="15"/>
        </w:rPr>
        <w:t> </w:t>
      </w:r>
      <w:r>
        <w:rPr>
          <w:sz w:val="15"/>
        </w:rPr>
        <w:t>Civil.</w:t>
      </w:r>
      <w:r>
        <w:rPr>
          <w:spacing w:val="14"/>
          <w:sz w:val="15"/>
        </w:rPr>
        <w:t> </w:t>
      </w:r>
      <w:r>
        <w:rPr>
          <w:sz w:val="15"/>
        </w:rPr>
        <w:t>Si</w:t>
      </w:r>
      <w:r>
        <w:rPr>
          <w:spacing w:val="14"/>
          <w:sz w:val="15"/>
        </w:rPr>
        <w:t> </w:t>
      </w:r>
      <w:r>
        <w:rPr>
          <w:sz w:val="15"/>
        </w:rPr>
        <w:t>el</w:t>
      </w:r>
      <w:r>
        <w:rPr>
          <w:spacing w:val="14"/>
          <w:sz w:val="15"/>
        </w:rPr>
        <w:t> </w:t>
      </w:r>
      <w:r>
        <w:rPr>
          <w:sz w:val="15"/>
        </w:rPr>
        <w:t>inmueble</w:t>
      </w:r>
      <w:r>
        <w:rPr>
          <w:spacing w:val="13"/>
          <w:sz w:val="15"/>
        </w:rPr>
        <w:t> </w:t>
      </w:r>
      <w:r>
        <w:rPr>
          <w:sz w:val="15"/>
        </w:rPr>
        <w:t>es</w:t>
      </w:r>
      <w:r>
        <w:rPr>
          <w:spacing w:val="14"/>
          <w:sz w:val="15"/>
        </w:rPr>
        <w:t> </w:t>
      </w:r>
      <w:r>
        <w:rPr>
          <w:sz w:val="15"/>
        </w:rPr>
        <w:t>utilizado</w:t>
      </w:r>
      <w:r>
        <w:rPr>
          <w:spacing w:val="14"/>
          <w:sz w:val="15"/>
        </w:rPr>
        <w:t> </w:t>
      </w:r>
      <w:r>
        <w:rPr>
          <w:sz w:val="15"/>
        </w:rPr>
        <w:t>para</w:t>
      </w:r>
      <w:r>
        <w:rPr>
          <w:spacing w:val="14"/>
          <w:sz w:val="15"/>
        </w:rPr>
        <w:t> </w:t>
      </w:r>
      <w:r>
        <w:rPr>
          <w:sz w:val="15"/>
        </w:rPr>
        <w:t>fines</w:t>
      </w:r>
      <w:r>
        <w:rPr>
          <w:spacing w:val="14"/>
          <w:sz w:val="15"/>
        </w:rPr>
        <w:t> </w:t>
      </w:r>
      <w:r>
        <w:rPr>
          <w:sz w:val="15"/>
        </w:rPr>
        <w:t>distintos</w:t>
      </w:r>
      <w:r>
        <w:rPr>
          <w:spacing w:val="13"/>
          <w:sz w:val="15"/>
        </w:rPr>
        <w:t> </w:t>
      </w:r>
      <w:r>
        <w:rPr>
          <w:sz w:val="15"/>
        </w:rPr>
        <w:t>a</w:t>
      </w:r>
      <w:r>
        <w:rPr>
          <w:spacing w:val="13"/>
          <w:sz w:val="15"/>
        </w:rPr>
        <w:t> </w:t>
      </w:r>
      <w:r>
        <w:rPr>
          <w:sz w:val="15"/>
        </w:rPr>
        <w:t>los</w:t>
      </w:r>
      <w:r>
        <w:rPr>
          <w:spacing w:val="14"/>
          <w:sz w:val="15"/>
        </w:rPr>
        <w:t> </w:t>
      </w:r>
      <w:r>
        <w:rPr>
          <w:sz w:val="15"/>
        </w:rPr>
        <w:t>anteriores</w:t>
      </w:r>
      <w:r>
        <w:rPr>
          <w:spacing w:val="14"/>
          <w:sz w:val="15"/>
        </w:rPr>
        <w:t> </w:t>
      </w:r>
      <w:r>
        <w:rPr>
          <w:sz w:val="15"/>
        </w:rPr>
        <w:t>perderá</w:t>
      </w:r>
      <w:r>
        <w:rPr>
          <w:spacing w:val="13"/>
          <w:sz w:val="15"/>
        </w:rPr>
        <w:t> </w:t>
      </w:r>
      <w:r>
        <w:rPr>
          <w:sz w:val="15"/>
        </w:rPr>
        <w:t>el</w:t>
      </w:r>
    </w:p>
    <w:p>
      <w:pPr>
        <w:spacing w:after="0" w:line="247" w:lineRule="auto"/>
        <w:jc w:val="both"/>
        <w:rPr>
          <w:sz w:val="15"/>
        </w:rPr>
        <w:sectPr>
          <w:type w:val="continuous"/>
          <w:pgSz w:w="23250" w:h="15310" w:orient="landscape"/>
          <w:pgMar w:top="0" w:bottom="0" w:left="1880" w:right="1520"/>
          <w:cols w:num="2" w:equalWidth="0">
            <w:col w:w="7751" w:space="3619"/>
            <w:col w:w="8480"/>
          </w:cols>
        </w:sectPr>
      </w:pPr>
    </w:p>
    <w:p>
      <w:pPr>
        <w:pStyle w:val="BodyText"/>
        <w:rPr>
          <w:sz w:val="20"/>
        </w:rPr>
      </w:pPr>
    </w:p>
    <w:p>
      <w:pPr>
        <w:pStyle w:val="BodyText"/>
        <w:spacing w:before="7"/>
        <w:rPr>
          <w:sz w:val="29"/>
        </w:rPr>
      </w:pPr>
    </w:p>
    <w:p>
      <w:pPr>
        <w:spacing w:after="0"/>
        <w:rPr>
          <w:sz w:val="29"/>
        </w:rPr>
        <w:sectPr>
          <w:headerReference w:type="default" r:id="rId60"/>
          <w:pgSz w:w="23250" w:h="15310" w:orient="landscape"/>
          <w:pgMar w:header="881" w:footer="499" w:top="1920" w:bottom="680" w:left="1880" w:right="1520"/>
        </w:sectPr>
      </w:pPr>
    </w:p>
    <w:p>
      <w:pPr>
        <w:pStyle w:val="BodyText"/>
        <w:spacing w:before="99"/>
        <w:ind w:left="151"/>
      </w:pPr>
      <w:r>
        <w:rPr/>
        <w:t>beneficio.</w:t>
      </w:r>
    </w:p>
    <w:p>
      <w:pPr>
        <w:pStyle w:val="BodyText"/>
        <w:spacing w:before="9"/>
      </w:pPr>
    </w:p>
    <w:p>
      <w:pPr>
        <w:pStyle w:val="BodyText"/>
        <w:spacing w:line="247" w:lineRule="auto"/>
        <w:ind w:left="151" w:right="38" w:firstLine="397"/>
        <w:jc w:val="both"/>
      </w:pPr>
      <w:r>
        <w:rPr/>
        <w:t>Las asociaciones o sociedades a que se refiere el párrafo anterior, solicitarán a la hacienda municipal la aplicación del beneficio al que tengan derecho, adjuntando a su solicitud los documentos  en  los  que  se acredite su legal constitución. Éstas también deberán acreditar que el inmueble respecto del cual se solicita el beneficio, se dedica a los fines de su objeto, esto es, la realización de actividades de asistencia social o a la educación;</w:t>
      </w:r>
    </w:p>
    <w:p>
      <w:pPr>
        <w:pStyle w:val="BodyText"/>
        <w:spacing w:before="2"/>
      </w:pPr>
    </w:p>
    <w:p>
      <w:pPr>
        <w:pStyle w:val="ListParagraph"/>
        <w:numPr>
          <w:ilvl w:val="3"/>
          <w:numId w:val="10"/>
        </w:numPr>
        <w:tabs>
          <w:tab w:pos="769" w:val="left" w:leader="none"/>
        </w:tabs>
        <w:spacing w:line="244" w:lineRule="auto" w:before="0" w:after="0"/>
        <w:ind w:left="151" w:right="39" w:firstLine="397"/>
        <w:jc w:val="both"/>
        <w:rPr>
          <w:sz w:val="15"/>
        </w:rPr>
      </w:pPr>
      <w:r>
        <w:rPr>
          <w:sz w:val="15"/>
        </w:rPr>
        <w:t>A los contribuyentes que acrediten ser propietarios de uno o varios bienes inmuebles, debidamente inscritos en el Inventario Estatal del Patrimonio Cultural de la Secretaría de Cultura,  cubrirán  el  impuesto predial, con la aplicación de un beneficio del</w:t>
      </w:r>
      <w:r>
        <w:rPr>
          <w:spacing w:val="11"/>
          <w:sz w:val="15"/>
        </w:rPr>
        <w:t> </w:t>
      </w:r>
      <w:r>
        <w:rPr>
          <w:sz w:val="15"/>
        </w:rPr>
        <w:t>70%.</w:t>
      </w:r>
    </w:p>
    <w:p>
      <w:pPr>
        <w:pStyle w:val="BodyText"/>
        <w:spacing w:before="8"/>
      </w:pPr>
    </w:p>
    <w:p>
      <w:pPr>
        <w:pStyle w:val="BodyText"/>
        <w:spacing w:line="247" w:lineRule="auto"/>
        <w:ind w:left="151" w:right="39" w:firstLine="397"/>
        <w:jc w:val="both"/>
      </w:pPr>
      <w:r>
        <w:rPr/>
        <w:t>Para la aplicación de los beneficios fiscales de este artículo no es necesaria la emisión de acuerdo administrativo, sino que, si se acredita tener derecho al beneficio de que se trate,  éste  se  aplicará  directamente. Sin embargo, sí se deberá integrar un expediente en el que se documente que el contribuyente beneficiado acreditó los requisitos legales establecidos para tal</w:t>
      </w:r>
      <w:r>
        <w:rPr>
          <w:spacing w:val="15"/>
        </w:rPr>
        <w:t> </w:t>
      </w:r>
      <w:r>
        <w:rPr/>
        <w:t>efecto.</w:t>
      </w:r>
    </w:p>
    <w:p>
      <w:pPr>
        <w:pStyle w:val="BodyText"/>
        <w:spacing w:before="2"/>
      </w:pPr>
    </w:p>
    <w:p>
      <w:pPr>
        <w:pStyle w:val="BodyText"/>
        <w:spacing w:line="247" w:lineRule="auto"/>
        <w:ind w:left="151" w:right="40" w:firstLine="397"/>
        <w:jc w:val="both"/>
      </w:pPr>
      <w:r>
        <w:rPr>
          <w:b/>
        </w:rPr>
        <w:t>Artículo 36.- </w:t>
      </w:r>
      <w:r>
        <w:rPr/>
        <w:t>A los contribuyentes de este impuesto, que efectúen el pago correspondiente al año 2020,   en una sola exhibición se les concederán los siguientes</w:t>
      </w:r>
      <w:r>
        <w:rPr>
          <w:spacing w:val="19"/>
        </w:rPr>
        <w:t> </w:t>
      </w:r>
      <w:r>
        <w:rPr/>
        <w:t>beneficios:</w:t>
      </w:r>
    </w:p>
    <w:p>
      <w:pPr>
        <w:pStyle w:val="BodyText"/>
        <w:spacing w:before="3"/>
      </w:pPr>
    </w:p>
    <w:p>
      <w:pPr>
        <w:pStyle w:val="ListParagraph"/>
        <w:numPr>
          <w:ilvl w:val="0"/>
          <w:numId w:val="13"/>
        </w:numPr>
        <w:tabs>
          <w:tab w:pos="714" w:val="left" w:leader="none"/>
        </w:tabs>
        <w:spacing w:line="247" w:lineRule="auto" w:before="0" w:after="0"/>
        <w:ind w:left="151" w:right="38" w:firstLine="397"/>
        <w:jc w:val="both"/>
        <w:rPr>
          <w:sz w:val="15"/>
        </w:rPr>
      </w:pPr>
      <w:r>
        <w:rPr>
          <w:sz w:val="15"/>
        </w:rPr>
        <w:t>Si efectúan el pago durante los meses de Enero y Febrero del año 2020, se  les  concederá  un  beneficio del</w:t>
      </w:r>
      <w:r>
        <w:rPr>
          <w:spacing w:val="2"/>
          <w:sz w:val="15"/>
        </w:rPr>
        <w:t> </w:t>
      </w:r>
      <w:r>
        <w:rPr>
          <w:sz w:val="15"/>
        </w:rPr>
        <w:t>15%;</w:t>
      </w:r>
    </w:p>
    <w:p>
      <w:pPr>
        <w:pStyle w:val="BodyText"/>
        <w:spacing w:before="4"/>
      </w:pPr>
    </w:p>
    <w:p>
      <w:pPr>
        <w:pStyle w:val="ListParagraph"/>
        <w:numPr>
          <w:ilvl w:val="0"/>
          <w:numId w:val="13"/>
        </w:numPr>
        <w:tabs>
          <w:tab w:pos="726" w:val="left" w:leader="none"/>
        </w:tabs>
        <w:spacing w:line="247" w:lineRule="auto" w:before="0" w:after="0"/>
        <w:ind w:left="151" w:right="41" w:firstLine="397"/>
        <w:jc w:val="both"/>
        <w:rPr>
          <w:sz w:val="15"/>
        </w:rPr>
      </w:pPr>
      <w:r>
        <w:rPr>
          <w:sz w:val="15"/>
        </w:rPr>
        <w:t>Cuando el pago se efectúe durante el mes de Marzo del año 2020, se les concederá un beneficio del 10%;</w:t>
      </w:r>
      <w:r>
        <w:rPr>
          <w:spacing w:val="1"/>
          <w:sz w:val="15"/>
        </w:rPr>
        <w:t> </w:t>
      </w:r>
      <w:r>
        <w:rPr>
          <w:sz w:val="15"/>
        </w:rPr>
        <w:t>y</w:t>
      </w:r>
    </w:p>
    <w:p>
      <w:pPr>
        <w:pStyle w:val="BodyText"/>
        <w:spacing w:before="3"/>
      </w:pPr>
    </w:p>
    <w:p>
      <w:pPr>
        <w:pStyle w:val="ListParagraph"/>
        <w:numPr>
          <w:ilvl w:val="0"/>
          <w:numId w:val="13"/>
        </w:numPr>
        <w:tabs>
          <w:tab w:pos="764" w:val="left" w:leader="none"/>
        </w:tabs>
        <w:spacing w:line="240" w:lineRule="auto" w:before="0" w:after="0"/>
        <w:ind w:left="763" w:right="0" w:hanging="216"/>
        <w:jc w:val="left"/>
        <w:rPr>
          <w:sz w:val="15"/>
        </w:rPr>
      </w:pPr>
      <w:r>
        <w:rPr>
          <w:sz w:val="15"/>
        </w:rPr>
        <w:t>Cuando</w:t>
      </w:r>
      <w:r>
        <w:rPr>
          <w:spacing w:val="6"/>
          <w:sz w:val="15"/>
        </w:rPr>
        <w:t> </w:t>
      </w:r>
      <w:r>
        <w:rPr>
          <w:sz w:val="15"/>
        </w:rPr>
        <w:t>el</w:t>
      </w:r>
      <w:r>
        <w:rPr>
          <w:spacing w:val="7"/>
          <w:sz w:val="15"/>
        </w:rPr>
        <w:t> </w:t>
      </w:r>
      <w:r>
        <w:rPr>
          <w:sz w:val="15"/>
        </w:rPr>
        <w:t>pago</w:t>
      </w:r>
      <w:r>
        <w:rPr>
          <w:spacing w:val="7"/>
          <w:sz w:val="15"/>
        </w:rPr>
        <w:t> </w:t>
      </w:r>
      <w:r>
        <w:rPr>
          <w:sz w:val="15"/>
        </w:rPr>
        <w:t>se</w:t>
      </w:r>
      <w:r>
        <w:rPr>
          <w:spacing w:val="7"/>
          <w:sz w:val="15"/>
        </w:rPr>
        <w:t> </w:t>
      </w:r>
      <w:r>
        <w:rPr>
          <w:sz w:val="15"/>
        </w:rPr>
        <w:t>efectúe</w:t>
      </w:r>
      <w:r>
        <w:rPr>
          <w:spacing w:val="7"/>
          <w:sz w:val="15"/>
        </w:rPr>
        <w:t> </w:t>
      </w:r>
      <w:r>
        <w:rPr>
          <w:sz w:val="15"/>
        </w:rPr>
        <w:t>durante</w:t>
      </w:r>
      <w:r>
        <w:rPr>
          <w:spacing w:val="7"/>
          <w:sz w:val="15"/>
        </w:rPr>
        <w:t> </w:t>
      </w:r>
      <w:r>
        <w:rPr>
          <w:sz w:val="15"/>
        </w:rPr>
        <w:t>el</w:t>
      </w:r>
      <w:r>
        <w:rPr>
          <w:spacing w:val="7"/>
          <w:sz w:val="15"/>
        </w:rPr>
        <w:t> </w:t>
      </w:r>
      <w:r>
        <w:rPr>
          <w:sz w:val="15"/>
        </w:rPr>
        <w:t>mes</w:t>
      </w:r>
      <w:r>
        <w:rPr>
          <w:spacing w:val="7"/>
          <w:sz w:val="15"/>
        </w:rPr>
        <w:t> </w:t>
      </w:r>
      <w:r>
        <w:rPr>
          <w:sz w:val="15"/>
        </w:rPr>
        <w:t>de</w:t>
      </w:r>
      <w:r>
        <w:rPr>
          <w:spacing w:val="-3"/>
          <w:sz w:val="15"/>
        </w:rPr>
        <w:t> </w:t>
      </w:r>
      <w:r>
        <w:rPr>
          <w:sz w:val="15"/>
        </w:rPr>
        <w:t>Abril</w:t>
      </w:r>
      <w:r>
        <w:rPr>
          <w:spacing w:val="7"/>
          <w:sz w:val="15"/>
        </w:rPr>
        <w:t> </w:t>
      </w:r>
      <w:r>
        <w:rPr>
          <w:sz w:val="15"/>
        </w:rPr>
        <w:t>del</w:t>
      </w:r>
      <w:r>
        <w:rPr>
          <w:spacing w:val="7"/>
          <w:sz w:val="15"/>
        </w:rPr>
        <w:t> </w:t>
      </w:r>
      <w:r>
        <w:rPr>
          <w:sz w:val="15"/>
        </w:rPr>
        <w:t>2020,</w:t>
      </w:r>
      <w:r>
        <w:rPr>
          <w:spacing w:val="7"/>
          <w:sz w:val="15"/>
        </w:rPr>
        <w:t> </w:t>
      </w:r>
      <w:r>
        <w:rPr>
          <w:sz w:val="15"/>
        </w:rPr>
        <w:t>se</w:t>
      </w:r>
      <w:r>
        <w:rPr>
          <w:spacing w:val="7"/>
          <w:sz w:val="15"/>
        </w:rPr>
        <w:t> </w:t>
      </w:r>
      <w:r>
        <w:rPr>
          <w:sz w:val="15"/>
        </w:rPr>
        <w:t>les</w:t>
      </w:r>
      <w:r>
        <w:rPr>
          <w:spacing w:val="6"/>
          <w:sz w:val="15"/>
        </w:rPr>
        <w:t> </w:t>
      </w:r>
      <w:r>
        <w:rPr>
          <w:sz w:val="15"/>
        </w:rPr>
        <w:t>concederá</w:t>
      </w:r>
      <w:r>
        <w:rPr>
          <w:spacing w:val="7"/>
          <w:sz w:val="15"/>
        </w:rPr>
        <w:t> </w:t>
      </w:r>
      <w:r>
        <w:rPr>
          <w:sz w:val="15"/>
        </w:rPr>
        <w:t>un</w:t>
      </w:r>
      <w:r>
        <w:rPr>
          <w:spacing w:val="5"/>
          <w:sz w:val="15"/>
        </w:rPr>
        <w:t> </w:t>
      </w:r>
      <w:r>
        <w:rPr>
          <w:sz w:val="15"/>
        </w:rPr>
        <w:t>beneficio</w:t>
      </w:r>
      <w:r>
        <w:rPr>
          <w:spacing w:val="7"/>
          <w:sz w:val="15"/>
        </w:rPr>
        <w:t> </w:t>
      </w:r>
      <w:r>
        <w:rPr>
          <w:sz w:val="15"/>
        </w:rPr>
        <w:t>del</w:t>
      </w:r>
      <w:r>
        <w:rPr>
          <w:spacing w:val="7"/>
          <w:sz w:val="15"/>
        </w:rPr>
        <w:t> </w:t>
      </w:r>
      <w:r>
        <w:rPr>
          <w:sz w:val="15"/>
        </w:rPr>
        <w:t>5%.</w:t>
      </w:r>
    </w:p>
    <w:p>
      <w:pPr>
        <w:pStyle w:val="BodyText"/>
        <w:spacing w:before="9"/>
      </w:pPr>
    </w:p>
    <w:p>
      <w:pPr>
        <w:pStyle w:val="BodyText"/>
        <w:spacing w:line="247" w:lineRule="auto"/>
        <w:ind w:left="151" w:right="38" w:firstLine="397"/>
        <w:jc w:val="both"/>
      </w:pPr>
      <w:r>
        <w:rPr/>
        <w:t>Los contribuyentes que efectúen su pago en los términos de las fracciones anteriores no causarán los recargos que se hubieren generado en ese periodo.</w:t>
      </w:r>
    </w:p>
    <w:p>
      <w:pPr>
        <w:pStyle w:val="BodyText"/>
        <w:spacing w:before="3"/>
      </w:pPr>
    </w:p>
    <w:p>
      <w:pPr>
        <w:pStyle w:val="BodyText"/>
        <w:spacing w:line="247" w:lineRule="auto"/>
        <w:ind w:left="151" w:right="39" w:firstLine="397"/>
        <w:jc w:val="both"/>
      </w:pPr>
      <w:r>
        <w:rPr/>
        <w:t>A los contribuyentes que cumplan lo establecido en el artículo  100 Bis de la Ley de Hacienda Municipal  del Estado de Jalisco, obtendrán los beneficios a que se refiere el mismo</w:t>
      </w:r>
      <w:r>
        <w:rPr>
          <w:spacing w:val="36"/>
        </w:rPr>
        <w:t> </w:t>
      </w:r>
      <w:r>
        <w:rPr/>
        <w:t>artículo.</w:t>
      </w:r>
    </w:p>
    <w:p>
      <w:pPr>
        <w:pStyle w:val="BodyText"/>
        <w:spacing w:before="4"/>
      </w:pPr>
    </w:p>
    <w:p>
      <w:pPr>
        <w:pStyle w:val="BodyText"/>
        <w:spacing w:line="247" w:lineRule="auto"/>
        <w:ind w:left="151" w:right="38" w:firstLine="397"/>
        <w:jc w:val="both"/>
      </w:pPr>
      <w:r>
        <w:rPr/>
        <w:t>A los contribuyentes que soliciten algún trámite ante la Dirección de Catastro que tenga como finalidad o  de alguna manera implique la modificación de la información que se tenga registrada respecto  del  valor  catastral del predio, de la tasa conforme a la cual se deba pagar el Impuesto Predial en términos de esta </w:t>
      </w:r>
      <w:r>
        <w:rPr>
          <w:spacing w:val="-3"/>
        </w:rPr>
        <w:t>ley, </w:t>
      </w:r>
      <w:r>
        <w:rPr/>
        <w:t>dentro del término señalado en las fracciones I, II y III, se les aplicará el beneficio señalado en las mismas,   hasta en tanto sea resuelto y debidamente notificado mediante extracto catastral, independientemente del resultado de la determinación</w:t>
      </w:r>
      <w:r>
        <w:rPr>
          <w:spacing w:val="4"/>
        </w:rPr>
        <w:t> </w:t>
      </w:r>
      <w:r>
        <w:rPr/>
        <w:t>catastral.</w:t>
      </w:r>
    </w:p>
    <w:p>
      <w:pPr>
        <w:pStyle w:val="BodyText"/>
      </w:pPr>
    </w:p>
    <w:p>
      <w:pPr>
        <w:pStyle w:val="BodyText"/>
        <w:spacing w:line="247" w:lineRule="auto" w:before="1"/>
        <w:ind w:left="151" w:right="40" w:firstLine="397"/>
        <w:jc w:val="both"/>
      </w:pPr>
      <w:r>
        <w:rPr/>
        <w:t>El pago deberá efectuarse dentro de los quince días hábiles siguientes a la notificación señalada en el párrafo que antecede. Transcurrido dicho plazo sin haber efectuado el pago se cancelarán los descuentos que contempla el presente artículo y en su caso, se generarán los accesorios que correspondan.</w:t>
      </w:r>
    </w:p>
    <w:p>
      <w:pPr>
        <w:pStyle w:val="BodyText"/>
        <w:spacing w:before="3"/>
      </w:pPr>
    </w:p>
    <w:p>
      <w:pPr>
        <w:pStyle w:val="BodyText"/>
        <w:ind w:left="548"/>
      </w:pPr>
      <w:r>
        <w:rPr/>
        <w:t>Los beneficios establecidos en este artículo no serán acumulables.</w:t>
      </w:r>
    </w:p>
    <w:p>
      <w:pPr>
        <w:pStyle w:val="BodyText"/>
        <w:spacing w:before="8"/>
      </w:pPr>
    </w:p>
    <w:p>
      <w:pPr>
        <w:pStyle w:val="BodyText"/>
        <w:spacing w:line="247" w:lineRule="auto" w:before="1"/>
        <w:ind w:left="151" w:right="40" w:firstLine="397"/>
        <w:jc w:val="both"/>
      </w:pPr>
      <w:r>
        <w:rPr>
          <w:b/>
        </w:rPr>
        <w:t>Artículo 37.- </w:t>
      </w:r>
      <w:r>
        <w:rPr/>
        <w:t>A los sujetos de este impuesto en términos del artículo 93 de la Ley de Hacienda Municipal del Estado de Jalisco, que acrediten tener la calidad de pensionados, jubilados, persona con discapacidad, viudas, viudos o que tengan 60 años o más, serán beneficiados con el 50% del impuesto a pagar sobre los primeros $1’365,000.00 del valor fiscal del predio, respecto de la casa que habitan. Podrán efectuar el pago bimestralmente o en una sola exhibición lo correspondiente al año actual, sin causar multas ni recargos. Este beneficio se otorgará siempre y cuando hayan pagado el año</w:t>
      </w:r>
      <w:r>
        <w:rPr>
          <w:spacing w:val="18"/>
        </w:rPr>
        <w:t> </w:t>
      </w:r>
      <w:r>
        <w:rPr/>
        <w:t>anterior.</w:t>
      </w:r>
    </w:p>
    <w:p>
      <w:pPr>
        <w:pStyle w:val="BodyText"/>
        <w:spacing w:before="1"/>
      </w:pPr>
    </w:p>
    <w:p>
      <w:pPr>
        <w:pStyle w:val="BodyText"/>
        <w:spacing w:line="247" w:lineRule="auto"/>
        <w:ind w:left="151" w:right="38" w:firstLine="397"/>
        <w:jc w:val="both"/>
      </w:pPr>
      <w:r>
        <w:rPr/>
        <w:t>En todos los casos se otorgará el beneficio antes citado, tratándose exclusivamente de una sola casa habitación, la cual comprueben habitar y debiendo presentar de manera personal, según sea el caso, la</w:t>
      </w:r>
    </w:p>
    <w:p>
      <w:pPr>
        <w:pStyle w:val="BodyText"/>
        <w:spacing w:before="98"/>
        <w:ind w:left="151"/>
      </w:pPr>
      <w:r>
        <w:rPr/>
        <w:br w:type="column"/>
      </w:r>
      <w:r>
        <w:rPr/>
        <w:t>siguiente documentación:</w:t>
      </w:r>
    </w:p>
    <w:p>
      <w:pPr>
        <w:pStyle w:val="BodyText"/>
        <w:spacing w:before="9"/>
      </w:pPr>
    </w:p>
    <w:p>
      <w:pPr>
        <w:pStyle w:val="ListParagraph"/>
        <w:numPr>
          <w:ilvl w:val="0"/>
          <w:numId w:val="14"/>
        </w:numPr>
        <w:tabs>
          <w:tab w:pos="680" w:val="left" w:leader="none"/>
        </w:tabs>
        <w:spacing w:line="247" w:lineRule="auto" w:before="1" w:after="0"/>
        <w:ind w:left="151" w:right="508" w:firstLine="397"/>
        <w:jc w:val="both"/>
        <w:rPr>
          <w:sz w:val="15"/>
        </w:rPr>
      </w:pPr>
      <w:r>
        <w:rPr>
          <w:sz w:val="15"/>
        </w:rPr>
        <w:t>Para los pensionados o jubilados: Copia de la identificación oficial o talón de pago o ingresos otorgado por el Instituto Mexicano del Seguro Social (IMSS); o por el Instituto de Seguridad y Servicios Sociales de los Trabajadores el Estado (ISSSTE); o por el Instituto de Pensiones del Estado de Jalisco (IPEJAL); o por la Secretaría de Bienestar, de los cuales se desprenda que se tiene la calidad de pensionado o jubilado, siendo éstas dependencias enunciativas mas no limitativas, siempre y cuando la identificación oficial esté vigente o el talón</w:t>
      </w:r>
      <w:r>
        <w:rPr>
          <w:spacing w:val="4"/>
          <w:sz w:val="15"/>
        </w:rPr>
        <w:t> </w:t>
      </w:r>
      <w:r>
        <w:rPr>
          <w:sz w:val="15"/>
        </w:rPr>
        <w:t>de</w:t>
      </w:r>
      <w:r>
        <w:rPr>
          <w:spacing w:val="5"/>
          <w:sz w:val="15"/>
        </w:rPr>
        <w:t> </w:t>
      </w:r>
      <w:r>
        <w:rPr>
          <w:sz w:val="15"/>
        </w:rPr>
        <w:t>pago</w:t>
      </w:r>
      <w:r>
        <w:rPr>
          <w:spacing w:val="4"/>
          <w:sz w:val="15"/>
        </w:rPr>
        <w:t> </w:t>
      </w:r>
      <w:r>
        <w:rPr>
          <w:sz w:val="15"/>
        </w:rPr>
        <w:t>o</w:t>
      </w:r>
      <w:r>
        <w:rPr>
          <w:spacing w:val="5"/>
          <w:sz w:val="15"/>
        </w:rPr>
        <w:t> </w:t>
      </w:r>
      <w:r>
        <w:rPr>
          <w:sz w:val="15"/>
        </w:rPr>
        <w:t>ingresos</w:t>
      </w:r>
      <w:r>
        <w:rPr>
          <w:spacing w:val="5"/>
          <w:sz w:val="15"/>
        </w:rPr>
        <w:t> </w:t>
      </w:r>
      <w:r>
        <w:rPr>
          <w:sz w:val="15"/>
        </w:rPr>
        <w:t>no</w:t>
      </w:r>
      <w:r>
        <w:rPr>
          <w:spacing w:val="4"/>
          <w:sz w:val="15"/>
        </w:rPr>
        <w:t> </w:t>
      </w:r>
      <w:r>
        <w:rPr>
          <w:sz w:val="15"/>
        </w:rPr>
        <w:t>sea</w:t>
      </w:r>
      <w:r>
        <w:rPr>
          <w:spacing w:val="5"/>
          <w:sz w:val="15"/>
        </w:rPr>
        <w:t> </w:t>
      </w:r>
      <w:r>
        <w:rPr>
          <w:sz w:val="15"/>
        </w:rPr>
        <w:t>del</w:t>
      </w:r>
      <w:r>
        <w:rPr>
          <w:spacing w:val="4"/>
          <w:sz w:val="15"/>
        </w:rPr>
        <w:t> </w:t>
      </w:r>
      <w:r>
        <w:rPr>
          <w:sz w:val="15"/>
        </w:rPr>
        <w:t>tercer</w:t>
      </w:r>
      <w:r>
        <w:rPr>
          <w:spacing w:val="5"/>
          <w:sz w:val="15"/>
        </w:rPr>
        <w:t> </w:t>
      </w:r>
      <w:r>
        <w:rPr>
          <w:sz w:val="15"/>
        </w:rPr>
        <w:t>mes</w:t>
      </w:r>
      <w:r>
        <w:rPr>
          <w:spacing w:val="5"/>
          <w:sz w:val="15"/>
        </w:rPr>
        <w:t> </w:t>
      </w:r>
      <w:r>
        <w:rPr>
          <w:sz w:val="15"/>
        </w:rPr>
        <w:t>anterior</w:t>
      </w:r>
      <w:r>
        <w:rPr>
          <w:spacing w:val="4"/>
          <w:sz w:val="15"/>
        </w:rPr>
        <w:t> </w:t>
      </w:r>
      <w:r>
        <w:rPr>
          <w:sz w:val="15"/>
        </w:rPr>
        <w:t>al</w:t>
      </w:r>
      <w:r>
        <w:rPr>
          <w:spacing w:val="5"/>
          <w:sz w:val="15"/>
        </w:rPr>
        <w:t> </w:t>
      </w:r>
      <w:r>
        <w:rPr>
          <w:sz w:val="15"/>
        </w:rPr>
        <w:t>de</w:t>
      </w:r>
      <w:r>
        <w:rPr>
          <w:spacing w:val="3"/>
          <w:sz w:val="15"/>
        </w:rPr>
        <w:t> </w:t>
      </w:r>
      <w:r>
        <w:rPr>
          <w:sz w:val="15"/>
        </w:rPr>
        <w:t>la</w:t>
      </w:r>
      <w:r>
        <w:rPr>
          <w:spacing w:val="5"/>
          <w:sz w:val="15"/>
        </w:rPr>
        <w:t> </w:t>
      </w:r>
      <w:r>
        <w:rPr>
          <w:sz w:val="15"/>
        </w:rPr>
        <w:t>fecha</w:t>
      </w:r>
      <w:r>
        <w:rPr>
          <w:spacing w:val="5"/>
          <w:sz w:val="15"/>
        </w:rPr>
        <w:t> </w:t>
      </w:r>
      <w:r>
        <w:rPr>
          <w:sz w:val="15"/>
        </w:rPr>
        <w:t>en</w:t>
      </w:r>
      <w:r>
        <w:rPr>
          <w:spacing w:val="3"/>
          <w:sz w:val="15"/>
        </w:rPr>
        <w:t> </w:t>
      </w:r>
      <w:r>
        <w:rPr>
          <w:sz w:val="15"/>
        </w:rPr>
        <w:t>que</w:t>
      </w:r>
      <w:r>
        <w:rPr>
          <w:spacing w:val="5"/>
          <w:sz w:val="15"/>
        </w:rPr>
        <w:t> </w:t>
      </w:r>
      <w:r>
        <w:rPr>
          <w:sz w:val="15"/>
        </w:rPr>
        <w:t>se</w:t>
      </w:r>
      <w:r>
        <w:rPr>
          <w:spacing w:val="4"/>
          <w:sz w:val="15"/>
        </w:rPr>
        <w:t> </w:t>
      </w:r>
      <w:r>
        <w:rPr>
          <w:sz w:val="15"/>
        </w:rPr>
        <w:t>solicita</w:t>
      </w:r>
      <w:r>
        <w:rPr>
          <w:spacing w:val="5"/>
          <w:sz w:val="15"/>
        </w:rPr>
        <w:t> </w:t>
      </w:r>
      <w:r>
        <w:rPr>
          <w:sz w:val="15"/>
        </w:rPr>
        <w:t>el</w:t>
      </w:r>
      <w:r>
        <w:rPr>
          <w:spacing w:val="5"/>
          <w:sz w:val="15"/>
        </w:rPr>
        <w:t> </w:t>
      </w:r>
      <w:r>
        <w:rPr>
          <w:sz w:val="15"/>
        </w:rPr>
        <w:t>beneficio;</w:t>
      </w:r>
    </w:p>
    <w:p>
      <w:pPr>
        <w:pStyle w:val="ListParagraph"/>
        <w:numPr>
          <w:ilvl w:val="0"/>
          <w:numId w:val="14"/>
        </w:numPr>
        <w:tabs>
          <w:tab w:pos="745" w:val="left" w:leader="none"/>
        </w:tabs>
        <w:spacing w:line="244" w:lineRule="auto" w:before="0" w:after="0"/>
        <w:ind w:left="151" w:right="510" w:firstLine="397"/>
        <w:jc w:val="both"/>
        <w:rPr>
          <w:sz w:val="15"/>
        </w:rPr>
      </w:pPr>
      <w:r>
        <w:rPr>
          <w:sz w:val="15"/>
        </w:rPr>
        <w:t>Para todos los solicitantes del beneficio: Copia de la credencial para </w:t>
      </w:r>
      <w:r>
        <w:rPr>
          <w:spacing w:val="-3"/>
          <w:sz w:val="15"/>
        </w:rPr>
        <w:t>votar, </w:t>
      </w:r>
      <w:r>
        <w:rPr>
          <w:sz w:val="15"/>
        </w:rPr>
        <w:t>pasaporte mexicano o cualquier identificación oficial con</w:t>
      </w:r>
      <w:r>
        <w:rPr>
          <w:spacing w:val="4"/>
          <w:sz w:val="15"/>
        </w:rPr>
        <w:t> </w:t>
      </w:r>
      <w:r>
        <w:rPr>
          <w:sz w:val="15"/>
        </w:rPr>
        <w:t>fotografía;</w:t>
      </w:r>
    </w:p>
    <w:p>
      <w:pPr>
        <w:pStyle w:val="BodyText"/>
        <w:spacing w:before="3"/>
      </w:pPr>
    </w:p>
    <w:p>
      <w:pPr>
        <w:pStyle w:val="ListParagraph"/>
        <w:numPr>
          <w:ilvl w:val="0"/>
          <w:numId w:val="14"/>
        </w:numPr>
        <w:tabs>
          <w:tab w:pos="765" w:val="left" w:leader="none"/>
        </w:tabs>
        <w:spacing w:line="247" w:lineRule="auto" w:before="0" w:after="0"/>
        <w:ind w:left="151" w:right="508" w:firstLine="397"/>
        <w:jc w:val="both"/>
        <w:rPr>
          <w:sz w:val="15"/>
        </w:rPr>
      </w:pPr>
      <w:r>
        <w:rPr>
          <w:sz w:val="15"/>
        </w:rPr>
        <w:t>Para todos los solicitantes: Recibo del impuesto predial pagado hasta el sexto bimestre del año 2019, además de acreditar que el inmueble lo habita el beneficiado, mediante copia del recibo telefónico o de la Comisión Federal de Electricidad expedido a nombre del beneficiado. En caso de no contar con estos documentos, si el domicilio señalado en alguno de los documentos referidos  en la  fracción anterior,  es el  mismo respecto del cual se solicita el beneficio, se presumirá válidamente que el solicitante habita dicho inmueble y será procedente el</w:t>
      </w:r>
      <w:r>
        <w:rPr>
          <w:spacing w:val="7"/>
          <w:sz w:val="15"/>
        </w:rPr>
        <w:t> </w:t>
      </w:r>
      <w:r>
        <w:rPr>
          <w:sz w:val="15"/>
        </w:rPr>
        <w:t>beneficio;</w:t>
      </w:r>
    </w:p>
    <w:p>
      <w:pPr>
        <w:pStyle w:val="BodyText"/>
        <w:spacing w:before="1"/>
      </w:pPr>
    </w:p>
    <w:p>
      <w:pPr>
        <w:pStyle w:val="ListParagraph"/>
        <w:numPr>
          <w:ilvl w:val="0"/>
          <w:numId w:val="14"/>
        </w:numPr>
        <w:tabs>
          <w:tab w:pos="794" w:val="left" w:leader="none"/>
        </w:tabs>
        <w:spacing w:line="247" w:lineRule="auto" w:before="0" w:after="0"/>
        <w:ind w:left="151" w:right="508" w:firstLine="397"/>
        <w:jc w:val="both"/>
        <w:rPr>
          <w:sz w:val="15"/>
        </w:rPr>
      </w:pPr>
      <w:r>
        <w:rPr>
          <w:sz w:val="15"/>
        </w:rPr>
        <w:t>Para las personas de 60 años o más: Copia de identificación de la Clave Única de Registro de Población CURP o copia del acta de nacimiento que acredite la edad del contribuyente. En caso de no contar  con los documentos anteriores, la credencial para votar con fotografía, en la que se plasme la Clave Única de Registro de Población, y por tanto sea posible determinar la edad del solicitante, será un documento válido    para la aplicación del beneficio fiscal; y en general, cualquier documento emitido por alguna institución pública que acredite que el solicitante tiene 60 años o más;</w:t>
      </w:r>
      <w:r>
        <w:rPr>
          <w:spacing w:val="17"/>
          <w:sz w:val="15"/>
        </w:rPr>
        <w:t> </w:t>
      </w:r>
      <w:r>
        <w:rPr>
          <w:sz w:val="15"/>
        </w:rPr>
        <w:t>y</w:t>
      </w:r>
    </w:p>
    <w:p>
      <w:pPr>
        <w:pStyle w:val="BodyText"/>
      </w:pPr>
    </w:p>
    <w:p>
      <w:pPr>
        <w:pStyle w:val="ListParagraph"/>
        <w:numPr>
          <w:ilvl w:val="0"/>
          <w:numId w:val="14"/>
        </w:numPr>
        <w:tabs>
          <w:tab w:pos="725" w:val="left" w:leader="none"/>
        </w:tabs>
        <w:spacing w:line="247" w:lineRule="auto" w:before="0" w:after="0"/>
        <w:ind w:left="151" w:right="509" w:firstLine="397"/>
        <w:jc w:val="both"/>
        <w:rPr>
          <w:sz w:val="15"/>
        </w:rPr>
      </w:pPr>
      <w:r>
        <w:rPr>
          <w:sz w:val="15"/>
        </w:rPr>
        <w:t>Para las viudas o viudos: presentarán copia simple del acta de matrimonio y del acta de defunción del cónyuge.</w:t>
      </w:r>
    </w:p>
    <w:p>
      <w:pPr>
        <w:pStyle w:val="BodyText"/>
        <w:spacing w:before="4"/>
      </w:pPr>
    </w:p>
    <w:p>
      <w:pPr>
        <w:pStyle w:val="BodyText"/>
        <w:spacing w:line="244" w:lineRule="auto"/>
        <w:ind w:left="151" w:right="509" w:firstLine="496"/>
        <w:jc w:val="both"/>
      </w:pPr>
      <w:r>
        <w:rPr/>
        <w:t>A los contribuyentes con discapacidad, se les otorgará el beneficio presentando su credencial de discapacidad expedida por el sistema DIF o cualquier institución pública oficial que tenga facultades para determinar esta condición.</w:t>
      </w:r>
    </w:p>
    <w:p>
      <w:pPr>
        <w:pStyle w:val="BodyText"/>
        <w:spacing w:before="8"/>
      </w:pPr>
    </w:p>
    <w:p>
      <w:pPr>
        <w:pStyle w:val="BodyText"/>
        <w:spacing w:line="247" w:lineRule="auto"/>
        <w:ind w:left="151" w:right="509" w:firstLine="397"/>
        <w:jc w:val="both"/>
      </w:pPr>
      <w:r>
        <w:rPr/>
        <w:t>Los beneficios señalados en este artículo se otorgarán únicamente respecto del inmueble que se habite     y no serán acumulables a los establecidos en el artículo</w:t>
      </w:r>
      <w:r>
        <w:rPr>
          <w:spacing w:val="17"/>
        </w:rPr>
        <w:t> </w:t>
      </w:r>
      <w:r>
        <w:rPr/>
        <w:t>36.</w:t>
      </w:r>
    </w:p>
    <w:p>
      <w:pPr>
        <w:pStyle w:val="BodyText"/>
        <w:spacing w:before="4"/>
      </w:pPr>
    </w:p>
    <w:p>
      <w:pPr>
        <w:pStyle w:val="BodyText"/>
        <w:spacing w:line="244" w:lineRule="auto"/>
        <w:ind w:left="151" w:right="510" w:firstLine="397"/>
        <w:jc w:val="both"/>
      </w:pPr>
      <w:r>
        <w:rPr/>
        <w:t>En ningún caso el impuesto predial a pagar será inferior a las cuotas fijas establecidas en esta sección, salvo los casos mencionados en el primer párrafo del presente artículo.</w:t>
      </w:r>
    </w:p>
    <w:p>
      <w:pPr>
        <w:pStyle w:val="BodyText"/>
        <w:spacing w:before="6"/>
      </w:pPr>
    </w:p>
    <w:p>
      <w:pPr>
        <w:pStyle w:val="BodyText"/>
        <w:spacing w:line="247" w:lineRule="auto" w:before="1"/>
        <w:ind w:left="151" w:right="508" w:firstLine="373"/>
        <w:jc w:val="both"/>
      </w:pPr>
      <w:r>
        <w:rPr>
          <w:b/>
        </w:rPr>
        <w:t>Artículo 38.- </w:t>
      </w:r>
      <w:r>
        <w:rPr/>
        <w:t>Para el caso de predios edificados y no edificados y que se incremente su valor fiscal con motivo de una valuación masiva o que se encuentren tributando con las tasas a que se refieren los incisos y fracciones del artículo 34 de esta ley, y cuyo valor fiscal se ubique en un rango de $0.01 a $1´000,000.00 el incremento en el impuesto predial a pagar no será superior al 5% de lo que resultó en el año fiscal inmediato anterior. Si los predios referidos registran valores fiscales superiores a $1´000,000.01 y hasta $4,000,000.00 el incremento en el impuesto a pagar no será mayor al 15% de lo que resultó en el año fiscal inmediato anterior.</w:t>
      </w:r>
    </w:p>
    <w:p>
      <w:pPr>
        <w:pStyle w:val="BodyText"/>
        <w:spacing w:before="1"/>
      </w:pPr>
    </w:p>
    <w:p>
      <w:pPr>
        <w:pStyle w:val="BodyText"/>
        <w:spacing w:line="247" w:lineRule="auto"/>
        <w:ind w:left="151" w:right="509" w:firstLine="373"/>
        <w:jc w:val="both"/>
      </w:pPr>
      <w:r>
        <w:rPr/>
        <w:t>En el caso de predios que durante el presente año fiscal se actualice su valor fiscal con motivo de la transmisión de propiedad o se modifiquen sus valores por los supuestos establecidos en las fracciones I, </w:t>
      </w:r>
      <w:r>
        <w:rPr>
          <w:spacing w:val="-5"/>
        </w:rPr>
        <w:t>IV, </w:t>
      </w:r>
      <w:r>
        <w:rPr>
          <w:spacing w:val="-7"/>
        </w:rPr>
        <w:t>V,</w:t>
      </w:r>
      <w:r>
        <w:rPr>
          <w:spacing w:val="27"/>
        </w:rPr>
        <w:t> </w:t>
      </w:r>
      <w:r>
        <w:rPr/>
        <w:t>VII y IX del artículo 66, de los valores fiscales, tasas y cuotas fijas de la Ley de Catastro Municipal del Estado,    el impuesto a pagar será el que resulte de la aplicación de las tasas y cuotas fijas a que se refiere la presente sección.</w:t>
      </w:r>
    </w:p>
    <w:p>
      <w:pPr>
        <w:pStyle w:val="BodyText"/>
        <w:spacing w:before="1"/>
      </w:pPr>
    </w:p>
    <w:p>
      <w:pPr>
        <w:pStyle w:val="BodyText"/>
        <w:spacing w:line="244" w:lineRule="auto" w:before="1"/>
        <w:ind w:left="151" w:right="510" w:firstLine="373"/>
        <w:jc w:val="both"/>
      </w:pPr>
      <w:r>
        <w:rPr/>
        <w:t>Tratándose de actos de transmisión de propiedad realizados en el presente ejercicio  fiscal  y  que  hubiesen pagado la anualidad completa en los términos del artículo 34 de esta </w:t>
      </w:r>
      <w:r>
        <w:rPr>
          <w:spacing w:val="-4"/>
        </w:rPr>
        <w:t>ley, </w:t>
      </w:r>
      <w:r>
        <w:rPr/>
        <w:t>la liberación  en  el  incremento del pago del impuesto predial surtirá efectos hasta el siguiente ejercicio</w:t>
      </w:r>
      <w:r>
        <w:rPr>
          <w:spacing w:val="4"/>
        </w:rPr>
        <w:t> </w:t>
      </w:r>
      <w:r>
        <w:rPr/>
        <w:t>fiscal.</w:t>
      </w:r>
    </w:p>
    <w:p>
      <w:pPr>
        <w:pStyle w:val="BodyText"/>
        <w:spacing w:before="8"/>
      </w:pPr>
    </w:p>
    <w:p>
      <w:pPr>
        <w:pStyle w:val="Heading4"/>
        <w:ind w:left="273" w:right="632"/>
      </w:pPr>
      <w:r>
        <w:rPr/>
        <w:t>SECCIÓN SEGUNDA</w:t>
      </w:r>
    </w:p>
    <w:p>
      <w:pPr>
        <w:spacing w:after="0"/>
        <w:sectPr>
          <w:type w:val="continuous"/>
          <w:pgSz w:w="23250" w:h="15310" w:orient="landscape"/>
          <w:pgMar w:top="0" w:bottom="0" w:left="1880" w:right="1520"/>
          <w:cols w:num="2" w:equalWidth="0">
            <w:col w:w="7753" w:space="3869"/>
            <w:col w:w="8228"/>
          </w:cols>
        </w:sectPr>
      </w:pPr>
    </w:p>
    <w:p>
      <w:pPr>
        <w:pStyle w:val="BodyText"/>
        <w:rPr>
          <w:b/>
          <w:sz w:val="20"/>
        </w:rPr>
      </w:pPr>
    </w:p>
    <w:p>
      <w:pPr>
        <w:pStyle w:val="BodyText"/>
        <w:spacing w:before="8"/>
        <w:rPr>
          <w:b/>
          <w:sz w:val="29"/>
        </w:rPr>
      </w:pPr>
    </w:p>
    <w:p>
      <w:pPr>
        <w:spacing w:after="0"/>
        <w:rPr>
          <w:sz w:val="29"/>
        </w:rPr>
        <w:sectPr>
          <w:headerReference w:type="default" r:id="rId61"/>
          <w:pgSz w:w="23250" w:h="15310" w:orient="landscape"/>
          <w:pgMar w:header="881" w:footer="499" w:top="1920" w:bottom="680" w:left="1880" w:right="1520"/>
        </w:sectPr>
      </w:pPr>
    </w:p>
    <w:p>
      <w:pPr>
        <w:spacing w:line="247" w:lineRule="auto" w:before="98"/>
        <w:ind w:left="299" w:right="185" w:firstLine="0"/>
        <w:jc w:val="center"/>
        <w:rPr>
          <w:b/>
          <w:sz w:val="15"/>
        </w:rPr>
      </w:pPr>
      <w:r>
        <w:rPr>
          <w:b/>
          <w:sz w:val="15"/>
        </w:rPr>
        <w:t>Del Impuesto Sobre Negocios Jurídicos en Materia de Contratos o Actos Relativos a la Construcción, Reconstrucción o Ampliación de Inmuebles</w:t>
      </w:r>
    </w:p>
    <w:p>
      <w:pPr>
        <w:pStyle w:val="BodyText"/>
        <w:spacing w:before="4"/>
        <w:rPr>
          <w:b/>
          <w:sz w:val="21"/>
        </w:rPr>
      </w:pPr>
    </w:p>
    <w:p>
      <w:pPr>
        <w:pStyle w:val="BodyText"/>
        <w:spacing w:line="247" w:lineRule="auto"/>
        <w:ind w:left="587" w:right="3072" w:firstLine="357"/>
        <w:jc w:val="both"/>
      </w:pPr>
      <w:r>
        <w:rPr>
          <w:b/>
        </w:rPr>
        <w:t>Artículo 39.- </w:t>
      </w:r>
      <w:r>
        <w:rPr/>
        <w:t>Este impuesto se causará y pagará, respecto de los actos o contratos, cuando su objeto sea la construcción, reconstrucción o ampliación de inmuebles, y  de conformidad con lo previsto en el capítulo correspondiente de la Ley de Hacienda Municipal</w:t>
      </w:r>
      <w:r>
        <w:rPr>
          <w:spacing w:val="8"/>
        </w:rPr>
        <w:t> </w:t>
      </w:r>
      <w:r>
        <w:rPr/>
        <w:t>del</w:t>
      </w:r>
    </w:p>
    <w:p>
      <w:pPr>
        <w:pStyle w:val="BodyText"/>
        <w:tabs>
          <w:tab w:pos="5021" w:val="left" w:leader="none"/>
        </w:tabs>
        <w:spacing w:line="169" w:lineRule="exact"/>
        <w:ind w:left="587"/>
        <w:jc w:val="both"/>
      </w:pPr>
      <w:r>
        <w:rPr/>
        <w:t>Estado de Jalisco, aplicando la tasa </w:t>
      </w:r>
      <w:r>
        <w:rPr>
          <w:spacing w:val="1"/>
        </w:rPr>
        <w:t> </w:t>
      </w:r>
      <w:r>
        <w:rPr/>
        <w:t>por</w:t>
      </w:r>
      <w:r>
        <w:rPr>
          <w:spacing w:val="7"/>
        </w:rPr>
        <w:t> </w:t>
      </w:r>
      <w:r>
        <w:rPr/>
        <w:t>de:</w:t>
        <w:tab/>
        <w:t>1.25%;</w:t>
      </w:r>
    </w:p>
    <w:p>
      <w:pPr>
        <w:pStyle w:val="BodyText"/>
        <w:spacing w:before="9"/>
      </w:pPr>
    </w:p>
    <w:p>
      <w:pPr>
        <w:pStyle w:val="BodyText"/>
        <w:spacing w:line="247" w:lineRule="auto"/>
        <w:ind w:left="150" w:right="199" w:firstLine="397"/>
      </w:pPr>
      <w:r>
        <w:rPr/>
        <w:t>El porcentaje se aplicará sobre los costos de construcción publicados en las tablas de valores unitarios    de terrenos y construcciones, ubicados en el Municipio de Tlajomulco de Zúñiga,</w:t>
      </w:r>
      <w:r>
        <w:rPr>
          <w:spacing w:val="38"/>
        </w:rPr>
        <w:t> </w:t>
      </w:r>
      <w:r>
        <w:rPr/>
        <w:t>Jalisco.</w:t>
      </w:r>
    </w:p>
    <w:p>
      <w:pPr>
        <w:pStyle w:val="BodyText"/>
        <w:spacing w:before="4"/>
      </w:pPr>
    </w:p>
    <w:p>
      <w:pPr>
        <w:pStyle w:val="BodyText"/>
        <w:ind w:left="548"/>
        <w:jc w:val="both"/>
      </w:pPr>
      <w:r>
        <w:rPr/>
        <w:t>En el Municipio no serán aplicables los supuestos de exención de este impuesto previstos en los incisos</w:t>
      </w:r>
    </w:p>
    <w:p>
      <w:pPr>
        <w:pStyle w:val="ListParagraph"/>
        <w:numPr>
          <w:ilvl w:val="0"/>
          <w:numId w:val="15"/>
        </w:numPr>
        <w:tabs>
          <w:tab w:pos="322" w:val="left" w:leader="none"/>
        </w:tabs>
        <w:spacing w:line="240" w:lineRule="auto" w:before="5" w:after="0"/>
        <w:ind w:left="321" w:right="0" w:hanging="172"/>
        <w:jc w:val="left"/>
        <w:rPr>
          <w:sz w:val="15"/>
        </w:rPr>
      </w:pPr>
      <w:r>
        <w:rPr>
          <w:sz w:val="15"/>
        </w:rPr>
        <w:t>y</w:t>
      </w:r>
      <w:r>
        <w:rPr>
          <w:spacing w:val="3"/>
          <w:sz w:val="15"/>
        </w:rPr>
        <w:t> </w:t>
      </w:r>
      <w:r>
        <w:rPr>
          <w:sz w:val="15"/>
        </w:rPr>
        <w:t>d)</w:t>
      </w:r>
      <w:r>
        <w:rPr>
          <w:spacing w:val="4"/>
          <w:sz w:val="15"/>
        </w:rPr>
        <w:t> </w:t>
      </w:r>
      <w:r>
        <w:rPr>
          <w:sz w:val="15"/>
        </w:rPr>
        <w:t>del</w:t>
      </w:r>
      <w:r>
        <w:rPr>
          <w:spacing w:val="4"/>
          <w:sz w:val="15"/>
        </w:rPr>
        <w:t> </w:t>
      </w:r>
      <w:r>
        <w:rPr>
          <w:sz w:val="15"/>
        </w:rPr>
        <w:t>artículo</w:t>
      </w:r>
      <w:r>
        <w:rPr>
          <w:spacing w:val="3"/>
          <w:sz w:val="15"/>
        </w:rPr>
        <w:t> </w:t>
      </w:r>
      <w:r>
        <w:rPr>
          <w:sz w:val="15"/>
        </w:rPr>
        <w:t>131</w:t>
      </w:r>
      <w:r>
        <w:rPr>
          <w:spacing w:val="4"/>
          <w:sz w:val="15"/>
        </w:rPr>
        <w:t> </w:t>
      </w:r>
      <w:r>
        <w:rPr>
          <w:sz w:val="15"/>
        </w:rPr>
        <w:t>bis,</w:t>
      </w:r>
      <w:r>
        <w:rPr>
          <w:spacing w:val="4"/>
          <w:sz w:val="15"/>
        </w:rPr>
        <w:t> </w:t>
      </w:r>
      <w:r>
        <w:rPr>
          <w:sz w:val="15"/>
        </w:rPr>
        <w:t>fracción</w:t>
      </w:r>
      <w:r>
        <w:rPr>
          <w:spacing w:val="4"/>
          <w:sz w:val="15"/>
        </w:rPr>
        <w:t> </w:t>
      </w:r>
      <w:r>
        <w:rPr>
          <w:sz w:val="15"/>
        </w:rPr>
        <w:t>VI</w:t>
      </w:r>
      <w:r>
        <w:rPr>
          <w:spacing w:val="3"/>
          <w:sz w:val="15"/>
        </w:rPr>
        <w:t> </w:t>
      </w:r>
      <w:r>
        <w:rPr>
          <w:sz w:val="15"/>
        </w:rPr>
        <w:t>de</w:t>
      </w:r>
      <w:r>
        <w:rPr>
          <w:spacing w:val="4"/>
          <w:sz w:val="15"/>
        </w:rPr>
        <w:t> </w:t>
      </w:r>
      <w:r>
        <w:rPr>
          <w:sz w:val="15"/>
        </w:rPr>
        <w:t>la</w:t>
      </w:r>
      <w:r>
        <w:rPr>
          <w:spacing w:val="4"/>
          <w:sz w:val="15"/>
        </w:rPr>
        <w:t> </w:t>
      </w:r>
      <w:r>
        <w:rPr>
          <w:sz w:val="15"/>
        </w:rPr>
        <w:t>Ley</w:t>
      </w:r>
      <w:r>
        <w:rPr>
          <w:spacing w:val="4"/>
          <w:sz w:val="15"/>
        </w:rPr>
        <w:t> </w:t>
      </w:r>
      <w:r>
        <w:rPr>
          <w:sz w:val="15"/>
        </w:rPr>
        <w:t>de</w:t>
      </w:r>
      <w:r>
        <w:rPr>
          <w:spacing w:val="3"/>
          <w:sz w:val="15"/>
        </w:rPr>
        <w:t> </w:t>
      </w:r>
      <w:r>
        <w:rPr>
          <w:sz w:val="15"/>
        </w:rPr>
        <w:t>Hacienda</w:t>
      </w:r>
      <w:r>
        <w:rPr>
          <w:spacing w:val="3"/>
          <w:sz w:val="15"/>
        </w:rPr>
        <w:t> </w:t>
      </w:r>
      <w:r>
        <w:rPr>
          <w:sz w:val="15"/>
        </w:rPr>
        <w:t>Municipal</w:t>
      </w:r>
      <w:r>
        <w:rPr>
          <w:spacing w:val="4"/>
          <w:sz w:val="15"/>
        </w:rPr>
        <w:t> </w:t>
      </w:r>
      <w:r>
        <w:rPr>
          <w:sz w:val="15"/>
        </w:rPr>
        <w:t>del</w:t>
      </w:r>
      <w:r>
        <w:rPr>
          <w:spacing w:val="3"/>
          <w:sz w:val="15"/>
        </w:rPr>
        <w:t> </w:t>
      </w:r>
      <w:r>
        <w:rPr>
          <w:sz w:val="15"/>
        </w:rPr>
        <w:t>Estado</w:t>
      </w:r>
      <w:r>
        <w:rPr>
          <w:spacing w:val="4"/>
          <w:sz w:val="15"/>
        </w:rPr>
        <w:t> </w:t>
      </w:r>
      <w:r>
        <w:rPr>
          <w:sz w:val="15"/>
        </w:rPr>
        <w:t>de</w:t>
      </w:r>
      <w:r>
        <w:rPr>
          <w:spacing w:val="4"/>
          <w:sz w:val="15"/>
        </w:rPr>
        <w:t> </w:t>
      </w:r>
      <w:r>
        <w:rPr>
          <w:sz w:val="15"/>
        </w:rPr>
        <w:t>Jalisco.</w:t>
      </w:r>
    </w:p>
    <w:p>
      <w:pPr>
        <w:pStyle w:val="BodyText"/>
        <w:spacing w:before="8"/>
      </w:pPr>
    </w:p>
    <w:p>
      <w:pPr>
        <w:pStyle w:val="BodyText"/>
        <w:spacing w:line="247" w:lineRule="auto"/>
        <w:ind w:left="150" w:right="199" w:firstLine="397"/>
      </w:pPr>
      <w:r>
        <w:rPr/>
        <w:t>Para efectos del presente ordenamiento, el Director General de Obras Publicas emitirá la propuesta de cobro que contendrá el monto a pagar por los contribuyentes.</w:t>
      </w:r>
    </w:p>
    <w:p>
      <w:pPr>
        <w:pStyle w:val="BodyText"/>
        <w:spacing w:before="4"/>
      </w:pPr>
    </w:p>
    <w:p>
      <w:pPr>
        <w:pStyle w:val="BodyText"/>
        <w:spacing w:line="247" w:lineRule="auto"/>
        <w:ind w:left="150" w:right="199" w:firstLine="397"/>
      </w:pPr>
      <w:r>
        <w:rPr>
          <w:b/>
        </w:rPr>
        <w:t>Artículo 40.- </w:t>
      </w:r>
      <w:r>
        <w:rPr/>
        <w:t>Pagarán un 15% adicional al impuesto que resulte de aplicar la  tarifa  señalada  en  el artículo anterior,</w:t>
      </w:r>
      <w:r>
        <w:rPr>
          <w:spacing w:val="2"/>
        </w:rPr>
        <w:t> </w:t>
      </w:r>
      <w:r>
        <w:rPr/>
        <w:t>quienes:</w:t>
      </w:r>
    </w:p>
    <w:p>
      <w:pPr>
        <w:pStyle w:val="BodyText"/>
        <w:spacing w:before="3"/>
      </w:pPr>
    </w:p>
    <w:p>
      <w:pPr>
        <w:pStyle w:val="ListParagraph"/>
        <w:numPr>
          <w:ilvl w:val="1"/>
          <w:numId w:val="15"/>
        </w:numPr>
        <w:tabs>
          <w:tab w:pos="742" w:val="left" w:leader="none"/>
        </w:tabs>
        <w:spacing w:line="247" w:lineRule="auto" w:before="0" w:after="0"/>
        <w:ind w:left="150" w:right="39" w:firstLine="397"/>
        <w:jc w:val="both"/>
        <w:rPr>
          <w:sz w:val="15"/>
        </w:rPr>
      </w:pPr>
      <w:r>
        <w:rPr>
          <w:sz w:val="15"/>
        </w:rPr>
        <w:t>Tramiten una licencia de urbanización o simultánea de urbanización y edificación para  uso  habitacional, en los términos del Código Urbano para el Estado de Jalisco y el Reglamento Municipal de Zonificación de Tlajomulco de Zúñiga,</w:t>
      </w:r>
      <w:r>
        <w:rPr>
          <w:spacing w:val="4"/>
          <w:sz w:val="15"/>
        </w:rPr>
        <w:t> </w:t>
      </w:r>
      <w:r>
        <w:rPr>
          <w:sz w:val="15"/>
        </w:rPr>
        <w:t>Jalisco;</w:t>
      </w:r>
    </w:p>
    <w:p>
      <w:pPr>
        <w:pStyle w:val="BodyText"/>
        <w:spacing w:before="3"/>
      </w:pPr>
    </w:p>
    <w:p>
      <w:pPr>
        <w:pStyle w:val="ListParagraph"/>
        <w:numPr>
          <w:ilvl w:val="1"/>
          <w:numId w:val="15"/>
        </w:numPr>
        <w:tabs>
          <w:tab w:pos="772" w:val="left" w:leader="none"/>
        </w:tabs>
        <w:spacing w:line="244" w:lineRule="auto" w:before="1" w:after="0"/>
        <w:ind w:left="150" w:right="39" w:firstLine="397"/>
        <w:jc w:val="both"/>
        <w:rPr>
          <w:sz w:val="15"/>
        </w:rPr>
      </w:pPr>
      <w:r>
        <w:rPr>
          <w:sz w:val="15"/>
        </w:rPr>
        <w:t>Que la urbanización o construcción que se realice sea superior a 600 metros cuadrados de construcción;</w:t>
      </w:r>
      <w:r>
        <w:rPr>
          <w:spacing w:val="1"/>
          <w:sz w:val="15"/>
        </w:rPr>
        <w:t> </w:t>
      </w:r>
      <w:r>
        <w:rPr>
          <w:sz w:val="15"/>
        </w:rPr>
        <w:t>y</w:t>
      </w:r>
    </w:p>
    <w:p>
      <w:pPr>
        <w:pStyle w:val="BodyText"/>
        <w:spacing w:before="6"/>
      </w:pPr>
    </w:p>
    <w:p>
      <w:pPr>
        <w:pStyle w:val="ListParagraph"/>
        <w:numPr>
          <w:ilvl w:val="1"/>
          <w:numId w:val="15"/>
        </w:numPr>
        <w:tabs>
          <w:tab w:pos="775" w:val="left" w:leader="none"/>
        </w:tabs>
        <w:spacing w:line="247" w:lineRule="auto" w:before="0" w:after="0"/>
        <w:ind w:left="150" w:right="39" w:firstLine="397"/>
        <w:jc w:val="both"/>
        <w:rPr>
          <w:sz w:val="15"/>
        </w:rPr>
      </w:pPr>
      <w:r>
        <w:rPr>
          <w:sz w:val="15"/>
        </w:rPr>
        <w:t>Que el objeto social del sujeto obligado o la finalidad de desarrollar la acción urbanística de que se trate,</w:t>
      </w:r>
      <w:r>
        <w:rPr>
          <w:spacing w:val="7"/>
          <w:sz w:val="15"/>
        </w:rPr>
        <w:t> </w:t>
      </w:r>
      <w:r>
        <w:rPr>
          <w:sz w:val="15"/>
        </w:rPr>
        <w:t>sea,</w:t>
      </w:r>
      <w:r>
        <w:rPr>
          <w:spacing w:val="8"/>
          <w:sz w:val="15"/>
        </w:rPr>
        <w:t> </w:t>
      </w:r>
      <w:r>
        <w:rPr>
          <w:sz w:val="15"/>
        </w:rPr>
        <w:t>en</w:t>
      </w:r>
      <w:r>
        <w:rPr>
          <w:spacing w:val="7"/>
          <w:sz w:val="15"/>
        </w:rPr>
        <w:t> </w:t>
      </w:r>
      <w:r>
        <w:rPr>
          <w:sz w:val="15"/>
        </w:rPr>
        <w:t>último</w:t>
      </w:r>
      <w:r>
        <w:rPr>
          <w:spacing w:val="8"/>
          <w:sz w:val="15"/>
        </w:rPr>
        <w:t> </w:t>
      </w:r>
      <w:r>
        <w:rPr>
          <w:sz w:val="15"/>
        </w:rPr>
        <w:t>término,</w:t>
      </w:r>
      <w:r>
        <w:rPr>
          <w:spacing w:val="8"/>
          <w:sz w:val="15"/>
        </w:rPr>
        <w:t> </w:t>
      </w:r>
      <w:r>
        <w:rPr>
          <w:sz w:val="15"/>
        </w:rPr>
        <w:t>obtener</w:t>
      </w:r>
      <w:r>
        <w:rPr>
          <w:spacing w:val="7"/>
          <w:sz w:val="15"/>
        </w:rPr>
        <w:t> </w:t>
      </w:r>
      <w:r>
        <w:rPr>
          <w:sz w:val="15"/>
        </w:rPr>
        <w:t>alguna</w:t>
      </w:r>
      <w:r>
        <w:rPr>
          <w:spacing w:val="8"/>
          <w:sz w:val="15"/>
        </w:rPr>
        <w:t> </w:t>
      </w:r>
      <w:r>
        <w:rPr>
          <w:sz w:val="15"/>
        </w:rPr>
        <w:t>ganancia</w:t>
      </w:r>
      <w:r>
        <w:rPr>
          <w:spacing w:val="7"/>
          <w:sz w:val="15"/>
        </w:rPr>
        <w:t> </w:t>
      </w:r>
      <w:r>
        <w:rPr>
          <w:sz w:val="15"/>
        </w:rPr>
        <w:t>económica</w:t>
      </w:r>
      <w:r>
        <w:rPr>
          <w:spacing w:val="8"/>
          <w:sz w:val="15"/>
        </w:rPr>
        <w:t> </w:t>
      </w:r>
      <w:r>
        <w:rPr>
          <w:sz w:val="15"/>
        </w:rPr>
        <w:t>derivado</w:t>
      </w:r>
      <w:r>
        <w:rPr>
          <w:spacing w:val="8"/>
          <w:sz w:val="15"/>
        </w:rPr>
        <w:t> </w:t>
      </w:r>
      <w:r>
        <w:rPr>
          <w:sz w:val="15"/>
        </w:rPr>
        <w:t>del</w:t>
      </w:r>
      <w:r>
        <w:rPr>
          <w:spacing w:val="7"/>
          <w:sz w:val="15"/>
        </w:rPr>
        <w:t> </w:t>
      </w:r>
      <w:r>
        <w:rPr>
          <w:sz w:val="15"/>
        </w:rPr>
        <w:t>desarrollo</w:t>
      </w:r>
      <w:r>
        <w:rPr>
          <w:spacing w:val="8"/>
          <w:sz w:val="15"/>
        </w:rPr>
        <w:t> </w:t>
      </w:r>
      <w:r>
        <w:rPr>
          <w:sz w:val="15"/>
        </w:rPr>
        <w:t>que</w:t>
      </w:r>
      <w:r>
        <w:rPr>
          <w:spacing w:val="8"/>
          <w:sz w:val="15"/>
        </w:rPr>
        <w:t> </w:t>
      </w:r>
      <w:r>
        <w:rPr>
          <w:sz w:val="15"/>
        </w:rPr>
        <w:t>se</w:t>
      </w:r>
      <w:r>
        <w:rPr>
          <w:spacing w:val="7"/>
          <w:sz w:val="15"/>
        </w:rPr>
        <w:t> </w:t>
      </w:r>
      <w:r>
        <w:rPr>
          <w:sz w:val="15"/>
        </w:rPr>
        <w:t>ejecute.</w:t>
      </w:r>
    </w:p>
    <w:p>
      <w:pPr>
        <w:pStyle w:val="BodyText"/>
        <w:spacing w:before="4"/>
      </w:pPr>
    </w:p>
    <w:p>
      <w:pPr>
        <w:pStyle w:val="Heading4"/>
        <w:ind w:left="296" w:right="185"/>
      </w:pPr>
      <w:r>
        <w:rPr/>
        <w:t>CAPÍTULO TERCERO</w:t>
      </w:r>
    </w:p>
    <w:p>
      <w:pPr>
        <w:spacing w:before="5"/>
        <w:ind w:left="295" w:right="185" w:firstLine="0"/>
        <w:jc w:val="center"/>
        <w:rPr>
          <w:b/>
          <w:sz w:val="15"/>
        </w:rPr>
      </w:pPr>
      <w:r>
        <w:rPr>
          <w:b/>
          <w:sz w:val="15"/>
        </w:rPr>
        <w:t>De los Impuestos sobre la Producción, el Consumo y las Transacciones</w:t>
      </w:r>
    </w:p>
    <w:p>
      <w:pPr>
        <w:pStyle w:val="BodyText"/>
        <w:spacing w:before="9"/>
        <w:rPr>
          <w:b/>
        </w:rPr>
      </w:pPr>
    </w:p>
    <w:p>
      <w:pPr>
        <w:spacing w:before="0"/>
        <w:ind w:left="293" w:right="185" w:firstLine="0"/>
        <w:jc w:val="center"/>
        <w:rPr>
          <w:b/>
          <w:sz w:val="15"/>
        </w:rPr>
      </w:pPr>
      <w:r>
        <w:rPr>
          <w:b/>
          <w:sz w:val="15"/>
        </w:rPr>
        <w:t>SECCIÓN PRIMERA</w:t>
      </w:r>
    </w:p>
    <w:p>
      <w:pPr>
        <w:spacing w:before="5"/>
        <w:ind w:left="295" w:right="185" w:firstLine="0"/>
        <w:jc w:val="center"/>
        <w:rPr>
          <w:b/>
          <w:sz w:val="15"/>
        </w:rPr>
      </w:pPr>
      <w:r>
        <w:rPr>
          <w:b/>
          <w:sz w:val="15"/>
        </w:rPr>
        <w:t>Del Impuesto sobre Transmisiones Patrimoniales</w:t>
      </w:r>
    </w:p>
    <w:p>
      <w:pPr>
        <w:pStyle w:val="BodyText"/>
        <w:rPr>
          <w:b/>
          <w:sz w:val="16"/>
        </w:rPr>
      </w:pPr>
    </w:p>
    <w:p>
      <w:pPr>
        <w:pStyle w:val="BodyText"/>
        <w:spacing w:before="1"/>
        <w:rPr>
          <w:b/>
        </w:rPr>
      </w:pPr>
    </w:p>
    <w:p>
      <w:pPr>
        <w:pStyle w:val="BodyText"/>
        <w:spacing w:line="247" w:lineRule="auto"/>
        <w:ind w:left="150" w:firstLine="397"/>
      </w:pPr>
      <w:r>
        <w:rPr>
          <w:b/>
        </w:rPr>
        <w:t>Artículo 41.- </w:t>
      </w:r>
      <w:r>
        <w:rPr/>
        <w:t>Este impuesto se causará y pagará de conformidad con lo previsto en el capítulo correspondiente de la Ley de Hacienda Municipal del Estado de Jalisco, aplicando la siguiente:</w:t>
      </w:r>
    </w:p>
    <w:p>
      <w:pPr>
        <w:pStyle w:val="BodyText"/>
        <w:spacing w:before="2"/>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6"/>
        <w:gridCol w:w="1489"/>
        <w:gridCol w:w="1272"/>
        <w:gridCol w:w="1206"/>
      </w:tblGrid>
      <w:tr>
        <w:trPr>
          <w:trHeight w:val="1059" w:hRule="atLeast"/>
        </w:trPr>
        <w:tc>
          <w:tcPr>
            <w:tcW w:w="1436" w:type="dxa"/>
          </w:tcPr>
          <w:p>
            <w:pPr>
              <w:pStyle w:val="TableParagraph"/>
              <w:rPr>
                <w:sz w:val="16"/>
              </w:rPr>
            </w:pPr>
          </w:p>
          <w:p>
            <w:pPr>
              <w:pStyle w:val="TableParagraph"/>
              <w:spacing w:before="6"/>
              <w:rPr>
                <w:sz w:val="22"/>
              </w:rPr>
            </w:pPr>
          </w:p>
          <w:p>
            <w:pPr>
              <w:pStyle w:val="TableParagraph"/>
              <w:ind w:right="66"/>
              <w:jc w:val="right"/>
              <w:rPr>
                <w:b/>
                <w:sz w:val="15"/>
              </w:rPr>
            </w:pPr>
            <w:r>
              <w:rPr>
                <w:b/>
                <w:sz w:val="15"/>
              </w:rPr>
              <w:t>LIMITE INFERIOR</w:t>
            </w:r>
          </w:p>
        </w:tc>
        <w:tc>
          <w:tcPr>
            <w:tcW w:w="1489" w:type="dxa"/>
          </w:tcPr>
          <w:p>
            <w:pPr>
              <w:pStyle w:val="TableParagraph"/>
              <w:rPr>
                <w:sz w:val="16"/>
              </w:rPr>
            </w:pPr>
          </w:p>
          <w:p>
            <w:pPr>
              <w:pStyle w:val="TableParagraph"/>
              <w:spacing w:before="6"/>
              <w:rPr>
                <w:sz w:val="22"/>
              </w:rPr>
            </w:pPr>
          </w:p>
          <w:p>
            <w:pPr>
              <w:pStyle w:val="TableParagraph"/>
              <w:ind w:right="57"/>
              <w:jc w:val="right"/>
              <w:rPr>
                <w:b/>
                <w:sz w:val="15"/>
              </w:rPr>
            </w:pPr>
            <w:r>
              <w:rPr>
                <w:b/>
                <w:sz w:val="15"/>
              </w:rPr>
              <w:t>LIMITE SUPERIOR</w:t>
            </w:r>
          </w:p>
        </w:tc>
        <w:tc>
          <w:tcPr>
            <w:tcW w:w="1272" w:type="dxa"/>
          </w:tcPr>
          <w:p>
            <w:pPr>
              <w:pStyle w:val="TableParagraph"/>
              <w:rPr>
                <w:sz w:val="16"/>
              </w:rPr>
            </w:pPr>
          </w:p>
          <w:p>
            <w:pPr>
              <w:pStyle w:val="TableParagraph"/>
              <w:spacing w:before="6"/>
              <w:rPr>
                <w:sz w:val="22"/>
              </w:rPr>
            </w:pPr>
          </w:p>
          <w:p>
            <w:pPr>
              <w:pStyle w:val="TableParagraph"/>
              <w:ind w:left="182"/>
              <w:rPr>
                <w:b/>
                <w:sz w:val="15"/>
              </w:rPr>
            </w:pPr>
            <w:r>
              <w:rPr>
                <w:b/>
                <w:sz w:val="15"/>
              </w:rPr>
              <w:t>CUOTA FIJA</w:t>
            </w:r>
          </w:p>
        </w:tc>
        <w:tc>
          <w:tcPr>
            <w:tcW w:w="1206" w:type="dxa"/>
          </w:tcPr>
          <w:p>
            <w:pPr>
              <w:pStyle w:val="TableParagraph"/>
              <w:spacing w:line="247" w:lineRule="auto" w:before="1"/>
              <w:ind w:left="131" w:right="121" w:firstLine="6"/>
              <w:jc w:val="center"/>
              <w:rPr>
                <w:b/>
                <w:sz w:val="15"/>
              </w:rPr>
            </w:pPr>
            <w:r>
              <w:rPr>
                <w:b/>
                <w:sz w:val="15"/>
              </w:rPr>
              <w:t>TASA MARGINAL SOBRE EXCEDENTE LÍMITE</w:t>
            </w:r>
          </w:p>
          <w:p>
            <w:pPr>
              <w:pStyle w:val="TableParagraph"/>
              <w:spacing w:line="150" w:lineRule="exact"/>
              <w:ind w:left="223" w:right="215"/>
              <w:jc w:val="center"/>
              <w:rPr>
                <w:b/>
                <w:sz w:val="15"/>
              </w:rPr>
            </w:pPr>
            <w:r>
              <w:rPr>
                <w:b/>
                <w:sz w:val="15"/>
              </w:rPr>
              <w:t>INFERIOR</w:t>
            </w:r>
          </w:p>
        </w:tc>
      </w:tr>
      <w:tr>
        <w:trPr>
          <w:trHeight w:val="206" w:hRule="atLeast"/>
        </w:trPr>
        <w:tc>
          <w:tcPr>
            <w:tcW w:w="1436" w:type="dxa"/>
          </w:tcPr>
          <w:p>
            <w:pPr>
              <w:pStyle w:val="TableParagraph"/>
              <w:spacing w:line="153" w:lineRule="exact" w:before="33"/>
              <w:ind w:right="39"/>
              <w:jc w:val="right"/>
              <w:rPr>
                <w:sz w:val="15"/>
              </w:rPr>
            </w:pPr>
            <w:r>
              <w:rPr>
                <w:sz w:val="15"/>
              </w:rPr>
              <w:t>$ 0.01</w:t>
            </w:r>
          </w:p>
        </w:tc>
        <w:tc>
          <w:tcPr>
            <w:tcW w:w="1489" w:type="dxa"/>
          </w:tcPr>
          <w:p>
            <w:pPr>
              <w:pStyle w:val="TableParagraph"/>
              <w:spacing w:line="153" w:lineRule="exact" w:before="33"/>
              <w:ind w:right="39"/>
              <w:jc w:val="right"/>
              <w:rPr>
                <w:sz w:val="15"/>
              </w:rPr>
            </w:pPr>
            <w:r>
              <w:rPr>
                <w:sz w:val="15"/>
              </w:rPr>
              <w:t>$ 200,000.00</w:t>
            </w:r>
          </w:p>
        </w:tc>
        <w:tc>
          <w:tcPr>
            <w:tcW w:w="1272" w:type="dxa"/>
          </w:tcPr>
          <w:p>
            <w:pPr>
              <w:pStyle w:val="TableParagraph"/>
              <w:spacing w:line="153" w:lineRule="exact" w:before="33"/>
              <w:ind w:right="38"/>
              <w:jc w:val="right"/>
              <w:rPr>
                <w:sz w:val="15"/>
              </w:rPr>
            </w:pPr>
            <w:r>
              <w:rPr>
                <w:sz w:val="15"/>
              </w:rPr>
              <w:t>$ 0.00</w:t>
            </w:r>
          </w:p>
        </w:tc>
        <w:tc>
          <w:tcPr>
            <w:tcW w:w="1206" w:type="dxa"/>
          </w:tcPr>
          <w:p>
            <w:pPr>
              <w:pStyle w:val="TableParagraph"/>
              <w:spacing w:line="153" w:lineRule="exact" w:before="33"/>
              <w:ind w:left="223" w:right="215"/>
              <w:jc w:val="center"/>
              <w:rPr>
                <w:sz w:val="15"/>
              </w:rPr>
            </w:pPr>
            <w:r>
              <w:rPr>
                <w:sz w:val="15"/>
              </w:rPr>
              <w:t>2.05%</w:t>
            </w:r>
          </w:p>
        </w:tc>
      </w:tr>
      <w:tr>
        <w:trPr>
          <w:trHeight w:val="206" w:hRule="atLeast"/>
        </w:trPr>
        <w:tc>
          <w:tcPr>
            <w:tcW w:w="1436" w:type="dxa"/>
          </w:tcPr>
          <w:p>
            <w:pPr>
              <w:pStyle w:val="TableParagraph"/>
              <w:spacing w:line="153" w:lineRule="exact" w:before="34"/>
              <w:ind w:right="39"/>
              <w:jc w:val="right"/>
              <w:rPr>
                <w:sz w:val="15"/>
              </w:rPr>
            </w:pPr>
            <w:r>
              <w:rPr>
                <w:sz w:val="15"/>
              </w:rPr>
              <w:t>$ 200,000.01</w:t>
            </w:r>
          </w:p>
        </w:tc>
        <w:tc>
          <w:tcPr>
            <w:tcW w:w="1489" w:type="dxa"/>
          </w:tcPr>
          <w:p>
            <w:pPr>
              <w:pStyle w:val="TableParagraph"/>
              <w:spacing w:line="153" w:lineRule="exact" w:before="34"/>
              <w:ind w:right="39"/>
              <w:jc w:val="right"/>
              <w:rPr>
                <w:sz w:val="15"/>
              </w:rPr>
            </w:pPr>
            <w:r>
              <w:rPr>
                <w:sz w:val="15"/>
              </w:rPr>
              <w:t>$ 500,000.00</w:t>
            </w:r>
          </w:p>
        </w:tc>
        <w:tc>
          <w:tcPr>
            <w:tcW w:w="1272" w:type="dxa"/>
          </w:tcPr>
          <w:p>
            <w:pPr>
              <w:pStyle w:val="TableParagraph"/>
              <w:spacing w:line="153" w:lineRule="exact" w:before="34"/>
              <w:ind w:right="39"/>
              <w:jc w:val="right"/>
              <w:rPr>
                <w:sz w:val="15"/>
              </w:rPr>
            </w:pPr>
            <w:r>
              <w:rPr>
                <w:sz w:val="15"/>
              </w:rPr>
              <w:t>$ 4,305.00</w:t>
            </w:r>
          </w:p>
        </w:tc>
        <w:tc>
          <w:tcPr>
            <w:tcW w:w="1206" w:type="dxa"/>
          </w:tcPr>
          <w:p>
            <w:pPr>
              <w:pStyle w:val="TableParagraph"/>
              <w:spacing w:line="153" w:lineRule="exact" w:before="34"/>
              <w:ind w:left="221" w:right="215"/>
              <w:jc w:val="center"/>
              <w:rPr>
                <w:sz w:val="15"/>
              </w:rPr>
            </w:pPr>
            <w:r>
              <w:rPr>
                <w:sz w:val="15"/>
              </w:rPr>
              <w:t>2.10%</w:t>
            </w:r>
          </w:p>
        </w:tc>
      </w:tr>
      <w:tr>
        <w:trPr>
          <w:trHeight w:val="207" w:hRule="atLeast"/>
        </w:trPr>
        <w:tc>
          <w:tcPr>
            <w:tcW w:w="1436" w:type="dxa"/>
          </w:tcPr>
          <w:p>
            <w:pPr>
              <w:pStyle w:val="TableParagraph"/>
              <w:spacing w:line="153" w:lineRule="exact" w:before="34"/>
              <w:ind w:right="39"/>
              <w:jc w:val="right"/>
              <w:rPr>
                <w:sz w:val="15"/>
              </w:rPr>
            </w:pPr>
            <w:r>
              <w:rPr>
                <w:sz w:val="15"/>
              </w:rPr>
              <w:t>$ 500,000.01</w:t>
            </w:r>
          </w:p>
        </w:tc>
        <w:tc>
          <w:tcPr>
            <w:tcW w:w="1489" w:type="dxa"/>
          </w:tcPr>
          <w:p>
            <w:pPr>
              <w:pStyle w:val="TableParagraph"/>
              <w:spacing w:line="153" w:lineRule="exact" w:before="34"/>
              <w:ind w:right="39"/>
              <w:jc w:val="right"/>
              <w:rPr>
                <w:sz w:val="15"/>
              </w:rPr>
            </w:pPr>
            <w:r>
              <w:rPr>
                <w:sz w:val="15"/>
              </w:rPr>
              <w:t>$ 1,000,000.00</w:t>
            </w:r>
          </w:p>
        </w:tc>
        <w:tc>
          <w:tcPr>
            <w:tcW w:w="1272" w:type="dxa"/>
          </w:tcPr>
          <w:p>
            <w:pPr>
              <w:pStyle w:val="TableParagraph"/>
              <w:spacing w:line="153" w:lineRule="exact" w:before="34"/>
              <w:ind w:right="38"/>
              <w:jc w:val="right"/>
              <w:rPr>
                <w:sz w:val="15"/>
              </w:rPr>
            </w:pPr>
            <w:r>
              <w:rPr>
                <w:sz w:val="15"/>
              </w:rPr>
              <w:t>$ 10,920.00</w:t>
            </w:r>
          </w:p>
        </w:tc>
        <w:tc>
          <w:tcPr>
            <w:tcW w:w="1206" w:type="dxa"/>
          </w:tcPr>
          <w:p>
            <w:pPr>
              <w:pStyle w:val="TableParagraph"/>
              <w:spacing w:line="153" w:lineRule="exact" w:before="34"/>
              <w:ind w:left="221" w:right="215"/>
              <w:jc w:val="center"/>
              <w:rPr>
                <w:sz w:val="15"/>
              </w:rPr>
            </w:pPr>
            <w:r>
              <w:rPr>
                <w:sz w:val="15"/>
              </w:rPr>
              <w:t>2.15%</w:t>
            </w:r>
          </w:p>
        </w:tc>
      </w:tr>
      <w:tr>
        <w:trPr>
          <w:trHeight w:val="206" w:hRule="atLeast"/>
        </w:trPr>
        <w:tc>
          <w:tcPr>
            <w:tcW w:w="1436" w:type="dxa"/>
          </w:tcPr>
          <w:p>
            <w:pPr>
              <w:pStyle w:val="TableParagraph"/>
              <w:spacing w:line="153" w:lineRule="exact" w:before="33"/>
              <w:ind w:right="39"/>
              <w:jc w:val="right"/>
              <w:rPr>
                <w:sz w:val="15"/>
              </w:rPr>
            </w:pPr>
            <w:r>
              <w:rPr>
                <w:sz w:val="15"/>
              </w:rPr>
              <w:t>$ 1,000,000.01</w:t>
            </w:r>
          </w:p>
        </w:tc>
        <w:tc>
          <w:tcPr>
            <w:tcW w:w="1489" w:type="dxa"/>
          </w:tcPr>
          <w:p>
            <w:pPr>
              <w:pStyle w:val="TableParagraph"/>
              <w:spacing w:line="153" w:lineRule="exact" w:before="33"/>
              <w:ind w:right="39"/>
              <w:jc w:val="right"/>
              <w:rPr>
                <w:sz w:val="15"/>
              </w:rPr>
            </w:pPr>
            <w:r>
              <w:rPr>
                <w:sz w:val="15"/>
              </w:rPr>
              <w:t>$ 1,500,000.00</w:t>
            </w:r>
          </w:p>
        </w:tc>
        <w:tc>
          <w:tcPr>
            <w:tcW w:w="1272" w:type="dxa"/>
          </w:tcPr>
          <w:p>
            <w:pPr>
              <w:pStyle w:val="TableParagraph"/>
              <w:spacing w:line="153" w:lineRule="exact" w:before="33"/>
              <w:ind w:right="38"/>
              <w:jc w:val="right"/>
              <w:rPr>
                <w:sz w:val="15"/>
              </w:rPr>
            </w:pPr>
            <w:r>
              <w:rPr>
                <w:sz w:val="15"/>
              </w:rPr>
              <w:t>$ 22,207.00</w:t>
            </w:r>
          </w:p>
        </w:tc>
        <w:tc>
          <w:tcPr>
            <w:tcW w:w="1206" w:type="dxa"/>
          </w:tcPr>
          <w:p>
            <w:pPr>
              <w:pStyle w:val="TableParagraph"/>
              <w:spacing w:line="153" w:lineRule="exact" w:before="33"/>
              <w:ind w:left="221" w:right="215"/>
              <w:jc w:val="center"/>
              <w:rPr>
                <w:sz w:val="15"/>
              </w:rPr>
            </w:pPr>
            <w:r>
              <w:rPr>
                <w:sz w:val="15"/>
              </w:rPr>
              <w:t>2.20%</w:t>
            </w:r>
          </w:p>
        </w:tc>
      </w:tr>
      <w:tr>
        <w:trPr>
          <w:trHeight w:val="206" w:hRule="atLeast"/>
        </w:trPr>
        <w:tc>
          <w:tcPr>
            <w:tcW w:w="1436" w:type="dxa"/>
          </w:tcPr>
          <w:p>
            <w:pPr>
              <w:pStyle w:val="TableParagraph"/>
              <w:spacing w:line="153" w:lineRule="exact" w:before="34"/>
              <w:ind w:right="39"/>
              <w:jc w:val="right"/>
              <w:rPr>
                <w:sz w:val="15"/>
              </w:rPr>
            </w:pPr>
            <w:r>
              <w:rPr>
                <w:sz w:val="15"/>
              </w:rPr>
              <w:t>$ 1,500,000.01</w:t>
            </w:r>
          </w:p>
        </w:tc>
        <w:tc>
          <w:tcPr>
            <w:tcW w:w="1489" w:type="dxa"/>
          </w:tcPr>
          <w:p>
            <w:pPr>
              <w:pStyle w:val="TableParagraph"/>
              <w:spacing w:line="153" w:lineRule="exact" w:before="34"/>
              <w:ind w:right="39"/>
              <w:jc w:val="right"/>
              <w:rPr>
                <w:sz w:val="15"/>
              </w:rPr>
            </w:pPr>
            <w:r>
              <w:rPr>
                <w:sz w:val="15"/>
              </w:rPr>
              <w:t>$ 2,000,000.00</w:t>
            </w:r>
          </w:p>
        </w:tc>
        <w:tc>
          <w:tcPr>
            <w:tcW w:w="1272" w:type="dxa"/>
          </w:tcPr>
          <w:p>
            <w:pPr>
              <w:pStyle w:val="TableParagraph"/>
              <w:spacing w:line="153" w:lineRule="exact" w:before="34"/>
              <w:ind w:right="38"/>
              <w:jc w:val="right"/>
              <w:rPr>
                <w:sz w:val="15"/>
              </w:rPr>
            </w:pPr>
            <w:r>
              <w:rPr>
                <w:sz w:val="15"/>
              </w:rPr>
              <w:t>$ 33,757.00</w:t>
            </w:r>
          </w:p>
        </w:tc>
        <w:tc>
          <w:tcPr>
            <w:tcW w:w="1206" w:type="dxa"/>
          </w:tcPr>
          <w:p>
            <w:pPr>
              <w:pStyle w:val="TableParagraph"/>
              <w:spacing w:line="153" w:lineRule="exact" w:before="34"/>
              <w:ind w:left="221" w:right="215"/>
              <w:jc w:val="center"/>
              <w:rPr>
                <w:sz w:val="15"/>
              </w:rPr>
            </w:pPr>
            <w:r>
              <w:rPr>
                <w:sz w:val="15"/>
              </w:rPr>
              <w:t>2.30%</w:t>
            </w:r>
          </w:p>
        </w:tc>
      </w:tr>
      <w:tr>
        <w:trPr>
          <w:trHeight w:val="207" w:hRule="atLeast"/>
        </w:trPr>
        <w:tc>
          <w:tcPr>
            <w:tcW w:w="1436" w:type="dxa"/>
          </w:tcPr>
          <w:p>
            <w:pPr>
              <w:pStyle w:val="TableParagraph"/>
              <w:spacing w:line="154" w:lineRule="exact" w:before="34"/>
              <w:ind w:right="39"/>
              <w:jc w:val="right"/>
              <w:rPr>
                <w:sz w:val="15"/>
              </w:rPr>
            </w:pPr>
            <w:r>
              <w:rPr>
                <w:sz w:val="15"/>
              </w:rPr>
              <w:t>$ 2,000,000.01</w:t>
            </w:r>
          </w:p>
        </w:tc>
        <w:tc>
          <w:tcPr>
            <w:tcW w:w="1489" w:type="dxa"/>
          </w:tcPr>
          <w:p>
            <w:pPr>
              <w:pStyle w:val="TableParagraph"/>
              <w:spacing w:line="154" w:lineRule="exact" w:before="34"/>
              <w:ind w:right="39"/>
              <w:jc w:val="right"/>
              <w:rPr>
                <w:sz w:val="15"/>
              </w:rPr>
            </w:pPr>
            <w:r>
              <w:rPr>
                <w:sz w:val="15"/>
              </w:rPr>
              <w:t>$ 2,500,000.00</w:t>
            </w:r>
          </w:p>
        </w:tc>
        <w:tc>
          <w:tcPr>
            <w:tcW w:w="1272" w:type="dxa"/>
          </w:tcPr>
          <w:p>
            <w:pPr>
              <w:pStyle w:val="TableParagraph"/>
              <w:spacing w:line="154" w:lineRule="exact" w:before="34"/>
              <w:ind w:right="38"/>
              <w:jc w:val="right"/>
              <w:rPr>
                <w:sz w:val="15"/>
              </w:rPr>
            </w:pPr>
            <w:r>
              <w:rPr>
                <w:sz w:val="15"/>
              </w:rPr>
              <w:t>$ 48,123.60</w:t>
            </w:r>
          </w:p>
        </w:tc>
        <w:tc>
          <w:tcPr>
            <w:tcW w:w="1206" w:type="dxa"/>
          </w:tcPr>
          <w:p>
            <w:pPr>
              <w:pStyle w:val="TableParagraph"/>
              <w:spacing w:line="154" w:lineRule="exact" w:before="34"/>
              <w:ind w:left="221" w:right="215"/>
              <w:jc w:val="center"/>
              <w:rPr>
                <w:sz w:val="15"/>
              </w:rPr>
            </w:pPr>
            <w:r>
              <w:rPr>
                <w:sz w:val="15"/>
              </w:rPr>
              <w:t>2.40%</w:t>
            </w:r>
          </w:p>
        </w:tc>
      </w:tr>
    </w:tbl>
    <w:p>
      <w:pPr>
        <w:pStyle w:val="BodyText"/>
        <w:spacing w:before="3"/>
        <w:rPr>
          <w:sz w:val="8"/>
        </w:rPr>
      </w:pPr>
      <w:r>
        <w:rPr/>
        <w:br w:type="column"/>
      </w:r>
      <w:r>
        <w:rPr>
          <w:sz w:val="8"/>
        </w:rPr>
      </w: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6"/>
        <w:gridCol w:w="1489"/>
        <w:gridCol w:w="1272"/>
        <w:gridCol w:w="1206"/>
      </w:tblGrid>
      <w:tr>
        <w:trPr>
          <w:trHeight w:val="206" w:hRule="atLeast"/>
        </w:trPr>
        <w:tc>
          <w:tcPr>
            <w:tcW w:w="1436" w:type="dxa"/>
          </w:tcPr>
          <w:p>
            <w:pPr>
              <w:pStyle w:val="TableParagraph"/>
              <w:spacing w:line="153" w:lineRule="exact" w:before="34"/>
              <w:ind w:right="39"/>
              <w:jc w:val="right"/>
              <w:rPr>
                <w:sz w:val="15"/>
              </w:rPr>
            </w:pPr>
            <w:r>
              <w:rPr>
                <w:sz w:val="15"/>
              </w:rPr>
              <w:t>$ 2,500,000.01</w:t>
            </w:r>
          </w:p>
        </w:tc>
        <w:tc>
          <w:tcPr>
            <w:tcW w:w="1489" w:type="dxa"/>
          </w:tcPr>
          <w:p>
            <w:pPr>
              <w:pStyle w:val="TableParagraph"/>
              <w:spacing w:line="153" w:lineRule="exact" w:before="34"/>
              <w:ind w:right="39"/>
              <w:jc w:val="right"/>
              <w:rPr>
                <w:sz w:val="15"/>
              </w:rPr>
            </w:pPr>
            <w:r>
              <w:rPr>
                <w:sz w:val="15"/>
              </w:rPr>
              <w:t>$ 3,000,000.00</w:t>
            </w:r>
          </w:p>
        </w:tc>
        <w:tc>
          <w:tcPr>
            <w:tcW w:w="1272" w:type="dxa"/>
          </w:tcPr>
          <w:p>
            <w:pPr>
              <w:pStyle w:val="TableParagraph"/>
              <w:spacing w:line="153" w:lineRule="exact" w:before="34"/>
              <w:ind w:right="38"/>
              <w:jc w:val="right"/>
              <w:rPr>
                <w:sz w:val="15"/>
              </w:rPr>
            </w:pPr>
            <w:r>
              <w:rPr>
                <w:sz w:val="15"/>
              </w:rPr>
              <w:t>$ 58,432.00</w:t>
            </w:r>
          </w:p>
        </w:tc>
        <w:tc>
          <w:tcPr>
            <w:tcW w:w="1206" w:type="dxa"/>
          </w:tcPr>
          <w:p>
            <w:pPr>
              <w:pStyle w:val="TableParagraph"/>
              <w:spacing w:line="153" w:lineRule="exact" w:before="34"/>
              <w:ind w:left="221" w:right="215"/>
              <w:jc w:val="center"/>
              <w:rPr>
                <w:sz w:val="15"/>
              </w:rPr>
            </w:pPr>
            <w:r>
              <w:rPr>
                <w:sz w:val="15"/>
              </w:rPr>
              <w:t>2.50%</w:t>
            </w:r>
          </w:p>
        </w:tc>
      </w:tr>
      <w:tr>
        <w:trPr>
          <w:trHeight w:val="207" w:hRule="atLeast"/>
        </w:trPr>
        <w:tc>
          <w:tcPr>
            <w:tcW w:w="1436" w:type="dxa"/>
          </w:tcPr>
          <w:p>
            <w:pPr>
              <w:pStyle w:val="TableParagraph"/>
              <w:spacing w:line="154" w:lineRule="exact" w:before="34"/>
              <w:ind w:right="39"/>
              <w:jc w:val="right"/>
              <w:rPr>
                <w:sz w:val="15"/>
              </w:rPr>
            </w:pPr>
            <w:r>
              <w:rPr>
                <w:sz w:val="15"/>
              </w:rPr>
              <w:t>$ 3,000,000.01</w:t>
            </w:r>
          </w:p>
        </w:tc>
        <w:tc>
          <w:tcPr>
            <w:tcW w:w="1489" w:type="dxa"/>
          </w:tcPr>
          <w:p>
            <w:pPr>
              <w:pStyle w:val="TableParagraph"/>
              <w:spacing w:line="154" w:lineRule="exact" w:before="34"/>
              <w:ind w:right="39"/>
              <w:jc w:val="right"/>
              <w:rPr>
                <w:sz w:val="15"/>
              </w:rPr>
            </w:pPr>
            <w:r>
              <w:rPr>
                <w:sz w:val="15"/>
              </w:rPr>
              <w:t>En adelante</w:t>
            </w:r>
          </w:p>
        </w:tc>
        <w:tc>
          <w:tcPr>
            <w:tcW w:w="1272" w:type="dxa"/>
          </w:tcPr>
          <w:p>
            <w:pPr>
              <w:pStyle w:val="TableParagraph"/>
              <w:spacing w:line="154" w:lineRule="exact" w:before="34"/>
              <w:ind w:right="38"/>
              <w:jc w:val="right"/>
              <w:rPr>
                <w:sz w:val="15"/>
              </w:rPr>
            </w:pPr>
            <w:r>
              <w:rPr>
                <w:sz w:val="15"/>
              </w:rPr>
              <w:t>$ 71,557.00</w:t>
            </w:r>
          </w:p>
        </w:tc>
        <w:tc>
          <w:tcPr>
            <w:tcW w:w="1206" w:type="dxa"/>
          </w:tcPr>
          <w:p>
            <w:pPr>
              <w:pStyle w:val="TableParagraph"/>
              <w:spacing w:line="154" w:lineRule="exact" w:before="34"/>
              <w:ind w:left="221" w:right="215"/>
              <w:jc w:val="center"/>
              <w:rPr>
                <w:sz w:val="15"/>
              </w:rPr>
            </w:pPr>
            <w:r>
              <w:rPr>
                <w:sz w:val="15"/>
              </w:rPr>
              <w:t>2.60%</w:t>
            </w:r>
          </w:p>
        </w:tc>
      </w:tr>
    </w:tbl>
    <w:p>
      <w:pPr>
        <w:pStyle w:val="BodyText"/>
        <w:spacing w:before="7"/>
      </w:pPr>
    </w:p>
    <w:p>
      <w:pPr>
        <w:pStyle w:val="ListParagraph"/>
        <w:numPr>
          <w:ilvl w:val="0"/>
          <w:numId w:val="16"/>
        </w:numPr>
        <w:tabs>
          <w:tab w:pos="647" w:val="left" w:leader="none"/>
        </w:tabs>
        <w:spacing w:line="247" w:lineRule="auto" w:before="0" w:after="0"/>
        <w:ind w:left="173" w:right="510" w:firstLine="373"/>
        <w:jc w:val="both"/>
        <w:rPr>
          <w:sz w:val="15"/>
        </w:rPr>
      </w:pPr>
      <w:r>
        <w:rPr>
          <w:sz w:val="15"/>
        </w:rPr>
        <w:t>Tratándose de la adquisición de departamentos, viviendas y casas nuevas, destinadas para habitación, cuya base fiscal no sea mayor a los $250,000.00, previa comprobación de que los contribuyentes no son propietarios de otros bienes inmuebles en este Municipio y que se trate de  la  primera  enajenación,  el  impuesto sobre transmisiones patrimoniales se causará y</w:t>
      </w:r>
      <w:r>
        <w:rPr>
          <w:spacing w:val="14"/>
          <w:sz w:val="15"/>
        </w:rPr>
        <w:t> </w:t>
      </w:r>
      <w:r>
        <w:rPr>
          <w:sz w:val="15"/>
        </w:rPr>
        <w:t>pagará:</w:t>
      </w:r>
    </w:p>
    <w:p>
      <w:pPr>
        <w:pStyle w:val="BodyText"/>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474"/>
        <w:gridCol w:w="1078"/>
        <w:gridCol w:w="1441"/>
      </w:tblGrid>
      <w:tr>
        <w:trPr>
          <w:trHeight w:val="784" w:hRule="atLeast"/>
        </w:trPr>
        <w:tc>
          <w:tcPr>
            <w:tcW w:w="1488" w:type="dxa"/>
          </w:tcPr>
          <w:p>
            <w:pPr>
              <w:pStyle w:val="TableParagraph"/>
              <w:rPr>
                <w:sz w:val="16"/>
              </w:rPr>
            </w:pPr>
          </w:p>
          <w:p>
            <w:pPr>
              <w:pStyle w:val="TableParagraph"/>
              <w:spacing w:before="123"/>
              <w:ind w:left="6"/>
              <w:jc w:val="center"/>
              <w:rPr>
                <w:b/>
                <w:sz w:val="15"/>
              </w:rPr>
            </w:pPr>
            <w:r>
              <w:rPr>
                <w:b/>
                <w:sz w:val="15"/>
              </w:rPr>
              <w:t>LIMITE INFERIOR</w:t>
            </w:r>
          </w:p>
        </w:tc>
        <w:tc>
          <w:tcPr>
            <w:tcW w:w="1474" w:type="dxa"/>
          </w:tcPr>
          <w:p>
            <w:pPr>
              <w:pStyle w:val="TableParagraph"/>
              <w:rPr>
                <w:sz w:val="16"/>
              </w:rPr>
            </w:pPr>
          </w:p>
          <w:p>
            <w:pPr>
              <w:pStyle w:val="TableParagraph"/>
              <w:spacing w:before="123"/>
              <w:ind w:left="58" w:right="48"/>
              <w:jc w:val="center"/>
              <w:rPr>
                <w:b/>
                <w:sz w:val="15"/>
              </w:rPr>
            </w:pPr>
            <w:r>
              <w:rPr>
                <w:b/>
                <w:sz w:val="15"/>
              </w:rPr>
              <w:t>LIMITE SUPERIOR</w:t>
            </w:r>
          </w:p>
        </w:tc>
        <w:tc>
          <w:tcPr>
            <w:tcW w:w="1078" w:type="dxa"/>
          </w:tcPr>
          <w:p>
            <w:pPr>
              <w:pStyle w:val="TableParagraph"/>
              <w:rPr>
                <w:sz w:val="16"/>
              </w:rPr>
            </w:pPr>
          </w:p>
          <w:p>
            <w:pPr>
              <w:pStyle w:val="TableParagraph"/>
              <w:spacing w:before="123"/>
              <w:ind w:left="70" w:right="57"/>
              <w:jc w:val="center"/>
              <w:rPr>
                <w:b/>
                <w:sz w:val="15"/>
              </w:rPr>
            </w:pPr>
            <w:r>
              <w:rPr>
                <w:b/>
                <w:sz w:val="15"/>
              </w:rPr>
              <w:t>CUOTA FIJA</w:t>
            </w:r>
          </w:p>
        </w:tc>
        <w:tc>
          <w:tcPr>
            <w:tcW w:w="1441" w:type="dxa"/>
          </w:tcPr>
          <w:p>
            <w:pPr>
              <w:pStyle w:val="TableParagraph"/>
              <w:spacing w:line="247" w:lineRule="auto" w:before="41"/>
              <w:ind w:left="78" w:right="66"/>
              <w:jc w:val="center"/>
              <w:rPr>
                <w:b/>
                <w:sz w:val="15"/>
              </w:rPr>
            </w:pPr>
            <w:r>
              <w:rPr>
                <w:b/>
                <w:sz w:val="15"/>
              </w:rPr>
              <w:t>TASA MARGINAL SOBRE EXCEDENTE LIMITE INFERIOR</w:t>
            </w:r>
          </w:p>
        </w:tc>
      </w:tr>
      <w:tr>
        <w:trPr>
          <w:trHeight w:val="206" w:hRule="atLeast"/>
        </w:trPr>
        <w:tc>
          <w:tcPr>
            <w:tcW w:w="1488" w:type="dxa"/>
          </w:tcPr>
          <w:p>
            <w:pPr>
              <w:pStyle w:val="TableParagraph"/>
              <w:tabs>
                <w:tab w:pos="564" w:val="left" w:leader="none"/>
              </w:tabs>
              <w:spacing w:line="153" w:lineRule="exact" w:before="33"/>
              <w:ind w:left="7"/>
              <w:jc w:val="center"/>
              <w:rPr>
                <w:sz w:val="15"/>
              </w:rPr>
            </w:pPr>
            <w:r>
              <w:rPr>
                <w:sz w:val="15"/>
              </w:rPr>
              <w:t>$</w:t>
              <w:tab/>
              <w:t>0.01</w:t>
            </w:r>
          </w:p>
        </w:tc>
        <w:tc>
          <w:tcPr>
            <w:tcW w:w="1474" w:type="dxa"/>
          </w:tcPr>
          <w:p>
            <w:pPr>
              <w:pStyle w:val="TableParagraph"/>
              <w:spacing w:line="153" w:lineRule="exact" w:before="33"/>
              <w:ind w:left="57" w:right="48"/>
              <w:jc w:val="center"/>
              <w:rPr>
                <w:sz w:val="15"/>
              </w:rPr>
            </w:pPr>
            <w:r>
              <w:rPr>
                <w:sz w:val="15"/>
              </w:rPr>
              <w:t>$ 90,000.00</w:t>
            </w:r>
          </w:p>
        </w:tc>
        <w:tc>
          <w:tcPr>
            <w:tcW w:w="1078" w:type="dxa"/>
          </w:tcPr>
          <w:p>
            <w:pPr>
              <w:pStyle w:val="TableParagraph"/>
              <w:spacing w:line="153" w:lineRule="exact" w:before="33"/>
              <w:ind w:left="66" w:right="57"/>
              <w:jc w:val="center"/>
              <w:rPr>
                <w:sz w:val="15"/>
              </w:rPr>
            </w:pPr>
            <w:r>
              <w:rPr>
                <w:sz w:val="15"/>
              </w:rPr>
              <w:t>$ 0.00</w:t>
            </w:r>
          </w:p>
        </w:tc>
        <w:tc>
          <w:tcPr>
            <w:tcW w:w="1441" w:type="dxa"/>
          </w:tcPr>
          <w:p>
            <w:pPr>
              <w:pStyle w:val="TableParagraph"/>
              <w:spacing w:line="153" w:lineRule="exact" w:before="33"/>
              <w:ind w:left="75" w:right="66"/>
              <w:jc w:val="center"/>
              <w:rPr>
                <w:sz w:val="15"/>
              </w:rPr>
            </w:pPr>
            <w:r>
              <w:rPr>
                <w:sz w:val="15"/>
              </w:rPr>
              <w:t>0.20%</w:t>
            </w:r>
          </w:p>
        </w:tc>
      </w:tr>
      <w:tr>
        <w:trPr>
          <w:trHeight w:val="206" w:hRule="atLeast"/>
        </w:trPr>
        <w:tc>
          <w:tcPr>
            <w:tcW w:w="1488" w:type="dxa"/>
          </w:tcPr>
          <w:p>
            <w:pPr>
              <w:pStyle w:val="TableParagraph"/>
              <w:spacing w:line="153" w:lineRule="exact" w:before="34"/>
              <w:ind w:left="6"/>
              <w:jc w:val="center"/>
              <w:rPr>
                <w:sz w:val="15"/>
              </w:rPr>
            </w:pPr>
            <w:r>
              <w:rPr>
                <w:sz w:val="15"/>
              </w:rPr>
              <w:t>$ 90,000.01</w:t>
            </w:r>
          </w:p>
        </w:tc>
        <w:tc>
          <w:tcPr>
            <w:tcW w:w="1474" w:type="dxa"/>
          </w:tcPr>
          <w:p>
            <w:pPr>
              <w:pStyle w:val="TableParagraph"/>
              <w:spacing w:line="153" w:lineRule="exact" w:before="34"/>
              <w:ind w:left="55" w:right="48"/>
              <w:jc w:val="center"/>
              <w:rPr>
                <w:sz w:val="15"/>
              </w:rPr>
            </w:pPr>
            <w:r>
              <w:rPr>
                <w:sz w:val="15"/>
              </w:rPr>
              <w:t>$125,000.00</w:t>
            </w:r>
          </w:p>
        </w:tc>
        <w:tc>
          <w:tcPr>
            <w:tcW w:w="1078" w:type="dxa"/>
          </w:tcPr>
          <w:p>
            <w:pPr>
              <w:pStyle w:val="TableParagraph"/>
              <w:spacing w:line="153" w:lineRule="exact" w:before="34"/>
              <w:ind w:left="64" w:right="57"/>
              <w:jc w:val="center"/>
              <w:rPr>
                <w:sz w:val="15"/>
              </w:rPr>
            </w:pPr>
            <w:r>
              <w:rPr>
                <w:sz w:val="15"/>
              </w:rPr>
              <w:t>$189.00</w:t>
            </w:r>
          </w:p>
        </w:tc>
        <w:tc>
          <w:tcPr>
            <w:tcW w:w="1441" w:type="dxa"/>
          </w:tcPr>
          <w:p>
            <w:pPr>
              <w:pStyle w:val="TableParagraph"/>
              <w:spacing w:line="153" w:lineRule="exact" w:before="34"/>
              <w:ind w:left="72" w:right="66"/>
              <w:jc w:val="center"/>
              <w:rPr>
                <w:sz w:val="15"/>
              </w:rPr>
            </w:pPr>
            <w:r>
              <w:rPr>
                <w:sz w:val="15"/>
              </w:rPr>
              <w:t>1.63%</w:t>
            </w:r>
          </w:p>
        </w:tc>
      </w:tr>
      <w:tr>
        <w:trPr>
          <w:trHeight w:val="207" w:hRule="atLeast"/>
        </w:trPr>
        <w:tc>
          <w:tcPr>
            <w:tcW w:w="1488" w:type="dxa"/>
          </w:tcPr>
          <w:p>
            <w:pPr>
              <w:pStyle w:val="TableParagraph"/>
              <w:spacing w:line="153" w:lineRule="exact" w:before="34"/>
              <w:ind w:left="6"/>
              <w:jc w:val="center"/>
              <w:rPr>
                <w:sz w:val="15"/>
              </w:rPr>
            </w:pPr>
            <w:r>
              <w:rPr>
                <w:sz w:val="15"/>
              </w:rPr>
              <w:t>$125,000.01</w:t>
            </w:r>
          </w:p>
        </w:tc>
        <w:tc>
          <w:tcPr>
            <w:tcW w:w="1474" w:type="dxa"/>
          </w:tcPr>
          <w:p>
            <w:pPr>
              <w:pStyle w:val="TableParagraph"/>
              <w:spacing w:line="153" w:lineRule="exact" w:before="34"/>
              <w:ind w:left="55" w:right="48"/>
              <w:jc w:val="center"/>
              <w:rPr>
                <w:sz w:val="15"/>
              </w:rPr>
            </w:pPr>
            <w:r>
              <w:rPr>
                <w:sz w:val="15"/>
              </w:rPr>
              <w:t>$250,000.00</w:t>
            </w:r>
          </w:p>
        </w:tc>
        <w:tc>
          <w:tcPr>
            <w:tcW w:w="1078" w:type="dxa"/>
          </w:tcPr>
          <w:p>
            <w:pPr>
              <w:pStyle w:val="TableParagraph"/>
              <w:spacing w:line="153" w:lineRule="exact" w:before="34"/>
              <w:ind w:left="64" w:right="57"/>
              <w:jc w:val="center"/>
              <w:rPr>
                <w:sz w:val="15"/>
              </w:rPr>
            </w:pPr>
            <w:r>
              <w:rPr>
                <w:sz w:val="15"/>
              </w:rPr>
              <w:t>$787.00</w:t>
            </w:r>
          </w:p>
        </w:tc>
        <w:tc>
          <w:tcPr>
            <w:tcW w:w="1441" w:type="dxa"/>
          </w:tcPr>
          <w:p>
            <w:pPr>
              <w:pStyle w:val="TableParagraph"/>
              <w:spacing w:line="153" w:lineRule="exact" w:before="34"/>
              <w:ind w:left="72" w:right="66"/>
              <w:jc w:val="center"/>
              <w:rPr>
                <w:sz w:val="15"/>
              </w:rPr>
            </w:pPr>
            <w:r>
              <w:rPr>
                <w:sz w:val="15"/>
              </w:rPr>
              <w:t>3.00%</w:t>
            </w:r>
          </w:p>
        </w:tc>
      </w:tr>
    </w:tbl>
    <w:p>
      <w:pPr>
        <w:pStyle w:val="BodyText"/>
        <w:spacing w:before="6"/>
      </w:pPr>
    </w:p>
    <w:p>
      <w:pPr>
        <w:pStyle w:val="BodyText"/>
        <w:spacing w:line="247" w:lineRule="auto" w:before="1"/>
        <w:ind w:left="150" w:right="509" w:firstLine="397"/>
        <w:jc w:val="both"/>
      </w:pPr>
      <w:r>
        <w:rPr/>
        <w:t>En las adquisiciones en copropiedad o de partes alícuotas del inmueble o  de  los  derechos  que  se tengan sobre los mismos, la base del impuesto se dividirá entre todos los sujetos obligados, a los que se les aplicará</w:t>
      </w:r>
      <w:r>
        <w:rPr>
          <w:spacing w:val="6"/>
        </w:rPr>
        <w:t> </w:t>
      </w:r>
      <w:r>
        <w:rPr/>
        <w:t>la</w:t>
      </w:r>
      <w:r>
        <w:rPr>
          <w:spacing w:val="6"/>
        </w:rPr>
        <w:t> </w:t>
      </w:r>
      <w:r>
        <w:rPr/>
        <w:t>tasa</w:t>
      </w:r>
      <w:r>
        <w:rPr>
          <w:spacing w:val="6"/>
        </w:rPr>
        <w:t> </w:t>
      </w:r>
      <w:r>
        <w:rPr/>
        <w:t>en</w:t>
      </w:r>
      <w:r>
        <w:rPr>
          <w:spacing w:val="7"/>
        </w:rPr>
        <w:t> </w:t>
      </w:r>
      <w:r>
        <w:rPr/>
        <w:t>la</w:t>
      </w:r>
      <w:r>
        <w:rPr>
          <w:spacing w:val="6"/>
        </w:rPr>
        <w:t> </w:t>
      </w:r>
      <w:r>
        <w:rPr/>
        <w:t>proporción</w:t>
      </w:r>
      <w:r>
        <w:rPr>
          <w:spacing w:val="6"/>
        </w:rPr>
        <w:t> </w:t>
      </w:r>
      <w:r>
        <w:rPr/>
        <w:t>que</w:t>
      </w:r>
      <w:r>
        <w:rPr>
          <w:spacing w:val="7"/>
        </w:rPr>
        <w:t> </w:t>
      </w:r>
      <w:r>
        <w:rPr/>
        <w:t>a</w:t>
      </w:r>
      <w:r>
        <w:rPr>
          <w:spacing w:val="6"/>
        </w:rPr>
        <w:t> </w:t>
      </w:r>
      <w:r>
        <w:rPr/>
        <w:t>cada</w:t>
      </w:r>
      <w:r>
        <w:rPr>
          <w:spacing w:val="6"/>
        </w:rPr>
        <w:t> </w:t>
      </w:r>
      <w:r>
        <w:rPr/>
        <w:t>uno</w:t>
      </w:r>
      <w:r>
        <w:rPr>
          <w:spacing w:val="7"/>
        </w:rPr>
        <w:t> </w:t>
      </w:r>
      <w:r>
        <w:rPr/>
        <w:t>corresponda</w:t>
      </w:r>
      <w:r>
        <w:rPr>
          <w:spacing w:val="6"/>
        </w:rPr>
        <w:t> </w:t>
      </w:r>
      <w:r>
        <w:rPr/>
        <w:t>y</w:t>
      </w:r>
      <w:r>
        <w:rPr>
          <w:spacing w:val="6"/>
        </w:rPr>
        <w:t> </w:t>
      </w:r>
      <w:r>
        <w:rPr/>
        <w:t>tomando</w:t>
      </w:r>
      <w:r>
        <w:rPr>
          <w:spacing w:val="7"/>
        </w:rPr>
        <w:t> </w:t>
      </w:r>
      <w:r>
        <w:rPr/>
        <w:t>en</w:t>
      </w:r>
      <w:r>
        <w:rPr>
          <w:spacing w:val="6"/>
        </w:rPr>
        <w:t> </w:t>
      </w:r>
      <w:r>
        <w:rPr/>
        <w:t>cuenta</w:t>
      </w:r>
      <w:r>
        <w:rPr>
          <w:spacing w:val="6"/>
        </w:rPr>
        <w:t> </w:t>
      </w:r>
      <w:r>
        <w:rPr/>
        <w:t>la</w:t>
      </w:r>
      <w:r>
        <w:rPr>
          <w:spacing w:val="6"/>
        </w:rPr>
        <w:t> </w:t>
      </w:r>
      <w:r>
        <w:rPr/>
        <w:t>base</w:t>
      </w:r>
      <w:r>
        <w:rPr>
          <w:spacing w:val="7"/>
        </w:rPr>
        <w:t> </w:t>
      </w:r>
      <w:r>
        <w:rPr/>
        <w:t>total</w:t>
      </w:r>
      <w:r>
        <w:rPr>
          <w:spacing w:val="6"/>
        </w:rPr>
        <w:t> </w:t>
      </w:r>
      <w:r>
        <w:rPr/>
        <w:t>gravable;</w:t>
      </w:r>
    </w:p>
    <w:p>
      <w:pPr>
        <w:pStyle w:val="BodyText"/>
        <w:spacing w:before="2"/>
      </w:pPr>
    </w:p>
    <w:p>
      <w:pPr>
        <w:pStyle w:val="ListParagraph"/>
        <w:numPr>
          <w:ilvl w:val="0"/>
          <w:numId w:val="16"/>
        </w:numPr>
        <w:tabs>
          <w:tab w:pos="731" w:val="left" w:leader="none"/>
        </w:tabs>
        <w:spacing w:line="247" w:lineRule="auto" w:before="0" w:after="0"/>
        <w:ind w:left="150" w:right="509" w:firstLine="397"/>
        <w:jc w:val="both"/>
        <w:rPr>
          <w:sz w:val="15"/>
        </w:rPr>
      </w:pPr>
      <w:r>
        <w:rPr>
          <w:sz w:val="15"/>
        </w:rPr>
        <w:t>En la titulación de terrenos ubicados en zonas de alta densidad y sujetos a regularización, mediante convenio con la Dirección General de Obras Públicas, se les aplicará un factor de 0.1 sobre el monto del impuesto sobre transmisiones patrimoniales que les corresponda pagar a los adquirentes de los lotes de hasta 100</w:t>
      </w:r>
      <w:r>
        <w:rPr>
          <w:spacing w:val="4"/>
          <w:sz w:val="15"/>
        </w:rPr>
        <w:t> </w:t>
      </w:r>
      <w:r>
        <w:rPr>
          <w:sz w:val="15"/>
        </w:rPr>
        <w:t>metros</w:t>
      </w:r>
      <w:r>
        <w:rPr>
          <w:spacing w:val="4"/>
          <w:sz w:val="15"/>
        </w:rPr>
        <w:t> </w:t>
      </w:r>
      <w:r>
        <w:rPr>
          <w:sz w:val="15"/>
        </w:rPr>
        <w:t>cuadrados,</w:t>
      </w:r>
      <w:r>
        <w:rPr>
          <w:spacing w:val="3"/>
          <w:sz w:val="15"/>
        </w:rPr>
        <w:t> </w:t>
      </w:r>
      <w:r>
        <w:rPr>
          <w:sz w:val="15"/>
        </w:rPr>
        <w:t>siempre</w:t>
      </w:r>
      <w:r>
        <w:rPr>
          <w:spacing w:val="5"/>
          <w:sz w:val="15"/>
        </w:rPr>
        <w:t> </w:t>
      </w:r>
      <w:r>
        <w:rPr>
          <w:sz w:val="15"/>
        </w:rPr>
        <w:t>y</w:t>
      </w:r>
      <w:r>
        <w:rPr>
          <w:spacing w:val="4"/>
          <w:sz w:val="15"/>
        </w:rPr>
        <w:t> </w:t>
      </w:r>
      <w:r>
        <w:rPr>
          <w:sz w:val="15"/>
        </w:rPr>
        <w:t>cuando</w:t>
      </w:r>
      <w:r>
        <w:rPr>
          <w:spacing w:val="4"/>
          <w:sz w:val="15"/>
        </w:rPr>
        <w:t> </w:t>
      </w:r>
      <w:r>
        <w:rPr>
          <w:sz w:val="15"/>
        </w:rPr>
        <w:t>acrediten</w:t>
      </w:r>
      <w:r>
        <w:rPr>
          <w:spacing w:val="5"/>
          <w:sz w:val="15"/>
        </w:rPr>
        <w:t> </w:t>
      </w:r>
      <w:r>
        <w:rPr>
          <w:sz w:val="15"/>
        </w:rPr>
        <w:t>no</w:t>
      </w:r>
      <w:r>
        <w:rPr>
          <w:spacing w:val="4"/>
          <w:sz w:val="15"/>
        </w:rPr>
        <w:t> </w:t>
      </w:r>
      <w:r>
        <w:rPr>
          <w:sz w:val="15"/>
        </w:rPr>
        <w:t>ser</w:t>
      </w:r>
      <w:r>
        <w:rPr>
          <w:spacing w:val="4"/>
          <w:sz w:val="15"/>
        </w:rPr>
        <w:t> </w:t>
      </w:r>
      <w:r>
        <w:rPr>
          <w:sz w:val="15"/>
        </w:rPr>
        <w:t>propietarios</w:t>
      </w:r>
      <w:r>
        <w:rPr>
          <w:spacing w:val="5"/>
          <w:sz w:val="15"/>
        </w:rPr>
        <w:t> </w:t>
      </w:r>
      <w:r>
        <w:rPr>
          <w:sz w:val="15"/>
        </w:rPr>
        <w:t>de</w:t>
      </w:r>
      <w:r>
        <w:rPr>
          <w:spacing w:val="4"/>
          <w:sz w:val="15"/>
        </w:rPr>
        <w:t> </w:t>
      </w:r>
      <w:r>
        <w:rPr>
          <w:sz w:val="15"/>
        </w:rPr>
        <w:t>otro</w:t>
      </w:r>
      <w:r>
        <w:rPr>
          <w:spacing w:val="4"/>
          <w:sz w:val="15"/>
        </w:rPr>
        <w:t> </w:t>
      </w:r>
      <w:r>
        <w:rPr>
          <w:sz w:val="15"/>
        </w:rPr>
        <w:t>bien</w:t>
      </w:r>
      <w:r>
        <w:rPr>
          <w:spacing w:val="5"/>
          <w:sz w:val="15"/>
        </w:rPr>
        <w:t> </w:t>
      </w:r>
      <w:r>
        <w:rPr>
          <w:sz w:val="15"/>
        </w:rPr>
        <w:t>inmueble;</w:t>
      </w:r>
    </w:p>
    <w:p>
      <w:pPr>
        <w:pStyle w:val="BodyText"/>
        <w:spacing w:before="2"/>
      </w:pPr>
    </w:p>
    <w:p>
      <w:pPr>
        <w:pStyle w:val="ListParagraph"/>
        <w:numPr>
          <w:ilvl w:val="0"/>
          <w:numId w:val="16"/>
        </w:numPr>
        <w:tabs>
          <w:tab w:pos="806" w:val="left" w:leader="none"/>
        </w:tabs>
        <w:spacing w:line="247" w:lineRule="auto" w:before="0" w:after="0"/>
        <w:ind w:left="150" w:right="509" w:firstLine="397"/>
        <w:jc w:val="both"/>
        <w:rPr>
          <w:sz w:val="15"/>
        </w:rPr>
      </w:pPr>
      <w:r>
        <w:rPr>
          <w:sz w:val="15"/>
        </w:rPr>
        <w:t>Tratándose de terrenos que sean materia de regularización por parte de la Comisión para la Regularización de la </w:t>
      </w:r>
      <w:r>
        <w:rPr>
          <w:spacing w:val="-3"/>
          <w:sz w:val="15"/>
        </w:rPr>
        <w:t>Tenencia </w:t>
      </w:r>
      <w:r>
        <w:rPr>
          <w:sz w:val="15"/>
        </w:rPr>
        <w:t>de la Tierra (CORETT) o por el Programa de Certificación de Derechos Ejidales (PROCEDE) y la Comisión de Regularización (COMUR) o el Instituto Nacional del Suelo Sustentable (INSUS), los contribuyentes pagarán únicamente por concepto de impuesto las cuotas fijas que se mencionan a continuación:</w:t>
      </w:r>
    </w:p>
    <w:p>
      <w:pPr>
        <w:pStyle w:val="BodyText"/>
      </w:pPr>
    </w:p>
    <w:tbl>
      <w:tblPr>
        <w:tblW w:w="0" w:type="auto"/>
        <w:jc w:val="left"/>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9"/>
        <w:gridCol w:w="2137"/>
      </w:tblGrid>
      <w:tr>
        <w:trPr>
          <w:trHeight w:val="351" w:hRule="atLeast"/>
        </w:trPr>
        <w:tc>
          <w:tcPr>
            <w:tcW w:w="2329" w:type="dxa"/>
            <w:tcBorders>
              <w:right w:val="nil"/>
            </w:tcBorders>
          </w:tcPr>
          <w:p>
            <w:pPr>
              <w:pStyle w:val="TableParagraph"/>
              <w:spacing w:before="5"/>
              <w:rPr>
                <w:sz w:val="15"/>
              </w:rPr>
            </w:pPr>
          </w:p>
          <w:p>
            <w:pPr>
              <w:pStyle w:val="TableParagraph"/>
              <w:spacing w:line="154" w:lineRule="exact"/>
              <w:ind w:left="74"/>
              <w:rPr>
                <w:sz w:val="15"/>
              </w:rPr>
            </w:pPr>
            <w:r>
              <w:rPr>
                <w:sz w:val="15"/>
              </w:rPr>
              <w:t>Metros Cuadrados</w:t>
            </w:r>
          </w:p>
        </w:tc>
        <w:tc>
          <w:tcPr>
            <w:tcW w:w="2137" w:type="dxa"/>
            <w:tcBorders>
              <w:left w:val="nil"/>
            </w:tcBorders>
          </w:tcPr>
          <w:p>
            <w:pPr>
              <w:pStyle w:val="TableParagraph"/>
              <w:spacing w:before="5"/>
              <w:rPr>
                <w:sz w:val="15"/>
              </w:rPr>
            </w:pPr>
          </w:p>
          <w:p>
            <w:pPr>
              <w:pStyle w:val="TableParagraph"/>
              <w:spacing w:line="154" w:lineRule="exact"/>
              <w:ind w:right="444"/>
              <w:jc w:val="right"/>
              <w:rPr>
                <w:sz w:val="15"/>
              </w:rPr>
            </w:pPr>
            <w:r>
              <w:rPr>
                <w:sz w:val="15"/>
              </w:rPr>
              <w:t>Cuota Fija</w:t>
            </w:r>
          </w:p>
        </w:tc>
      </w:tr>
      <w:tr>
        <w:trPr>
          <w:trHeight w:val="173" w:hRule="atLeast"/>
        </w:trPr>
        <w:tc>
          <w:tcPr>
            <w:tcW w:w="2329" w:type="dxa"/>
            <w:tcBorders>
              <w:right w:val="nil"/>
            </w:tcBorders>
          </w:tcPr>
          <w:p>
            <w:pPr>
              <w:pStyle w:val="TableParagraph"/>
              <w:spacing w:line="154" w:lineRule="exact"/>
              <w:ind w:left="331"/>
              <w:rPr>
                <w:sz w:val="15"/>
              </w:rPr>
            </w:pPr>
            <w:r>
              <w:rPr>
                <w:sz w:val="15"/>
              </w:rPr>
              <w:t>0 a 300</w:t>
            </w:r>
          </w:p>
        </w:tc>
        <w:tc>
          <w:tcPr>
            <w:tcW w:w="2137" w:type="dxa"/>
            <w:tcBorders>
              <w:left w:val="nil"/>
            </w:tcBorders>
          </w:tcPr>
          <w:p>
            <w:pPr>
              <w:pStyle w:val="TableParagraph"/>
              <w:spacing w:line="154" w:lineRule="exact"/>
              <w:ind w:right="442"/>
              <w:jc w:val="right"/>
              <w:rPr>
                <w:sz w:val="15"/>
              </w:rPr>
            </w:pPr>
            <w:r>
              <w:rPr>
                <w:sz w:val="15"/>
              </w:rPr>
              <w:t>$150.00</w:t>
            </w:r>
          </w:p>
        </w:tc>
      </w:tr>
      <w:tr>
        <w:trPr>
          <w:trHeight w:val="173" w:hRule="atLeast"/>
        </w:trPr>
        <w:tc>
          <w:tcPr>
            <w:tcW w:w="2329" w:type="dxa"/>
            <w:tcBorders>
              <w:right w:val="nil"/>
            </w:tcBorders>
          </w:tcPr>
          <w:p>
            <w:pPr>
              <w:pStyle w:val="TableParagraph"/>
              <w:spacing w:line="153" w:lineRule="exact" w:before="1"/>
              <w:ind w:left="202"/>
              <w:rPr>
                <w:sz w:val="15"/>
              </w:rPr>
            </w:pPr>
            <w:r>
              <w:rPr>
                <w:sz w:val="15"/>
              </w:rPr>
              <w:t>301 a 450</w:t>
            </w:r>
          </w:p>
        </w:tc>
        <w:tc>
          <w:tcPr>
            <w:tcW w:w="2137" w:type="dxa"/>
            <w:tcBorders>
              <w:left w:val="nil"/>
            </w:tcBorders>
          </w:tcPr>
          <w:p>
            <w:pPr>
              <w:pStyle w:val="TableParagraph"/>
              <w:spacing w:line="153" w:lineRule="exact" w:before="1"/>
              <w:ind w:right="442"/>
              <w:jc w:val="right"/>
              <w:rPr>
                <w:sz w:val="15"/>
              </w:rPr>
            </w:pPr>
            <w:r>
              <w:rPr>
                <w:sz w:val="15"/>
              </w:rPr>
              <w:t>$208.00</w:t>
            </w:r>
          </w:p>
        </w:tc>
      </w:tr>
      <w:tr>
        <w:trPr>
          <w:trHeight w:val="174" w:hRule="atLeast"/>
        </w:trPr>
        <w:tc>
          <w:tcPr>
            <w:tcW w:w="2329" w:type="dxa"/>
            <w:tcBorders>
              <w:right w:val="nil"/>
            </w:tcBorders>
          </w:tcPr>
          <w:p>
            <w:pPr>
              <w:pStyle w:val="TableParagraph"/>
              <w:spacing w:line="153" w:lineRule="exact" w:before="1"/>
              <w:ind w:left="202"/>
              <w:rPr>
                <w:sz w:val="15"/>
              </w:rPr>
            </w:pPr>
            <w:r>
              <w:rPr>
                <w:sz w:val="15"/>
              </w:rPr>
              <w:t>451 a 600</w:t>
            </w:r>
          </w:p>
        </w:tc>
        <w:tc>
          <w:tcPr>
            <w:tcW w:w="2137" w:type="dxa"/>
            <w:tcBorders>
              <w:left w:val="nil"/>
            </w:tcBorders>
          </w:tcPr>
          <w:p>
            <w:pPr>
              <w:pStyle w:val="TableParagraph"/>
              <w:spacing w:line="153" w:lineRule="exact" w:before="1"/>
              <w:ind w:right="442"/>
              <w:jc w:val="right"/>
              <w:rPr>
                <w:sz w:val="15"/>
              </w:rPr>
            </w:pPr>
            <w:r>
              <w:rPr>
                <w:sz w:val="15"/>
              </w:rPr>
              <w:t>$346.00</w:t>
            </w:r>
          </w:p>
        </w:tc>
      </w:tr>
      <w:tr>
        <w:trPr>
          <w:trHeight w:val="173" w:hRule="atLeast"/>
        </w:trPr>
        <w:tc>
          <w:tcPr>
            <w:tcW w:w="2329" w:type="dxa"/>
            <w:tcBorders>
              <w:right w:val="nil"/>
            </w:tcBorders>
          </w:tcPr>
          <w:p>
            <w:pPr>
              <w:pStyle w:val="TableParagraph"/>
              <w:spacing w:line="153" w:lineRule="exact"/>
              <w:ind w:left="202"/>
              <w:rPr>
                <w:sz w:val="15"/>
              </w:rPr>
            </w:pPr>
            <w:r>
              <w:rPr>
                <w:sz w:val="15"/>
              </w:rPr>
              <w:t>601 a 750</w:t>
            </w:r>
          </w:p>
        </w:tc>
        <w:tc>
          <w:tcPr>
            <w:tcW w:w="2137" w:type="dxa"/>
            <w:tcBorders>
              <w:left w:val="nil"/>
            </w:tcBorders>
          </w:tcPr>
          <w:p>
            <w:pPr>
              <w:pStyle w:val="TableParagraph"/>
              <w:spacing w:line="153" w:lineRule="exact"/>
              <w:ind w:right="442"/>
              <w:jc w:val="right"/>
              <w:rPr>
                <w:sz w:val="15"/>
              </w:rPr>
            </w:pPr>
            <w:r>
              <w:rPr>
                <w:sz w:val="15"/>
              </w:rPr>
              <w:t>$532.00</w:t>
            </w:r>
          </w:p>
        </w:tc>
      </w:tr>
      <w:tr>
        <w:trPr>
          <w:trHeight w:val="173" w:hRule="atLeast"/>
        </w:trPr>
        <w:tc>
          <w:tcPr>
            <w:tcW w:w="2329" w:type="dxa"/>
            <w:tcBorders>
              <w:right w:val="nil"/>
            </w:tcBorders>
          </w:tcPr>
          <w:p>
            <w:pPr>
              <w:pStyle w:val="TableParagraph"/>
              <w:spacing w:line="153" w:lineRule="exact"/>
              <w:ind w:left="159"/>
              <w:rPr>
                <w:sz w:val="15"/>
              </w:rPr>
            </w:pPr>
            <w:r>
              <w:rPr>
                <w:sz w:val="15"/>
              </w:rPr>
              <w:t>751 a 1000</w:t>
            </w:r>
          </w:p>
        </w:tc>
        <w:tc>
          <w:tcPr>
            <w:tcW w:w="2137" w:type="dxa"/>
            <w:tcBorders>
              <w:left w:val="nil"/>
            </w:tcBorders>
          </w:tcPr>
          <w:p>
            <w:pPr>
              <w:pStyle w:val="TableParagraph"/>
              <w:spacing w:line="153" w:lineRule="exact"/>
              <w:ind w:right="442"/>
              <w:jc w:val="right"/>
              <w:rPr>
                <w:sz w:val="15"/>
              </w:rPr>
            </w:pPr>
            <w:r>
              <w:rPr>
                <w:sz w:val="15"/>
              </w:rPr>
              <w:t>$810.00</w:t>
            </w:r>
          </w:p>
        </w:tc>
      </w:tr>
    </w:tbl>
    <w:p>
      <w:pPr>
        <w:pStyle w:val="BodyText"/>
        <w:spacing w:before="6"/>
      </w:pPr>
    </w:p>
    <w:p>
      <w:pPr>
        <w:pStyle w:val="BodyText"/>
        <w:spacing w:line="247" w:lineRule="auto" w:before="1"/>
        <w:ind w:left="150" w:right="510" w:firstLine="397"/>
        <w:jc w:val="both"/>
      </w:pPr>
      <w:r>
        <w:rPr/>
        <w:t>En el caso de predios cuya superficie sea superior a 1000 metros cuadrados, los contribuyentes pagarán  el</w:t>
      </w:r>
      <w:r>
        <w:rPr>
          <w:spacing w:val="7"/>
        </w:rPr>
        <w:t> </w:t>
      </w:r>
      <w:r>
        <w:rPr/>
        <w:t>impuesto</w:t>
      </w:r>
      <w:r>
        <w:rPr>
          <w:spacing w:val="6"/>
        </w:rPr>
        <w:t> </w:t>
      </w:r>
      <w:r>
        <w:rPr/>
        <w:t>que</w:t>
      </w:r>
      <w:r>
        <w:rPr>
          <w:spacing w:val="7"/>
        </w:rPr>
        <w:t> </w:t>
      </w:r>
      <w:r>
        <w:rPr/>
        <w:t>les</w:t>
      </w:r>
      <w:r>
        <w:rPr>
          <w:spacing w:val="7"/>
        </w:rPr>
        <w:t> </w:t>
      </w:r>
      <w:r>
        <w:rPr/>
        <w:t>corresponda</w:t>
      </w:r>
      <w:r>
        <w:rPr>
          <w:spacing w:val="8"/>
        </w:rPr>
        <w:t> </w:t>
      </w:r>
      <w:r>
        <w:rPr/>
        <w:t>conforme</w:t>
      </w:r>
      <w:r>
        <w:rPr>
          <w:spacing w:val="7"/>
        </w:rPr>
        <w:t> </w:t>
      </w:r>
      <w:r>
        <w:rPr/>
        <w:t>a</w:t>
      </w:r>
      <w:r>
        <w:rPr>
          <w:spacing w:val="7"/>
        </w:rPr>
        <w:t> </w:t>
      </w:r>
      <w:r>
        <w:rPr/>
        <w:t>la</w:t>
      </w:r>
      <w:r>
        <w:rPr>
          <w:spacing w:val="7"/>
        </w:rPr>
        <w:t> </w:t>
      </w:r>
      <w:r>
        <w:rPr/>
        <w:t>aplicación</w:t>
      </w:r>
      <w:r>
        <w:rPr>
          <w:spacing w:val="8"/>
        </w:rPr>
        <w:t> </w:t>
      </w:r>
      <w:r>
        <w:rPr/>
        <w:t>de</w:t>
      </w:r>
      <w:r>
        <w:rPr>
          <w:spacing w:val="7"/>
        </w:rPr>
        <w:t> </w:t>
      </w:r>
      <w:r>
        <w:rPr/>
        <w:t>las</w:t>
      </w:r>
      <w:r>
        <w:rPr>
          <w:spacing w:val="12"/>
        </w:rPr>
        <w:t> </w:t>
      </w:r>
      <w:r>
        <w:rPr/>
        <w:t>dos</w:t>
      </w:r>
      <w:r>
        <w:rPr>
          <w:spacing w:val="7"/>
        </w:rPr>
        <w:t> </w:t>
      </w:r>
      <w:r>
        <w:rPr/>
        <w:t>primeras</w:t>
      </w:r>
      <w:r>
        <w:rPr>
          <w:spacing w:val="7"/>
        </w:rPr>
        <w:t> </w:t>
      </w:r>
      <w:r>
        <w:rPr/>
        <w:t>tablas</w:t>
      </w:r>
      <w:r>
        <w:rPr>
          <w:spacing w:val="7"/>
        </w:rPr>
        <w:t> </w:t>
      </w:r>
      <w:r>
        <w:rPr/>
        <w:t>del</w:t>
      </w:r>
      <w:r>
        <w:rPr>
          <w:spacing w:val="8"/>
        </w:rPr>
        <w:t> </w:t>
      </w:r>
      <w:r>
        <w:rPr/>
        <w:t>presente</w:t>
      </w:r>
      <w:r>
        <w:rPr>
          <w:spacing w:val="7"/>
        </w:rPr>
        <w:t> </w:t>
      </w:r>
      <w:r>
        <w:rPr/>
        <w:t>artículo;</w:t>
      </w:r>
    </w:p>
    <w:p>
      <w:pPr>
        <w:pStyle w:val="BodyText"/>
        <w:spacing w:before="2"/>
      </w:pPr>
    </w:p>
    <w:p>
      <w:pPr>
        <w:pStyle w:val="ListParagraph"/>
        <w:numPr>
          <w:ilvl w:val="0"/>
          <w:numId w:val="16"/>
        </w:numPr>
        <w:tabs>
          <w:tab w:pos="763" w:val="left" w:leader="none"/>
        </w:tabs>
        <w:spacing w:line="247" w:lineRule="auto" w:before="1" w:after="0"/>
        <w:ind w:left="150" w:right="509" w:firstLine="397"/>
        <w:jc w:val="both"/>
        <w:rPr>
          <w:sz w:val="15"/>
        </w:rPr>
      </w:pPr>
      <w:r>
        <w:rPr>
          <w:sz w:val="15"/>
        </w:rPr>
        <w:t>Tratándose de terrenos que sean materia de regularización por parte del Programa de Regularización de Predios Rústicos de la Pequeña Propiedad, los contribuyentes  pagarán únicamente el 1% de impuesto   sobre el valor de sus predios;</w:t>
      </w:r>
      <w:r>
        <w:rPr>
          <w:spacing w:val="7"/>
          <w:sz w:val="15"/>
        </w:rPr>
        <w:t> </w:t>
      </w:r>
      <w:r>
        <w:rPr>
          <w:sz w:val="15"/>
        </w:rPr>
        <w:t>y</w:t>
      </w:r>
    </w:p>
    <w:p>
      <w:pPr>
        <w:pStyle w:val="BodyText"/>
        <w:spacing w:before="3"/>
      </w:pPr>
    </w:p>
    <w:p>
      <w:pPr>
        <w:pStyle w:val="ListParagraph"/>
        <w:numPr>
          <w:ilvl w:val="0"/>
          <w:numId w:val="16"/>
        </w:numPr>
        <w:tabs>
          <w:tab w:pos="748" w:val="left" w:leader="none"/>
        </w:tabs>
        <w:spacing w:line="247" w:lineRule="auto" w:before="0" w:after="0"/>
        <w:ind w:left="150" w:right="509" w:firstLine="397"/>
        <w:jc w:val="both"/>
        <w:rPr>
          <w:sz w:val="15"/>
        </w:rPr>
      </w:pPr>
      <w:r>
        <w:rPr>
          <w:sz w:val="15"/>
        </w:rPr>
        <w:t>Los ejidatarios, avecindados o posesionarios en términos de la Ley Agraria que a partir del ejercicio fiscal 2020, adquieran el dominio pleno de una parcela del ejido o comunidades indígenas al que pertenezcan, derivado del correspondiente procedimiento administrativo que culmine con la emisión de un Título  de  Propiedad por el Ejecutivo Federal, o por algunas de sus dependencias, se les aplicará una reducción de      hasta un 90% del monto total a pagar por concepto de este impuesto, resultante de aplicar las tablas previstas  en el presente artículo, según corresponda cuando la parcela en cuestión se dedique preponderantemente a fines agropecuarios en producción. La Dirección de Catastro deberá emitir un dictamen en el  que  se  documente</w:t>
      </w:r>
      <w:r>
        <w:rPr>
          <w:spacing w:val="11"/>
          <w:sz w:val="15"/>
        </w:rPr>
        <w:t> </w:t>
      </w:r>
      <w:r>
        <w:rPr>
          <w:sz w:val="15"/>
        </w:rPr>
        <w:t>que</w:t>
      </w:r>
      <w:r>
        <w:rPr>
          <w:spacing w:val="12"/>
          <w:sz w:val="15"/>
        </w:rPr>
        <w:t> </w:t>
      </w:r>
      <w:r>
        <w:rPr>
          <w:sz w:val="15"/>
        </w:rPr>
        <w:t>el</w:t>
      </w:r>
      <w:r>
        <w:rPr>
          <w:spacing w:val="11"/>
          <w:sz w:val="15"/>
        </w:rPr>
        <w:t> </w:t>
      </w:r>
      <w:r>
        <w:rPr>
          <w:sz w:val="15"/>
        </w:rPr>
        <w:t>predio</w:t>
      </w:r>
      <w:r>
        <w:rPr>
          <w:spacing w:val="12"/>
          <w:sz w:val="15"/>
        </w:rPr>
        <w:t> </w:t>
      </w:r>
      <w:r>
        <w:rPr>
          <w:sz w:val="15"/>
        </w:rPr>
        <w:t>de</w:t>
      </w:r>
      <w:r>
        <w:rPr>
          <w:spacing w:val="12"/>
          <w:sz w:val="15"/>
        </w:rPr>
        <w:t> </w:t>
      </w:r>
      <w:r>
        <w:rPr>
          <w:sz w:val="15"/>
        </w:rPr>
        <w:t>que</w:t>
      </w:r>
      <w:r>
        <w:rPr>
          <w:spacing w:val="10"/>
          <w:sz w:val="15"/>
        </w:rPr>
        <w:t> </w:t>
      </w:r>
      <w:r>
        <w:rPr>
          <w:sz w:val="15"/>
        </w:rPr>
        <w:t>se</w:t>
      </w:r>
      <w:r>
        <w:rPr>
          <w:spacing w:val="11"/>
          <w:sz w:val="15"/>
        </w:rPr>
        <w:t> </w:t>
      </w:r>
      <w:r>
        <w:rPr>
          <w:sz w:val="15"/>
        </w:rPr>
        <w:t>trate</w:t>
      </w:r>
      <w:r>
        <w:rPr>
          <w:spacing w:val="11"/>
          <w:sz w:val="15"/>
        </w:rPr>
        <w:t> </w:t>
      </w:r>
      <w:r>
        <w:rPr>
          <w:sz w:val="15"/>
        </w:rPr>
        <w:t>se</w:t>
      </w:r>
      <w:r>
        <w:rPr>
          <w:spacing w:val="11"/>
          <w:sz w:val="15"/>
        </w:rPr>
        <w:t> </w:t>
      </w:r>
      <w:r>
        <w:rPr>
          <w:sz w:val="15"/>
        </w:rPr>
        <w:t>le</w:t>
      </w:r>
      <w:r>
        <w:rPr>
          <w:spacing w:val="10"/>
          <w:sz w:val="15"/>
        </w:rPr>
        <w:t> </w:t>
      </w:r>
      <w:r>
        <w:rPr>
          <w:sz w:val="15"/>
        </w:rPr>
        <w:t>da</w:t>
      </w:r>
      <w:r>
        <w:rPr>
          <w:spacing w:val="12"/>
          <w:sz w:val="15"/>
        </w:rPr>
        <w:t> </w:t>
      </w:r>
      <w:r>
        <w:rPr>
          <w:sz w:val="15"/>
        </w:rPr>
        <w:t>el</w:t>
      </w:r>
      <w:r>
        <w:rPr>
          <w:spacing w:val="11"/>
          <w:sz w:val="15"/>
        </w:rPr>
        <w:t> </w:t>
      </w:r>
      <w:r>
        <w:rPr>
          <w:sz w:val="15"/>
        </w:rPr>
        <w:t>uso</w:t>
      </w:r>
      <w:r>
        <w:rPr>
          <w:spacing w:val="12"/>
          <w:sz w:val="15"/>
        </w:rPr>
        <w:t> </w:t>
      </w:r>
      <w:r>
        <w:rPr>
          <w:sz w:val="15"/>
        </w:rPr>
        <w:t>al</w:t>
      </w:r>
      <w:r>
        <w:rPr>
          <w:spacing w:val="10"/>
          <w:sz w:val="15"/>
        </w:rPr>
        <w:t> </w:t>
      </w:r>
      <w:r>
        <w:rPr>
          <w:sz w:val="15"/>
        </w:rPr>
        <w:t>que</w:t>
      </w:r>
      <w:r>
        <w:rPr>
          <w:spacing w:val="13"/>
          <w:sz w:val="15"/>
        </w:rPr>
        <w:t> </w:t>
      </w:r>
      <w:r>
        <w:rPr>
          <w:sz w:val="15"/>
        </w:rPr>
        <w:t>se</w:t>
      </w:r>
      <w:r>
        <w:rPr>
          <w:spacing w:val="12"/>
          <w:sz w:val="15"/>
        </w:rPr>
        <w:t> </w:t>
      </w:r>
      <w:r>
        <w:rPr>
          <w:sz w:val="15"/>
        </w:rPr>
        <w:t>ha</w:t>
      </w:r>
      <w:r>
        <w:rPr>
          <w:spacing w:val="10"/>
          <w:sz w:val="15"/>
        </w:rPr>
        <w:t> </w:t>
      </w:r>
      <w:r>
        <w:rPr>
          <w:sz w:val="15"/>
        </w:rPr>
        <w:t>hecho</w:t>
      </w:r>
      <w:r>
        <w:rPr>
          <w:spacing w:val="12"/>
          <w:sz w:val="15"/>
        </w:rPr>
        <w:t> </w:t>
      </w:r>
      <w:r>
        <w:rPr>
          <w:sz w:val="15"/>
        </w:rPr>
        <w:t>referencia.</w:t>
      </w:r>
      <w:r>
        <w:rPr>
          <w:spacing w:val="12"/>
          <w:sz w:val="15"/>
        </w:rPr>
        <w:t> </w:t>
      </w:r>
      <w:r>
        <w:rPr>
          <w:sz w:val="15"/>
        </w:rPr>
        <w:t>Una</w:t>
      </w:r>
      <w:r>
        <w:rPr>
          <w:spacing w:val="11"/>
          <w:sz w:val="15"/>
        </w:rPr>
        <w:t> </w:t>
      </w:r>
      <w:r>
        <w:rPr>
          <w:sz w:val="15"/>
        </w:rPr>
        <w:t>vez</w:t>
      </w:r>
      <w:r>
        <w:rPr>
          <w:spacing w:val="12"/>
          <w:sz w:val="15"/>
        </w:rPr>
        <w:t> </w:t>
      </w:r>
      <w:r>
        <w:rPr>
          <w:sz w:val="15"/>
        </w:rPr>
        <w:t>emitido</w:t>
      </w:r>
      <w:r>
        <w:rPr>
          <w:spacing w:val="11"/>
          <w:sz w:val="15"/>
        </w:rPr>
        <w:t> </w:t>
      </w:r>
      <w:r>
        <w:rPr>
          <w:sz w:val="15"/>
        </w:rPr>
        <w:t>dicho</w:t>
      </w:r>
    </w:p>
    <w:p>
      <w:pPr>
        <w:spacing w:after="0" w:line="247" w:lineRule="auto"/>
        <w:jc w:val="both"/>
        <w:rPr>
          <w:sz w:val="15"/>
        </w:rPr>
        <w:sectPr>
          <w:type w:val="continuous"/>
          <w:pgSz w:w="23250" w:h="15310" w:orient="landscape"/>
          <w:pgMar w:top="0" w:bottom="0" w:left="1880" w:right="1520"/>
          <w:cols w:num="2" w:equalWidth="0">
            <w:col w:w="7751" w:space="3871"/>
            <w:col w:w="8228"/>
          </w:cols>
        </w:sectPr>
      </w:pPr>
    </w:p>
    <w:p>
      <w:pPr>
        <w:pStyle w:val="BodyText"/>
        <w:rPr>
          <w:sz w:val="20"/>
        </w:rPr>
      </w:pPr>
    </w:p>
    <w:p>
      <w:pPr>
        <w:pStyle w:val="BodyText"/>
        <w:spacing w:before="6"/>
        <w:rPr>
          <w:sz w:val="29"/>
        </w:rPr>
      </w:pPr>
    </w:p>
    <w:p>
      <w:pPr>
        <w:spacing w:after="0"/>
        <w:rPr>
          <w:sz w:val="29"/>
        </w:rPr>
        <w:sectPr>
          <w:headerReference w:type="default" r:id="rId62"/>
          <w:pgSz w:w="23250" w:h="15310" w:orient="landscape"/>
          <w:pgMar w:header="881" w:footer="499" w:top="1920" w:bottom="680" w:left="1880" w:right="1520"/>
        </w:sectPr>
      </w:pPr>
    </w:p>
    <w:p>
      <w:pPr>
        <w:pStyle w:val="BodyText"/>
        <w:spacing w:line="247" w:lineRule="auto" w:before="100"/>
        <w:ind w:left="151" w:right="233"/>
      </w:pPr>
      <w:r>
        <w:rPr/>
        <w:t>dictamen, la señalada reducción se aplicará automáticamente, esto es, sin la necesidad  de  un  acuerdo  fundado y</w:t>
      </w:r>
      <w:r>
        <w:rPr>
          <w:spacing w:val="2"/>
        </w:rPr>
        <w:t> </w:t>
      </w:r>
      <w:r>
        <w:rPr/>
        <w:t>motivado.</w:t>
      </w:r>
    </w:p>
    <w:p>
      <w:pPr>
        <w:pStyle w:val="BodyText"/>
        <w:spacing w:before="3"/>
      </w:pPr>
    </w:p>
    <w:p>
      <w:pPr>
        <w:pStyle w:val="ListParagraph"/>
        <w:numPr>
          <w:ilvl w:val="0"/>
          <w:numId w:val="16"/>
        </w:numPr>
        <w:tabs>
          <w:tab w:pos="784" w:val="left" w:leader="none"/>
        </w:tabs>
        <w:spacing w:line="247" w:lineRule="auto" w:before="0" w:after="0"/>
        <w:ind w:left="151" w:right="38" w:firstLine="397"/>
        <w:jc w:val="both"/>
        <w:rPr>
          <w:sz w:val="15"/>
        </w:rPr>
      </w:pPr>
      <w:r>
        <w:rPr>
          <w:sz w:val="15"/>
        </w:rPr>
        <w:t>A quienes adquieran inmuebles por sucesión testamentaria, intestamentaria, cláusula de beneficiario    y cláusula testamentaria de predios rústicos o urbanos, en donde adquieran familiares en línea  recta  ascendente o descendente hasta el segundo grado o entre cónyuges, les serán aplicables  los  beneficios fiscales previstos en el artículo 117 Bis de la Ley de Hacienda</w:t>
      </w:r>
      <w:r>
        <w:rPr>
          <w:spacing w:val="30"/>
          <w:sz w:val="15"/>
        </w:rPr>
        <w:t> </w:t>
      </w:r>
      <w:r>
        <w:rPr>
          <w:sz w:val="15"/>
        </w:rPr>
        <w:t>Municipal.</w:t>
      </w:r>
    </w:p>
    <w:p>
      <w:pPr>
        <w:pStyle w:val="BodyText"/>
        <w:spacing w:before="4"/>
      </w:pPr>
    </w:p>
    <w:p>
      <w:pPr>
        <w:pStyle w:val="Heading4"/>
        <w:ind w:left="269"/>
      </w:pPr>
      <w:r>
        <w:rPr/>
        <w:t>CAPÍTULO</w:t>
      </w:r>
      <w:r>
        <w:rPr>
          <w:spacing w:val="24"/>
        </w:rPr>
        <w:t> </w:t>
      </w:r>
      <w:r>
        <w:rPr/>
        <w:t>CUARTO</w:t>
      </w:r>
    </w:p>
    <w:p>
      <w:pPr>
        <w:spacing w:before="4"/>
        <w:ind w:left="271" w:right="160" w:firstLine="0"/>
        <w:jc w:val="center"/>
        <w:rPr>
          <w:b/>
          <w:sz w:val="15"/>
        </w:rPr>
      </w:pPr>
      <w:r>
        <w:rPr>
          <w:b/>
          <w:sz w:val="15"/>
        </w:rPr>
        <w:t>De  Otros</w:t>
      </w:r>
      <w:r>
        <w:rPr>
          <w:b/>
          <w:spacing w:val="-6"/>
          <w:sz w:val="15"/>
        </w:rPr>
        <w:t> </w:t>
      </w:r>
      <w:r>
        <w:rPr>
          <w:b/>
          <w:sz w:val="15"/>
        </w:rPr>
        <w:t>Impuestos</w:t>
      </w:r>
    </w:p>
    <w:p>
      <w:pPr>
        <w:pStyle w:val="BodyText"/>
        <w:spacing w:before="9"/>
        <w:rPr>
          <w:b/>
        </w:rPr>
      </w:pPr>
    </w:p>
    <w:p>
      <w:pPr>
        <w:spacing w:before="0"/>
        <w:ind w:left="274" w:right="159" w:firstLine="0"/>
        <w:jc w:val="center"/>
        <w:rPr>
          <w:b/>
          <w:sz w:val="15"/>
        </w:rPr>
      </w:pPr>
      <w:r>
        <w:rPr>
          <w:b/>
          <w:sz w:val="15"/>
        </w:rPr>
        <w:t>SECCIÓN ÚNICA</w:t>
      </w:r>
    </w:p>
    <w:p>
      <w:pPr>
        <w:spacing w:before="5"/>
        <w:ind w:left="271" w:right="160" w:firstLine="0"/>
        <w:jc w:val="center"/>
        <w:rPr>
          <w:b/>
          <w:sz w:val="15"/>
        </w:rPr>
      </w:pPr>
      <w:r>
        <w:rPr>
          <w:b/>
          <w:sz w:val="15"/>
        </w:rPr>
        <w:t>De los Impuestos Extraordinarios</w:t>
      </w:r>
    </w:p>
    <w:p>
      <w:pPr>
        <w:pStyle w:val="BodyText"/>
        <w:spacing w:before="7"/>
        <w:rPr>
          <w:b/>
        </w:rPr>
      </w:pPr>
    </w:p>
    <w:p>
      <w:pPr>
        <w:pStyle w:val="BodyText"/>
        <w:spacing w:line="247" w:lineRule="auto" w:before="1"/>
        <w:ind w:left="151" w:right="38" w:firstLine="397"/>
        <w:jc w:val="both"/>
      </w:pPr>
      <w:r>
        <w:rPr>
          <w:b/>
        </w:rPr>
        <w:t>Artículo 42.- </w:t>
      </w:r>
      <w:r>
        <w:rPr/>
        <w:t>El Municipio percibirá los impuestos extraordinarios establecidos o que se establezcan por  las leyes fiscales durante el ejercicio fiscal del año actual, en la cuantía y sobre las fuentes impositivas que se determinen, y conforme al procedimiento que se señale para su</w:t>
      </w:r>
      <w:r>
        <w:rPr>
          <w:spacing w:val="28"/>
        </w:rPr>
        <w:t> </w:t>
      </w:r>
      <w:r>
        <w:rPr/>
        <w:t>recaudación.</w:t>
      </w:r>
    </w:p>
    <w:p>
      <w:pPr>
        <w:pStyle w:val="BodyText"/>
        <w:spacing w:before="4"/>
      </w:pPr>
    </w:p>
    <w:p>
      <w:pPr>
        <w:pStyle w:val="Heading4"/>
        <w:ind w:left="270"/>
      </w:pPr>
      <w:r>
        <w:rPr/>
        <w:t>CAPITULO QUINTO</w:t>
      </w:r>
    </w:p>
    <w:p>
      <w:pPr>
        <w:spacing w:before="4"/>
        <w:ind w:left="271" w:right="160" w:firstLine="0"/>
        <w:jc w:val="center"/>
        <w:rPr>
          <w:b/>
          <w:sz w:val="15"/>
        </w:rPr>
      </w:pPr>
      <w:r>
        <w:rPr>
          <w:b/>
          <w:sz w:val="15"/>
        </w:rPr>
        <w:t>De los Accesorios de los Impuestos</w:t>
      </w:r>
    </w:p>
    <w:p>
      <w:pPr>
        <w:pStyle w:val="BodyText"/>
        <w:spacing w:before="8"/>
        <w:rPr>
          <w:b/>
        </w:rPr>
      </w:pPr>
    </w:p>
    <w:p>
      <w:pPr>
        <w:pStyle w:val="BodyText"/>
        <w:spacing w:line="247" w:lineRule="auto"/>
        <w:ind w:left="151" w:right="39" w:firstLine="397"/>
        <w:jc w:val="both"/>
      </w:pPr>
      <w:r>
        <w:rPr>
          <w:b/>
        </w:rPr>
        <w:t>Artículo 43.- </w:t>
      </w:r>
      <w:r>
        <w:rPr/>
        <w:t>Los ingresos por concepto de accesorios derivados de la falta de pago oportuno de las contribuciones establecidas en esta ley, son los que se perciben por:</w:t>
      </w:r>
    </w:p>
    <w:p>
      <w:pPr>
        <w:pStyle w:val="BodyText"/>
        <w:spacing w:before="4"/>
      </w:pPr>
    </w:p>
    <w:p>
      <w:pPr>
        <w:pStyle w:val="ListParagraph"/>
        <w:numPr>
          <w:ilvl w:val="0"/>
          <w:numId w:val="17"/>
        </w:numPr>
        <w:tabs>
          <w:tab w:pos="686" w:val="left" w:leader="none"/>
        </w:tabs>
        <w:spacing w:line="244" w:lineRule="auto" w:before="0" w:after="0"/>
        <w:ind w:left="151" w:right="42" w:firstLine="397"/>
        <w:jc w:val="both"/>
        <w:rPr>
          <w:sz w:val="15"/>
        </w:rPr>
      </w:pPr>
      <w:r>
        <w:rPr>
          <w:sz w:val="15"/>
        </w:rPr>
        <w:t>Recargos: Los que se causarán conforme a las reglas establecidas por la Ley de Hacienda Municipal   del Estado de</w:t>
      </w:r>
      <w:r>
        <w:rPr>
          <w:spacing w:val="3"/>
          <w:sz w:val="15"/>
        </w:rPr>
        <w:t> </w:t>
      </w:r>
      <w:r>
        <w:rPr>
          <w:sz w:val="15"/>
        </w:rPr>
        <w:t>Jalisco;</w:t>
      </w:r>
    </w:p>
    <w:p>
      <w:pPr>
        <w:pStyle w:val="ListParagraph"/>
        <w:numPr>
          <w:ilvl w:val="0"/>
          <w:numId w:val="17"/>
        </w:numPr>
        <w:tabs>
          <w:tab w:pos="712" w:val="left" w:leader="none"/>
        </w:tabs>
        <w:spacing w:line="240" w:lineRule="auto" w:before="2" w:after="0"/>
        <w:ind w:left="711" w:right="0" w:hanging="164"/>
        <w:jc w:val="left"/>
        <w:rPr>
          <w:sz w:val="15"/>
        </w:rPr>
      </w:pPr>
      <w:r>
        <w:rPr>
          <w:sz w:val="15"/>
        </w:rPr>
        <w:t>Actualización;</w:t>
      </w:r>
    </w:p>
    <w:p>
      <w:pPr>
        <w:pStyle w:val="ListParagraph"/>
        <w:numPr>
          <w:ilvl w:val="0"/>
          <w:numId w:val="17"/>
        </w:numPr>
        <w:tabs>
          <w:tab w:pos="763" w:val="left" w:leader="none"/>
        </w:tabs>
        <w:spacing w:line="240" w:lineRule="auto" w:before="5" w:after="0"/>
        <w:ind w:left="762" w:right="0" w:hanging="215"/>
        <w:jc w:val="left"/>
        <w:rPr>
          <w:sz w:val="15"/>
        </w:rPr>
      </w:pPr>
      <w:r>
        <w:rPr>
          <w:sz w:val="15"/>
        </w:rPr>
        <w:t>Multas;</w:t>
      </w:r>
    </w:p>
    <w:p>
      <w:pPr>
        <w:pStyle w:val="ListParagraph"/>
        <w:numPr>
          <w:ilvl w:val="0"/>
          <w:numId w:val="17"/>
        </w:numPr>
        <w:tabs>
          <w:tab w:pos="766" w:val="left" w:leader="none"/>
        </w:tabs>
        <w:spacing w:line="240" w:lineRule="auto" w:before="4" w:after="0"/>
        <w:ind w:left="765" w:right="0" w:hanging="218"/>
        <w:jc w:val="left"/>
        <w:rPr>
          <w:sz w:val="15"/>
        </w:rPr>
      </w:pPr>
      <w:r>
        <w:rPr>
          <w:sz w:val="15"/>
        </w:rPr>
        <w:t>Intereses;</w:t>
      </w:r>
    </w:p>
    <w:p>
      <w:pPr>
        <w:pStyle w:val="ListParagraph"/>
        <w:numPr>
          <w:ilvl w:val="0"/>
          <w:numId w:val="17"/>
        </w:numPr>
        <w:tabs>
          <w:tab w:pos="723" w:val="left" w:leader="none"/>
        </w:tabs>
        <w:spacing w:line="240" w:lineRule="auto" w:before="5" w:after="0"/>
        <w:ind w:left="722" w:right="0" w:hanging="175"/>
        <w:jc w:val="left"/>
        <w:rPr>
          <w:sz w:val="15"/>
        </w:rPr>
      </w:pPr>
      <w:r>
        <w:rPr>
          <w:sz w:val="15"/>
        </w:rPr>
        <w:t>Gastos de notificación y</w:t>
      </w:r>
      <w:r>
        <w:rPr>
          <w:spacing w:val="5"/>
          <w:sz w:val="15"/>
        </w:rPr>
        <w:t> </w:t>
      </w:r>
      <w:r>
        <w:rPr>
          <w:sz w:val="15"/>
        </w:rPr>
        <w:t>ejecución;</w:t>
      </w:r>
    </w:p>
    <w:p>
      <w:pPr>
        <w:pStyle w:val="ListParagraph"/>
        <w:numPr>
          <w:ilvl w:val="0"/>
          <w:numId w:val="17"/>
        </w:numPr>
        <w:tabs>
          <w:tab w:pos="780" w:val="left" w:leader="none"/>
        </w:tabs>
        <w:spacing w:line="240" w:lineRule="auto" w:before="4" w:after="0"/>
        <w:ind w:left="779" w:right="0" w:hanging="232"/>
        <w:jc w:val="left"/>
        <w:rPr>
          <w:sz w:val="15"/>
        </w:rPr>
      </w:pPr>
      <w:r>
        <w:rPr>
          <w:sz w:val="15"/>
        </w:rPr>
        <w:t>Indemnizaciones,</w:t>
      </w:r>
      <w:r>
        <w:rPr>
          <w:spacing w:val="1"/>
          <w:sz w:val="15"/>
        </w:rPr>
        <w:t> </w:t>
      </w:r>
      <w:r>
        <w:rPr>
          <w:sz w:val="15"/>
        </w:rPr>
        <w:t>y</w:t>
      </w:r>
    </w:p>
    <w:p>
      <w:pPr>
        <w:pStyle w:val="ListParagraph"/>
        <w:numPr>
          <w:ilvl w:val="0"/>
          <w:numId w:val="17"/>
        </w:numPr>
        <w:tabs>
          <w:tab w:pos="823" w:val="left" w:leader="none"/>
        </w:tabs>
        <w:spacing w:line="240" w:lineRule="auto" w:before="5" w:after="0"/>
        <w:ind w:left="822" w:right="0" w:hanging="275"/>
        <w:jc w:val="left"/>
        <w:rPr>
          <w:sz w:val="15"/>
        </w:rPr>
      </w:pPr>
      <w:r>
        <w:rPr>
          <w:sz w:val="15"/>
        </w:rPr>
        <w:t>Otros no</w:t>
      </w:r>
      <w:r>
        <w:rPr>
          <w:spacing w:val="2"/>
          <w:sz w:val="15"/>
        </w:rPr>
        <w:t> </w:t>
      </w:r>
      <w:r>
        <w:rPr>
          <w:sz w:val="15"/>
        </w:rPr>
        <w:t>especificados.</w:t>
      </w:r>
    </w:p>
    <w:p>
      <w:pPr>
        <w:pStyle w:val="BodyText"/>
        <w:spacing w:before="9"/>
      </w:pPr>
    </w:p>
    <w:p>
      <w:pPr>
        <w:pStyle w:val="BodyText"/>
        <w:spacing w:line="247" w:lineRule="auto"/>
        <w:ind w:left="151" w:right="39" w:firstLine="397"/>
        <w:jc w:val="both"/>
      </w:pPr>
      <w:r>
        <w:rPr>
          <w:b/>
        </w:rPr>
        <w:t>Artículo 44.- </w:t>
      </w:r>
      <w:r>
        <w:rPr/>
        <w:t>Los conceptos del artículo anterior son accesorios de las contribuciones y participan de la naturaleza de éstas.</w:t>
      </w:r>
    </w:p>
    <w:p>
      <w:pPr>
        <w:pStyle w:val="BodyText"/>
        <w:spacing w:before="99"/>
        <w:ind w:left="151"/>
      </w:pPr>
      <w:r>
        <w:rPr/>
        <w:br w:type="column"/>
      </w:r>
      <w:r>
        <w:rPr/>
        <w:t>contribuyente;</w:t>
      </w:r>
    </w:p>
    <w:p>
      <w:pPr>
        <w:pStyle w:val="BodyText"/>
        <w:spacing w:before="9"/>
      </w:pPr>
    </w:p>
    <w:p>
      <w:pPr>
        <w:pStyle w:val="BodyText"/>
        <w:spacing w:line="491" w:lineRule="auto" w:before="1"/>
        <w:ind w:left="548" w:right="1416"/>
        <w:jc w:val="both"/>
      </w:pPr>
      <w:r>
        <w:rPr/>
        <w:t>B= Índice citado, vigente en el momento en que se hace exigible el pago por parte del fisco. Los créditos fiscales, no se actualizarán por fracciones de mes.</w:t>
      </w:r>
    </w:p>
    <w:p>
      <w:pPr>
        <w:pStyle w:val="BodyText"/>
        <w:spacing w:line="247" w:lineRule="auto" w:before="1"/>
        <w:ind w:left="151" w:right="508" w:firstLine="397"/>
        <w:jc w:val="both"/>
      </w:pPr>
      <w:r>
        <w:rPr/>
        <w:t>En los casos en que el Índice Nacional de Precios al Consumidor del mes anterior al más reciente del periodo, no haya sido publicado por el Instituto Nacional de Estadística y Geografía y/o Banco de México, la actualización de que se trate se realizará aplicando el último índice mensual publicado.</w:t>
      </w:r>
    </w:p>
    <w:p>
      <w:pPr>
        <w:pStyle w:val="BodyText"/>
        <w:spacing w:before="2"/>
      </w:pPr>
    </w:p>
    <w:p>
      <w:pPr>
        <w:pStyle w:val="BodyText"/>
        <w:ind w:left="548"/>
      </w:pPr>
      <w:r>
        <w:rPr/>
        <w:t>Las cantidades actualizadas, conservará la naturaleza jurídica que tenían antes de la actualización.</w:t>
      </w:r>
    </w:p>
    <w:p>
      <w:pPr>
        <w:pStyle w:val="BodyText"/>
        <w:spacing w:before="9"/>
      </w:pPr>
    </w:p>
    <w:p>
      <w:pPr>
        <w:pStyle w:val="BodyText"/>
        <w:spacing w:line="247" w:lineRule="auto" w:before="1"/>
        <w:ind w:left="151" w:right="509" w:firstLine="397"/>
        <w:jc w:val="both"/>
      </w:pPr>
      <w:r>
        <w:rPr>
          <w:b/>
        </w:rPr>
        <w:t>Artículo 48.- </w:t>
      </w:r>
      <w:r>
        <w:rPr/>
        <w:t>Cuando se concedan plazos para pagar obligaciones fiscales, la  tasa de interés será el  costo porcentual promedio </w:t>
      </w:r>
      <w:r>
        <w:rPr>
          <w:spacing w:val="-5"/>
        </w:rPr>
        <w:t>(C.P.P.), </w:t>
      </w:r>
      <w:r>
        <w:rPr/>
        <w:t>del mes inmediato anterior, que determine el Banco de</w:t>
      </w:r>
      <w:r>
        <w:rPr>
          <w:spacing w:val="40"/>
        </w:rPr>
        <w:t> </w:t>
      </w:r>
      <w:r>
        <w:rPr/>
        <w:t>México.</w:t>
      </w:r>
    </w:p>
    <w:p>
      <w:pPr>
        <w:pStyle w:val="BodyText"/>
        <w:spacing w:before="2"/>
      </w:pPr>
    </w:p>
    <w:p>
      <w:pPr>
        <w:pStyle w:val="BodyText"/>
        <w:spacing w:line="247" w:lineRule="auto" w:before="1"/>
        <w:ind w:left="151" w:right="509" w:firstLine="397"/>
        <w:jc w:val="both"/>
      </w:pPr>
      <w:r>
        <w:rPr>
          <w:b/>
        </w:rPr>
        <w:t>Artículo 49.- </w:t>
      </w:r>
      <w:r>
        <w:rPr/>
        <w:t>Los gastos de notificación y ejecución de créditos fiscales determinados por el  incumplimiento del pago de las obligaciones fiscales establecidas en esta ley y demás disposiciones fiscales aplicables, se cubrirán a la Hacienda Municipal, conjuntamente con el crédito fiscal, conforme a las siguientes bases:</w:t>
      </w:r>
    </w:p>
    <w:p>
      <w:pPr>
        <w:pStyle w:val="BodyText"/>
        <w:spacing w:before="2"/>
      </w:pPr>
    </w:p>
    <w:p>
      <w:pPr>
        <w:pStyle w:val="ListParagraph"/>
        <w:numPr>
          <w:ilvl w:val="0"/>
          <w:numId w:val="18"/>
        </w:numPr>
        <w:tabs>
          <w:tab w:pos="678" w:val="left" w:leader="none"/>
        </w:tabs>
        <w:spacing w:line="240" w:lineRule="auto" w:before="0" w:after="0"/>
        <w:ind w:left="677" w:right="0" w:hanging="130"/>
        <w:jc w:val="left"/>
        <w:rPr>
          <w:sz w:val="15"/>
        </w:rPr>
      </w:pPr>
      <w:r>
        <w:rPr>
          <w:sz w:val="15"/>
        </w:rPr>
        <w:t>Por gastos de notificación de créditos fiscales determinados por la autoridad</w:t>
      </w:r>
      <w:r>
        <w:rPr>
          <w:spacing w:val="33"/>
          <w:sz w:val="15"/>
        </w:rPr>
        <w:t> </w:t>
      </w:r>
      <w:r>
        <w:rPr>
          <w:sz w:val="15"/>
        </w:rPr>
        <w:t>fiscal:</w:t>
      </w:r>
    </w:p>
    <w:p>
      <w:pPr>
        <w:pStyle w:val="BodyText"/>
        <w:spacing w:before="9"/>
      </w:pPr>
    </w:p>
    <w:p>
      <w:pPr>
        <w:pStyle w:val="ListParagraph"/>
        <w:numPr>
          <w:ilvl w:val="0"/>
          <w:numId w:val="19"/>
        </w:numPr>
        <w:tabs>
          <w:tab w:pos="731" w:val="left" w:leader="none"/>
        </w:tabs>
        <w:spacing w:line="247" w:lineRule="auto" w:before="0" w:after="0"/>
        <w:ind w:left="151" w:right="509" w:firstLine="397"/>
        <w:jc w:val="left"/>
        <w:rPr>
          <w:sz w:val="15"/>
        </w:rPr>
      </w:pPr>
      <w:r>
        <w:rPr>
          <w:sz w:val="15"/>
        </w:rPr>
        <w:t>Cuando se realicen en la cabecera municipal, el 5% del crédito fiscal, sin que su importe sea menor a una unidad de medida y actualización;</w:t>
      </w:r>
      <w:r>
        <w:rPr>
          <w:spacing w:val="7"/>
          <w:sz w:val="15"/>
        </w:rPr>
        <w:t> </w:t>
      </w:r>
      <w:r>
        <w:rPr>
          <w:sz w:val="15"/>
        </w:rPr>
        <w:t>o</w:t>
      </w:r>
    </w:p>
    <w:p>
      <w:pPr>
        <w:pStyle w:val="BodyText"/>
        <w:spacing w:before="3"/>
      </w:pPr>
    </w:p>
    <w:p>
      <w:pPr>
        <w:pStyle w:val="ListParagraph"/>
        <w:numPr>
          <w:ilvl w:val="0"/>
          <w:numId w:val="19"/>
        </w:numPr>
        <w:tabs>
          <w:tab w:pos="748" w:val="left" w:leader="none"/>
        </w:tabs>
        <w:spacing w:line="247" w:lineRule="auto" w:before="0" w:after="0"/>
        <w:ind w:left="151" w:right="507" w:firstLine="397"/>
        <w:jc w:val="left"/>
        <w:rPr>
          <w:sz w:val="15"/>
        </w:rPr>
      </w:pPr>
      <w:r>
        <w:rPr>
          <w:sz w:val="15"/>
        </w:rPr>
        <w:t>Cuando se realice fuera de la cabecera municipal, el 8% del  crédito fiscal, sin que su importe sea  menor a una unidad de medida y</w:t>
      </w:r>
      <w:r>
        <w:rPr>
          <w:spacing w:val="10"/>
          <w:sz w:val="15"/>
        </w:rPr>
        <w:t> </w:t>
      </w:r>
      <w:r>
        <w:rPr>
          <w:sz w:val="15"/>
        </w:rPr>
        <w:t>actualización.</w:t>
      </w:r>
    </w:p>
    <w:p>
      <w:pPr>
        <w:pStyle w:val="BodyText"/>
        <w:spacing w:before="4"/>
      </w:pPr>
    </w:p>
    <w:p>
      <w:pPr>
        <w:pStyle w:val="ListParagraph"/>
        <w:numPr>
          <w:ilvl w:val="0"/>
          <w:numId w:val="18"/>
        </w:numPr>
        <w:tabs>
          <w:tab w:pos="721" w:val="left" w:leader="none"/>
        </w:tabs>
        <w:spacing w:line="240" w:lineRule="auto" w:before="0" w:after="0"/>
        <w:ind w:left="720" w:right="0" w:hanging="173"/>
        <w:jc w:val="left"/>
        <w:rPr>
          <w:sz w:val="15"/>
        </w:rPr>
      </w:pPr>
      <w:r>
        <w:rPr>
          <w:sz w:val="15"/>
        </w:rPr>
        <w:t>Por gastos de ejecución de los créditos fiscales determinados por la autoridad</w:t>
      </w:r>
      <w:r>
        <w:rPr>
          <w:spacing w:val="39"/>
          <w:sz w:val="15"/>
        </w:rPr>
        <w:t> </w:t>
      </w:r>
      <w:r>
        <w:rPr>
          <w:sz w:val="15"/>
        </w:rPr>
        <w:t>fiscal.</w:t>
      </w:r>
    </w:p>
    <w:p>
      <w:pPr>
        <w:pStyle w:val="BodyText"/>
        <w:spacing w:before="9"/>
      </w:pPr>
    </w:p>
    <w:p>
      <w:pPr>
        <w:pStyle w:val="ListParagraph"/>
        <w:numPr>
          <w:ilvl w:val="0"/>
          <w:numId w:val="20"/>
        </w:numPr>
        <w:tabs>
          <w:tab w:pos="732" w:val="left" w:leader="none"/>
        </w:tabs>
        <w:spacing w:line="247" w:lineRule="auto" w:before="0" w:after="0"/>
        <w:ind w:left="151" w:right="509" w:firstLine="397"/>
        <w:jc w:val="left"/>
        <w:rPr>
          <w:sz w:val="15"/>
        </w:rPr>
      </w:pPr>
      <w:r>
        <w:rPr>
          <w:sz w:val="15"/>
        </w:rPr>
        <w:t>Cuando se realicen en la cabecera municipal, el 5% del crédito fiscal, sin que su importe sea menor a una unidad de medida y actualización;</w:t>
      </w:r>
      <w:r>
        <w:rPr>
          <w:spacing w:val="7"/>
          <w:sz w:val="15"/>
        </w:rPr>
        <w:t> </w:t>
      </w:r>
      <w:r>
        <w:rPr>
          <w:sz w:val="15"/>
        </w:rPr>
        <w:t>o</w:t>
      </w:r>
    </w:p>
    <w:p>
      <w:pPr>
        <w:pStyle w:val="BodyText"/>
        <w:spacing w:before="3"/>
      </w:pPr>
    </w:p>
    <w:p>
      <w:pPr>
        <w:pStyle w:val="ListParagraph"/>
        <w:numPr>
          <w:ilvl w:val="0"/>
          <w:numId w:val="20"/>
        </w:numPr>
        <w:tabs>
          <w:tab w:pos="749" w:val="left" w:leader="none"/>
        </w:tabs>
        <w:spacing w:line="247" w:lineRule="auto" w:before="1" w:after="0"/>
        <w:ind w:left="151" w:right="507" w:firstLine="397"/>
        <w:jc w:val="left"/>
        <w:rPr>
          <w:sz w:val="15"/>
        </w:rPr>
      </w:pPr>
      <w:r>
        <w:rPr>
          <w:sz w:val="15"/>
        </w:rPr>
        <w:t>Cuando se realice fuera de la cabecera municipal, el 8% del  crédito fiscal, sin que su importe sea  menor a una unidad de medida y</w:t>
      </w:r>
      <w:r>
        <w:rPr>
          <w:spacing w:val="10"/>
          <w:sz w:val="15"/>
        </w:rPr>
        <w:t> </w:t>
      </w:r>
      <w:r>
        <w:rPr>
          <w:sz w:val="15"/>
        </w:rPr>
        <w:t>actualización.</w:t>
      </w:r>
    </w:p>
    <w:p>
      <w:pPr>
        <w:spacing w:after="0" w:line="247" w:lineRule="auto"/>
        <w:jc w:val="left"/>
        <w:rPr>
          <w:sz w:val="15"/>
        </w:rPr>
        <w:sectPr>
          <w:type w:val="continuous"/>
          <w:pgSz w:w="23250" w:h="15310" w:orient="landscape"/>
          <w:pgMar w:top="0" w:bottom="0" w:left="1880" w:right="1520"/>
          <w:cols w:num="2" w:equalWidth="0">
            <w:col w:w="7752" w:space="3870"/>
            <w:col w:w="8228"/>
          </w:cols>
        </w:sectPr>
      </w:pPr>
    </w:p>
    <w:p>
      <w:pPr>
        <w:pStyle w:val="BodyText"/>
        <w:spacing w:before="3"/>
      </w:pPr>
    </w:p>
    <w:p>
      <w:pPr>
        <w:pStyle w:val="BodyText"/>
        <w:spacing w:line="247" w:lineRule="auto"/>
        <w:ind w:left="151" w:firstLine="397"/>
        <w:jc w:val="both"/>
      </w:pPr>
      <w:r>
        <w:rPr>
          <w:b/>
        </w:rPr>
        <w:t>Artículo 45.- </w:t>
      </w:r>
      <w:r>
        <w:rPr/>
        <w:t>Las multas derivadas del incumplimiento en el pago de contribuciones en la forma, fecha y términos que  establezcan en esta ley y en las disposiciones fiscales respectivas, siempre que no esté considerado otro porcentaje en alguna otra disposición de esta ley o en alguna otra disposición fiscal, sobre el monto total de la obligación fiscal omitida,</w:t>
      </w:r>
      <w:r>
        <w:rPr>
          <w:spacing w:val="17"/>
        </w:rPr>
        <w:t> </w:t>
      </w:r>
      <w:r>
        <w:rPr/>
        <w:t>del:</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4"/>
        <w:ind w:left="111"/>
      </w:pPr>
      <w:r>
        <w:rPr/>
        <w:t>20% a</w:t>
      </w:r>
    </w:p>
    <w:p>
      <w:pPr>
        <w:pStyle w:val="BodyText"/>
        <w:spacing w:before="5"/>
        <w:ind w:left="111"/>
      </w:pPr>
      <w:r>
        <w:rPr/>
        <w:t>50%.</w:t>
      </w:r>
    </w:p>
    <w:p>
      <w:pPr>
        <w:pStyle w:val="BodyText"/>
        <w:spacing w:before="2"/>
      </w:pPr>
      <w:r>
        <w:rPr/>
        <w:br w:type="column"/>
      </w:r>
      <w:r>
        <w:rPr/>
      </w:r>
    </w:p>
    <w:p>
      <w:pPr>
        <w:pStyle w:val="BodyText"/>
        <w:spacing w:line="247" w:lineRule="auto" w:before="1"/>
        <w:ind w:left="151" w:right="507" w:firstLine="397"/>
        <w:jc w:val="both"/>
      </w:pPr>
      <w:r>
        <w:rPr/>
        <w:t>Estos gastos serán determinados y cobrados por la notificación  del mandamiento de ejecución con el    cual se dé inicio al procedimiento administrativo de ejecución mediante el cual se pretenda hacer efectivo un crédito</w:t>
      </w:r>
      <w:r>
        <w:rPr>
          <w:spacing w:val="6"/>
        </w:rPr>
        <w:t> </w:t>
      </w:r>
      <w:r>
        <w:rPr/>
        <w:t>fiscal,</w:t>
      </w:r>
      <w:r>
        <w:rPr>
          <w:spacing w:val="7"/>
        </w:rPr>
        <w:t> </w:t>
      </w:r>
      <w:r>
        <w:rPr/>
        <w:t>así</w:t>
      </w:r>
      <w:r>
        <w:rPr>
          <w:spacing w:val="7"/>
        </w:rPr>
        <w:t> </w:t>
      </w:r>
      <w:r>
        <w:rPr/>
        <w:t>como</w:t>
      </w:r>
      <w:r>
        <w:rPr>
          <w:spacing w:val="6"/>
        </w:rPr>
        <w:t> </w:t>
      </w:r>
      <w:r>
        <w:rPr/>
        <w:t>por</w:t>
      </w:r>
      <w:r>
        <w:rPr>
          <w:spacing w:val="7"/>
        </w:rPr>
        <w:t> </w:t>
      </w:r>
      <w:r>
        <w:rPr/>
        <w:t>cada</w:t>
      </w:r>
      <w:r>
        <w:rPr>
          <w:spacing w:val="7"/>
        </w:rPr>
        <w:t> </w:t>
      </w:r>
      <w:r>
        <w:rPr/>
        <w:t>diligencia</w:t>
      </w:r>
      <w:r>
        <w:rPr>
          <w:spacing w:val="6"/>
        </w:rPr>
        <w:t> </w:t>
      </w:r>
      <w:r>
        <w:rPr/>
        <w:t>correspondiente</w:t>
      </w:r>
      <w:r>
        <w:rPr>
          <w:spacing w:val="7"/>
        </w:rPr>
        <w:t> </w:t>
      </w:r>
      <w:r>
        <w:rPr/>
        <w:t>a</w:t>
      </w:r>
      <w:r>
        <w:rPr>
          <w:spacing w:val="7"/>
        </w:rPr>
        <w:t> </w:t>
      </w:r>
      <w:r>
        <w:rPr/>
        <w:t>éste</w:t>
      </w:r>
      <w:r>
        <w:rPr>
          <w:spacing w:val="6"/>
        </w:rPr>
        <w:t> </w:t>
      </w:r>
      <w:r>
        <w:rPr/>
        <w:t>que</w:t>
      </w:r>
      <w:r>
        <w:rPr>
          <w:spacing w:val="7"/>
        </w:rPr>
        <w:t> </w:t>
      </w:r>
      <w:r>
        <w:rPr/>
        <w:t>implique</w:t>
      </w:r>
      <w:r>
        <w:rPr>
          <w:spacing w:val="7"/>
        </w:rPr>
        <w:t> </w:t>
      </w:r>
      <w:r>
        <w:rPr/>
        <w:t>la</w:t>
      </w:r>
      <w:r>
        <w:rPr>
          <w:spacing w:val="6"/>
        </w:rPr>
        <w:t> </w:t>
      </w:r>
      <w:r>
        <w:rPr/>
        <w:t>extracción</w:t>
      </w:r>
      <w:r>
        <w:rPr>
          <w:spacing w:val="7"/>
        </w:rPr>
        <w:t> </w:t>
      </w:r>
      <w:r>
        <w:rPr/>
        <w:t>de</w:t>
      </w:r>
      <w:r>
        <w:rPr>
          <w:spacing w:val="7"/>
        </w:rPr>
        <w:t> </w:t>
      </w:r>
      <w:r>
        <w:rPr/>
        <w:t>bienes:</w:t>
      </w:r>
    </w:p>
    <w:p>
      <w:pPr>
        <w:pStyle w:val="BodyText"/>
        <w:spacing w:before="3"/>
      </w:pPr>
    </w:p>
    <w:p>
      <w:pPr>
        <w:pStyle w:val="ListParagraph"/>
        <w:numPr>
          <w:ilvl w:val="0"/>
          <w:numId w:val="18"/>
        </w:numPr>
        <w:tabs>
          <w:tab w:pos="811" w:val="left" w:leader="none"/>
        </w:tabs>
        <w:spacing w:line="244" w:lineRule="auto" w:before="0" w:after="0"/>
        <w:ind w:left="151" w:right="509" w:firstLine="397"/>
        <w:jc w:val="left"/>
        <w:rPr>
          <w:sz w:val="15"/>
        </w:rPr>
      </w:pPr>
      <w:r>
        <w:rPr>
          <w:sz w:val="15"/>
        </w:rPr>
        <w:t>Los demás gastos que sean erogados en el procedimiento administrativo de ejecución serán reembolsados a la hacienda municipal por los</w:t>
      </w:r>
      <w:r>
        <w:rPr>
          <w:spacing w:val="14"/>
          <w:sz w:val="15"/>
        </w:rPr>
        <w:t> </w:t>
      </w:r>
      <w:r>
        <w:rPr>
          <w:sz w:val="15"/>
        </w:rPr>
        <w:t>contribuyentes.</w:t>
      </w:r>
    </w:p>
    <w:p>
      <w:pPr>
        <w:pStyle w:val="BodyText"/>
        <w:spacing w:before="6"/>
      </w:pPr>
    </w:p>
    <w:p>
      <w:pPr>
        <w:pStyle w:val="ListParagraph"/>
        <w:numPr>
          <w:ilvl w:val="0"/>
          <w:numId w:val="18"/>
        </w:numPr>
        <w:tabs>
          <w:tab w:pos="776" w:val="left" w:leader="none"/>
        </w:tabs>
        <w:spacing w:line="247" w:lineRule="auto" w:before="1" w:after="0"/>
        <w:ind w:left="151" w:right="508" w:firstLine="397"/>
        <w:jc w:val="left"/>
        <w:rPr>
          <w:sz w:val="15"/>
        </w:rPr>
      </w:pPr>
      <w:r>
        <w:rPr>
          <w:sz w:val="15"/>
        </w:rPr>
        <w:t>El cobro de los gastos de notificación y ejecución de créditos fiscales, en ningún caso, excederá de    los siguientes</w:t>
      </w:r>
      <w:r>
        <w:rPr>
          <w:spacing w:val="2"/>
          <w:sz w:val="15"/>
        </w:rPr>
        <w:t> </w:t>
      </w:r>
      <w:r>
        <w:rPr>
          <w:sz w:val="15"/>
        </w:rPr>
        <w:t>límites:</w:t>
      </w:r>
    </w:p>
    <w:p>
      <w:pPr>
        <w:spacing w:after="0" w:line="247" w:lineRule="auto"/>
        <w:jc w:val="left"/>
        <w:rPr>
          <w:sz w:val="15"/>
        </w:rPr>
        <w:sectPr>
          <w:type w:val="continuous"/>
          <w:pgSz w:w="23250" w:h="15310" w:orient="landscape"/>
          <w:pgMar w:top="0" w:bottom="0" w:left="1880" w:right="1520"/>
          <w:cols w:num="3" w:equalWidth="0">
            <w:col w:w="4838" w:space="40"/>
            <w:col w:w="589" w:space="6156"/>
            <w:col w:w="8227"/>
          </w:cols>
        </w:sectPr>
      </w:pPr>
    </w:p>
    <w:p>
      <w:pPr>
        <w:pStyle w:val="BodyText"/>
        <w:spacing w:line="247" w:lineRule="auto"/>
        <w:ind w:left="151" w:right="39" w:firstLine="397"/>
        <w:jc w:val="both"/>
      </w:pPr>
      <w:r>
        <w:rPr>
          <w:b/>
        </w:rPr>
        <w:t>Artículo 46.- </w:t>
      </w:r>
      <w:r>
        <w:rPr/>
        <w:t>La tasa de recargos por falta de pago oportuno de las obligaciones fiscales, será del 1% mensual.</w:t>
      </w:r>
    </w:p>
    <w:p>
      <w:pPr>
        <w:pStyle w:val="BodyText"/>
        <w:spacing w:before="2"/>
      </w:pPr>
    </w:p>
    <w:p>
      <w:pPr>
        <w:pStyle w:val="BodyText"/>
        <w:spacing w:line="247" w:lineRule="auto"/>
        <w:ind w:left="151" w:right="38" w:firstLine="397"/>
        <w:jc w:val="both"/>
      </w:pPr>
      <w:r>
        <w:rPr>
          <w:b/>
        </w:rPr>
        <w:t>Artículo 47.-</w:t>
      </w:r>
      <w:r>
        <w:rPr/>
        <w:t>Cuando no se cubran las contribuciones por concepto de los impuestos, derechos, aprovechamientos y contribuciones especiales municipales, dentro de los plazos establecidos por la ley, se actualizarán por el transcurso del tiempo y con motivo de los cambios de precios en el país, para lo cual se aplicará el factor de actualización a las cantidades que se deban actualizar.</w:t>
      </w:r>
    </w:p>
    <w:p>
      <w:pPr>
        <w:pStyle w:val="BodyText"/>
        <w:spacing w:before="2"/>
      </w:pPr>
    </w:p>
    <w:p>
      <w:pPr>
        <w:pStyle w:val="BodyText"/>
        <w:ind w:left="548"/>
      </w:pPr>
      <w:r>
        <w:rPr/>
        <w:t>En el caso de un crédito fiscal el factor de actualización se obtendrá dividiendo A entre B donde:</w:t>
      </w:r>
    </w:p>
    <w:p>
      <w:pPr>
        <w:pStyle w:val="BodyText"/>
        <w:spacing w:before="10"/>
      </w:pPr>
    </w:p>
    <w:p>
      <w:pPr>
        <w:pStyle w:val="BodyText"/>
        <w:ind w:left="548"/>
      </w:pPr>
      <w:r>
        <w:rPr/>
        <w:t>A= Índice nacional de precios al consumidor vigente en el momento en que suceda el pago del</w:t>
      </w:r>
    </w:p>
    <w:p>
      <w:pPr>
        <w:pStyle w:val="BodyText"/>
        <w:spacing w:before="3"/>
      </w:pPr>
      <w:r>
        <w:rPr/>
        <w:br w:type="column"/>
      </w:r>
      <w:r>
        <w:rPr/>
      </w:r>
    </w:p>
    <w:p>
      <w:pPr>
        <w:pStyle w:val="ListParagraph"/>
        <w:numPr>
          <w:ilvl w:val="0"/>
          <w:numId w:val="21"/>
        </w:numPr>
        <w:tabs>
          <w:tab w:pos="739" w:val="left" w:leader="none"/>
        </w:tabs>
        <w:spacing w:line="244" w:lineRule="auto" w:before="0" w:after="0"/>
        <w:ind w:left="151" w:right="509" w:firstLine="397"/>
        <w:jc w:val="both"/>
        <w:rPr>
          <w:sz w:val="15"/>
        </w:rPr>
      </w:pPr>
      <w:r>
        <w:rPr>
          <w:sz w:val="15"/>
        </w:rPr>
        <w:t>Del importe de 30 unidades de medida y actualización, por las notificaciones de los créditos fiscales determinados</w:t>
      </w:r>
      <w:r>
        <w:rPr>
          <w:spacing w:val="4"/>
          <w:sz w:val="15"/>
        </w:rPr>
        <w:t> </w:t>
      </w:r>
      <w:r>
        <w:rPr>
          <w:sz w:val="15"/>
        </w:rPr>
        <w:t>por</w:t>
      </w:r>
      <w:r>
        <w:rPr>
          <w:spacing w:val="5"/>
          <w:sz w:val="15"/>
        </w:rPr>
        <w:t> </w:t>
      </w:r>
      <w:r>
        <w:rPr>
          <w:sz w:val="15"/>
        </w:rPr>
        <w:t>la</w:t>
      </w:r>
      <w:r>
        <w:rPr>
          <w:spacing w:val="5"/>
          <w:sz w:val="15"/>
        </w:rPr>
        <w:t> </w:t>
      </w:r>
      <w:r>
        <w:rPr>
          <w:sz w:val="15"/>
        </w:rPr>
        <w:t>autoridad</w:t>
      </w:r>
      <w:r>
        <w:rPr>
          <w:spacing w:val="5"/>
          <w:sz w:val="15"/>
        </w:rPr>
        <w:t> </w:t>
      </w:r>
      <w:r>
        <w:rPr>
          <w:sz w:val="15"/>
        </w:rPr>
        <w:t>fiscal</w:t>
      </w:r>
      <w:r>
        <w:rPr>
          <w:spacing w:val="4"/>
          <w:sz w:val="15"/>
        </w:rPr>
        <w:t> </w:t>
      </w:r>
      <w:r>
        <w:rPr>
          <w:sz w:val="15"/>
        </w:rPr>
        <w:t>por</w:t>
      </w:r>
      <w:r>
        <w:rPr>
          <w:spacing w:val="5"/>
          <w:sz w:val="15"/>
        </w:rPr>
        <w:t> </w:t>
      </w:r>
      <w:r>
        <w:rPr>
          <w:sz w:val="15"/>
        </w:rPr>
        <w:t>el</w:t>
      </w:r>
      <w:r>
        <w:rPr>
          <w:spacing w:val="5"/>
          <w:sz w:val="15"/>
        </w:rPr>
        <w:t> </w:t>
      </w:r>
      <w:r>
        <w:rPr>
          <w:sz w:val="15"/>
        </w:rPr>
        <w:t>incumplimiento</w:t>
      </w:r>
      <w:r>
        <w:rPr>
          <w:spacing w:val="5"/>
          <w:sz w:val="15"/>
        </w:rPr>
        <w:t> </w:t>
      </w:r>
      <w:r>
        <w:rPr>
          <w:sz w:val="15"/>
        </w:rPr>
        <w:t>en</w:t>
      </w:r>
      <w:r>
        <w:rPr>
          <w:spacing w:val="5"/>
          <w:sz w:val="15"/>
        </w:rPr>
        <w:t> </w:t>
      </w:r>
      <w:r>
        <w:rPr>
          <w:sz w:val="15"/>
        </w:rPr>
        <w:t>el</w:t>
      </w:r>
      <w:r>
        <w:rPr>
          <w:spacing w:val="5"/>
          <w:sz w:val="15"/>
        </w:rPr>
        <w:t> </w:t>
      </w:r>
      <w:r>
        <w:rPr>
          <w:sz w:val="15"/>
        </w:rPr>
        <w:t>pago</w:t>
      </w:r>
      <w:r>
        <w:rPr>
          <w:spacing w:val="4"/>
          <w:sz w:val="15"/>
        </w:rPr>
        <w:t> </w:t>
      </w:r>
      <w:r>
        <w:rPr>
          <w:sz w:val="15"/>
        </w:rPr>
        <w:t>de</w:t>
      </w:r>
      <w:r>
        <w:rPr>
          <w:spacing w:val="5"/>
          <w:sz w:val="15"/>
        </w:rPr>
        <w:t> </w:t>
      </w:r>
      <w:r>
        <w:rPr>
          <w:sz w:val="15"/>
        </w:rPr>
        <w:t>las</w:t>
      </w:r>
      <w:r>
        <w:rPr>
          <w:spacing w:val="5"/>
          <w:sz w:val="15"/>
        </w:rPr>
        <w:t> </w:t>
      </w:r>
      <w:r>
        <w:rPr>
          <w:sz w:val="15"/>
        </w:rPr>
        <w:t>obligaciones</w:t>
      </w:r>
      <w:r>
        <w:rPr>
          <w:spacing w:val="5"/>
          <w:sz w:val="15"/>
        </w:rPr>
        <w:t> </w:t>
      </w:r>
      <w:r>
        <w:rPr>
          <w:sz w:val="15"/>
        </w:rPr>
        <w:t>fiscales.</w:t>
      </w:r>
    </w:p>
    <w:p>
      <w:pPr>
        <w:pStyle w:val="BodyText"/>
        <w:spacing w:before="7"/>
      </w:pPr>
    </w:p>
    <w:p>
      <w:pPr>
        <w:pStyle w:val="ListParagraph"/>
        <w:numPr>
          <w:ilvl w:val="0"/>
          <w:numId w:val="21"/>
        </w:numPr>
        <w:tabs>
          <w:tab w:pos="766" w:val="left" w:leader="none"/>
        </w:tabs>
        <w:spacing w:line="247" w:lineRule="auto" w:before="0" w:after="0"/>
        <w:ind w:left="151" w:right="507" w:firstLine="397"/>
        <w:jc w:val="both"/>
        <w:rPr>
          <w:sz w:val="15"/>
        </w:rPr>
      </w:pPr>
      <w:r>
        <w:rPr>
          <w:sz w:val="15"/>
        </w:rPr>
        <w:t>Del importe de 45 unidades de medida y actualización, por la notificación del mandamiento de  ejecución con el cual se dé inicio al procedimiento administrativo de ejecución mediante el cual  se pretenda hacer efectivo un crédito fiscal, así como por cada diligencia correspondiente a éste que implique la extracción  de</w:t>
      </w:r>
      <w:r>
        <w:rPr>
          <w:spacing w:val="1"/>
          <w:sz w:val="15"/>
        </w:rPr>
        <w:t> </w:t>
      </w:r>
      <w:r>
        <w:rPr>
          <w:sz w:val="15"/>
        </w:rPr>
        <w:t>bienes</w:t>
      </w:r>
    </w:p>
    <w:p>
      <w:pPr>
        <w:pStyle w:val="BodyText"/>
        <w:spacing w:before="2"/>
      </w:pPr>
    </w:p>
    <w:p>
      <w:pPr>
        <w:pStyle w:val="BodyText"/>
        <w:spacing w:line="247" w:lineRule="auto"/>
        <w:ind w:left="151" w:right="576" w:firstLine="397"/>
      </w:pPr>
      <w:r>
        <w:rPr>
          <w:spacing w:val="-4"/>
        </w:rPr>
        <w:t>Todos  </w:t>
      </w:r>
      <w:r>
        <w:rPr/>
        <w:t>los gastos de notificación y ejecución de créditos fiscales serán a cargo del contribuyente, en  ningún caso, podrán ser condonados total o</w:t>
      </w:r>
      <w:r>
        <w:rPr>
          <w:spacing w:val="12"/>
        </w:rPr>
        <w:t> </w:t>
      </w:r>
      <w:r>
        <w:rPr/>
        <w:t>parcialmente.</w:t>
      </w:r>
    </w:p>
    <w:p>
      <w:pPr>
        <w:spacing w:after="0" w:line="247" w:lineRule="auto"/>
        <w:sectPr>
          <w:type w:val="continuous"/>
          <w:pgSz w:w="23250" w:h="15310" w:orient="landscape"/>
          <w:pgMar w:top="0" w:bottom="0" w:left="1880" w:right="1520"/>
          <w:cols w:num="2" w:equalWidth="0">
            <w:col w:w="7753" w:space="3871"/>
            <w:col w:w="8226"/>
          </w:cols>
        </w:sectPr>
      </w:pPr>
    </w:p>
    <w:p>
      <w:pPr>
        <w:pStyle w:val="BodyText"/>
        <w:rPr>
          <w:sz w:val="20"/>
        </w:rPr>
      </w:pPr>
    </w:p>
    <w:p>
      <w:pPr>
        <w:pStyle w:val="BodyText"/>
        <w:spacing w:before="7"/>
        <w:rPr>
          <w:sz w:val="29"/>
        </w:rPr>
      </w:pPr>
    </w:p>
    <w:p>
      <w:pPr>
        <w:spacing w:after="0"/>
        <w:rPr>
          <w:sz w:val="29"/>
        </w:rPr>
        <w:sectPr>
          <w:headerReference w:type="default" r:id="rId63"/>
          <w:pgSz w:w="23250" w:h="15310" w:orient="landscape"/>
          <w:pgMar w:header="881" w:footer="499" w:top="1920" w:bottom="680" w:left="1880" w:right="1520"/>
        </w:sectPr>
      </w:pPr>
    </w:p>
    <w:p>
      <w:pPr>
        <w:pStyle w:val="BodyText"/>
        <w:rPr>
          <w:sz w:val="16"/>
        </w:rPr>
      </w:pPr>
    </w:p>
    <w:p>
      <w:pPr>
        <w:pStyle w:val="BodyText"/>
        <w:spacing w:line="247" w:lineRule="auto" w:before="92"/>
        <w:ind w:left="151" w:right="39" w:firstLine="397"/>
        <w:jc w:val="both"/>
      </w:pPr>
      <w:r>
        <w:rPr/>
        <w:t>En los procedimientos administrativos de ejecución que realicen las autoridades estatales, en uso de las facultades que les hayan sido conferidas en virtud del convenio celebrado con el Municipio para la  administración y cobro de diversas contribuciones municipales, se aplicará la tarifa que al efecto establece el Código Fiscal del Estado de</w:t>
      </w:r>
      <w:r>
        <w:rPr>
          <w:spacing w:val="7"/>
        </w:rPr>
        <w:t> </w:t>
      </w:r>
      <w:r>
        <w:rPr/>
        <w:t>Jalisco.</w:t>
      </w:r>
    </w:p>
    <w:p>
      <w:pPr>
        <w:pStyle w:val="BodyText"/>
        <w:spacing w:before="2"/>
      </w:pPr>
    </w:p>
    <w:p>
      <w:pPr>
        <w:pStyle w:val="BodyText"/>
        <w:spacing w:line="247" w:lineRule="auto"/>
        <w:ind w:left="150" w:right="40" w:firstLine="397"/>
        <w:jc w:val="both"/>
      </w:pPr>
      <w:r>
        <w:rPr/>
        <w:t>Conforme a lo dispuesto en el artículo </w:t>
      </w:r>
      <w:r>
        <w:rPr>
          <w:spacing w:val="-3"/>
        </w:rPr>
        <w:t>115,  </w:t>
      </w:r>
      <w:r>
        <w:rPr/>
        <w:t>fracción </w:t>
      </w:r>
      <w:r>
        <w:rPr>
          <w:spacing w:val="-5"/>
        </w:rPr>
        <w:t>IV,  </w:t>
      </w:r>
      <w:r>
        <w:rPr/>
        <w:t>segundo párrafo, de la Constitución Política de    los Estados Unidos Mexicanos, en el Municipio no es ni será aplicable ninguna exención, exención parcial, subsidio o reducción, establecida en alguna ley estatal a favor de persona o institución, respecto de los impuestos establecidos en esta</w:t>
      </w:r>
      <w:r>
        <w:rPr>
          <w:spacing w:val="4"/>
        </w:rPr>
        <w:t> </w:t>
      </w:r>
      <w:r>
        <w:rPr>
          <w:spacing w:val="-4"/>
        </w:rPr>
        <w:t>ley.</w:t>
      </w:r>
    </w:p>
    <w:p>
      <w:pPr>
        <w:pStyle w:val="BodyText"/>
        <w:spacing w:before="3"/>
      </w:pPr>
    </w:p>
    <w:p>
      <w:pPr>
        <w:pStyle w:val="Heading4"/>
        <w:ind w:left="667"/>
      </w:pPr>
      <w:r>
        <w:rPr/>
        <w:t>TÍTULO SEGUNDO</w:t>
      </w:r>
    </w:p>
    <w:p>
      <w:pPr>
        <w:spacing w:before="5"/>
        <w:ind w:left="668" w:right="160" w:firstLine="0"/>
        <w:jc w:val="center"/>
        <w:rPr>
          <w:b/>
          <w:sz w:val="15"/>
        </w:rPr>
      </w:pPr>
      <w:r>
        <w:rPr>
          <w:b/>
          <w:sz w:val="15"/>
        </w:rPr>
        <w:t>Contribuciones de Mejoras</w:t>
      </w:r>
    </w:p>
    <w:p>
      <w:pPr>
        <w:pStyle w:val="BodyText"/>
        <w:spacing w:before="8"/>
        <w:rPr>
          <w:b/>
        </w:rPr>
      </w:pPr>
    </w:p>
    <w:p>
      <w:pPr>
        <w:spacing w:before="1"/>
        <w:ind w:left="666" w:right="160" w:firstLine="0"/>
        <w:jc w:val="center"/>
        <w:rPr>
          <w:b/>
          <w:sz w:val="15"/>
        </w:rPr>
      </w:pPr>
      <w:r>
        <w:rPr>
          <w:b/>
          <w:sz w:val="15"/>
        </w:rPr>
        <w:t>CAPÍTULO PRIMERO</w:t>
      </w:r>
    </w:p>
    <w:p>
      <w:pPr>
        <w:spacing w:before="4"/>
        <w:ind w:left="669" w:right="160" w:firstLine="0"/>
        <w:jc w:val="center"/>
        <w:rPr>
          <w:b/>
          <w:sz w:val="15"/>
        </w:rPr>
      </w:pPr>
      <w:r>
        <w:rPr>
          <w:b/>
          <w:sz w:val="15"/>
        </w:rPr>
        <w:t>De las Contribuciones de Mejoras por Obras Públicas</w:t>
      </w:r>
    </w:p>
    <w:p>
      <w:pPr>
        <w:pStyle w:val="BodyText"/>
        <w:spacing w:before="9"/>
        <w:rPr>
          <w:b/>
        </w:rPr>
      </w:pPr>
    </w:p>
    <w:p>
      <w:pPr>
        <w:pStyle w:val="BodyText"/>
        <w:spacing w:line="247" w:lineRule="auto"/>
        <w:ind w:left="150" w:right="39" w:firstLine="397"/>
        <w:jc w:val="both"/>
      </w:pPr>
      <w:r>
        <w:rPr>
          <w:b/>
        </w:rPr>
        <w:t>Artículo 50.- </w:t>
      </w:r>
      <w:r>
        <w:rPr/>
        <w:t>El Municipio percibirá las contribuciones especiales establecidas o  que  se  establezcan sobre el incremento del valor y de mejoría específica de la propiedad raíz, por la realización  de  obras  o servicios públicos, en los términos de las leyes urbanísticas aplicables, según decreto que al respecto expida     el Congreso del</w:t>
      </w:r>
      <w:r>
        <w:rPr>
          <w:spacing w:val="3"/>
        </w:rPr>
        <w:t> </w:t>
      </w:r>
      <w:r>
        <w:rPr/>
        <w:t>Estado.</w:t>
      </w:r>
    </w:p>
    <w:p>
      <w:pPr>
        <w:pStyle w:val="BodyText"/>
        <w:rPr>
          <w:sz w:val="16"/>
        </w:rPr>
      </w:pPr>
    </w:p>
    <w:p>
      <w:pPr>
        <w:pStyle w:val="BodyText"/>
        <w:spacing w:before="8"/>
        <w:rPr>
          <w:sz w:val="14"/>
        </w:rPr>
      </w:pPr>
    </w:p>
    <w:p>
      <w:pPr>
        <w:pStyle w:val="Heading4"/>
        <w:ind w:left="666"/>
      </w:pPr>
      <w:r>
        <w:rPr/>
        <w:t>CAPÍTULO SEGUNDO</w:t>
      </w:r>
    </w:p>
    <w:p>
      <w:pPr>
        <w:spacing w:before="4"/>
        <w:ind w:left="667" w:right="160" w:firstLine="0"/>
        <w:jc w:val="center"/>
        <w:rPr>
          <w:b/>
          <w:sz w:val="15"/>
        </w:rPr>
      </w:pPr>
      <w:r>
        <w:rPr>
          <w:b/>
          <w:sz w:val="15"/>
        </w:rPr>
        <w:t>De las Contribuciones Especiales de Mejoras por Obras por Colaboración</w:t>
      </w:r>
    </w:p>
    <w:p>
      <w:pPr>
        <w:pStyle w:val="BodyText"/>
        <w:spacing w:before="8"/>
        <w:rPr>
          <w:b/>
        </w:rPr>
      </w:pPr>
    </w:p>
    <w:p>
      <w:pPr>
        <w:pStyle w:val="BodyText"/>
        <w:spacing w:line="247" w:lineRule="auto"/>
        <w:ind w:left="150" w:right="39" w:firstLine="397"/>
        <w:jc w:val="both"/>
      </w:pPr>
      <w:r>
        <w:rPr>
          <w:b/>
        </w:rPr>
        <w:t>Artículo 51.- </w:t>
      </w:r>
      <w:r>
        <w:rPr/>
        <w:t>Son objeto de la contribución especial de mejoras, para obras por colaboración, la  realización de proyectos y acciones de urbanización, renovación, rehabilitación, conservación, mejoramiento     de infraestructura y de equipamiento urbano, a través del Consejo de Colaboración  del  Municipio  de  Tlajomulco de Zúñiga, Jalisco, los contenidos en el presente</w:t>
      </w:r>
      <w:r>
        <w:rPr>
          <w:spacing w:val="19"/>
        </w:rPr>
        <w:t> </w:t>
      </w:r>
      <w:r>
        <w:rPr/>
        <w:t>capítulo.</w:t>
      </w:r>
    </w:p>
    <w:p>
      <w:pPr>
        <w:pStyle w:val="BodyText"/>
        <w:spacing w:before="2"/>
      </w:pPr>
    </w:p>
    <w:p>
      <w:pPr>
        <w:pStyle w:val="BodyText"/>
        <w:spacing w:line="247" w:lineRule="auto"/>
        <w:ind w:left="151" w:right="39" w:firstLine="397"/>
        <w:jc w:val="both"/>
      </w:pPr>
      <w:r>
        <w:rPr>
          <w:b/>
        </w:rPr>
        <w:t>Artículo 52.- </w:t>
      </w:r>
      <w:r>
        <w:rPr/>
        <w:t>Los sujetos obligados al pago de la contribución especial de mejoras de obras por colaboración son las personas físicas, jurídicas o morales que sean propietarios, copropietarios, condóminos o poseedores a título de dueño de los inmuebles o predios que obtengan cualquier tipo de beneficio por la ejecución de las obras por colaboración, realizadas a través del Consejo de Colaboración del Municipio de Tlajomulco de Zúñiga, Jalisco.</w:t>
      </w:r>
    </w:p>
    <w:p>
      <w:pPr>
        <w:pStyle w:val="BodyText"/>
        <w:spacing w:before="2"/>
      </w:pPr>
    </w:p>
    <w:p>
      <w:pPr>
        <w:pStyle w:val="BodyText"/>
        <w:spacing w:line="247" w:lineRule="auto"/>
        <w:ind w:left="151" w:right="39" w:firstLine="397"/>
        <w:jc w:val="both"/>
      </w:pPr>
      <w:r>
        <w:rPr>
          <w:b/>
        </w:rPr>
        <w:t>Artículo 53.- </w:t>
      </w:r>
      <w:r>
        <w:rPr/>
        <w:t>La base de esta contribución especial será la que resulte de multiplicar el número de     metros cuadrados que sean propiedad del sujeto obligado, por el factor que resulte de dividir  el  monto  aprobado en la Junta de Propietarios o Asamblea Ciudadana a que hace referencia  el  Reglamento  del  Consejo de Colaboración del Municipio o el Reglamento de Participación Ciudadana para la Gobernanza del Municipio, del proyecto que sea a cargo de los sujetos obligados, entre el número de metros cuadrados de los predios que se ubiquen dentro del área de beneficio de la obra por colaboración, o en su caso, la base que se determine y sea aprobada en la Junta de Propietarios o</w:t>
      </w:r>
      <w:r>
        <w:rPr>
          <w:spacing w:val="21"/>
        </w:rPr>
        <w:t> </w:t>
      </w:r>
      <w:r>
        <w:rPr/>
        <w:t>Asamblea Ciudadana, según sea el caso.</w:t>
      </w:r>
    </w:p>
    <w:p>
      <w:pPr>
        <w:pStyle w:val="BodyText"/>
        <w:spacing w:before="1"/>
      </w:pPr>
    </w:p>
    <w:p>
      <w:pPr>
        <w:pStyle w:val="BodyText"/>
        <w:spacing w:line="244" w:lineRule="auto"/>
        <w:ind w:left="151" w:right="40" w:firstLine="397"/>
        <w:jc w:val="both"/>
      </w:pPr>
      <w:r>
        <w:rPr>
          <w:b/>
        </w:rPr>
        <w:t>Artículo 54.- </w:t>
      </w:r>
      <w:r>
        <w:rPr/>
        <w:t>Las contribuciones especiales de mejoras de obras por colaboración se cubrirán en una    sola exhibición o los pagos mensuales que acuerden los sujetos obligados con el Consejo de Colaboración del Municipio.</w:t>
      </w:r>
    </w:p>
    <w:p>
      <w:pPr>
        <w:pStyle w:val="BodyText"/>
        <w:spacing w:before="8"/>
      </w:pPr>
    </w:p>
    <w:p>
      <w:pPr>
        <w:pStyle w:val="BodyText"/>
        <w:spacing w:line="247" w:lineRule="auto"/>
        <w:ind w:left="151" w:right="40" w:firstLine="397"/>
        <w:jc w:val="both"/>
      </w:pPr>
      <w:r>
        <w:rPr>
          <w:b/>
        </w:rPr>
        <w:t>Artículo 55.- </w:t>
      </w:r>
      <w:r>
        <w:rPr/>
        <w:t>El Consejo de Colaboración del Municipio percibirá las cuotas de supervisión y control equivalentes hasta el cinco por ciento del valor de las obras por colaboración o por concertación.</w:t>
      </w:r>
    </w:p>
    <w:p>
      <w:pPr>
        <w:pStyle w:val="BodyText"/>
        <w:spacing w:before="3"/>
      </w:pPr>
    </w:p>
    <w:p>
      <w:pPr>
        <w:pStyle w:val="BodyText"/>
        <w:spacing w:line="247" w:lineRule="auto"/>
        <w:ind w:left="151" w:right="38" w:firstLine="397"/>
        <w:jc w:val="both"/>
      </w:pPr>
      <w:r>
        <w:rPr>
          <w:b/>
        </w:rPr>
        <w:t>Artículo 56.- </w:t>
      </w:r>
      <w:r>
        <w:rPr/>
        <w:t>Las cuotas de supervisión y control se generan a partir de que se formalicen los contratos para la ejecución de las obras por colaboración o por concertación, según sea el caso, y deberán pagarse al Consejo de Colaboración previamente al inicio de su ejecución.</w:t>
      </w:r>
    </w:p>
    <w:p>
      <w:pPr>
        <w:pStyle w:val="BodyText"/>
        <w:spacing w:line="247" w:lineRule="auto" w:before="98"/>
        <w:ind w:left="150" w:right="508" w:firstLine="397"/>
        <w:jc w:val="both"/>
      </w:pPr>
      <w:r>
        <w:rPr/>
        <w:br w:type="column"/>
      </w:r>
      <w:r>
        <w:rPr>
          <w:b/>
        </w:rPr>
        <w:t>Artículo 57.- </w:t>
      </w:r>
      <w:r>
        <w:rPr/>
        <w:t>Las contribuciones especiales de mejoras de obras por colaboración y las cuotas de supervisión y control a favor del Consejo de Colaboración del Municipio tienen el carácter de obligación fiscal, generadora de créditos fiscales.</w:t>
      </w:r>
    </w:p>
    <w:p>
      <w:pPr>
        <w:pStyle w:val="BodyText"/>
        <w:spacing w:before="3"/>
      </w:pPr>
    </w:p>
    <w:p>
      <w:pPr>
        <w:pStyle w:val="BodyText"/>
        <w:spacing w:line="247" w:lineRule="auto"/>
        <w:ind w:left="150" w:right="508" w:firstLine="397"/>
        <w:jc w:val="both"/>
      </w:pPr>
      <w:r>
        <w:rPr>
          <w:b/>
        </w:rPr>
        <w:t>Artículo 58.- </w:t>
      </w:r>
      <w:r>
        <w:rPr/>
        <w:t>Determinada la ejecución forzosa de contribuciones especiales de mejoras de obras por colaboración y las cuotas de supervisión y control a favor del Consejo de Colaboración del Municipio, por su Consejo Directivo; la Tesorería Municipal podrá exigir su pago mediante el procedimiento administrativo de ejecución a que se refiere la Ley de Hacienda Municipal del Estado de Jalisco.</w:t>
      </w:r>
    </w:p>
    <w:p>
      <w:pPr>
        <w:pStyle w:val="BodyText"/>
        <w:spacing w:before="2"/>
      </w:pPr>
    </w:p>
    <w:p>
      <w:pPr>
        <w:pStyle w:val="BodyText"/>
        <w:spacing w:line="247" w:lineRule="auto"/>
        <w:ind w:left="150" w:right="509" w:firstLine="397"/>
        <w:jc w:val="both"/>
      </w:pPr>
      <w:r>
        <w:rPr>
          <w:b/>
        </w:rPr>
        <w:t>Artículo 59.- </w:t>
      </w:r>
      <w:r>
        <w:rPr/>
        <w:t>Los créditos fiscales determinados por concepto de contribuciones especiales de mejoras    de obras por colaboración y las cuotas de supervisión y control a favor del Consejo de Colaboración se inscribirán en el Registro Público de Propiedad y Comercio como gravamen real sobre el inmueble o predio   cuyo</w:t>
      </w:r>
      <w:r>
        <w:rPr>
          <w:spacing w:val="10"/>
        </w:rPr>
        <w:t> </w:t>
      </w:r>
      <w:r>
        <w:rPr/>
        <w:t>sujeto</w:t>
      </w:r>
      <w:r>
        <w:rPr>
          <w:spacing w:val="9"/>
        </w:rPr>
        <w:t> </w:t>
      </w:r>
      <w:r>
        <w:rPr/>
        <w:t>obligado</w:t>
      </w:r>
      <w:r>
        <w:rPr>
          <w:spacing w:val="10"/>
        </w:rPr>
        <w:t> </w:t>
      </w:r>
      <w:r>
        <w:rPr/>
        <w:t>no</w:t>
      </w:r>
      <w:r>
        <w:rPr>
          <w:spacing w:val="10"/>
        </w:rPr>
        <w:t> </w:t>
      </w:r>
      <w:r>
        <w:rPr/>
        <w:t>haya</w:t>
      </w:r>
      <w:r>
        <w:rPr>
          <w:spacing w:val="10"/>
        </w:rPr>
        <w:t> </w:t>
      </w:r>
      <w:r>
        <w:rPr/>
        <w:t>efectuado</w:t>
      </w:r>
      <w:r>
        <w:rPr>
          <w:spacing w:val="10"/>
        </w:rPr>
        <w:t> </w:t>
      </w:r>
      <w:r>
        <w:rPr/>
        <w:t>el</w:t>
      </w:r>
      <w:r>
        <w:rPr>
          <w:spacing w:val="11"/>
        </w:rPr>
        <w:t> </w:t>
      </w:r>
      <w:r>
        <w:rPr/>
        <w:t>entero</w:t>
      </w:r>
      <w:r>
        <w:rPr>
          <w:spacing w:val="10"/>
        </w:rPr>
        <w:t> </w:t>
      </w:r>
      <w:r>
        <w:rPr/>
        <w:t>de</w:t>
      </w:r>
      <w:r>
        <w:rPr>
          <w:spacing w:val="11"/>
        </w:rPr>
        <w:t> </w:t>
      </w:r>
      <w:r>
        <w:rPr/>
        <w:t>las</w:t>
      </w:r>
      <w:r>
        <w:rPr>
          <w:spacing w:val="10"/>
        </w:rPr>
        <w:t> </w:t>
      </w:r>
      <w:r>
        <w:rPr/>
        <w:t>contribuciones</w:t>
      </w:r>
      <w:r>
        <w:rPr>
          <w:spacing w:val="9"/>
        </w:rPr>
        <w:t> </w:t>
      </w:r>
      <w:r>
        <w:rPr/>
        <w:t>de</w:t>
      </w:r>
      <w:r>
        <w:rPr>
          <w:spacing w:val="11"/>
        </w:rPr>
        <w:t> </w:t>
      </w:r>
      <w:r>
        <w:rPr/>
        <w:t>mejoras</w:t>
      </w:r>
      <w:r>
        <w:rPr>
          <w:spacing w:val="10"/>
        </w:rPr>
        <w:t> </w:t>
      </w:r>
      <w:r>
        <w:rPr/>
        <w:t>de</w:t>
      </w:r>
      <w:r>
        <w:rPr>
          <w:spacing w:val="10"/>
        </w:rPr>
        <w:t> </w:t>
      </w:r>
      <w:r>
        <w:rPr/>
        <w:t>obras</w:t>
      </w:r>
      <w:r>
        <w:rPr>
          <w:spacing w:val="11"/>
        </w:rPr>
        <w:t> </w:t>
      </w:r>
      <w:r>
        <w:rPr/>
        <w:t>por</w:t>
      </w:r>
      <w:r>
        <w:rPr>
          <w:spacing w:val="10"/>
        </w:rPr>
        <w:t> </w:t>
      </w:r>
      <w:r>
        <w:rPr/>
        <w:t>colaboración.</w:t>
      </w:r>
    </w:p>
    <w:p>
      <w:pPr>
        <w:pStyle w:val="BodyText"/>
        <w:spacing w:before="2"/>
      </w:pPr>
    </w:p>
    <w:p>
      <w:pPr>
        <w:pStyle w:val="BodyText"/>
        <w:spacing w:line="247" w:lineRule="auto"/>
        <w:ind w:left="150" w:right="510" w:firstLine="397"/>
        <w:jc w:val="both"/>
      </w:pPr>
      <w:r>
        <w:rPr>
          <w:b/>
        </w:rPr>
        <w:t>Artículo 60.- </w:t>
      </w:r>
      <w:r>
        <w:rPr/>
        <w:t>Las contribuciones especiales de mejoras por obras de colaboración que sean pagadas a     la Tesorería Municipal, serán transferidas al Consejo  de  Colaboración  del  Municipio  incluyendo  los  accesorios financieros que</w:t>
      </w:r>
      <w:r>
        <w:rPr>
          <w:spacing w:val="4"/>
        </w:rPr>
        <w:t> </w:t>
      </w:r>
      <w:r>
        <w:rPr/>
        <w:t>generen.</w:t>
      </w:r>
    </w:p>
    <w:p>
      <w:pPr>
        <w:pStyle w:val="BodyText"/>
        <w:spacing w:before="3"/>
      </w:pPr>
    </w:p>
    <w:p>
      <w:pPr>
        <w:pStyle w:val="BodyText"/>
        <w:spacing w:line="244" w:lineRule="auto" w:before="1"/>
        <w:ind w:left="150" w:right="508" w:firstLine="397"/>
        <w:jc w:val="both"/>
      </w:pPr>
      <w:r>
        <w:rPr>
          <w:b/>
        </w:rPr>
        <w:t>Artículo 61.- </w:t>
      </w:r>
      <w:r>
        <w:rPr/>
        <w:t>Los sujetos obligados al pago de contribuciones especiales de mejoras por obras de colaboración podrán obtener descuentos por pagos anticipados que determinen por el  Consejo  de Colaboración.</w:t>
      </w:r>
    </w:p>
    <w:p>
      <w:pPr>
        <w:pStyle w:val="BodyText"/>
        <w:rPr>
          <w:sz w:val="16"/>
        </w:rPr>
      </w:pPr>
    </w:p>
    <w:p>
      <w:pPr>
        <w:pStyle w:val="BodyText"/>
        <w:spacing w:before="1"/>
      </w:pPr>
    </w:p>
    <w:p>
      <w:pPr>
        <w:pStyle w:val="Heading4"/>
        <w:spacing w:before="1"/>
        <w:ind w:left="493" w:right="455"/>
      </w:pPr>
      <w:r>
        <w:rPr/>
        <w:t>TÍTULO TERCERO</w:t>
      </w:r>
    </w:p>
    <w:p>
      <w:pPr>
        <w:spacing w:before="4"/>
        <w:ind w:left="493" w:right="455" w:firstLine="0"/>
        <w:jc w:val="center"/>
        <w:rPr>
          <w:b/>
          <w:sz w:val="15"/>
        </w:rPr>
      </w:pPr>
      <w:r>
        <w:rPr>
          <w:b/>
          <w:sz w:val="15"/>
        </w:rPr>
        <w:t>De los Derechos</w:t>
      </w:r>
    </w:p>
    <w:p>
      <w:pPr>
        <w:pStyle w:val="BodyText"/>
        <w:spacing w:before="9"/>
        <w:rPr>
          <w:b/>
        </w:rPr>
      </w:pPr>
    </w:p>
    <w:p>
      <w:pPr>
        <w:spacing w:before="0"/>
        <w:ind w:left="493" w:right="456" w:firstLine="0"/>
        <w:jc w:val="center"/>
        <w:rPr>
          <w:b/>
          <w:sz w:val="15"/>
        </w:rPr>
      </w:pPr>
      <w:r>
        <w:rPr>
          <w:b/>
          <w:sz w:val="15"/>
        </w:rPr>
        <w:t>CAPÍTULO PRIMERO</w:t>
      </w:r>
    </w:p>
    <w:p>
      <w:pPr>
        <w:spacing w:before="5"/>
        <w:ind w:left="493" w:right="456" w:firstLine="0"/>
        <w:jc w:val="center"/>
        <w:rPr>
          <w:b/>
          <w:sz w:val="15"/>
        </w:rPr>
      </w:pPr>
      <w:r>
        <w:rPr>
          <w:b/>
          <w:sz w:val="15"/>
        </w:rPr>
        <w:t>De las Disposiciones Generales</w:t>
      </w:r>
    </w:p>
    <w:p>
      <w:pPr>
        <w:pStyle w:val="BodyText"/>
        <w:spacing w:before="8"/>
        <w:rPr>
          <w:b/>
        </w:rPr>
      </w:pPr>
    </w:p>
    <w:p>
      <w:pPr>
        <w:pStyle w:val="BodyText"/>
        <w:spacing w:line="244" w:lineRule="auto"/>
        <w:ind w:left="150" w:right="509" w:firstLine="397"/>
        <w:jc w:val="both"/>
      </w:pPr>
      <w:r>
        <w:rPr>
          <w:b/>
        </w:rPr>
        <w:t>Artículo 62.- </w:t>
      </w:r>
      <w:r>
        <w:rPr/>
        <w:t>Son derechos los ingresos que percibe el Municipio por la prestación de los servicios que     se</w:t>
      </w:r>
      <w:r>
        <w:rPr>
          <w:spacing w:val="4"/>
        </w:rPr>
        <w:t> </w:t>
      </w:r>
      <w:r>
        <w:rPr/>
        <w:t>relacionan</w:t>
      </w:r>
      <w:r>
        <w:rPr>
          <w:spacing w:val="5"/>
        </w:rPr>
        <w:t> </w:t>
      </w:r>
      <w:r>
        <w:rPr/>
        <w:t>a</w:t>
      </w:r>
      <w:r>
        <w:rPr>
          <w:spacing w:val="5"/>
        </w:rPr>
        <w:t> </w:t>
      </w:r>
      <w:r>
        <w:rPr/>
        <w:t>continuación,</w:t>
      </w:r>
      <w:r>
        <w:rPr>
          <w:spacing w:val="5"/>
        </w:rPr>
        <w:t> </w:t>
      </w:r>
      <w:r>
        <w:rPr/>
        <w:t>por</w:t>
      </w:r>
      <w:r>
        <w:rPr>
          <w:spacing w:val="4"/>
        </w:rPr>
        <w:t> </w:t>
      </w:r>
      <w:r>
        <w:rPr/>
        <w:t>lo</w:t>
      </w:r>
      <w:r>
        <w:rPr>
          <w:spacing w:val="4"/>
        </w:rPr>
        <w:t> </w:t>
      </w:r>
      <w:r>
        <w:rPr/>
        <w:t>que</w:t>
      </w:r>
      <w:r>
        <w:rPr>
          <w:spacing w:val="5"/>
        </w:rPr>
        <w:t> </w:t>
      </w:r>
      <w:r>
        <w:rPr/>
        <w:t>participan</w:t>
      </w:r>
      <w:r>
        <w:rPr>
          <w:spacing w:val="5"/>
        </w:rPr>
        <w:t> </w:t>
      </w:r>
      <w:r>
        <w:rPr/>
        <w:t>de</w:t>
      </w:r>
      <w:r>
        <w:rPr>
          <w:spacing w:val="4"/>
        </w:rPr>
        <w:t> </w:t>
      </w:r>
      <w:r>
        <w:rPr/>
        <w:t>la</w:t>
      </w:r>
      <w:r>
        <w:rPr>
          <w:spacing w:val="5"/>
        </w:rPr>
        <w:t> </w:t>
      </w:r>
      <w:r>
        <w:rPr/>
        <w:t>naturaleza</w:t>
      </w:r>
      <w:r>
        <w:rPr>
          <w:spacing w:val="5"/>
        </w:rPr>
        <w:t> </w:t>
      </w:r>
      <w:r>
        <w:rPr/>
        <w:t>jurídica</w:t>
      </w:r>
      <w:r>
        <w:rPr>
          <w:spacing w:val="5"/>
        </w:rPr>
        <w:t> </w:t>
      </w:r>
      <w:r>
        <w:rPr/>
        <w:t>de</w:t>
      </w:r>
      <w:r>
        <w:rPr>
          <w:spacing w:val="5"/>
        </w:rPr>
        <w:t> </w:t>
      </w:r>
      <w:r>
        <w:rPr/>
        <w:t>las</w:t>
      </w:r>
      <w:r>
        <w:rPr>
          <w:spacing w:val="4"/>
        </w:rPr>
        <w:t> </w:t>
      </w:r>
      <w:r>
        <w:rPr/>
        <w:t>contribuciones:</w:t>
      </w:r>
    </w:p>
    <w:p>
      <w:pPr>
        <w:pStyle w:val="BodyText"/>
        <w:spacing w:before="7"/>
      </w:pPr>
    </w:p>
    <w:p>
      <w:pPr>
        <w:pStyle w:val="ListParagraph"/>
        <w:numPr>
          <w:ilvl w:val="0"/>
          <w:numId w:val="22"/>
        </w:numPr>
        <w:tabs>
          <w:tab w:pos="737" w:val="left" w:leader="none"/>
        </w:tabs>
        <w:spacing w:line="240" w:lineRule="auto" w:before="0" w:after="0"/>
        <w:ind w:left="736" w:right="0" w:hanging="189"/>
        <w:jc w:val="left"/>
        <w:rPr>
          <w:sz w:val="15"/>
        </w:rPr>
      </w:pPr>
      <w:r>
        <w:rPr>
          <w:sz w:val="15"/>
        </w:rPr>
        <w:t>Derechos por prestación de</w:t>
      </w:r>
      <w:r>
        <w:rPr>
          <w:spacing w:val="5"/>
          <w:sz w:val="15"/>
        </w:rPr>
        <w:t> </w:t>
      </w:r>
      <w:r>
        <w:rPr>
          <w:sz w:val="15"/>
        </w:rPr>
        <w:t>servicios:</w:t>
      </w:r>
    </w:p>
    <w:p>
      <w:pPr>
        <w:pStyle w:val="BodyText"/>
        <w:spacing w:before="9"/>
      </w:pPr>
    </w:p>
    <w:p>
      <w:pPr>
        <w:pStyle w:val="ListParagraph"/>
        <w:numPr>
          <w:ilvl w:val="0"/>
          <w:numId w:val="23"/>
        </w:numPr>
        <w:tabs>
          <w:tab w:pos="848" w:val="left" w:leader="none"/>
          <w:tab w:pos="849" w:val="left" w:leader="none"/>
        </w:tabs>
        <w:spacing w:line="240" w:lineRule="auto" w:before="0" w:after="0"/>
        <w:ind w:left="848" w:right="0" w:hanging="301"/>
        <w:jc w:val="left"/>
        <w:rPr>
          <w:sz w:val="15"/>
        </w:rPr>
      </w:pPr>
      <w:r>
        <w:rPr>
          <w:sz w:val="15"/>
        </w:rPr>
        <w:t>Licencias, Permisos y</w:t>
      </w:r>
      <w:r>
        <w:rPr>
          <w:spacing w:val="4"/>
          <w:sz w:val="15"/>
        </w:rPr>
        <w:t> </w:t>
      </w:r>
      <w:r>
        <w:rPr>
          <w:sz w:val="15"/>
        </w:rPr>
        <w:t>Registros;</w:t>
      </w:r>
    </w:p>
    <w:p>
      <w:pPr>
        <w:pStyle w:val="ListParagraph"/>
        <w:numPr>
          <w:ilvl w:val="0"/>
          <w:numId w:val="23"/>
        </w:numPr>
        <w:tabs>
          <w:tab w:pos="849" w:val="left" w:leader="none"/>
        </w:tabs>
        <w:spacing w:line="240" w:lineRule="auto" w:before="5" w:after="0"/>
        <w:ind w:left="848" w:right="0" w:hanging="301"/>
        <w:jc w:val="left"/>
        <w:rPr>
          <w:sz w:val="15"/>
        </w:rPr>
      </w:pPr>
      <w:r>
        <w:rPr>
          <w:sz w:val="15"/>
        </w:rPr>
        <w:t>De los Servicios por</w:t>
      </w:r>
      <w:r>
        <w:rPr>
          <w:spacing w:val="4"/>
          <w:sz w:val="15"/>
        </w:rPr>
        <w:t> </w:t>
      </w:r>
      <w:r>
        <w:rPr>
          <w:sz w:val="15"/>
        </w:rPr>
        <w:t>Obra;</w:t>
      </w:r>
    </w:p>
    <w:p>
      <w:pPr>
        <w:pStyle w:val="ListParagraph"/>
        <w:numPr>
          <w:ilvl w:val="0"/>
          <w:numId w:val="23"/>
        </w:numPr>
        <w:tabs>
          <w:tab w:pos="849" w:val="left" w:leader="none"/>
        </w:tabs>
        <w:spacing w:line="240" w:lineRule="auto" w:before="4" w:after="0"/>
        <w:ind w:left="848" w:right="0" w:hanging="301"/>
        <w:jc w:val="left"/>
        <w:rPr>
          <w:sz w:val="15"/>
        </w:rPr>
      </w:pPr>
      <w:r>
        <w:rPr>
          <w:sz w:val="15"/>
        </w:rPr>
        <w:t>De los Servicios de Sanidad e</w:t>
      </w:r>
      <w:r>
        <w:rPr>
          <w:spacing w:val="8"/>
          <w:sz w:val="15"/>
        </w:rPr>
        <w:t> </w:t>
      </w:r>
      <w:r>
        <w:rPr>
          <w:sz w:val="15"/>
        </w:rPr>
        <w:t>Inspección;</w:t>
      </w:r>
    </w:p>
    <w:p>
      <w:pPr>
        <w:pStyle w:val="ListParagraph"/>
        <w:numPr>
          <w:ilvl w:val="0"/>
          <w:numId w:val="23"/>
        </w:numPr>
        <w:tabs>
          <w:tab w:pos="843" w:val="left" w:leader="none"/>
        </w:tabs>
        <w:spacing w:line="240" w:lineRule="auto" w:before="5" w:after="0"/>
        <w:ind w:left="842" w:right="0" w:hanging="295"/>
        <w:jc w:val="left"/>
        <w:rPr>
          <w:sz w:val="15"/>
        </w:rPr>
      </w:pPr>
      <w:r>
        <w:rPr>
          <w:sz w:val="15"/>
        </w:rPr>
        <w:t>Aseo</w:t>
      </w:r>
      <w:r>
        <w:rPr>
          <w:spacing w:val="1"/>
          <w:sz w:val="15"/>
        </w:rPr>
        <w:t> </w:t>
      </w:r>
      <w:r>
        <w:rPr>
          <w:sz w:val="15"/>
        </w:rPr>
        <w:t>Público;</w:t>
      </w:r>
    </w:p>
    <w:p>
      <w:pPr>
        <w:pStyle w:val="ListParagraph"/>
        <w:numPr>
          <w:ilvl w:val="0"/>
          <w:numId w:val="23"/>
        </w:numPr>
        <w:tabs>
          <w:tab w:pos="800" w:val="left" w:leader="none"/>
        </w:tabs>
        <w:spacing w:line="240" w:lineRule="auto" w:before="4" w:after="0"/>
        <w:ind w:left="799" w:right="0" w:hanging="252"/>
        <w:jc w:val="left"/>
        <w:rPr>
          <w:sz w:val="15"/>
        </w:rPr>
      </w:pPr>
      <w:r>
        <w:rPr>
          <w:sz w:val="15"/>
        </w:rPr>
        <w:t>Agua potable, drenaje, alcantarillado, tratamiento y disposición final de aguas</w:t>
      </w:r>
      <w:r>
        <w:rPr>
          <w:spacing w:val="39"/>
          <w:sz w:val="15"/>
        </w:rPr>
        <w:t> </w:t>
      </w:r>
      <w:r>
        <w:rPr>
          <w:sz w:val="15"/>
        </w:rPr>
        <w:t>residuales;</w:t>
      </w:r>
    </w:p>
    <w:p>
      <w:pPr>
        <w:pStyle w:val="ListParagraph"/>
        <w:numPr>
          <w:ilvl w:val="0"/>
          <w:numId w:val="23"/>
        </w:numPr>
        <w:tabs>
          <w:tab w:pos="866" w:val="left" w:leader="none"/>
        </w:tabs>
        <w:spacing w:line="240" w:lineRule="auto" w:before="5" w:after="0"/>
        <w:ind w:left="865" w:right="0" w:hanging="318"/>
        <w:jc w:val="left"/>
        <w:rPr>
          <w:sz w:val="15"/>
        </w:rPr>
      </w:pPr>
      <w:r>
        <w:rPr>
          <w:sz w:val="15"/>
        </w:rPr>
        <w:t>Rastro;</w:t>
      </w:r>
    </w:p>
    <w:p>
      <w:pPr>
        <w:pStyle w:val="ListParagraph"/>
        <w:numPr>
          <w:ilvl w:val="0"/>
          <w:numId w:val="23"/>
        </w:numPr>
        <w:tabs>
          <w:tab w:pos="866" w:val="left" w:leader="none"/>
        </w:tabs>
        <w:spacing w:line="240" w:lineRule="auto" w:before="5" w:after="0"/>
        <w:ind w:left="865" w:right="0" w:hanging="318"/>
        <w:jc w:val="left"/>
        <w:rPr>
          <w:sz w:val="15"/>
        </w:rPr>
      </w:pPr>
      <w:r>
        <w:rPr>
          <w:sz w:val="15"/>
        </w:rPr>
        <w:t>Registro</w:t>
      </w:r>
      <w:r>
        <w:rPr>
          <w:spacing w:val="1"/>
          <w:sz w:val="15"/>
        </w:rPr>
        <w:t> </w:t>
      </w:r>
      <w:r>
        <w:rPr>
          <w:sz w:val="15"/>
        </w:rPr>
        <w:t>Civil;</w:t>
      </w:r>
    </w:p>
    <w:p>
      <w:pPr>
        <w:pStyle w:val="ListParagraph"/>
        <w:numPr>
          <w:ilvl w:val="0"/>
          <w:numId w:val="23"/>
        </w:numPr>
        <w:tabs>
          <w:tab w:pos="866" w:val="left" w:leader="none"/>
        </w:tabs>
        <w:spacing w:line="240" w:lineRule="auto" w:before="4" w:after="0"/>
        <w:ind w:left="865" w:right="0" w:hanging="318"/>
        <w:jc w:val="left"/>
        <w:rPr>
          <w:sz w:val="15"/>
        </w:rPr>
      </w:pPr>
      <w:r>
        <w:rPr>
          <w:sz w:val="15"/>
        </w:rPr>
        <w:t>Certificaciones;</w:t>
      </w:r>
    </w:p>
    <w:p>
      <w:pPr>
        <w:pStyle w:val="ListParagraph"/>
        <w:numPr>
          <w:ilvl w:val="0"/>
          <w:numId w:val="23"/>
        </w:numPr>
        <w:tabs>
          <w:tab w:pos="865" w:val="left" w:leader="none"/>
        </w:tabs>
        <w:spacing w:line="240" w:lineRule="auto" w:before="4" w:after="0"/>
        <w:ind w:left="864" w:right="0" w:hanging="317"/>
        <w:jc w:val="left"/>
        <w:rPr>
          <w:sz w:val="15"/>
        </w:rPr>
      </w:pPr>
      <w:r>
        <w:rPr>
          <w:sz w:val="15"/>
        </w:rPr>
        <w:t>Servicios de Catastro;</w:t>
      </w:r>
      <w:r>
        <w:rPr>
          <w:spacing w:val="3"/>
          <w:sz w:val="15"/>
        </w:rPr>
        <w:t> </w:t>
      </w:r>
      <w:r>
        <w:rPr>
          <w:sz w:val="15"/>
        </w:rPr>
        <w:t>y</w:t>
      </w:r>
    </w:p>
    <w:p>
      <w:pPr>
        <w:pStyle w:val="ListParagraph"/>
        <w:numPr>
          <w:ilvl w:val="0"/>
          <w:numId w:val="23"/>
        </w:numPr>
        <w:tabs>
          <w:tab w:pos="865" w:val="left" w:leader="none"/>
        </w:tabs>
        <w:spacing w:line="240" w:lineRule="auto" w:before="5" w:after="0"/>
        <w:ind w:left="864" w:right="0" w:hanging="317"/>
        <w:jc w:val="left"/>
        <w:rPr>
          <w:sz w:val="15"/>
        </w:rPr>
      </w:pPr>
      <w:r>
        <w:rPr>
          <w:sz w:val="15"/>
        </w:rPr>
        <w:t>Estacionamientos.</w:t>
      </w:r>
    </w:p>
    <w:p>
      <w:pPr>
        <w:pStyle w:val="BodyText"/>
        <w:spacing w:before="9"/>
      </w:pPr>
    </w:p>
    <w:p>
      <w:pPr>
        <w:pStyle w:val="ListParagraph"/>
        <w:numPr>
          <w:ilvl w:val="0"/>
          <w:numId w:val="22"/>
        </w:numPr>
        <w:tabs>
          <w:tab w:pos="737" w:val="left" w:leader="none"/>
        </w:tabs>
        <w:spacing w:line="240" w:lineRule="auto" w:before="1" w:after="0"/>
        <w:ind w:left="736" w:right="0" w:hanging="189"/>
        <w:jc w:val="left"/>
        <w:rPr>
          <w:sz w:val="15"/>
        </w:rPr>
      </w:pPr>
      <w:r>
        <w:rPr>
          <w:sz w:val="15"/>
        </w:rPr>
        <w:t>Del Uso, Goce,</w:t>
      </w:r>
      <w:r>
        <w:rPr>
          <w:spacing w:val="32"/>
          <w:sz w:val="15"/>
        </w:rPr>
        <w:t> </w:t>
      </w:r>
      <w:r>
        <w:rPr>
          <w:sz w:val="15"/>
        </w:rPr>
        <w:t>Aprovechamiento o Explotación de Bienes Muebles e Inmuebles de Dominio Público:</w:t>
      </w:r>
    </w:p>
    <w:p>
      <w:pPr>
        <w:pStyle w:val="BodyText"/>
        <w:spacing w:before="8"/>
      </w:pPr>
    </w:p>
    <w:p>
      <w:pPr>
        <w:pStyle w:val="ListParagraph"/>
        <w:numPr>
          <w:ilvl w:val="0"/>
          <w:numId w:val="24"/>
        </w:numPr>
        <w:tabs>
          <w:tab w:pos="763" w:val="left" w:leader="none"/>
        </w:tabs>
        <w:spacing w:line="240" w:lineRule="auto" w:before="0" w:after="0"/>
        <w:ind w:left="762" w:right="0" w:hanging="215"/>
        <w:jc w:val="left"/>
        <w:rPr>
          <w:sz w:val="15"/>
        </w:rPr>
      </w:pPr>
      <w:r>
        <w:rPr>
          <w:sz w:val="15"/>
        </w:rPr>
        <w:t>Del Uso del</w:t>
      </w:r>
      <w:r>
        <w:rPr>
          <w:spacing w:val="3"/>
          <w:sz w:val="15"/>
        </w:rPr>
        <w:t> </w:t>
      </w:r>
      <w:r>
        <w:rPr>
          <w:sz w:val="15"/>
        </w:rPr>
        <w:t>Piso;</w:t>
      </w:r>
    </w:p>
    <w:p>
      <w:pPr>
        <w:pStyle w:val="ListParagraph"/>
        <w:numPr>
          <w:ilvl w:val="0"/>
          <w:numId w:val="24"/>
        </w:numPr>
        <w:tabs>
          <w:tab w:pos="763" w:val="left" w:leader="none"/>
        </w:tabs>
        <w:spacing w:line="240" w:lineRule="auto" w:before="5" w:after="0"/>
        <w:ind w:left="762" w:right="0" w:hanging="215"/>
        <w:jc w:val="left"/>
        <w:rPr>
          <w:sz w:val="15"/>
        </w:rPr>
      </w:pPr>
      <w:r>
        <w:rPr>
          <w:sz w:val="15"/>
        </w:rPr>
        <w:t>De los Bienes Muebles e Inmuebles de Dominio Público;</w:t>
      </w:r>
      <w:r>
        <w:rPr>
          <w:spacing w:val="16"/>
          <w:sz w:val="15"/>
        </w:rPr>
        <w:t> </w:t>
      </w:r>
      <w:r>
        <w:rPr>
          <w:sz w:val="15"/>
        </w:rPr>
        <w:t>y</w:t>
      </w:r>
    </w:p>
    <w:p>
      <w:pPr>
        <w:pStyle w:val="ListParagraph"/>
        <w:numPr>
          <w:ilvl w:val="0"/>
          <w:numId w:val="24"/>
        </w:numPr>
        <w:tabs>
          <w:tab w:pos="763" w:val="left" w:leader="none"/>
        </w:tabs>
        <w:spacing w:line="240" w:lineRule="auto" w:before="5" w:after="0"/>
        <w:ind w:left="762" w:right="0" w:hanging="215"/>
        <w:jc w:val="left"/>
        <w:rPr>
          <w:sz w:val="15"/>
        </w:rPr>
      </w:pPr>
      <w:r>
        <w:rPr>
          <w:sz w:val="15"/>
        </w:rPr>
        <w:t>De los Cementerios de Dominio</w:t>
      </w:r>
      <w:r>
        <w:rPr>
          <w:spacing w:val="7"/>
          <w:sz w:val="15"/>
        </w:rPr>
        <w:t> </w:t>
      </w:r>
      <w:r>
        <w:rPr>
          <w:sz w:val="15"/>
        </w:rPr>
        <w:t>Público.</w:t>
      </w:r>
    </w:p>
    <w:p>
      <w:pPr>
        <w:pStyle w:val="BodyText"/>
        <w:spacing w:before="9"/>
      </w:pPr>
    </w:p>
    <w:p>
      <w:pPr>
        <w:pStyle w:val="ListParagraph"/>
        <w:numPr>
          <w:ilvl w:val="0"/>
          <w:numId w:val="22"/>
        </w:numPr>
        <w:tabs>
          <w:tab w:pos="745" w:val="left" w:leader="none"/>
        </w:tabs>
        <w:spacing w:line="240" w:lineRule="auto" w:before="0" w:after="0"/>
        <w:ind w:left="744" w:right="0" w:hanging="197"/>
        <w:jc w:val="left"/>
        <w:rPr>
          <w:sz w:val="15"/>
        </w:rPr>
      </w:pPr>
      <w:r>
        <w:rPr>
          <w:sz w:val="15"/>
        </w:rPr>
        <w:t>Otros</w:t>
      </w:r>
      <w:r>
        <w:rPr>
          <w:spacing w:val="27"/>
          <w:sz w:val="15"/>
        </w:rPr>
        <w:t> </w:t>
      </w:r>
      <w:r>
        <w:rPr>
          <w:sz w:val="15"/>
        </w:rPr>
        <w:t>Derechos:</w:t>
      </w:r>
    </w:p>
    <w:p>
      <w:pPr>
        <w:pStyle w:val="BodyText"/>
        <w:spacing w:before="9"/>
      </w:pPr>
    </w:p>
    <w:p>
      <w:pPr>
        <w:pStyle w:val="BodyText"/>
        <w:ind w:left="548"/>
      </w:pPr>
      <w:r>
        <w:rPr/>
        <w:t>I.  Derechos no</w:t>
      </w:r>
      <w:r>
        <w:rPr>
          <w:spacing w:val="6"/>
        </w:rPr>
        <w:t> </w:t>
      </w:r>
      <w:r>
        <w:rPr/>
        <w:t>Especificados.</w:t>
      </w:r>
    </w:p>
    <w:p>
      <w:pPr>
        <w:pStyle w:val="BodyText"/>
        <w:spacing w:before="9"/>
      </w:pPr>
    </w:p>
    <w:p>
      <w:pPr>
        <w:pStyle w:val="BodyText"/>
        <w:ind w:left="493" w:right="457"/>
        <w:jc w:val="center"/>
      </w:pPr>
      <w:r>
        <w:rPr>
          <w:b/>
        </w:rPr>
        <w:t>Artículo 63.- </w:t>
      </w:r>
      <w:r>
        <w:rPr/>
        <w:t>Los derechos que se establecen en la presente ley, se causarán en el momento en que el</w:t>
      </w:r>
    </w:p>
    <w:p>
      <w:pPr>
        <w:spacing w:after="0"/>
        <w:jc w:val="center"/>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spacing w:before="7"/>
        <w:rPr>
          <w:sz w:val="29"/>
        </w:rPr>
      </w:pPr>
    </w:p>
    <w:p>
      <w:pPr>
        <w:spacing w:after="0"/>
        <w:rPr>
          <w:sz w:val="29"/>
        </w:rPr>
        <w:sectPr>
          <w:headerReference w:type="default" r:id="rId64"/>
          <w:pgSz w:w="23250" w:h="15310" w:orient="landscape"/>
          <w:pgMar w:header="881" w:footer="499" w:top="1920" w:bottom="680" w:left="1880" w:right="1520"/>
        </w:sectPr>
      </w:pPr>
    </w:p>
    <w:p>
      <w:pPr>
        <w:pStyle w:val="BodyText"/>
        <w:spacing w:line="247" w:lineRule="auto" w:before="99"/>
        <w:ind w:left="151" w:right="153"/>
      </w:pPr>
      <w:r>
        <w:rPr/>
        <w:t>particular reciba la prestación del servicio o en el momento en que se provoque, por parte del Municipio, el   gasto</w:t>
      </w:r>
      <w:r>
        <w:rPr>
          <w:spacing w:val="4"/>
        </w:rPr>
        <w:t> </w:t>
      </w:r>
      <w:r>
        <w:rPr/>
        <w:t>que</w:t>
      </w:r>
      <w:r>
        <w:rPr>
          <w:spacing w:val="4"/>
        </w:rPr>
        <w:t> </w:t>
      </w:r>
      <w:r>
        <w:rPr/>
        <w:t>deba</w:t>
      </w:r>
      <w:r>
        <w:rPr>
          <w:spacing w:val="4"/>
        </w:rPr>
        <w:t> </w:t>
      </w:r>
      <w:r>
        <w:rPr/>
        <w:t>ser</w:t>
      </w:r>
      <w:r>
        <w:rPr>
          <w:spacing w:val="4"/>
        </w:rPr>
        <w:t> </w:t>
      </w:r>
      <w:r>
        <w:rPr/>
        <w:t>efectuado</w:t>
      </w:r>
      <w:r>
        <w:rPr>
          <w:spacing w:val="4"/>
        </w:rPr>
        <w:t> </w:t>
      </w:r>
      <w:r>
        <w:rPr/>
        <w:t>por</w:t>
      </w:r>
      <w:r>
        <w:rPr>
          <w:spacing w:val="4"/>
        </w:rPr>
        <w:t> </w:t>
      </w:r>
      <w:r>
        <w:rPr/>
        <w:t>aquél,</w:t>
      </w:r>
      <w:r>
        <w:rPr>
          <w:spacing w:val="4"/>
        </w:rPr>
        <w:t> </w:t>
      </w:r>
      <w:r>
        <w:rPr/>
        <w:t>salvo</w:t>
      </w:r>
      <w:r>
        <w:rPr>
          <w:spacing w:val="3"/>
        </w:rPr>
        <w:t> </w:t>
      </w:r>
      <w:r>
        <w:rPr/>
        <w:t>que</w:t>
      </w:r>
      <w:r>
        <w:rPr>
          <w:spacing w:val="4"/>
        </w:rPr>
        <w:t> </w:t>
      </w:r>
      <w:r>
        <w:rPr/>
        <w:t>en</w:t>
      </w:r>
      <w:r>
        <w:rPr>
          <w:spacing w:val="4"/>
        </w:rPr>
        <w:t> </w:t>
      </w:r>
      <w:r>
        <w:rPr/>
        <w:t>esta</w:t>
      </w:r>
      <w:r>
        <w:rPr>
          <w:spacing w:val="4"/>
        </w:rPr>
        <w:t> </w:t>
      </w:r>
      <w:r>
        <w:rPr/>
        <w:t>misma</w:t>
      </w:r>
      <w:r>
        <w:rPr>
          <w:spacing w:val="5"/>
        </w:rPr>
        <w:t> </w:t>
      </w:r>
      <w:r>
        <w:rPr/>
        <w:t>ley</w:t>
      </w:r>
      <w:r>
        <w:rPr>
          <w:spacing w:val="4"/>
        </w:rPr>
        <w:t> </w:t>
      </w:r>
      <w:r>
        <w:rPr/>
        <w:t>se</w:t>
      </w:r>
      <w:r>
        <w:rPr>
          <w:spacing w:val="4"/>
        </w:rPr>
        <w:t> </w:t>
      </w:r>
      <w:r>
        <w:rPr/>
        <w:t>señale</w:t>
      </w:r>
      <w:r>
        <w:rPr>
          <w:spacing w:val="4"/>
        </w:rPr>
        <w:t> </w:t>
      </w:r>
      <w:r>
        <w:rPr/>
        <w:t>cosa</w:t>
      </w:r>
      <w:r>
        <w:rPr>
          <w:spacing w:val="4"/>
        </w:rPr>
        <w:t> </w:t>
      </w:r>
      <w:r>
        <w:rPr/>
        <w:t>distinta.</w:t>
      </w:r>
    </w:p>
    <w:p>
      <w:pPr>
        <w:pStyle w:val="BodyText"/>
        <w:spacing w:before="3"/>
      </w:pPr>
    </w:p>
    <w:p>
      <w:pPr>
        <w:pStyle w:val="BodyText"/>
        <w:spacing w:line="247" w:lineRule="auto"/>
        <w:ind w:left="150" w:right="38" w:firstLine="397"/>
        <w:jc w:val="both"/>
      </w:pPr>
      <w:r>
        <w:rPr/>
        <w:t>Conforme a lo dispuesto en el artículo </w:t>
      </w:r>
      <w:r>
        <w:rPr>
          <w:spacing w:val="-3"/>
        </w:rPr>
        <w:t>115,  </w:t>
      </w:r>
      <w:r>
        <w:rPr/>
        <w:t>fracción </w:t>
      </w:r>
      <w:r>
        <w:rPr>
          <w:spacing w:val="-5"/>
        </w:rPr>
        <w:t>IV,  </w:t>
      </w:r>
      <w:r>
        <w:rPr/>
        <w:t>segundo párrafo, de la Constitución Política de    los Estados Unidos Mexicanos, en el municipio no es ni será aplicable ninguna exención, exención parcial, subsidio o reducción, establecida en alguna ley estatal a favor de  persona o institución, respecto de los  derechos establecidos en esta</w:t>
      </w:r>
      <w:r>
        <w:rPr>
          <w:spacing w:val="5"/>
        </w:rPr>
        <w:t> </w:t>
      </w:r>
      <w:r>
        <w:rPr>
          <w:spacing w:val="-4"/>
        </w:rPr>
        <w:t>ley.</w:t>
      </w:r>
    </w:p>
    <w:p>
      <w:pPr>
        <w:pStyle w:val="BodyText"/>
        <w:spacing w:before="4"/>
      </w:pPr>
    </w:p>
    <w:p>
      <w:pPr>
        <w:pStyle w:val="Heading4"/>
        <w:ind w:right="557"/>
      </w:pPr>
      <w:r>
        <w:rPr/>
        <w:t>CAPÍTULO SEGUNDO</w:t>
      </w:r>
    </w:p>
    <w:p>
      <w:pPr>
        <w:spacing w:before="4"/>
        <w:ind w:left="668" w:right="557" w:firstLine="0"/>
        <w:jc w:val="center"/>
        <w:rPr>
          <w:b/>
          <w:sz w:val="15"/>
        </w:rPr>
      </w:pPr>
      <w:r>
        <w:rPr>
          <w:b/>
          <w:sz w:val="15"/>
        </w:rPr>
        <w:t>Derechos por el Uso, Goce, Aprovechamiento o Explotación de Bienes de Dominio Público</w:t>
      </w:r>
    </w:p>
    <w:p>
      <w:pPr>
        <w:pStyle w:val="BodyText"/>
        <w:spacing w:before="9"/>
        <w:rPr>
          <w:b/>
        </w:rPr>
      </w:pPr>
    </w:p>
    <w:p>
      <w:pPr>
        <w:spacing w:before="0"/>
        <w:ind w:left="668" w:right="552" w:firstLine="0"/>
        <w:jc w:val="center"/>
        <w:rPr>
          <w:b/>
          <w:sz w:val="15"/>
        </w:rPr>
      </w:pPr>
      <w:r>
        <w:rPr>
          <w:b/>
          <w:sz w:val="15"/>
        </w:rPr>
        <w:t>SECCIÓN PRIMERA</w:t>
      </w:r>
    </w:p>
    <w:p>
      <w:pPr>
        <w:spacing w:before="5"/>
        <w:ind w:left="668" w:right="557" w:firstLine="0"/>
        <w:jc w:val="center"/>
        <w:rPr>
          <w:b/>
          <w:sz w:val="15"/>
        </w:rPr>
      </w:pPr>
      <w:r>
        <w:rPr>
          <w:b/>
          <w:sz w:val="15"/>
        </w:rPr>
        <w:t>Del Piso</w:t>
      </w:r>
    </w:p>
    <w:p>
      <w:pPr>
        <w:pStyle w:val="BodyText"/>
        <w:spacing w:before="7"/>
        <w:rPr>
          <w:b/>
        </w:rPr>
      </w:pPr>
    </w:p>
    <w:p>
      <w:pPr>
        <w:pStyle w:val="BodyText"/>
        <w:spacing w:line="247" w:lineRule="auto" w:before="1"/>
        <w:ind w:left="151" w:right="38" w:firstLine="397"/>
        <w:jc w:val="both"/>
      </w:pPr>
      <w:r>
        <w:rPr>
          <w:b/>
        </w:rPr>
        <w:t>Artículo 64.- </w:t>
      </w:r>
      <w:r>
        <w:rPr/>
        <w:t>Las personas físicas o jurídicas que hagan uso del piso, de instalaciones subterráneas o áreas en las vías o espacios públicos para la realización de actividades comerciales, industriales o  de  prestación</w:t>
      </w:r>
      <w:r>
        <w:rPr>
          <w:spacing w:val="12"/>
        </w:rPr>
        <w:t> </w:t>
      </w:r>
      <w:r>
        <w:rPr/>
        <w:t>de</w:t>
      </w:r>
      <w:r>
        <w:rPr>
          <w:spacing w:val="13"/>
        </w:rPr>
        <w:t> </w:t>
      </w:r>
      <w:r>
        <w:rPr/>
        <w:t>servicios</w:t>
      </w:r>
      <w:r>
        <w:rPr>
          <w:spacing w:val="12"/>
        </w:rPr>
        <w:t> </w:t>
      </w:r>
      <w:r>
        <w:rPr/>
        <w:t>en</w:t>
      </w:r>
      <w:r>
        <w:rPr>
          <w:spacing w:val="13"/>
        </w:rPr>
        <w:t> </w:t>
      </w:r>
      <w:r>
        <w:rPr/>
        <w:t>forma</w:t>
      </w:r>
      <w:r>
        <w:rPr>
          <w:spacing w:val="12"/>
        </w:rPr>
        <w:t> </w:t>
      </w:r>
      <w:r>
        <w:rPr/>
        <w:t>permanente,</w:t>
      </w:r>
      <w:r>
        <w:rPr>
          <w:spacing w:val="13"/>
        </w:rPr>
        <w:t> </w:t>
      </w:r>
      <w:r>
        <w:rPr/>
        <w:t>pagarán</w:t>
      </w:r>
      <w:r>
        <w:rPr>
          <w:spacing w:val="13"/>
        </w:rPr>
        <w:t> </w:t>
      </w:r>
      <w:r>
        <w:rPr/>
        <w:t>los</w:t>
      </w:r>
      <w:r>
        <w:rPr>
          <w:spacing w:val="12"/>
        </w:rPr>
        <w:t> </w:t>
      </w:r>
      <w:r>
        <w:rPr/>
        <w:t>derechos</w:t>
      </w:r>
      <w:r>
        <w:rPr>
          <w:spacing w:val="13"/>
        </w:rPr>
        <w:t> </w:t>
      </w:r>
      <w:r>
        <w:rPr/>
        <w:t>correspondientes</w:t>
      </w:r>
      <w:r>
        <w:rPr>
          <w:spacing w:val="12"/>
        </w:rPr>
        <w:t> </w:t>
      </w:r>
      <w:r>
        <w:rPr/>
        <w:t>conforme</w:t>
      </w:r>
      <w:r>
        <w:rPr>
          <w:spacing w:val="13"/>
        </w:rPr>
        <w:t> </w:t>
      </w:r>
      <w:r>
        <w:rPr/>
        <w:t>a</w:t>
      </w:r>
      <w:r>
        <w:rPr>
          <w:spacing w:val="13"/>
        </w:rPr>
        <w:t> </w:t>
      </w:r>
      <w:r>
        <w:rPr/>
        <w:t>lo</w:t>
      </w:r>
      <w:r>
        <w:rPr>
          <w:spacing w:val="12"/>
        </w:rPr>
        <w:t> </w:t>
      </w:r>
      <w:r>
        <w:rPr/>
        <w:t>siguiente:</w:t>
      </w:r>
    </w:p>
    <w:p>
      <w:pPr>
        <w:pStyle w:val="BodyText"/>
        <w:spacing w:before="3"/>
      </w:pPr>
    </w:p>
    <w:p>
      <w:pPr>
        <w:pStyle w:val="BodyText"/>
        <w:ind w:right="1619"/>
        <w:jc w:val="right"/>
      </w:pPr>
      <w:r>
        <w:rPr/>
        <w:t>TARIFAS:</w:t>
      </w:r>
    </w:p>
    <w:p>
      <w:pPr>
        <w:pStyle w:val="BodyText"/>
        <w:spacing w:line="247" w:lineRule="auto" w:before="4"/>
        <w:ind w:left="226" w:right="3683"/>
      </w:pPr>
      <w:r>
        <w:rPr/>
        <w:t>I.- Estacionamientos exclusivos, mensualmente, por cajón:</w:t>
      </w:r>
    </w:p>
    <w:p>
      <w:pPr>
        <w:pStyle w:val="BodyText"/>
        <w:spacing w:before="4"/>
      </w:pPr>
    </w:p>
    <w:p>
      <w:pPr>
        <w:pStyle w:val="ListParagraph"/>
        <w:numPr>
          <w:ilvl w:val="0"/>
          <w:numId w:val="25"/>
        </w:numPr>
        <w:tabs>
          <w:tab w:pos="407" w:val="left" w:leader="none"/>
        </w:tabs>
        <w:spacing w:line="240" w:lineRule="auto" w:before="0" w:after="0"/>
        <w:ind w:left="406" w:right="0" w:hanging="181"/>
        <w:jc w:val="left"/>
        <w:rPr>
          <w:sz w:val="15"/>
        </w:rPr>
      </w:pPr>
      <w:r>
        <w:rPr>
          <w:sz w:val="15"/>
        </w:rPr>
        <w:t>En cordón o en batería afuera de</w:t>
      </w:r>
      <w:r>
        <w:rPr>
          <w:spacing w:val="11"/>
          <w:sz w:val="15"/>
        </w:rPr>
        <w:t> </w:t>
      </w:r>
      <w:r>
        <w:rPr>
          <w:sz w:val="15"/>
        </w:rPr>
        <w:t>establecimientos</w:t>
      </w:r>
    </w:p>
    <w:p>
      <w:pPr>
        <w:pStyle w:val="BodyText"/>
        <w:tabs>
          <w:tab w:pos="4834" w:val="left" w:leader="none"/>
        </w:tabs>
        <w:spacing w:before="4"/>
        <w:ind w:left="226"/>
      </w:pPr>
      <w:r>
        <w:rPr/>
        <w:t>comerciales:</w:t>
        <w:tab/>
        <w:t>$383.00;</w:t>
      </w:r>
    </w:p>
    <w:p>
      <w:pPr>
        <w:pStyle w:val="BodyText"/>
        <w:spacing w:before="9"/>
      </w:pPr>
    </w:p>
    <w:p>
      <w:pPr>
        <w:pStyle w:val="ListParagraph"/>
        <w:numPr>
          <w:ilvl w:val="0"/>
          <w:numId w:val="25"/>
        </w:numPr>
        <w:tabs>
          <w:tab w:pos="407" w:val="left" w:leader="none"/>
          <w:tab w:pos="4832" w:val="left" w:leader="none"/>
        </w:tabs>
        <w:spacing w:line="240" w:lineRule="auto" w:before="0" w:after="0"/>
        <w:ind w:left="406" w:right="0" w:hanging="181"/>
        <w:jc w:val="left"/>
        <w:rPr>
          <w:sz w:val="15"/>
        </w:rPr>
      </w:pPr>
      <w:r>
        <w:rPr>
          <w:sz w:val="15"/>
        </w:rPr>
        <w:t>En cordón o en batería para </w:t>
      </w:r>
      <w:r>
        <w:rPr>
          <w:spacing w:val="9"/>
          <w:sz w:val="15"/>
        </w:rPr>
        <w:t> </w:t>
      </w:r>
      <w:r>
        <w:rPr>
          <w:sz w:val="15"/>
        </w:rPr>
        <w:t>uso</w:t>
      </w:r>
      <w:r>
        <w:rPr>
          <w:spacing w:val="9"/>
          <w:sz w:val="15"/>
        </w:rPr>
        <w:t> </w:t>
      </w:r>
      <w:r>
        <w:rPr>
          <w:sz w:val="15"/>
        </w:rPr>
        <w:t>particular:</w:t>
        <w:tab/>
        <w:t>$191.00;</w:t>
      </w:r>
    </w:p>
    <w:p>
      <w:pPr>
        <w:pStyle w:val="BodyText"/>
        <w:spacing w:before="11"/>
        <w:rPr>
          <w:sz w:val="23"/>
        </w:rPr>
      </w:pPr>
      <w:r>
        <w:rPr/>
        <w:br w:type="column"/>
      </w:r>
      <w:r>
        <w:rPr>
          <w:sz w:val="23"/>
        </w:rPr>
      </w:r>
    </w:p>
    <w:p>
      <w:pPr>
        <w:pStyle w:val="ListParagraph"/>
        <w:numPr>
          <w:ilvl w:val="0"/>
          <w:numId w:val="26"/>
        </w:numPr>
        <w:tabs>
          <w:tab w:pos="407" w:val="left" w:leader="none"/>
          <w:tab w:pos="5061" w:val="left" w:leader="none"/>
        </w:tabs>
        <w:spacing w:line="240" w:lineRule="auto" w:before="0" w:after="0"/>
        <w:ind w:left="406" w:right="0" w:hanging="181"/>
        <w:jc w:val="left"/>
        <w:rPr>
          <w:sz w:val="15"/>
        </w:rPr>
      </w:pPr>
      <w:r>
        <w:rPr>
          <w:sz w:val="15"/>
        </w:rPr>
        <w:t>Cambios  en</w:t>
      </w:r>
      <w:r>
        <w:rPr>
          <w:spacing w:val="-14"/>
          <w:sz w:val="15"/>
        </w:rPr>
        <w:t> </w:t>
      </w:r>
      <w:r>
        <w:rPr>
          <w:sz w:val="15"/>
        </w:rPr>
        <w:t>los</w:t>
      </w:r>
      <w:r>
        <w:rPr>
          <w:spacing w:val="15"/>
          <w:sz w:val="15"/>
        </w:rPr>
        <w:t> </w:t>
      </w:r>
      <w:r>
        <w:rPr>
          <w:sz w:val="15"/>
        </w:rPr>
        <w:t>permisos:</w:t>
        <w:tab/>
        <w:t>$95.00</w:t>
      </w:r>
    </w:p>
    <w:p>
      <w:pPr>
        <w:pStyle w:val="BodyText"/>
        <w:spacing w:before="8"/>
      </w:pPr>
    </w:p>
    <w:p>
      <w:pPr>
        <w:pStyle w:val="ListParagraph"/>
        <w:numPr>
          <w:ilvl w:val="0"/>
          <w:numId w:val="26"/>
        </w:numPr>
        <w:tabs>
          <w:tab w:pos="407" w:val="left" w:leader="none"/>
        </w:tabs>
        <w:spacing w:line="240" w:lineRule="auto" w:before="0" w:after="0"/>
        <w:ind w:left="406" w:right="0" w:hanging="181"/>
        <w:jc w:val="left"/>
        <w:rPr>
          <w:sz w:val="15"/>
        </w:rPr>
      </w:pPr>
      <w:r>
        <w:rPr>
          <w:sz w:val="15"/>
        </w:rPr>
        <w:t>Cesión de derechos y/o suplencias del titular</w:t>
      </w:r>
      <w:r>
        <w:rPr>
          <w:spacing w:val="9"/>
          <w:sz w:val="15"/>
        </w:rPr>
        <w:t> </w:t>
      </w:r>
      <w:r>
        <w:rPr>
          <w:sz w:val="15"/>
        </w:rPr>
        <w:t>por</w:t>
      </w:r>
    </w:p>
    <w:p>
      <w:pPr>
        <w:pStyle w:val="BodyText"/>
        <w:tabs>
          <w:tab w:pos="4975" w:val="left" w:leader="none"/>
        </w:tabs>
        <w:spacing w:before="5"/>
        <w:ind w:left="226"/>
      </w:pPr>
      <w:r>
        <w:rPr/>
        <w:t>metro</w:t>
      </w:r>
      <w:r>
        <w:rPr>
          <w:spacing w:val="9"/>
        </w:rPr>
        <w:t> </w:t>
      </w:r>
      <w:r>
        <w:rPr/>
        <w:t>cuadrado:</w:t>
        <w:tab/>
        <w:t>$334.00</w:t>
      </w:r>
    </w:p>
    <w:p>
      <w:pPr>
        <w:pStyle w:val="BodyText"/>
        <w:spacing w:before="10"/>
      </w:pPr>
    </w:p>
    <w:p>
      <w:pPr>
        <w:pStyle w:val="BodyText"/>
        <w:spacing w:line="247" w:lineRule="auto"/>
        <w:ind w:left="150" w:right="508" w:firstLine="397"/>
        <w:jc w:val="both"/>
      </w:pPr>
      <w:r>
        <w:rPr/>
        <w:t>En caso de cesión y/o cambio de titular por consanguinidad en línea recta hasta el cuarto grado o entre cónyuges, se aplicará una tarifa equivalente al 50% respecto de lo señalado en el presente inciso, previo dictamen de la autoridad competente.</w:t>
      </w:r>
    </w:p>
    <w:p>
      <w:pPr>
        <w:pStyle w:val="BodyText"/>
        <w:spacing w:before="2"/>
      </w:pPr>
    </w:p>
    <w:p>
      <w:pPr>
        <w:pStyle w:val="BodyText"/>
        <w:spacing w:line="247" w:lineRule="auto"/>
        <w:ind w:left="150" w:right="508" w:firstLine="397"/>
        <w:jc w:val="both"/>
      </w:pPr>
      <w:r>
        <w:rPr/>
        <w:t>En caso de cesión y/o cambio de titular por consanguinidad en línea colateral hasta el cuarto grado, se aplicará una tarifa equivalente al 80% respecto de lo señalado en el presente inciso, previo dictamen y autorización de la autoridad competente.</w:t>
      </w:r>
    </w:p>
    <w:p>
      <w:pPr>
        <w:pStyle w:val="BodyText"/>
        <w:spacing w:before="3"/>
      </w:pPr>
    </w:p>
    <w:p>
      <w:pPr>
        <w:pStyle w:val="ListParagraph"/>
        <w:numPr>
          <w:ilvl w:val="0"/>
          <w:numId w:val="27"/>
        </w:numPr>
        <w:tabs>
          <w:tab w:pos="482" w:val="left" w:leader="none"/>
        </w:tabs>
        <w:spacing w:line="240" w:lineRule="auto" w:before="0" w:after="0"/>
        <w:ind w:left="481" w:right="0" w:hanging="233"/>
        <w:jc w:val="left"/>
        <w:rPr>
          <w:sz w:val="15"/>
        </w:rPr>
      </w:pPr>
      <w:r>
        <w:rPr>
          <w:sz w:val="15"/>
        </w:rPr>
        <w:t>Por uso de instalaciones subterráneas, por cada 10 metros lineales o</w:t>
      </w:r>
      <w:r>
        <w:rPr>
          <w:spacing w:val="29"/>
          <w:sz w:val="15"/>
        </w:rPr>
        <w:t> </w:t>
      </w:r>
      <w:r>
        <w:rPr>
          <w:sz w:val="15"/>
        </w:rPr>
        <w:t>fracción:</w:t>
      </w:r>
    </w:p>
    <w:p>
      <w:pPr>
        <w:pStyle w:val="BodyText"/>
        <w:spacing w:before="9"/>
      </w:pPr>
    </w:p>
    <w:p>
      <w:pPr>
        <w:pStyle w:val="ListParagraph"/>
        <w:numPr>
          <w:ilvl w:val="0"/>
          <w:numId w:val="28"/>
        </w:numPr>
        <w:tabs>
          <w:tab w:pos="470" w:val="left" w:leader="none"/>
          <w:tab w:pos="4950" w:val="left" w:leader="none"/>
        </w:tabs>
        <w:spacing w:line="247" w:lineRule="auto" w:before="0" w:after="0"/>
        <w:ind w:left="226" w:right="2882" w:firstLine="0"/>
        <w:jc w:val="left"/>
        <w:rPr>
          <w:sz w:val="15"/>
        </w:rPr>
      </w:pPr>
      <w:r>
        <w:rPr>
          <w:sz w:val="15"/>
        </w:rPr>
        <w:t>Redes  subterráneas  de   telefonía,   transmisión   de   datos, transmisión</w:t>
      </w:r>
      <w:r>
        <w:rPr>
          <w:spacing w:val="11"/>
          <w:sz w:val="15"/>
        </w:rPr>
        <w:t> </w:t>
      </w:r>
      <w:r>
        <w:rPr>
          <w:sz w:val="15"/>
        </w:rPr>
        <w:t>de</w:t>
      </w:r>
      <w:r>
        <w:rPr>
          <w:spacing w:val="12"/>
          <w:sz w:val="15"/>
        </w:rPr>
        <w:t> </w:t>
      </w:r>
      <w:r>
        <w:rPr>
          <w:sz w:val="15"/>
        </w:rPr>
        <w:t>señales</w:t>
      </w:r>
      <w:r>
        <w:rPr>
          <w:spacing w:val="12"/>
          <w:sz w:val="15"/>
        </w:rPr>
        <w:t> </w:t>
      </w:r>
      <w:r>
        <w:rPr>
          <w:sz w:val="15"/>
        </w:rPr>
        <w:t>de</w:t>
      </w:r>
      <w:r>
        <w:rPr>
          <w:spacing w:val="12"/>
          <w:sz w:val="15"/>
        </w:rPr>
        <w:t> </w:t>
      </w:r>
      <w:r>
        <w:rPr>
          <w:sz w:val="15"/>
        </w:rPr>
        <w:t>televisión,</w:t>
      </w:r>
      <w:r>
        <w:rPr>
          <w:spacing w:val="12"/>
          <w:sz w:val="15"/>
        </w:rPr>
        <w:t> </w:t>
      </w:r>
      <w:r>
        <w:rPr>
          <w:sz w:val="15"/>
        </w:rPr>
        <w:t>distribución</w:t>
      </w:r>
      <w:r>
        <w:rPr>
          <w:spacing w:val="13"/>
          <w:sz w:val="15"/>
        </w:rPr>
        <w:t> </w:t>
      </w:r>
      <w:r>
        <w:rPr>
          <w:sz w:val="15"/>
        </w:rPr>
        <w:t>de</w:t>
      </w:r>
      <w:r>
        <w:rPr>
          <w:spacing w:val="12"/>
          <w:sz w:val="15"/>
        </w:rPr>
        <w:t> </w:t>
      </w:r>
      <w:r>
        <w:rPr>
          <w:sz w:val="15"/>
        </w:rPr>
        <w:t>gas:</w:t>
        <w:tab/>
      </w:r>
      <w:r>
        <w:rPr>
          <w:spacing w:val="-4"/>
          <w:sz w:val="15"/>
        </w:rPr>
        <w:t>$2.00</w:t>
      </w:r>
    </w:p>
    <w:p>
      <w:pPr>
        <w:pStyle w:val="ListParagraph"/>
        <w:numPr>
          <w:ilvl w:val="0"/>
          <w:numId w:val="28"/>
        </w:numPr>
        <w:tabs>
          <w:tab w:pos="493" w:val="left" w:leader="none"/>
          <w:tab w:pos="4956" w:val="left" w:leader="none"/>
        </w:tabs>
        <w:spacing w:line="244" w:lineRule="auto" w:before="0" w:after="0"/>
        <w:ind w:left="299" w:right="2877" w:firstLine="0"/>
        <w:jc w:val="left"/>
        <w:rPr>
          <w:sz w:val="15"/>
        </w:rPr>
      </w:pPr>
      <w:r>
        <w:rPr>
          <w:sz w:val="15"/>
        </w:rPr>
        <w:t>Redes aéreas o visibles  de  telefonía,  conducción  eléctrica, transmisión</w:t>
      </w:r>
      <w:r>
        <w:rPr>
          <w:spacing w:val="10"/>
          <w:sz w:val="15"/>
        </w:rPr>
        <w:t> </w:t>
      </w:r>
      <w:r>
        <w:rPr>
          <w:sz w:val="15"/>
        </w:rPr>
        <w:t>de</w:t>
      </w:r>
      <w:r>
        <w:rPr>
          <w:spacing w:val="12"/>
          <w:sz w:val="15"/>
        </w:rPr>
        <w:t> </w:t>
      </w:r>
      <w:r>
        <w:rPr>
          <w:sz w:val="15"/>
        </w:rPr>
        <w:t>datos</w:t>
      </w:r>
      <w:r>
        <w:rPr>
          <w:spacing w:val="13"/>
          <w:sz w:val="15"/>
        </w:rPr>
        <w:t> </w:t>
      </w:r>
      <w:r>
        <w:rPr>
          <w:sz w:val="15"/>
        </w:rPr>
        <w:t>y</w:t>
      </w:r>
      <w:r>
        <w:rPr>
          <w:spacing w:val="12"/>
          <w:sz w:val="15"/>
        </w:rPr>
        <w:t> </w:t>
      </w:r>
      <w:r>
        <w:rPr>
          <w:sz w:val="15"/>
        </w:rPr>
        <w:t>transmisión</w:t>
      </w:r>
      <w:r>
        <w:rPr>
          <w:spacing w:val="12"/>
          <w:sz w:val="15"/>
        </w:rPr>
        <w:t> </w:t>
      </w:r>
      <w:r>
        <w:rPr>
          <w:sz w:val="15"/>
        </w:rPr>
        <w:t>de</w:t>
      </w:r>
      <w:r>
        <w:rPr>
          <w:spacing w:val="12"/>
          <w:sz w:val="15"/>
        </w:rPr>
        <w:t> </w:t>
      </w:r>
      <w:r>
        <w:rPr>
          <w:sz w:val="15"/>
        </w:rPr>
        <w:t>señales</w:t>
      </w:r>
      <w:r>
        <w:rPr>
          <w:spacing w:val="12"/>
          <w:sz w:val="15"/>
        </w:rPr>
        <w:t> </w:t>
      </w:r>
      <w:r>
        <w:rPr>
          <w:sz w:val="15"/>
        </w:rPr>
        <w:t>de</w:t>
      </w:r>
      <w:r>
        <w:rPr>
          <w:spacing w:val="12"/>
          <w:sz w:val="15"/>
        </w:rPr>
        <w:t> </w:t>
      </w:r>
      <w:r>
        <w:rPr>
          <w:sz w:val="15"/>
        </w:rPr>
        <w:t>televisión:</w:t>
        <w:tab/>
      </w:r>
      <w:r>
        <w:rPr>
          <w:spacing w:val="-4"/>
          <w:sz w:val="15"/>
        </w:rPr>
        <w:t>$6.00</w:t>
      </w:r>
    </w:p>
    <w:p>
      <w:pPr>
        <w:pStyle w:val="BodyText"/>
        <w:spacing w:before="6"/>
      </w:pPr>
    </w:p>
    <w:p>
      <w:pPr>
        <w:pStyle w:val="ListParagraph"/>
        <w:numPr>
          <w:ilvl w:val="0"/>
          <w:numId w:val="27"/>
        </w:numPr>
        <w:tabs>
          <w:tab w:pos="525" w:val="left" w:leader="none"/>
        </w:tabs>
        <w:spacing w:line="240" w:lineRule="auto" w:before="0" w:after="0"/>
        <w:ind w:left="524" w:right="0" w:hanging="276"/>
        <w:jc w:val="left"/>
        <w:rPr>
          <w:sz w:val="15"/>
        </w:rPr>
      </w:pPr>
      <w:r>
        <w:rPr>
          <w:sz w:val="15"/>
        </w:rPr>
        <w:t>Por</w:t>
      </w:r>
      <w:r>
        <w:rPr>
          <w:spacing w:val="4"/>
          <w:sz w:val="15"/>
        </w:rPr>
        <w:t> </w:t>
      </w:r>
      <w:r>
        <w:rPr>
          <w:sz w:val="15"/>
        </w:rPr>
        <w:t>uso</w:t>
      </w:r>
      <w:r>
        <w:rPr>
          <w:spacing w:val="4"/>
          <w:sz w:val="15"/>
        </w:rPr>
        <w:t> </w:t>
      </w:r>
      <w:r>
        <w:rPr>
          <w:sz w:val="15"/>
        </w:rPr>
        <w:t>de</w:t>
      </w:r>
      <w:r>
        <w:rPr>
          <w:spacing w:val="5"/>
          <w:sz w:val="15"/>
        </w:rPr>
        <w:t> </w:t>
      </w:r>
      <w:r>
        <w:rPr>
          <w:sz w:val="15"/>
        </w:rPr>
        <w:t>piso</w:t>
      </w:r>
      <w:r>
        <w:rPr>
          <w:spacing w:val="4"/>
          <w:sz w:val="15"/>
        </w:rPr>
        <w:t> </w:t>
      </w:r>
      <w:r>
        <w:rPr>
          <w:sz w:val="15"/>
        </w:rPr>
        <w:t>en</w:t>
      </w:r>
      <w:r>
        <w:rPr>
          <w:spacing w:val="5"/>
          <w:sz w:val="15"/>
        </w:rPr>
        <w:t> </w:t>
      </w:r>
      <w:r>
        <w:rPr>
          <w:sz w:val="15"/>
        </w:rPr>
        <w:t>espacios</w:t>
      </w:r>
      <w:r>
        <w:rPr>
          <w:spacing w:val="4"/>
          <w:sz w:val="15"/>
        </w:rPr>
        <w:t> </w:t>
      </w:r>
      <w:r>
        <w:rPr>
          <w:sz w:val="15"/>
        </w:rPr>
        <w:t>deportivos</w:t>
      </w:r>
      <w:r>
        <w:rPr>
          <w:spacing w:val="4"/>
          <w:sz w:val="15"/>
        </w:rPr>
        <w:t> </w:t>
      </w:r>
      <w:r>
        <w:rPr>
          <w:sz w:val="15"/>
        </w:rPr>
        <w:t>administrados</w:t>
      </w:r>
      <w:r>
        <w:rPr>
          <w:spacing w:val="5"/>
          <w:sz w:val="15"/>
        </w:rPr>
        <w:t> </w:t>
      </w:r>
      <w:r>
        <w:rPr>
          <w:sz w:val="15"/>
        </w:rPr>
        <w:t>por</w:t>
      </w:r>
      <w:r>
        <w:rPr>
          <w:spacing w:val="4"/>
          <w:sz w:val="15"/>
        </w:rPr>
        <w:t> </w:t>
      </w:r>
      <w:r>
        <w:rPr>
          <w:sz w:val="15"/>
        </w:rPr>
        <w:t>el</w:t>
      </w:r>
      <w:r>
        <w:rPr>
          <w:spacing w:val="5"/>
          <w:sz w:val="15"/>
        </w:rPr>
        <w:t> </w:t>
      </w:r>
      <w:r>
        <w:rPr>
          <w:sz w:val="15"/>
        </w:rPr>
        <w:t>Municipio</w:t>
      </w:r>
      <w:r>
        <w:rPr>
          <w:spacing w:val="4"/>
          <w:sz w:val="15"/>
        </w:rPr>
        <w:t> </w:t>
      </w:r>
      <w:r>
        <w:rPr>
          <w:sz w:val="15"/>
        </w:rPr>
        <w:t>de</w:t>
      </w:r>
      <w:r>
        <w:rPr>
          <w:spacing w:val="1"/>
          <w:sz w:val="15"/>
        </w:rPr>
        <w:t> </w:t>
      </w:r>
      <w:r>
        <w:rPr>
          <w:sz w:val="15"/>
        </w:rPr>
        <w:t>Tlajomulco</w:t>
      </w:r>
      <w:r>
        <w:rPr>
          <w:spacing w:val="5"/>
          <w:sz w:val="15"/>
        </w:rPr>
        <w:t> </w:t>
      </w:r>
      <w:r>
        <w:rPr>
          <w:sz w:val="15"/>
        </w:rPr>
        <w:t>de</w:t>
      </w:r>
      <w:r>
        <w:rPr>
          <w:spacing w:val="4"/>
          <w:sz w:val="15"/>
        </w:rPr>
        <w:t> </w:t>
      </w:r>
      <w:r>
        <w:rPr>
          <w:sz w:val="15"/>
        </w:rPr>
        <w:t>Zúñiga:</w:t>
      </w:r>
    </w:p>
    <w:p>
      <w:pPr>
        <w:pStyle w:val="BodyText"/>
        <w:spacing w:before="9"/>
      </w:pPr>
    </w:p>
    <w:p>
      <w:pPr>
        <w:pStyle w:val="ListParagraph"/>
        <w:numPr>
          <w:ilvl w:val="0"/>
          <w:numId w:val="29"/>
        </w:numPr>
        <w:tabs>
          <w:tab w:pos="407" w:val="left" w:leader="none"/>
          <w:tab w:pos="4950" w:val="left" w:leader="none"/>
        </w:tabs>
        <w:spacing w:line="240" w:lineRule="auto" w:before="1" w:after="0"/>
        <w:ind w:left="406" w:right="0" w:hanging="181"/>
        <w:jc w:val="left"/>
        <w:rPr>
          <w:sz w:val="15"/>
        </w:rPr>
      </w:pPr>
      <w:r>
        <w:rPr>
          <w:sz w:val="15"/>
        </w:rPr>
        <w:t>Puesto</w:t>
      </w:r>
      <w:r>
        <w:rPr>
          <w:spacing w:val="10"/>
          <w:sz w:val="15"/>
        </w:rPr>
        <w:t> </w:t>
      </w:r>
      <w:r>
        <w:rPr>
          <w:sz w:val="15"/>
        </w:rPr>
        <w:t>fijo,</w:t>
      </w:r>
      <w:r>
        <w:rPr>
          <w:spacing w:val="10"/>
          <w:sz w:val="15"/>
        </w:rPr>
        <w:t> </w:t>
      </w:r>
      <w:r>
        <w:rPr>
          <w:sz w:val="15"/>
        </w:rPr>
        <w:t>por</w:t>
      </w:r>
      <w:r>
        <w:rPr>
          <w:spacing w:val="11"/>
          <w:sz w:val="15"/>
        </w:rPr>
        <w:t> </w:t>
      </w:r>
      <w:r>
        <w:rPr>
          <w:sz w:val="15"/>
        </w:rPr>
        <w:t>metro</w:t>
      </w:r>
      <w:r>
        <w:rPr>
          <w:spacing w:val="10"/>
          <w:sz w:val="15"/>
        </w:rPr>
        <w:t> </w:t>
      </w:r>
      <w:r>
        <w:rPr>
          <w:sz w:val="15"/>
        </w:rPr>
        <w:t>cuadrado,</w:t>
      </w:r>
      <w:r>
        <w:rPr>
          <w:spacing w:val="11"/>
          <w:sz w:val="15"/>
        </w:rPr>
        <w:t> </w:t>
      </w:r>
      <w:r>
        <w:rPr>
          <w:sz w:val="15"/>
        </w:rPr>
        <w:t>por</w:t>
      </w:r>
      <w:r>
        <w:rPr>
          <w:spacing w:val="10"/>
          <w:sz w:val="15"/>
        </w:rPr>
        <w:t> </w:t>
      </w:r>
      <w:r>
        <w:rPr>
          <w:sz w:val="15"/>
        </w:rPr>
        <w:t>mes</w:t>
      </w:r>
      <w:r>
        <w:rPr>
          <w:spacing w:val="11"/>
          <w:sz w:val="15"/>
        </w:rPr>
        <w:t> </w:t>
      </w:r>
      <w:r>
        <w:rPr>
          <w:sz w:val="15"/>
        </w:rPr>
        <w:t>de:</w:t>
        <w:tab/>
        <w:t>$177.00</w:t>
      </w:r>
    </w:p>
    <w:p>
      <w:pPr>
        <w:pStyle w:val="BodyText"/>
        <w:spacing w:before="8"/>
      </w:pPr>
    </w:p>
    <w:p>
      <w:pPr>
        <w:pStyle w:val="ListParagraph"/>
        <w:numPr>
          <w:ilvl w:val="0"/>
          <w:numId w:val="29"/>
        </w:numPr>
        <w:tabs>
          <w:tab w:pos="407" w:val="left" w:leader="none"/>
          <w:tab w:pos="4950" w:val="left" w:leader="none"/>
        </w:tabs>
        <w:spacing w:line="240" w:lineRule="auto" w:before="0" w:after="0"/>
        <w:ind w:left="406" w:right="0" w:hanging="181"/>
        <w:jc w:val="left"/>
        <w:rPr>
          <w:sz w:val="15"/>
        </w:rPr>
      </w:pPr>
      <w:r>
        <w:rPr>
          <w:sz w:val="15"/>
        </w:rPr>
        <w:t>Puesto</w:t>
      </w:r>
      <w:r>
        <w:rPr>
          <w:spacing w:val="11"/>
          <w:sz w:val="15"/>
        </w:rPr>
        <w:t> </w:t>
      </w:r>
      <w:r>
        <w:rPr>
          <w:sz w:val="15"/>
        </w:rPr>
        <w:t>semifijo,</w:t>
      </w:r>
      <w:r>
        <w:rPr>
          <w:spacing w:val="12"/>
          <w:sz w:val="15"/>
        </w:rPr>
        <w:t> </w:t>
      </w:r>
      <w:r>
        <w:rPr>
          <w:sz w:val="15"/>
        </w:rPr>
        <w:t>por</w:t>
      </w:r>
      <w:r>
        <w:rPr>
          <w:spacing w:val="12"/>
          <w:sz w:val="15"/>
        </w:rPr>
        <w:t> </w:t>
      </w:r>
      <w:r>
        <w:rPr>
          <w:sz w:val="15"/>
        </w:rPr>
        <w:t>metro</w:t>
      </w:r>
      <w:r>
        <w:rPr>
          <w:spacing w:val="12"/>
          <w:sz w:val="15"/>
        </w:rPr>
        <w:t> </w:t>
      </w:r>
      <w:r>
        <w:rPr>
          <w:sz w:val="15"/>
        </w:rPr>
        <w:t>cuadrado,</w:t>
      </w:r>
      <w:r>
        <w:rPr>
          <w:spacing w:val="11"/>
          <w:sz w:val="15"/>
        </w:rPr>
        <w:t> </w:t>
      </w:r>
      <w:r>
        <w:rPr>
          <w:sz w:val="15"/>
        </w:rPr>
        <w:t>por</w:t>
      </w:r>
      <w:r>
        <w:rPr>
          <w:spacing w:val="12"/>
          <w:sz w:val="15"/>
        </w:rPr>
        <w:t> </w:t>
      </w:r>
      <w:r>
        <w:rPr>
          <w:sz w:val="15"/>
        </w:rPr>
        <w:t>mes,</w:t>
      </w:r>
      <w:r>
        <w:rPr>
          <w:spacing w:val="12"/>
          <w:sz w:val="15"/>
        </w:rPr>
        <w:t> </w:t>
      </w:r>
      <w:r>
        <w:rPr>
          <w:sz w:val="15"/>
        </w:rPr>
        <w:t>de:</w:t>
        <w:tab/>
        <w:t>$109.00</w:t>
      </w:r>
    </w:p>
    <w:p>
      <w:pPr>
        <w:spacing w:after="0" w:line="240" w:lineRule="auto"/>
        <w:jc w:val="left"/>
        <w:rPr>
          <w:sz w:val="15"/>
        </w:rPr>
        <w:sectPr>
          <w:type w:val="continuous"/>
          <w:pgSz w:w="23250" w:h="15310" w:orient="landscape"/>
          <w:pgMar w:top="0" w:bottom="0" w:left="1880" w:right="1520"/>
          <w:cols w:num="2" w:equalWidth="0">
            <w:col w:w="7750" w:space="3872"/>
            <w:col w:w="8228"/>
          </w:cols>
        </w:sectPr>
      </w:pPr>
    </w:p>
    <w:p>
      <w:pPr>
        <w:pStyle w:val="BodyText"/>
        <w:spacing w:before="9"/>
      </w:pPr>
    </w:p>
    <w:p>
      <w:pPr>
        <w:pStyle w:val="ListParagraph"/>
        <w:numPr>
          <w:ilvl w:val="0"/>
          <w:numId w:val="29"/>
        </w:numPr>
        <w:tabs>
          <w:tab w:pos="398" w:val="left" w:leader="none"/>
        </w:tabs>
        <w:spacing w:line="247" w:lineRule="auto" w:before="1" w:after="0"/>
        <w:ind w:left="226" w:right="189" w:firstLine="0"/>
        <w:jc w:val="left"/>
        <w:rPr>
          <w:sz w:val="15"/>
        </w:rPr>
      </w:pPr>
      <w:r>
        <w:rPr>
          <w:sz w:val="15"/>
        </w:rPr>
        <w:t>Estacionamiento en cordón para servicio público de transporte (taxis en sitio, renta de bicicletas o similares), áreas de carga y descarga,</w:t>
      </w:r>
      <w:r>
        <w:rPr>
          <w:spacing w:val="10"/>
          <w:sz w:val="15"/>
        </w:rPr>
        <w:t> </w:t>
      </w:r>
      <w:r>
        <w:rPr>
          <w:sz w:val="15"/>
        </w:rPr>
        <w:t>de:</w:t>
      </w:r>
    </w:p>
    <w:p>
      <w:pPr>
        <w:pStyle w:val="BodyText"/>
        <w:spacing w:before="2"/>
      </w:pPr>
    </w:p>
    <w:p>
      <w:pPr>
        <w:pStyle w:val="BodyText"/>
        <w:spacing w:line="247" w:lineRule="auto"/>
        <w:ind w:left="226" w:right="69"/>
      </w:pPr>
      <w:r>
        <w:rPr/>
        <w:t>II. Puestos fijos, semifijos, o móviles, diariamente, por metro</w:t>
      </w:r>
      <w:r>
        <w:rPr>
          <w:spacing w:val="1"/>
        </w:rPr>
        <w:t> </w:t>
      </w:r>
      <w:r>
        <w:rPr/>
        <w:t>cuadrado:</w:t>
      </w:r>
    </w:p>
    <w:p>
      <w:pPr>
        <w:pStyle w:val="BodyText"/>
        <w:rPr>
          <w:sz w:val="16"/>
        </w:rPr>
      </w:pPr>
      <w:r>
        <w:rPr/>
        <w:br w:type="column"/>
      </w:r>
      <w:r>
        <w:rPr>
          <w:sz w:val="16"/>
        </w:rPr>
      </w:r>
    </w:p>
    <w:p>
      <w:pPr>
        <w:pStyle w:val="BodyText"/>
        <w:spacing w:before="3"/>
      </w:pPr>
    </w:p>
    <w:p>
      <w:pPr>
        <w:pStyle w:val="BodyText"/>
        <w:ind w:left="226"/>
      </w:pPr>
      <w:r>
        <w:rPr/>
        <w:t>$70.00;</w:t>
      </w:r>
    </w:p>
    <w:p>
      <w:pPr>
        <w:pStyle w:val="BodyText"/>
        <w:spacing w:before="9"/>
      </w:pPr>
      <w:r>
        <w:rPr/>
        <w:br w:type="column"/>
      </w:r>
      <w:r>
        <w:rPr/>
      </w:r>
    </w:p>
    <w:p>
      <w:pPr>
        <w:pStyle w:val="ListParagraph"/>
        <w:numPr>
          <w:ilvl w:val="0"/>
          <w:numId w:val="30"/>
        </w:numPr>
        <w:tabs>
          <w:tab w:pos="474" w:val="left" w:leader="none"/>
          <w:tab w:pos="5038" w:val="left" w:leader="none"/>
        </w:tabs>
        <w:spacing w:line="240" w:lineRule="auto" w:before="0" w:after="0"/>
        <w:ind w:left="473" w:right="0" w:hanging="172"/>
        <w:jc w:val="left"/>
        <w:rPr>
          <w:sz w:val="15"/>
        </w:rPr>
      </w:pPr>
      <w:r>
        <w:rPr>
          <w:sz w:val="15"/>
        </w:rPr>
        <w:t>Fuente</w:t>
      </w:r>
      <w:r>
        <w:rPr>
          <w:spacing w:val="10"/>
          <w:sz w:val="15"/>
        </w:rPr>
        <w:t> </w:t>
      </w:r>
      <w:r>
        <w:rPr>
          <w:sz w:val="15"/>
        </w:rPr>
        <w:t>de</w:t>
      </w:r>
      <w:r>
        <w:rPr>
          <w:spacing w:val="10"/>
          <w:sz w:val="15"/>
        </w:rPr>
        <w:t> </w:t>
      </w:r>
      <w:r>
        <w:rPr>
          <w:sz w:val="15"/>
        </w:rPr>
        <w:t>sodas,</w:t>
      </w:r>
      <w:r>
        <w:rPr>
          <w:spacing w:val="11"/>
          <w:sz w:val="15"/>
        </w:rPr>
        <w:t> </w:t>
      </w:r>
      <w:r>
        <w:rPr>
          <w:sz w:val="15"/>
        </w:rPr>
        <w:t>por</w:t>
      </w:r>
      <w:r>
        <w:rPr>
          <w:spacing w:val="9"/>
          <w:sz w:val="15"/>
        </w:rPr>
        <w:t> </w:t>
      </w:r>
      <w:r>
        <w:rPr>
          <w:sz w:val="15"/>
        </w:rPr>
        <w:t>metro</w:t>
      </w:r>
      <w:r>
        <w:rPr>
          <w:spacing w:val="11"/>
          <w:sz w:val="15"/>
        </w:rPr>
        <w:t> </w:t>
      </w:r>
      <w:r>
        <w:rPr>
          <w:sz w:val="15"/>
        </w:rPr>
        <w:t>cuadrado,</w:t>
      </w:r>
      <w:r>
        <w:rPr>
          <w:spacing w:val="10"/>
          <w:sz w:val="15"/>
        </w:rPr>
        <w:t> </w:t>
      </w:r>
      <w:r>
        <w:rPr>
          <w:sz w:val="15"/>
        </w:rPr>
        <w:t>por</w:t>
      </w:r>
      <w:r>
        <w:rPr>
          <w:spacing w:val="11"/>
          <w:sz w:val="15"/>
        </w:rPr>
        <w:t> </w:t>
      </w:r>
      <w:r>
        <w:rPr>
          <w:sz w:val="15"/>
        </w:rPr>
        <w:t>mes,</w:t>
      </w:r>
      <w:r>
        <w:rPr>
          <w:spacing w:val="10"/>
          <w:sz w:val="15"/>
        </w:rPr>
        <w:t> </w:t>
      </w:r>
      <w:r>
        <w:rPr>
          <w:sz w:val="15"/>
        </w:rPr>
        <w:t>de:</w:t>
        <w:tab/>
        <w:t>$117.00</w:t>
      </w:r>
    </w:p>
    <w:p>
      <w:pPr>
        <w:pStyle w:val="BodyText"/>
        <w:spacing w:before="9"/>
      </w:pPr>
    </w:p>
    <w:p>
      <w:pPr>
        <w:pStyle w:val="ListParagraph"/>
        <w:numPr>
          <w:ilvl w:val="0"/>
          <w:numId w:val="30"/>
        </w:numPr>
        <w:tabs>
          <w:tab w:pos="483" w:val="left" w:leader="none"/>
        </w:tabs>
        <w:spacing w:line="240" w:lineRule="auto" w:before="0" w:after="0"/>
        <w:ind w:left="482" w:right="0" w:hanging="181"/>
        <w:jc w:val="left"/>
        <w:rPr>
          <w:sz w:val="15"/>
        </w:rPr>
      </w:pPr>
      <w:r>
        <w:rPr>
          <w:sz w:val="15"/>
        </w:rPr>
        <w:t>Puesto móvil en eventos deportivos y sociales,</w:t>
      </w:r>
      <w:r>
        <w:rPr>
          <w:spacing w:val="13"/>
          <w:sz w:val="15"/>
        </w:rPr>
        <w:t> </w:t>
      </w:r>
      <w:r>
        <w:rPr>
          <w:sz w:val="15"/>
        </w:rPr>
        <w:t>organizados</w:t>
      </w:r>
    </w:p>
    <w:p>
      <w:pPr>
        <w:pStyle w:val="BodyText"/>
        <w:tabs>
          <w:tab w:pos="5026" w:val="left" w:leader="none"/>
        </w:tabs>
        <w:spacing w:before="4"/>
        <w:ind w:left="302"/>
      </w:pPr>
      <w:r>
        <w:rPr/>
        <w:t>por el Municipio por día, por metro </w:t>
      </w:r>
      <w:r>
        <w:rPr>
          <w:spacing w:val="14"/>
        </w:rPr>
        <w:t> </w:t>
      </w:r>
      <w:r>
        <w:rPr/>
        <w:t>cuadrado,</w:t>
      </w:r>
      <w:r>
        <w:rPr>
          <w:spacing w:val="8"/>
        </w:rPr>
        <w:t> </w:t>
      </w:r>
      <w:r>
        <w:rPr/>
        <w:t>de:</w:t>
        <w:tab/>
        <w:t>$290.00</w:t>
      </w:r>
    </w:p>
    <w:p>
      <w:pPr>
        <w:pStyle w:val="BodyText"/>
        <w:spacing w:before="10"/>
      </w:pPr>
    </w:p>
    <w:p>
      <w:pPr>
        <w:pStyle w:val="BodyText"/>
        <w:spacing w:line="247" w:lineRule="auto"/>
        <w:ind w:left="226" w:right="617"/>
      </w:pPr>
      <w:r>
        <w:rPr/>
        <w:t>VIII. Casetas telefónicas, diariamente, por cada una, debiendo realizar el pago anualizado dentro de  los  primeros 60 días del ejercicio</w:t>
      </w:r>
      <w:r>
        <w:rPr>
          <w:spacing w:val="7"/>
        </w:rPr>
        <w:t> </w:t>
      </w:r>
      <w:r>
        <w:rPr/>
        <w:t>fiscal:</w:t>
      </w:r>
    </w:p>
    <w:p>
      <w:pPr>
        <w:spacing w:after="0" w:line="247" w:lineRule="auto"/>
        <w:sectPr>
          <w:type w:val="continuous"/>
          <w:pgSz w:w="23250" w:h="15310" w:orient="landscape"/>
          <w:pgMar w:top="0" w:bottom="0" w:left="1880" w:right="1520"/>
          <w:cols w:num="3" w:equalWidth="0">
            <w:col w:w="4247" w:space="446"/>
            <w:col w:w="781" w:space="6073"/>
            <w:col w:w="8303"/>
          </w:cols>
        </w:sectPr>
      </w:pPr>
    </w:p>
    <w:p>
      <w:pPr>
        <w:pStyle w:val="ListParagraph"/>
        <w:numPr>
          <w:ilvl w:val="0"/>
          <w:numId w:val="31"/>
        </w:numPr>
        <w:tabs>
          <w:tab w:pos="407" w:val="left" w:leader="none"/>
          <w:tab w:pos="4462" w:val="left" w:leader="none"/>
        </w:tabs>
        <w:spacing w:line="240" w:lineRule="auto" w:before="0" w:after="0"/>
        <w:ind w:left="406" w:right="0" w:hanging="181"/>
        <w:jc w:val="left"/>
        <w:rPr>
          <w:sz w:val="15"/>
        </w:rPr>
      </w:pPr>
      <w:r>
        <w:rPr>
          <w:sz w:val="15"/>
        </w:rPr>
        <w:t>En el</w:t>
      </w:r>
      <w:r>
        <w:rPr>
          <w:spacing w:val="22"/>
          <w:sz w:val="15"/>
        </w:rPr>
        <w:t> </w:t>
      </w:r>
      <w:r>
        <w:rPr>
          <w:sz w:val="15"/>
        </w:rPr>
        <w:t>primer</w:t>
      </w:r>
      <w:r>
        <w:rPr>
          <w:spacing w:val="11"/>
          <w:sz w:val="15"/>
        </w:rPr>
        <w:t> </w:t>
      </w:r>
      <w:r>
        <w:rPr>
          <w:sz w:val="15"/>
        </w:rPr>
        <w:t>cuadro:</w:t>
        <w:tab/>
        <w:t>$24.00 a</w:t>
      </w:r>
      <w:r>
        <w:rPr>
          <w:spacing w:val="3"/>
          <w:sz w:val="15"/>
        </w:rPr>
        <w:t> </w:t>
      </w:r>
      <w:r>
        <w:rPr>
          <w:sz w:val="15"/>
        </w:rPr>
        <w:t>72.00;</w:t>
      </w:r>
    </w:p>
    <w:p>
      <w:pPr>
        <w:pStyle w:val="BodyText"/>
        <w:spacing w:before="8"/>
      </w:pPr>
    </w:p>
    <w:p>
      <w:pPr>
        <w:pStyle w:val="ListParagraph"/>
        <w:numPr>
          <w:ilvl w:val="0"/>
          <w:numId w:val="31"/>
        </w:numPr>
        <w:tabs>
          <w:tab w:pos="407" w:val="left" w:leader="none"/>
          <w:tab w:pos="4431" w:val="left" w:leader="none"/>
        </w:tabs>
        <w:spacing w:line="240" w:lineRule="auto" w:before="0" w:after="0"/>
        <w:ind w:left="406" w:right="0" w:hanging="181"/>
        <w:jc w:val="left"/>
        <w:rPr>
          <w:sz w:val="15"/>
        </w:rPr>
      </w:pPr>
      <w:r>
        <w:rPr>
          <w:sz w:val="15"/>
        </w:rPr>
        <w:t>Fuera del</w:t>
      </w:r>
      <w:r>
        <w:rPr>
          <w:spacing w:val="17"/>
          <w:sz w:val="15"/>
        </w:rPr>
        <w:t> </w:t>
      </w:r>
      <w:r>
        <w:rPr>
          <w:sz w:val="15"/>
        </w:rPr>
        <w:t>primer</w:t>
      </w:r>
      <w:r>
        <w:rPr>
          <w:spacing w:val="9"/>
          <w:sz w:val="15"/>
        </w:rPr>
        <w:t> </w:t>
      </w:r>
      <w:r>
        <w:rPr>
          <w:sz w:val="15"/>
        </w:rPr>
        <w:t>cuadro:</w:t>
        <w:tab/>
        <w:t>$9.00 a</w:t>
      </w:r>
      <w:r>
        <w:rPr>
          <w:spacing w:val="3"/>
          <w:sz w:val="15"/>
        </w:rPr>
        <w:t> </w:t>
      </w:r>
      <w:r>
        <w:rPr>
          <w:sz w:val="15"/>
        </w:rPr>
        <w:t>$30.00</w:t>
      </w:r>
    </w:p>
    <w:p>
      <w:pPr>
        <w:pStyle w:val="BodyText"/>
        <w:spacing w:before="9"/>
      </w:pPr>
    </w:p>
    <w:p>
      <w:pPr>
        <w:pStyle w:val="ListParagraph"/>
        <w:numPr>
          <w:ilvl w:val="0"/>
          <w:numId w:val="32"/>
        </w:numPr>
        <w:tabs>
          <w:tab w:pos="537" w:val="left" w:leader="none"/>
        </w:tabs>
        <w:spacing w:line="247" w:lineRule="auto" w:before="1" w:after="0"/>
        <w:ind w:left="226" w:right="3637" w:firstLine="0"/>
        <w:jc w:val="both"/>
        <w:rPr>
          <w:sz w:val="15"/>
        </w:rPr>
      </w:pPr>
      <w:r>
        <w:rPr>
          <w:sz w:val="15"/>
        </w:rPr>
        <w:t>Por uso diferente del que corresponda a la naturaleza de las servidumbres, tales como banquetas, jardines, machuelos y otros, en las áreas permitidas o establecidas, por metro cuadrado, diariamente</w:t>
      </w:r>
      <w:r>
        <w:rPr>
          <w:spacing w:val="28"/>
          <w:sz w:val="15"/>
        </w:rPr>
        <w:t> </w:t>
      </w:r>
      <w:r>
        <w:rPr>
          <w:sz w:val="15"/>
        </w:rPr>
        <w:t>de:</w:t>
      </w:r>
    </w:p>
    <w:p>
      <w:pPr>
        <w:pStyle w:val="BodyText"/>
        <w:spacing w:line="170" w:lineRule="exact"/>
        <w:ind w:left="4340"/>
        <w:jc w:val="both"/>
      </w:pPr>
      <w:r>
        <w:rPr/>
        <w:t>$24.00 a $47.00</w:t>
      </w:r>
    </w:p>
    <w:p>
      <w:pPr>
        <w:pStyle w:val="BodyText"/>
        <w:spacing w:before="9"/>
      </w:pPr>
    </w:p>
    <w:p>
      <w:pPr>
        <w:pStyle w:val="ListParagraph"/>
        <w:numPr>
          <w:ilvl w:val="0"/>
          <w:numId w:val="32"/>
        </w:numPr>
        <w:tabs>
          <w:tab w:pos="473" w:val="left" w:leader="none"/>
        </w:tabs>
        <w:spacing w:line="247" w:lineRule="auto" w:before="0" w:after="0"/>
        <w:ind w:left="250" w:right="38" w:firstLine="0"/>
        <w:jc w:val="left"/>
        <w:rPr>
          <w:sz w:val="15"/>
        </w:rPr>
      </w:pPr>
      <w:r>
        <w:rPr>
          <w:sz w:val="15"/>
        </w:rPr>
        <w:t>Para otros fines o actividades en espacios públicos o espacios abiertos de predios privados, no previstos   en esta </w:t>
      </w:r>
      <w:r>
        <w:rPr>
          <w:spacing w:val="-4"/>
          <w:sz w:val="15"/>
        </w:rPr>
        <w:t>ley, </w:t>
      </w:r>
      <w:r>
        <w:rPr>
          <w:sz w:val="15"/>
        </w:rPr>
        <w:t>por metro cuadrado, excepto tianguis, diariamente según el</w:t>
      </w:r>
      <w:r>
        <w:rPr>
          <w:spacing w:val="39"/>
          <w:sz w:val="15"/>
        </w:rPr>
        <w:t> </w:t>
      </w:r>
      <w:r>
        <w:rPr>
          <w:sz w:val="15"/>
        </w:rPr>
        <w:t>caso:</w:t>
      </w:r>
    </w:p>
    <w:p>
      <w:pPr>
        <w:pStyle w:val="BodyText"/>
        <w:spacing w:before="4"/>
      </w:pPr>
      <w:r>
        <w:rPr/>
        <w:br w:type="column"/>
      </w:r>
      <w:r>
        <w:rPr/>
      </w:r>
    </w:p>
    <w:p>
      <w:pPr>
        <w:pStyle w:val="ListParagraph"/>
        <w:numPr>
          <w:ilvl w:val="0"/>
          <w:numId w:val="33"/>
        </w:numPr>
        <w:tabs>
          <w:tab w:pos="483" w:val="left" w:leader="none"/>
          <w:tab w:pos="5197" w:val="left" w:leader="none"/>
        </w:tabs>
        <w:spacing w:line="240" w:lineRule="auto" w:before="0" w:after="0"/>
        <w:ind w:left="482" w:right="0" w:hanging="181"/>
        <w:jc w:val="left"/>
        <w:rPr>
          <w:sz w:val="15"/>
        </w:rPr>
      </w:pPr>
      <w:r>
        <w:rPr>
          <w:sz w:val="15"/>
        </w:rPr>
        <w:t>En</w:t>
      </w:r>
      <w:r>
        <w:rPr>
          <w:spacing w:val="16"/>
          <w:sz w:val="15"/>
        </w:rPr>
        <w:t> </w:t>
      </w:r>
      <w:r>
        <w:rPr>
          <w:sz w:val="15"/>
        </w:rPr>
        <w:t>zona</w:t>
      </w:r>
      <w:r>
        <w:rPr>
          <w:spacing w:val="17"/>
          <w:sz w:val="15"/>
        </w:rPr>
        <w:t> </w:t>
      </w:r>
      <w:r>
        <w:rPr>
          <w:sz w:val="15"/>
        </w:rPr>
        <w:t>restringida:</w:t>
        <w:tab/>
        <w:t>$9.00</w:t>
      </w:r>
    </w:p>
    <w:p>
      <w:pPr>
        <w:pStyle w:val="BodyText"/>
        <w:spacing w:before="8"/>
      </w:pPr>
    </w:p>
    <w:p>
      <w:pPr>
        <w:pStyle w:val="ListParagraph"/>
        <w:numPr>
          <w:ilvl w:val="0"/>
          <w:numId w:val="33"/>
        </w:numPr>
        <w:tabs>
          <w:tab w:pos="483" w:val="left" w:leader="none"/>
          <w:tab w:pos="5197" w:val="left" w:leader="none"/>
        </w:tabs>
        <w:spacing w:line="240" w:lineRule="auto" w:before="0" w:after="0"/>
        <w:ind w:left="482" w:right="0" w:hanging="181"/>
        <w:jc w:val="left"/>
        <w:rPr>
          <w:sz w:val="15"/>
        </w:rPr>
      </w:pPr>
      <w:r>
        <w:rPr>
          <w:sz w:val="15"/>
        </w:rPr>
        <w:t>En zona,</w:t>
      </w:r>
      <w:r>
        <w:rPr>
          <w:spacing w:val="22"/>
          <w:sz w:val="15"/>
        </w:rPr>
        <w:t> </w:t>
      </w:r>
      <w:r>
        <w:rPr>
          <w:sz w:val="15"/>
        </w:rPr>
        <w:t>densidad</w:t>
      </w:r>
      <w:r>
        <w:rPr>
          <w:spacing w:val="12"/>
          <w:sz w:val="15"/>
        </w:rPr>
        <w:t> </w:t>
      </w:r>
      <w:r>
        <w:rPr>
          <w:sz w:val="15"/>
        </w:rPr>
        <w:t>alta:</w:t>
        <w:tab/>
        <w:t>$7.00</w:t>
      </w:r>
    </w:p>
    <w:p>
      <w:pPr>
        <w:pStyle w:val="BodyText"/>
        <w:spacing w:before="10"/>
      </w:pPr>
    </w:p>
    <w:p>
      <w:pPr>
        <w:pStyle w:val="ListParagraph"/>
        <w:numPr>
          <w:ilvl w:val="0"/>
          <w:numId w:val="33"/>
        </w:numPr>
        <w:tabs>
          <w:tab w:pos="474" w:val="left" w:leader="none"/>
          <w:tab w:pos="5197" w:val="left" w:leader="none"/>
        </w:tabs>
        <w:spacing w:line="240" w:lineRule="auto" w:before="0" w:after="0"/>
        <w:ind w:left="473" w:right="0" w:hanging="172"/>
        <w:jc w:val="left"/>
        <w:rPr>
          <w:sz w:val="15"/>
        </w:rPr>
      </w:pPr>
      <w:r>
        <w:rPr>
          <w:sz w:val="15"/>
        </w:rPr>
        <w:t>En  zona,</w:t>
      </w:r>
      <w:r>
        <w:rPr>
          <w:spacing w:val="-15"/>
          <w:sz w:val="15"/>
        </w:rPr>
        <w:t> </w:t>
      </w:r>
      <w:r>
        <w:rPr>
          <w:sz w:val="15"/>
        </w:rPr>
        <w:t>densidad</w:t>
      </w:r>
      <w:r>
        <w:rPr>
          <w:spacing w:val="15"/>
          <w:sz w:val="15"/>
        </w:rPr>
        <w:t> </w:t>
      </w:r>
      <w:r>
        <w:rPr>
          <w:sz w:val="15"/>
        </w:rPr>
        <w:t>media:</w:t>
        <w:tab/>
        <w:t>$7.00</w:t>
      </w:r>
    </w:p>
    <w:p>
      <w:pPr>
        <w:pStyle w:val="BodyText"/>
        <w:spacing w:before="8"/>
      </w:pPr>
    </w:p>
    <w:p>
      <w:pPr>
        <w:pStyle w:val="ListParagraph"/>
        <w:numPr>
          <w:ilvl w:val="0"/>
          <w:numId w:val="33"/>
        </w:numPr>
        <w:tabs>
          <w:tab w:pos="483" w:val="left" w:leader="none"/>
          <w:tab w:pos="5197" w:val="left" w:leader="none"/>
        </w:tabs>
        <w:spacing w:line="240" w:lineRule="auto" w:before="0" w:after="0"/>
        <w:ind w:left="482" w:right="0" w:hanging="181"/>
        <w:jc w:val="left"/>
        <w:rPr>
          <w:sz w:val="15"/>
        </w:rPr>
      </w:pPr>
      <w:r>
        <w:rPr>
          <w:sz w:val="15"/>
        </w:rPr>
        <w:t>En zona, densidad baja </w:t>
      </w:r>
      <w:r>
        <w:rPr>
          <w:spacing w:val="3"/>
          <w:sz w:val="15"/>
        </w:rPr>
        <w:t> </w:t>
      </w:r>
      <w:r>
        <w:rPr>
          <w:sz w:val="15"/>
        </w:rPr>
        <w:t>y</w:t>
      </w:r>
      <w:r>
        <w:rPr>
          <w:spacing w:val="11"/>
          <w:sz w:val="15"/>
        </w:rPr>
        <w:t> </w:t>
      </w:r>
      <w:r>
        <w:rPr>
          <w:sz w:val="15"/>
        </w:rPr>
        <w:t>mínima:</w:t>
        <w:tab/>
        <w:t>$8.00</w:t>
      </w:r>
    </w:p>
    <w:p>
      <w:pPr>
        <w:pStyle w:val="BodyText"/>
        <w:spacing w:before="10"/>
      </w:pPr>
    </w:p>
    <w:p>
      <w:pPr>
        <w:pStyle w:val="BodyText"/>
        <w:spacing w:line="247" w:lineRule="auto"/>
        <w:ind w:left="226" w:right="510"/>
        <w:jc w:val="both"/>
      </w:pPr>
      <w:r>
        <w:rPr/>
        <w:t>IX. Por el uso de piso de módulos publicitarios, tales como paraderos de autobuses, sanitarios, puestos de periódicos o revistas, puestos de flores y demás que se encuentren dentro de este supuesto por día, por      metro</w:t>
      </w:r>
      <w:r>
        <w:rPr>
          <w:spacing w:val="1"/>
        </w:rPr>
        <w:t> </w:t>
      </w:r>
      <w:r>
        <w:rPr/>
        <w:t>cuadrado:</w:t>
      </w:r>
    </w:p>
    <w:p>
      <w:pPr>
        <w:spacing w:after="0" w:line="247" w:lineRule="auto"/>
        <w:jc w:val="both"/>
        <w:sectPr>
          <w:type w:val="continuous"/>
          <w:pgSz w:w="23250" w:h="15310" w:orient="landscape"/>
          <w:pgMar w:top="0" w:bottom="0" w:left="1880" w:right="1520"/>
          <w:cols w:num="2" w:equalWidth="0">
            <w:col w:w="7750" w:space="3797"/>
            <w:col w:w="8303"/>
          </w:cols>
        </w:sectPr>
      </w:pPr>
    </w:p>
    <w:p>
      <w:pPr>
        <w:pStyle w:val="BodyText"/>
        <w:spacing w:before="3"/>
      </w:pPr>
    </w:p>
    <w:p>
      <w:pPr>
        <w:pStyle w:val="ListParagraph"/>
        <w:numPr>
          <w:ilvl w:val="0"/>
          <w:numId w:val="34"/>
        </w:numPr>
        <w:tabs>
          <w:tab w:pos="407" w:val="left" w:leader="none"/>
        </w:tabs>
        <w:spacing w:line="240" w:lineRule="auto" w:before="0" w:after="0"/>
        <w:ind w:left="406" w:right="0" w:hanging="181"/>
        <w:jc w:val="left"/>
        <w:rPr>
          <w:sz w:val="15"/>
        </w:rPr>
      </w:pPr>
      <w:r>
        <w:rPr>
          <w:sz w:val="15"/>
        </w:rPr>
        <w:t>Respecto de espectáculos, diversiones públicas</w:t>
      </w:r>
      <w:r>
        <w:rPr>
          <w:spacing w:val="25"/>
          <w:sz w:val="15"/>
        </w:rPr>
        <w:t> </w:t>
      </w:r>
      <w:r>
        <w:rPr>
          <w:sz w:val="15"/>
        </w:rPr>
        <w:t>de:</w:t>
      </w:r>
    </w:p>
    <w:p>
      <w:pPr>
        <w:pStyle w:val="BodyText"/>
        <w:rPr>
          <w:sz w:val="16"/>
        </w:rPr>
      </w:pPr>
    </w:p>
    <w:p>
      <w:pPr>
        <w:pStyle w:val="BodyText"/>
        <w:spacing w:before="3"/>
      </w:pPr>
    </w:p>
    <w:p>
      <w:pPr>
        <w:pStyle w:val="ListParagraph"/>
        <w:numPr>
          <w:ilvl w:val="0"/>
          <w:numId w:val="34"/>
        </w:numPr>
        <w:tabs>
          <w:tab w:pos="407" w:val="left" w:leader="none"/>
        </w:tabs>
        <w:spacing w:line="247" w:lineRule="auto" w:before="0" w:after="0"/>
        <w:ind w:left="226" w:right="38" w:firstLine="0"/>
        <w:jc w:val="left"/>
        <w:rPr>
          <w:sz w:val="15"/>
        </w:rPr>
      </w:pPr>
      <w:r>
        <w:rPr>
          <w:spacing w:val="-3"/>
          <w:sz w:val="15"/>
        </w:rPr>
        <w:t>Venta </w:t>
      </w:r>
      <w:r>
        <w:rPr>
          <w:sz w:val="15"/>
        </w:rPr>
        <w:t>y consumo de alimentos preparados, máximo 25 metros cuadrados y un permiso por</w:t>
      </w:r>
      <w:r>
        <w:rPr>
          <w:spacing w:val="30"/>
          <w:sz w:val="15"/>
        </w:rPr>
        <w:t> </w:t>
      </w:r>
      <w:r>
        <w:rPr>
          <w:sz w:val="15"/>
        </w:rPr>
        <w:t>predio,</w:t>
      </w:r>
    </w:p>
    <w:p>
      <w:pPr>
        <w:pStyle w:val="BodyText"/>
        <w:rPr>
          <w:sz w:val="16"/>
        </w:rPr>
      </w:pPr>
      <w:r>
        <w:rPr/>
        <w:br w:type="column"/>
      </w:r>
      <w:r>
        <w:rPr>
          <w:sz w:val="16"/>
        </w:rPr>
      </w:r>
    </w:p>
    <w:p>
      <w:pPr>
        <w:pStyle w:val="BodyText"/>
        <w:spacing w:before="8"/>
        <w:rPr>
          <w:sz w:val="14"/>
        </w:rPr>
      </w:pPr>
    </w:p>
    <w:p>
      <w:pPr>
        <w:pStyle w:val="BodyText"/>
        <w:ind w:left="226"/>
      </w:pPr>
      <w:r>
        <w:rPr/>
        <w:t>$13.00 a $63.00</w:t>
      </w:r>
    </w:p>
    <w:p>
      <w:pPr>
        <w:pStyle w:val="BodyText"/>
        <w:spacing w:before="2"/>
      </w:pPr>
      <w:r>
        <w:rPr/>
        <w:br w:type="column"/>
      </w:r>
      <w:r>
        <w:rPr/>
      </w:r>
    </w:p>
    <w:p>
      <w:pPr>
        <w:pStyle w:val="ListParagraph"/>
        <w:numPr>
          <w:ilvl w:val="0"/>
          <w:numId w:val="35"/>
        </w:numPr>
        <w:tabs>
          <w:tab w:pos="407" w:val="left" w:leader="none"/>
          <w:tab w:pos="5035" w:val="left" w:leader="none"/>
        </w:tabs>
        <w:spacing w:line="240" w:lineRule="auto" w:before="0" w:after="0"/>
        <w:ind w:left="406" w:right="0" w:hanging="181"/>
        <w:jc w:val="left"/>
        <w:rPr>
          <w:sz w:val="15"/>
        </w:rPr>
      </w:pPr>
      <w:r>
        <w:rPr>
          <w:sz w:val="15"/>
        </w:rPr>
        <w:t>En</w:t>
      </w:r>
      <w:r>
        <w:rPr>
          <w:spacing w:val="16"/>
          <w:sz w:val="15"/>
        </w:rPr>
        <w:t> </w:t>
      </w:r>
      <w:r>
        <w:rPr>
          <w:sz w:val="15"/>
        </w:rPr>
        <w:t>zona</w:t>
      </w:r>
      <w:r>
        <w:rPr>
          <w:spacing w:val="17"/>
          <w:sz w:val="15"/>
        </w:rPr>
        <w:t> </w:t>
      </w:r>
      <w:r>
        <w:rPr>
          <w:sz w:val="15"/>
        </w:rPr>
        <w:t>restringida:</w:t>
        <w:tab/>
        <w:t>$13.00</w:t>
      </w:r>
    </w:p>
    <w:p>
      <w:pPr>
        <w:pStyle w:val="BodyText"/>
        <w:spacing w:before="10"/>
      </w:pPr>
    </w:p>
    <w:p>
      <w:pPr>
        <w:pStyle w:val="ListParagraph"/>
        <w:numPr>
          <w:ilvl w:val="0"/>
          <w:numId w:val="35"/>
        </w:numPr>
        <w:tabs>
          <w:tab w:pos="407" w:val="left" w:leader="none"/>
          <w:tab w:pos="5047" w:val="left" w:leader="none"/>
        </w:tabs>
        <w:spacing w:line="240" w:lineRule="auto" w:before="0" w:after="0"/>
        <w:ind w:left="406" w:right="0" w:hanging="181"/>
        <w:jc w:val="left"/>
        <w:rPr>
          <w:sz w:val="15"/>
        </w:rPr>
      </w:pPr>
      <w:r>
        <w:rPr>
          <w:sz w:val="15"/>
        </w:rPr>
        <w:t>En</w:t>
      </w:r>
      <w:r>
        <w:rPr>
          <w:spacing w:val="12"/>
          <w:sz w:val="15"/>
        </w:rPr>
        <w:t> </w:t>
      </w:r>
      <w:r>
        <w:rPr>
          <w:sz w:val="15"/>
        </w:rPr>
        <w:t>densidad</w:t>
      </w:r>
      <w:r>
        <w:rPr>
          <w:spacing w:val="12"/>
          <w:sz w:val="15"/>
        </w:rPr>
        <w:t> </w:t>
      </w:r>
      <w:r>
        <w:rPr>
          <w:sz w:val="15"/>
        </w:rPr>
        <w:t>alta:</w:t>
        <w:tab/>
        <w:t>$11.00</w:t>
      </w:r>
    </w:p>
    <w:p>
      <w:pPr>
        <w:pStyle w:val="BodyText"/>
        <w:spacing w:before="9"/>
      </w:pPr>
    </w:p>
    <w:p>
      <w:pPr>
        <w:pStyle w:val="ListParagraph"/>
        <w:numPr>
          <w:ilvl w:val="0"/>
          <w:numId w:val="35"/>
        </w:numPr>
        <w:tabs>
          <w:tab w:pos="399" w:val="left" w:leader="none"/>
          <w:tab w:pos="5047" w:val="left" w:leader="none"/>
        </w:tabs>
        <w:spacing w:line="240" w:lineRule="auto" w:before="1" w:after="0"/>
        <w:ind w:left="398" w:right="0" w:hanging="173"/>
        <w:jc w:val="left"/>
        <w:rPr>
          <w:sz w:val="15"/>
        </w:rPr>
      </w:pPr>
      <w:r>
        <w:rPr>
          <w:sz w:val="15"/>
        </w:rPr>
        <w:t>En</w:t>
      </w:r>
      <w:r>
        <w:rPr>
          <w:spacing w:val="14"/>
          <w:sz w:val="15"/>
        </w:rPr>
        <w:t> </w:t>
      </w:r>
      <w:r>
        <w:rPr>
          <w:sz w:val="15"/>
        </w:rPr>
        <w:t>densidad</w:t>
      </w:r>
      <w:r>
        <w:rPr>
          <w:spacing w:val="14"/>
          <w:sz w:val="15"/>
        </w:rPr>
        <w:t> </w:t>
      </w:r>
      <w:r>
        <w:rPr>
          <w:sz w:val="15"/>
        </w:rPr>
        <w:t>media:</w:t>
        <w:tab/>
        <w:t>$11.00</w:t>
      </w:r>
    </w:p>
    <w:p>
      <w:pPr>
        <w:spacing w:after="0" w:line="240" w:lineRule="auto"/>
        <w:jc w:val="left"/>
        <w:rPr>
          <w:sz w:val="15"/>
        </w:rPr>
        <w:sectPr>
          <w:type w:val="continuous"/>
          <w:pgSz w:w="23250" w:h="15310" w:orient="landscape"/>
          <w:pgMar w:top="0" w:bottom="0" w:left="1880" w:right="1520"/>
          <w:cols w:num="3" w:equalWidth="0">
            <w:col w:w="3986" w:space="193"/>
            <w:col w:w="1380" w:space="6064"/>
            <w:col w:w="8227"/>
          </w:cols>
        </w:sectPr>
      </w:pPr>
    </w:p>
    <w:p>
      <w:pPr>
        <w:pStyle w:val="BodyText"/>
        <w:tabs>
          <w:tab w:pos="4406" w:val="left" w:leader="none"/>
        </w:tabs>
        <w:spacing w:line="171" w:lineRule="exact"/>
        <w:ind w:left="226"/>
      </w:pPr>
      <w:r>
        <w:rPr/>
        <w:t>diariamente por metro</w:t>
      </w:r>
      <w:r>
        <w:rPr>
          <w:spacing w:val="30"/>
        </w:rPr>
        <w:t> </w:t>
      </w:r>
      <w:r>
        <w:rPr/>
        <w:t>cuadrado</w:t>
      </w:r>
      <w:r>
        <w:rPr>
          <w:spacing w:val="10"/>
        </w:rPr>
        <w:t> </w:t>
      </w:r>
      <w:r>
        <w:rPr/>
        <w:t>de:</w:t>
        <w:tab/>
        <w:t>$10.00 a</w:t>
      </w:r>
      <w:r>
        <w:rPr>
          <w:spacing w:val="3"/>
        </w:rPr>
        <w:t> </w:t>
      </w:r>
      <w:r>
        <w:rPr/>
        <w:t>$30.00</w:t>
      </w:r>
    </w:p>
    <w:p>
      <w:pPr>
        <w:pStyle w:val="BodyText"/>
        <w:spacing w:before="9"/>
      </w:pPr>
    </w:p>
    <w:p>
      <w:pPr>
        <w:pStyle w:val="BodyText"/>
        <w:spacing w:line="247" w:lineRule="auto"/>
        <w:ind w:left="250" w:right="102"/>
      </w:pPr>
      <w:r>
        <w:rPr>
          <w:spacing w:val="-8"/>
        </w:rPr>
        <w:t>V. </w:t>
      </w:r>
      <w:r>
        <w:rPr/>
        <w:t>Por cambios de ubicación, giros, días de trabajo u otras condiciones marcadas  en  el  permiso  y  autorizadas</w:t>
      </w:r>
      <w:r>
        <w:rPr>
          <w:spacing w:val="7"/>
        </w:rPr>
        <w:t> </w:t>
      </w:r>
      <w:r>
        <w:rPr/>
        <w:t>previamente,</w:t>
      </w:r>
      <w:r>
        <w:rPr>
          <w:spacing w:val="9"/>
        </w:rPr>
        <w:t> </w:t>
      </w:r>
      <w:r>
        <w:rPr/>
        <w:t>suplencias</w:t>
      </w:r>
      <w:r>
        <w:rPr>
          <w:spacing w:val="8"/>
        </w:rPr>
        <w:t> </w:t>
      </w:r>
      <w:r>
        <w:rPr/>
        <w:t>del</w:t>
      </w:r>
      <w:r>
        <w:rPr>
          <w:spacing w:val="8"/>
        </w:rPr>
        <w:t> </w:t>
      </w:r>
      <w:r>
        <w:rPr/>
        <w:t>titular</w:t>
      </w:r>
      <w:r>
        <w:rPr>
          <w:spacing w:val="9"/>
        </w:rPr>
        <w:t> </w:t>
      </w:r>
      <w:r>
        <w:rPr/>
        <w:t>o</w:t>
      </w:r>
      <w:r>
        <w:rPr>
          <w:spacing w:val="8"/>
        </w:rPr>
        <w:t> </w:t>
      </w:r>
      <w:r>
        <w:rPr/>
        <w:t>cesión</w:t>
      </w:r>
      <w:r>
        <w:rPr>
          <w:spacing w:val="9"/>
        </w:rPr>
        <w:t> </w:t>
      </w:r>
      <w:r>
        <w:rPr/>
        <w:t>de</w:t>
      </w:r>
      <w:r>
        <w:rPr>
          <w:spacing w:val="9"/>
        </w:rPr>
        <w:t> </w:t>
      </w:r>
      <w:r>
        <w:rPr/>
        <w:t>derechos</w:t>
      </w:r>
      <w:r>
        <w:rPr>
          <w:spacing w:val="8"/>
        </w:rPr>
        <w:t> </w:t>
      </w:r>
      <w:r>
        <w:rPr/>
        <w:t>de</w:t>
      </w:r>
      <w:r>
        <w:rPr>
          <w:spacing w:val="8"/>
        </w:rPr>
        <w:t> </w:t>
      </w:r>
      <w:r>
        <w:rPr/>
        <w:t>puestos</w:t>
      </w:r>
      <w:r>
        <w:rPr>
          <w:spacing w:val="9"/>
        </w:rPr>
        <w:t> </w:t>
      </w:r>
      <w:r>
        <w:rPr/>
        <w:t>fijos,</w:t>
      </w:r>
      <w:r>
        <w:rPr>
          <w:spacing w:val="9"/>
        </w:rPr>
        <w:t> </w:t>
      </w:r>
      <w:r>
        <w:rPr/>
        <w:t>semifijos</w:t>
      </w:r>
      <w:r>
        <w:rPr>
          <w:spacing w:val="8"/>
        </w:rPr>
        <w:t> </w:t>
      </w:r>
      <w:r>
        <w:rPr/>
        <w:t>o</w:t>
      </w:r>
      <w:r>
        <w:rPr>
          <w:spacing w:val="8"/>
        </w:rPr>
        <w:t> </w:t>
      </w:r>
      <w:r>
        <w:rPr/>
        <w:t>móviles:</w:t>
      </w:r>
    </w:p>
    <w:p>
      <w:pPr>
        <w:pStyle w:val="BodyText"/>
        <w:spacing w:before="2"/>
      </w:pPr>
      <w:r>
        <w:rPr/>
        <w:br w:type="column"/>
      </w:r>
      <w:r>
        <w:rPr/>
      </w:r>
    </w:p>
    <w:p>
      <w:pPr>
        <w:pStyle w:val="ListParagraph"/>
        <w:numPr>
          <w:ilvl w:val="0"/>
          <w:numId w:val="35"/>
        </w:numPr>
        <w:tabs>
          <w:tab w:pos="407" w:val="left" w:leader="none"/>
          <w:tab w:pos="5047" w:val="left" w:leader="none"/>
        </w:tabs>
        <w:spacing w:line="240" w:lineRule="auto" w:before="0" w:after="0"/>
        <w:ind w:left="406" w:right="0" w:hanging="181"/>
        <w:jc w:val="left"/>
        <w:rPr>
          <w:sz w:val="15"/>
        </w:rPr>
      </w:pPr>
      <w:r>
        <w:rPr>
          <w:sz w:val="15"/>
        </w:rPr>
        <w:t>En densidad baja</w:t>
      </w:r>
      <w:r>
        <w:rPr>
          <w:spacing w:val="31"/>
          <w:sz w:val="15"/>
        </w:rPr>
        <w:t> </w:t>
      </w:r>
      <w:r>
        <w:rPr>
          <w:sz w:val="15"/>
        </w:rPr>
        <w:t>y</w:t>
      </w:r>
      <w:r>
        <w:rPr>
          <w:spacing w:val="11"/>
          <w:sz w:val="15"/>
        </w:rPr>
        <w:t> </w:t>
      </w:r>
      <w:r>
        <w:rPr>
          <w:sz w:val="15"/>
        </w:rPr>
        <w:t>mínima:</w:t>
        <w:tab/>
      </w:r>
      <w:r>
        <w:rPr>
          <w:spacing w:val="-3"/>
          <w:sz w:val="15"/>
        </w:rPr>
        <w:t>$11.00</w:t>
      </w:r>
    </w:p>
    <w:p>
      <w:pPr>
        <w:pStyle w:val="BodyText"/>
        <w:spacing w:before="10"/>
      </w:pPr>
    </w:p>
    <w:p>
      <w:pPr>
        <w:pStyle w:val="BodyText"/>
        <w:ind w:left="548"/>
      </w:pPr>
      <w:r>
        <w:rPr/>
        <w:t>X. Por las actividades comerciales que se realicen en tianguis pagarán diariamente, por metro lineal:</w:t>
      </w:r>
    </w:p>
    <w:p>
      <w:pPr>
        <w:spacing w:after="0"/>
        <w:sectPr>
          <w:type w:val="continuous"/>
          <w:pgSz w:w="23250" w:h="15310" w:orient="landscape"/>
          <w:pgMar w:top="0" w:bottom="0" w:left="1880" w:right="1520"/>
          <w:cols w:num="2" w:equalWidth="0">
            <w:col w:w="7749" w:space="3873"/>
            <w:col w:w="8228"/>
          </w:cols>
        </w:sectPr>
      </w:pPr>
    </w:p>
    <w:p>
      <w:pPr>
        <w:pStyle w:val="BodyText"/>
        <w:rPr>
          <w:sz w:val="20"/>
        </w:rPr>
      </w:pPr>
    </w:p>
    <w:p>
      <w:pPr>
        <w:pStyle w:val="BodyText"/>
        <w:rPr>
          <w:sz w:val="20"/>
        </w:rPr>
      </w:pPr>
    </w:p>
    <w:p>
      <w:pPr>
        <w:spacing w:after="0"/>
        <w:rPr>
          <w:sz w:val="20"/>
        </w:rPr>
        <w:sectPr>
          <w:headerReference w:type="default" r:id="rId65"/>
          <w:pgSz w:w="23250" w:h="15310" w:orient="landscape"/>
          <w:pgMar w:header="881" w:footer="499" w:top="1920" w:bottom="680" w:left="1880" w:right="1520"/>
        </w:sectPr>
      </w:pPr>
    </w:p>
    <w:p>
      <w:pPr>
        <w:pStyle w:val="BodyText"/>
        <w:rPr>
          <w:sz w:val="16"/>
        </w:rPr>
      </w:pPr>
    </w:p>
    <w:p>
      <w:pPr>
        <w:pStyle w:val="BodyText"/>
        <w:spacing w:before="7"/>
        <w:rPr>
          <w:sz w:val="17"/>
        </w:rPr>
      </w:pPr>
    </w:p>
    <w:p>
      <w:pPr>
        <w:pStyle w:val="ListParagraph"/>
        <w:numPr>
          <w:ilvl w:val="0"/>
          <w:numId w:val="36"/>
        </w:numPr>
        <w:tabs>
          <w:tab w:pos="407" w:val="left" w:leader="none"/>
          <w:tab w:pos="5036" w:val="left" w:leader="none"/>
        </w:tabs>
        <w:spacing w:line="240" w:lineRule="auto" w:before="0" w:after="0"/>
        <w:ind w:left="406" w:right="0" w:hanging="181"/>
        <w:jc w:val="left"/>
        <w:rPr>
          <w:sz w:val="15"/>
        </w:rPr>
      </w:pPr>
      <w:r>
        <w:rPr>
          <w:sz w:val="15"/>
        </w:rPr>
        <w:t>Zona</w:t>
      </w:r>
      <w:r>
        <w:rPr>
          <w:spacing w:val="5"/>
          <w:sz w:val="15"/>
        </w:rPr>
        <w:t> </w:t>
      </w:r>
      <w:r>
        <w:rPr>
          <w:sz w:val="15"/>
        </w:rPr>
        <w:t>A:</w:t>
        <w:tab/>
        <w:t>$13.00</w:t>
      </w:r>
    </w:p>
    <w:p>
      <w:pPr>
        <w:pStyle w:val="BodyText"/>
        <w:spacing w:before="8"/>
      </w:pPr>
    </w:p>
    <w:p>
      <w:pPr>
        <w:pStyle w:val="ListParagraph"/>
        <w:numPr>
          <w:ilvl w:val="0"/>
          <w:numId w:val="36"/>
        </w:numPr>
        <w:tabs>
          <w:tab w:pos="407" w:val="left" w:leader="none"/>
          <w:tab w:pos="5036" w:val="left" w:leader="none"/>
        </w:tabs>
        <w:spacing w:line="240" w:lineRule="auto" w:before="1" w:after="0"/>
        <w:ind w:left="406" w:right="0" w:hanging="181"/>
        <w:jc w:val="left"/>
        <w:rPr>
          <w:sz w:val="15"/>
        </w:rPr>
      </w:pPr>
      <w:r>
        <w:rPr>
          <w:sz w:val="15"/>
        </w:rPr>
        <w:t>Zona</w:t>
      </w:r>
      <w:r>
        <w:rPr>
          <w:spacing w:val="13"/>
          <w:sz w:val="15"/>
        </w:rPr>
        <w:t> </w:t>
      </w:r>
      <w:r>
        <w:rPr>
          <w:sz w:val="15"/>
        </w:rPr>
        <w:t>B:</w:t>
        <w:tab/>
        <w:t>$10.00</w:t>
      </w:r>
    </w:p>
    <w:p>
      <w:pPr>
        <w:pStyle w:val="BodyText"/>
        <w:spacing w:before="9"/>
      </w:pPr>
    </w:p>
    <w:p>
      <w:pPr>
        <w:pStyle w:val="BodyText"/>
        <w:spacing w:line="247" w:lineRule="auto"/>
        <w:ind w:left="151" w:right="199" w:firstLine="397"/>
      </w:pPr>
      <w:r>
        <w:rPr>
          <w:b/>
        </w:rPr>
        <w:t>Artículo 65.- </w:t>
      </w:r>
      <w:r>
        <w:rPr/>
        <w:t>Quienes hagan uso del piso en la vía pública eventualmente o por una  sola  ocasión, pagarán diariamente los derechos correspondientes conforme a lo</w:t>
      </w:r>
      <w:r>
        <w:rPr>
          <w:spacing w:val="24"/>
        </w:rPr>
        <w:t> </w:t>
      </w:r>
      <w:r>
        <w:rPr/>
        <w:t>siguiente:</w:t>
      </w:r>
    </w:p>
    <w:p>
      <w:pPr>
        <w:pStyle w:val="BodyText"/>
        <w:spacing w:before="4"/>
      </w:pPr>
    </w:p>
    <w:p>
      <w:pPr>
        <w:pStyle w:val="BodyText"/>
        <w:ind w:right="1596"/>
        <w:jc w:val="right"/>
      </w:pPr>
      <w:r>
        <w:rPr/>
        <w:t>TARIFAS</w:t>
      </w:r>
    </w:p>
    <w:p>
      <w:pPr>
        <w:pStyle w:val="BodyText"/>
        <w:spacing w:before="4"/>
        <w:ind w:left="151"/>
      </w:pPr>
      <w:r>
        <w:rPr/>
        <w:t>I. Actividades comerciales o de servicios, por metro cuadrado:</w:t>
      </w:r>
    </w:p>
    <w:p>
      <w:pPr>
        <w:pStyle w:val="BodyText"/>
        <w:spacing w:before="6"/>
        <w:rPr>
          <w:sz w:val="17"/>
        </w:rPr>
      </w:pPr>
    </w:p>
    <w:p>
      <w:pPr>
        <w:pStyle w:val="ListParagraph"/>
        <w:numPr>
          <w:ilvl w:val="0"/>
          <w:numId w:val="37"/>
        </w:numPr>
        <w:tabs>
          <w:tab w:pos="417" w:val="left" w:leader="none"/>
        </w:tabs>
        <w:spacing w:line="240" w:lineRule="auto" w:before="0" w:after="0"/>
        <w:ind w:left="416" w:right="0" w:hanging="191"/>
        <w:jc w:val="left"/>
        <w:rPr>
          <w:sz w:val="15"/>
        </w:rPr>
      </w:pPr>
      <w:r>
        <w:rPr>
          <w:sz w:val="15"/>
        </w:rPr>
        <w:t>En el primer cuadro, en período de festividades,</w:t>
      </w:r>
      <w:r>
        <w:rPr>
          <w:spacing w:val="14"/>
          <w:sz w:val="15"/>
        </w:rPr>
        <w:t> </w:t>
      </w:r>
      <w:r>
        <w:rPr>
          <w:sz w:val="15"/>
        </w:rPr>
        <w:t>por</w:t>
      </w:r>
    </w:p>
    <w:p>
      <w:pPr>
        <w:pStyle w:val="BodyText"/>
        <w:tabs>
          <w:tab w:pos="4335" w:val="left" w:leader="none"/>
        </w:tabs>
        <w:spacing w:before="4"/>
        <w:ind w:left="226"/>
      </w:pPr>
      <w:r>
        <w:rPr/>
        <w:t>metro</w:t>
      </w:r>
      <w:r>
        <w:rPr>
          <w:spacing w:val="8"/>
        </w:rPr>
        <w:t> </w:t>
      </w:r>
      <w:r>
        <w:rPr/>
        <w:t>cuadrado</w:t>
      </w:r>
      <w:r>
        <w:rPr>
          <w:spacing w:val="9"/>
        </w:rPr>
        <w:t> </w:t>
      </w:r>
      <w:r>
        <w:rPr/>
        <w:t>de:</w:t>
        <w:tab/>
        <w:t>$32.00  a</w:t>
      </w:r>
      <w:r>
        <w:rPr>
          <w:spacing w:val="-14"/>
        </w:rPr>
        <w:t> </w:t>
      </w:r>
      <w:r>
        <w:rPr/>
        <w:t>$156.00</w:t>
      </w:r>
    </w:p>
    <w:p>
      <w:pPr>
        <w:pStyle w:val="BodyText"/>
        <w:spacing w:before="2"/>
        <w:rPr>
          <w:sz w:val="19"/>
        </w:rPr>
      </w:pPr>
    </w:p>
    <w:p>
      <w:pPr>
        <w:pStyle w:val="ListParagraph"/>
        <w:numPr>
          <w:ilvl w:val="0"/>
          <w:numId w:val="37"/>
        </w:numPr>
        <w:tabs>
          <w:tab w:pos="407" w:val="left" w:leader="none"/>
          <w:tab w:pos="4334" w:val="left" w:leader="none"/>
        </w:tabs>
        <w:spacing w:line="240" w:lineRule="auto" w:before="1" w:after="0"/>
        <w:ind w:left="406" w:right="0" w:hanging="181"/>
        <w:jc w:val="left"/>
        <w:rPr>
          <w:sz w:val="15"/>
        </w:rPr>
      </w:pPr>
      <w:r>
        <w:rPr>
          <w:sz w:val="15"/>
        </w:rPr>
        <w:t>En</w:t>
      </w:r>
      <w:r>
        <w:rPr>
          <w:spacing w:val="11"/>
          <w:sz w:val="15"/>
        </w:rPr>
        <w:t> </w:t>
      </w:r>
      <w:r>
        <w:rPr>
          <w:sz w:val="15"/>
        </w:rPr>
        <w:t>el</w:t>
      </w:r>
      <w:r>
        <w:rPr>
          <w:spacing w:val="11"/>
          <w:sz w:val="15"/>
        </w:rPr>
        <w:t> </w:t>
      </w:r>
      <w:r>
        <w:rPr>
          <w:sz w:val="15"/>
        </w:rPr>
        <w:t>primer</w:t>
      </w:r>
      <w:r>
        <w:rPr>
          <w:spacing w:val="11"/>
          <w:sz w:val="15"/>
        </w:rPr>
        <w:t> </w:t>
      </w:r>
      <w:r>
        <w:rPr>
          <w:sz w:val="15"/>
        </w:rPr>
        <w:t>cuadro,</w:t>
      </w:r>
      <w:r>
        <w:rPr>
          <w:spacing w:val="12"/>
          <w:sz w:val="15"/>
        </w:rPr>
        <w:t> </w:t>
      </w:r>
      <w:r>
        <w:rPr>
          <w:sz w:val="15"/>
        </w:rPr>
        <w:t>en</w:t>
      </w:r>
      <w:r>
        <w:rPr>
          <w:spacing w:val="11"/>
          <w:sz w:val="15"/>
        </w:rPr>
        <w:t> </w:t>
      </w:r>
      <w:r>
        <w:rPr>
          <w:sz w:val="15"/>
        </w:rPr>
        <w:t>períodos</w:t>
      </w:r>
      <w:r>
        <w:rPr>
          <w:spacing w:val="11"/>
          <w:sz w:val="15"/>
        </w:rPr>
        <w:t> </w:t>
      </w:r>
      <w:r>
        <w:rPr>
          <w:sz w:val="15"/>
        </w:rPr>
        <w:t>ordinarios,</w:t>
      </w:r>
      <w:r>
        <w:rPr>
          <w:spacing w:val="10"/>
          <w:sz w:val="15"/>
        </w:rPr>
        <w:t> </w:t>
      </w:r>
      <w:r>
        <w:rPr>
          <w:sz w:val="15"/>
        </w:rPr>
        <w:t>de:</w:t>
        <w:tab/>
        <w:t>$22.00 a  </w:t>
      </w:r>
      <w:r>
        <w:rPr>
          <w:spacing w:val="29"/>
          <w:sz w:val="15"/>
        </w:rPr>
        <w:t> </w:t>
      </w:r>
      <w:r>
        <w:rPr>
          <w:sz w:val="15"/>
        </w:rPr>
        <w:t>$85.00</w:t>
      </w:r>
    </w:p>
    <w:p>
      <w:pPr>
        <w:pStyle w:val="BodyText"/>
        <w:spacing w:before="2"/>
        <w:rPr>
          <w:sz w:val="19"/>
        </w:rPr>
      </w:pPr>
    </w:p>
    <w:p>
      <w:pPr>
        <w:pStyle w:val="ListParagraph"/>
        <w:numPr>
          <w:ilvl w:val="0"/>
          <w:numId w:val="37"/>
        </w:numPr>
        <w:tabs>
          <w:tab w:pos="407" w:val="left" w:leader="none"/>
        </w:tabs>
        <w:spacing w:line="240" w:lineRule="auto" w:before="1" w:after="0"/>
        <w:ind w:left="406" w:right="0" w:hanging="181"/>
        <w:jc w:val="left"/>
        <w:rPr>
          <w:sz w:val="15"/>
        </w:rPr>
      </w:pPr>
      <w:r>
        <w:rPr>
          <w:sz w:val="15"/>
        </w:rPr>
        <w:t>Fuera</w:t>
      </w:r>
      <w:r>
        <w:rPr>
          <w:spacing w:val="9"/>
          <w:sz w:val="15"/>
        </w:rPr>
        <w:t> </w:t>
      </w:r>
      <w:r>
        <w:rPr>
          <w:sz w:val="15"/>
        </w:rPr>
        <w:t>del</w:t>
      </w:r>
      <w:r>
        <w:rPr>
          <w:spacing w:val="10"/>
          <w:sz w:val="15"/>
        </w:rPr>
        <w:t> </w:t>
      </w:r>
      <w:r>
        <w:rPr>
          <w:sz w:val="15"/>
        </w:rPr>
        <w:t>primer</w:t>
      </w:r>
      <w:r>
        <w:rPr>
          <w:spacing w:val="10"/>
          <w:sz w:val="15"/>
        </w:rPr>
        <w:t> </w:t>
      </w:r>
      <w:r>
        <w:rPr>
          <w:sz w:val="15"/>
        </w:rPr>
        <w:t>cuadro,</w:t>
      </w:r>
      <w:r>
        <w:rPr>
          <w:spacing w:val="10"/>
          <w:sz w:val="15"/>
        </w:rPr>
        <w:t> </w:t>
      </w:r>
      <w:r>
        <w:rPr>
          <w:sz w:val="15"/>
        </w:rPr>
        <w:t>en</w:t>
      </w:r>
      <w:r>
        <w:rPr>
          <w:spacing w:val="10"/>
          <w:sz w:val="15"/>
        </w:rPr>
        <w:t> </w:t>
      </w:r>
      <w:r>
        <w:rPr>
          <w:sz w:val="15"/>
        </w:rPr>
        <w:t>período</w:t>
      </w:r>
      <w:r>
        <w:rPr>
          <w:spacing w:val="10"/>
          <w:sz w:val="15"/>
        </w:rPr>
        <w:t> </w:t>
      </w:r>
      <w:r>
        <w:rPr>
          <w:sz w:val="15"/>
        </w:rPr>
        <w:t>de</w:t>
      </w:r>
      <w:r>
        <w:rPr>
          <w:spacing w:val="10"/>
          <w:sz w:val="15"/>
        </w:rPr>
        <w:t> </w:t>
      </w:r>
      <w:r>
        <w:rPr>
          <w:sz w:val="15"/>
        </w:rPr>
        <w:t>festividades,</w:t>
      </w:r>
    </w:p>
    <w:p>
      <w:pPr>
        <w:pStyle w:val="BodyText"/>
        <w:tabs>
          <w:tab w:pos="4378" w:val="left" w:leader="none"/>
        </w:tabs>
        <w:spacing w:before="4"/>
        <w:ind w:left="226"/>
      </w:pPr>
      <w:r>
        <w:rPr/>
        <w:t>por metro</w:t>
      </w:r>
      <w:r>
        <w:rPr>
          <w:spacing w:val="16"/>
        </w:rPr>
        <w:t> </w:t>
      </w:r>
      <w:r>
        <w:rPr/>
        <w:t>cuadrado</w:t>
      </w:r>
      <w:r>
        <w:rPr>
          <w:spacing w:val="8"/>
        </w:rPr>
        <w:t> </w:t>
      </w:r>
      <w:r>
        <w:rPr/>
        <w:t>de:</w:t>
        <w:tab/>
        <w:t>$22.00 a</w:t>
      </w:r>
      <w:r>
        <w:rPr>
          <w:spacing w:val="4"/>
        </w:rPr>
        <w:t> </w:t>
      </w:r>
      <w:r>
        <w:rPr/>
        <w:t>$58.00</w:t>
      </w:r>
    </w:p>
    <w:p>
      <w:pPr>
        <w:pStyle w:val="BodyText"/>
        <w:spacing w:before="2"/>
        <w:rPr>
          <w:sz w:val="19"/>
        </w:rPr>
      </w:pPr>
    </w:p>
    <w:p>
      <w:pPr>
        <w:pStyle w:val="ListParagraph"/>
        <w:numPr>
          <w:ilvl w:val="0"/>
          <w:numId w:val="37"/>
        </w:numPr>
        <w:tabs>
          <w:tab w:pos="416" w:val="left" w:leader="none"/>
        </w:tabs>
        <w:spacing w:line="240" w:lineRule="auto" w:before="0" w:after="0"/>
        <w:ind w:left="415" w:right="0" w:hanging="190"/>
        <w:jc w:val="left"/>
        <w:rPr>
          <w:sz w:val="15"/>
        </w:rPr>
      </w:pPr>
      <w:r>
        <w:rPr>
          <w:sz w:val="15"/>
        </w:rPr>
        <w:t>Fuera</w:t>
      </w:r>
      <w:r>
        <w:rPr>
          <w:spacing w:val="11"/>
          <w:sz w:val="15"/>
        </w:rPr>
        <w:t> </w:t>
      </w:r>
      <w:r>
        <w:rPr>
          <w:sz w:val="15"/>
        </w:rPr>
        <w:t>del</w:t>
      </w:r>
      <w:r>
        <w:rPr>
          <w:spacing w:val="11"/>
          <w:sz w:val="15"/>
        </w:rPr>
        <w:t> </w:t>
      </w:r>
      <w:r>
        <w:rPr>
          <w:sz w:val="15"/>
        </w:rPr>
        <w:t>primer</w:t>
      </w:r>
      <w:r>
        <w:rPr>
          <w:spacing w:val="11"/>
          <w:sz w:val="15"/>
        </w:rPr>
        <w:t> </w:t>
      </w:r>
      <w:r>
        <w:rPr>
          <w:sz w:val="15"/>
        </w:rPr>
        <w:t>cuadro,</w:t>
      </w:r>
      <w:r>
        <w:rPr>
          <w:spacing w:val="11"/>
          <w:sz w:val="15"/>
        </w:rPr>
        <w:t> </w:t>
      </w:r>
      <w:r>
        <w:rPr>
          <w:sz w:val="15"/>
        </w:rPr>
        <w:t>en</w:t>
      </w:r>
      <w:r>
        <w:rPr>
          <w:spacing w:val="11"/>
          <w:sz w:val="15"/>
        </w:rPr>
        <w:t> </w:t>
      </w:r>
      <w:r>
        <w:rPr>
          <w:sz w:val="15"/>
        </w:rPr>
        <w:t>períodos</w:t>
      </w:r>
      <w:r>
        <w:rPr>
          <w:spacing w:val="11"/>
          <w:sz w:val="15"/>
        </w:rPr>
        <w:t> </w:t>
      </w:r>
      <w:r>
        <w:rPr>
          <w:sz w:val="15"/>
        </w:rPr>
        <w:t>ordinarios,</w:t>
      </w:r>
      <w:r>
        <w:rPr>
          <w:spacing w:val="11"/>
          <w:sz w:val="15"/>
        </w:rPr>
        <w:t> </w:t>
      </w:r>
      <w:r>
        <w:rPr>
          <w:sz w:val="15"/>
        </w:rPr>
        <w:t>de:</w:t>
      </w:r>
    </w:p>
    <w:p>
      <w:pPr>
        <w:pStyle w:val="BodyText"/>
        <w:spacing w:before="9"/>
        <w:rPr>
          <w:sz w:val="19"/>
        </w:rPr>
      </w:pPr>
      <w:r>
        <w:rPr/>
        <w:br w:type="column"/>
      </w:r>
      <w:r>
        <w:rPr>
          <w:sz w:val="19"/>
        </w:rPr>
      </w:r>
    </w:p>
    <w:p>
      <w:pPr>
        <w:pStyle w:val="BodyText"/>
        <w:spacing w:line="247" w:lineRule="auto" w:before="1"/>
        <w:ind w:left="226" w:right="3664"/>
      </w:pPr>
      <w:r>
        <w:rPr/>
        <w:t>tradicionales, ferias del calzado, ferias navideñas, eventos especiales, u otros espacios no previstos excepto tianguis, con</w:t>
      </w:r>
    </w:p>
    <w:p>
      <w:pPr>
        <w:pStyle w:val="BodyText"/>
        <w:tabs>
          <w:tab w:pos="4685" w:val="left" w:leader="none"/>
        </w:tabs>
        <w:spacing w:line="172" w:lineRule="exact"/>
        <w:ind w:left="226"/>
      </w:pPr>
      <w:r>
        <w:rPr/>
        <w:t>duración</w:t>
      </w:r>
      <w:r>
        <w:rPr>
          <w:spacing w:val="8"/>
        </w:rPr>
        <w:t> </w:t>
      </w:r>
      <w:r>
        <w:rPr/>
        <w:t>de</w:t>
      </w:r>
      <w:r>
        <w:rPr>
          <w:spacing w:val="7"/>
        </w:rPr>
        <w:t> </w:t>
      </w:r>
      <w:r>
        <w:rPr/>
        <w:t>1</w:t>
      </w:r>
      <w:r>
        <w:rPr>
          <w:spacing w:val="9"/>
        </w:rPr>
        <w:t> </w:t>
      </w:r>
      <w:r>
        <w:rPr/>
        <w:t>a</w:t>
      </w:r>
      <w:r>
        <w:rPr>
          <w:spacing w:val="8"/>
        </w:rPr>
        <w:t> </w:t>
      </w:r>
      <w:r>
        <w:rPr/>
        <w:t>30</w:t>
      </w:r>
      <w:r>
        <w:rPr>
          <w:spacing w:val="9"/>
        </w:rPr>
        <w:t> </w:t>
      </w:r>
      <w:r>
        <w:rPr/>
        <w:t>días,</w:t>
      </w:r>
      <w:r>
        <w:rPr>
          <w:spacing w:val="7"/>
        </w:rPr>
        <w:t> </w:t>
      </w:r>
      <w:r>
        <w:rPr/>
        <w:t>diariamente</w:t>
      </w:r>
      <w:r>
        <w:rPr>
          <w:spacing w:val="9"/>
        </w:rPr>
        <w:t> </w:t>
      </w:r>
      <w:r>
        <w:rPr/>
        <w:t>por</w:t>
      </w:r>
      <w:r>
        <w:rPr>
          <w:spacing w:val="8"/>
        </w:rPr>
        <w:t> </w:t>
      </w:r>
      <w:r>
        <w:rPr/>
        <w:t>metro</w:t>
      </w:r>
      <w:r>
        <w:rPr>
          <w:spacing w:val="9"/>
        </w:rPr>
        <w:t> </w:t>
      </w:r>
      <w:r>
        <w:rPr/>
        <w:t>cuadrado</w:t>
      </w:r>
      <w:r>
        <w:rPr>
          <w:spacing w:val="8"/>
        </w:rPr>
        <w:t> </w:t>
      </w:r>
      <w:r>
        <w:rPr/>
        <w:t>de:</w:t>
        <w:tab/>
        <w:t>$21.00</w:t>
      </w:r>
      <w:r>
        <w:rPr>
          <w:spacing w:val="1"/>
        </w:rPr>
        <w:t> </w:t>
      </w:r>
      <w:r>
        <w:rPr/>
        <w:t>a</w:t>
      </w:r>
    </w:p>
    <w:p>
      <w:pPr>
        <w:pStyle w:val="BodyText"/>
        <w:spacing w:before="4"/>
        <w:ind w:left="4685"/>
      </w:pPr>
      <w:r>
        <w:rPr/>
        <w:t>$56.00</w:t>
      </w:r>
    </w:p>
    <w:p>
      <w:pPr>
        <w:pStyle w:val="BodyText"/>
        <w:spacing w:before="2"/>
        <w:rPr>
          <w:sz w:val="19"/>
        </w:rPr>
      </w:pPr>
    </w:p>
    <w:p>
      <w:pPr>
        <w:pStyle w:val="ListParagraph"/>
        <w:numPr>
          <w:ilvl w:val="0"/>
          <w:numId w:val="38"/>
        </w:numPr>
        <w:tabs>
          <w:tab w:pos="531" w:val="left" w:leader="none"/>
        </w:tabs>
        <w:spacing w:line="240" w:lineRule="auto" w:before="1" w:after="0"/>
        <w:ind w:left="530" w:right="0" w:hanging="305"/>
        <w:jc w:val="left"/>
        <w:rPr>
          <w:sz w:val="15"/>
        </w:rPr>
      </w:pPr>
      <w:r>
        <w:rPr>
          <w:sz w:val="15"/>
        </w:rPr>
        <w:t>Tapiales, andamios, materiales, maquinaria y</w:t>
      </w:r>
      <w:r>
        <w:rPr>
          <w:spacing w:val="10"/>
          <w:sz w:val="15"/>
        </w:rPr>
        <w:t> </w:t>
      </w:r>
      <w:r>
        <w:rPr>
          <w:sz w:val="15"/>
        </w:rPr>
        <w:t>equipo,</w:t>
      </w:r>
    </w:p>
    <w:p>
      <w:pPr>
        <w:pStyle w:val="BodyText"/>
        <w:tabs>
          <w:tab w:pos="4952" w:val="left" w:leader="none"/>
        </w:tabs>
        <w:spacing w:before="4"/>
        <w:ind w:left="226"/>
      </w:pPr>
      <w:r>
        <w:rPr/>
        <w:t>colocados en la vía pública, por </w:t>
      </w:r>
      <w:r>
        <w:rPr>
          <w:spacing w:val="12"/>
        </w:rPr>
        <w:t> </w:t>
      </w:r>
      <w:r>
        <w:rPr/>
        <w:t>metro</w:t>
      </w:r>
      <w:r>
        <w:rPr>
          <w:spacing w:val="9"/>
        </w:rPr>
        <w:t> </w:t>
      </w:r>
      <w:r>
        <w:rPr/>
        <w:t>cuadrado:</w:t>
        <w:tab/>
        <w:t>$14.00</w:t>
      </w:r>
    </w:p>
    <w:p>
      <w:pPr>
        <w:pStyle w:val="BodyText"/>
        <w:spacing w:before="2"/>
        <w:rPr>
          <w:sz w:val="19"/>
        </w:rPr>
      </w:pPr>
    </w:p>
    <w:p>
      <w:pPr>
        <w:pStyle w:val="ListParagraph"/>
        <w:numPr>
          <w:ilvl w:val="0"/>
          <w:numId w:val="38"/>
        </w:numPr>
        <w:tabs>
          <w:tab w:pos="512" w:val="left" w:leader="none"/>
        </w:tabs>
        <w:spacing w:line="240" w:lineRule="auto" w:before="0" w:after="0"/>
        <w:ind w:left="511" w:right="0" w:hanging="286"/>
        <w:jc w:val="left"/>
        <w:rPr>
          <w:sz w:val="15"/>
        </w:rPr>
      </w:pPr>
      <w:r>
        <w:rPr>
          <w:sz w:val="15"/>
        </w:rPr>
        <w:t>Graderías</w:t>
      </w:r>
      <w:r>
        <w:rPr>
          <w:spacing w:val="13"/>
          <w:sz w:val="15"/>
        </w:rPr>
        <w:t> </w:t>
      </w:r>
      <w:r>
        <w:rPr>
          <w:sz w:val="15"/>
        </w:rPr>
        <w:t>y</w:t>
      </w:r>
      <w:r>
        <w:rPr>
          <w:spacing w:val="13"/>
          <w:sz w:val="15"/>
        </w:rPr>
        <w:t> </w:t>
      </w:r>
      <w:r>
        <w:rPr>
          <w:sz w:val="15"/>
        </w:rPr>
        <w:t>sillerías</w:t>
      </w:r>
      <w:r>
        <w:rPr>
          <w:spacing w:val="13"/>
          <w:sz w:val="15"/>
        </w:rPr>
        <w:t> </w:t>
      </w:r>
      <w:r>
        <w:rPr>
          <w:sz w:val="15"/>
        </w:rPr>
        <w:t>que</w:t>
      </w:r>
      <w:r>
        <w:rPr>
          <w:spacing w:val="13"/>
          <w:sz w:val="15"/>
        </w:rPr>
        <w:t> </w:t>
      </w:r>
      <w:r>
        <w:rPr>
          <w:sz w:val="15"/>
        </w:rPr>
        <w:t>se</w:t>
      </w:r>
      <w:r>
        <w:rPr>
          <w:spacing w:val="13"/>
          <w:sz w:val="15"/>
        </w:rPr>
        <w:t> </w:t>
      </w:r>
      <w:r>
        <w:rPr>
          <w:sz w:val="15"/>
        </w:rPr>
        <w:t>instalen</w:t>
      </w:r>
      <w:r>
        <w:rPr>
          <w:spacing w:val="13"/>
          <w:sz w:val="15"/>
        </w:rPr>
        <w:t> </w:t>
      </w:r>
      <w:r>
        <w:rPr>
          <w:sz w:val="15"/>
        </w:rPr>
        <w:t>en</w:t>
      </w:r>
      <w:r>
        <w:rPr>
          <w:spacing w:val="13"/>
          <w:sz w:val="15"/>
        </w:rPr>
        <w:t> </w:t>
      </w:r>
      <w:r>
        <w:rPr>
          <w:sz w:val="15"/>
        </w:rPr>
        <w:t>la</w:t>
      </w:r>
      <w:r>
        <w:rPr>
          <w:spacing w:val="14"/>
          <w:sz w:val="15"/>
        </w:rPr>
        <w:t> </w:t>
      </w:r>
      <w:r>
        <w:rPr>
          <w:sz w:val="15"/>
        </w:rPr>
        <w:t>vía</w:t>
      </w:r>
      <w:r>
        <w:rPr>
          <w:spacing w:val="13"/>
          <w:sz w:val="15"/>
        </w:rPr>
        <w:t> </w:t>
      </w:r>
      <w:r>
        <w:rPr>
          <w:sz w:val="15"/>
        </w:rPr>
        <w:t>pública,</w:t>
      </w:r>
      <w:r>
        <w:rPr>
          <w:spacing w:val="13"/>
          <w:sz w:val="15"/>
        </w:rPr>
        <w:t> </w:t>
      </w:r>
      <w:r>
        <w:rPr>
          <w:sz w:val="15"/>
        </w:rPr>
        <w:t>por</w:t>
      </w:r>
    </w:p>
    <w:p>
      <w:pPr>
        <w:pStyle w:val="BodyText"/>
        <w:tabs>
          <w:tab w:pos="5005" w:val="left" w:leader="none"/>
        </w:tabs>
        <w:spacing w:before="5"/>
        <w:ind w:left="226"/>
      </w:pPr>
      <w:r>
        <w:rPr/>
        <w:t>metro</w:t>
      </w:r>
      <w:r>
        <w:rPr>
          <w:spacing w:val="9"/>
        </w:rPr>
        <w:t> </w:t>
      </w:r>
      <w:r>
        <w:rPr/>
        <w:t>cuadrado:</w:t>
        <w:tab/>
        <w:t>$</w:t>
      </w:r>
      <w:r>
        <w:rPr>
          <w:spacing w:val="1"/>
        </w:rPr>
        <w:t> </w:t>
      </w:r>
      <w:r>
        <w:rPr/>
        <w:t>8.00</w:t>
      </w:r>
    </w:p>
    <w:p>
      <w:pPr>
        <w:pStyle w:val="BodyText"/>
        <w:spacing w:before="6"/>
        <w:rPr>
          <w:sz w:val="17"/>
        </w:rPr>
      </w:pPr>
    </w:p>
    <w:p>
      <w:pPr>
        <w:pStyle w:val="ListParagraph"/>
        <w:numPr>
          <w:ilvl w:val="0"/>
          <w:numId w:val="38"/>
        </w:numPr>
        <w:tabs>
          <w:tab w:pos="469" w:val="left" w:leader="none"/>
        </w:tabs>
        <w:spacing w:line="240" w:lineRule="auto" w:before="0" w:after="0"/>
        <w:ind w:left="468" w:right="0" w:hanging="318"/>
        <w:jc w:val="left"/>
        <w:rPr>
          <w:sz w:val="15"/>
        </w:rPr>
      </w:pPr>
      <w:r>
        <w:rPr>
          <w:sz w:val="15"/>
        </w:rPr>
        <w:t>Estacionamiento medido por estacionómetros o plataforma</w:t>
      </w:r>
      <w:r>
        <w:rPr>
          <w:spacing w:val="12"/>
          <w:sz w:val="15"/>
        </w:rPr>
        <w:t> </w:t>
      </w:r>
      <w:r>
        <w:rPr>
          <w:sz w:val="15"/>
        </w:rPr>
        <w:t>digital:</w:t>
      </w:r>
    </w:p>
    <w:p>
      <w:pPr>
        <w:pStyle w:val="BodyText"/>
        <w:spacing w:before="9"/>
      </w:pPr>
    </w:p>
    <w:p>
      <w:pPr>
        <w:pStyle w:val="ListParagraph"/>
        <w:numPr>
          <w:ilvl w:val="0"/>
          <w:numId w:val="39"/>
        </w:numPr>
        <w:tabs>
          <w:tab w:pos="423" w:val="left" w:leader="none"/>
        </w:tabs>
        <w:spacing w:line="244" w:lineRule="auto" w:before="1" w:after="0"/>
        <w:ind w:left="226" w:right="3674" w:firstLine="0"/>
        <w:jc w:val="left"/>
        <w:rPr>
          <w:sz w:val="15"/>
        </w:rPr>
      </w:pPr>
      <w:r>
        <w:rPr>
          <w:sz w:val="15"/>
        </w:rPr>
        <w:t>Lugares cubiertos con estacionómetros o plataforma digital de</w:t>
      </w:r>
      <w:r>
        <w:rPr>
          <w:spacing w:val="17"/>
          <w:sz w:val="15"/>
        </w:rPr>
        <w:t> </w:t>
      </w:r>
      <w:r>
        <w:rPr>
          <w:sz w:val="15"/>
        </w:rPr>
        <w:t>las</w:t>
      </w:r>
      <w:r>
        <w:rPr>
          <w:spacing w:val="18"/>
          <w:sz w:val="15"/>
        </w:rPr>
        <w:t> </w:t>
      </w:r>
      <w:r>
        <w:rPr>
          <w:sz w:val="15"/>
        </w:rPr>
        <w:t>8:30</w:t>
      </w:r>
      <w:r>
        <w:rPr>
          <w:spacing w:val="17"/>
          <w:sz w:val="15"/>
        </w:rPr>
        <w:t> </w:t>
      </w:r>
      <w:r>
        <w:rPr>
          <w:sz w:val="15"/>
        </w:rPr>
        <w:t>a</w:t>
      </w:r>
      <w:r>
        <w:rPr>
          <w:spacing w:val="17"/>
          <w:sz w:val="15"/>
        </w:rPr>
        <w:t> </w:t>
      </w:r>
      <w:r>
        <w:rPr>
          <w:sz w:val="15"/>
        </w:rPr>
        <w:t>las</w:t>
      </w:r>
      <w:r>
        <w:rPr>
          <w:spacing w:val="18"/>
          <w:sz w:val="15"/>
        </w:rPr>
        <w:t> </w:t>
      </w:r>
      <w:r>
        <w:rPr>
          <w:sz w:val="15"/>
        </w:rPr>
        <w:t>20:30</w:t>
      </w:r>
      <w:r>
        <w:rPr>
          <w:spacing w:val="17"/>
          <w:sz w:val="15"/>
        </w:rPr>
        <w:t> </w:t>
      </w:r>
      <w:r>
        <w:rPr>
          <w:sz w:val="15"/>
        </w:rPr>
        <w:t>horas</w:t>
      </w:r>
      <w:r>
        <w:rPr>
          <w:spacing w:val="18"/>
          <w:sz w:val="15"/>
        </w:rPr>
        <w:t> </w:t>
      </w:r>
      <w:r>
        <w:rPr>
          <w:sz w:val="15"/>
        </w:rPr>
        <w:t>diariamente</w:t>
      </w:r>
      <w:r>
        <w:rPr>
          <w:spacing w:val="17"/>
          <w:sz w:val="15"/>
        </w:rPr>
        <w:t> </w:t>
      </w:r>
      <w:r>
        <w:rPr>
          <w:sz w:val="15"/>
        </w:rPr>
        <w:t>excepto</w:t>
      </w:r>
      <w:r>
        <w:rPr>
          <w:spacing w:val="18"/>
          <w:sz w:val="15"/>
        </w:rPr>
        <w:t> </w:t>
      </w:r>
      <w:r>
        <w:rPr>
          <w:sz w:val="15"/>
        </w:rPr>
        <w:t>domingos</w:t>
      </w:r>
      <w:r>
        <w:rPr>
          <w:spacing w:val="18"/>
          <w:sz w:val="15"/>
        </w:rPr>
        <w:t> </w:t>
      </w:r>
      <w:r>
        <w:rPr>
          <w:sz w:val="15"/>
        </w:rPr>
        <w:t>y</w:t>
      </w:r>
    </w:p>
    <w:p>
      <w:pPr>
        <w:pStyle w:val="BodyText"/>
        <w:tabs>
          <w:tab w:pos="5121" w:val="left" w:leader="none"/>
        </w:tabs>
        <w:spacing w:before="1"/>
        <w:ind w:left="226"/>
      </w:pPr>
      <w:r>
        <w:rPr/>
        <w:t>días festivos oficiales por cada </w:t>
      </w:r>
      <w:r>
        <w:rPr>
          <w:spacing w:val="2"/>
        </w:rPr>
        <w:t> </w:t>
      </w:r>
      <w:r>
        <w:rPr/>
        <w:t>15</w:t>
      </w:r>
      <w:r>
        <w:rPr>
          <w:spacing w:val="9"/>
        </w:rPr>
        <w:t> </w:t>
      </w:r>
      <w:r>
        <w:rPr/>
        <w:t>minutos:</w:t>
        <w:tab/>
        <w:t>$6.00</w:t>
      </w:r>
    </w:p>
    <w:p>
      <w:pPr>
        <w:pStyle w:val="BodyText"/>
        <w:spacing w:before="10"/>
      </w:pPr>
    </w:p>
    <w:p>
      <w:pPr>
        <w:pStyle w:val="ListParagraph"/>
        <w:numPr>
          <w:ilvl w:val="0"/>
          <w:numId w:val="39"/>
        </w:numPr>
        <w:tabs>
          <w:tab w:pos="452" w:val="left" w:leader="none"/>
        </w:tabs>
        <w:spacing w:line="247" w:lineRule="auto" w:before="0" w:after="0"/>
        <w:ind w:left="249" w:right="508" w:firstLine="0"/>
        <w:jc w:val="left"/>
        <w:rPr>
          <w:sz w:val="15"/>
        </w:rPr>
      </w:pPr>
      <w:r>
        <w:rPr>
          <w:sz w:val="15"/>
        </w:rPr>
        <w:t>Calcomanías para estacionarse en espacios cubiertos por estacionómetros o por plataforma digital por   cada</w:t>
      </w:r>
      <w:r>
        <w:rPr>
          <w:spacing w:val="1"/>
          <w:sz w:val="15"/>
        </w:rPr>
        <w:t> </w:t>
      </w:r>
      <w:r>
        <w:rPr>
          <w:sz w:val="15"/>
        </w:rPr>
        <w:t>uno:</w:t>
      </w:r>
    </w:p>
    <w:p>
      <w:pPr>
        <w:spacing w:after="0" w:line="247" w:lineRule="auto"/>
        <w:jc w:val="left"/>
        <w:rPr>
          <w:sz w:val="15"/>
        </w:rPr>
        <w:sectPr>
          <w:type w:val="continuous"/>
          <w:pgSz w:w="23250" w:h="15310" w:orient="landscape"/>
          <w:pgMar w:top="0" w:bottom="0" w:left="1880" w:right="1520"/>
          <w:cols w:num="2" w:equalWidth="0">
            <w:col w:w="7751" w:space="3871"/>
            <w:col w:w="8228"/>
          </w:cols>
        </w:sectPr>
      </w:pPr>
    </w:p>
    <w:p>
      <w:pPr>
        <w:pStyle w:val="BodyText"/>
        <w:spacing w:before="5"/>
        <w:ind w:right="2214"/>
        <w:jc w:val="right"/>
      </w:pPr>
      <w:r>
        <w:rPr/>
        <w:t>$12.00 a $28.00</w:t>
      </w:r>
    </w:p>
    <w:p>
      <w:pPr>
        <w:pStyle w:val="BodyText"/>
        <w:spacing w:before="6"/>
        <w:rPr>
          <w:sz w:val="17"/>
        </w:rPr>
      </w:pPr>
    </w:p>
    <w:p>
      <w:pPr>
        <w:pStyle w:val="ListParagraph"/>
        <w:numPr>
          <w:ilvl w:val="0"/>
          <w:numId w:val="40"/>
        </w:numPr>
        <w:tabs>
          <w:tab w:pos="422" w:val="left" w:leader="none"/>
        </w:tabs>
        <w:spacing w:line="240" w:lineRule="auto" w:before="0" w:after="0"/>
        <w:ind w:left="421" w:right="0" w:hanging="172"/>
        <w:jc w:val="left"/>
        <w:rPr>
          <w:sz w:val="15"/>
        </w:rPr>
      </w:pPr>
      <w:r>
        <w:rPr>
          <w:sz w:val="15"/>
        </w:rPr>
        <w:t>Por</w:t>
      </w:r>
      <w:r>
        <w:rPr>
          <w:spacing w:val="5"/>
          <w:sz w:val="15"/>
        </w:rPr>
        <w:t> </w:t>
      </w:r>
      <w:r>
        <w:rPr>
          <w:sz w:val="15"/>
        </w:rPr>
        <w:t>espectáculos,</w:t>
      </w:r>
      <w:r>
        <w:rPr>
          <w:spacing w:val="5"/>
          <w:sz w:val="15"/>
        </w:rPr>
        <w:t> </w:t>
      </w:r>
      <w:r>
        <w:rPr>
          <w:sz w:val="15"/>
        </w:rPr>
        <w:t>diversiones</w:t>
      </w:r>
      <w:r>
        <w:rPr>
          <w:spacing w:val="6"/>
          <w:sz w:val="15"/>
        </w:rPr>
        <w:t> </w:t>
      </w:r>
      <w:r>
        <w:rPr>
          <w:sz w:val="15"/>
        </w:rPr>
        <w:t>públicas</w:t>
      </w:r>
      <w:r>
        <w:rPr>
          <w:spacing w:val="5"/>
          <w:sz w:val="15"/>
        </w:rPr>
        <w:t> </w:t>
      </w:r>
      <w:r>
        <w:rPr>
          <w:sz w:val="15"/>
        </w:rPr>
        <w:t>y</w:t>
      </w:r>
      <w:r>
        <w:rPr>
          <w:spacing w:val="6"/>
          <w:sz w:val="15"/>
        </w:rPr>
        <w:t> </w:t>
      </w:r>
      <w:r>
        <w:rPr>
          <w:sz w:val="15"/>
        </w:rPr>
        <w:t>juegos</w:t>
      </w:r>
      <w:r>
        <w:rPr>
          <w:spacing w:val="5"/>
          <w:sz w:val="15"/>
        </w:rPr>
        <w:t> </w:t>
      </w:r>
      <w:r>
        <w:rPr>
          <w:sz w:val="15"/>
        </w:rPr>
        <w:t>mecánicos,</w:t>
      </w:r>
      <w:r>
        <w:rPr>
          <w:spacing w:val="6"/>
          <w:sz w:val="15"/>
        </w:rPr>
        <w:t> </w:t>
      </w:r>
      <w:r>
        <w:rPr>
          <w:sz w:val="15"/>
        </w:rPr>
        <w:t>diariamente,</w:t>
      </w:r>
      <w:r>
        <w:rPr>
          <w:spacing w:val="5"/>
          <w:sz w:val="15"/>
        </w:rPr>
        <w:t> </w:t>
      </w:r>
      <w:r>
        <w:rPr>
          <w:sz w:val="15"/>
        </w:rPr>
        <w:t>por</w:t>
      </w:r>
      <w:r>
        <w:rPr>
          <w:spacing w:val="5"/>
          <w:sz w:val="15"/>
        </w:rPr>
        <w:t> </w:t>
      </w:r>
      <w:r>
        <w:rPr>
          <w:sz w:val="15"/>
        </w:rPr>
        <w:t>metro</w:t>
      </w:r>
      <w:r>
        <w:rPr>
          <w:spacing w:val="6"/>
          <w:sz w:val="15"/>
        </w:rPr>
        <w:t> </w:t>
      </w:r>
      <w:r>
        <w:rPr>
          <w:sz w:val="15"/>
        </w:rPr>
        <w:t>cuadrado:</w:t>
      </w:r>
    </w:p>
    <w:p>
      <w:pPr>
        <w:pStyle w:val="BodyText"/>
        <w:spacing w:before="6"/>
        <w:rPr>
          <w:sz w:val="17"/>
        </w:rPr>
      </w:pPr>
    </w:p>
    <w:p>
      <w:pPr>
        <w:pStyle w:val="ListParagraph"/>
        <w:numPr>
          <w:ilvl w:val="0"/>
          <w:numId w:val="41"/>
        </w:numPr>
        <w:tabs>
          <w:tab w:pos="404" w:val="left" w:leader="none"/>
          <w:tab w:pos="4962" w:val="left" w:leader="none"/>
        </w:tabs>
        <w:spacing w:line="240" w:lineRule="auto" w:before="0" w:after="0"/>
        <w:ind w:left="403" w:right="0" w:hanging="178"/>
        <w:jc w:val="left"/>
        <w:rPr>
          <w:sz w:val="15"/>
        </w:rPr>
      </w:pPr>
      <w:r>
        <w:rPr>
          <w:sz w:val="15"/>
        </w:rPr>
        <w:t>Tlajomulco y Cajititlán de </w:t>
      </w:r>
      <w:r>
        <w:rPr>
          <w:spacing w:val="6"/>
          <w:sz w:val="15"/>
        </w:rPr>
        <w:t> </w:t>
      </w:r>
      <w:r>
        <w:rPr>
          <w:sz w:val="15"/>
        </w:rPr>
        <w:t>los</w:t>
      </w:r>
      <w:r>
        <w:rPr>
          <w:spacing w:val="11"/>
          <w:sz w:val="15"/>
        </w:rPr>
        <w:t> </w:t>
      </w:r>
      <w:r>
        <w:rPr>
          <w:sz w:val="15"/>
        </w:rPr>
        <w:t>Reyes:</w:t>
        <w:tab/>
        <w:t>$37.00</w:t>
      </w:r>
    </w:p>
    <w:p>
      <w:pPr>
        <w:pStyle w:val="BodyText"/>
        <w:spacing w:before="2"/>
        <w:rPr>
          <w:sz w:val="19"/>
        </w:rPr>
      </w:pPr>
    </w:p>
    <w:p>
      <w:pPr>
        <w:pStyle w:val="ListParagraph"/>
        <w:numPr>
          <w:ilvl w:val="0"/>
          <w:numId w:val="41"/>
        </w:numPr>
        <w:tabs>
          <w:tab w:pos="476" w:val="left" w:leader="none"/>
        </w:tabs>
        <w:spacing w:line="244" w:lineRule="auto" w:before="0" w:after="0"/>
        <w:ind w:left="226" w:right="3704" w:firstLine="0"/>
        <w:jc w:val="both"/>
        <w:rPr>
          <w:sz w:val="15"/>
        </w:rPr>
      </w:pPr>
      <w:r>
        <w:rPr>
          <w:sz w:val="15"/>
        </w:rPr>
        <w:t>Santa Cruz de las Flores, Buenavista, Rancho Alegre, San Agustín, San Sebastián El Grande, Tulipanes, Santa Cruz del </w:t>
      </w:r>
      <w:r>
        <w:rPr>
          <w:spacing w:val="-3"/>
          <w:sz w:val="15"/>
        </w:rPr>
        <w:t>Valle </w:t>
      </w:r>
      <w:r>
        <w:rPr>
          <w:sz w:val="15"/>
        </w:rPr>
        <w:t>y San Miguel</w:t>
      </w:r>
      <w:r>
        <w:rPr>
          <w:spacing w:val="34"/>
          <w:sz w:val="15"/>
        </w:rPr>
        <w:t> </w:t>
      </w:r>
      <w:r>
        <w:rPr>
          <w:sz w:val="15"/>
        </w:rPr>
        <w:t>Cuyutlán:</w:t>
      </w:r>
    </w:p>
    <w:p>
      <w:pPr>
        <w:pStyle w:val="BodyText"/>
        <w:spacing w:before="3"/>
        <w:ind w:right="2314"/>
        <w:jc w:val="right"/>
      </w:pPr>
      <w:r>
        <w:rPr/>
        <w:t>$18.00</w:t>
      </w:r>
    </w:p>
    <w:p>
      <w:pPr>
        <w:pStyle w:val="BodyText"/>
        <w:spacing w:before="3"/>
        <w:rPr>
          <w:sz w:val="19"/>
        </w:rPr>
      </w:pPr>
    </w:p>
    <w:p>
      <w:pPr>
        <w:pStyle w:val="ListParagraph"/>
        <w:numPr>
          <w:ilvl w:val="0"/>
          <w:numId w:val="41"/>
        </w:numPr>
        <w:tabs>
          <w:tab w:pos="398" w:val="left" w:leader="none"/>
          <w:tab w:pos="4961" w:val="left" w:leader="none"/>
        </w:tabs>
        <w:spacing w:line="240" w:lineRule="auto" w:before="0" w:after="0"/>
        <w:ind w:left="397" w:right="0" w:hanging="172"/>
        <w:jc w:val="left"/>
        <w:rPr>
          <w:sz w:val="15"/>
        </w:rPr>
      </w:pPr>
      <w:r>
        <w:rPr>
          <w:sz w:val="15"/>
        </w:rPr>
        <w:t>Demás  poblaciones</w:t>
      </w:r>
      <w:r>
        <w:rPr>
          <w:spacing w:val="-6"/>
          <w:sz w:val="15"/>
        </w:rPr>
        <w:t> </w:t>
      </w:r>
      <w:r>
        <w:rPr>
          <w:sz w:val="15"/>
        </w:rPr>
        <w:t>del</w:t>
      </w:r>
      <w:r>
        <w:rPr>
          <w:spacing w:val="19"/>
          <w:sz w:val="15"/>
        </w:rPr>
        <w:t> </w:t>
      </w:r>
      <w:r>
        <w:rPr>
          <w:sz w:val="15"/>
        </w:rPr>
        <w:t>Municipio:</w:t>
        <w:tab/>
        <w:t>$13.00</w:t>
      </w:r>
    </w:p>
    <w:p>
      <w:pPr>
        <w:pStyle w:val="BodyText"/>
        <w:spacing w:before="2"/>
        <w:rPr>
          <w:sz w:val="19"/>
        </w:rPr>
      </w:pPr>
    </w:p>
    <w:p>
      <w:pPr>
        <w:pStyle w:val="ListParagraph"/>
        <w:numPr>
          <w:ilvl w:val="0"/>
          <w:numId w:val="40"/>
        </w:numPr>
        <w:tabs>
          <w:tab w:pos="463" w:val="left" w:leader="none"/>
        </w:tabs>
        <w:spacing w:line="247" w:lineRule="auto" w:before="0" w:after="0"/>
        <w:ind w:left="226" w:right="3704" w:firstLine="0"/>
        <w:jc w:val="both"/>
        <w:rPr>
          <w:sz w:val="15"/>
        </w:rPr>
      </w:pPr>
      <w:r>
        <w:rPr>
          <w:sz w:val="15"/>
        </w:rPr>
        <w:t>Por cambios de ubicación, giros, días de trabajo u otras condiciones marcadas en el permiso  y  autorizadas previamente, o cesión de derechos</w:t>
      </w:r>
      <w:r>
        <w:rPr>
          <w:spacing w:val="32"/>
          <w:sz w:val="15"/>
        </w:rPr>
        <w:t> </w:t>
      </w:r>
      <w:r>
        <w:rPr>
          <w:spacing w:val="-6"/>
          <w:sz w:val="15"/>
        </w:rPr>
        <w:t>de</w:t>
      </w:r>
    </w:p>
    <w:p>
      <w:pPr>
        <w:pStyle w:val="BodyText"/>
        <w:tabs>
          <w:tab w:pos="4962" w:val="left" w:leader="none"/>
        </w:tabs>
        <w:spacing w:line="170" w:lineRule="exact"/>
        <w:ind w:left="226"/>
        <w:jc w:val="both"/>
      </w:pPr>
      <w:r>
        <w:rPr/>
        <w:t>puestos fijos, semifijos</w:t>
      </w:r>
      <w:r>
        <w:rPr>
          <w:spacing w:val="28"/>
        </w:rPr>
        <w:t> </w:t>
      </w:r>
      <w:r>
        <w:rPr/>
        <w:t>o</w:t>
      </w:r>
      <w:r>
        <w:rPr>
          <w:spacing w:val="8"/>
        </w:rPr>
        <w:t> </w:t>
      </w:r>
      <w:r>
        <w:rPr/>
        <w:t>móviles:</w:t>
        <w:tab/>
        <w:t>$95.00</w:t>
      </w:r>
    </w:p>
    <w:p>
      <w:pPr>
        <w:pStyle w:val="BodyText"/>
        <w:spacing w:before="3"/>
        <w:rPr>
          <w:sz w:val="19"/>
        </w:rPr>
      </w:pPr>
    </w:p>
    <w:p>
      <w:pPr>
        <w:pStyle w:val="BodyText"/>
        <w:tabs>
          <w:tab w:pos="4876" w:val="left" w:leader="none"/>
        </w:tabs>
        <w:ind w:left="226"/>
      </w:pPr>
      <w:r>
        <w:rPr/>
        <w:t>a) Cesión de derechos por </w:t>
      </w:r>
      <w:r>
        <w:rPr>
          <w:spacing w:val="2"/>
        </w:rPr>
        <w:t> </w:t>
      </w:r>
      <w:r>
        <w:rPr/>
        <w:t>metro</w:t>
      </w:r>
      <w:r>
        <w:rPr>
          <w:spacing w:val="9"/>
        </w:rPr>
        <w:t> </w:t>
      </w:r>
      <w:r>
        <w:rPr/>
        <w:t>cuadrado:</w:t>
        <w:tab/>
        <w:t>$334.00</w:t>
      </w:r>
    </w:p>
    <w:p>
      <w:pPr>
        <w:pStyle w:val="BodyText"/>
        <w:spacing w:before="6"/>
        <w:rPr>
          <w:sz w:val="17"/>
        </w:rPr>
      </w:pPr>
    </w:p>
    <w:p>
      <w:pPr>
        <w:pStyle w:val="BodyText"/>
        <w:spacing w:line="244" w:lineRule="auto"/>
        <w:ind w:left="150" w:right="38" w:firstLine="397"/>
        <w:jc w:val="both"/>
      </w:pPr>
      <w:r>
        <w:rPr/>
        <w:t>En caso de cesión por consanguinidad en línea recta hasta el cuarto grado o entre cónyuges, se aplicará una tarifa equivalente al 50% respecto de lo señalado en el presente inciso, previo dictamen y autorización de    la autoridad</w:t>
      </w:r>
      <w:r>
        <w:rPr>
          <w:spacing w:val="1"/>
        </w:rPr>
        <w:t> </w:t>
      </w:r>
      <w:r>
        <w:rPr/>
        <w:t>competente.</w:t>
      </w:r>
    </w:p>
    <w:p>
      <w:pPr>
        <w:pStyle w:val="BodyText"/>
        <w:spacing w:before="8"/>
      </w:pPr>
    </w:p>
    <w:p>
      <w:pPr>
        <w:pStyle w:val="BodyText"/>
        <w:spacing w:line="244" w:lineRule="auto"/>
        <w:ind w:left="151" w:right="39" w:firstLine="397"/>
        <w:jc w:val="both"/>
      </w:pPr>
      <w:r>
        <w:rPr/>
        <w:t>En caso de cesión por consanguinidad en línea colateral hasta el cuarto grado, se aplicará una tarifa equivalente al 80% respecto de lo señalado en el presente inciso, previo dictamen y  autorización  de  la autoridad</w:t>
      </w:r>
      <w:r>
        <w:rPr>
          <w:spacing w:val="1"/>
        </w:rPr>
        <w:t> </w:t>
      </w:r>
      <w:r>
        <w:rPr/>
        <w:t>competente.</w:t>
      </w:r>
    </w:p>
    <w:p>
      <w:pPr>
        <w:pStyle w:val="BodyText"/>
        <w:spacing w:before="4"/>
        <w:rPr>
          <w:sz w:val="17"/>
        </w:rPr>
      </w:pPr>
    </w:p>
    <w:p>
      <w:pPr>
        <w:pStyle w:val="ListParagraph"/>
        <w:numPr>
          <w:ilvl w:val="0"/>
          <w:numId w:val="40"/>
        </w:numPr>
        <w:tabs>
          <w:tab w:pos="490" w:val="left" w:leader="none"/>
        </w:tabs>
        <w:spacing w:line="247" w:lineRule="auto" w:before="0" w:after="0"/>
        <w:ind w:left="226" w:right="3214" w:firstLine="0"/>
        <w:jc w:val="left"/>
        <w:rPr>
          <w:sz w:val="15"/>
        </w:rPr>
      </w:pPr>
      <w:r>
        <w:rPr>
          <w:sz w:val="15"/>
        </w:rPr>
        <w:t>Cuando el cobro por el uso de piso de las fracciones anteriores</w:t>
      </w:r>
      <w:r>
        <w:rPr>
          <w:spacing w:val="22"/>
          <w:sz w:val="15"/>
        </w:rPr>
        <w:t> </w:t>
      </w:r>
      <w:r>
        <w:rPr>
          <w:sz w:val="15"/>
        </w:rPr>
        <w:t>se</w:t>
      </w:r>
      <w:r>
        <w:rPr>
          <w:spacing w:val="23"/>
          <w:sz w:val="15"/>
        </w:rPr>
        <w:t> </w:t>
      </w:r>
      <w:r>
        <w:rPr>
          <w:sz w:val="15"/>
        </w:rPr>
        <w:t>realice</w:t>
      </w:r>
      <w:r>
        <w:rPr>
          <w:spacing w:val="23"/>
          <w:sz w:val="15"/>
        </w:rPr>
        <w:t> </w:t>
      </w:r>
      <w:r>
        <w:rPr>
          <w:sz w:val="15"/>
        </w:rPr>
        <w:t>en</w:t>
      </w:r>
      <w:r>
        <w:rPr>
          <w:spacing w:val="22"/>
          <w:sz w:val="15"/>
        </w:rPr>
        <w:t> </w:t>
      </w:r>
      <w:r>
        <w:rPr>
          <w:sz w:val="15"/>
        </w:rPr>
        <w:t>campo,</w:t>
      </w:r>
      <w:r>
        <w:rPr>
          <w:spacing w:val="23"/>
          <w:sz w:val="15"/>
        </w:rPr>
        <w:t> </w:t>
      </w:r>
      <w:r>
        <w:rPr>
          <w:sz w:val="15"/>
        </w:rPr>
        <w:t>se</w:t>
      </w:r>
      <w:r>
        <w:rPr>
          <w:spacing w:val="24"/>
          <w:sz w:val="15"/>
        </w:rPr>
        <w:t> </w:t>
      </w:r>
      <w:r>
        <w:rPr>
          <w:sz w:val="15"/>
        </w:rPr>
        <w:t>pagará</w:t>
      </w:r>
      <w:r>
        <w:rPr>
          <w:spacing w:val="23"/>
          <w:sz w:val="15"/>
        </w:rPr>
        <w:t> </w:t>
      </w:r>
      <w:r>
        <w:rPr>
          <w:sz w:val="15"/>
        </w:rPr>
        <w:t>adicionalmente</w:t>
      </w:r>
      <w:r>
        <w:rPr>
          <w:spacing w:val="23"/>
          <w:sz w:val="15"/>
        </w:rPr>
        <w:t> </w:t>
      </w:r>
      <w:r>
        <w:rPr>
          <w:sz w:val="15"/>
        </w:rPr>
        <w:t>por</w:t>
      </w:r>
    </w:p>
    <w:p>
      <w:pPr>
        <w:pStyle w:val="BodyText"/>
        <w:tabs>
          <w:tab w:pos="4902" w:val="left" w:leader="none"/>
        </w:tabs>
        <w:spacing w:line="172" w:lineRule="exact"/>
        <w:ind w:left="226"/>
      </w:pPr>
      <w:r>
        <w:rPr/>
        <w:t>cada</w:t>
      </w:r>
      <w:r>
        <w:rPr>
          <w:spacing w:val="7"/>
        </w:rPr>
        <w:t> </w:t>
      </w:r>
      <w:r>
        <w:rPr/>
        <w:t>metro</w:t>
      </w:r>
      <w:r>
        <w:rPr>
          <w:spacing w:val="8"/>
        </w:rPr>
        <w:t> </w:t>
      </w:r>
      <w:r>
        <w:rPr/>
        <w:t>lineal:</w:t>
        <w:tab/>
        <w:t>$5.00</w:t>
      </w:r>
    </w:p>
    <w:p>
      <w:pPr>
        <w:pStyle w:val="BodyText"/>
        <w:spacing w:before="2"/>
        <w:rPr>
          <w:sz w:val="19"/>
        </w:rPr>
      </w:pPr>
    </w:p>
    <w:p>
      <w:pPr>
        <w:pStyle w:val="ListParagraph"/>
        <w:numPr>
          <w:ilvl w:val="0"/>
          <w:numId w:val="40"/>
        </w:numPr>
        <w:tabs>
          <w:tab w:pos="503" w:val="left" w:leader="none"/>
        </w:tabs>
        <w:spacing w:line="247" w:lineRule="auto" w:before="0" w:after="0"/>
        <w:ind w:left="226" w:right="3211" w:firstLine="0"/>
        <w:jc w:val="left"/>
        <w:rPr>
          <w:sz w:val="15"/>
        </w:rPr>
      </w:pPr>
      <w:r>
        <w:rPr>
          <w:sz w:val="15"/>
        </w:rPr>
        <w:t>La utilización de la vía pública para promociones comerciales, eventos de temporada, ferias</w:t>
      </w:r>
      <w:r>
        <w:rPr>
          <w:spacing w:val="4"/>
          <w:sz w:val="15"/>
        </w:rPr>
        <w:t> </w:t>
      </w:r>
      <w:r>
        <w:rPr>
          <w:sz w:val="15"/>
        </w:rPr>
        <w:t>comerciales</w:t>
      </w:r>
    </w:p>
    <w:p>
      <w:pPr>
        <w:pStyle w:val="ListParagraph"/>
        <w:numPr>
          <w:ilvl w:val="0"/>
          <w:numId w:val="42"/>
        </w:numPr>
        <w:tabs>
          <w:tab w:pos="396" w:val="left" w:leader="none"/>
          <w:tab w:pos="4821" w:val="left" w:leader="none"/>
        </w:tabs>
        <w:spacing w:line="240" w:lineRule="auto" w:before="5" w:after="0"/>
        <w:ind w:left="395" w:right="0" w:hanging="170"/>
        <w:jc w:val="left"/>
        <w:rPr>
          <w:sz w:val="15"/>
        </w:rPr>
      </w:pPr>
      <w:r>
        <w:rPr>
          <w:spacing w:val="-6"/>
          <w:w w:val="102"/>
          <w:sz w:val="15"/>
        </w:rPr>
        <w:br w:type="column"/>
      </w:r>
      <w:r>
        <w:rPr>
          <w:sz w:val="15"/>
        </w:rPr>
        <w:t>Tiempo</w:t>
      </w:r>
      <w:r>
        <w:rPr>
          <w:spacing w:val="21"/>
          <w:sz w:val="15"/>
        </w:rPr>
        <w:t> </w:t>
      </w:r>
      <w:r>
        <w:rPr>
          <w:sz w:val="15"/>
        </w:rPr>
        <w:t>completo</w:t>
      </w:r>
      <w:r>
        <w:rPr>
          <w:spacing w:val="22"/>
          <w:sz w:val="15"/>
        </w:rPr>
        <w:t> </w:t>
      </w:r>
      <w:r>
        <w:rPr>
          <w:sz w:val="15"/>
        </w:rPr>
        <w:t>anualmente:</w:t>
        <w:tab/>
        <w:t>$5,555.00</w:t>
      </w:r>
    </w:p>
    <w:p>
      <w:pPr>
        <w:pStyle w:val="BodyText"/>
        <w:spacing w:before="2"/>
        <w:rPr>
          <w:sz w:val="19"/>
        </w:rPr>
      </w:pPr>
    </w:p>
    <w:p>
      <w:pPr>
        <w:pStyle w:val="ListParagraph"/>
        <w:numPr>
          <w:ilvl w:val="0"/>
          <w:numId w:val="42"/>
        </w:numPr>
        <w:tabs>
          <w:tab w:pos="396" w:val="left" w:leader="none"/>
          <w:tab w:pos="4950" w:val="left" w:leader="none"/>
        </w:tabs>
        <w:spacing w:line="240" w:lineRule="auto" w:before="0" w:after="0"/>
        <w:ind w:left="395" w:right="0" w:hanging="170"/>
        <w:jc w:val="left"/>
        <w:rPr>
          <w:sz w:val="15"/>
        </w:rPr>
      </w:pPr>
      <w:r>
        <w:rPr>
          <w:sz w:val="15"/>
        </w:rPr>
        <w:t>Tiempo</w:t>
      </w:r>
      <w:r>
        <w:rPr>
          <w:spacing w:val="24"/>
          <w:sz w:val="15"/>
        </w:rPr>
        <w:t> </w:t>
      </w:r>
      <w:r>
        <w:rPr>
          <w:sz w:val="15"/>
        </w:rPr>
        <w:t>completo</w:t>
      </w:r>
      <w:r>
        <w:rPr>
          <w:spacing w:val="25"/>
          <w:sz w:val="15"/>
        </w:rPr>
        <w:t> </w:t>
      </w:r>
      <w:r>
        <w:rPr>
          <w:sz w:val="15"/>
        </w:rPr>
        <w:t>mensualmente:</w:t>
        <w:tab/>
        <w:t>$735.00</w:t>
      </w:r>
    </w:p>
    <w:p>
      <w:pPr>
        <w:pStyle w:val="BodyText"/>
        <w:spacing w:before="2"/>
        <w:rPr>
          <w:sz w:val="19"/>
        </w:rPr>
      </w:pPr>
    </w:p>
    <w:p>
      <w:pPr>
        <w:pStyle w:val="ListParagraph"/>
        <w:numPr>
          <w:ilvl w:val="0"/>
          <w:numId w:val="42"/>
        </w:numPr>
        <w:tabs>
          <w:tab w:pos="398" w:val="left" w:leader="none"/>
          <w:tab w:pos="4821" w:val="left" w:leader="none"/>
        </w:tabs>
        <w:spacing w:line="240" w:lineRule="auto" w:before="0" w:after="0"/>
        <w:ind w:left="397" w:right="0" w:hanging="172"/>
        <w:jc w:val="left"/>
        <w:rPr>
          <w:sz w:val="15"/>
        </w:rPr>
      </w:pPr>
      <w:r>
        <w:rPr>
          <w:sz w:val="15"/>
        </w:rPr>
        <w:t>Medio</w:t>
      </w:r>
      <w:r>
        <w:rPr>
          <w:spacing w:val="21"/>
          <w:sz w:val="15"/>
        </w:rPr>
        <w:t> </w:t>
      </w:r>
      <w:r>
        <w:rPr>
          <w:sz w:val="15"/>
        </w:rPr>
        <w:t>tiempo</w:t>
      </w:r>
      <w:r>
        <w:rPr>
          <w:spacing w:val="22"/>
          <w:sz w:val="15"/>
        </w:rPr>
        <w:t> </w:t>
      </w:r>
      <w:r>
        <w:rPr>
          <w:sz w:val="15"/>
        </w:rPr>
        <w:t>anualmente:</w:t>
        <w:tab/>
        <w:t>$3,150.00</w:t>
      </w:r>
    </w:p>
    <w:p>
      <w:pPr>
        <w:pStyle w:val="BodyText"/>
        <w:spacing w:before="3"/>
        <w:rPr>
          <w:sz w:val="19"/>
        </w:rPr>
      </w:pPr>
    </w:p>
    <w:p>
      <w:pPr>
        <w:pStyle w:val="ListParagraph"/>
        <w:numPr>
          <w:ilvl w:val="0"/>
          <w:numId w:val="42"/>
        </w:numPr>
        <w:tabs>
          <w:tab w:pos="398" w:val="left" w:leader="none"/>
          <w:tab w:pos="4950" w:val="left" w:leader="none"/>
        </w:tabs>
        <w:spacing w:line="240" w:lineRule="auto" w:before="0" w:after="0"/>
        <w:ind w:left="397" w:right="0" w:hanging="172"/>
        <w:jc w:val="left"/>
        <w:rPr>
          <w:sz w:val="15"/>
        </w:rPr>
      </w:pPr>
      <w:r>
        <w:rPr>
          <w:sz w:val="15"/>
        </w:rPr>
        <w:t>Medio</w:t>
      </w:r>
      <w:r>
        <w:rPr>
          <w:spacing w:val="24"/>
          <w:sz w:val="15"/>
        </w:rPr>
        <w:t> </w:t>
      </w:r>
      <w:r>
        <w:rPr>
          <w:sz w:val="15"/>
        </w:rPr>
        <w:t>tiempo</w:t>
      </w:r>
      <w:r>
        <w:rPr>
          <w:spacing w:val="25"/>
          <w:sz w:val="15"/>
        </w:rPr>
        <w:t> </w:t>
      </w:r>
      <w:r>
        <w:rPr>
          <w:sz w:val="15"/>
        </w:rPr>
        <w:t>mensualmente:</w:t>
        <w:tab/>
        <w:t>$375.00</w:t>
      </w:r>
    </w:p>
    <w:p>
      <w:pPr>
        <w:pStyle w:val="BodyText"/>
        <w:spacing w:before="5"/>
        <w:rPr>
          <w:sz w:val="17"/>
        </w:rPr>
      </w:pPr>
    </w:p>
    <w:p>
      <w:pPr>
        <w:pStyle w:val="BodyText"/>
        <w:ind w:left="150"/>
      </w:pPr>
      <w:r>
        <w:rPr/>
        <w:t>IX. Otros puestos eventuales no previstos, por metro cuadrado:</w:t>
      </w:r>
    </w:p>
    <w:p>
      <w:pPr>
        <w:pStyle w:val="BodyText"/>
        <w:spacing w:before="5"/>
        <w:ind w:left="5601"/>
      </w:pPr>
      <w:r>
        <w:rPr/>
        <w:t>$28.00</w:t>
      </w:r>
    </w:p>
    <w:p>
      <w:pPr>
        <w:pStyle w:val="BodyText"/>
        <w:spacing w:before="9"/>
      </w:pPr>
    </w:p>
    <w:p>
      <w:pPr>
        <w:pStyle w:val="BodyText"/>
        <w:spacing w:line="244" w:lineRule="auto"/>
        <w:ind w:left="150" w:right="509" w:firstLine="397"/>
        <w:jc w:val="both"/>
      </w:pPr>
      <w:r>
        <w:rPr/>
        <w:t>Quedan exceptuados del pago de los conceptos que se establecen  en los artículos 64 fracciones II y  X  así como 65, fracciones I, II y V que se refieren al comercio en vía pública de la presente </w:t>
      </w:r>
      <w:r>
        <w:rPr>
          <w:spacing w:val="-4"/>
        </w:rPr>
        <w:t>Ley, </w:t>
      </w:r>
      <w:r>
        <w:rPr/>
        <w:t>las personas  físicas consideradas como de la tercera edad o con discapacidad a quien se le autorice explotar el uso de piso hasta por un máximo de 9 m</w:t>
      </w:r>
      <w:r>
        <w:rPr>
          <w:position w:val="5"/>
          <w:sz w:val="10"/>
        </w:rPr>
        <w:t>2</w:t>
      </w:r>
      <w:r>
        <w:rPr/>
        <w:t>, siempre y cuando presenten ante la Hacienda Municipal la credencial expedida por alguna Institución Pública que lo acredite, y esa persona sea quien trabaje el puesto, para lo cual deberán solicitar este beneficio en las oficinas de la Tesorería Municipal de manera</w:t>
      </w:r>
      <w:r>
        <w:rPr>
          <w:spacing w:val="29"/>
        </w:rPr>
        <w:t> </w:t>
      </w:r>
      <w:r>
        <w:rPr/>
        <w:t>personal.</w:t>
      </w:r>
    </w:p>
    <w:p>
      <w:pPr>
        <w:pStyle w:val="BodyText"/>
        <w:spacing w:before="10"/>
      </w:pPr>
    </w:p>
    <w:p>
      <w:pPr>
        <w:pStyle w:val="Heading4"/>
        <w:ind w:left="323" w:right="674"/>
      </w:pPr>
      <w:r>
        <w:rPr/>
        <w:t>SECCIÓN SEGUNDA</w:t>
      </w:r>
    </w:p>
    <w:p>
      <w:pPr>
        <w:spacing w:before="4"/>
        <w:ind w:left="315" w:right="674" w:firstLine="0"/>
        <w:jc w:val="center"/>
        <w:rPr>
          <w:b/>
          <w:sz w:val="15"/>
        </w:rPr>
      </w:pPr>
      <w:r>
        <w:rPr>
          <w:b/>
          <w:sz w:val="15"/>
        </w:rPr>
        <w:t>De los Estacionamientos</w:t>
      </w:r>
    </w:p>
    <w:p>
      <w:pPr>
        <w:pStyle w:val="BodyText"/>
        <w:spacing w:before="9"/>
        <w:rPr>
          <w:b/>
        </w:rPr>
      </w:pPr>
    </w:p>
    <w:p>
      <w:pPr>
        <w:pStyle w:val="BodyText"/>
        <w:spacing w:line="247" w:lineRule="auto"/>
        <w:ind w:left="150" w:right="509" w:firstLine="397"/>
        <w:jc w:val="both"/>
      </w:pPr>
      <w:r>
        <w:rPr>
          <w:b/>
        </w:rPr>
        <w:t>Artículo 66.- </w:t>
      </w:r>
      <w:r>
        <w:rPr/>
        <w:t>Los prestadores del servicio de estacionamiento público pagarán mensualmente, dentro de los primeros cinco días hábiles, por cada cajón, de acuerdo a lo</w:t>
      </w:r>
      <w:r>
        <w:rPr>
          <w:spacing w:val="26"/>
        </w:rPr>
        <w:t> </w:t>
      </w:r>
      <w:r>
        <w:rPr/>
        <w:t>siguiente:</w:t>
      </w:r>
    </w:p>
    <w:p>
      <w:pPr>
        <w:pStyle w:val="BodyText"/>
        <w:spacing w:before="4"/>
      </w:pPr>
    </w:p>
    <w:p>
      <w:pPr>
        <w:pStyle w:val="BodyText"/>
        <w:ind w:left="5679"/>
      </w:pPr>
      <w:r>
        <w:rPr/>
        <w:t>TARIFA</w:t>
      </w:r>
    </w:p>
    <w:p>
      <w:pPr>
        <w:pStyle w:val="ListParagraph"/>
        <w:numPr>
          <w:ilvl w:val="0"/>
          <w:numId w:val="43"/>
        </w:numPr>
        <w:tabs>
          <w:tab w:pos="356" w:val="left" w:leader="none"/>
          <w:tab w:pos="4860" w:val="left" w:leader="none"/>
        </w:tabs>
        <w:spacing w:line="240" w:lineRule="auto" w:before="24" w:after="0"/>
        <w:ind w:left="355" w:right="0" w:hanging="130"/>
        <w:jc w:val="left"/>
        <w:rPr>
          <w:sz w:val="15"/>
        </w:rPr>
      </w:pPr>
      <w:r>
        <w:rPr>
          <w:sz w:val="15"/>
        </w:rPr>
        <w:t>Estacionamientos</w:t>
      </w:r>
      <w:r>
        <w:rPr>
          <w:spacing w:val="33"/>
          <w:sz w:val="15"/>
        </w:rPr>
        <w:t> </w:t>
      </w:r>
      <w:r>
        <w:rPr>
          <w:sz w:val="15"/>
        </w:rPr>
        <w:t>públicos:</w:t>
        <w:tab/>
        <w:t>$13.00</w:t>
      </w:r>
    </w:p>
    <w:p>
      <w:pPr>
        <w:pStyle w:val="BodyText"/>
        <w:spacing w:before="2"/>
        <w:rPr>
          <w:sz w:val="19"/>
        </w:rPr>
      </w:pPr>
    </w:p>
    <w:p>
      <w:pPr>
        <w:pStyle w:val="ListParagraph"/>
        <w:numPr>
          <w:ilvl w:val="0"/>
          <w:numId w:val="43"/>
        </w:numPr>
        <w:tabs>
          <w:tab w:pos="403" w:val="left" w:leader="none"/>
        </w:tabs>
        <w:spacing w:line="247" w:lineRule="auto" w:before="0" w:after="0"/>
        <w:ind w:left="226" w:right="3686" w:firstLine="0"/>
        <w:jc w:val="left"/>
        <w:rPr>
          <w:sz w:val="15"/>
        </w:rPr>
      </w:pPr>
      <w:r>
        <w:rPr>
          <w:sz w:val="15"/>
        </w:rPr>
        <w:t>Estacionamientos públicos en plazas, centros comerciales o vinculados a establecimientos mercantiles, de servicios</w:t>
      </w:r>
      <w:r>
        <w:rPr>
          <w:spacing w:val="37"/>
          <w:sz w:val="15"/>
        </w:rPr>
        <w:t> </w:t>
      </w:r>
      <w:r>
        <w:rPr>
          <w:spacing w:val="-11"/>
          <w:sz w:val="15"/>
        </w:rPr>
        <w:t>o</w:t>
      </w:r>
    </w:p>
    <w:p>
      <w:pPr>
        <w:pStyle w:val="BodyText"/>
        <w:tabs>
          <w:tab w:pos="4861" w:val="left" w:leader="none"/>
        </w:tabs>
        <w:spacing w:line="172" w:lineRule="exact"/>
        <w:ind w:left="226"/>
      </w:pPr>
      <w:r>
        <w:rPr/>
        <w:t>tianguis:</w:t>
        <w:tab/>
        <w:t>$23.00</w:t>
      </w:r>
    </w:p>
    <w:p>
      <w:pPr>
        <w:pStyle w:val="BodyText"/>
        <w:spacing w:before="2"/>
        <w:rPr>
          <w:sz w:val="19"/>
        </w:rPr>
      </w:pPr>
    </w:p>
    <w:p>
      <w:pPr>
        <w:pStyle w:val="ListParagraph"/>
        <w:numPr>
          <w:ilvl w:val="0"/>
          <w:numId w:val="43"/>
        </w:numPr>
        <w:tabs>
          <w:tab w:pos="603" w:val="left" w:leader="none"/>
          <w:tab w:pos="605" w:val="left" w:leader="none"/>
        </w:tabs>
        <w:spacing w:line="240" w:lineRule="auto" w:before="0" w:after="0"/>
        <w:ind w:left="604" w:right="0" w:hanging="379"/>
        <w:jc w:val="left"/>
        <w:rPr>
          <w:sz w:val="15"/>
        </w:rPr>
      </w:pPr>
      <w:r>
        <w:rPr>
          <w:sz w:val="15"/>
        </w:rPr>
        <w:t>Estacionamientos para vehículos de carga superior a</w:t>
      </w:r>
      <w:r>
        <w:rPr>
          <w:spacing w:val="26"/>
          <w:sz w:val="15"/>
        </w:rPr>
        <w:t> </w:t>
      </w:r>
      <w:r>
        <w:rPr>
          <w:sz w:val="15"/>
        </w:rPr>
        <w:t>3</w:t>
      </w:r>
    </w:p>
    <w:p>
      <w:pPr>
        <w:pStyle w:val="BodyText"/>
        <w:tabs>
          <w:tab w:pos="4861" w:val="left" w:leader="none"/>
        </w:tabs>
        <w:spacing w:before="5"/>
        <w:ind w:left="226"/>
      </w:pPr>
      <w:r>
        <w:rPr/>
        <w:t>toneladas:</w:t>
        <w:tab/>
        <w:t>$18.00</w:t>
      </w:r>
    </w:p>
    <w:p>
      <w:pPr>
        <w:spacing w:after="0"/>
        <w:sectPr>
          <w:type w:val="continuous"/>
          <w:pgSz w:w="23250" w:h="15310" w:orient="landscape"/>
          <w:pgMar w:top="0" w:bottom="0" w:left="1880" w:right="1520"/>
          <w:cols w:num="2" w:equalWidth="0">
            <w:col w:w="7751" w:space="3872"/>
            <w:col w:w="8227"/>
          </w:cols>
        </w:sectPr>
      </w:pPr>
    </w:p>
    <w:p>
      <w:pPr>
        <w:pStyle w:val="BodyText"/>
        <w:rPr>
          <w:sz w:val="20"/>
        </w:rPr>
      </w:pPr>
    </w:p>
    <w:p>
      <w:pPr>
        <w:pStyle w:val="BodyText"/>
        <w:spacing w:before="7"/>
        <w:rPr>
          <w:sz w:val="29"/>
        </w:rPr>
      </w:pPr>
    </w:p>
    <w:p>
      <w:pPr>
        <w:spacing w:after="0"/>
        <w:rPr>
          <w:sz w:val="29"/>
        </w:rPr>
        <w:sectPr>
          <w:headerReference w:type="default" r:id="rId66"/>
          <w:pgSz w:w="23250" w:h="15310" w:orient="landscape"/>
          <w:pgMar w:header="881" w:footer="499" w:top="1920" w:bottom="680" w:left="1880" w:right="1520"/>
        </w:sectPr>
      </w:pPr>
    </w:p>
    <w:p>
      <w:pPr>
        <w:pStyle w:val="BodyText"/>
        <w:spacing w:line="247" w:lineRule="auto" w:before="99"/>
        <w:ind w:left="150" w:right="39" w:firstLine="397"/>
        <w:jc w:val="both"/>
      </w:pPr>
      <w:r>
        <w:rPr/>
        <w:t>A los contribuyentes que efectúen el pago correspondiente a todo el año 2020, entre los meses de enero   y febrero, en una sola exhibición, se les concederá el beneficio del 10% de</w:t>
      </w:r>
      <w:r>
        <w:rPr>
          <w:spacing w:val="3"/>
        </w:rPr>
        <w:t> </w:t>
      </w:r>
      <w:r>
        <w:rPr/>
        <w:t>descuento.</w:t>
      </w:r>
    </w:p>
    <w:p>
      <w:pPr>
        <w:pStyle w:val="BodyText"/>
        <w:spacing w:before="3"/>
      </w:pPr>
    </w:p>
    <w:p>
      <w:pPr>
        <w:pStyle w:val="BodyText"/>
        <w:spacing w:line="247" w:lineRule="auto"/>
        <w:ind w:left="150" w:right="38" w:firstLine="397"/>
        <w:jc w:val="both"/>
      </w:pPr>
      <w:r>
        <w:rPr>
          <w:b/>
        </w:rPr>
        <w:t>Artículo 67.- </w:t>
      </w:r>
      <w:r>
        <w:rPr/>
        <w:t>Los prestadores del servicio de estacionamiento público, previa autorización, pagarán por  día, en forma adelantada por cada</w:t>
      </w:r>
      <w:r>
        <w:rPr>
          <w:spacing w:val="9"/>
        </w:rPr>
        <w:t> </w:t>
      </w:r>
      <w:r>
        <w:rPr/>
        <w:t>cajón:</w:t>
      </w:r>
    </w:p>
    <w:p>
      <w:pPr>
        <w:pStyle w:val="BodyText"/>
        <w:spacing w:before="3"/>
      </w:pPr>
    </w:p>
    <w:p>
      <w:pPr>
        <w:pStyle w:val="BodyText"/>
        <w:spacing w:before="1"/>
        <w:ind w:left="5668"/>
      </w:pPr>
      <w:r>
        <w:rPr/>
        <w:t>TARIFA</w:t>
      </w:r>
    </w:p>
    <w:p>
      <w:pPr>
        <w:pStyle w:val="BodyText"/>
        <w:tabs>
          <w:tab w:pos="4860" w:val="left" w:leader="none"/>
        </w:tabs>
        <w:spacing w:before="24"/>
        <w:ind w:left="226"/>
      </w:pPr>
      <w:r>
        <w:rPr/>
        <w:t>I.</w:t>
      </w:r>
      <w:r>
        <w:rPr>
          <w:spacing w:val="8"/>
        </w:rPr>
        <w:t> </w:t>
      </w:r>
      <w:r>
        <w:rPr/>
        <w:t>Eventuales:</w:t>
        <w:tab/>
        <w:t>$15.00</w:t>
      </w:r>
    </w:p>
    <w:p>
      <w:pPr>
        <w:pStyle w:val="BodyText"/>
        <w:spacing w:before="5"/>
        <w:rPr>
          <w:sz w:val="17"/>
        </w:rPr>
      </w:pPr>
    </w:p>
    <w:p>
      <w:pPr>
        <w:pStyle w:val="BodyText"/>
        <w:spacing w:line="247" w:lineRule="auto" w:before="1"/>
        <w:ind w:left="150" w:right="39" w:firstLine="397"/>
        <w:jc w:val="both"/>
      </w:pPr>
      <w:r>
        <w:rPr>
          <w:b/>
        </w:rPr>
        <w:t>Artículo 68.- </w:t>
      </w:r>
      <w:r>
        <w:rPr/>
        <w:t>Por la autorización para operar como prestadores del servicio de estacionamiento con acomodadores de vehículos en el Municipio de Tlajomulco de Zúñiga pagarán de acuerdo a los siguientes:</w:t>
      </w:r>
    </w:p>
    <w:p>
      <w:pPr>
        <w:pStyle w:val="BodyText"/>
        <w:spacing w:before="2"/>
      </w:pPr>
    </w:p>
    <w:p>
      <w:pPr>
        <w:pStyle w:val="BodyText"/>
        <w:spacing w:before="1"/>
        <w:ind w:left="5657"/>
      </w:pPr>
      <w:r>
        <w:rPr/>
        <w:t>TARIFA</w:t>
      </w:r>
    </w:p>
    <w:p>
      <w:pPr>
        <w:pStyle w:val="ListParagraph"/>
        <w:numPr>
          <w:ilvl w:val="0"/>
          <w:numId w:val="44"/>
        </w:numPr>
        <w:tabs>
          <w:tab w:pos="355" w:val="left" w:leader="none"/>
          <w:tab w:pos="4821" w:val="left" w:leader="none"/>
        </w:tabs>
        <w:spacing w:line="240" w:lineRule="auto" w:before="25" w:after="0"/>
        <w:ind w:left="355" w:right="0" w:hanging="129"/>
        <w:jc w:val="left"/>
        <w:rPr>
          <w:sz w:val="15"/>
        </w:rPr>
      </w:pPr>
      <w:r>
        <w:rPr>
          <w:sz w:val="15"/>
        </w:rPr>
        <w:t>Por</w:t>
      </w:r>
      <w:r>
        <w:rPr>
          <w:spacing w:val="8"/>
          <w:sz w:val="15"/>
        </w:rPr>
        <w:t> </w:t>
      </w:r>
      <w:r>
        <w:rPr>
          <w:sz w:val="15"/>
        </w:rPr>
        <w:t>la</w:t>
      </w:r>
      <w:r>
        <w:rPr>
          <w:spacing w:val="8"/>
          <w:sz w:val="15"/>
        </w:rPr>
        <w:t> </w:t>
      </w:r>
      <w:r>
        <w:rPr>
          <w:sz w:val="15"/>
        </w:rPr>
        <w:t>autorización:</w:t>
        <w:tab/>
        <w:t>$2,452.00</w:t>
      </w:r>
    </w:p>
    <w:p>
      <w:pPr>
        <w:pStyle w:val="ListParagraph"/>
        <w:numPr>
          <w:ilvl w:val="0"/>
          <w:numId w:val="44"/>
        </w:numPr>
        <w:tabs>
          <w:tab w:pos="402" w:val="left" w:leader="none"/>
        </w:tabs>
        <w:spacing w:line="240" w:lineRule="auto" w:before="43" w:after="0"/>
        <w:ind w:left="401" w:right="0" w:hanging="176"/>
        <w:jc w:val="left"/>
        <w:rPr>
          <w:sz w:val="15"/>
        </w:rPr>
      </w:pPr>
      <w:r>
        <w:rPr>
          <w:sz w:val="15"/>
        </w:rPr>
        <w:t>Por el refrendo de la autorización que deberá pagarse en</w:t>
      </w:r>
      <w:r>
        <w:rPr>
          <w:spacing w:val="7"/>
          <w:sz w:val="15"/>
        </w:rPr>
        <w:t> </w:t>
      </w:r>
      <w:r>
        <w:rPr>
          <w:sz w:val="15"/>
        </w:rPr>
        <w:t>el</w:t>
      </w:r>
    </w:p>
    <w:p>
      <w:pPr>
        <w:pStyle w:val="BodyText"/>
        <w:tabs>
          <w:tab w:pos="4821" w:val="left" w:leader="none"/>
        </w:tabs>
        <w:spacing w:before="5"/>
        <w:ind w:left="226"/>
      </w:pPr>
      <w:r>
        <w:rPr/>
        <w:t>mes</w:t>
      </w:r>
      <w:r>
        <w:rPr>
          <w:spacing w:val="6"/>
        </w:rPr>
        <w:t> </w:t>
      </w:r>
      <w:r>
        <w:rPr/>
        <w:t>de</w:t>
      </w:r>
      <w:r>
        <w:rPr>
          <w:spacing w:val="6"/>
        </w:rPr>
        <w:t> </w:t>
      </w:r>
      <w:r>
        <w:rPr/>
        <w:t>enero:</w:t>
        <w:tab/>
        <w:t>$1,346.00</w:t>
      </w:r>
    </w:p>
    <w:p>
      <w:pPr>
        <w:pStyle w:val="BodyText"/>
        <w:spacing w:before="5"/>
        <w:rPr>
          <w:sz w:val="17"/>
        </w:rPr>
      </w:pPr>
    </w:p>
    <w:p>
      <w:pPr>
        <w:pStyle w:val="BodyText"/>
        <w:spacing w:line="247" w:lineRule="auto" w:before="1"/>
        <w:ind w:left="150" w:right="39" w:firstLine="397"/>
        <w:jc w:val="both"/>
      </w:pPr>
      <w:r>
        <w:rPr/>
        <w:t>Adicionalmente al pago establecido en el presente artículo, los prestadores del servicio de  estacionamiento con acomodadores de vehículos, deberán pagar la cuota establecida en los artículos 65 y  66  de la presente </w:t>
      </w:r>
      <w:r>
        <w:rPr>
          <w:spacing w:val="-4"/>
        </w:rPr>
        <w:t>ley,  </w:t>
      </w:r>
      <w:r>
        <w:rPr/>
        <w:t>según sea el caso, de acuerdo a la característica del estacionamiento o lugar de resguardo  de los</w:t>
      </w:r>
      <w:r>
        <w:rPr>
          <w:spacing w:val="2"/>
        </w:rPr>
        <w:t> </w:t>
      </w:r>
      <w:r>
        <w:rPr/>
        <w:t>vehículos.</w:t>
      </w:r>
    </w:p>
    <w:p>
      <w:pPr>
        <w:pStyle w:val="BodyText"/>
        <w:spacing w:before="2"/>
      </w:pPr>
    </w:p>
    <w:p>
      <w:pPr>
        <w:pStyle w:val="Heading4"/>
        <w:spacing w:before="1"/>
        <w:ind w:left="665"/>
      </w:pPr>
      <w:r>
        <w:rPr/>
        <w:t>SECCIÓN TERCERA</w:t>
      </w:r>
    </w:p>
    <w:p>
      <w:pPr>
        <w:spacing w:before="4"/>
        <w:ind w:left="269" w:right="160" w:firstLine="0"/>
        <w:jc w:val="center"/>
        <w:rPr>
          <w:b/>
          <w:sz w:val="15"/>
        </w:rPr>
      </w:pPr>
      <w:r>
        <w:rPr>
          <w:b/>
          <w:sz w:val="15"/>
        </w:rPr>
        <w:t>De los Bienes Muebles e Inmuebles Municipales de Dominio Público</w:t>
      </w:r>
    </w:p>
    <w:p>
      <w:pPr>
        <w:pStyle w:val="BodyText"/>
        <w:spacing w:before="8"/>
        <w:rPr>
          <w:b/>
        </w:rPr>
      </w:pPr>
    </w:p>
    <w:p>
      <w:pPr>
        <w:pStyle w:val="BodyText"/>
        <w:spacing w:line="247" w:lineRule="auto"/>
        <w:ind w:left="150" w:right="38" w:firstLine="397"/>
        <w:jc w:val="both"/>
      </w:pPr>
      <w:r>
        <w:rPr>
          <w:b/>
        </w:rPr>
        <w:t>Artículo 69.- </w:t>
      </w:r>
      <w:r>
        <w:rPr/>
        <w:t>Las personas físicas o jurídicas que tomen en arrendamiento o concesión toda clase de bienes propiedad del Municipio de dominio público pagarán a éste las rentas respectivas, de conformidad con  las</w:t>
      </w:r>
      <w:r>
        <w:rPr>
          <w:spacing w:val="1"/>
        </w:rPr>
        <w:t> </w:t>
      </w:r>
      <w:r>
        <w:rPr/>
        <w:t>siguientes:</w:t>
      </w:r>
    </w:p>
    <w:p>
      <w:pPr>
        <w:pStyle w:val="BodyText"/>
        <w:spacing w:before="3"/>
      </w:pPr>
    </w:p>
    <w:p>
      <w:pPr>
        <w:pStyle w:val="BodyText"/>
        <w:ind w:right="1415"/>
        <w:jc w:val="right"/>
      </w:pPr>
      <w:r>
        <w:rPr/>
        <w:t>TARIFA</w:t>
      </w:r>
    </w:p>
    <w:p>
      <w:pPr>
        <w:pStyle w:val="BodyText"/>
        <w:rPr>
          <w:sz w:val="16"/>
        </w:rPr>
      </w:pPr>
      <w:r>
        <w:rPr/>
        <w:br w:type="column"/>
      </w:r>
      <w:r>
        <w:rPr>
          <w:sz w:val="16"/>
        </w:rPr>
      </w:r>
    </w:p>
    <w:p>
      <w:pPr>
        <w:pStyle w:val="BodyText"/>
        <w:spacing w:line="247" w:lineRule="auto" w:before="92"/>
        <w:ind w:left="150" w:right="509" w:firstLine="397"/>
        <w:jc w:val="both"/>
      </w:pPr>
      <w:r>
        <w:rPr>
          <w:b/>
        </w:rPr>
        <w:t>Artículo 71.- </w:t>
      </w:r>
      <w:r>
        <w:rPr/>
        <w:t>En los casos de traspaso de giros instalados en locales de propiedad municipal de dominio público, el Ayuntamiento se reserva la facultad de autorizar éstos, mediante acuerdo del Director General de Padrón y Licencias, y fijar los derechos correspondientes de conformidad con lo dispuesto por el artículo 77 de esta ley, o se rescindirán los convenios que, en lo particular celebren los interesados, debiendo devolver al Municipio la posesión de dichos locales de forma inmediata.</w:t>
      </w:r>
    </w:p>
    <w:p>
      <w:pPr>
        <w:pStyle w:val="BodyText"/>
        <w:spacing w:before="1"/>
      </w:pPr>
    </w:p>
    <w:p>
      <w:pPr>
        <w:pStyle w:val="BodyText"/>
        <w:spacing w:line="247" w:lineRule="auto" w:before="1"/>
        <w:ind w:left="150" w:right="508" w:firstLine="397"/>
        <w:jc w:val="both"/>
      </w:pPr>
      <w:r>
        <w:rPr>
          <w:b/>
        </w:rPr>
        <w:t>Artículo 72.- </w:t>
      </w:r>
      <w:r>
        <w:rPr/>
        <w:t>El gasto de luz y fuerza motriz de los locales arrendados en bienes de dominio público,     será</w:t>
      </w:r>
      <w:r>
        <w:rPr>
          <w:spacing w:val="8"/>
        </w:rPr>
        <w:t> </w:t>
      </w:r>
      <w:r>
        <w:rPr/>
        <w:t>calculado</w:t>
      </w:r>
      <w:r>
        <w:rPr>
          <w:spacing w:val="9"/>
        </w:rPr>
        <w:t> </w:t>
      </w:r>
      <w:r>
        <w:rPr/>
        <w:t>de</w:t>
      </w:r>
      <w:r>
        <w:rPr>
          <w:spacing w:val="9"/>
        </w:rPr>
        <w:t> </w:t>
      </w:r>
      <w:r>
        <w:rPr/>
        <w:t>acuerdo</w:t>
      </w:r>
      <w:r>
        <w:rPr>
          <w:spacing w:val="9"/>
        </w:rPr>
        <w:t> </w:t>
      </w:r>
      <w:r>
        <w:rPr/>
        <w:t>con</w:t>
      </w:r>
      <w:r>
        <w:rPr>
          <w:spacing w:val="9"/>
        </w:rPr>
        <w:t> </w:t>
      </w:r>
      <w:r>
        <w:rPr/>
        <w:t>el</w:t>
      </w:r>
      <w:r>
        <w:rPr>
          <w:spacing w:val="9"/>
        </w:rPr>
        <w:t> </w:t>
      </w:r>
      <w:r>
        <w:rPr/>
        <w:t>consumo</w:t>
      </w:r>
      <w:r>
        <w:rPr>
          <w:spacing w:val="9"/>
        </w:rPr>
        <w:t> </w:t>
      </w:r>
      <w:r>
        <w:rPr/>
        <w:t>visible</w:t>
      </w:r>
      <w:r>
        <w:rPr>
          <w:spacing w:val="8"/>
        </w:rPr>
        <w:t> </w:t>
      </w:r>
      <w:r>
        <w:rPr/>
        <w:t>de</w:t>
      </w:r>
      <w:r>
        <w:rPr>
          <w:spacing w:val="9"/>
        </w:rPr>
        <w:t> </w:t>
      </w:r>
      <w:r>
        <w:rPr/>
        <w:t>cada</w:t>
      </w:r>
      <w:r>
        <w:rPr>
          <w:spacing w:val="9"/>
        </w:rPr>
        <w:t> </w:t>
      </w:r>
      <w:r>
        <w:rPr/>
        <w:t>uno,</w:t>
      </w:r>
      <w:r>
        <w:rPr>
          <w:spacing w:val="9"/>
        </w:rPr>
        <w:t> </w:t>
      </w:r>
      <w:r>
        <w:rPr/>
        <w:t>y</w:t>
      </w:r>
      <w:r>
        <w:rPr>
          <w:spacing w:val="13"/>
        </w:rPr>
        <w:t> </w:t>
      </w:r>
      <w:r>
        <w:rPr/>
        <w:t>se</w:t>
      </w:r>
      <w:r>
        <w:rPr>
          <w:spacing w:val="8"/>
        </w:rPr>
        <w:t> </w:t>
      </w:r>
      <w:r>
        <w:rPr/>
        <w:t>acumulará</w:t>
      </w:r>
      <w:r>
        <w:rPr>
          <w:spacing w:val="9"/>
        </w:rPr>
        <w:t> </w:t>
      </w:r>
      <w:r>
        <w:rPr/>
        <w:t>al</w:t>
      </w:r>
      <w:r>
        <w:rPr>
          <w:spacing w:val="9"/>
        </w:rPr>
        <w:t> </w:t>
      </w:r>
      <w:r>
        <w:rPr/>
        <w:t>importe</w:t>
      </w:r>
      <w:r>
        <w:rPr>
          <w:spacing w:val="9"/>
        </w:rPr>
        <w:t> </w:t>
      </w:r>
      <w:r>
        <w:rPr/>
        <w:t>del</w:t>
      </w:r>
      <w:r>
        <w:rPr>
          <w:spacing w:val="9"/>
        </w:rPr>
        <w:t> </w:t>
      </w:r>
      <w:r>
        <w:rPr/>
        <w:t>arrendamiento.</w:t>
      </w:r>
    </w:p>
    <w:p>
      <w:pPr>
        <w:pStyle w:val="BodyText"/>
        <w:spacing w:before="2"/>
      </w:pPr>
    </w:p>
    <w:p>
      <w:pPr>
        <w:pStyle w:val="BodyText"/>
        <w:spacing w:line="247" w:lineRule="auto" w:before="1"/>
        <w:ind w:left="150" w:right="510" w:firstLine="397"/>
        <w:jc w:val="both"/>
      </w:pPr>
      <w:r>
        <w:rPr>
          <w:b/>
        </w:rPr>
        <w:t>Artículo 73- </w:t>
      </w:r>
      <w:r>
        <w:rPr/>
        <w:t>Las personas que hagan uso de bienes inmuebles propiedad del Municipio de dominio público, pagarán los derechos correspondientes conforme a lo</w:t>
      </w:r>
      <w:r>
        <w:rPr>
          <w:spacing w:val="20"/>
        </w:rPr>
        <w:t> </w:t>
      </w:r>
      <w:r>
        <w:rPr/>
        <w:t>siguiente:</w:t>
      </w:r>
    </w:p>
    <w:p>
      <w:pPr>
        <w:pStyle w:val="BodyText"/>
        <w:spacing w:before="3"/>
      </w:pPr>
    </w:p>
    <w:p>
      <w:pPr>
        <w:pStyle w:val="BodyText"/>
        <w:ind w:right="2009"/>
        <w:jc w:val="right"/>
      </w:pPr>
      <w:r>
        <w:rPr/>
        <w:t>TARIFA</w:t>
      </w:r>
    </w:p>
    <w:p>
      <w:pPr>
        <w:pStyle w:val="ListParagraph"/>
        <w:numPr>
          <w:ilvl w:val="0"/>
          <w:numId w:val="45"/>
        </w:numPr>
        <w:tabs>
          <w:tab w:pos="373" w:val="left" w:leader="none"/>
        </w:tabs>
        <w:spacing w:line="247" w:lineRule="auto" w:before="25" w:after="0"/>
        <w:ind w:left="226" w:right="3684" w:firstLine="0"/>
        <w:jc w:val="left"/>
        <w:rPr>
          <w:sz w:val="15"/>
        </w:rPr>
      </w:pPr>
      <w:r>
        <w:rPr>
          <w:sz w:val="15"/>
        </w:rPr>
        <w:t>Excusados y baños públicos en bienes de dominio público, cada</w:t>
      </w:r>
      <w:r>
        <w:rPr>
          <w:spacing w:val="10"/>
          <w:sz w:val="15"/>
        </w:rPr>
        <w:t> </w:t>
      </w:r>
      <w:r>
        <w:rPr>
          <w:sz w:val="15"/>
        </w:rPr>
        <w:t>vez</w:t>
      </w:r>
      <w:r>
        <w:rPr>
          <w:spacing w:val="11"/>
          <w:sz w:val="15"/>
        </w:rPr>
        <w:t> </w:t>
      </w:r>
      <w:r>
        <w:rPr>
          <w:sz w:val="15"/>
        </w:rPr>
        <w:t>que</w:t>
      </w:r>
      <w:r>
        <w:rPr>
          <w:spacing w:val="11"/>
          <w:sz w:val="15"/>
        </w:rPr>
        <w:t> </w:t>
      </w:r>
      <w:r>
        <w:rPr>
          <w:sz w:val="15"/>
        </w:rPr>
        <w:t>se</w:t>
      </w:r>
      <w:r>
        <w:rPr>
          <w:spacing w:val="11"/>
          <w:sz w:val="15"/>
        </w:rPr>
        <w:t> </w:t>
      </w:r>
      <w:r>
        <w:rPr>
          <w:sz w:val="15"/>
        </w:rPr>
        <w:t>usen,</w:t>
      </w:r>
      <w:r>
        <w:rPr>
          <w:spacing w:val="11"/>
          <w:sz w:val="15"/>
        </w:rPr>
        <w:t> </w:t>
      </w:r>
      <w:r>
        <w:rPr>
          <w:sz w:val="15"/>
        </w:rPr>
        <w:t>excepto</w:t>
      </w:r>
      <w:r>
        <w:rPr>
          <w:spacing w:val="11"/>
          <w:sz w:val="15"/>
        </w:rPr>
        <w:t> </w:t>
      </w:r>
      <w:r>
        <w:rPr>
          <w:sz w:val="15"/>
        </w:rPr>
        <w:t>por</w:t>
      </w:r>
      <w:r>
        <w:rPr>
          <w:spacing w:val="11"/>
          <w:sz w:val="15"/>
        </w:rPr>
        <w:t> </w:t>
      </w:r>
      <w:r>
        <w:rPr>
          <w:sz w:val="15"/>
        </w:rPr>
        <w:t>niños</w:t>
      </w:r>
      <w:r>
        <w:rPr>
          <w:spacing w:val="11"/>
          <w:sz w:val="15"/>
        </w:rPr>
        <w:t> </w:t>
      </w:r>
      <w:r>
        <w:rPr>
          <w:sz w:val="15"/>
        </w:rPr>
        <w:t>menores</w:t>
      </w:r>
      <w:r>
        <w:rPr>
          <w:spacing w:val="11"/>
          <w:sz w:val="15"/>
        </w:rPr>
        <w:t> </w:t>
      </w:r>
      <w:r>
        <w:rPr>
          <w:sz w:val="15"/>
        </w:rPr>
        <w:t>de</w:t>
      </w:r>
      <w:r>
        <w:rPr>
          <w:spacing w:val="11"/>
          <w:sz w:val="15"/>
        </w:rPr>
        <w:t> </w:t>
      </w:r>
      <w:r>
        <w:rPr>
          <w:sz w:val="15"/>
        </w:rPr>
        <w:t>12</w:t>
      </w:r>
      <w:r>
        <w:rPr>
          <w:spacing w:val="11"/>
          <w:sz w:val="15"/>
        </w:rPr>
        <w:t> </w:t>
      </w:r>
      <w:r>
        <w:rPr>
          <w:sz w:val="15"/>
        </w:rPr>
        <w:t>años,</w:t>
      </w:r>
    </w:p>
    <w:p>
      <w:pPr>
        <w:pStyle w:val="BodyText"/>
        <w:tabs>
          <w:tab w:pos="4903" w:val="left" w:leader="none"/>
        </w:tabs>
        <w:spacing w:line="171" w:lineRule="exact"/>
        <w:ind w:left="226"/>
      </w:pPr>
      <w:r>
        <w:rPr/>
        <w:t>los cuales</w:t>
      </w:r>
      <w:r>
        <w:rPr>
          <w:spacing w:val="17"/>
        </w:rPr>
        <w:t> </w:t>
      </w:r>
      <w:r>
        <w:rPr/>
        <w:t>quedan</w:t>
      </w:r>
      <w:r>
        <w:rPr>
          <w:spacing w:val="9"/>
        </w:rPr>
        <w:t> </w:t>
      </w:r>
      <w:r>
        <w:rPr/>
        <w:t>exentos:</w:t>
        <w:tab/>
        <w:t>$8.00</w:t>
      </w:r>
    </w:p>
    <w:p>
      <w:pPr>
        <w:pStyle w:val="BodyText"/>
        <w:spacing w:before="2"/>
        <w:rPr>
          <w:sz w:val="19"/>
        </w:rPr>
      </w:pPr>
    </w:p>
    <w:p>
      <w:pPr>
        <w:pStyle w:val="ListParagraph"/>
        <w:numPr>
          <w:ilvl w:val="0"/>
          <w:numId w:val="45"/>
        </w:numPr>
        <w:tabs>
          <w:tab w:pos="404" w:val="left" w:leader="none"/>
        </w:tabs>
        <w:spacing w:line="244" w:lineRule="auto" w:before="1" w:after="0"/>
        <w:ind w:left="226" w:right="3684" w:firstLine="0"/>
        <w:jc w:val="both"/>
        <w:rPr>
          <w:sz w:val="15"/>
        </w:rPr>
      </w:pPr>
      <w:r>
        <w:rPr>
          <w:sz w:val="15"/>
        </w:rPr>
        <w:t>Uso de corrales en bienes de dominio público, para guardar animales que transiten en la vía pública sin vigilancia de sus dueños,</w:t>
      </w:r>
      <w:r>
        <w:rPr>
          <w:spacing w:val="17"/>
          <w:sz w:val="15"/>
        </w:rPr>
        <w:t> </w:t>
      </w:r>
      <w:r>
        <w:rPr>
          <w:sz w:val="15"/>
        </w:rPr>
        <w:t>diariamente,</w:t>
      </w:r>
      <w:r>
        <w:rPr>
          <w:spacing w:val="18"/>
          <w:sz w:val="15"/>
        </w:rPr>
        <w:t> </w:t>
      </w:r>
      <w:r>
        <w:rPr>
          <w:sz w:val="15"/>
        </w:rPr>
        <w:t>por</w:t>
      </w:r>
      <w:r>
        <w:rPr>
          <w:spacing w:val="18"/>
          <w:sz w:val="15"/>
        </w:rPr>
        <w:t> </w:t>
      </w:r>
      <w:r>
        <w:rPr>
          <w:sz w:val="15"/>
        </w:rPr>
        <w:t>cada</w:t>
      </w:r>
      <w:r>
        <w:rPr>
          <w:spacing w:val="18"/>
          <w:sz w:val="15"/>
        </w:rPr>
        <w:t> </w:t>
      </w:r>
      <w:r>
        <w:rPr>
          <w:sz w:val="15"/>
        </w:rPr>
        <w:t>uno,</w:t>
      </w:r>
      <w:r>
        <w:rPr>
          <w:spacing w:val="17"/>
          <w:sz w:val="15"/>
        </w:rPr>
        <w:t> </w:t>
      </w:r>
      <w:r>
        <w:rPr>
          <w:sz w:val="15"/>
        </w:rPr>
        <w:t>sin</w:t>
      </w:r>
      <w:r>
        <w:rPr>
          <w:spacing w:val="18"/>
          <w:sz w:val="15"/>
        </w:rPr>
        <w:t> </w:t>
      </w:r>
      <w:r>
        <w:rPr>
          <w:sz w:val="15"/>
        </w:rPr>
        <w:t>considerar</w:t>
      </w:r>
      <w:r>
        <w:rPr>
          <w:spacing w:val="18"/>
          <w:sz w:val="15"/>
        </w:rPr>
        <w:t> </w:t>
      </w:r>
      <w:r>
        <w:rPr>
          <w:sz w:val="15"/>
        </w:rPr>
        <w:t>el</w:t>
      </w:r>
      <w:r>
        <w:rPr>
          <w:spacing w:val="18"/>
          <w:sz w:val="15"/>
        </w:rPr>
        <w:t> </w:t>
      </w:r>
      <w:r>
        <w:rPr>
          <w:sz w:val="15"/>
        </w:rPr>
        <w:t>costo</w:t>
      </w:r>
      <w:r>
        <w:rPr>
          <w:spacing w:val="17"/>
          <w:sz w:val="15"/>
        </w:rPr>
        <w:t> </w:t>
      </w:r>
      <w:r>
        <w:rPr>
          <w:sz w:val="15"/>
        </w:rPr>
        <w:t>del</w:t>
      </w:r>
    </w:p>
    <w:p>
      <w:pPr>
        <w:pStyle w:val="BodyText"/>
        <w:tabs>
          <w:tab w:pos="4861" w:val="left" w:leader="none"/>
        </w:tabs>
        <w:spacing w:before="3"/>
        <w:ind w:left="226"/>
        <w:jc w:val="both"/>
      </w:pPr>
      <w:r>
        <w:rPr/>
        <w:t>alimento y además de pagar la </w:t>
      </w:r>
      <w:r>
        <w:rPr>
          <w:spacing w:val="14"/>
        </w:rPr>
        <w:t> </w:t>
      </w:r>
      <w:r>
        <w:rPr/>
        <w:t>multa</w:t>
      </w:r>
      <w:r>
        <w:rPr>
          <w:spacing w:val="9"/>
        </w:rPr>
        <w:t> </w:t>
      </w:r>
      <w:r>
        <w:rPr/>
        <w:t>correspondiente:</w:t>
        <w:tab/>
        <w:t>$62.00</w:t>
      </w:r>
    </w:p>
    <w:p>
      <w:pPr>
        <w:pStyle w:val="BodyText"/>
        <w:spacing w:before="5"/>
        <w:rPr>
          <w:sz w:val="17"/>
        </w:rPr>
      </w:pPr>
    </w:p>
    <w:p>
      <w:pPr>
        <w:pStyle w:val="BodyText"/>
        <w:spacing w:line="247" w:lineRule="auto" w:before="1"/>
        <w:ind w:left="150" w:right="508" w:firstLine="397"/>
        <w:jc w:val="both"/>
      </w:pPr>
      <w:r>
        <w:rPr>
          <w:b/>
        </w:rPr>
        <w:t>Artículo 74.- </w:t>
      </w:r>
      <w:r>
        <w:rPr/>
        <w:t>Las personas físicas que tengan la posesión de bienes inmuebles a título de censo enfitéutico, propiedad del Municipio de dominio público, de conformidad a lo establecido por la Ley Federal del  25 de junio de 1856, pagarán los derechos correspondientes al erario municipal en los términos establecidos     en el contrato que al respecto celebren con el Municipio, previo acuerdo del</w:t>
      </w:r>
      <w:r>
        <w:rPr>
          <w:spacing w:val="39"/>
        </w:rPr>
        <w:t> </w:t>
      </w:r>
      <w:r>
        <w:rPr/>
        <w:t>Ayuntamiento.</w:t>
      </w:r>
    </w:p>
    <w:p>
      <w:pPr>
        <w:pStyle w:val="BodyText"/>
        <w:spacing w:before="2"/>
      </w:pPr>
    </w:p>
    <w:p>
      <w:pPr>
        <w:pStyle w:val="Heading4"/>
        <w:spacing w:before="1"/>
        <w:ind w:left="315" w:right="674"/>
      </w:pPr>
      <w:r>
        <w:rPr/>
        <w:t>SECCIÓN CUARTA</w:t>
      </w:r>
    </w:p>
    <w:p>
      <w:pPr>
        <w:spacing w:before="4"/>
        <w:ind w:left="316" w:right="674" w:firstLine="0"/>
        <w:jc w:val="center"/>
        <w:rPr>
          <w:b/>
          <w:sz w:val="15"/>
        </w:rPr>
      </w:pPr>
      <w:r>
        <w:rPr>
          <w:b/>
          <w:sz w:val="15"/>
        </w:rPr>
        <w:t>De los Cementerios de Dominio Público</w:t>
      </w:r>
    </w:p>
    <w:p>
      <w:pPr>
        <w:spacing w:after="0"/>
        <w:jc w:val="center"/>
        <w:rPr>
          <w:sz w:val="15"/>
        </w:rPr>
        <w:sectPr>
          <w:type w:val="continuous"/>
          <w:pgSz w:w="23250" w:h="15310" w:orient="landscape"/>
          <w:pgMar w:top="0" w:bottom="0" w:left="1880" w:right="1520"/>
          <w:cols w:num="2" w:equalWidth="0">
            <w:col w:w="7752" w:space="3871"/>
            <w:col w:w="8227"/>
          </w:cols>
        </w:sectPr>
      </w:pPr>
    </w:p>
    <w:p>
      <w:pPr>
        <w:pStyle w:val="ListParagraph"/>
        <w:numPr>
          <w:ilvl w:val="0"/>
          <w:numId w:val="46"/>
        </w:numPr>
        <w:tabs>
          <w:tab w:pos="391" w:val="left" w:leader="none"/>
        </w:tabs>
        <w:spacing w:line="247" w:lineRule="auto" w:before="25" w:after="0"/>
        <w:ind w:left="226" w:right="39" w:firstLine="0"/>
        <w:jc w:val="both"/>
        <w:rPr>
          <w:sz w:val="15"/>
        </w:rPr>
      </w:pPr>
      <w:r>
        <w:rPr>
          <w:sz w:val="15"/>
        </w:rPr>
        <w:t>Arrendamiento de locales en el interior de mercados de dominio público, por metro cuadrado, mensualmente,</w:t>
      </w:r>
      <w:r>
        <w:rPr>
          <w:spacing w:val="38"/>
          <w:sz w:val="15"/>
        </w:rPr>
        <w:t> </w:t>
      </w:r>
      <w:r>
        <w:rPr>
          <w:sz w:val="15"/>
        </w:rPr>
        <w:t>de:</w:t>
      </w:r>
    </w:p>
    <w:p>
      <w:pPr>
        <w:pStyle w:val="BodyText"/>
        <w:spacing w:before="8"/>
        <w:rPr>
          <w:sz w:val="18"/>
        </w:rPr>
      </w:pPr>
    </w:p>
    <w:p>
      <w:pPr>
        <w:pStyle w:val="ListParagraph"/>
        <w:numPr>
          <w:ilvl w:val="0"/>
          <w:numId w:val="46"/>
        </w:numPr>
        <w:tabs>
          <w:tab w:pos="464" w:val="left" w:leader="none"/>
        </w:tabs>
        <w:spacing w:line="247" w:lineRule="auto" w:before="0" w:after="0"/>
        <w:ind w:left="226" w:right="38" w:firstLine="0"/>
        <w:jc w:val="both"/>
        <w:rPr>
          <w:sz w:val="15"/>
        </w:rPr>
      </w:pPr>
      <w:r>
        <w:rPr>
          <w:sz w:val="15"/>
        </w:rPr>
        <w:t>Arrendamiento de locales exteriores en mercados de dominio público, por metro cuadrado mensualmente,</w:t>
      </w:r>
      <w:r>
        <w:rPr>
          <w:spacing w:val="35"/>
          <w:sz w:val="15"/>
        </w:rPr>
        <w:t> </w:t>
      </w:r>
      <w:r>
        <w:rPr>
          <w:sz w:val="15"/>
        </w:rPr>
        <w:t>de:</w:t>
      </w:r>
    </w:p>
    <w:p>
      <w:pPr>
        <w:pStyle w:val="BodyText"/>
        <w:spacing w:before="8"/>
        <w:rPr>
          <w:sz w:val="18"/>
        </w:rPr>
      </w:pPr>
    </w:p>
    <w:p>
      <w:pPr>
        <w:pStyle w:val="ListParagraph"/>
        <w:numPr>
          <w:ilvl w:val="0"/>
          <w:numId w:val="46"/>
        </w:numPr>
        <w:tabs>
          <w:tab w:pos="490" w:val="left" w:leader="none"/>
        </w:tabs>
        <w:spacing w:line="247" w:lineRule="auto" w:before="0" w:after="0"/>
        <w:ind w:left="226" w:right="38" w:firstLine="0"/>
        <w:jc w:val="both"/>
        <w:rPr>
          <w:sz w:val="15"/>
        </w:rPr>
      </w:pPr>
      <w:r>
        <w:rPr>
          <w:sz w:val="15"/>
        </w:rPr>
        <w:t>Concesión de kioscos en plazas y jardines, por metro cuadrado, mensualmente,</w:t>
      </w:r>
      <w:r>
        <w:rPr>
          <w:spacing w:val="3"/>
          <w:sz w:val="15"/>
        </w:rPr>
        <w:t> </w:t>
      </w:r>
      <w:r>
        <w:rPr>
          <w:sz w:val="15"/>
        </w:rPr>
        <w:t>de:</w:t>
      </w:r>
    </w:p>
    <w:p>
      <w:pPr>
        <w:pStyle w:val="BodyText"/>
        <w:spacing w:before="8"/>
        <w:rPr>
          <w:sz w:val="18"/>
        </w:rPr>
      </w:pPr>
    </w:p>
    <w:p>
      <w:pPr>
        <w:pStyle w:val="ListParagraph"/>
        <w:numPr>
          <w:ilvl w:val="0"/>
          <w:numId w:val="46"/>
        </w:numPr>
        <w:tabs>
          <w:tab w:pos="478" w:val="left" w:leader="none"/>
        </w:tabs>
        <w:spacing w:line="247" w:lineRule="auto" w:before="0" w:after="0"/>
        <w:ind w:left="226" w:right="39" w:firstLine="0"/>
        <w:jc w:val="both"/>
        <w:rPr>
          <w:sz w:val="15"/>
        </w:rPr>
      </w:pPr>
      <w:r>
        <w:rPr>
          <w:sz w:val="15"/>
        </w:rPr>
        <w:t>Arrendamiento o concesión de  excusados  y  baños públicos en bienes de dominio público, por metro cuadrado, mensualmente,</w:t>
      </w:r>
      <w:r>
        <w:rPr>
          <w:spacing w:val="1"/>
          <w:sz w:val="15"/>
        </w:rPr>
        <w:t> </w:t>
      </w:r>
      <w:r>
        <w:rPr>
          <w:sz w:val="15"/>
        </w:rPr>
        <w:t>de:</w:t>
      </w:r>
    </w:p>
    <w:p>
      <w:pPr>
        <w:pStyle w:val="BodyText"/>
        <w:spacing w:before="7"/>
        <w:rPr>
          <w:sz w:val="18"/>
        </w:rPr>
      </w:pPr>
    </w:p>
    <w:p>
      <w:pPr>
        <w:pStyle w:val="ListParagraph"/>
        <w:numPr>
          <w:ilvl w:val="0"/>
          <w:numId w:val="46"/>
        </w:numPr>
        <w:tabs>
          <w:tab w:pos="462" w:val="left" w:leader="none"/>
        </w:tabs>
        <w:spacing w:line="240" w:lineRule="auto" w:before="1" w:after="0"/>
        <w:ind w:left="461" w:right="0" w:hanging="236"/>
        <w:jc w:val="both"/>
        <w:rPr>
          <w:sz w:val="15"/>
        </w:rPr>
      </w:pPr>
      <w:r>
        <w:rPr>
          <w:sz w:val="15"/>
        </w:rPr>
        <w:t>Arrendamiento de inmuebles de dominio público</w:t>
      </w:r>
      <w:r>
        <w:rPr>
          <w:spacing w:val="32"/>
          <w:sz w:val="15"/>
        </w:rPr>
        <w:t> </w:t>
      </w:r>
      <w:r>
        <w:rPr>
          <w:sz w:val="15"/>
        </w:rPr>
        <w:t>para</w:t>
      </w:r>
    </w:p>
    <w:p>
      <w:pPr>
        <w:pStyle w:val="BodyText"/>
        <w:spacing w:before="25"/>
        <w:ind w:left="226"/>
      </w:pPr>
      <w:r>
        <w:rPr/>
        <w:br w:type="column"/>
      </w:r>
      <w:r>
        <w:rPr/>
        <w:t>$41.00</w:t>
      </w:r>
      <w:r>
        <w:rPr>
          <w:spacing w:val="14"/>
        </w:rPr>
        <w:t> </w:t>
      </w:r>
      <w:r>
        <w:rPr/>
        <w:t>a</w:t>
      </w:r>
    </w:p>
    <w:p>
      <w:pPr>
        <w:pStyle w:val="BodyText"/>
        <w:spacing w:before="4"/>
        <w:ind w:left="269"/>
      </w:pPr>
      <w:r>
        <w:rPr/>
        <w:t>$107.00</w:t>
      </w:r>
    </w:p>
    <w:p>
      <w:pPr>
        <w:pStyle w:val="BodyText"/>
        <w:spacing w:before="2"/>
        <w:rPr>
          <w:sz w:val="19"/>
        </w:rPr>
      </w:pPr>
    </w:p>
    <w:p>
      <w:pPr>
        <w:pStyle w:val="BodyText"/>
        <w:spacing w:before="1"/>
        <w:ind w:left="226"/>
      </w:pPr>
      <w:r>
        <w:rPr/>
        <w:t>$47.00</w:t>
      </w:r>
      <w:r>
        <w:rPr>
          <w:spacing w:val="14"/>
        </w:rPr>
        <w:t> </w:t>
      </w:r>
      <w:r>
        <w:rPr/>
        <w:t>a</w:t>
      </w:r>
    </w:p>
    <w:p>
      <w:pPr>
        <w:pStyle w:val="BodyText"/>
        <w:spacing w:before="4"/>
        <w:ind w:left="269"/>
      </w:pPr>
      <w:r>
        <w:rPr/>
        <w:t>$146.00</w:t>
      </w:r>
    </w:p>
    <w:p>
      <w:pPr>
        <w:pStyle w:val="BodyText"/>
        <w:spacing w:before="2"/>
        <w:rPr>
          <w:sz w:val="19"/>
        </w:rPr>
      </w:pPr>
    </w:p>
    <w:p>
      <w:pPr>
        <w:pStyle w:val="BodyText"/>
        <w:spacing w:before="1"/>
        <w:ind w:left="226"/>
      </w:pPr>
      <w:r>
        <w:rPr/>
        <w:t>$40.00</w:t>
      </w:r>
      <w:r>
        <w:rPr>
          <w:spacing w:val="14"/>
        </w:rPr>
        <w:t> </w:t>
      </w:r>
      <w:r>
        <w:rPr/>
        <w:t>a</w:t>
      </w:r>
    </w:p>
    <w:p>
      <w:pPr>
        <w:pStyle w:val="BodyText"/>
        <w:spacing w:before="4"/>
        <w:ind w:left="269"/>
      </w:pPr>
      <w:r>
        <w:rPr/>
        <w:t>$148.00</w:t>
      </w:r>
    </w:p>
    <w:p>
      <w:pPr>
        <w:pStyle w:val="BodyText"/>
        <w:rPr>
          <w:sz w:val="16"/>
        </w:rPr>
      </w:pPr>
    </w:p>
    <w:p>
      <w:pPr>
        <w:pStyle w:val="BodyText"/>
        <w:spacing w:before="7"/>
        <w:rPr>
          <w:sz w:val="18"/>
        </w:rPr>
      </w:pPr>
    </w:p>
    <w:p>
      <w:pPr>
        <w:pStyle w:val="BodyText"/>
        <w:ind w:left="226"/>
      </w:pPr>
      <w:r>
        <w:rPr/>
        <w:t>$60.00</w:t>
      </w:r>
      <w:r>
        <w:rPr>
          <w:spacing w:val="14"/>
        </w:rPr>
        <w:t> </w:t>
      </w:r>
      <w:r>
        <w:rPr/>
        <w:t>a</w:t>
      </w:r>
    </w:p>
    <w:p>
      <w:pPr>
        <w:pStyle w:val="BodyText"/>
        <w:spacing w:before="5"/>
        <w:ind w:left="269"/>
      </w:pPr>
      <w:r>
        <w:rPr/>
        <w:t>$148.00</w:t>
      </w:r>
    </w:p>
    <w:p>
      <w:pPr>
        <w:pStyle w:val="BodyText"/>
        <w:spacing w:line="244" w:lineRule="auto" w:before="143"/>
        <w:ind w:left="226" w:right="508" w:firstLine="397"/>
        <w:jc w:val="both"/>
      </w:pPr>
      <w:r>
        <w:rPr/>
        <w:br w:type="column"/>
      </w:r>
      <w:r>
        <w:rPr>
          <w:b/>
        </w:rPr>
        <w:t>Artículo 75.- </w:t>
      </w:r>
      <w:r>
        <w:rPr/>
        <w:t>Las personas físicas o jurídicas que soliciten lotes de terreno o  espacios  en  los  cementerios municipales de dominio público, para la construcción y uso de fosas, criptas, gavetas o nichos, pagarán los derechos correspondientes de acuerdo a las</w:t>
      </w:r>
      <w:r>
        <w:rPr>
          <w:spacing w:val="17"/>
        </w:rPr>
        <w:t> </w:t>
      </w:r>
      <w:r>
        <w:rPr/>
        <w:t>siguientes:</w:t>
      </w:r>
    </w:p>
    <w:p>
      <w:pPr>
        <w:pStyle w:val="BodyText"/>
        <w:spacing w:before="3"/>
        <w:ind w:right="1809"/>
        <w:jc w:val="right"/>
      </w:pPr>
      <w:r>
        <w:rPr/>
        <w:t>CUOTAS</w:t>
      </w:r>
    </w:p>
    <w:p>
      <w:pPr>
        <w:pStyle w:val="ListParagraph"/>
        <w:numPr>
          <w:ilvl w:val="0"/>
          <w:numId w:val="47"/>
        </w:numPr>
        <w:tabs>
          <w:tab w:pos="431" w:val="left" w:leader="none"/>
        </w:tabs>
        <w:spacing w:line="240" w:lineRule="auto" w:before="24" w:after="0"/>
        <w:ind w:left="430" w:right="0" w:hanging="130"/>
        <w:jc w:val="left"/>
        <w:rPr>
          <w:sz w:val="15"/>
        </w:rPr>
      </w:pPr>
      <w:r>
        <w:rPr>
          <w:sz w:val="15"/>
        </w:rPr>
        <w:t>Lotes de terreno o espacios de uso a perpetuidad, por</w:t>
      </w:r>
      <w:r>
        <w:rPr>
          <w:spacing w:val="18"/>
          <w:sz w:val="15"/>
        </w:rPr>
        <w:t> </w:t>
      </w:r>
      <w:r>
        <w:rPr>
          <w:sz w:val="15"/>
        </w:rPr>
        <w:t>metro</w:t>
      </w:r>
    </w:p>
    <w:p>
      <w:pPr>
        <w:pStyle w:val="BodyText"/>
        <w:tabs>
          <w:tab w:pos="5024" w:val="left" w:leader="none"/>
        </w:tabs>
        <w:spacing w:before="5"/>
        <w:ind w:left="301"/>
      </w:pPr>
      <w:r>
        <w:rPr/>
        <w:t>cuadrado:</w:t>
        <w:tab/>
        <w:t>$469.00</w:t>
      </w:r>
    </w:p>
    <w:p>
      <w:pPr>
        <w:pStyle w:val="BodyText"/>
        <w:spacing w:before="2"/>
        <w:rPr>
          <w:sz w:val="19"/>
        </w:rPr>
      </w:pPr>
    </w:p>
    <w:p>
      <w:pPr>
        <w:pStyle w:val="ListParagraph"/>
        <w:numPr>
          <w:ilvl w:val="0"/>
          <w:numId w:val="47"/>
        </w:numPr>
        <w:tabs>
          <w:tab w:pos="474" w:val="left" w:leader="none"/>
        </w:tabs>
        <w:spacing w:line="240" w:lineRule="auto" w:before="0" w:after="0"/>
        <w:ind w:left="473" w:right="0" w:hanging="173"/>
        <w:jc w:val="left"/>
        <w:rPr>
          <w:sz w:val="15"/>
        </w:rPr>
      </w:pPr>
      <w:r>
        <w:rPr>
          <w:sz w:val="15"/>
        </w:rPr>
        <w:t>Lotes de terreno o espacios de uso a temporalidad de</w:t>
      </w:r>
      <w:r>
        <w:rPr>
          <w:spacing w:val="18"/>
          <w:sz w:val="15"/>
        </w:rPr>
        <w:t> </w:t>
      </w:r>
      <w:r>
        <w:rPr>
          <w:sz w:val="15"/>
        </w:rPr>
        <w:t>seis</w:t>
      </w:r>
    </w:p>
    <w:p>
      <w:pPr>
        <w:pStyle w:val="BodyText"/>
        <w:tabs>
          <w:tab w:pos="5110" w:val="left" w:leader="none"/>
        </w:tabs>
        <w:spacing w:before="5"/>
        <w:ind w:left="301"/>
      </w:pPr>
      <w:r>
        <w:rPr/>
        <w:t>años, por</w:t>
      </w:r>
      <w:r>
        <w:rPr>
          <w:spacing w:val="17"/>
        </w:rPr>
        <w:t> </w:t>
      </w:r>
      <w:r>
        <w:rPr/>
        <w:t>metro</w:t>
      </w:r>
      <w:r>
        <w:rPr>
          <w:spacing w:val="9"/>
        </w:rPr>
        <w:t> </w:t>
      </w:r>
      <w:r>
        <w:rPr/>
        <w:t>cuadrado:</w:t>
        <w:tab/>
        <w:t>$18.00</w:t>
      </w:r>
    </w:p>
    <w:p>
      <w:pPr>
        <w:pStyle w:val="BodyText"/>
        <w:spacing w:before="1"/>
        <w:rPr>
          <w:sz w:val="19"/>
        </w:rPr>
      </w:pPr>
    </w:p>
    <w:p>
      <w:pPr>
        <w:pStyle w:val="ListParagraph"/>
        <w:numPr>
          <w:ilvl w:val="0"/>
          <w:numId w:val="47"/>
        </w:numPr>
        <w:tabs>
          <w:tab w:pos="517" w:val="left" w:leader="none"/>
        </w:tabs>
        <w:spacing w:line="240" w:lineRule="auto" w:before="1" w:after="0"/>
        <w:ind w:left="516" w:right="0" w:hanging="216"/>
        <w:jc w:val="left"/>
        <w:rPr>
          <w:sz w:val="15"/>
        </w:rPr>
      </w:pPr>
      <w:r>
        <w:rPr>
          <w:sz w:val="15"/>
        </w:rPr>
        <w:t>Lotes de terreno o espacios de uso a temporalidad de</w:t>
      </w:r>
      <w:r>
        <w:rPr>
          <w:spacing w:val="17"/>
          <w:sz w:val="15"/>
        </w:rPr>
        <w:t> </w:t>
      </w:r>
      <w:r>
        <w:rPr>
          <w:sz w:val="15"/>
        </w:rPr>
        <w:t>doce</w:t>
      </w:r>
    </w:p>
    <w:p>
      <w:pPr>
        <w:pStyle w:val="BodyText"/>
        <w:tabs>
          <w:tab w:pos="5110" w:val="left" w:leader="none"/>
        </w:tabs>
        <w:spacing w:before="4"/>
        <w:ind w:left="301"/>
      </w:pPr>
      <w:r>
        <w:rPr/>
        <w:t>años, por</w:t>
      </w:r>
      <w:r>
        <w:rPr>
          <w:spacing w:val="17"/>
        </w:rPr>
        <w:t> </w:t>
      </w:r>
      <w:r>
        <w:rPr/>
        <w:t>metro</w:t>
      </w:r>
      <w:r>
        <w:rPr>
          <w:spacing w:val="9"/>
        </w:rPr>
        <w:t> </w:t>
      </w:r>
      <w:r>
        <w:rPr/>
        <w:t>cuadrado:</w:t>
        <w:tab/>
        <w:t>$34.00</w:t>
      </w:r>
    </w:p>
    <w:p>
      <w:pPr>
        <w:pStyle w:val="BodyText"/>
        <w:spacing w:before="3"/>
        <w:rPr>
          <w:sz w:val="19"/>
        </w:rPr>
      </w:pPr>
    </w:p>
    <w:p>
      <w:pPr>
        <w:pStyle w:val="ListParagraph"/>
        <w:numPr>
          <w:ilvl w:val="0"/>
          <w:numId w:val="47"/>
        </w:numPr>
        <w:tabs>
          <w:tab w:pos="578" w:val="left" w:leader="none"/>
        </w:tabs>
        <w:spacing w:line="80" w:lineRule="exact" w:before="0" w:after="0"/>
        <w:ind w:left="578" w:right="0" w:hanging="277"/>
        <w:jc w:val="left"/>
        <w:rPr>
          <w:sz w:val="15"/>
        </w:rPr>
      </w:pPr>
      <w:r>
        <w:rPr>
          <w:sz w:val="15"/>
        </w:rPr>
        <w:t>Para</w:t>
      </w:r>
      <w:r>
        <w:rPr>
          <w:spacing w:val="20"/>
          <w:sz w:val="15"/>
        </w:rPr>
        <w:t> </w:t>
      </w:r>
      <w:r>
        <w:rPr>
          <w:sz w:val="15"/>
        </w:rPr>
        <w:t>el</w:t>
      </w:r>
      <w:r>
        <w:rPr>
          <w:spacing w:val="21"/>
          <w:sz w:val="15"/>
        </w:rPr>
        <w:t> </w:t>
      </w:r>
      <w:r>
        <w:rPr>
          <w:sz w:val="15"/>
        </w:rPr>
        <w:t>mantenimiento</w:t>
      </w:r>
      <w:r>
        <w:rPr>
          <w:spacing w:val="21"/>
          <w:sz w:val="15"/>
        </w:rPr>
        <w:t> </w:t>
      </w:r>
      <w:r>
        <w:rPr>
          <w:sz w:val="15"/>
        </w:rPr>
        <w:t>de</w:t>
      </w:r>
      <w:r>
        <w:rPr>
          <w:spacing w:val="20"/>
          <w:sz w:val="15"/>
        </w:rPr>
        <w:t> </w:t>
      </w:r>
      <w:r>
        <w:rPr>
          <w:sz w:val="15"/>
        </w:rPr>
        <w:t>las</w:t>
      </w:r>
      <w:r>
        <w:rPr>
          <w:spacing w:val="21"/>
          <w:sz w:val="15"/>
        </w:rPr>
        <w:t> </w:t>
      </w:r>
      <w:r>
        <w:rPr>
          <w:sz w:val="15"/>
        </w:rPr>
        <w:t>áreas</w:t>
      </w:r>
      <w:r>
        <w:rPr>
          <w:spacing w:val="21"/>
          <w:sz w:val="15"/>
        </w:rPr>
        <w:t> </w:t>
      </w:r>
      <w:r>
        <w:rPr>
          <w:sz w:val="15"/>
        </w:rPr>
        <w:t>comunes</w:t>
      </w:r>
      <w:r>
        <w:rPr>
          <w:spacing w:val="21"/>
          <w:sz w:val="15"/>
        </w:rPr>
        <w:t> </w:t>
      </w:r>
      <w:r>
        <w:rPr>
          <w:sz w:val="15"/>
        </w:rPr>
        <w:t>de</w:t>
      </w:r>
      <w:r>
        <w:rPr>
          <w:spacing w:val="19"/>
          <w:sz w:val="15"/>
        </w:rPr>
        <w:t> </w:t>
      </w:r>
      <w:r>
        <w:rPr>
          <w:sz w:val="15"/>
        </w:rPr>
        <w:t>los</w:t>
      </w:r>
    </w:p>
    <w:p>
      <w:pPr>
        <w:spacing w:after="0" w:line="80" w:lineRule="exact"/>
        <w:jc w:val="left"/>
        <w:rPr>
          <w:sz w:val="15"/>
        </w:rPr>
        <w:sectPr>
          <w:type w:val="continuous"/>
          <w:pgSz w:w="23250" w:h="15310" w:orient="landscape"/>
          <w:pgMar w:top="0" w:bottom="0" w:left="1880" w:right="1520"/>
          <w:cols w:num="3" w:equalWidth="0">
            <w:col w:w="4563" w:space="118"/>
            <w:col w:w="867" w:space="5999"/>
            <w:col w:w="8303"/>
          </w:cols>
        </w:sectPr>
      </w:pPr>
    </w:p>
    <w:p>
      <w:pPr>
        <w:pStyle w:val="BodyText"/>
        <w:tabs>
          <w:tab w:pos="5121" w:val="left" w:leader="none"/>
        </w:tabs>
        <w:spacing w:line="172" w:lineRule="exact"/>
        <w:ind w:left="226"/>
      </w:pPr>
      <w:r>
        <w:rPr/>
        <w:t>anuncios eventuales, por metro </w:t>
      </w:r>
      <w:r>
        <w:rPr>
          <w:spacing w:val="8"/>
        </w:rPr>
        <w:t> </w:t>
      </w:r>
      <w:r>
        <w:rPr/>
        <w:t>cuadrado,</w:t>
      </w:r>
      <w:r>
        <w:rPr>
          <w:spacing w:val="12"/>
        </w:rPr>
        <w:t> </w:t>
      </w:r>
      <w:r>
        <w:rPr/>
        <w:t>diariamente:</w:t>
        <w:tab/>
        <w:t>$6.00</w:t>
      </w:r>
    </w:p>
    <w:p>
      <w:pPr>
        <w:pStyle w:val="BodyText"/>
        <w:spacing w:before="2"/>
        <w:rPr>
          <w:sz w:val="19"/>
        </w:rPr>
      </w:pPr>
    </w:p>
    <w:p>
      <w:pPr>
        <w:pStyle w:val="BodyText"/>
        <w:tabs>
          <w:tab w:pos="1760" w:val="left" w:leader="none"/>
          <w:tab w:pos="2138" w:val="left" w:leader="none"/>
          <w:tab w:pos="3047" w:val="left" w:leader="none"/>
          <w:tab w:pos="3425" w:val="left" w:leader="none"/>
        </w:tabs>
        <w:ind w:left="226"/>
      </w:pPr>
      <w:r>
        <w:rPr/>
        <w:t>VI.</w:t>
      </w:r>
      <w:r>
        <w:rPr>
          <w:spacing w:val="30"/>
        </w:rPr>
        <w:t> </w:t>
      </w:r>
      <w:r>
        <w:rPr/>
        <w:t>Arrendamiento</w:t>
        <w:tab/>
        <w:t>de</w:t>
        <w:tab/>
        <w:t>inmuebles</w:t>
        <w:tab/>
        <w:t>de</w:t>
        <w:tab/>
        <w:t>dominio</w:t>
      </w:r>
      <w:r>
        <w:rPr>
          <w:spacing w:val="29"/>
        </w:rPr>
        <w:t> </w:t>
      </w:r>
      <w:r>
        <w:rPr/>
        <w:t>público</w:t>
      </w:r>
    </w:p>
    <w:p>
      <w:pPr>
        <w:pStyle w:val="BodyText"/>
        <w:spacing w:line="247" w:lineRule="auto" w:before="97"/>
        <w:ind w:left="226" w:right="3698"/>
        <w:jc w:val="both"/>
      </w:pPr>
      <w:r>
        <w:rPr/>
        <w:br w:type="column"/>
      </w:r>
      <w:r>
        <w:rPr/>
        <w:t>cementerios de dominio público (calles, andadores, bardas, y jardines) de cada fosa en uso a perpetuidad o uso temporal se pagará anualmente, por metro cuadrado, durante los meses</w:t>
      </w:r>
    </w:p>
    <w:p>
      <w:pPr>
        <w:spacing w:after="0" w:line="247" w:lineRule="auto"/>
        <w:jc w:val="both"/>
        <w:sectPr>
          <w:type w:val="continuous"/>
          <w:pgSz w:w="23250" w:h="15310" w:orient="landscape"/>
          <w:pgMar w:top="0" w:bottom="0" w:left="1880" w:right="1520"/>
          <w:cols w:num="2" w:equalWidth="0">
            <w:col w:w="5548" w:space="6074"/>
            <w:col w:w="8228"/>
          </w:cols>
        </w:sectPr>
      </w:pPr>
    </w:p>
    <w:p>
      <w:pPr>
        <w:pStyle w:val="BodyText"/>
        <w:tabs>
          <w:tab w:pos="774" w:val="left" w:leader="none"/>
          <w:tab w:pos="1633" w:val="left" w:leader="none"/>
          <w:tab w:pos="3201" w:val="left" w:leader="none"/>
          <w:tab w:pos="3837" w:val="left" w:leader="none"/>
        </w:tabs>
        <w:spacing w:line="112" w:lineRule="exact"/>
        <w:ind w:left="226"/>
      </w:pPr>
      <w:r>
        <w:rPr/>
        <w:t>para</w:t>
        <w:tab/>
        <w:t>anuncios</w:t>
        <w:tab/>
        <w:t>permanentes,   </w:t>
      </w:r>
      <w:r>
        <w:rPr>
          <w:spacing w:val="11"/>
        </w:rPr>
        <w:t> </w:t>
      </w:r>
      <w:r>
        <w:rPr/>
        <w:t>por</w:t>
        <w:tab/>
        <w:t>metro</w:t>
        <w:tab/>
        <w:t>cuadrado,</w:t>
      </w:r>
    </w:p>
    <w:p>
      <w:pPr>
        <w:pStyle w:val="BodyText"/>
        <w:spacing w:before="4"/>
        <w:ind w:left="226"/>
      </w:pPr>
      <w:r>
        <w:rPr/>
        <w:t>mensualmente, de:</w:t>
      </w:r>
    </w:p>
    <w:p>
      <w:pPr>
        <w:pStyle w:val="BodyText"/>
        <w:spacing w:line="112" w:lineRule="exact"/>
        <w:ind w:right="38"/>
        <w:jc w:val="right"/>
      </w:pPr>
      <w:r>
        <w:rPr/>
        <w:br w:type="column"/>
      </w:r>
      <w:r>
        <w:rPr/>
        <w:t>$44.00</w:t>
      </w:r>
      <w:r>
        <w:rPr>
          <w:spacing w:val="14"/>
        </w:rPr>
        <w:t> </w:t>
      </w:r>
      <w:r>
        <w:rPr/>
        <w:t>a</w:t>
      </w:r>
    </w:p>
    <w:p>
      <w:pPr>
        <w:pStyle w:val="BodyText"/>
        <w:spacing w:before="4"/>
        <w:ind w:right="38"/>
        <w:jc w:val="right"/>
      </w:pPr>
      <w:r>
        <w:rPr/>
        <w:t>$54.00</w:t>
      </w:r>
    </w:p>
    <w:p>
      <w:pPr>
        <w:pStyle w:val="BodyText"/>
        <w:tabs>
          <w:tab w:pos="5035" w:val="left" w:leader="none"/>
        </w:tabs>
        <w:spacing w:line="171" w:lineRule="exact"/>
        <w:ind w:left="226"/>
      </w:pPr>
      <w:r>
        <w:rPr/>
        <w:br w:type="column"/>
      </w:r>
      <w:r>
        <w:rPr/>
        <w:t>de enero</w:t>
      </w:r>
      <w:r>
        <w:rPr>
          <w:spacing w:val="13"/>
        </w:rPr>
        <w:t> </w:t>
      </w:r>
      <w:r>
        <w:rPr/>
        <w:t>y</w:t>
      </w:r>
      <w:r>
        <w:rPr>
          <w:spacing w:val="6"/>
        </w:rPr>
        <w:t> </w:t>
      </w:r>
      <w:r>
        <w:rPr/>
        <w:t>febrero:</w:t>
        <w:tab/>
        <w:t>$40.00</w:t>
      </w:r>
    </w:p>
    <w:p>
      <w:pPr>
        <w:spacing w:after="0" w:line="171" w:lineRule="exact"/>
        <w:sectPr>
          <w:type w:val="continuous"/>
          <w:pgSz w:w="23250" w:h="15310" w:orient="landscape"/>
          <w:pgMar w:top="0" w:bottom="0" w:left="1880" w:right="1520"/>
          <w:cols w:num="3" w:equalWidth="0">
            <w:col w:w="4562" w:space="119"/>
            <w:col w:w="867" w:space="6074"/>
            <w:col w:w="8228"/>
          </w:cols>
        </w:sectPr>
      </w:pPr>
    </w:p>
    <w:p>
      <w:pPr>
        <w:pStyle w:val="BodyText"/>
        <w:spacing w:before="6"/>
        <w:rPr>
          <w:sz w:val="17"/>
        </w:rPr>
      </w:pPr>
    </w:p>
    <w:p>
      <w:pPr>
        <w:pStyle w:val="BodyText"/>
        <w:spacing w:line="247" w:lineRule="auto"/>
        <w:ind w:left="151" w:right="38" w:firstLine="397"/>
        <w:jc w:val="both"/>
      </w:pPr>
      <w:r>
        <w:rPr>
          <w:b/>
        </w:rPr>
        <w:t>Artículo 70.- </w:t>
      </w:r>
      <w:r>
        <w:rPr/>
        <w:t>El importe de las rentas o de los ingresos por las concesiones de otros bienes muebles o inmuebles, propiedad del Municipio de dominio público, no especificados en el artículo anterior, será fijado en   los contratos respectivos, previo acuerdo del Ayuntamiento y en los términos del artículo 180 de la Ley de Hacienda Municipal del Estado de</w:t>
      </w:r>
      <w:r>
        <w:rPr>
          <w:spacing w:val="6"/>
        </w:rPr>
        <w:t> </w:t>
      </w:r>
      <w:r>
        <w:rPr/>
        <w:t>Jalisco.</w:t>
      </w:r>
    </w:p>
    <w:p>
      <w:pPr>
        <w:pStyle w:val="ListParagraph"/>
        <w:numPr>
          <w:ilvl w:val="0"/>
          <w:numId w:val="48"/>
        </w:numPr>
        <w:tabs>
          <w:tab w:pos="401" w:val="left" w:leader="none"/>
        </w:tabs>
        <w:spacing w:line="240" w:lineRule="auto" w:before="103" w:after="0"/>
        <w:ind w:left="400" w:right="0" w:hanging="175"/>
        <w:jc w:val="left"/>
        <w:rPr>
          <w:sz w:val="15"/>
        </w:rPr>
      </w:pPr>
      <w:r>
        <w:rPr>
          <w:w w:val="102"/>
          <w:sz w:val="15"/>
        </w:rPr>
        <w:br w:type="column"/>
      </w:r>
      <w:r>
        <w:rPr>
          <w:sz w:val="15"/>
        </w:rPr>
        <w:t>Por la construcción de fosas, criptas, gavetas o nichos,</w:t>
      </w:r>
      <w:r>
        <w:rPr>
          <w:spacing w:val="13"/>
          <w:sz w:val="15"/>
        </w:rPr>
        <w:t> </w:t>
      </w:r>
      <w:r>
        <w:rPr>
          <w:sz w:val="15"/>
        </w:rPr>
        <w:t>se</w:t>
      </w:r>
    </w:p>
    <w:p>
      <w:pPr>
        <w:pStyle w:val="BodyText"/>
        <w:tabs>
          <w:tab w:pos="5035" w:val="left" w:leader="none"/>
        </w:tabs>
        <w:spacing w:before="5"/>
        <w:ind w:left="226"/>
      </w:pPr>
      <w:r>
        <w:rPr/>
        <w:t>pagará por metro cuadrado la </w:t>
      </w:r>
      <w:r>
        <w:rPr>
          <w:spacing w:val="1"/>
        </w:rPr>
        <w:t> </w:t>
      </w:r>
      <w:r>
        <w:rPr/>
        <w:t>cantidad</w:t>
      </w:r>
      <w:r>
        <w:rPr>
          <w:spacing w:val="9"/>
        </w:rPr>
        <w:t> </w:t>
      </w:r>
      <w:r>
        <w:rPr/>
        <w:t>de:</w:t>
        <w:tab/>
        <w:t>$84.00</w:t>
      </w:r>
    </w:p>
    <w:p>
      <w:pPr>
        <w:pStyle w:val="BodyText"/>
        <w:spacing w:before="6"/>
        <w:rPr>
          <w:sz w:val="17"/>
        </w:rPr>
      </w:pPr>
    </w:p>
    <w:p>
      <w:pPr>
        <w:pStyle w:val="ListParagraph"/>
        <w:numPr>
          <w:ilvl w:val="0"/>
          <w:numId w:val="48"/>
        </w:numPr>
        <w:tabs>
          <w:tab w:pos="426" w:val="left" w:leader="none"/>
        </w:tabs>
        <w:spacing w:line="247" w:lineRule="auto" w:before="0" w:after="0"/>
        <w:ind w:left="151" w:right="803" w:firstLine="42"/>
        <w:jc w:val="left"/>
        <w:rPr>
          <w:sz w:val="15"/>
        </w:rPr>
      </w:pPr>
      <w:r>
        <w:rPr>
          <w:sz w:val="15"/>
        </w:rPr>
        <w:t>Las personas físicas o jurídicas que hayan adquirido el derecho de uso a perpetuidad y que pretendan ceder</w:t>
      </w:r>
      <w:r>
        <w:rPr>
          <w:spacing w:val="4"/>
          <w:sz w:val="15"/>
        </w:rPr>
        <w:t> </w:t>
      </w:r>
      <w:r>
        <w:rPr>
          <w:sz w:val="15"/>
        </w:rPr>
        <w:t>los</w:t>
      </w:r>
      <w:r>
        <w:rPr>
          <w:spacing w:val="4"/>
          <w:sz w:val="15"/>
        </w:rPr>
        <w:t> </w:t>
      </w:r>
      <w:r>
        <w:rPr>
          <w:sz w:val="15"/>
        </w:rPr>
        <w:t>derechos,</w:t>
      </w:r>
      <w:r>
        <w:rPr>
          <w:spacing w:val="4"/>
          <w:sz w:val="15"/>
        </w:rPr>
        <w:t> </w:t>
      </w:r>
      <w:r>
        <w:rPr>
          <w:sz w:val="15"/>
        </w:rPr>
        <w:t>pagarán</w:t>
      </w:r>
      <w:r>
        <w:rPr>
          <w:spacing w:val="4"/>
          <w:sz w:val="15"/>
        </w:rPr>
        <w:t> </w:t>
      </w:r>
      <w:r>
        <w:rPr>
          <w:sz w:val="15"/>
        </w:rPr>
        <w:t>el</w:t>
      </w:r>
      <w:r>
        <w:rPr>
          <w:spacing w:val="4"/>
          <w:sz w:val="15"/>
        </w:rPr>
        <w:t> </w:t>
      </w:r>
      <w:r>
        <w:rPr>
          <w:sz w:val="15"/>
        </w:rPr>
        <w:t>50%</w:t>
      </w:r>
      <w:r>
        <w:rPr>
          <w:spacing w:val="3"/>
          <w:sz w:val="15"/>
        </w:rPr>
        <w:t> </w:t>
      </w:r>
      <w:r>
        <w:rPr>
          <w:sz w:val="15"/>
        </w:rPr>
        <w:t>sobre</w:t>
      </w:r>
      <w:r>
        <w:rPr>
          <w:spacing w:val="5"/>
          <w:sz w:val="15"/>
        </w:rPr>
        <w:t> </w:t>
      </w:r>
      <w:r>
        <w:rPr>
          <w:sz w:val="15"/>
        </w:rPr>
        <w:t>la</w:t>
      </w:r>
      <w:r>
        <w:rPr>
          <w:spacing w:val="4"/>
          <w:sz w:val="15"/>
        </w:rPr>
        <w:t> </w:t>
      </w:r>
      <w:r>
        <w:rPr>
          <w:sz w:val="15"/>
        </w:rPr>
        <w:t>cuota</w:t>
      </w:r>
      <w:r>
        <w:rPr>
          <w:spacing w:val="8"/>
          <w:sz w:val="15"/>
        </w:rPr>
        <w:t> </w:t>
      </w:r>
      <w:r>
        <w:rPr>
          <w:sz w:val="15"/>
        </w:rPr>
        <w:t>señalada</w:t>
      </w:r>
      <w:r>
        <w:rPr>
          <w:spacing w:val="4"/>
          <w:sz w:val="15"/>
        </w:rPr>
        <w:t> </w:t>
      </w:r>
      <w:r>
        <w:rPr>
          <w:sz w:val="15"/>
        </w:rPr>
        <w:t>en</w:t>
      </w:r>
      <w:r>
        <w:rPr>
          <w:spacing w:val="9"/>
          <w:sz w:val="15"/>
        </w:rPr>
        <w:t> </w:t>
      </w:r>
      <w:r>
        <w:rPr>
          <w:sz w:val="15"/>
        </w:rPr>
        <w:t>la</w:t>
      </w:r>
      <w:r>
        <w:rPr>
          <w:spacing w:val="4"/>
          <w:sz w:val="15"/>
        </w:rPr>
        <w:t> </w:t>
      </w:r>
      <w:r>
        <w:rPr>
          <w:sz w:val="15"/>
        </w:rPr>
        <w:t>fracción</w:t>
      </w:r>
      <w:r>
        <w:rPr>
          <w:spacing w:val="4"/>
          <w:sz w:val="15"/>
        </w:rPr>
        <w:t> </w:t>
      </w:r>
      <w:r>
        <w:rPr>
          <w:sz w:val="15"/>
        </w:rPr>
        <w:t>I</w:t>
      </w:r>
      <w:r>
        <w:rPr>
          <w:spacing w:val="4"/>
          <w:sz w:val="15"/>
        </w:rPr>
        <w:t> </w:t>
      </w:r>
      <w:r>
        <w:rPr>
          <w:sz w:val="15"/>
        </w:rPr>
        <w:t>de</w:t>
      </w:r>
      <w:r>
        <w:rPr>
          <w:spacing w:val="4"/>
          <w:sz w:val="15"/>
        </w:rPr>
        <w:t> </w:t>
      </w:r>
      <w:r>
        <w:rPr>
          <w:sz w:val="15"/>
        </w:rPr>
        <w:t>este</w:t>
      </w:r>
      <w:r>
        <w:rPr>
          <w:spacing w:val="3"/>
          <w:sz w:val="15"/>
        </w:rPr>
        <w:t> </w:t>
      </w:r>
      <w:r>
        <w:rPr>
          <w:sz w:val="15"/>
        </w:rPr>
        <w:t>artículo</w:t>
      </w:r>
    </w:p>
    <w:p>
      <w:pPr>
        <w:spacing w:after="0" w:line="247" w:lineRule="auto"/>
        <w:jc w:val="left"/>
        <w:rPr>
          <w:sz w:val="15"/>
        </w:rPr>
        <w:sectPr>
          <w:type w:val="continuous"/>
          <w:pgSz w:w="23250" w:h="15310" w:orient="landscape"/>
          <w:pgMar w:top="0" w:bottom="0" w:left="1880" w:right="1520"/>
          <w:cols w:num="2" w:equalWidth="0">
            <w:col w:w="7751" w:space="3871"/>
            <w:col w:w="8228"/>
          </w:cols>
        </w:sectPr>
      </w:pPr>
    </w:p>
    <w:p>
      <w:pPr>
        <w:pStyle w:val="BodyText"/>
        <w:rPr>
          <w:sz w:val="20"/>
        </w:rPr>
      </w:pPr>
    </w:p>
    <w:p>
      <w:pPr>
        <w:pStyle w:val="BodyText"/>
        <w:rPr>
          <w:sz w:val="20"/>
        </w:rPr>
      </w:pPr>
    </w:p>
    <w:p>
      <w:pPr>
        <w:spacing w:after="0"/>
        <w:rPr>
          <w:sz w:val="20"/>
        </w:rPr>
        <w:sectPr>
          <w:headerReference w:type="default" r:id="rId67"/>
          <w:pgSz w:w="23250" w:h="15310" w:orient="landscape"/>
          <w:pgMar w:header="881" w:footer="499" w:top="1920" w:bottom="680" w:left="1880" w:right="1520"/>
        </w:sectPr>
      </w:pPr>
    </w:p>
    <w:p>
      <w:pPr>
        <w:pStyle w:val="BodyText"/>
        <w:rPr>
          <w:sz w:val="16"/>
        </w:rPr>
      </w:pPr>
    </w:p>
    <w:p>
      <w:pPr>
        <w:pStyle w:val="BodyText"/>
        <w:spacing w:before="7"/>
        <w:rPr>
          <w:sz w:val="17"/>
        </w:rPr>
      </w:pPr>
    </w:p>
    <w:p>
      <w:pPr>
        <w:pStyle w:val="BodyText"/>
        <w:spacing w:line="247" w:lineRule="auto"/>
        <w:ind w:left="151" w:right="38"/>
        <w:jc w:val="both"/>
      </w:pPr>
      <w:r>
        <w:rPr/>
        <w:t>A las personas con discapacidad, indigentes, adultas mayores de 60 años, o  de  escasos  recursos  económicos, se les podrá aplicar un descuento de hasta 50% el cual será autorizado  por  la  Tesorería  Municipal con respecto de las tarifas señaladas en las fracciones II y IV de este artículo, previa autorización     del sistema DIF del Municipio de</w:t>
      </w:r>
      <w:r>
        <w:rPr>
          <w:spacing w:val="8"/>
        </w:rPr>
        <w:t> </w:t>
      </w:r>
      <w:r>
        <w:rPr/>
        <w:t>Tlajomulco.</w:t>
      </w:r>
    </w:p>
    <w:p>
      <w:pPr>
        <w:pStyle w:val="BodyText"/>
        <w:spacing w:before="2"/>
      </w:pPr>
    </w:p>
    <w:p>
      <w:pPr>
        <w:pStyle w:val="BodyText"/>
        <w:spacing w:line="247" w:lineRule="auto"/>
        <w:ind w:left="151" w:right="199" w:firstLine="397"/>
      </w:pPr>
      <w:r>
        <w:rPr>
          <w:b/>
        </w:rPr>
        <w:t>Artículo 76.- </w:t>
      </w:r>
      <w:r>
        <w:rPr/>
        <w:t>En ningún caso, las dimensiones utilizadas en los cementerios municipales de dominio público, podrán ser inferiores a las siguientes:</w:t>
      </w:r>
    </w:p>
    <w:p>
      <w:pPr>
        <w:pStyle w:val="BodyText"/>
        <w:spacing w:before="9"/>
        <w:rPr>
          <w:sz w:val="19"/>
        </w:rPr>
      </w:pPr>
      <w:r>
        <w:rPr/>
        <w:br w:type="column"/>
      </w:r>
      <w:r>
        <w:rPr>
          <w:sz w:val="19"/>
        </w:rPr>
      </w:r>
    </w:p>
    <w:p>
      <w:pPr>
        <w:pStyle w:val="BodyText"/>
        <w:spacing w:before="1"/>
        <w:ind w:left="488"/>
      </w:pPr>
      <w:r>
        <w:rPr/>
        <w:t>c) En Supermercados, tiendas de autoservicio y</w:t>
      </w:r>
    </w:p>
    <w:p>
      <w:pPr>
        <w:pStyle w:val="BodyText"/>
        <w:tabs>
          <w:tab w:pos="4762" w:val="left" w:leader="none"/>
        </w:tabs>
        <w:spacing w:before="4"/>
        <w:ind w:left="151"/>
        <w:jc w:val="both"/>
      </w:pPr>
      <w:r>
        <w:rPr/>
        <w:t>negocios</w:t>
      </w:r>
      <w:r>
        <w:rPr>
          <w:spacing w:val="8"/>
        </w:rPr>
        <w:t> </w:t>
      </w:r>
      <w:r>
        <w:rPr/>
        <w:t>similares,</w:t>
      </w:r>
      <w:r>
        <w:rPr>
          <w:spacing w:val="10"/>
        </w:rPr>
        <w:t> </w:t>
      </w:r>
      <w:r>
        <w:rPr/>
        <w:t>de:</w:t>
        <w:tab/>
        <w:t>$9,000.00</w:t>
      </w:r>
    </w:p>
    <w:p>
      <w:pPr>
        <w:pStyle w:val="BodyText"/>
        <w:spacing w:before="2"/>
        <w:rPr>
          <w:sz w:val="19"/>
        </w:rPr>
      </w:pPr>
    </w:p>
    <w:p>
      <w:pPr>
        <w:pStyle w:val="BodyText"/>
        <w:spacing w:line="247" w:lineRule="auto" w:before="1"/>
        <w:ind w:left="151" w:right="3992" w:firstLine="337"/>
        <w:jc w:val="both"/>
      </w:pPr>
      <w:r>
        <w:rPr/>
        <w:t>II. Venta y consumo de bebidas de baja graduación, cerveza, o vinos generosos en fondas, cenadurías, loncherías, cocinas económicas, y negocios similares,</w:t>
      </w:r>
    </w:p>
    <w:p>
      <w:pPr>
        <w:pStyle w:val="BodyText"/>
        <w:tabs>
          <w:tab w:pos="4761" w:val="left" w:leader="none"/>
        </w:tabs>
        <w:spacing w:line="171" w:lineRule="exact"/>
        <w:ind w:left="151"/>
        <w:jc w:val="both"/>
      </w:pPr>
      <w:r>
        <w:rPr/>
        <w:t>excluyendo a restaurantes, por cada </w:t>
      </w:r>
      <w:r>
        <w:rPr>
          <w:spacing w:val="3"/>
        </w:rPr>
        <w:t> </w:t>
      </w:r>
      <w:r>
        <w:rPr/>
        <w:t>uno,</w:t>
      </w:r>
      <w:r>
        <w:rPr>
          <w:spacing w:val="9"/>
        </w:rPr>
        <w:t> </w:t>
      </w:r>
      <w:r>
        <w:rPr/>
        <w:t>de:</w:t>
        <w:tab/>
        <w:t>$6,000.00</w:t>
      </w:r>
    </w:p>
    <w:p>
      <w:pPr>
        <w:spacing w:after="0" w:line="171" w:lineRule="exact"/>
        <w:jc w:val="both"/>
        <w:sectPr>
          <w:type w:val="continuous"/>
          <w:pgSz w:w="23250" w:h="15310" w:orient="landscape"/>
          <w:pgMar w:top="0" w:bottom="0" w:left="1880" w:right="1520"/>
          <w:cols w:num="2" w:equalWidth="0">
            <w:col w:w="7751" w:space="3931"/>
            <w:col w:w="8168"/>
          </w:cols>
        </w:sectPr>
      </w:pPr>
    </w:p>
    <w:p>
      <w:pPr>
        <w:pStyle w:val="BodyText"/>
        <w:spacing w:before="3"/>
      </w:pPr>
    </w:p>
    <w:p>
      <w:pPr>
        <w:pStyle w:val="BodyText"/>
        <w:spacing w:line="247" w:lineRule="auto"/>
        <w:ind w:left="151" w:right="39" w:firstLine="163"/>
      </w:pPr>
      <w:r>
        <w:rPr/>
        <w:t>I.- Los terrenos en los Cementerios Municipales con excepción de los detallados en las fracciones I y II de  este</w:t>
      </w:r>
      <w:r>
        <w:rPr>
          <w:spacing w:val="13"/>
        </w:rPr>
        <w:t> </w:t>
      </w:r>
      <w:r>
        <w:rPr/>
        <w:t>artículo,</w:t>
      </w:r>
      <w:r>
        <w:rPr>
          <w:spacing w:val="13"/>
        </w:rPr>
        <w:t> </w:t>
      </w:r>
      <w:r>
        <w:rPr/>
        <w:t>serán</w:t>
      </w:r>
      <w:r>
        <w:rPr>
          <w:spacing w:val="14"/>
        </w:rPr>
        <w:t> </w:t>
      </w:r>
      <w:r>
        <w:rPr/>
        <w:t>de</w:t>
      </w:r>
      <w:r>
        <w:rPr>
          <w:spacing w:val="12"/>
        </w:rPr>
        <w:t> </w:t>
      </w:r>
      <w:r>
        <w:rPr/>
        <w:t>una</w:t>
      </w:r>
      <w:r>
        <w:rPr>
          <w:spacing w:val="13"/>
        </w:rPr>
        <w:t> </w:t>
      </w:r>
      <w:r>
        <w:rPr/>
        <w:t>medida</w:t>
      </w:r>
      <w:r>
        <w:rPr>
          <w:spacing w:val="14"/>
        </w:rPr>
        <w:t> </w:t>
      </w:r>
      <w:r>
        <w:rPr/>
        <w:t>estándar</w:t>
      </w:r>
      <w:r>
        <w:rPr>
          <w:spacing w:val="13"/>
        </w:rPr>
        <w:t> </w:t>
      </w:r>
      <w:r>
        <w:rPr/>
        <w:t>de</w:t>
      </w:r>
      <w:r>
        <w:rPr>
          <w:spacing w:val="12"/>
        </w:rPr>
        <w:t> </w:t>
      </w:r>
      <w:r>
        <w:rPr/>
        <w:t>1.10</w:t>
      </w:r>
      <w:r>
        <w:rPr>
          <w:spacing w:val="14"/>
        </w:rPr>
        <w:t> </w:t>
      </w:r>
      <w:r>
        <w:rPr/>
        <w:t>mts.</w:t>
      </w:r>
      <w:r>
        <w:rPr>
          <w:spacing w:val="13"/>
        </w:rPr>
        <w:t> </w:t>
      </w:r>
      <w:r>
        <w:rPr/>
        <w:t>de</w:t>
      </w:r>
      <w:r>
        <w:rPr>
          <w:spacing w:val="12"/>
        </w:rPr>
        <w:t> </w:t>
      </w:r>
      <w:r>
        <w:rPr/>
        <w:t>ancho</w:t>
      </w:r>
      <w:r>
        <w:rPr>
          <w:spacing w:val="14"/>
        </w:rPr>
        <w:t> </w:t>
      </w:r>
      <w:r>
        <w:rPr/>
        <w:t>por</w:t>
      </w:r>
      <w:r>
        <w:rPr>
          <w:spacing w:val="11"/>
        </w:rPr>
        <w:t> </w:t>
      </w:r>
      <w:r>
        <w:rPr/>
        <w:t>2.50</w:t>
      </w:r>
      <w:r>
        <w:rPr>
          <w:spacing w:val="13"/>
        </w:rPr>
        <w:t> </w:t>
      </w:r>
      <w:r>
        <w:rPr/>
        <w:t>mts.</w:t>
      </w:r>
      <w:r>
        <w:rPr>
          <w:spacing w:val="13"/>
        </w:rPr>
        <w:t> </w:t>
      </w:r>
      <w:r>
        <w:rPr/>
        <w:t>de</w:t>
      </w:r>
      <w:r>
        <w:rPr>
          <w:spacing w:val="14"/>
        </w:rPr>
        <w:t> </w:t>
      </w:r>
      <w:r>
        <w:rPr/>
        <w:t>largo,</w:t>
      </w:r>
      <w:r>
        <w:rPr>
          <w:spacing w:val="12"/>
        </w:rPr>
        <w:t> </w:t>
      </w:r>
      <w:r>
        <w:rPr/>
        <w:t>con</w:t>
      </w:r>
      <w:r>
        <w:rPr>
          <w:spacing w:val="12"/>
        </w:rPr>
        <w:t> </w:t>
      </w:r>
      <w:r>
        <w:rPr/>
        <w:t>un</w:t>
      </w:r>
      <w:r>
        <w:rPr>
          <w:spacing w:val="14"/>
        </w:rPr>
        <w:t> </w:t>
      </w:r>
      <w:r>
        <w:rPr/>
        <w:t>máximo</w:t>
      </w:r>
      <w:r>
        <w:rPr>
          <w:spacing w:val="14"/>
        </w:rPr>
        <w:t> </w:t>
      </w:r>
      <w:r>
        <w:rPr/>
        <w:t>de</w:t>
      </w:r>
    </w:p>
    <w:p>
      <w:pPr>
        <w:pStyle w:val="BodyText"/>
        <w:ind w:left="151"/>
      </w:pPr>
      <w:r>
        <w:rPr/>
        <w:t>3.00</w:t>
      </w:r>
      <w:r>
        <w:rPr>
          <w:spacing w:val="12"/>
        </w:rPr>
        <w:t> </w:t>
      </w:r>
      <w:r>
        <w:rPr/>
        <w:t>mts.</w:t>
      </w:r>
      <w:r>
        <w:rPr>
          <w:spacing w:val="12"/>
        </w:rPr>
        <w:t> </w:t>
      </w:r>
      <w:r>
        <w:rPr/>
        <w:t>de</w:t>
      </w:r>
      <w:r>
        <w:rPr>
          <w:spacing w:val="12"/>
        </w:rPr>
        <w:t> </w:t>
      </w:r>
      <w:r>
        <w:rPr/>
        <w:t>profundidad,</w:t>
      </w:r>
      <w:r>
        <w:rPr>
          <w:spacing w:val="12"/>
        </w:rPr>
        <w:t> </w:t>
      </w:r>
      <w:r>
        <w:rPr/>
        <w:t>contada</w:t>
      </w:r>
      <w:r>
        <w:rPr>
          <w:spacing w:val="12"/>
        </w:rPr>
        <w:t> </w:t>
      </w:r>
      <w:r>
        <w:rPr/>
        <w:t>ésta</w:t>
      </w:r>
      <w:r>
        <w:rPr>
          <w:spacing w:val="12"/>
        </w:rPr>
        <w:t> </w:t>
      </w:r>
      <w:r>
        <w:rPr/>
        <w:t>desde</w:t>
      </w:r>
      <w:r>
        <w:rPr>
          <w:spacing w:val="12"/>
        </w:rPr>
        <w:t> </w:t>
      </w:r>
      <w:r>
        <w:rPr/>
        <w:t>el</w:t>
      </w:r>
      <w:r>
        <w:rPr>
          <w:spacing w:val="12"/>
        </w:rPr>
        <w:t> </w:t>
      </w:r>
      <w:r>
        <w:rPr/>
        <w:t>nivel</w:t>
      </w:r>
      <w:r>
        <w:rPr>
          <w:spacing w:val="13"/>
        </w:rPr>
        <w:t> </w:t>
      </w:r>
      <w:r>
        <w:rPr/>
        <w:t>de</w:t>
      </w:r>
      <w:r>
        <w:rPr>
          <w:spacing w:val="12"/>
        </w:rPr>
        <w:t> </w:t>
      </w:r>
      <w:r>
        <w:rPr/>
        <w:t>la</w:t>
      </w:r>
      <w:r>
        <w:rPr>
          <w:spacing w:val="12"/>
        </w:rPr>
        <w:t> </w:t>
      </w:r>
      <w:r>
        <w:rPr/>
        <w:t>calle</w:t>
      </w:r>
      <w:r>
        <w:rPr>
          <w:spacing w:val="12"/>
        </w:rPr>
        <w:t> </w:t>
      </w:r>
      <w:r>
        <w:rPr/>
        <w:t>o</w:t>
      </w:r>
      <w:r>
        <w:rPr>
          <w:spacing w:val="12"/>
        </w:rPr>
        <w:t> </w:t>
      </w:r>
      <w:r>
        <w:rPr/>
        <w:t>andador</w:t>
      </w:r>
      <w:r>
        <w:rPr>
          <w:spacing w:val="12"/>
        </w:rPr>
        <w:t> </w:t>
      </w:r>
      <w:r>
        <w:rPr/>
        <w:t>adyacente,</w:t>
      </w:r>
      <w:r>
        <w:rPr>
          <w:spacing w:val="12"/>
        </w:rPr>
        <w:t> </w:t>
      </w:r>
      <w:r>
        <w:rPr/>
        <w:t>con</w:t>
      </w:r>
      <w:r>
        <w:rPr>
          <w:spacing w:val="12"/>
        </w:rPr>
        <w:t> </w:t>
      </w:r>
      <w:r>
        <w:rPr/>
        <w:t>una</w:t>
      </w:r>
      <w:r>
        <w:rPr>
          <w:spacing w:val="13"/>
        </w:rPr>
        <w:t> </w:t>
      </w:r>
      <w:r>
        <w:rPr/>
        <w:t>separación</w:t>
      </w:r>
      <w:r>
        <w:rPr>
          <w:spacing w:val="12"/>
        </w:rPr>
        <w:t> </w:t>
      </w:r>
      <w:r>
        <w:rPr/>
        <w:t>de</w:t>
      </w:r>
    </w:p>
    <w:p>
      <w:pPr>
        <w:pStyle w:val="BodyText"/>
        <w:spacing w:before="5"/>
        <w:ind w:left="151"/>
      </w:pPr>
      <w:r>
        <w:rPr/>
        <w:t>0.80 metros entre cada fosa;</w:t>
      </w:r>
    </w:p>
    <w:p>
      <w:pPr>
        <w:pStyle w:val="BodyText"/>
        <w:spacing w:before="8"/>
      </w:pPr>
    </w:p>
    <w:p>
      <w:pPr>
        <w:pStyle w:val="BodyText"/>
        <w:spacing w:line="247" w:lineRule="auto" w:before="1"/>
        <w:ind w:left="151" w:right="38"/>
        <w:jc w:val="both"/>
      </w:pPr>
      <w:r>
        <w:rPr/>
        <w:t>II.- Los terrenos del Cementerio de Buenavista, serán de una medida estándar de 3.00 mts. de ancho por 3.00 mts. de largo, con un máximo de 3.00 mts. de profundidad, contada ésta desde el nivel de la calle o andador adyacente, con una separación de 0.80 metros entre cada fosa;</w:t>
      </w:r>
    </w:p>
    <w:p>
      <w:pPr>
        <w:pStyle w:val="BodyText"/>
        <w:spacing w:before="2"/>
      </w:pPr>
    </w:p>
    <w:p>
      <w:pPr>
        <w:pStyle w:val="BodyText"/>
        <w:ind w:left="151"/>
        <w:jc w:val="both"/>
      </w:pPr>
      <w:r>
        <w:rPr/>
        <w:t>III.- Los terrenos del Cementerio de Peña Amarilla, serán de una medida estándar de 2.00 mts. de ancho por</w:t>
      </w:r>
    </w:p>
    <w:p>
      <w:pPr>
        <w:pStyle w:val="BodyText"/>
        <w:spacing w:line="247" w:lineRule="auto" w:before="5"/>
        <w:ind w:left="151" w:right="233"/>
      </w:pPr>
      <w:r>
        <w:rPr/>
        <w:t>2.50 mts. de largo, con un máximo de 3.00 mts. de profundidad, contada ésta desde el nivel de la calle o  andador adyacente, con una separación de 0.80 metros entre cada</w:t>
      </w:r>
      <w:r>
        <w:rPr>
          <w:spacing w:val="24"/>
        </w:rPr>
        <w:t> </w:t>
      </w:r>
      <w:r>
        <w:rPr/>
        <w:t>fosa;</w:t>
      </w:r>
    </w:p>
    <w:p>
      <w:pPr>
        <w:pStyle w:val="BodyText"/>
        <w:spacing w:before="4"/>
      </w:pPr>
    </w:p>
    <w:p>
      <w:pPr>
        <w:pStyle w:val="ListParagraph"/>
        <w:numPr>
          <w:ilvl w:val="0"/>
          <w:numId w:val="49"/>
        </w:numPr>
        <w:tabs>
          <w:tab w:pos="455" w:val="left" w:leader="none"/>
        </w:tabs>
        <w:spacing w:line="240" w:lineRule="auto" w:before="0" w:after="0"/>
        <w:ind w:left="454" w:right="0" w:hanging="304"/>
        <w:jc w:val="left"/>
        <w:rPr>
          <w:sz w:val="15"/>
        </w:rPr>
      </w:pPr>
      <w:r>
        <w:rPr>
          <w:sz w:val="15"/>
        </w:rPr>
        <w:t>Las</w:t>
      </w:r>
      <w:r>
        <w:rPr>
          <w:spacing w:val="5"/>
          <w:sz w:val="15"/>
        </w:rPr>
        <w:t> </w:t>
      </w:r>
      <w:r>
        <w:rPr>
          <w:sz w:val="15"/>
        </w:rPr>
        <w:t>gavetas</w:t>
      </w:r>
      <w:r>
        <w:rPr>
          <w:spacing w:val="6"/>
          <w:sz w:val="15"/>
        </w:rPr>
        <w:t> </w:t>
      </w:r>
      <w:r>
        <w:rPr>
          <w:sz w:val="15"/>
        </w:rPr>
        <w:t>deberán</w:t>
      </w:r>
      <w:r>
        <w:rPr>
          <w:spacing w:val="6"/>
          <w:sz w:val="15"/>
        </w:rPr>
        <w:t> </w:t>
      </w:r>
      <w:r>
        <w:rPr>
          <w:sz w:val="15"/>
        </w:rPr>
        <w:t>tener</w:t>
      </w:r>
      <w:r>
        <w:rPr>
          <w:spacing w:val="6"/>
          <w:sz w:val="15"/>
        </w:rPr>
        <w:t> </w:t>
      </w:r>
      <w:r>
        <w:rPr>
          <w:sz w:val="15"/>
        </w:rPr>
        <w:t>como</w:t>
      </w:r>
      <w:r>
        <w:rPr>
          <w:spacing w:val="6"/>
          <w:sz w:val="15"/>
        </w:rPr>
        <w:t> </w:t>
      </w:r>
      <w:r>
        <w:rPr>
          <w:sz w:val="15"/>
        </w:rPr>
        <w:t>dimensiones</w:t>
      </w:r>
      <w:r>
        <w:rPr>
          <w:spacing w:val="6"/>
          <w:sz w:val="15"/>
        </w:rPr>
        <w:t> </w:t>
      </w:r>
      <w:r>
        <w:rPr>
          <w:sz w:val="15"/>
        </w:rPr>
        <w:t>mínimas</w:t>
      </w:r>
      <w:r>
        <w:rPr>
          <w:spacing w:val="6"/>
          <w:sz w:val="15"/>
        </w:rPr>
        <w:t> </w:t>
      </w:r>
      <w:r>
        <w:rPr>
          <w:sz w:val="15"/>
        </w:rPr>
        <w:t>interiores</w:t>
      </w:r>
      <w:r>
        <w:rPr>
          <w:spacing w:val="6"/>
          <w:sz w:val="15"/>
        </w:rPr>
        <w:t> </w:t>
      </w:r>
      <w:r>
        <w:rPr>
          <w:sz w:val="15"/>
        </w:rPr>
        <w:t>2.40</w:t>
      </w:r>
      <w:r>
        <w:rPr>
          <w:spacing w:val="6"/>
          <w:sz w:val="15"/>
        </w:rPr>
        <w:t> </w:t>
      </w:r>
      <w:r>
        <w:rPr>
          <w:sz w:val="15"/>
        </w:rPr>
        <w:t>por</w:t>
      </w:r>
      <w:r>
        <w:rPr>
          <w:spacing w:val="6"/>
          <w:sz w:val="15"/>
        </w:rPr>
        <w:t> </w:t>
      </w:r>
      <w:r>
        <w:rPr>
          <w:sz w:val="15"/>
        </w:rPr>
        <w:t>0.80</w:t>
      </w:r>
      <w:r>
        <w:rPr>
          <w:spacing w:val="5"/>
          <w:sz w:val="15"/>
        </w:rPr>
        <w:t> </w:t>
      </w:r>
      <w:r>
        <w:rPr>
          <w:sz w:val="15"/>
        </w:rPr>
        <w:t>metros</w:t>
      </w:r>
      <w:r>
        <w:rPr>
          <w:spacing w:val="6"/>
          <w:sz w:val="15"/>
        </w:rPr>
        <w:t> </w:t>
      </w:r>
      <w:r>
        <w:rPr>
          <w:sz w:val="15"/>
        </w:rPr>
        <w:t>de</w:t>
      </w:r>
      <w:r>
        <w:rPr>
          <w:spacing w:val="5"/>
          <w:sz w:val="15"/>
        </w:rPr>
        <w:t> </w:t>
      </w:r>
      <w:r>
        <w:rPr>
          <w:sz w:val="15"/>
        </w:rPr>
        <w:t>altura;</w:t>
      </w:r>
    </w:p>
    <w:p>
      <w:pPr>
        <w:pStyle w:val="BodyText"/>
        <w:spacing w:before="9"/>
      </w:pPr>
    </w:p>
    <w:p>
      <w:pPr>
        <w:pStyle w:val="ListParagraph"/>
        <w:numPr>
          <w:ilvl w:val="0"/>
          <w:numId w:val="49"/>
        </w:numPr>
        <w:tabs>
          <w:tab w:pos="453" w:val="left" w:leader="none"/>
        </w:tabs>
        <w:spacing w:line="247" w:lineRule="auto" w:before="0" w:after="0"/>
        <w:ind w:left="151" w:right="38" w:firstLine="38"/>
        <w:jc w:val="left"/>
        <w:rPr>
          <w:sz w:val="15"/>
        </w:rPr>
      </w:pPr>
      <w:r>
        <w:rPr>
          <w:sz w:val="15"/>
        </w:rPr>
        <w:t>Las criptas familiares serán de cuando menos de 3.00 metros por 2.50 metros, la profundidad de la cripta será tal que permita construir bajo el nivel del piso hasta tres gavetas superpuestas;</w:t>
      </w:r>
      <w:r>
        <w:rPr>
          <w:spacing w:val="2"/>
          <w:sz w:val="15"/>
        </w:rPr>
        <w:t> </w:t>
      </w:r>
      <w:r>
        <w:rPr>
          <w:sz w:val="15"/>
        </w:rPr>
        <w:t>y</w:t>
      </w:r>
    </w:p>
    <w:p>
      <w:pPr>
        <w:pStyle w:val="BodyText"/>
        <w:spacing w:before="4"/>
      </w:pPr>
    </w:p>
    <w:p>
      <w:pPr>
        <w:pStyle w:val="ListParagraph"/>
        <w:numPr>
          <w:ilvl w:val="0"/>
          <w:numId w:val="49"/>
        </w:numPr>
        <w:tabs>
          <w:tab w:pos="468" w:val="left" w:leader="none"/>
        </w:tabs>
        <w:spacing w:line="116" w:lineRule="exact" w:before="0" w:after="0"/>
        <w:ind w:left="467" w:right="0" w:hanging="317"/>
        <w:jc w:val="left"/>
        <w:rPr>
          <w:sz w:val="15"/>
        </w:rPr>
      </w:pPr>
      <w:r>
        <w:rPr>
          <w:sz w:val="15"/>
        </w:rPr>
        <w:t>Los</w:t>
      </w:r>
      <w:r>
        <w:rPr>
          <w:spacing w:val="22"/>
          <w:sz w:val="15"/>
        </w:rPr>
        <w:t> </w:t>
      </w:r>
      <w:r>
        <w:rPr>
          <w:sz w:val="15"/>
        </w:rPr>
        <w:t>nichos</w:t>
      </w:r>
      <w:r>
        <w:rPr>
          <w:spacing w:val="23"/>
          <w:sz w:val="15"/>
        </w:rPr>
        <w:t> </w:t>
      </w:r>
      <w:r>
        <w:rPr>
          <w:sz w:val="15"/>
        </w:rPr>
        <w:t>para</w:t>
      </w:r>
      <w:r>
        <w:rPr>
          <w:spacing w:val="22"/>
          <w:sz w:val="15"/>
        </w:rPr>
        <w:t> </w:t>
      </w:r>
      <w:r>
        <w:rPr>
          <w:sz w:val="15"/>
        </w:rPr>
        <w:t>restos</w:t>
      </w:r>
      <w:r>
        <w:rPr>
          <w:spacing w:val="23"/>
          <w:sz w:val="15"/>
        </w:rPr>
        <w:t> </w:t>
      </w:r>
      <w:r>
        <w:rPr>
          <w:sz w:val="15"/>
        </w:rPr>
        <w:t>áridos</w:t>
      </w:r>
      <w:r>
        <w:rPr>
          <w:spacing w:val="22"/>
          <w:sz w:val="15"/>
        </w:rPr>
        <w:t> </w:t>
      </w:r>
      <w:r>
        <w:rPr>
          <w:sz w:val="15"/>
        </w:rPr>
        <w:t>o</w:t>
      </w:r>
      <w:r>
        <w:rPr>
          <w:spacing w:val="23"/>
          <w:sz w:val="15"/>
        </w:rPr>
        <w:t> </w:t>
      </w:r>
      <w:r>
        <w:rPr>
          <w:sz w:val="15"/>
        </w:rPr>
        <w:t>cremados,</w:t>
      </w:r>
      <w:r>
        <w:rPr>
          <w:spacing w:val="22"/>
          <w:sz w:val="15"/>
        </w:rPr>
        <w:t> </w:t>
      </w:r>
      <w:r>
        <w:rPr>
          <w:sz w:val="15"/>
        </w:rPr>
        <w:t>tendrán</w:t>
      </w:r>
      <w:r>
        <w:rPr>
          <w:spacing w:val="24"/>
          <w:sz w:val="15"/>
        </w:rPr>
        <w:t> </w:t>
      </w:r>
      <w:r>
        <w:rPr>
          <w:sz w:val="15"/>
        </w:rPr>
        <w:t>como</w:t>
      </w:r>
      <w:r>
        <w:rPr>
          <w:spacing w:val="23"/>
          <w:sz w:val="15"/>
        </w:rPr>
        <w:t> </w:t>
      </w:r>
      <w:r>
        <w:rPr>
          <w:sz w:val="15"/>
        </w:rPr>
        <w:t>dimensiones</w:t>
      </w:r>
      <w:r>
        <w:rPr>
          <w:spacing w:val="22"/>
          <w:sz w:val="15"/>
        </w:rPr>
        <w:t> </w:t>
      </w:r>
      <w:r>
        <w:rPr>
          <w:sz w:val="15"/>
        </w:rPr>
        <w:t>mínimas:</w:t>
      </w:r>
      <w:r>
        <w:rPr>
          <w:spacing w:val="23"/>
          <w:sz w:val="15"/>
        </w:rPr>
        <w:t> </w:t>
      </w:r>
      <w:r>
        <w:rPr>
          <w:sz w:val="15"/>
        </w:rPr>
        <w:t>0.5</w:t>
      </w:r>
      <w:r>
        <w:rPr>
          <w:spacing w:val="22"/>
          <w:sz w:val="15"/>
        </w:rPr>
        <w:t> </w:t>
      </w:r>
      <w:r>
        <w:rPr>
          <w:sz w:val="15"/>
        </w:rPr>
        <w:t>por</w:t>
      </w:r>
      <w:r>
        <w:rPr>
          <w:spacing w:val="23"/>
          <w:sz w:val="15"/>
        </w:rPr>
        <w:t> </w:t>
      </w:r>
      <w:r>
        <w:rPr>
          <w:sz w:val="15"/>
        </w:rPr>
        <w:t>0.50</w:t>
      </w:r>
      <w:r>
        <w:rPr>
          <w:spacing w:val="23"/>
          <w:sz w:val="15"/>
        </w:rPr>
        <w:t> </w:t>
      </w:r>
      <w:r>
        <w:rPr>
          <w:sz w:val="15"/>
        </w:rPr>
        <w:t>metros</w:t>
      </w:r>
      <w:r>
        <w:rPr>
          <w:spacing w:val="22"/>
          <w:sz w:val="15"/>
        </w:rPr>
        <w:t> </w:t>
      </w:r>
      <w:r>
        <w:rPr>
          <w:sz w:val="15"/>
        </w:rPr>
        <w:t>de</w:t>
      </w:r>
    </w:p>
    <w:p>
      <w:pPr>
        <w:pStyle w:val="ListParagraph"/>
        <w:numPr>
          <w:ilvl w:val="1"/>
          <w:numId w:val="49"/>
        </w:numPr>
        <w:tabs>
          <w:tab w:pos="716" w:val="left" w:leader="none"/>
        </w:tabs>
        <w:spacing w:line="247" w:lineRule="auto" w:before="96" w:after="0"/>
        <w:ind w:left="151" w:right="38" w:firstLine="337"/>
        <w:jc w:val="left"/>
        <w:rPr>
          <w:sz w:val="15"/>
        </w:rPr>
      </w:pPr>
      <w:r>
        <w:rPr>
          <w:spacing w:val="-9"/>
          <w:w w:val="102"/>
          <w:sz w:val="15"/>
        </w:rPr>
        <w:br w:type="column"/>
      </w:r>
      <w:r>
        <w:rPr>
          <w:spacing w:val="-3"/>
          <w:sz w:val="15"/>
        </w:rPr>
        <w:t>Venta </w:t>
      </w:r>
      <w:r>
        <w:rPr>
          <w:sz w:val="15"/>
        </w:rPr>
        <w:t>y consumo de bebidas de baja graduación, en restaurante,</w:t>
      </w:r>
      <w:r>
        <w:rPr>
          <w:spacing w:val="2"/>
          <w:sz w:val="15"/>
        </w:rPr>
        <w:t> </w:t>
      </w:r>
      <w:r>
        <w:rPr>
          <w:sz w:val="15"/>
        </w:rPr>
        <w:t>de:</w:t>
      </w:r>
    </w:p>
    <w:p>
      <w:pPr>
        <w:pStyle w:val="BodyText"/>
        <w:spacing w:before="8"/>
        <w:rPr>
          <w:sz w:val="18"/>
        </w:rPr>
      </w:pPr>
    </w:p>
    <w:p>
      <w:pPr>
        <w:pStyle w:val="ListParagraph"/>
        <w:numPr>
          <w:ilvl w:val="1"/>
          <w:numId w:val="49"/>
        </w:numPr>
        <w:tabs>
          <w:tab w:pos="812" w:val="left" w:leader="none"/>
        </w:tabs>
        <w:spacing w:line="247" w:lineRule="auto" w:before="0" w:after="0"/>
        <w:ind w:left="151" w:right="38" w:firstLine="337"/>
        <w:jc w:val="left"/>
        <w:rPr>
          <w:sz w:val="15"/>
        </w:rPr>
      </w:pPr>
      <w:r>
        <w:rPr>
          <w:spacing w:val="-3"/>
          <w:sz w:val="15"/>
        </w:rPr>
        <w:t>Venta </w:t>
      </w:r>
      <w:r>
        <w:rPr>
          <w:sz w:val="15"/>
        </w:rPr>
        <w:t>de cerveza en botella cerrada, en depósitos,</w:t>
      </w:r>
      <w:r>
        <w:rPr>
          <w:spacing w:val="8"/>
          <w:sz w:val="15"/>
        </w:rPr>
        <w:t> </w:t>
      </w:r>
      <w:r>
        <w:rPr>
          <w:sz w:val="15"/>
        </w:rPr>
        <w:t>auto</w:t>
      </w:r>
      <w:r>
        <w:rPr>
          <w:spacing w:val="9"/>
          <w:sz w:val="15"/>
        </w:rPr>
        <w:t> </w:t>
      </w:r>
      <w:r>
        <w:rPr>
          <w:sz w:val="15"/>
        </w:rPr>
        <w:t>baños</w:t>
      </w:r>
      <w:r>
        <w:rPr>
          <w:spacing w:val="8"/>
          <w:sz w:val="15"/>
        </w:rPr>
        <w:t> </w:t>
      </w:r>
      <w:r>
        <w:rPr>
          <w:sz w:val="15"/>
        </w:rPr>
        <w:t>y</w:t>
      </w:r>
      <w:r>
        <w:rPr>
          <w:spacing w:val="9"/>
          <w:sz w:val="15"/>
        </w:rPr>
        <w:t> </w:t>
      </w:r>
      <w:r>
        <w:rPr>
          <w:sz w:val="15"/>
        </w:rPr>
        <w:t>giros</w:t>
      </w:r>
      <w:r>
        <w:rPr>
          <w:spacing w:val="8"/>
          <w:sz w:val="15"/>
        </w:rPr>
        <w:t> </w:t>
      </w:r>
      <w:r>
        <w:rPr>
          <w:sz w:val="15"/>
        </w:rPr>
        <w:t>similares,</w:t>
      </w:r>
      <w:r>
        <w:rPr>
          <w:spacing w:val="9"/>
          <w:sz w:val="15"/>
        </w:rPr>
        <w:t> </w:t>
      </w:r>
      <w:r>
        <w:rPr>
          <w:sz w:val="15"/>
        </w:rPr>
        <w:t>por</w:t>
      </w:r>
      <w:r>
        <w:rPr>
          <w:spacing w:val="8"/>
          <w:sz w:val="15"/>
        </w:rPr>
        <w:t> </w:t>
      </w:r>
      <w:r>
        <w:rPr>
          <w:sz w:val="15"/>
        </w:rPr>
        <w:t>cada</w:t>
      </w:r>
      <w:r>
        <w:rPr>
          <w:spacing w:val="8"/>
          <w:sz w:val="15"/>
        </w:rPr>
        <w:t> </w:t>
      </w:r>
      <w:r>
        <w:rPr>
          <w:sz w:val="15"/>
        </w:rPr>
        <w:t>uno,</w:t>
      </w:r>
      <w:r>
        <w:rPr>
          <w:spacing w:val="8"/>
          <w:sz w:val="15"/>
        </w:rPr>
        <w:t> </w:t>
      </w:r>
      <w:r>
        <w:rPr>
          <w:sz w:val="15"/>
        </w:rPr>
        <w:t>de:</w:t>
      </w:r>
    </w:p>
    <w:p>
      <w:pPr>
        <w:pStyle w:val="BodyText"/>
        <w:spacing w:before="8"/>
        <w:rPr>
          <w:sz w:val="18"/>
        </w:rPr>
      </w:pPr>
    </w:p>
    <w:p>
      <w:pPr>
        <w:pStyle w:val="ListParagraph"/>
        <w:numPr>
          <w:ilvl w:val="1"/>
          <w:numId w:val="49"/>
        </w:numPr>
        <w:tabs>
          <w:tab w:pos="663" w:val="left" w:leader="none"/>
        </w:tabs>
        <w:spacing w:line="247" w:lineRule="auto" w:before="0" w:after="0"/>
        <w:ind w:left="151" w:right="216" w:firstLine="337"/>
        <w:jc w:val="left"/>
        <w:rPr>
          <w:sz w:val="15"/>
        </w:rPr>
      </w:pPr>
      <w:r>
        <w:rPr>
          <w:spacing w:val="-3"/>
          <w:sz w:val="15"/>
        </w:rPr>
        <w:t>Venta </w:t>
      </w:r>
      <w:r>
        <w:rPr>
          <w:sz w:val="15"/>
        </w:rPr>
        <w:t>y consumo de bebidas alcohólicas de baja graduación, en billares o boliches, por cada uno,</w:t>
      </w:r>
      <w:r>
        <w:rPr>
          <w:spacing w:val="5"/>
          <w:sz w:val="15"/>
        </w:rPr>
        <w:t> </w:t>
      </w:r>
      <w:r>
        <w:rPr>
          <w:sz w:val="15"/>
        </w:rPr>
        <w:t>de:</w:t>
      </w:r>
    </w:p>
    <w:p>
      <w:pPr>
        <w:pStyle w:val="BodyText"/>
        <w:spacing w:before="9"/>
        <w:rPr>
          <w:sz w:val="18"/>
        </w:rPr>
      </w:pPr>
    </w:p>
    <w:p>
      <w:pPr>
        <w:pStyle w:val="ListParagraph"/>
        <w:numPr>
          <w:ilvl w:val="1"/>
          <w:numId w:val="49"/>
        </w:numPr>
        <w:tabs>
          <w:tab w:pos="736" w:val="left" w:leader="none"/>
        </w:tabs>
        <w:spacing w:line="247" w:lineRule="auto" w:before="0" w:after="0"/>
        <w:ind w:left="151" w:right="38" w:firstLine="337"/>
        <w:jc w:val="both"/>
        <w:rPr>
          <w:sz w:val="15"/>
        </w:rPr>
      </w:pPr>
      <w:r>
        <w:rPr>
          <w:spacing w:val="-3"/>
          <w:sz w:val="15"/>
        </w:rPr>
        <w:t>Venta </w:t>
      </w:r>
      <w:r>
        <w:rPr>
          <w:sz w:val="15"/>
        </w:rPr>
        <w:t>y consumo de bebidas alcohólicas de baja graduación, cuyo contenido de alcohol sea de 12° grados por litro acompañado de alimentos en centro botanero y giros similares, por cada uno,</w:t>
      </w:r>
      <w:r>
        <w:rPr>
          <w:spacing w:val="9"/>
          <w:sz w:val="15"/>
        </w:rPr>
        <w:t> </w:t>
      </w:r>
      <w:r>
        <w:rPr>
          <w:sz w:val="15"/>
        </w:rPr>
        <w:t>de:</w:t>
      </w:r>
    </w:p>
    <w:p>
      <w:pPr>
        <w:pStyle w:val="BodyText"/>
        <w:spacing w:before="6"/>
        <w:rPr>
          <w:sz w:val="18"/>
        </w:rPr>
      </w:pPr>
    </w:p>
    <w:p>
      <w:pPr>
        <w:pStyle w:val="ListParagraph"/>
        <w:numPr>
          <w:ilvl w:val="1"/>
          <w:numId w:val="49"/>
        </w:numPr>
        <w:tabs>
          <w:tab w:pos="803" w:val="left" w:leader="none"/>
        </w:tabs>
        <w:spacing w:line="247" w:lineRule="auto" w:before="1" w:after="0"/>
        <w:ind w:left="151" w:right="38" w:firstLine="337"/>
        <w:jc w:val="both"/>
        <w:rPr>
          <w:sz w:val="15"/>
        </w:rPr>
      </w:pPr>
      <w:r>
        <w:rPr>
          <w:sz w:val="15"/>
        </w:rPr>
        <w:t>V</w:t>
      </w:r>
      <w:r>
        <w:rPr>
          <w:i/>
          <w:sz w:val="15"/>
        </w:rPr>
        <w:t>e</w:t>
      </w:r>
      <w:r>
        <w:rPr>
          <w:sz w:val="15"/>
        </w:rPr>
        <w:t>nta y consumo de cerveza en instalaciones deportivas,</w:t>
      </w:r>
      <w:r>
        <w:rPr>
          <w:spacing w:val="1"/>
          <w:sz w:val="15"/>
        </w:rPr>
        <w:t> </w:t>
      </w:r>
      <w:r>
        <w:rPr>
          <w:sz w:val="15"/>
        </w:rPr>
        <w:t>de:</w:t>
      </w:r>
    </w:p>
    <w:p>
      <w:pPr>
        <w:pStyle w:val="BodyText"/>
        <w:spacing w:before="7"/>
        <w:rPr>
          <w:sz w:val="18"/>
        </w:rPr>
      </w:pPr>
    </w:p>
    <w:p>
      <w:pPr>
        <w:pStyle w:val="ListParagraph"/>
        <w:numPr>
          <w:ilvl w:val="1"/>
          <w:numId w:val="49"/>
        </w:numPr>
        <w:tabs>
          <w:tab w:pos="810" w:val="left" w:leader="none"/>
        </w:tabs>
        <w:spacing w:line="240" w:lineRule="auto" w:before="1" w:after="0"/>
        <w:ind w:left="809" w:right="0" w:hanging="322"/>
        <w:jc w:val="left"/>
        <w:rPr>
          <w:sz w:val="15"/>
        </w:rPr>
      </w:pPr>
      <w:r>
        <w:rPr>
          <w:spacing w:val="-3"/>
          <w:sz w:val="15"/>
        </w:rPr>
        <w:t>Venta </w:t>
      </w:r>
      <w:r>
        <w:rPr>
          <w:sz w:val="15"/>
        </w:rPr>
        <w:t>y consumo de bebidas alcohólicas de</w:t>
      </w:r>
      <w:r>
        <w:rPr>
          <w:spacing w:val="21"/>
          <w:sz w:val="15"/>
        </w:rPr>
        <w:t> </w:t>
      </w:r>
      <w:r>
        <w:rPr>
          <w:sz w:val="15"/>
        </w:rPr>
        <w:t>baja</w:t>
      </w:r>
    </w:p>
    <w:p>
      <w:pPr>
        <w:pStyle w:val="BodyText"/>
        <w:spacing w:before="96"/>
        <w:ind w:left="151"/>
      </w:pPr>
      <w:r>
        <w:rPr/>
        <w:br w:type="column"/>
      </w:r>
      <w:r>
        <w:rPr/>
        <w:t>$12,163.00</w:t>
      </w:r>
    </w:p>
    <w:p>
      <w:pPr>
        <w:pStyle w:val="BodyText"/>
        <w:rPr>
          <w:sz w:val="16"/>
        </w:rPr>
      </w:pPr>
    </w:p>
    <w:p>
      <w:pPr>
        <w:pStyle w:val="BodyText"/>
        <w:spacing w:before="7"/>
        <w:rPr>
          <w:sz w:val="18"/>
        </w:rPr>
      </w:pPr>
    </w:p>
    <w:p>
      <w:pPr>
        <w:pStyle w:val="BodyText"/>
        <w:ind w:left="236"/>
      </w:pPr>
      <w:r>
        <w:rPr/>
        <w:t>$6,500.00</w:t>
      </w:r>
    </w:p>
    <w:p>
      <w:pPr>
        <w:pStyle w:val="BodyText"/>
        <w:rPr>
          <w:sz w:val="16"/>
        </w:rPr>
      </w:pPr>
    </w:p>
    <w:p>
      <w:pPr>
        <w:pStyle w:val="BodyText"/>
        <w:spacing w:before="7"/>
        <w:rPr>
          <w:sz w:val="18"/>
        </w:rPr>
      </w:pPr>
    </w:p>
    <w:p>
      <w:pPr>
        <w:pStyle w:val="BodyText"/>
        <w:ind w:left="151"/>
      </w:pPr>
      <w:r>
        <w:rPr/>
        <w:t>$12,277.00</w:t>
      </w:r>
    </w:p>
    <w:p>
      <w:pPr>
        <w:pStyle w:val="BodyText"/>
        <w:rPr>
          <w:sz w:val="16"/>
        </w:rPr>
      </w:pPr>
    </w:p>
    <w:p>
      <w:pPr>
        <w:pStyle w:val="BodyText"/>
        <w:rPr>
          <w:sz w:val="16"/>
        </w:rPr>
      </w:pPr>
    </w:p>
    <w:p>
      <w:pPr>
        <w:pStyle w:val="BodyText"/>
        <w:rPr>
          <w:sz w:val="16"/>
        </w:rPr>
      </w:pPr>
    </w:p>
    <w:p>
      <w:pPr>
        <w:pStyle w:val="BodyText"/>
        <w:spacing w:before="5"/>
        <w:rPr>
          <w:sz w:val="17"/>
        </w:rPr>
      </w:pPr>
    </w:p>
    <w:p>
      <w:pPr>
        <w:pStyle w:val="BodyText"/>
        <w:ind w:left="151"/>
      </w:pPr>
      <w:r>
        <w:rPr/>
        <w:t>$13,000.00</w:t>
      </w:r>
    </w:p>
    <w:p>
      <w:pPr>
        <w:pStyle w:val="BodyText"/>
        <w:rPr>
          <w:sz w:val="16"/>
        </w:rPr>
      </w:pPr>
    </w:p>
    <w:p>
      <w:pPr>
        <w:pStyle w:val="BodyText"/>
        <w:spacing w:before="7"/>
        <w:rPr>
          <w:sz w:val="18"/>
        </w:rPr>
      </w:pPr>
    </w:p>
    <w:p>
      <w:pPr>
        <w:pStyle w:val="BodyText"/>
        <w:ind w:left="151"/>
      </w:pPr>
      <w:r>
        <w:rPr/>
        <w:t>$10,000.00</w:t>
      </w:r>
    </w:p>
    <w:p>
      <w:pPr>
        <w:spacing w:after="0"/>
        <w:sectPr>
          <w:type w:val="continuous"/>
          <w:pgSz w:w="23250" w:h="15310" w:orient="landscape"/>
          <w:pgMar w:top="0" w:bottom="0" w:left="1880" w:right="1520"/>
          <w:cols w:num="3" w:equalWidth="0">
            <w:col w:w="7752" w:space="3930"/>
            <w:col w:w="4208" w:space="316"/>
            <w:col w:w="3644"/>
          </w:cols>
        </w:sectPr>
      </w:pPr>
    </w:p>
    <w:p>
      <w:pPr>
        <w:pStyle w:val="BodyText"/>
        <w:spacing w:before="62"/>
        <w:ind w:left="150"/>
      </w:pPr>
      <w:r>
        <w:rPr/>
        <w:t>profundidad.</w:t>
      </w:r>
    </w:p>
    <w:p>
      <w:pPr>
        <w:pStyle w:val="BodyText"/>
        <w:tabs>
          <w:tab w:pos="4674" w:val="left" w:leader="none"/>
        </w:tabs>
        <w:spacing w:line="171" w:lineRule="exact"/>
        <w:ind w:left="150"/>
      </w:pPr>
      <w:r>
        <w:rPr/>
        <w:br w:type="column"/>
      </w:r>
      <w:r>
        <w:rPr/>
        <w:t>graduación,</w:t>
      </w:r>
      <w:r>
        <w:rPr>
          <w:spacing w:val="8"/>
        </w:rPr>
        <w:t> </w:t>
      </w:r>
      <w:r>
        <w:rPr/>
        <w:t>en</w:t>
      </w:r>
      <w:r>
        <w:rPr>
          <w:spacing w:val="10"/>
        </w:rPr>
        <w:t> </w:t>
      </w:r>
      <w:r>
        <w:rPr/>
        <w:t>estadios:</w:t>
        <w:tab/>
        <w:t>$54,749.00</w:t>
      </w:r>
    </w:p>
    <w:p>
      <w:pPr>
        <w:spacing w:after="0" w:line="171" w:lineRule="exact"/>
        <w:sectPr>
          <w:type w:val="continuous"/>
          <w:pgSz w:w="23250" w:h="15310" w:orient="landscape"/>
          <w:pgMar w:top="0" w:bottom="0" w:left="1880" w:right="1520"/>
          <w:cols w:num="2" w:equalWidth="0">
            <w:col w:w="1048" w:space="10634"/>
            <w:col w:w="8168"/>
          </w:cols>
        </w:sectPr>
      </w:pPr>
    </w:p>
    <w:p>
      <w:pPr>
        <w:pStyle w:val="BodyText"/>
        <w:spacing w:before="10"/>
      </w:pPr>
    </w:p>
    <w:p>
      <w:pPr>
        <w:pStyle w:val="BodyText"/>
        <w:spacing w:line="247" w:lineRule="auto"/>
        <w:ind w:left="150" w:right="233" w:firstLine="397"/>
      </w:pPr>
      <w:r>
        <w:rPr>
          <w:spacing w:val="-3"/>
        </w:rPr>
        <w:t>Para realizar alguna </w:t>
      </w:r>
      <w:r>
        <w:rPr/>
        <w:t>obra de construcción </w:t>
      </w:r>
      <w:r>
        <w:rPr>
          <w:spacing w:val="-2"/>
        </w:rPr>
        <w:t>dentro </w:t>
      </w:r>
      <w:r>
        <w:rPr/>
        <w:t>de un </w:t>
      </w:r>
      <w:r>
        <w:rPr>
          <w:spacing w:val="-3"/>
        </w:rPr>
        <w:t>cementerio </w:t>
      </w:r>
      <w:r>
        <w:rPr/>
        <w:t>de </w:t>
      </w:r>
      <w:r>
        <w:rPr>
          <w:spacing w:val="-3"/>
        </w:rPr>
        <w:t>dominio  público,  </w:t>
      </w:r>
      <w:r>
        <w:rPr/>
        <w:t>será </w:t>
      </w:r>
      <w:r>
        <w:rPr>
          <w:spacing w:val="-3"/>
        </w:rPr>
        <w:t>necesario  contar</w:t>
      </w:r>
      <w:r>
        <w:rPr>
          <w:spacing w:val="4"/>
        </w:rPr>
        <w:t> </w:t>
      </w:r>
      <w:r>
        <w:rPr/>
        <w:t>con</w:t>
      </w:r>
      <w:r>
        <w:rPr>
          <w:spacing w:val="5"/>
        </w:rPr>
        <w:t> </w:t>
      </w:r>
      <w:r>
        <w:rPr/>
        <w:t>la</w:t>
      </w:r>
      <w:r>
        <w:rPr>
          <w:spacing w:val="4"/>
        </w:rPr>
        <w:t> </w:t>
      </w:r>
      <w:r>
        <w:rPr>
          <w:spacing w:val="-3"/>
        </w:rPr>
        <w:t>correspondiente</w:t>
      </w:r>
      <w:r>
        <w:rPr>
          <w:spacing w:val="5"/>
        </w:rPr>
        <w:t> </w:t>
      </w:r>
      <w:r>
        <w:rPr>
          <w:spacing w:val="-3"/>
        </w:rPr>
        <w:t>licencia</w:t>
      </w:r>
      <w:r>
        <w:rPr>
          <w:spacing w:val="4"/>
        </w:rPr>
        <w:t> </w:t>
      </w:r>
      <w:r>
        <w:rPr/>
        <w:t>de</w:t>
      </w:r>
      <w:r>
        <w:rPr>
          <w:spacing w:val="4"/>
        </w:rPr>
        <w:t> </w:t>
      </w:r>
      <w:r>
        <w:rPr>
          <w:spacing w:val="-2"/>
        </w:rPr>
        <w:t>construcción</w:t>
      </w:r>
      <w:r>
        <w:rPr>
          <w:spacing w:val="4"/>
        </w:rPr>
        <w:t> </w:t>
      </w:r>
      <w:r>
        <w:rPr/>
        <w:t>emitida</w:t>
      </w:r>
      <w:r>
        <w:rPr>
          <w:spacing w:val="6"/>
        </w:rPr>
        <w:t> </w:t>
      </w:r>
      <w:r>
        <w:rPr/>
        <w:t>por</w:t>
      </w:r>
      <w:r>
        <w:rPr>
          <w:spacing w:val="4"/>
        </w:rPr>
        <w:t> </w:t>
      </w:r>
      <w:r>
        <w:rPr/>
        <w:t>la</w:t>
      </w:r>
      <w:r>
        <w:rPr>
          <w:spacing w:val="3"/>
        </w:rPr>
        <w:t> </w:t>
      </w:r>
      <w:r>
        <w:rPr>
          <w:spacing w:val="-3"/>
        </w:rPr>
        <w:t>Dirección</w:t>
      </w:r>
      <w:r>
        <w:rPr>
          <w:spacing w:val="3"/>
        </w:rPr>
        <w:t> </w:t>
      </w:r>
      <w:r>
        <w:rPr/>
        <w:t>de</w:t>
      </w:r>
      <w:r>
        <w:rPr>
          <w:spacing w:val="5"/>
        </w:rPr>
        <w:t> </w:t>
      </w:r>
      <w:r>
        <w:rPr>
          <w:spacing w:val="-3"/>
        </w:rPr>
        <w:t>General</w:t>
      </w:r>
      <w:r>
        <w:rPr>
          <w:spacing w:val="5"/>
        </w:rPr>
        <w:t> </w:t>
      </w:r>
      <w:r>
        <w:rPr/>
        <w:t>de</w:t>
      </w:r>
      <w:r>
        <w:rPr>
          <w:spacing w:val="4"/>
        </w:rPr>
        <w:t> </w:t>
      </w:r>
      <w:r>
        <w:rPr>
          <w:spacing w:val="-3"/>
        </w:rPr>
        <w:t>Obras</w:t>
      </w:r>
      <w:r>
        <w:rPr>
          <w:spacing w:val="5"/>
        </w:rPr>
        <w:t> </w:t>
      </w:r>
      <w:r>
        <w:rPr>
          <w:spacing w:val="-3"/>
        </w:rPr>
        <w:t>Públicas.</w:t>
      </w:r>
    </w:p>
    <w:p>
      <w:pPr>
        <w:pStyle w:val="BodyText"/>
        <w:spacing w:before="8"/>
        <w:rPr>
          <w:sz w:val="13"/>
        </w:rPr>
      </w:pPr>
      <w:r>
        <w:rPr/>
        <w:br w:type="column"/>
      </w:r>
      <w:r>
        <w:rPr>
          <w:sz w:val="13"/>
        </w:rPr>
      </w:r>
    </w:p>
    <w:p>
      <w:pPr>
        <w:pStyle w:val="ListParagraph"/>
        <w:numPr>
          <w:ilvl w:val="1"/>
          <w:numId w:val="49"/>
        </w:numPr>
        <w:tabs>
          <w:tab w:pos="735" w:val="left" w:leader="none"/>
        </w:tabs>
        <w:spacing w:line="247" w:lineRule="auto" w:before="0" w:after="0"/>
        <w:ind w:left="150" w:right="38" w:firstLine="337"/>
        <w:jc w:val="left"/>
        <w:rPr>
          <w:sz w:val="15"/>
        </w:rPr>
      </w:pPr>
      <w:r>
        <w:rPr>
          <w:spacing w:val="-3"/>
          <w:sz w:val="15"/>
        </w:rPr>
        <w:t>Venta </w:t>
      </w:r>
      <w:r>
        <w:rPr>
          <w:sz w:val="15"/>
        </w:rPr>
        <w:t>y consumo de bebidas alcohólicas de baja graduación, en cines,</w:t>
      </w:r>
      <w:r>
        <w:rPr>
          <w:spacing w:val="3"/>
          <w:sz w:val="15"/>
        </w:rPr>
        <w:t> </w:t>
      </w:r>
      <w:r>
        <w:rPr>
          <w:sz w:val="15"/>
        </w:rPr>
        <w:t>de:</w:t>
      </w:r>
    </w:p>
    <w:p>
      <w:pPr>
        <w:pStyle w:val="BodyText"/>
        <w:spacing w:before="8"/>
        <w:rPr>
          <w:sz w:val="13"/>
        </w:rPr>
      </w:pPr>
      <w:r>
        <w:rPr/>
        <w:br w:type="column"/>
      </w:r>
      <w:r>
        <w:rPr>
          <w:sz w:val="13"/>
        </w:rPr>
      </w:r>
    </w:p>
    <w:p>
      <w:pPr>
        <w:pStyle w:val="BodyText"/>
        <w:ind w:left="150"/>
      </w:pPr>
      <w:r>
        <w:rPr/>
        <w:t>$22,000.00</w:t>
      </w:r>
    </w:p>
    <w:p>
      <w:pPr>
        <w:spacing w:after="0"/>
        <w:sectPr>
          <w:type w:val="continuous"/>
          <w:pgSz w:w="23250" w:h="15310" w:orient="landscape"/>
          <w:pgMar w:top="0" w:bottom="0" w:left="1880" w:right="1520"/>
          <w:cols w:num="3" w:equalWidth="0">
            <w:col w:w="7752" w:space="3930"/>
            <w:col w:w="4208" w:space="317"/>
            <w:col w:w="3643"/>
          </w:cols>
        </w:sectPr>
      </w:pPr>
    </w:p>
    <w:p>
      <w:pPr>
        <w:pStyle w:val="BodyText"/>
        <w:rPr>
          <w:sz w:val="16"/>
        </w:rPr>
      </w:pPr>
    </w:p>
    <w:p>
      <w:pPr>
        <w:pStyle w:val="BodyText"/>
        <w:rPr>
          <w:sz w:val="16"/>
        </w:rPr>
      </w:pPr>
    </w:p>
    <w:p>
      <w:pPr>
        <w:pStyle w:val="BodyText"/>
        <w:spacing w:before="1"/>
        <w:rPr>
          <w:sz w:val="14"/>
        </w:rPr>
      </w:pPr>
    </w:p>
    <w:p>
      <w:pPr>
        <w:pStyle w:val="Heading4"/>
        <w:spacing w:before="1"/>
        <w:ind w:left="296" w:right="185"/>
      </w:pPr>
      <w:r>
        <w:rPr/>
        <w:t>CAPITULO TERCERO</w:t>
      </w:r>
    </w:p>
    <w:p>
      <w:pPr>
        <w:spacing w:before="4"/>
        <w:ind w:left="297" w:right="185" w:firstLine="0"/>
        <w:jc w:val="center"/>
        <w:rPr>
          <w:b/>
          <w:sz w:val="15"/>
        </w:rPr>
      </w:pPr>
      <w:r>
        <w:rPr>
          <w:b/>
          <w:sz w:val="15"/>
        </w:rPr>
        <w:t>De los Derechos por la Prestación de Servicios</w:t>
      </w:r>
    </w:p>
    <w:p>
      <w:pPr>
        <w:pStyle w:val="BodyText"/>
        <w:spacing w:before="9"/>
        <w:rPr>
          <w:b/>
        </w:rPr>
      </w:pPr>
    </w:p>
    <w:p>
      <w:pPr>
        <w:spacing w:before="0"/>
        <w:ind w:left="299" w:right="184" w:firstLine="0"/>
        <w:jc w:val="center"/>
        <w:rPr>
          <w:b/>
          <w:sz w:val="15"/>
        </w:rPr>
      </w:pPr>
      <w:r>
        <w:rPr>
          <w:b/>
          <w:sz w:val="15"/>
        </w:rPr>
        <w:t>SECCIÓN PRIMERA</w:t>
      </w:r>
    </w:p>
    <w:p>
      <w:pPr>
        <w:spacing w:before="5"/>
        <w:ind w:left="297" w:right="185" w:firstLine="0"/>
        <w:jc w:val="center"/>
        <w:rPr>
          <w:b/>
          <w:sz w:val="15"/>
        </w:rPr>
      </w:pPr>
      <w:r>
        <w:rPr>
          <w:b/>
          <w:sz w:val="15"/>
        </w:rPr>
        <w:t>De las Licencias de Giros y Permisos</w:t>
      </w:r>
    </w:p>
    <w:p>
      <w:pPr>
        <w:pStyle w:val="BodyText"/>
        <w:spacing w:before="8"/>
        <w:rPr>
          <w:b/>
        </w:rPr>
      </w:pPr>
    </w:p>
    <w:p>
      <w:pPr>
        <w:pStyle w:val="BodyText"/>
        <w:spacing w:line="247" w:lineRule="auto"/>
        <w:ind w:left="151" w:right="38" w:firstLine="397"/>
        <w:jc w:val="both"/>
      </w:pPr>
      <w:r>
        <w:rPr>
          <w:b/>
        </w:rPr>
        <w:t>Artículo 77.- </w:t>
      </w:r>
      <w:r>
        <w:rPr/>
        <w:t>Quienes realicen actividades comerciales, industriales o de prestación de servicios  en locales de propiedad privada o pública, que pretendan obtener o  refrendar  licencias,  permisos  o  autorizaciones para el funcionamiento de establecimientos o locales, cuyos giros sean la venta de bebidas alcohólicas o la prestación de servicios que incluyan el expendio o el consumo de dichas bebidas, siempre      que se efectúen total o parcialmente con el público en general, deberán obtener licencia,  permiso  o  autorización para su funcionamiento y pagar anualmente los derechos correspondientes conforme a las siguientes:</w:t>
      </w:r>
    </w:p>
    <w:p>
      <w:pPr>
        <w:pStyle w:val="BodyText"/>
      </w:pPr>
    </w:p>
    <w:p>
      <w:pPr>
        <w:pStyle w:val="BodyText"/>
        <w:ind w:right="1597"/>
        <w:jc w:val="right"/>
      </w:pPr>
      <w:r>
        <w:rPr/>
        <w:t>TARIFAS</w:t>
      </w:r>
    </w:p>
    <w:p>
      <w:pPr>
        <w:pStyle w:val="BodyText"/>
        <w:spacing w:line="247" w:lineRule="auto" w:before="5"/>
        <w:ind w:left="151" w:firstLine="397"/>
      </w:pPr>
      <w:r>
        <w:rPr/>
        <w:t>I. Venta de bebidas de baja graduación, cuyo contenido de alcohol sea de hasta 12º grados por litro en envase cerrado por cada uno:</w:t>
      </w:r>
    </w:p>
    <w:p>
      <w:pPr>
        <w:pStyle w:val="BodyText"/>
        <w:rPr>
          <w:sz w:val="17"/>
        </w:rPr>
      </w:pPr>
    </w:p>
    <w:p>
      <w:pPr>
        <w:pStyle w:val="ListParagraph"/>
        <w:numPr>
          <w:ilvl w:val="0"/>
          <w:numId w:val="50"/>
        </w:numPr>
        <w:tabs>
          <w:tab w:pos="741" w:val="left" w:leader="none"/>
        </w:tabs>
        <w:spacing w:line="240" w:lineRule="auto" w:before="0" w:after="0"/>
        <w:ind w:left="740" w:right="0" w:hanging="193"/>
        <w:jc w:val="left"/>
        <w:rPr>
          <w:sz w:val="15"/>
        </w:rPr>
      </w:pPr>
      <w:r>
        <w:rPr>
          <w:sz w:val="15"/>
        </w:rPr>
        <w:t>En abarrotes, tendejones,</w:t>
      </w:r>
      <w:r>
        <w:rPr>
          <w:spacing w:val="29"/>
          <w:sz w:val="15"/>
        </w:rPr>
        <w:t> </w:t>
      </w:r>
      <w:r>
        <w:rPr>
          <w:sz w:val="15"/>
        </w:rPr>
        <w:t>misceláneas y negocios</w:t>
      </w:r>
    </w:p>
    <w:p>
      <w:pPr>
        <w:pStyle w:val="BodyText"/>
        <w:tabs>
          <w:tab w:pos="4611" w:val="left" w:leader="none"/>
        </w:tabs>
        <w:spacing w:before="5"/>
        <w:ind w:right="2241"/>
        <w:jc w:val="right"/>
      </w:pPr>
      <w:r>
        <w:rPr/>
        <w:t>similares,</w:t>
      </w:r>
      <w:r>
        <w:rPr>
          <w:spacing w:val="7"/>
        </w:rPr>
        <w:t> </w:t>
      </w:r>
      <w:r>
        <w:rPr/>
        <w:t>de:</w:t>
        <w:tab/>
      </w:r>
      <w:r>
        <w:rPr>
          <w:spacing w:val="-1"/>
        </w:rPr>
        <w:t>$3,233.00</w:t>
      </w:r>
    </w:p>
    <w:p>
      <w:pPr>
        <w:pStyle w:val="ListParagraph"/>
        <w:numPr>
          <w:ilvl w:val="0"/>
          <w:numId w:val="50"/>
        </w:numPr>
        <w:tabs>
          <w:tab w:pos="180" w:val="left" w:leader="none"/>
          <w:tab w:pos="4273" w:val="left" w:leader="none"/>
        </w:tabs>
        <w:spacing w:line="240" w:lineRule="auto" w:before="43" w:after="0"/>
        <w:ind w:left="728" w:right="2241" w:hanging="729"/>
        <w:jc w:val="right"/>
        <w:rPr>
          <w:sz w:val="15"/>
        </w:rPr>
      </w:pPr>
      <w:r>
        <w:rPr>
          <w:sz w:val="15"/>
        </w:rPr>
        <w:t>En Mini supermercados y negocios </w:t>
      </w:r>
      <w:r>
        <w:rPr>
          <w:spacing w:val="9"/>
          <w:sz w:val="15"/>
        </w:rPr>
        <w:t> </w:t>
      </w:r>
      <w:r>
        <w:rPr>
          <w:sz w:val="15"/>
        </w:rPr>
        <w:t>similares,</w:t>
      </w:r>
      <w:r>
        <w:rPr>
          <w:spacing w:val="10"/>
          <w:sz w:val="15"/>
        </w:rPr>
        <w:t> </w:t>
      </w:r>
      <w:r>
        <w:rPr>
          <w:sz w:val="15"/>
        </w:rPr>
        <w:t>de:</w:t>
        <w:tab/>
        <w:t>$6,000.00</w:t>
      </w:r>
    </w:p>
    <w:p>
      <w:pPr>
        <w:pStyle w:val="BodyText"/>
        <w:spacing w:before="9"/>
        <w:rPr>
          <w:sz w:val="14"/>
        </w:rPr>
      </w:pPr>
      <w:r>
        <w:rPr/>
        <w:br w:type="column"/>
      </w:r>
      <w:r>
        <w:rPr>
          <w:sz w:val="14"/>
        </w:rPr>
      </w:r>
    </w:p>
    <w:p>
      <w:pPr>
        <w:pStyle w:val="ListParagraph"/>
        <w:numPr>
          <w:ilvl w:val="0"/>
          <w:numId w:val="51"/>
        </w:numPr>
        <w:tabs>
          <w:tab w:pos="747" w:val="left" w:leader="none"/>
        </w:tabs>
        <w:spacing w:line="247" w:lineRule="auto" w:before="1" w:after="0"/>
        <w:ind w:left="151" w:right="509" w:firstLine="397"/>
        <w:jc w:val="left"/>
        <w:rPr>
          <w:sz w:val="15"/>
        </w:rPr>
      </w:pPr>
      <w:r>
        <w:rPr>
          <w:spacing w:val="-3"/>
          <w:sz w:val="15"/>
        </w:rPr>
        <w:t>Venta  </w:t>
      </w:r>
      <w:r>
        <w:rPr>
          <w:sz w:val="15"/>
        </w:rPr>
        <w:t>de bebidas de alta graduación cuyo contenido de alcohol sea mayor a los 12º grados por litro    en botella cerrada, por cada</w:t>
      </w:r>
      <w:r>
        <w:rPr>
          <w:spacing w:val="6"/>
          <w:sz w:val="15"/>
        </w:rPr>
        <w:t> </w:t>
      </w:r>
      <w:r>
        <w:rPr>
          <w:sz w:val="15"/>
        </w:rPr>
        <w:t>uno:</w:t>
      </w:r>
    </w:p>
    <w:p>
      <w:pPr>
        <w:pStyle w:val="BodyText"/>
        <w:rPr>
          <w:sz w:val="17"/>
        </w:rPr>
      </w:pPr>
    </w:p>
    <w:p>
      <w:pPr>
        <w:pStyle w:val="ListParagraph"/>
        <w:numPr>
          <w:ilvl w:val="0"/>
          <w:numId w:val="52"/>
        </w:numPr>
        <w:tabs>
          <w:tab w:pos="729" w:val="left" w:leader="none"/>
          <w:tab w:pos="4736" w:val="left" w:leader="none"/>
        </w:tabs>
        <w:spacing w:line="240" w:lineRule="auto" w:before="0" w:after="0"/>
        <w:ind w:left="728" w:right="0" w:hanging="181"/>
        <w:jc w:val="left"/>
        <w:rPr>
          <w:sz w:val="15"/>
        </w:rPr>
      </w:pPr>
      <w:r>
        <w:rPr>
          <w:sz w:val="15"/>
        </w:rPr>
        <w:t>En</w:t>
      </w:r>
      <w:r>
        <w:rPr>
          <w:spacing w:val="14"/>
          <w:sz w:val="15"/>
        </w:rPr>
        <w:t> </w:t>
      </w:r>
      <w:r>
        <w:rPr>
          <w:sz w:val="15"/>
        </w:rPr>
        <w:t>abarrotes,</w:t>
      </w:r>
      <w:r>
        <w:rPr>
          <w:spacing w:val="14"/>
          <w:sz w:val="15"/>
        </w:rPr>
        <w:t> </w:t>
      </w:r>
      <w:r>
        <w:rPr>
          <w:sz w:val="15"/>
        </w:rPr>
        <w:t>de:</w:t>
        <w:tab/>
        <w:t>$10,190.00</w:t>
      </w:r>
    </w:p>
    <w:p>
      <w:pPr>
        <w:pStyle w:val="BodyText"/>
        <w:spacing w:before="2"/>
        <w:rPr>
          <w:sz w:val="19"/>
        </w:rPr>
      </w:pPr>
    </w:p>
    <w:p>
      <w:pPr>
        <w:pStyle w:val="ListParagraph"/>
        <w:numPr>
          <w:ilvl w:val="0"/>
          <w:numId w:val="52"/>
        </w:numPr>
        <w:tabs>
          <w:tab w:pos="729" w:val="left" w:leader="none"/>
          <w:tab w:pos="4736" w:val="left" w:leader="none"/>
        </w:tabs>
        <w:spacing w:line="240" w:lineRule="auto" w:before="0" w:after="0"/>
        <w:ind w:left="728" w:right="0" w:hanging="181"/>
        <w:jc w:val="left"/>
        <w:rPr>
          <w:sz w:val="15"/>
        </w:rPr>
      </w:pPr>
      <w:r>
        <w:rPr>
          <w:sz w:val="15"/>
        </w:rPr>
        <w:t>En</w:t>
      </w:r>
      <w:r>
        <w:rPr>
          <w:spacing w:val="14"/>
          <w:sz w:val="15"/>
        </w:rPr>
        <w:t> </w:t>
      </w:r>
      <w:r>
        <w:rPr>
          <w:sz w:val="15"/>
        </w:rPr>
        <w:t>vinaterías,</w:t>
      </w:r>
      <w:r>
        <w:rPr>
          <w:spacing w:val="14"/>
          <w:sz w:val="15"/>
        </w:rPr>
        <w:t> </w:t>
      </w:r>
      <w:r>
        <w:rPr>
          <w:sz w:val="15"/>
        </w:rPr>
        <w:t>de:</w:t>
        <w:tab/>
        <w:t>$15,895.00</w:t>
      </w:r>
    </w:p>
    <w:p>
      <w:pPr>
        <w:pStyle w:val="BodyText"/>
        <w:spacing w:before="3"/>
        <w:rPr>
          <w:sz w:val="19"/>
        </w:rPr>
      </w:pPr>
    </w:p>
    <w:p>
      <w:pPr>
        <w:pStyle w:val="ListParagraph"/>
        <w:numPr>
          <w:ilvl w:val="0"/>
          <w:numId w:val="52"/>
        </w:numPr>
        <w:tabs>
          <w:tab w:pos="720" w:val="left" w:leader="none"/>
          <w:tab w:pos="4736" w:val="left" w:leader="none"/>
        </w:tabs>
        <w:spacing w:line="240" w:lineRule="auto" w:before="0" w:after="0"/>
        <w:ind w:left="719" w:right="0" w:hanging="172"/>
        <w:jc w:val="left"/>
        <w:rPr>
          <w:sz w:val="15"/>
        </w:rPr>
      </w:pPr>
      <w:r>
        <w:rPr>
          <w:sz w:val="15"/>
        </w:rPr>
        <w:t>Mini supermercados y negocios </w:t>
      </w:r>
      <w:r>
        <w:rPr>
          <w:spacing w:val="13"/>
          <w:sz w:val="15"/>
        </w:rPr>
        <w:t> </w:t>
      </w:r>
      <w:r>
        <w:rPr>
          <w:sz w:val="15"/>
        </w:rPr>
        <w:t>similares,</w:t>
      </w:r>
      <w:r>
        <w:rPr>
          <w:spacing w:val="14"/>
          <w:sz w:val="15"/>
        </w:rPr>
        <w:t> </w:t>
      </w:r>
      <w:r>
        <w:rPr>
          <w:sz w:val="15"/>
        </w:rPr>
        <w:t>de:</w:t>
        <w:tab/>
        <w:t>$21,000.00</w:t>
      </w:r>
    </w:p>
    <w:p>
      <w:pPr>
        <w:pStyle w:val="BodyText"/>
        <w:spacing w:before="2"/>
        <w:rPr>
          <w:sz w:val="19"/>
        </w:rPr>
      </w:pPr>
    </w:p>
    <w:p>
      <w:pPr>
        <w:pStyle w:val="ListParagraph"/>
        <w:numPr>
          <w:ilvl w:val="0"/>
          <w:numId w:val="52"/>
        </w:numPr>
        <w:tabs>
          <w:tab w:pos="729" w:val="left" w:leader="none"/>
        </w:tabs>
        <w:spacing w:line="240" w:lineRule="auto" w:before="0" w:after="0"/>
        <w:ind w:left="728" w:right="0" w:hanging="181"/>
        <w:jc w:val="left"/>
        <w:rPr>
          <w:sz w:val="15"/>
        </w:rPr>
      </w:pPr>
      <w:r>
        <w:rPr>
          <w:sz w:val="15"/>
        </w:rPr>
        <w:t>En supermercados, tiendas de autoservicio</w:t>
      </w:r>
      <w:r>
        <w:rPr>
          <w:spacing w:val="8"/>
          <w:sz w:val="15"/>
        </w:rPr>
        <w:t> </w:t>
      </w:r>
      <w:r>
        <w:rPr>
          <w:sz w:val="15"/>
        </w:rPr>
        <w:t>y</w:t>
      </w:r>
    </w:p>
    <w:p>
      <w:pPr>
        <w:pStyle w:val="BodyText"/>
        <w:tabs>
          <w:tab w:pos="4734" w:val="left" w:leader="none"/>
        </w:tabs>
        <w:spacing w:before="5"/>
        <w:ind w:left="191"/>
      </w:pPr>
      <w:r>
        <w:rPr/>
        <w:t>tiendas</w:t>
      </w:r>
      <w:r>
        <w:rPr>
          <w:spacing w:val="11"/>
        </w:rPr>
        <w:t> </w:t>
      </w:r>
      <w:r>
        <w:rPr/>
        <w:t>especializadas,</w:t>
      </w:r>
      <w:r>
        <w:rPr>
          <w:spacing w:val="10"/>
        </w:rPr>
        <w:t> </w:t>
      </w:r>
      <w:r>
        <w:rPr/>
        <w:t>de:</w:t>
        <w:tab/>
        <w:t>$50,000.00</w:t>
      </w:r>
    </w:p>
    <w:p>
      <w:pPr>
        <w:pStyle w:val="BodyText"/>
        <w:rPr>
          <w:sz w:val="16"/>
        </w:rPr>
      </w:pPr>
    </w:p>
    <w:p>
      <w:pPr>
        <w:pStyle w:val="BodyText"/>
        <w:spacing w:before="3"/>
        <w:rPr>
          <w:sz w:val="20"/>
        </w:rPr>
      </w:pPr>
    </w:p>
    <w:p>
      <w:pPr>
        <w:pStyle w:val="ListParagraph"/>
        <w:numPr>
          <w:ilvl w:val="0"/>
          <w:numId w:val="51"/>
        </w:numPr>
        <w:tabs>
          <w:tab w:pos="780" w:val="left" w:leader="none"/>
        </w:tabs>
        <w:spacing w:line="240" w:lineRule="auto" w:before="0" w:after="0"/>
        <w:ind w:left="779" w:right="0" w:hanging="232"/>
        <w:jc w:val="left"/>
        <w:rPr>
          <w:sz w:val="15"/>
        </w:rPr>
      </w:pPr>
      <w:r>
        <w:rPr>
          <w:sz w:val="15"/>
        </w:rPr>
        <w:t>Giros que a continuación se</w:t>
      </w:r>
      <w:r>
        <w:rPr>
          <w:spacing w:val="7"/>
          <w:sz w:val="15"/>
        </w:rPr>
        <w:t> </w:t>
      </w:r>
      <w:r>
        <w:rPr>
          <w:sz w:val="15"/>
        </w:rPr>
        <w:t>indiquen:</w:t>
      </w:r>
    </w:p>
    <w:p>
      <w:pPr>
        <w:pStyle w:val="BodyText"/>
        <w:spacing w:before="6"/>
        <w:rPr>
          <w:sz w:val="17"/>
        </w:rPr>
      </w:pPr>
    </w:p>
    <w:p>
      <w:pPr>
        <w:pStyle w:val="ListParagraph"/>
        <w:numPr>
          <w:ilvl w:val="0"/>
          <w:numId w:val="53"/>
        </w:numPr>
        <w:tabs>
          <w:tab w:pos="728" w:val="left" w:leader="none"/>
        </w:tabs>
        <w:spacing w:line="240" w:lineRule="auto" w:before="0" w:after="0"/>
        <w:ind w:left="727" w:right="0" w:hanging="181"/>
        <w:jc w:val="left"/>
        <w:rPr>
          <w:sz w:val="15"/>
        </w:rPr>
      </w:pPr>
      <w:r>
        <w:rPr>
          <w:sz w:val="15"/>
        </w:rPr>
        <w:t>Bar en restaurante y giros similares, por</w:t>
      </w:r>
      <w:r>
        <w:rPr>
          <w:spacing w:val="11"/>
          <w:sz w:val="15"/>
        </w:rPr>
        <w:t> </w:t>
      </w:r>
      <w:r>
        <w:rPr>
          <w:sz w:val="15"/>
        </w:rPr>
        <w:t>cada</w:t>
      </w:r>
    </w:p>
    <w:p>
      <w:pPr>
        <w:pStyle w:val="BodyText"/>
        <w:tabs>
          <w:tab w:pos="4736" w:val="left" w:leader="none"/>
        </w:tabs>
        <w:spacing w:before="5"/>
        <w:ind w:left="170"/>
      </w:pPr>
      <w:r>
        <w:rPr/>
        <w:t>uno,</w:t>
      </w:r>
      <w:r>
        <w:rPr>
          <w:spacing w:val="5"/>
        </w:rPr>
        <w:t> </w:t>
      </w:r>
      <w:r>
        <w:rPr/>
        <w:t>de:</w:t>
        <w:tab/>
        <w:t>$26,000.00</w:t>
      </w:r>
    </w:p>
    <w:p>
      <w:pPr>
        <w:pStyle w:val="ListParagraph"/>
        <w:numPr>
          <w:ilvl w:val="0"/>
          <w:numId w:val="53"/>
        </w:numPr>
        <w:tabs>
          <w:tab w:pos="762" w:val="left" w:leader="none"/>
        </w:tabs>
        <w:spacing w:line="240" w:lineRule="auto" w:before="43" w:after="0"/>
        <w:ind w:left="761" w:right="0" w:hanging="215"/>
        <w:jc w:val="left"/>
        <w:rPr>
          <w:sz w:val="15"/>
        </w:rPr>
      </w:pPr>
      <w:r>
        <w:rPr>
          <w:sz w:val="15"/>
        </w:rPr>
        <w:t>Bar en restaurante folklórico o con música</w:t>
      </w:r>
      <w:r>
        <w:rPr>
          <w:spacing w:val="3"/>
          <w:sz w:val="15"/>
        </w:rPr>
        <w:t> </w:t>
      </w:r>
      <w:r>
        <w:rPr>
          <w:sz w:val="15"/>
        </w:rPr>
        <w:t>en</w:t>
      </w:r>
    </w:p>
    <w:p>
      <w:pPr>
        <w:pStyle w:val="BodyText"/>
        <w:tabs>
          <w:tab w:pos="4736" w:val="left" w:leader="none"/>
        </w:tabs>
        <w:spacing w:before="5"/>
        <w:ind w:left="170"/>
      </w:pPr>
      <w:r>
        <w:rPr/>
        <w:t>vivo o restaurante</w:t>
      </w:r>
      <w:r>
        <w:rPr>
          <w:spacing w:val="26"/>
        </w:rPr>
        <w:t> </w:t>
      </w:r>
      <w:r>
        <w:rPr/>
        <w:t>campestre,</w:t>
      </w:r>
      <w:r>
        <w:rPr>
          <w:spacing w:val="9"/>
        </w:rPr>
        <w:t> </w:t>
      </w:r>
      <w:r>
        <w:rPr/>
        <w:t>de:</w:t>
        <w:tab/>
        <w:t>$39,810.00</w:t>
      </w:r>
    </w:p>
    <w:p>
      <w:pPr>
        <w:pStyle w:val="BodyText"/>
        <w:spacing w:before="3"/>
        <w:rPr>
          <w:sz w:val="19"/>
        </w:rPr>
      </w:pPr>
    </w:p>
    <w:p>
      <w:pPr>
        <w:pStyle w:val="ListParagraph"/>
        <w:numPr>
          <w:ilvl w:val="0"/>
          <w:numId w:val="53"/>
        </w:numPr>
        <w:tabs>
          <w:tab w:pos="721" w:val="left" w:leader="none"/>
        </w:tabs>
        <w:spacing w:line="240" w:lineRule="auto" w:before="0" w:after="0"/>
        <w:ind w:left="720" w:right="0" w:hanging="174"/>
        <w:jc w:val="left"/>
        <w:rPr>
          <w:sz w:val="15"/>
        </w:rPr>
      </w:pPr>
      <w:r>
        <w:rPr>
          <w:sz w:val="15"/>
        </w:rPr>
        <w:t>Bar en cabaret, centro nocturno y giros</w:t>
      </w:r>
      <w:r>
        <w:rPr>
          <w:spacing w:val="25"/>
          <w:sz w:val="15"/>
        </w:rPr>
        <w:t> </w:t>
      </w:r>
      <w:r>
        <w:rPr>
          <w:sz w:val="15"/>
        </w:rPr>
        <w:t>similares,</w:t>
      </w:r>
    </w:p>
    <w:p>
      <w:pPr>
        <w:pStyle w:val="BodyText"/>
        <w:tabs>
          <w:tab w:pos="4737" w:val="left" w:leader="none"/>
        </w:tabs>
        <w:spacing w:before="4"/>
        <w:ind w:left="170"/>
      </w:pPr>
      <w:r>
        <w:rPr/>
        <w:t>por cada</w:t>
      </w:r>
      <w:r>
        <w:rPr>
          <w:spacing w:val="11"/>
        </w:rPr>
        <w:t> </w:t>
      </w:r>
      <w:r>
        <w:rPr/>
        <w:t>uno,</w:t>
      </w:r>
      <w:r>
        <w:rPr>
          <w:spacing w:val="6"/>
        </w:rPr>
        <w:t> </w:t>
      </w:r>
      <w:r>
        <w:rPr/>
        <w:t>de:</w:t>
        <w:tab/>
        <w:t>$80,000.00</w:t>
      </w:r>
    </w:p>
    <w:p>
      <w:pPr>
        <w:spacing w:after="0"/>
        <w:sectPr>
          <w:type w:val="continuous"/>
          <w:pgSz w:w="23250" w:h="15310" w:orient="landscape"/>
          <w:pgMar w:top="0" w:bottom="0" w:left="1880" w:right="1520"/>
          <w:cols w:num="2" w:equalWidth="0">
            <w:col w:w="7751" w:space="3871"/>
            <w:col w:w="8228"/>
          </w:cols>
        </w:sectPr>
      </w:pPr>
    </w:p>
    <w:p>
      <w:pPr>
        <w:pStyle w:val="BodyText"/>
        <w:rPr>
          <w:sz w:val="20"/>
        </w:rPr>
      </w:pPr>
    </w:p>
    <w:p>
      <w:pPr>
        <w:pStyle w:val="BodyText"/>
        <w:rPr>
          <w:sz w:val="20"/>
        </w:rPr>
      </w:pPr>
    </w:p>
    <w:p>
      <w:pPr>
        <w:pStyle w:val="BodyText"/>
        <w:spacing w:before="1"/>
        <w:rPr>
          <w:sz w:val="25"/>
        </w:rPr>
      </w:pPr>
    </w:p>
    <w:p>
      <w:pPr>
        <w:spacing w:after="0"/>
        <w:rPr>
          <w:sz w:val="25"/>
        </w:rPr>
        <w:sectPr>
          <w:headerReference w:type="default" r:id="rId68"/>
          <w:pgSz w:w="23250" w:h="15310" w:orient="landscape"/>
          <w:pgMar w:header="881" w:footer="499" w:top="1920" w:bottom="680" w:left="1880" w:right="1520"/>
        </w:sectPr>
      </w:pPr>
    </w:p>
    <w:p>
      <w:pPr>
        <w:pStyle w:val="ListParagraph"/>
        <w:numPr>
          <w:ilvl w:val="0"/>
          <w:numId w:val="53"/>
        </w:numPr>
        <w:tabs>
          <w:tab w:pos="728" w:val="left" w:leader="none"/>
          <w:tab w:pos="4735" w:val="left" w:leader="none"/>
        </w:tabs>
        <w:spacing w:line="240" w:lineRule="auto" w:before="117" w:after="0"/>
        <w:ind w:left="727" w:right="0" w:hanging="181"/>
        <w:jc w:val="left"/>
        <w:rPr>
          <w:sz w:val="15"/>
        </w:rPr>
      </w:pPr>
      <w:r>
        <w:rPr>
          <w:sz w:val="15"/>
        </w:rPr>
        <w:t>Cantina y giros similares, por cada </w:t>
      </w:r>
      <w:r>
        <w:rPr>
          <w:spacing w:val="15"/>
          <w:sz w:val="15"/>
        </w:rPr>
        <w:t> </w:t>
      </w:r>
      <w:r>
        <w:rPr>
          <w:sz w:val="15"/>
        </w:rPr>
        <w:t>uno,</w:t>
      </w:r>
      <w:r>
        <w:rPr>
          <w:spacing w:val="9"/>
          <w:sz w:val="15"/>
        </w:rPr>
        <w:t> </w:t>
      </w:r>
      <w:r>
        <w:rPr>
          <w:sz w:val="15"/>
        </w:rPr>
        <w:t>de:</w:t>
        <w:tab/>
        <w:t>$40,000.00</w:t>
      </w:r>
    </w:p>
    <w:p>
      <w:pPr>
        <w:pStyle w:val="BodyText"/>
        <w:rPr>
          <w:sz w:val="16"/>
        </w:rPr>
      </w:pPr>
    </w:p>
    <w:p>
      <w:pPr>
        <w:pStyle w:val="BodyText"/>
        <w:spacing w:before="7"/>
        <w:rPr>
          <w:sz w:val="18"/>
        </w:rPr>
      </w:pPr>
    </w:p>
    <w:p>
      <w:pPr>
        <w:pStyle w:val="ListParagraph"/>
        <w:numPr>
          <w:ilvl w:val="0"/>
          <w:numId w:val="53"/>
        </w:numPr>
        <w:tabs>
          <w:tab w:pos="728" w:val="left" w:leader="none"/>
          <w:tab w:pos="4735" w:val="left" w:leader="none"/>
        </w:tabs>
        <w:spacing w:line="240" w:lineRule="auto" w:before="0" w:after="0"/>
        <w:ind w:left="727" w:right="0" w:hanging="181"/>
        <w:jc w:val="left"/>
        <w:rPr>
          <w:sz w:val="15"/>
        </w:rPr>
      </w:pPr>
      <w:r>
        <w:rPr>
          <w:sz w:val="15"/>
        </w:rPr>
        <w:t>Bar y giros similares, por cada </w:t>
      </w:r>
      <w:r>
        <w:rPr>
          <w:spacing w:val="10"/>
          <w:sz w:val="15"/>
        </w:rPr>
        <w:t> </w:t>
      </w:r>
      <w:r>
        <w:rPr>
          <w:sz w:val="15"/>
        </w:rPr>
        <w:t>uno,</w:t>
      </w:r>
      <w:r>
        <w:rPr>
          <w:spacing w:val="9"/>
          <w:sz w:val="15"/>
        </w:rPr>
        <w:t> </w:t>
      </w:r>
      <w:r>
        <w:rPr>
          <w:sz w:val="15"/>
        </w:rPr>
        <w:t>de:</w:t>
        <w:tab/>
        <w:t>$27,000.00</w:t>
      </w:r>
    </w:p>
    <w:p>
      <w:pPr>
        <w:pStyle w:val="Heading4"/>
        <w:spacing w:before="99"/>
        <w:ind w:left="2866" w:right="2824"/>
      </w:pPr>
      <w:r>
        <w:rPr>
          <w:b w:val="0"/>
        </w:rPr>
        <w:br w:type="column"/>
      </w:r>
      <w:r>
        <w:rPr/>
        <w:t>SECCIÓN SEGUNDA</w:t>
      </w:r>
    </w:p>
    <w:p>
      <w:pPr>
        <w:spacing w:before="5"/>
        <w:ind w:left="2860" w:right="2824" w:firstLine="0"/>
        <w:jc w:val="center"/>
        <w:rPr>
          <w:b/>
          <w:sz w:val="15"/>
        </w:rPr>
      </w:pPr>
      <w:r>
        <w:rPr>
          <w:b/>
          <w:sz w:val="15"/>
        </w:rPr>
        <w:t>De las Licencias de Anuncios</w:t>
      </w:r>
    </w:p>
    <w:p>
      <w:pPr>
        <w:pStyle w:val="BodyText"/>
        <w:spacing w:before="7"/>
        <w:rPr>
          <w:b/>
        </w:rPr>
      </w:pPr>
    </w:p>
    <w:p>
      <w:pPr>
        <w:pStyle w:val="BodyText"/>
        <w:spacing w:line="247" w:lineRule="auto"/>
        <w:ind w:left="547" w:right="487" w:firstLine="397"/>
      </w:pPr>
      <w:r>
        <w:rPr>
          <w:b/>
        </w:rPr>
        <w:t>Artículo 78.- </w:t>
      </w:r>
      <w:r>
        <w:rPr/>
        <w:t>Las personas físicas o jurídicas que pretendan obtener la licencia o permiso para la instalación, sustitución y exhibición de todo tipo de publicidad exterior visual o auditiva, en terrenos públicos o</w:t>
      </w:r>
    </w:p>
    <w:p>
      <w:pPr>
        <w:spacing w:after="0" w:line="247" w:lineRule="auto"/>
        <w:sectPr>
          <w:type w:val="continuous"/>
          <w:pgSz w:w="23250" w:h="15310" w:orient="landscape"/>
          <w:pgMar w:top="0" w:bottom="0" w:left="1880" w:right="1520"/>
          <w:cols w:num="2" w:equalWidth="0">
            <w:col w:w="5547" w:space="5679"/>
            <w:col w:w="8624"/>
          </w:cols>
        </w:sectPr>
      </w:pPr>
    </w:p>
    <w:p>
      <w:pPr>
        <w:pStyle w:val="ListParagraph"/>
        <w:numPr>
          <w:ilvl w:val="0"/>
          <w:numId w:val="53"/>
        </w:numPr>
        <w:tabs>
          <w:tab w:pos="714" w:val="left" w:leader="none"/>
        </w:tabs>
        <w:spacing w:line="244" w:lineRule="auto" w:before="98" w:after="0"/>
        <w:ind w:left="170" w:right="39" w:firstLine="377"/>
        <w:jc w:val="both"/>
        <w:rPr>
          <w:sz w:val="15"/>
        </w:rPr>
      </w:pPr>
      <w:r>
        <w:rPr>
          <w:sz w:val="15"/>
        </w:rPr>
        <w:t>Video </w:t>
      </w:r>
      <w:r>
        <w:rPr>
          <w:spacing w:val="-3"/>
          <w:sz w:val="15"/>
        </w:rPr>
        <w:t>bar, </w:t>
      </w:r>
      <w:r>
        <w:rPr>
          <w:sz w:val="15"/>
        </w:rPr>
        <w:t>discoteca y giros similares por cada uno,</w:t>
      </w:r>
      <w:r>
        <w:rPr>
          <w:spacing w:val="1"/>
          <w:sz w:val="15"/>
        </w:rPr>
        <w:t> </w:t>
      </w:r>
      <w:r>
        <w:rPr>
          <w:sz w:val="15"/>
        </w:rPr>
        <w:t>de:</w:t>
      </w:r>
    </w:p>
    <w:p>
      <w:pPr>
        <w:pStyle w:val="BodyText"/>
        <w:spacing w:before="11"/>
        <w:rPr>
          <w:sz w:val="18"/>
        </w:rPr>
      </w:pPr>
    </w:p>
    <w:p>
      <w:pPr>
        <w:pStyle w:val="ListParagraph"/>
        <w:numPr>
          <w:ilvl w:val="0"/>
          <w:numId w:val="53"/>
        </w:numPr>
        <w:tabs>
          <w:tab w:pos="958" w:val="left" w:leader="none"/>
        </w:tabs>
        <w:spacing w:line="247" w:lineRule="auto" w:before="0" w:after="0"/>
        <w:ind w:left="169" w:right="38" w:firstLine="377"/>
        <w:jc w:val="both"/>
        <w:rPr>
          <w:sz w:val="15"/>
        </w:rPr>
      </w:pPr>
      <w:r>
        <w:rPr>
          <w:spacing w:val="-3"/>
          <w:sz w:val="15"/>
        </w:rPr>
        <w:t>Venta </w:t>
      </w:r>
      <w:r>
        <w:rPr>
          <w:sz w:val="15"/>
        </w:rPr>
        <w:t>de bebidas alcohólicas </w:t>
      </w:r>
      <w:r>
        <w:rPr>
          <w:spacing w:val="-6"/>
          <w:sz w:val="15"/>
        </w:rPr>
        <w:t>en </w:t>
      </w:r>
      <w:r>
        <w:rPr>
          <w:sz w:val="15"/>
        </w:rPr>
        <w:t>establecimientos que ofrezcan entretenimiento  con sorteos de números, juegos de apuestas  con  autorización legal, centros de apuestas remotas, terminales o máquinas de juegos  y  apuestas  autorizados, de:</w:t>
      </w:r>
    </w:p>
    <w:p>
      <w:pPr>
        <w:pStyle w:val="BodyText"/>
        <w:spacing w:before="6"/>
        <w:rPr>
          <w:sz w:val="18"/>
        </w:rPr>
      </w:pPr>
    </w:p>
    <w:p>
      <w:pPr>
        <w:pStyle w:val="ListParagraph"/>
        <w:numPr>
          <w:ilvl w:val="0"/>
          <w:numId w:val="53"/>
        </w:numPr>
        <w:tabs>
          <w:tab w:pos="730" w:val="left" w:leader="none"/>
        </w:tabs>
        <w:spacing w:line="247" w:lineRule="auto" w:before="0" w:after="0"/>
        <w:ind w:left="169" w:right="38" w:firstLine="377"/>
        <w:jc w:val="both"/>
        <w:rPr>
          <w:sz w:val="15"/>
        </w:rPr>
      </w:pPr>
      <w:r>
        <w:rPr>
          <w:spacing w:val="-3"/>
          <w:sz w:val="15"/>
        </w:rPr>
        <w:t>Venta </w:t>
      </w:r>
      <w:r>
        <w:rPr>
          <w:sz w:val="15"/>
        </w:rPr>
        <w:t>de bebidas alcohólicas de alta graduación, cuyo contenido de alcohol sea superior a los </w:t>
      </w:r>
      <w:r>
        <w:rPr>
          <w:spacing w:val="-3"/>
          <w:sz w:val="15"/>
        </w:rPr>
        <w:t>12°G.L. </w:t>
      </w:r>
      <w:r>
        <w:rPr>
          <w:sz w:val="15"/>
        </w:rPr>
        <w:t>en moteles, y giros similares por cada uno,</w:t>
      </w:r>
      <w:r>
        <w:rPr>
          <w:spacing w:val="21"/>
          <w:sz w:val="15"/>
        </w:rPr>
        <w:t> </w:t>
      </w:r>
      <w:r>
        <w:rPr>
          <w:sz w:val="15"/>
        </w:rPr>
        <w:t>de:</w:t>
      </w:r>
    </w:p>
    <w:p>
      <w:pPr>
        <w:pStyle w:val="BodyText"/>
        <w:spacing w:before="98"/>
        <w:ind w:left="254"/>
      </w:pPr>
      <w:r>
        <w:rPr/>
        <w:br w:type="column"/>
      </w:r>
      <w:r>
        <w:rPr/>
        <w:t>$39,818.00</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6"/>
        </w:rPr>
      </w:pPr>
    </w:p>
    <w:p>
      <w:pPr>
        <w:pStyle w:val="BodyText"/>
        <w:spacing w:before="1"/>
        <w:ind w:left="169"/>
      </w:pPr>
      <w:r>
        <w:rPr/>
        <w:t>$850,000.00</w:t>
      </w:r>
    </w:p>
    <w:p>
      <w:pPr>
        <w:pStyle w:val="BodyText"/>
        <w:rPr>
          <w:sz w:val="16"/>
        </w:rPr>
      </w:pPr>
    </w:p>
    <w:p>
      <w:pPr>
        <w:pStyle w:val="BodyText"/>
        <w:rPr>
          <w:sz w:val="16"/>
        </w:rPr>
      </w:pPr>
    </w:p>
    <w:p>
      <w:pPr>
        <w:pStyle w:val="BodyText"/>
        <w:rPr>
          <w:sz w:val="18"/>
        </w:rPr>
      </w:pPr>
    </w:p>
    <w:p>
      <w:pPr>
        <w:pStyle w:val="BodyText"/>
        <w:ind w:left="255"/>
      </w:pPr>
      <w:r>
        <w:rPr/>
        <w:t>$75,000.00</w:t>
      </w:r>
    </w:p>
    <w:p>
      <w:pPr>
        <w:pStyle w:val="BodyText"/>
        <w:spacing w:line="247" w:lineRule="auto"/>
        <w:ind w:left="169" w:right="508"/>
        <w:jc w:val="both"/>
      </w:pPr>
      <w:r>
        <w:rPr/>
        <w:br w:type="column"/>
      </w:r>
      <w:r>
        <w:rPr/>
        <w:t>privados, deberá realizar el trámite ante la Autoridad Municipal competente, previo cumplimiento de los  requisitos establecidos en el ordenamiento municipal de la materia, siempre que no se excedan los valores y escalas determinados en dicho ordenamiento y una vez autorizada su Titular deberá realizar el pago  de derechos correspondiente que se establezca en la presente le </w:t>
      </w:r>
      <w:r>
        <w:rPr>
          <w:spacing w:val="-3"/>
        </w:rPr>
        <w:t>Ley. </w:t>
      </w:r>
      <w:r>
        <w:rPr/>
        <w:t>Los Titulares de licencias, permisos o autorizaciones para la instalación de publicidad exterior deberán pagar anualmente por   concepto de derechos   y de refrendo, conforme a las</w:t>
      </w:r>
      <w:r>
        <w:rPr>
          <w:spacing w:val="9"/>
        </w:rPr>
        <w:t> </w:t>
      </w:r>
      <w:r>
        <w:rPr/>
        <w:t>siguientes:</w:t>
      </w:r>
    </w:p>
    <w:p>
      <w:pPr>
        <w:pStyle w:val="BodyText"/>
        <w:spacing w:before="67"/>
        <w:ind w:right="1834"/>
        <w:jc w:val="right"/>
      </w:pPr>
      <w:r>
        <w:rPr>
          <w:spacing w:val="-4"/>
        </w:rPr>
        <w:t>TARIFAS</w:t>
      </w:r>
    </w:p>
    <w:p>
      <w:pPr>
        <w:pStyle w:val="ListParagraph"/>
        <w:numPr>
          <w:ilvl w:val="0"/>
          <w:numId w:val="54"/>
        </w:numPr>
        <w:tabs>
          <w:tab w:pos="706" w:val="left" w:leader="none"/>
        </w:tabs>
        <w:spacing w:line="247" w:lineRule="auto" w:before="73" w:after="0"/>
        <w:ind w:left="567" w:right="544" w:firstLine="0"/>
        <w:jc w:val="left"/>
        <w:rPr>
          <w:sz w:val="15"/>
        </w:rPr>
      </w:pPr>
      <w:r>
        <w:rPr>
          <w:sz w:val="15"/>
        </w:rPr>
        <w:t>Anuncios sin estructura, rotulados en toldos, gabinetes corridos o gabinetes individuales, voladizos, adosados o pintados, en bienes muebles o inmuebles, por metro</w:t>
      </w:r>
      <w:r>
        <w:rPr>
          <w:spacing w:val="27"/>
          <w:sz w:val="15"/>
        </w:rPr>
        <w:t> </w:t>
      </w:r>
      <w:r>
        <w:rPr>
          <w:sz w:val="15"/>
        </w:rPr>
        <w:t>cuadrado:</w:t>
      </w:r>
    </w:p>
    <w:p>
      <w:pPr>
        <w:pStyle w:val="BodyText"/>
        <w:rPr>
          <w:sz w:val="17"/>
        </w:rPr>
      </w:pPr>
    </w:p>
    <w:p>
      <w:pPr>
        <w:pStyle w:val="ListParagraph"/>
        <w:numPr>
          <w:ilvl w:val="0"/>
          <w:numId w:val="55"/>
        </w:numPr>
        <w:tabs>
          <w:tab w:pos="767" w:val="left" w:leader="none"/>
          <w:tab w:pos="5055" w:val="left" w:leader="none"/>
        </w:tabs>
        <w:spacing w:line="240" w:lineRule="auto" w:before="1" w:after="0"/>
        <w:ind w:left="766" w:right="0" w:hanging="181"/>
        <w:jc w:val="left"/>
        <w:rPr>
          <w:sz w:val="15"/>
        </w:rPr>
      </w:pPr>
      <w:r>
        <w:rPr>
          <w:sz w:val="15"/>
        </w:rPr>
        <w:t>Opacos:</w:t>
        <w:tab/>
        <w:t>$85.00</w:t>
      </w:r>
    </w:p>
    <w:p>
      <w:pPr>
        <w:pStyle w:val="BodyText"/>
        <w:spacing w:before="2"/>
        <w:rPr>
          <w:sz w:val="19"/>
        </w:rPr>
      </w:pPr>
    </w:p>
    <w:p>
      <w:pPr>
        <w:pStyle w:val="ListParagraph"/>
        <w:numPr>
          <w:ilvl w:val="0"/>
          <w:numId w:val="55"/>
        </w:numPr>
        <w:tabs>
          <w:tab w:pos="767" w:val="left" w:leader="none"/>
          <w:tab w:pos="5054" w:val="left" w:leader="none"/>
        </w:tabs>
        <w:spacing w:line="240" w:lineRule="auto" w:before="0" w:after="0"/>
        <w:ind w:left="766" w:right="0" w:hanging="181"/>
        <w:jc w:val="left"/>
        <w:rPr>
          <w:sz w:val="15"/>
        </w:rPr>
      </w:pPr>
      <w:r>
        <w:rPr>
          <w:sz w:val="15"/>
        </w:rPr>
        <w:t>Luminosos</w:t>
      </w:r>
      <w:r>
        <w:rPr>
          <w:spacing w:val="17"/>
          <w:sz w:val="15"/>
        </w:rPr>
        <w:t> </w:t>
      </w:r>
      <w:r>
        <w:rPr>
          <w:sz w:val="15"/>
        </w:rPr>
        <w:t>o</w:t>
      </w:r>
      <w:r>
        <w:rPr>
          <w:spacing w:val="17"/>
          <w:sz w:val="15"/>
        </w:rPr>
        <w:t> </w:t>
      </w:r>
      <w:r>
        <w:rPr>
          <w:sz w:val="15"/>
        </w:rPr>
        <w:t>iluminados:</w:t>
        <w:tab/>
        <w:t>$88.00</w:t>
      </w:r>
    </w:p>
    <w:p>
      <w:pPr>
        <w:spacing w:after="0" w:line="240" w:lineRule="auto"/>
        <w:jc w:val="left"/>
        <w:rPr>
          <w:sz w:val="15"/>
        </w:rPr>
        <w:sectPr>
          <w:type w:val="continuous"/>
          <w:pgSz w:w="23250" w:h="15310" w:orient="landscape"/>
          <w:pgMar w:top="0" w:bottom="0" w:left="1880" w:right="1520"/>
          <w:cols w:num="3" w:equalWidth="0">
            <w:col w:w="4126" w:space="354"/>
            <w:col w:w="1067" w:space="6057"/>
            <w:col w:w="8246"/>
          </w:cols>
        </w:sectPr>
      </w:pPr>
    </w:p>
    <w:p>
      <w:pPr>
        <w:pStyle w:val="BodyText"/>
        <w:spacing w:before="8"/>
        <w:rPr>
          <w:sz w:val="8"/>
        </w:rPr>
      </w:pPr>
    </w:p>
    <w:p>
      <w:pPr>
        <w:spacing w:after="0"/>
        <w:rPr>
          <w:sz w:val="8"/>
        </w:rPr>
        <w:sectPr>
          <w:type w:val="continuous"/>
          <w:pgSz w:w="23250" w:h="15310" w:orient="landscape"/>
          <w:pgMar w:top="0" w:bottom="0" w:left="1880" w:right="1520"/>
        </w:sectPr>
      </w:pPr>
    </w:p>
    <w:p>
      <w:pPr>
        <w:pStyle w:val="ListParagraph"/>
        <w:numPr>
          <w:ilvl w:val="0"/>
          <w:numId w:val="56"/>
        </w:numPr>
        <w:tabs>
          <w:tab w:pos="747" w:val="left" w:leader="none"/>
        </w:tabs>
        <w:spacing w:line="247" w:lineRule="auto" w:before="98" w:after="0"/>
        <w:ind w:left="169" w:right="1457" w:firstLine="377"/>
        <w:jc w:val="both"/>
        <w:rPr>
          <w:sz w:val="15"/>
        </w:rPr>
      </w:pPr>
      <w:r>
        <w:rPr>
          <w:sz w:val="15"/>
        </w:rPr>
        <w:t>Cantinas, bares y departamento de bebidas alcohólicas de alta graduación, cuyo  contenido  de  alcohol sea superior a los 12° grados por litro en hoteles, motor hoteles, centros recreativos, teatros, clubes sociales, clubes privados con membresía, salones de juego, asociaciones civiles y deportivas </w:t>
      </w:r>
      <w:r>
        <w:rPr>
          <w:spacing w:val="-6"/>
          <w:sz w:val="15"/>
        </w:rPr>
        <w:t>y,</w:t>
      </w:r>
      <w:r>
        <w:rPr>
          <w:spacing w:val="23"/>
          <w:sz w:val="15"/>
        </w:rPr>
        <w:t> </w:t>
      </w:r>
      <w:r>
        <w:rPr>
          <w:sz w:val="15"/>
        </w:rPr>
        <w:t>demás</w:t>
      </w:r>
    </w:p>
    <w:p>
      <w:pPr>
        <w:pStyle w:val="BodyText"/>
        <w:tabs>
          <w:tab w:pos="4736" w:val="left" w:leader="none"/>
        </w:tabs>
        <w:spacing w:line="169" w:lineRule="exact"/>
        <w:ind w:left="170"/>
        <w:jc w:val="both"/>
      </w:pPr>
      <w:r>
        <w:rPr/>
        <w:t>departamentos similares, por cada</w:t>
      </w:r>
      <w:r>
        <w:rPr>
          <w:spacing w:val="38"/>
        </w:rPr>
        <w:t> </w:t>
      </w:r>
      <w:r>
        <w:rPr/>
        <w:t>uno,</w:t>
      </w:r>
      <w:r>
        <w:rPr>
          <w:spacing w:val="10"/>
        </w:rPr>
        <w:t> </w:t>
      </w:r>
      <w:r>
        <w:rPr/>
        <w:t>de:</w:t>
        <w:tab/>
        <w:t>$25,000.00</w:t>
      </w:r>
    </w:p>
    <w:p>
      <w:pPr>
        <w:pStyle w:val="BodyText"/>
        <w:spacing w:before="2"/>
        <w:rPr>
          <w:sz w:val="19"/>
        </w:rPr>
      </w:pPr>
    </w:p>
    <w:p>
      <w:pPr>
        <w:pStyle w:val="ListParagraph"/>
        <w:numPr>
          <w:ilvl w:val="0"/>
          <w:numId w:val="56"/>
        </w:numPr>
        <w:tabs>
          <w:tab w:pos="726" w:val="left" w:leader="none"/>
        </w:tabs>
        <w:spacing w:line="247" w:lineRule="auto" w:before="1" w:after="0"/>
        <w:ind w:left="170" w:right="1458" w:firstLine="377"/>
        <w:jc w:val="both"/>
        <w:rPr>
          <w:sz w:val="15"/>
        </w:rPr>
      </w:pPr>
      <w:r>
        <w:rPr>
          <w:sz w:val="15"/>
        </w:rPr>
        <w:t>Servibares o sistemas similares instalados en hoteles,</w:t>
      </w:r>
      <w:r>
        <w:rPr>
          <w:spacing w:val="14"/>
          <w:sz w:val="15"/>
        </w:rPr>
        <w:t> </w:t>
      </w:r>
      <w:r>
        <w:rPr>
          <w:sz w:val="15"/>
        </w:rPr>
        <w:t>moteles,</w:t>
      </w:r>
      <w:r>
        <w:rPr>
          <w:spacing w:val="14"/>
          <w:sz w:val="15"/>
        </w:rPr>
        <w:t> </w:t>
      </w:r>
      <w:r>
        <w:rPr>
          <w:sz w:val="15"/>
        </w:rPr>
        <w:t>suites,</w:t>
      </w:r>
      <w:r>
        <w:rPr>
          <w:spacing w:val="15"/>
          <w:sz w:val="15"/>
        </w:rPr>
        <w:t> </w:t>
      </w:r>
      <w:r>
        <w:rPr>
          <w:sz w:val="15"/>
        </w:rPr>
        <w:t>departamentos</w:t>
      </w:r>
      <w:r>
        <w:rPr>
          <w:spacing w:val="14"/>
          <w:sz w:val="15"/>
        </w:rPr>
        <w:t> </w:t>
      </w:r>
      <w:r>
        <w:rPr>
          <w:sz w:val="15"/>
        </w:rPr>
        <w:t>amueblados</w:t>
      </w:r>
      <w:r>
        <w:rPr>
          <w:spacing w:val="14"/>
          <w:sz w:val="15"/>
        </w:rPr>
        <w:t> </w:t>
      </w:r>
      <w:r>
        <w:rPr>
          <w:sz w:val="15"/>
        </w:rPr>
        <w:t>y</w:t>
      </w:r>
    </w:p>
    <w:p>
      <w:pPr>
        <w:pStyle w:val="ListParagraph"/>
        <w:numPr>
          <w:ilvl w:val="0"/>
          <w:numId w:val="54"/>
        </w:numPr>
        <w:tabs>
          <w:tab w:pos="334" w:val="left" w:leader="none"/>
        </w:tabs>
        <w:spacing w:line="240" w:lineRule="auto" w:before="101" w:after="0"/>
        <w:ind w:left="333" w:right="0" w:hanging="165"/>
        <w:jc w:val="left"/>
        <w:rPr>
          <w:sz w:val="15"/>
        </w:rPr>
      </w:pPr>
      <w:r>
        <w:rPr>
          <w:w w:val="102"/>
          <w:sz w:val="15"/>
        </w:rPr>
        <w:br w:type="column"/>
      </w:r>
      <w:r>
        <w:rPr>
          <w:sz w:val="15"/>
        </w:rPr>
        <w:t>Anuncios semiestructurales, estela o navaja, mampostería, por metro</w:t>
      </w:r>
      <w:r>
        <w:rPr>
          <w:spacing w:val="24"/>
          <w:sz w:val="15"/>
        </w:rPr>
        <w:t> </w:t>
      </w:r>
      <w:r>
        <w:rPr>
          <w:sz w:val="15"/>
        </w:rPr>
        <w:t>cuadrado:</w:t>
      </w:r>
    </w:p>
    <w:p>
      <w:pPr>
        <w:pStyle w:val="BodyText"/>
        <w:spacing w:before="6"/>
        <w:rPr>
          <w:sz w:val="17"/>
        </w:rPr>
      </w:pPr>
    </w:p>
    <w:p>
      <w:pPr>
        <w:pStyle w:val="ListParagraph"/>
        <w:numPr>
          <w:ilvl w:val="0"/>
          <w:numId w:val="57"/>
        </w:numPr>
        <w:tabs>
          <w:tab w:pos="369" w:val="left" w:leader="none"/>
          <w:tab w:pos="4572" w:val="left" w:leader="none"/>
        </w:tabs>
        <w:spacing w:line="240" w:lineRule="auto" w:before="0" w:after="0"/>
        <w:ind w:left="368" w:right="0" w:hanging="180"/>
        <w:jc w:val="left"/>
        <w:rPr>
          <w:sz w:val="15"/>
        </w:rPr>
      </w:pPr>
      <w:r>
        <w:rPr>
          <w:sz w:val="15"/>
        </w:rPr>
        <w:t>Opacos:</w:t>
        <w:tab/>
        <w:t>$200.00</w:t>
      </w:r>
    </w:p>
    <w:p>
      <w:pPr>
        <w:pStyle w:val="BodyText"/>
        <w:spacing w:before="3"/>
        <w:rPr>
          <w:sz w:val="19"/>
        </w:rPr>
      </w:pPr>
    </w:p>
    <w:p>
      <w:pPr>
        <w:pStyle w:val="ListParagraph"/>
        <w:numPr>
          <w:ilvl w:val="0"/>
          <w:numId w:val="57"/>
        </w:numPr>
        <w:tabs>
          <w:tab w:pos="369" w:val="left" w:leader="none"/>
          <w:tab w:pos="4571" w:val="left" w:leader="none"/>
        </w:tabs>
        <w:spacing w:line="240" w:lineRule="auto" w:before="0" w:after="0"/>
        <w:ind w:left="368" w:right="0" w:hanging="180"/>
        <w:jc w:val="left"/>
        <w:rPr>
          <w:sz w:val="15"/>
        </w:rPr>
      </w:pPr>
      <w:r>
        <w:rPr>
          <w:sz w:val="15"/>
        </w:rPr>
        <w:t>Luminosos</w:t>
      </w:r>
      <w:r>
        <w:rPr>
          <w:spacing w:val="17"/>
          <w:sz w:val="15"/>
        </w:rPr>
        <w:t> </w:t>
      </w:r>
      <w:r>
        <w:rPr>
          <w:sz w:val="15"/>
        </w:rPr>
        <w:t>o</w:t>
      </w:r>
      <w:r>
        <w:rPr>
          <w:spacing w:val="17"/>
          <w:sz w:val="15"/>
        </w:rPr>
        <w:t> </w:t>
      </w:r>
      <w:r>
        <w:rPr>
          <w:sz w:val="15"/>
        </w:rPr>
        <w:t>iluminados:</w:t>
        <w:tab/>
        <w:t>$250.00</w:t>
      </w:r>
    </w:p>
    <w:p>
      <w:pPr>
        <w:pStyle w:val="BodyText"/>
        <w:spacing w:before="6"/>
        <w:rPr>
          <w:sz w:val="17"/>
        </w:rPr>
      </w:pPr>
    </w:p>
    <w:p>
      <w:pPr>
        <w:pStyle w:val="ListParagraph"/>
        <w:numPr>
          <w:ilvl w:val="0"/>
          <w:numId w:val="54"/>
        </w:numPr>
        <w:tabs>
          <w:tab w:pos="376" w:val="left" w:leader="none"/>
        </w:tabs>
        <w:spacing w:line="240" w:lineRule="auto" w:before="0" w:after="0"/>
        <w:ind w:left="375" w:right="0" w:hanging="207"/>
        <w:jc w:val="left"/>
        <w:rPr>
          <w:sz w:val="15"/>
        </w:rPr>
      </w:pPr>
      <w:r>
        <w:rPr>
          <w:sz w:val="15"/>
        </w:rPr>
        <w:t>Anuncios estructurales, por metro cuadrado o</w:t>
      </w:r>
      <w:r>
        <w:rPr>
          <w:spacing w:val="10"/>
          <w:sz w:val="15"/>
        </w:rPr>
        <w:t> </w:t>
      </w:r>
      <w:r>
        <w:rPr>
          <w:sz w:val="15"/>
        </w:rPr>
        <w:t>fracción:</w:t>
      </w:r>
    </w:p>
    <w:p>
      <w:pPr>
        <w:pStyle w:val="BodyText"/>
        <w:spacing w:before="5"/>
        <w:rPr>
          <w:sz w:val="17"/>
        </w:rPr>
      </w:pPr>
    </w:p>
    <w:p>
      <w:pPr>
        <w:pStyle w:val="ListParagraph"/>
        <w:numPr>
          <w:ilvl w:val="0"/>
          <w:numId w:val="58"/>
        </w:numPr>
        <w:tabs>
          <w:tab w:pos="369" w:val="left" w:leader="none"/>
          <w:tab w:pos="4568" w:val="left" w:leader="none"/>
        </w:tabs>
        <w:spacing w:line="240" w:lineRule="auto" w:before="0" w:after="0"/>
        <w:ind w:left="368" w:right="0" w:hanging="180"/>
        <w:jc w:val="left"/>
        <w:rPr>
          <w:sz w:val="15"/>
        </w:rPr>
      </w:pPr>
      <w:r>
        <w:rPr>
          <w:sz w:val="15"/>
        </w:rPr>
        <w:t>Cartelera</w:t>
      </w:r>
      <w:r>
        <w:rPr>
          <w:spacing w:val="10"/>
          <w:sz w:val="15"/>
        </w:rPr>
        <w:t> </w:t>
      </w:r>
      <w:r>
        <w:rPr>
          <w:sz w:val="15"/>
        </w:rPr>
        <w:t>de</w:t>
      </w:r>
      <w:r>
        <w:rPr>
          <w:spacing w:val="10"/>
          <w:sz w:val="15"/>
        </w:rPr>
        <w:t> </w:t>
      </w:r>
      <w:r>
        <w:rPr>
          <w:sz w:val="15"/>
        </w:rPr>
        <w:t>azotea,</w:t>
      </w:r>
      <w:r>
        <w:rPr>
          <w:spacing w:val="9"/>
          <w:sz w:val="15"/>
        </w:rPr>
        <w:t> </w:t>
      </w:r>
      <w:r>
        <w:rPr>
          <w:sz w:val="15"/>
        </w:rPr>
        <w:t>Cartelera</w:t>
      </w:r>
      <w:r>
        <w:rPr>
          <w:spacing w:val="10"/>
          <w:sz w:val="15"/>
        </w:rPr>
        <w:t> </w:t>
      </w:r>
      <w:r>
        <w:rPr>
          <w:sz w:val="15"/>
        </w:rPr>
        <w:t>de</w:t>
      </w:r>
      <w:r>
        <w:rPr>
          <w:spacing w:val="10"/>
          <w:sz w:val="15"/>
        </w:rPr>
        <w:t> </w:t>
      </w:r>
      <w:r>
        <w:rPr>
          <w:sz w:val="15"/>
        </w:rPr>
        <w:t>piso</w:t>
      </w:r>
      <w:r>
        <w:rPr>
          <w:spacing w:val="11"/>
          <w:sz w:val="15"/>
        </w:rPr>
        <w:t> </w:t>
      </w:r>
      <w:r>
        <w:rPr>
          <w:sz w:val="15"/>
        </w:rPr>
        <w:t>o</w:t>
      </w:r>
      <w:r>
        <w:rPr>
          <w:spacing w:val="10"/>
          <w:sz w:val="15"/>
        </w:rPr>
        <w:t> </w:t>
      </w:r>
      <w:r>
        <w:rPr>
          <w:sz w:val="15"/>
        </w:rPr>
        <w:t>tipo</w:t>
      </w:r>
      <w:r>
        <w:rPr>
          <w:spacing w:val="9"/>
          <w:sz w:val="15"/>
        </w:rPr>
        <w:t> </w:t>
      </w:r>
      <w:r>
        <w:rPr>
          <w:sz w:val="15"/>
        </w:rPr>
        <w:t>poste:</w:t>
        <w:tab/>
        <w:t>$309.00</w:t>
      </w:r>
    </w:p>
    <w:p>
      <w:pPr>
        <w:spacing w:after="0" w:line="240" w:lineRule="auto"/>
        <w:jc w:val="left"/>
        <w:rPr>
          <w:sz w:val="15"/>
        </w:rPr>
        <w:sectPr>
          <w:type w:val="continuous"/>
          <w:pgSz w:w="23250" w:h="15310" w:orient="landscape"/>
          <w:pgMar w:top="0" w:bottom="0" w:left="1880" w:right="1520"/>
          <w:cols w:num="2" w:equalWidth="0">
            <w:col w:w="5548" w:space="6453"/>
            <w:col w:w="7849"/>
          </w:cols>
        </w:sectPr>
      </w:pPr>
    </w:p>
    <w:p>
      <w:pPr>
        <w:pStyle w:val="BodyText"/>
        <w:spacing w:line="172" w:lineRule="exact"/>
        <w:ind w:left="170"/>
      </w:pPr>
      <w:r>
        <w:rPr/>
        <w:t>demás establecimientos similares, por cada uno:</w:t>
      </w:r>
    </w:p>
    <w:p>
      <w:pPr>
        <w:pStyle w:val="BodyText"/>
        <w:spacing w:before="8"/>
      </w:pPr>
    </w:p>
    <w:p>
      <w:pPr>
        <w:pStyle w:val="BodyText"/>
        <w:spacing w:line="247" w:lineRule="auto"/>
        <w:ind w:left="170" w:right="40" w:firstLine="377"/>
        <w:jc w:val="both"/>
      </w:pPr>
      <w:r>
        <w:rPr/>
        <w:t>Las sucursales o agencias de los giros que se señalan en este inciso, pagarán los derechos correspondientes al mismo.</w:t>
      </w:r>
    </w:p>
    <w:p>
      <w:pPr>
        <w:pStyle w:val="BodyText"/>
        <w:spacing w:before="8"/>
        <w:rPr>
          <w:sz w:val="18"/>
        </w:rPr>
      </w:pPr>
    </w:p>
    <w:p>
      <w:pPr>
        <w:pStyle w:val="BodyText"/>
        <w:spacing w:line="247" w:lineRule="auto"/>
        <w:ind w:left="170" w:right="38" w:firstLine="377"/>
        <w:jc w:val="both"/>
      </w:pPr>
      <w:r>
        <w:rPr/>
        <w:t>k) Producción, elaboración  o  </w:t>
      </w:r>
      <w:r>
        <w:rPr>
          <w:spacing w:val="-2"/>
        </w:rPr>
        <w:t>destilación, </w:t>
      </w:r>
      <w:r>
        <w:rPr/>
        <w:t>ampliación, mezcla o transformación de alcohol, tequila, mezcal, cerveza y de otras bebidas alcohólicas con tiendas</w:t>
      </w:r>
      <w:r>
        <w:rPr>
          <w:spacing w:val="29"/>
        </w:rPr>
        <w:t> </w:t>
      </w:r>
      <w:r>
        <w:rPr/>
        <w:t>abiertas</w:t>
      </w:r>
      <w:r>
        <w:rPr>
          <w:spacing w:val="30"/>
        </w:rPr>
        <w:t> </w:t>
      </w:r>
      <w:r>
        <w:rPr/>
        <w:t>al</w:t>
      </w:r>
      <w:r>
        <w:rPr>
          <w:spacing w:val="30"/>
        </w:rPr>
        <w:t> </w:t>
      </w:r>
      <w:r>
        <w:rPr/>
        <w:t>público</w:t>
      </w:r>
      <w:r>
        <w:rPr>
          <w:spacing w:val="29"/>
        </w:rPr>
        <w:t> </w:t>
      </w:r>
      <w:r>
        <w:rPr/>
        <w:t>tanto</w:t>
      </w:r>
      <w:r>
        <w:rPr>
          <w:spacing w:val="30"/>
        </w:rPr>
        <w:t> </w:t>
      </w:r>
      <w:r>
        <w:rPr/>
        <w:t>en</w:t>
      </w:r>
      <w:r>
        <w:rPr>
          <w:spacing w:val="30"/>
        </w:rPr>
        <w:t> </w:t>
      </w:r>
      <w:r>
        <w:rPr/>
        <w:t>su</w:t>
      </w:r>
      <w:r>
        <w:rPr>
          <w:spacing w:val="29"/>
        </w:rPr>
        <w:t> </w:t>
      </w:r>
      <w:r>
        <w:rPr/>
        <w:t>interior</w:t>
      </w:r>
      <w:r>
        <w:rPr>
          <w:spacing w:val="29"/>
        </w:rPr>
        <w:t> </w:t>
      </w:r>
      <w:r>
        <w:rPr/>
        <w:t>como</w:t>
      </w:r>
      <w:r>
        <w:rPr>
          <w:spacing w:val="29"/>
        </w:rPr>
        <w:t> </w:t>
      </w:r>
      <w:r>
        <w:rPr/>
        <w:t>en</w:t>
      </w:r>
    </w:p>
    <w:p>
      <w:pPr>
        <w:pStyle w:val="BodyText"/>
        <w:spacing w:line="171" w:lineRule="exact"/>
        <w:ind w:left="170"/>
      </w:pPr>
      <w:r>
        <w:rPr/>
        <w:br w:type="column"/>
      </w:r>
      <w:r>
        <w:rPr/>
        <w:t>$118.00</w:t>
      </w:r>
    </w:p>
    <w:p>
      <w:pPr>
        <w:pStyle w:val="ListParagraph"/>
        <w:numPr>
          <w:ilvl w:val="0"/>
          <w:numId w:val="58"/>
        </w:numPr>
        <w:tabs>
          <w:tab w:pos="350" w:val="left" w:leader="none"/>
        </w:tabs>
        <w:spacing w:line="240" w:lineRule="auto" w:before="100" w:after="0"/>
        <w:ind w:left="349" w:right="0" w:hanging="180"/>
        <w:jc w:val="both"/>
        <w:rPr>
          <w:sz w:val="15"/>
        </w:rPr>
      </w:pPr>
      <w:r>
        <w:rPr>
          <w:w w:val="102"/>
          <w:sz w:val="15"/>
        </w:rPr>
        <w:br w:type="column"/>
      </w:r>
      <w:r>
        <w:rPr>
          <w:sz w:val="15"/>
        </w:rPr>
        <w:t>Pantallas electrónicas:</w:t>
      </w:r>
    </w:p>
    <w:p>
      <w:pPr>
        <w:pStyle w:val="BodyText"/>
        <w:spacing w:before="8"/>
      </w:pPr>
    </w:p>
    <w:p>
      <w:pPr>
        <w:pStyle w:val="ListParagraph"/>
        <w:numPr>
          <w:ilvl w:val="0"/>
          <w:numId w:val="58"/>
        </w:numPr>
        <w:tabs>
          <w:tab w:pos="373" w:val="left" w:leader="none"/>
        </w:tabs>
        <w:spacing w:line="247" w:lineRule="auto" w:before="0" w:after="0"/>
        <w:ind w:left="170" w:right="38" w:firstLine="0"/>
        <w:jc w:val="both"/>
        <w:rPr>
          <w:sz w:val="15"/>
        </w:rPr>
      </w:pPr>
      <w:r>
        <w:rPr>
          <w:sz w:val="15"/>
        </w:rPr>
        <w:t>Cuando el titular de la licencia de algún anuncio haya construido la infraestructura mediante una obra pública por concesión con recursos propios, tenga a   su cargo el mantenimiento de la misma y la Secretaría General del Ayuntamiento verifique el cumplimiento de las condiciones de la</w:t>
      </w:r>
      <w:r>
        <w:rPr>
          <w:spacing w:val="8"/>
          <w:sz w:val="15"/>
        </w:rPr>
        <w:t> </w:t>
      </w:r>
      <w:r>
        <w:rPr>
          <w:sz w:val="15"/>
        </w:rPr>
        <w:t>concesión:</w:t>
      </w:r>
    </w:p>
    <w:p>
      <w:pPr>
        <w:pStyle w:val="BodyText"/>
        <w:spacing w:before="7"/>
        <w:rPr>
          <w:sz w:val="18"/>
        </w:rPr>
      </w:pPr>
    </w:p>
    <w:p>
      <w:pPr>
        <w:pStyle w:val="ListParagraph"/>
        <w:numPr>
          <w:ilvl w:val="0"/>
          <w:numId w:val="54"/>
        </w:numPr>
        <w:tabs>
          <w:tab w:pos="435" w:val="left" w:leader="none"/>
        </w:tabs>
        <w:spacing w:line="78" w:lineRule="exact" w:before="0" w:after="0"/>
        <w:ind w:left="434" w:right="0" w:hanging="265"/>
        <w:jc w:val="both"/>
        <w:rPr>
          <w:sz w:val="15"/>
        </w:rPr>
      </w:pPr>
      <w:r>
        <w:rPr>
          <w:sz w:val="15"/>
        </w:rPr>
        <w:t>Anuncios</w:t>
      </w:r>
      <w:r>
        <w:rPr>
          <w:spacing w:val="25"/>
          <w:sz w:val="15"/>
        </w:rPr>
        <w:t> </w:t>
      </w:r>
      <w:r>
        <w:rPr>
          <w:sz w:val="15"/>
        </w:rPr>
        <w:t>en</w:t>
      </w:r>
      <w:r>
        <w:rPr>
          <w:spacing w:val="25"/>
          <w:sz w:val="15"/>
        </w:rPr>
        <w:t> </w:t>
      </w:r>
      <w:r>
        <w:rPr>
          <w:sz w:val="15"/>
        </w:rPr>
        <w:t>casetas</w:t>
      </w:r>
      <w:r>
        <w:rPr>
          <w:spacing w:val="25"/>
          <w:sz w:val="15"/>
        </w:rPr>
        <w:t> </w:t>
      </w:r>
      <w:r>
        <w:rPr>
          <w:sz w:val="15"/>
        </w:rPr>
        <w:t>telefónicas</w:t>
      </w:r>
      <w:r>
        <w:rPr>
          <w:spacing w:val="25"/>
          <w:sz w:val="15"/>
        </w:rPr>
        <w:t> </w:t>
      </w:r>
      <w:r>
        <w:rPr>
          <w:sz w:val="15"/>
        </w:rPr>
        <w:t>propios</w:t>
      </w:r>
      <w:r>
        <w:rPr>
          <w:spacing w:val="26"/>
          <w:sz w:val="15"/>
        </w:rPr>
        <w:t> </w:t>
      </w:r>
      <w:r>
        <w:rPr>
          <w:sz w:val="15"/>
        </w:rPr>
        <w:t>de</w:t>
      </w:r>
      <w:r>
        <w:rPr>
          <w:spacing w:val="25"/>
          <w:sz w:val="15"/>
        </w:rPr>
        <w:t> </w:t>
      </w:r>
      <w:r>
        <w:rPr>
          <w:sz w:val="15"/>
        </w:rPr>
        <w:t>la</w:t>
      </w:r>
    </w:p>
    <w:p>
      <w:pPr>
        <w:pStyle w:val="BodyText"/>
        <w:spacing w:before="100"/>
        <w:ind w:left="170"/>
      </w:pPr>
      <w:r>
        <w:rPr/>
        <w:br w:type="column"/>
      </w:r>
      <w:r>
        <w:rPr/>
        <w:t>$326.00</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2"/>
        </w:rPr>
      </w:pPr>
    </w:p>
    <w:p>
      <w:pPr>
        <w:pStyle w:val="BodyText"/>
        <w:ind w:left="181"/>
      </w:pPr>
      <w:r>
        <w:rPr/>
        <w:t>$110.00</w:t>
      </w:r>
    </w:p>
    <w:p>
      <w:pPr>
        <w:spacing w:after="0"/>
        <w:sectPr>
          <w:type w:val="continuous"/>
          <w:pgSz w:w="23250" w:h="15310" w:orient="landscape"/>
          <w:pgMar w:top="0" w:bottom="0" w:left="1880" w:right="1520"/>
          <w:cols w:num="4" w:equalWidth="0">
            <w:col w:w="4127" w:space="664"/>
            <w:col w:w="755" w:space="6473"/>
            <w:col w:w="3933" w:space="450"/>
            <w:col w:w="3448"/>
          </w:cols>
        </w:sectPr>
      </w:pPr>
    </w:p>
    <w:p>
      <w:pPr>
        <w:pStyle w:val="BodyText"/>
        <w:spacing w:line="171" w:lineRule="exact"/>
        <w:ind w:left="170"/>
      </w:pPr>
      <w:r>
        <w:rPr/>
        <w:t>su exterior por cada uno, de:</w:t>
      </w:r>
    </w:p>
    <w:p>
      <w:pPr>
        <w:pStyle w:val="BodyText"/>
        <w:spacing w:before="2"/>
        <w:rPr>
          <w:sz w:val="19"/>
        </w:rPr>
      </w:pPr>
    </w:p>
    <w:p>
      <w:pPr>
        <w:pStyle w:val="BodyText"/>
        <w:tabs>
          <w:tab w:pos="4735" w:val="left" w:leader="none"/>
        </w:tabs>
        <w:ind w:left="547"/>
      </w:pPr>
      <w:r>
        <w:rPr/>
        <w:t>1.- De bajo</w:t>
      </w:r>
      <w:r>
        <w:rPr>
          <w:spacing w:val="26"/>
        </w:rPr>
        <w:t> </w:t>
      </w:r>
      <w:r>
        <w:rPr/>
        <w:t>volumen</w:t>
      </w:r>
      <w:r>
        <w:rPr>
          <w:spacing w:val="9"/>
        </w:rPr>
        <w:t> </w:t>
      </w:r>
      <w:r>
        <w:rPr/>
        <w:t>alcohólico:</w:t>
        <w:tab/>
        <w:t>$14,582.00</w:t>
      </w:r>
    </w:p>
    <w:p>
      <w:pPr>
        <w:pStyle w:val="BodyText"/>
        <w:tabs>
          <w:tab w:pos="4603" w:val="left" w:leader="none"/>
        </w:tabs>
        <w:spacing w:before="99"/>
        <w:ind w:left="170"/>
      </w:pPr>
      <w:r>
        <w:rPr/>
        <w:br w:type="column"/>
      </w:r>
      <w:r>
        <w:rPr/>
        <w:t>compañía telefónica, por</w:t>
      </w:r>
      <w:r>
        <w:rPr>
          <w:spacing w:val="27"/>
        </w:rPr>
        <w:t> </w:t>
      </w:r>
      <w:r>
        <w:rPr/>
        <w:t>cada</w:t>
      </w:r>
      <w:r>
        <w:rPr>
          <w:spacing w:val="10"/>
        </w:rPr>
        <w:t> </w:t>
      </w:r>
      <w:r>
        <w:rPr/>
        <w:t>cara:</w:t>
        <w:tab/>
        <w:t>$80.00</w:t>
      </w:r>
    </w:p>
    <w:p>
      <w:pPr>
        <w:pStyle w:val="BodyText"/>
        <w:spacing w:before="2"/>
        <w:rPr>
          <w:sz w:val="19"/>
        </w:rPr>
      </w:pPr>
    </w:p>
    <w:p>
      <w:pPr>
        <w:pStyle w:val="ListParagraph"/>
        <w:numPr>
          <w:ilvl w:val="0"/>
          <w:numId w:val="54"/>
        </w:numPr>
        <w:tabs>
          <w:tab w:pos="386" w:val="left" w:leader="none"/>
        </w:tabs>
        <w:spacing w:line="240" w:lineRule="auto" w:before="0" w:after="0"/>
        <w:ind w:left="385" w:right="0" w:hanging="216"/>
        <w:jc w:val="left"/>
        <w:rPr>
          <w:sz w:val="15"/>
        </w:rPr>
      </w:pPr>
      <w:r>
        <w:rPr>
          <w:sz w:val="15"/>
        </w:rPr>
        <w:t>Anuncios</w:t>
      </w:r>
      <w:r>
        <w:rPr>
          <w:spacing w:val="10"/>
          <w:sz w:val="15"/>
        </w:rPr>
        <w:t> </w:t>
      </w:r>
      <w:r>
        <w:rPr>
          <w:sz w:val="15"/>
        </w:rPr>
        <w:t>en</w:t>
      </w:r>
      <w:r>
        <w:rPr>
          <w:spacing w:val="10"/>
          <w:sz w:val="15"/>
        </w:rPr>
        <w:t> </w:t>
      </w:r>
      <w:r>
        <w:rPr>
          <w:sz w:val="15"/>
        </w:rPr>
        <w:t>casetas</w:t>
      </w:r>
      <w:r>
        <w:rPr>
          <w:spacing w:val="11"/>
          <w:sz w:val="15"/>
        </w:rPr>
        <w:t> </w:t>
      </w:r>
      <w:r>
        <w:rPr>
          <w:sz w:val="15"/>
        </w:rPr>
        <w:t>telefónicas</w:t>
      </w:r>
      <w:r>
        <w:rPr>
          <w:spacing w:val="10"/>
          <w:sz w:val="15"/>
        </w:rPr>
        <w:t> </w:t>
      </w:r>
      <w:r>
        <w:rPr>
          <w:sz w:val="15"/>
        </w:rPr>
        <w:t>diferentes</w:t>
      </w:r>
      <w:r>
        <w:rPr>
          <w:spacing w:val="10"/>
          <w:sz w:val="15"/>
        </w:rPr>
        <w:t> </w:t>
      </w:r>
      <w:r>
        <w:rPr>
          <w:sz w:val="15"/>
        </w:rPr>
        <w:t>a</w:t>
      </w:r>
      <w:r>
        <w:rPr>
          <w:spacing w:val="11"/>
          <w:sz w:val="15"/>
        </w:rPr>
        <w:t> </w:t>
      </w:r>
      <w:r>
        <w:rPr>
          <w:sz w:val="15"/>
        </w:rPr>
        <w:t>la</w:t>
      </w:r>
    </w:p>
    <w:p>
      <w:pPr>
        <w:spacing w:after="0" w:line="240" w:lineRule="auto"/>
        <w:jc w:val="left"/>
        <w:rPr>
          <w:sz w:val="15"/>
        </w:rPr>
        <w:sectPr>
          <w:type w:val="continuous"/>
          <w:pgSz w:w="23250" w:h="15310" w:orient="landscape"/>
          <w:pgMar w:top="0" w:bottom="0" w:left="1880" w:right="1520"/>
          <w:cols w:num="2" w:equalWidth="0">
            <w:col w:w="5546" w:space="6473"/>
            <w:col w:w="7831"/>
          </w:cols>
        </w:sectPr>
      </w:pPr>
    </w:p>
    <w:p>
      <w:pPr>
        <w:pStyle w:val="BodyText"/>
        <w:tabs>
          <w:tab w:pos="4736" w:val="left" w:leader="none"/>
        </w:tabs>
        <w:spacing w:before="120"/>
        <w:ind w:left="547"/>
      </w:pPr>
      <w:r>
        <w:rPr/>
        <w:t>2.- De alto</w:t>
      </w:r>
      <w:r>
        <w:rPr>
          <w:spacing w:val="26"/>
        </w:rPr>
        <w:t> </w:t>
      </w:r>
      <w:r>
        <w:rPr/>
        <w:t>volumen</w:t>
      </w:r>
      <w:r>
        <w:rPr>
          <w:spacing w:val="9"/>
        </w:rPr>
        <w:t> </w:t>
      </w:r>
      <w:r>
        <w:rPr/>
        <w:t>alcohólico:</w:t>
        <w:tab/>
        <w:t>$41,661.00</w:t>
      </w:r>
    </w:p>
    <w:p>
      <w:pPr>
        <w:pStyle w:val="BodyText"/>
        <w:spacing w:before="5"/>
        <w:rPr>
          <w:sz w:val="17"/>
        </w:rPr>
      </w:pPr>
    </w:p>
    <w:p>
      <w:pPr>
        <w:pStyle w:val="BodyText"/>
        <w:spacing w:line="247" w:lineRule="auto" w:before="1"/>
        <w:ind w:left="150" w:firstLine="397"/>
      </w:pPr>
      <w:r>
        <w:rPr/>
        <w:t>XII. Salones de eventos en donde se consuman bebidas alcohólicas de alta y baja graduación, de acuerdo a la siguiente tarifa:</w:t>
      </w:r>
    </w:p>
    <w:p>
      <w:pPr>
        <w:pStyle w:val="BodyText"/>
        <w:spacing w:line="247" w:lineRule="auto" w:before="5"/>
        <w:ind w:left="150" w:right="42"/>
      </w:pPr>
      <w:r>
        <w:rPr/>
        <w:br w:type="column"/>
      </w:r>
      <w:r>
        <w:rPr/>
        <w:t>concesionaria propietaria de la caseta por cada anuncio:</w:t>
      </w:r>
    </w:p>
    <w:p>
      <w:pPr>
        <w:pStyle w:val="BodyText"/>
        <w:spacing w:before="8"/>
        <w:rPr>
          <w:sz w:val="18"/>
        </w:rPr>
      </w:pPr>
    </w:p>
    <w:p>
      <w:pPr>
        <w:pStyle w:val="ListParagraph"/>
        <w:numPr>
          <w:ilvl w:val="0"/>
          <w:numId w:val="54"/>
        </w:numPr>
        <w:tabs>
          <w:tab w:pos="413" w:val="left" w:leader="none"/>
        </w:tabs>
        <w:spacing w:line="244" w:lineRule="auto" w:before="0" w:after="0"/>
        <w:ind w:left="150" w:right="38" w:firstLine="0"/>
        <w:jc w:val="both"/>
        <w:rPr>
          <w:sz w:val="15"/>
        </w:rPr>
      </w:pPr>
      <w:r>
        <w:rPr/>
        <w:pict>
          <v:shape style="position:absolute;margin-left:118.859261pt;margin-top:23.539524pt;width:253pt;height:47.95pt;mso-position-horizontal-relative:page;mso-position-vertical-relative:paragraph;z-index:2516961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4"/>
                    <w:gridCol w:w="1815"/>
                  </w:tblGrid>
                  <w:tr>
                    <w:trPr>
                      <w:trHeight w:val="282" w:hRule="atLeast"/>
                    </w:trPr>
                    <w:tc>
                      <w:tcPr>
                        <w:tcW w:w="3244" w:type="dxa"/>
                      </w:tcPr>
                      <w:p>
                        <w:pPr>
                          <w:pStyle w:val="TableParagraph"/>
                          <w:spacing w:line="171" w:lineRule="exact"/>
                          <w:ind w:left="50"/>
                          <w:rPr>
                            <w:sz w:val="15"/>
                          </w:rPr>
                        </w:pPr>
                        <w:r>
                          <w:rPr>
                            <w:sz w:val="15"/>
                          </w:rPr>
                          <w:t>a) Aforo de 1 a 250 personas:</w:t>
                        </w:r>
                      </w:p>
                    </w:tc>
                    <w:tc>
                      <w:tcPr>
                        <w:tcW w:w="1815" w:type="dxa"/>
                      </w:tcPr>
                      <w:p>
                        <w:pPr>
                          <w:pStyle w:val="TableParagraph"/>
                          <w:spacing w:line="171" w:lineRule="exact"/>
                          <w:ind w:right="47"/>
                          <w:jc w:val="right"/>
                          <w:rPr>
                            <w:sz w:val="15"/>
                          </w:rPr>
                        </w:pPr>
                        <w:r>
                          <w:rPr>
                            <w:sz w:val="15"/>
                          </w:rPr>
                          <w:t>$5,887.00</w:t>
                        </w:r>
                      </w:p>
                    </w:tc>
                  </w:tr>
                  <w:tr>
                    <w:trPr>
                      <w:trHeight w:val="393" w:hRule="atLeast"/>
                    </w:trPr>
                    <w:tc>
                      <w:tcPr>
                        <w:tcW w:w="3244" w:type="dxa"/>
                      </w:tcPr>
                      <w:p>
                        <w:pPr>
                          <w:pStyle w:val="TableParagraph"/>
                          <w:spacing w:before="109"/>
                          <w:ind w:left="50"/>
                          <w:rPr>
                            <w:sz w:val="15"/>
                          </w:rPr>
                        </w:pPr>
                        <w:r>
                          <w:rPr>
                            <w:sz w:val="15"/>
                          </w:rPr>
                          <w:t>b) Aforo de 251 a 500 personas:</w:t>
                        </w:r>
                      </w:p>
                    </w:tc>
                    <w:tc>
                      <w:tcPr>
                        <w:tcW w:w="1815" w:type="dxa"/>
                      </w:tcPr>
                      <w:p>
                        <w:pPr>
                          <w:pStyle w:val="TableParagraph"/>
                          <w:spacing w:before="109"/>
                          <w:ind w:right="48"/>
                          <w:jc w:val="right"/>
                          <w:rPr>
                            <w:sz w:val="15"/>
                          </w:rPr>
                        </w:pPr>
                        <w:r>
                          <w:rPr>
                            <w:sz w:val="15"/>
                          </w:rPr>
                          <w:t>$11,774.00</w:t>
                        </w:r>
                      </w:p>
                    </w:tc>
                  </w:tr>
                  <w:tr>
                    <w:trPr>
                      <w:trHeight w:val="282" w:hRule="atLeast"/>
                    </w:trPr>
                    <w:tc>
                      <w:tcPr>
                        <w:tcW w:w="3244" w:type="dxa"/>
                      </w:tcPr>
                      <w:p>
                        <w:pPr>
                          <w:pStyle w:val="TableParagraph"/>
                          <w:spacing w:line="153" w:lineRule="exact" w:before="109"/>
                          <w:ind w:left="50"/>
                          <w:rPr>
                            <w:sz w:val="15"/>
                          </w:rPr>
                        </w:pPr>
                        <w:r>
                          <w:rPr>
                            <w:sz w:val="15"/>
                          </w:rPr>
                          <w:t>c) Aforo de 501 en adelante:</w:t>
                        </w:r>
                      </w:p>
                    </w:tc>
                    <w:tc>
                      <w:tcPr>
                        <w:tcW w:w="1815" w:type="dxa"/>
                      </w:tcPr>
                      <w:p>
                        <w:pPr>
                          <w:pStyle w:val="TableParagraph"/>
                          <w:spacing w:line="153" w:lineRule="exact" w:before="109"/>
                          <w:ind w:right="47"/>
                          <w:jc w:val="right"/>
                          <w:rPr>
                            <w:sz w:val="15"/>
                          </w:rPr>
                        </w:pPr>
                        <w:r>
                          <w:rPr>
                            <w:sz w:val="15"/>
                          </w:rPr>
                          <w:t>$30,144.00</w:t>
                        </w:r>
                      </w:p>
                    </w:tc>
                  </w:tr>
                </w:tbl>
                <w:p>
                  <w:pPr>
                    <w:pStyle w:val="BodyText"/>
                  </w:pPr>
                </w:p>
              </w:txbxContent>
            </v:textbox>
            <w10:wrap type="none"/>
          </v:shape>
        </w:pict>
      </w:r>
      <w:r>
        <w:rPr>
          <w:sz w:val="15"/>
        </w:rPr>
        <w:t>Anuncios instalados en paraderos de transporte público por metro cuadrado o lo que resulte  del  cálculo</w:t>
      </w:r>
      <w:r>
        <w:rPr>
          <w:spacing w:val="21"/>
          <w:sz w:val="15"/>
        </w:rPr>
        <w:t> </w:t>
      </w:r>
      <w:r>
        <w:rPr>
          <w:sz w:val="15"/>
        </w:rPr>
        <w:t>proporcional</w:t>
      </w:r>
      <w:r>
        <w:rPr>
          <w:spacing w:val="23"/>
          <w:sz w:val="15"/>
        </w:rPr>
        <w:t> </w:t>
      </w:r>
      <w:r>
        <w:rPr>
          <w:sz w:val="15"/>
        </w:rPr>
        <w:t>por</w:t>
      </w:r>
      <w:r>
        <w:rPr>
          <w:spacing w:val="22"/>
          <w:sz w:val="15"/>
        </w:rPr>
        <w:t> </w:t>
      </w:r>
      <w:r>
        <w:rPr>
          <w:sz w:val="15"/>
        </w:rPr>
        <w:t>fracción</w:t>
      </w:r>
      <w:r>
        <w:rPr>
          <w:spacing w:val="22"/>
          <w:sz w:val="15"/>
        </w:rPr>
        <w:t> </w:t>
      </w:r>
      <w:r>
        <w:rPr>
          <w:sz w:val="15"/>
        </w:rPr>
        <w:t>del</w:t>
      </w:r>
      <w:r>
        <w:rPr>
          <w:spacing w:val="23"/>
          <w:sz w:val="15"/>
        </w:rPr>
        <w:t> </w:t>
      </w:r>
      <w:r>
        <w:rPr>
          <w:sz w:val="15"/>
        </w:rPr>
        <w:t>mismo,</w:t>
      </w:r>
      <w:r>
        <w:rPr>
          <w:spacing w:val="23"/>
          <w:sz w:val="15"/>
        </w:rPr>
        <w:t> </w:t>
      </w:r>
      <w:r>
        <w:rPr>
          <w:sz w:val="15"/>
        </w:rPr>
        <w:t>por</w:t>
      </w:r>
      <w:r>
        <w:rPr>
          <w:spacing w:val="23"/>
          <w:sz w:val="15"/>
        </w:rPr>
        <w:t> </w:t>
      </w:r>
      <w:r>
        <w:rPr>
          <w:sz w:val="15"/>
        </w:rPr>
        <w:t>cada</w:t>
      </w:r>
    </w:p>
    <w:p>
      <w:pPr>
        <w:pStyle w:val="BodyText"/>
        <w:spacing w:before="5"/>
        <w:ind w:left="150"/>
      </w:pPr>
      <w:r>
        <w:rPr/>
        <w:br w:type="column"/>
      </w:r>
      <w:r>
        <w:rPr/>
        <w:t>$82.00</w:t>
      </w:r>
    </w:p>
    <w:p>
      <w:pPr>
        <w:spacing w:after="0"/>
        <w:sectPr>
          <w:type w:val="continuous"/>
          <w:pgSz w:w="23250" w:h="15310" w:orient="landscape"/>
          <w:pgMar w:top="0" w:bottom="0" w:left="1880" w:right="1520"/>
          <w:cols w:num="3" w:equalWidth="0">
            <w:col w:w="7263" w:space="4776"/>
            <w:col w:w="3912" w:space="521"/>
            <w:col w:w="3378"/>
          </w:cols>
        </w:sectPr>
      </w:pPr>
    </w:p>
    <w:p>
      <w:pPr>
        <w:pStyle w:val="BodyText"/>
        <w:tabs>
          <w:tab w:pos="16537" w:val="left" w:leader="none"/>
        </w:tabs>
        <w:spacing w:before="3"/>
        <w:ind w:left="12189"/>
      </w:pPr>
      <w:r>
        <w:rPr/>
        <w:t>cara:</w:t>
        <w:tab/>
        <w:t>$508.00</w:t>
      </w:r>
    </w:p>
    <w:p>
      <w:pPr>
        <w:pStyle w:val="BodyText"/>
        <w:spacing w:before="3"/>
        <w:rPr>
          <w:sz w:val="19"/>
        </w:rPr>
      </w:pPr>
    </w:p>
    <w:p>
      <w:pPr>
        <w:pStyle w:val="ListParagraph"/>
        <w:numPr>
          <w:ilvl w:val="0"/>
          <w:numId w:val="54"/>
        </w:numPr>
        <w:tabs>
          <w:tab w:pos="12456" w:val="left" w:leader="none"/>
          <w:tab w:pos="16537" w:val="left" w:leader="none"/>
        </w:tabs>
        <w:spacing w:line="240" w:lineRule="auto" w:before="0" w:after="0"/>
        <w:ind w:left="12455" w:right="0" w:hanging="267"/>
        <w:jc w:val="left"/>
        <w:rPr>
          <w:sz w:val="15"/>
        </w:rPr>
      </w:pPr>
      <w:r>
        <w:rPr>
          <w:sz w:val="15"/>
        </w:rPr>
        <w:t>Anuncios en vehículos, por </w:t>
      </w:r>
      <w:r>
        <w:rPr>
          <w:spacing w:val="11"/>
          <w:sz w:val="15"/>
        </w:rPr>
        <w:t> </w:t>
      </w:r>
      <w:r>
        <w:rPr>
          <w:sz w:val="15"/>
        </w:rPr>
        <w:t>cada</w:t>
      </w:r>
      <w:r>
        <w:rPr>
          <w:spacing w:val="12"/>
          <w:sz w:val="15"/>
        </w:rPr>
        <w:t> </w:t>
      </w:r>
      <w:r>
        <w:rPr>
          <w:sz w:val="15"/>
        </w:rPr>
        <w:t>vehículo:</w:t>
        <w:tab/>
        <w:t>$309.00</w:t>
      </w:r>
    </w:p>
    <w:p>
      <w:pPr>
        <w:spacing w:after="0" w:line="240" w:lineRule="auto"/>
        <w:jc w:val="left"/>
        <w:rPr>
          <w:sz w:val="15"/>
        </w:rPr>
        <w:sectPr>
          <w:type w:val="continuous"/>
          <w:pgSz w:w="23250" w:h="15310" w:orient="landscape"/>
          <w:pgMar w:top="0" w:bottom="0" w:left="1880" w:right="1520"/>
        </w:sectPr>
      </w:pPr>
    </w:p>
    <w:p>
      <w:pPr>
        <w:pStyle w:val="BodyText"/>
        <w:rPr>
          <w:sz w:val="20"/>
        </w:rPr>
      </w:pPr>
    </w:p>
    <w:p>
      <w:pPr>
        <w:pStyle w:val="BodyText"/>
        <w:spacing w:before="7"/>
        <w:rPr>
          <w:sz w:val="29"/>
        </w:rPr>
      </w:pPr>
    </w:p>
    <w:p>
      <w:pPr>
        <w:spacing w:after="0"/>
        <w:rPr>
          <w:sz w:val="29"/>
        </w:rPr>
        <w:sectPr>
          <w:headerReference w:type="default" r:id="rId69"/>
          <w:pgSz w:w="23250" w:h="15310" w:orient="landscape"/>
          <w:pgMar w:header="881" w:footer="499" w:top="1920" w:bottom="680" w:left="1880" w:right="1520"/>
        </w:sectPr>
      </w:pPr>
    </w:p>
    <w:p>
      <w:pPr>
        <w:pStyle w:val="ListParagraph"/>
        <w:numPr>
          <w:ilvl w:val="0"/>
          <w:numId w:val="54"/>
        </w:numPr>
        <w:tabs>
          <w:tab w:pos="911" w:val="left" w:leader="none"/>
        </w:tabs>
        <w:spacing w:line="247" w:lineRule="auto" w:before="118" w:after="0"/>
        <w:ind w:left="567" w:right="1220" w:firstLine="0"/>
        <w:jc w:val="left"/>
        <w:rPr>
          <w:sz w:val="15"/>
        </w:rPr>
      </w:pPr>
      <w:r>
        <w:rPr>
          <w:sz w:val="15"/>
        </w:rPr>
        <w:t>Anuncios en puestos de venta de periódicos y revistas</w:t>
      </w:r>
      <w:r>
        <w:rPr>
          <w:spacing w:val="12"/>
          <w:sz w:val="15"/>
        </w:rPr>
        <w:t> </w:t>
      </w:r>
      <w:r>
        <w:rPr>
          <w:sz w:val="15"/>
        </w:rPr>
        <w:t>por</w:t>
      </w:r>
      <w:r>
        <w:rPr>
          <w:spacing w:val="12"/>
          <w:sz w:val="15"/>
        </w:rPr>
        <w:t> </w:t>
      </w:r>
      <w:r>
        <w:rPr>
          <w:sz w:val="15"/>
        </w:rPr>
        <w:t>metro</w:t>
      </w:r>
      <w:r>
        <w:rPr>
          <w:spacing w:val="26"/>
          <w:sz w:val="15"/>
        </w:rPr>
        <w:t> </w:t>
      </w:r>
      <w:r>
        <w:rPr>
          <w:sz w:val="15"/>
        </w:rPr>
        <w:t>cuadrado</w:t>
      </w:r>
      <w:r>
        <w:rPr>
          <w:spacing w:val="13"/>
          <w:sz w:val="15"/>
        </w:rPr>
        <w:t> </w:t>
      </w:r>
      <w:r>
        <w:rPr>
          <w:sz w:val="15"/>
        </w:rPr>
        <w:t>o</w:t>
      </w:r>
      <w:r>
        <w:rPr>
          <w:spacing w:val="12"/>
          <w:sz w:val="15"/>
        </w:rPr>
        <w:t> </w:t>
      </w:r>
      <w:r>
        <w:rPr>
          <w:sz w:val="15"/>
        </w:rPr>
        <w:t>lo</w:t>
      </w:r>
      <w:r>
        <w:rPr>
          <w:spacing w:val="12"/>
          <w:sz w:val="15"/>
        </w:rPr>
        <w:t> </w:t>
      </w:r>
      <w:r>
        <w:rPr>
          <w:sz w:val="15"/>
        </w:rPr>
        <w:t>que</w:t>
      </w:r>
      <w:r>
        <w:rPr>
          <w:spacing w:val="12"/>
          <w:sz w:val="15"/>
        </w:rPr>
        <w:t> </w:t>
      </w:r>
      <w:r>
        <w:rPr>
          <w:sz w:val="15"/>
        </w:rPr>
        <w:t>resulte</w:t>
      </w:r>
      <w:r>
        <w:rPr>
          <w:spacing w:val="12"/>
          <w:sz w:val="15"/>
        </w:rPr>
        <w:t> </w:t>
      </w:r>
      <w:r>
        <w:rPr>
          <w:sz w:val="15"/>
        </w:rPr>
        <w:t>del</w:t>
      </w:r>
    </w:p>
    <w:p>
      <w:pPr>
        <w:pStyle w:val="BodyText"/>
        <w:tabs>
          <w:tab w:pos="4998" w:val="left" w:leader="none"/>
        </w:tabs>
        <w:spacing w:line="172" w:lineRule="exact"/>
        <w:ind w:left="567"/>
      </w:pPr>
      <w:r>
        <w:rPr/>
        <w:t>cálculo proporcional por fracción</w:t>
      </w:r>
      <w:r>
        <w:rPr>
          <w:spacing w:val="40"/>
        </w:rPr>
        <w:t> </w:t>
      </w:r>
      <w:r>
        <w:rPr/>
        <w:t>del</w:t>
      </w:r>
      <w:r>
        <w:rPr>
          <w:spacing w:val="9"/>
        </w:rPr>
        <w:t> </w:t>
      </w:r>
      <w:r>
        <w:rPr/>
        <w:t>mismo:</w:t>
        <w:tab/>
        <w:t>$97.00</w:t>
      </w:r>
    </w:p>
    <w:p>
      <w:pPr>
        <w:pStyle w:val="BodyText"/>
        <w:spacing w:before="2"/>
        <w:rPr>
          <w:sz w:val="19"/>
        </w:rPr>
      </w:pPr>
    </w:p>
    <w:p>
      <w:pPr>
        <w:pStyle w:val="ListParagraph"/>
        <w:numPr>
          <w:ilvl w:val="0"/>
          <w:numId w:val="54"/>
        </w:numPr>
        <w:tabs>
          <w:tab w:pos="798" w:val="left" w:leader="none"/>
        </w:tabs>
        <w:spacing w:line="247" w:lineRule="auto" w:before="0" w:after="0"/>
        <w:ind w:left="567" w:right="1221" w:firstLine="0"/>
        <w:jc w:val="left"/>
        <w:rPr>
          <w:sz w:val="15"/>
        </w:rPr>
      </w:pPr>
      <w:r>
        <w:rPr>
          <w:sz w:val="15"/>
        </w:rPr>
        <w:t>Anuncios en baños públicos por metro cuadrado o lo</w:t>
      </w:r>
      <w:r>
        <w:rPr>
          <w:spacing w:val="15"/>
          <w:sz w:val="15"/>
        </w:rPr>
        <w:t> </w:t>
      </w:r>
      <w:r>
        <w:rPr>
          <w:sz w:val="15"/>
        </w:rPr>
        <w:t>que</w:t>
      </w:r>
      <w:r>
        <w:rPr>
          <w:spacing w:val="16"/>
          <w:sz w:val="15"/>
        </w:rPr>
        <w:t> </w:t>
      </w:r>
      <w:r>
        <w:rPr>
          <w:sz w:val="15"/>
        </w:rPr>
        <w:t>resulte</w:t>
      </w:r>
      <w:r>
        <w:rPr>
          <w:spacing w:val="15"/>
          <w:sz w:val="15"/>
        </w:rPr>
        <w:t> </w:t>
      </w:r>
      <w:r>
        <w:rPr>
          <w:sz w:val="15"/>
        </w:rPr>
        <w:t>del</w:t>
      </w:r>
      <w:r>
        <w:rPr>
          <w:spacing w:val="16"/>
          <w:sz w:val="15"/>
        </w:rPr>
        <w:t> </w:t>
      </w:r>
      <w:r>
        <w:rPr>
          <w:sz w:val="15"/>
        </w:rPr>
        <w:t>cálculo</w:t>
      </w:r>
      <w:r>
        <w:rPr>
          <w:spacing w:val="15"/>
          <w:sz w:val="15"/>
        </w:rPr>
        <w:t> </w:t>
      </w:r>
      <w:r>
        <w:rPr>
          <w:sz w:val="15"/>
        </w:rPr>
        <w:t>proporcional</w:t>
      </w:r>
      <w:r>
        <w:rPr>
          <w:spacing w:val="16"/>
          <w:sz w:val="15"/>
        </w:rPr>
        <w:t> </w:t>
      </w:r>
      <w:r>
        <w:rPr>
          <w:sz w:val="15"/>
        </w:rPr>
        <w:t>por</w:t>
      </w:r>
      <w:r>
        <w:rPr>
          <w:spacing w:val="15"/>
          <w:sz w:val="15"/>
        </w:rPr>
        <w:t> </w:t>
      </w:r>
      <w:r>
        <w:rPr>
          <w:sz w:val="15"/>
        </w:rPr>
        <w:t>fracción</w:t>
      </w:r>
      <w:r>
        <w:rPr>
          <w:spacing w:val="16"/>
          <w:sz w:val="15"/>
        </w:rPr>
        <w:t> </w:t>
      </w:r>
      <w:r>
        <w:rPr>
          <w:sz w:val="15"/>
        </w:rPr>
        <w:t>del</w:t>
      </w:r>
    </w:p>
    <w:p>
      <w:pPr>
        <w:pStyle w:val="BodyText"/>
        <w:tabs>
          <w:tab w:pos="4915" w:val="left" w:leader="none"/>
        </w:tabs>
        <w:spacing w:line="172" w:lineRule="exact"/>
        <w:ind w:left="567"/>
      </w:pPr>
      <w:r>
        <w:rPr/>
        <w:t>mismo:</w:t>
        <w:tab/>
        <w:t>$158.00</w:t>
      </w:r>
    </w:p>
    <w:p>
      <w:pPr>
        <w:pStyle w:val="BodyText"/>
        <w:spacing w:before="2"/>
        <w:rPr>
          <w:sz w:val="19"/>
        </w:rPr>
      </w:pPr>
    </w:p>
    <w:p>
      <w:pPr>
        <w:pStyle w:val="ListParagraph"/>
        <w:numPr>
          <w:ilvl w:val="0"/>
          <w:numId w:val="54"/>
        </w:numPr>
        <w:tabs>
          <w:tab w:pos="816" w:val="left" w:leader="none"/>
        </w:tabs>
        <w:spacing w:line="247" w:lineRule="auto" w:before="0" w:after="0"/>
        <w:ind w:left="567" w:right="1223" w:firstLine="0"/>
        <w:jc w:val="both"/>
        <w:rPr>
          <w:sz w:val="15"/>
        </w:rPr>
      </w:pPr>
      <w:r>
        <w:rPr>
          <w:sz w:val="15"/>
        </w:rPr>
        <w:t>Anuncio en estructura autorizada instalada </w:t>
      </w:r>
      <w:r>
        <w:rPr>
          <w:spacing w:val="-6"/>
          <w:sz w:val="15"/>
        </w:rPr>
        <w:t>en </w:t>
      </w:r>
      <w:r>
        <w:rPr>
          <w:sz w:val="15"/>
        </w:rPr>
        <w:t>banqueta o camellón, por metro cuadrado o lo que resulte</w:t>
      </w:r>
      <w:r>
        <w:rPr>
          <w:spacing w:val="10"/>
          <w:sz w:val="15"/>
        </w:rPr>
        <w:t> </w:t>
      </w:r>
      <w:r>
        <w:rPr>
          <w:sz w:val="15"/>
        </w:rPr>
        <w:t>del</w:t>
      </w:r>
      <w:r>
        <w:rPr>
          <w:spacing w:val="11"/>
          <w:sz w:val="15"/>
        </w:rPr>
        <w:t> </w:t>
      </w:r>
      <w:r>
        <w:rPr>
          <w:sz w:val="15"/>
        </w:rPr>
        <w:t>cálculo</w:t>
      </w:r>
      <w:r>
        <w:rPr>
          <w:spacing w:val="10"/>
          <w:sz w:val="15"/>
        </w:rPr>
        <w:t> </w:t>
      </w:r>
      <w:r>
        <w:rPr>
          <w:sz w:val="15"/>
        </w:rPr>
        <w:t>proporcional</w:t>
      </w:r>
      <w:r>
        <w:rPr>
          <w:spacing w:val="11"/>
          <w:sz w:val="15"/>
        </w:rPr>
        <w:t> </w:t>
      </w:r>
      <w:r>
        <w:rPr>
          <w:sz w:val="15"/>
        </w:rPr>
        <w:t>por</w:t>
      </w:r>
      <w:r>
        <w:rPr>
          <w:spacing w:val="11"/>
          <w:sz w:val="15"/>
        </w:rPr>
        <w:t> </w:t>
      </w:r>
      <w:r>
        <w:rPr>
          <w:sz w:val="15"/>
        </w:rPr>
        <w:t>fracción</w:t>
      </w:r>
      <w:r>
        <w:rPr>
          <w:spacing w:val="10"/>
          <w:sz w:val="15"/>
        </w:rPr>
        <w:t> </w:t>
      </w:r>
      <w:r>
        <w:rPr>
          <w:sz w:val="15"/>
        </w:rPr>
        <w:t>del</w:t>
      </w:r>
    </w:p>
    <w:p>
      <w:pPr>
        <w:pStyle w:val="BodyText"/>
        <w:tabs>
          <w:tab w:pos="4915" w:val="left" w:leader="none"/>
        </w:tabs>
        <w:spacing w:line="171" w:lineRule="exact"/>
        <w:ind w:left="567"/>
        <w:jc w:val="both"/>
      </w:pPr>
      <w:r>
        <w:rPr/>
        <w:t>mismo:</w:t>
        <w:tab/>
        <w:t>$103.00</w:t>
      </w:r>
    </w:p>
    <w:p>
      <w:pPr>
        <w:pStyle w:val="BodyText"/>
        <w:spacing w:before="2"/>
        <w:rPr>
          <w:sz w:val="19"/>
        </w:rPr>
      </w:pPr>
    </w:p>
    <w:p>
      <w:pPr>
        <w:pStyle w:val="ListParagraph"/>
        <w:numPr>
          <w:ilvl w:val="0"/>
          <w:numId w:val="54"/>
        </w:numPr>
        <w:tabs>
          <w:tab w:pos="821" w:val="left" w:leader="none"/>
        </w:tabs>
        <w:spacing w:line="170" w:lineRule="atLeast" w:before="0" w:after="0"/>
        <w:ind w:left="567" w:right="1220" w:firstLine="0"/>
        <w:jc w:val="both"/>
        <w:rPr>
          <w:sz w:val="15"/>
        </w:rPr>
      </w:pPr>
      <w:r>
        <w:rPr>
          <w:sz w:val="15"/>
        </w:rPr>
        <w:t>Anuncios instalados en pantallas electrónicas de cualquier tipo que permiten el despliegue de video, animaciones,</w:t>
      </w:r>
      <w:r>
        <w:rPr>
          <w:spacing w:val="18"/>
          <w:sz w:val="15"/>
        </w:rPr>
        <w:t> </w:t>
      </w:r>
      <w:r>
        <w:rPr>
          <w:sz w:val="15"/>
        </w:rPr>
        <w:t>gráficos</w:t>
      </w:r>
      <w:r>
        <w:rPr>
          <w:spacing w:val="17"/>
          <w:sz w:val="15"/>
        </w:rPr>
        <w:t> </w:t>
      </w:r>
      <w:r>
        <w:rPr>
          <w:sz w:val="15"/>
        </w:rPr>
        <w:t>o</w:t>
      </w:r>
      <w:r>
        <w:rPr>
          <w:spacing w:val="19"/>
          <w:sz w:val="15"/>
        </w:rPr>
        <w:t> </w:t>
      </w:r>
      <w:r>
        <w:rPr>
          <w:sz w:val="15"/>
        </w:rPr>
        <w:t>texto,</w:t>
      </w:r>
      <w:r>
        <w:rPr>
          <w:spacing w:val="19"/>
          <w:sz w:val="15"/>
        </w:rPr>
        <w:t> </w:t>
      </w:r>
      <w:r>
        <w:rPr>
          <w:sz w:val="15"/>
        </w:rPr>
        <w:t>además</w:t>
      </w:r>
      <w:r>
        <w:rPr>
          <w:spacing w:val="18"/>
          <w:sz w:val="15"/>
        </w:rPr>
        <w:t> </w:t>
      </w:r>
      <w:r>
        <w:rPr>
          <w:sz w:val="15"/>
        </w:rPr>
        <w:t>pueden</w:t>
      </w:r>
      <w:r>
        <w:rPr>
          <w:spacing w:val="19"/>
          <w:sz w:val="15"/>
        </w:rPr>
        <w:t> </w:t>
      </w:r>
      <w:r>
        <w:rPr>
          <w:sz w:val="15"/>
        </w:rPr>
        <w:t>ser</w:t>
      </w:r>
    </w:p>
    <w:p>
      <w:pPr>
        <w:pStyle w:val="BodyText"/>
        <w:spacing w:before="99"/>
        <w:ind w:left="567"/>
      </w:pPr>
      <w:r>
        <w:rPr/>
        <w:br w:type="column"/>
      </w:r>
      <w:r>
        <w:rPr/>
        <w:t>derechos conforme a lo siguiente:</w:t>
      </w:r>
    </w:p>
    <w:p>
      <w:pPr>
        <w:pStyle w:val="BodyText"/>
        <w:spacing w:before="9"/>
      </w:pPr>
    </w:p>
    <w:p>
      <w:pPr>
        <w:pStyle w:val="ListParagraph"/>
        <w:numPr>
          <w:ilvl w:val="1"/>
          <w:numId w:val="54"/>
        </w:numPr>
        <w:tabs>
          <w:tab w:pos="1193" w:val="left" w:leader="none"/>
        </w:tabs>
        <w:spacing w:line="244" w:lineRule="auto" w:before="0" w:after="0"/>
        <w:ind w:left="567" w:right="509" w:firstLine="495"/>
        <w:jc w:val="left"/>
        <w:rPr>
          <w:sz w:val="15"/>
        </w:rPr>
      </w:pPr>
      <w:r>
        <w:rPr>
          <w:sz w:val="15"/>
        </w:rPr>
        <w:t>Licencia y/o permiso para la construcción de inmuebles, por metro cuadrado, se pagará de acuerdo a  lo</w:t>
      </w:r>
      <w:r>
        <w:rPr>
          <w:spacing w:val="1"/>
          <w:sz w:val="15"/>
        </w:rPr>
        <w:t> </w:t>
      </w:r>
      <w:r>
        <w:rPr>
          <w:sz w:val="15"/>
        </w:rPr>
        <w:t>siguiente:</w:t>
      </w:r>
    </w:p>
    <w:p>
      <w:pPr>
        <w:pStyle w:val="BodyText"/>
        <w:spacing w:before="3"/>
      </w:pPr>
    </w:p>
    <w:p>
      <w:pPr>
        <w:pStyle w:val="ListParagraph"/>
        <w:numPr>
          <w:ilvl w:val="0"/>
          <w:numId w:val="59"/>
        </w:numPr>
        <w:tabs>
          <w:tab w:pos="787" w:val="left" w:leader="none"/>
          <w:tab w:pos="5397" w:val="left" w:leader="none"/>
        </w:tabs>
        <w:spacing w:line="240" w:lineRule="auto" w:before="0" w:after="0"/>
        <w:ind w:left="786" w:right="0" w:hanging="181"/>
        <w:jc w:val="left"/>
        <w:rPr>
          <w:sz w:val="15"/>
        </w:rPr>
      </w:pPr>
      <w:r>
        <w:rPr>
          <w:position w:val="2"/>
          <w:sz w:val="15"/>
        </w:rPr>
        <w:t>Inmueble  de</w:t>
      </w:r>
      <w:r>
        <w:rPr>
          <w:spacing w:val="-13"/>
          <w:position w:val="2"/>
          <w:sz w:val="15"/>
        </w:rPr>
        <w:t> </w:t>
      </w:r>
      <w:r>
        <w:rPr>
          <w:position w:val="2"/>
          <w:sz w:val="15"/>
        </w:rPr>
        <w:t>uso</w:t>
      </w:r>
      <w:r>
        <w:rPr>
          <w:spacing w:val="14"/>
          <w:position w:val="2"/>
          <w:sz w:val="15"/>
        </w:rPr>
        <w:t> </w:t>
      </w:r>
      <w:r>
        <w:rPr>
          <w:position w:val="2"/>
          <w:sz w:val="15"/>
        </w:rPr>
        <w:t>habitacional:</w:t>
        <w:tab/>
      </w:r>
      <w:r>
        <w:rPr>
          <w:sz w:val="15"/>
        </w:rPr>
        <w:t>$133.00</w:t>
      </w:r>
    </w:p>
    <w:p>
      <w:pPr>
        <w:pStyle w:val="BodyText"/>
        <w:spacing w:before="3"/>
        <w:rPr>
          <w:sz w:val="17"/>
        </w:rPr>
      </w:pPr>
    </w:p>
    <w:p>
      <w:pPr>
        <w:pStyle w:val="ListParagraph"/>
        <w:numPr>
          <w:ilvl w:val="0"/>
          <w:numId w:val="59"/>
        </w:numPr>
        <w:tabs>
          <w:tab w:pos="787" w:val="left" w:leader="none"/>
        </w:tabs>
        <w:spacing w:line="240" w:lineRule="auto" w:before="0" w:after="0"/>
        <w:ind w:left="786" w:right="0" w:hanging="181"/>
        <w:jc w:val="left"/>
        <w:rPr>
          <w:sz w:val="15"/>
        </w:rPr>
      </w:pPr>
      <w:r>
        <w:rPr>
          <w:sz w:val="15"/>
        </w:rPr>
        <w:t>Inmuebles de uso no</w:t>
      </w:r>
      <w:r>
        <w:rPr>
          <w:spacing w:val="4"/>
          <w:sz w:val="15"/>
        </w:rPr>
        <w:t> </w:t>
      </w:r>
      <w:r>
        <w:rPr>
          <w:sz w:val="15"/>
        </w:rPr>
        <w:t>habitacional:</w:t>
      </w:r>
    </w:p>
    <w:p>
      <w:pPr>
        <w:pStyle w:val="ListParagraph"/>
        <w:numPr>
          <w:ilvl w:val="0"/>
          <w:numId w:val="60"/>
        </w:numPr>
        <w:tabs>
          <w:tab w:pos="778" w:val="left" w:leader="none"/>
          <w:tab w:pos="5397" w:val="left" w:leader="none"/>
        </w:tabs>
        <w:spacing w:line="240" w:lineRule="auto" w:before="1" w:after="0"/>
        <w:ind w:left="777" w:right="0" w:hanging="172"/>
        <w:jc w:val="left"/>
        <w:rPr>
          <w:sz w:val="15"/>
        </w:rPr>
      </w:pPr>
      <w:r>
        <w:rPr>
          <w:position w:val="2"/>
          <w:sz w:val="15"/>
        </w:rPr>
        <w:t>Comercio</w:t>
      </w:r>
      <w:r>
        <w:rPr>
          <w:spacing w:val="17"/>
          <w:position w:val="2"/>
          <w:sz w:val="15"/>
        </w:rPr>
        <w:t> </w:t>
      </w:r>
      <w:r>
        <w:rPr>
          <w:position w:val="2"/>
          <w:sz w:val="15"/>
        </w:rPr>
        <w:t>y</w:t>
      </w:r>
      <w:r>
        <w:rPr>
          <w:spacing w:val="18"/>
          <w:position w:val="2"/>
          <w:sz w:val="15"/>
        </w:rPr>
        <w:t> </w:t>
      </w:r>
      <w:r>
        <w:rPr>
          <w:position w:val="2"/>
          <w:sz w:val="15"/>
        </w:rPr>
        <w:t>servicios:</w:t>
        <w:tab/>
      </w:r>
      <w:r>
        <w:rPr>
          <w:sz w:val="15"/>
        </w:rPr>
        <w:t>$150.00</w:t>
      </w:r>
    </w:p>
    <w:p>
      <w:pPr>
        <w:pStyle w:val="ListParagraph"/>
        <w:numPr>
          <w:ilvl w:val="0"/>
          <w:numId w:val="60"/>
        </w:numPr>
        <w:tabs>
          <w:tab w:pos="778" w:val="left" w:leader="none"/>
          <w:tab w:pos="5397" w:val="left" w:leader="none"/>
        </w:tabs>
        <w:spacing w:line="240" w:lineRule="auto" w:before="21" w:after="0"/>
        <w:ind w:left="777" w:right="0" w:hanging="172"/>
        <w:jc w:val="left"/>
        <w:rPr>
          <w:sz w:val="15"/>
        </w:rPr>
      </w:pPr>
      <w:r>
        <w:rPr>
          <w:sz w:val="15"/>
        </w:rPr>
        <w:t>Uso</w:t>
      </w:r>
      <w:r>
        <w:rPr>
          <w:spacing w:val="13"/>
          <w:sz w:val="15"/>
        </w:rPr>
        <w:t> </w:t>
      </w:r>
      <w:r>
        <w:rPr>
          <w:sz w:val="15"/>
        </w:rPr>
        <w:t>turístico:</w:t>
        <w:tab/>
      </w:r>
      <w:r>
        <w:rPr>
          <w:position w:val="-10"/>
          <w:sz w:val="15"/>
        </w:rPr>
        <w:t>$200.00</w:t>
      </w:r>
    </w:p>
    <w:p>
      <w:pPr>
        <w:pStyle w:val="ListParagraph"/>
        <w:numPr>
          <w:ilvl w:val="0"/>
          <w:numId w:val="60"/>
        </w:numPr>
        <w:tabs>
          <w:tab w:pos="778" w:val="left" w:leader="none"/>
          <w:tab w:pos="5397" w:val="left" w:leader="none"/>
        </w:tabs>
        <w:spacing w:line="240" w:lineRule="auto" w:before="102" w:after="0"/>
        <w:ind w:left="777" w:right="0" w:hanging="172"/>
        <w:jc w:val="left"/>
        <w:rPr>
          <w:sz w:val="15"/>
        </w:rPr>
      </w:pPr>
      <w:r>
        <w:rPr>
          <w:position w:val="2"/>
          <w:sz w:val="15"/>
        </w:rPr>
        <w:t>Industria:</w:t>
        <w:tab/>
      </w:r>
      <w:r>
        <w:rPr>
          <w:sz w:val="15"/>
        </w:rPr>
        <w:t>$100.00</w:t>
      </w:r>
    </w:p>
    <w:p>
      <w:pPr>
        <w:pStyle w:val="ListParagraph"/>
        <w:numPr>
          <w:ilvl w:val="0"/>
          <w:numId w:val="60"/>
        </w:numPr>
        <w:tabs>
          <w:tab w:pos="778" w:val="left" w:leader="none"/>
        </w:tabs>
        <w:spacing w:line="152" w:lineRule="exact" w:before="21" w:after="0"/>
        <w:ind w:left="777" w:right="0" w:hanging="172"/>
        <w:jc w:val="left"/>
        <w:rPr>
          <w:sz w:val="15"/>
        </w:rPr>
      </w:pPr>
      <w:r>
        <w:rPr>
          <w:sz w:val="15"/>
        </w:rPr>
        <w:t>Instalaciones</w:t>
      </w:r>
      <w:r>
        <w:rPr>
          <w:spacing w:val="1"/>
          <w:sz w:val="15"/>
        </w:rPr>
        <w:t> </w:t>
      </w:r>
      <w:r>
        <w:rPr>
          <w:sz w:val="15"/>
        </w:rPr>
        <w:t>agropecuarias:</w:t>
      </w:r>
    </w:p>
    <w:p>
      <w:pPr>
        <w:pStyle w:val="BodyText"/>
        <w:spacing w:line="152" w:lineRule="exact"/>
        <w:ind w:left="5483"/>
      </w:pPr>
      <w:r>
        <w:rPr/>
        <w:t>$40.00</w:t>
      </w:r>
    </w:p>
    <w:p>
      <w:pPr>
        <w:pStyle w:val="ListParagraph"/>
        <w:numPr>
          <w:ilvl w:val="0"/>
          <w:numId w:val="60"/>
        </w:numPr>
        <w:tabs>
          <w:tab w:pos="778" w:val="left" w:leader="none"/>
          <w:tab w:pos="5483" w:val="left" w:leader="none"/>
        </w:tabs>
        <w:spacing w:line="240" w:lineRule="auto" w:before="133" w:after="0"/>
        <w:ind w:left="777" w:right="0" w:hanging="172"/>
        <w:jc w:val="left"/>
        <w:rPr>
          <w:sz w:val="15"/>
        </w:rPr>
      </w:pPr>
      <w:r>
        <w:rPr>
          <w:position w:val="2"/>
          <w:sz w:val="15"/>
        </w:rPr>
        <w:t>Equipamiento:</w:t>
        <w:tab/>
      </w:r>
      <w:r>
        <w:rPr>
          <w:sz w:val="15"/>
        </w:rPr>
        <w:t>$20.00</w:t>
      </w:r>
    </w:p>
    <w:p>
      <w:pPr>
        <w:spacing w:after="0" w:line="240" w:lineRule="auto"/>
        <w:jc w:val="left"/>
        <w:rPr>
          <w:sz w:val="15"/>
        </w:rPr>
        <w:sectPr>
          <w:type w:val="continuous"/>
          <w:pgSz w:w="23250" w:h="15310" w:orient="landscape"/>
          <w:pgMar w:top="0" w:bottom="0" w:left="1880" w:right="1520"/>
          <w:cols w:num="2" w:equalWidth="0">
            <w:col w:w="5513" w:space="5692"/>
            <w:col w:w="8645"/>
          </w:cols>
        </w:sectPr>
      </w:pPr>
    </w:p>
    <w:p>
      <w:pPr>
        <w:pStyle w:val="BodyText"/>
        <w:spacing w:line="247" w:lineRule="auto" w:before="14"/>
        <w:ind w:left="567"/>
        <w:jc w:val="both"/>
      </w:pPr>
      <w:r>
        <w:rPr/>
        <w:t>adosados a fachada; por cada metro cuadrado  o  </w:t>
      </w:r>
      <w:r>
        <w:rPr>
          <w:spacing w:val="-7"/>
        </w:rPr>
        <w:t>lo </w:t>
      </w:r>
      <w:r>
        <w:rPr/>
        <w:t>que resulte del cálculo proporcional por cada fracción del mismo, por cada</w:t>
      </w:r>
      <w:r>
        <w:rPr>
          <w:spacing w:val="7"/>
        </w:rPr>
        <w:t> </w:t>
      </w:r>
      <w:r>
        <w:rPr/>
        <w:t>cara:</w:t>
      </w:r>
    </w:p>
    <w:p>
      <w:pPr>
        <w:pStyle w:val="BodyText"/>
        <w:spacing w:before="14"/>
        <w:ind w:left="458"/>
      </w:pPr>
      <w:r>
        <w:rPr/>
        <w:br w:type="column"/>
      </w:r>
      <w:r>
        <w:rPr/>
        <w:t>$1,800.00</w:t>
      </w:r>
    </w:p>
    <w:p>
      <w:pPr>
        <w:pStyle w:val="ListParagraph"/>
        <w:numPr>
          <w:ilvl w:val="0"/>
          <w:numId w:val="60"/>
        </w:numPr>
        <w:tabs>
          <w:tab w:pos="739" w:val="left" w:leader="none"/>
          <w:tab w:pos="5444" w:val="left" w:leader="none"/>
        </w:tabs>
        <w:spacing w:line="142" w:lineRule="exact" w:before="0" w:after="0"/>
        <w:ind w:left="738" w:right="0" w:hanging="172"/>
        <w:jc w:val="left"/>
        <w:rPr>
          <w:sz w:val="15"/>
        </w:rPr>
      </w:pPr>
      <w:r>
        <w:rPr>
          <w:w w:val="102"/>
          <w:position w:val="2"/>
          <w:sz w:val="15"/>
        </w:rPr>
        <w:br w:type="column"/>
      </w:r>
      <w:r>
        <w:rPr>
          <w:position w:val="2"/>
          <w:sz w:val="15"/>
        </w:rPr>
        <w:t>Espacios verdes  abiertos</w:t>
      </w:r>
      <w:r>
        <w:rPr>
          <w:spacing w:val="5"/>
          <w:position w:val="2"/>
          <w:sz w:val="15"/>
        </w:rPr>
        <w:t> </w:t>
      </w:r>
      <w:r>
        <w:rPr>
          <w:position w:val="2"/>
          <w:sz w:val="15"/>
        </w:rPr>
        <w:t>y</w:t>
      </w:r>
      <w:r>
        <w:rPr>
          <w:spacing w:val="16"/>
          <w:position w:val="2"/>
          <w:sz w:val="15"/>
        </w:rPr>
        <w:t> </w:t>
      </w:r>
      <w:r>
        <w:rPr>
          <w:position w:val="2"/>
          <w:sz w:val="15"/>
        </w:rPr>
        <w:t>recreativos:</w:t>
        <w:tab/>
      </w:r>
      <w:r>
        <w:rPr>
          <w:sz w:val="15"/>
        </w:rPr>
        <w:t>$20.00</w:t>
      </w:r>
    </w:p>
    <w:p>
      <w:pPr>
        <w:pStyle w:val="ListParagraph"/>
        <w:numPr>
          <w:ilvl w:val="0"/>
          <w:numId w:val="60"/>
        </w:numPr>
        <w:tabs>
          <w:tab w:pos="739" w:val="left" w:leader="none"/>
          <w:tab w:pos="5444" w:val="left" w:leader="none"/>
        </w:tabs>
        <w:spacing w:line="240" w:lineRule="auto" w:before="17" w:after="0"/>
        <w:ind w:left="738" w:right="0" w:hanging="172"/>
        <w:jc w:val="left"/>
        <w:rPr>
          <w:sz w:val="15"/>
        </w:rPr>
      </w:pPr>
      <w:r>
        <w:rPr>
          <w:position w:val="2"/>
          <w:sz w:val="15"/>
        </w:rPr>
        <w:t>Instalaciones  especiales</w:t>
      </w:r>
      <w:r>
        <w:rPr>
          <w:spacing w:val="-5"/>
          <w:position w:val="2"/>
          <w:sz w:val="15"/>
        </w:rPr>
        <w:t> </w:t>
      </w:r>
      <w:r>
        <w:rPr>
          <w:position w:val="2"/>
          <w:sz w:val="15"/>
        </w:rPr>
        <w:t>e</w:t>
      </w:r>
      <w:r>
        <w:rPr>
          <w:spacing w:val="18"/>
          <w:position w:val="2"/>
          <w:sz w:val="15"/>
        </w:rPr>
        <w:t> </w:t>
      </w:r>
      <w:r>
        <w:rPr>
          <w:position w:val="2"/>
          <w:sz w:val="15"/>
        </w:rPr>
        <w:t>infraestructura:</w:t>
        <w:tab/>
      </w:r>
      <w:r>
        <w:rPr>
          <w:sz w:val="15"/>
        </w:rPr>
        <w:t>$50.00</w:t>
      </w:r>
    </w:p>
    <w:p>
      <w:pPr>
        <w:spacing w:after="0" w:line="240" w:lineRule="auto"/>
        <w:jc w:val="left"/>
        <w:rPr>
          <w:sz w:val="15"/>
        </w:rPr>
        <w:sectPr>
          <w:type w:val="continuous"/>
          <w:pgSz w:w="23250" w:h="15310" w:orient="landscape"/>
          <w:pgMar w:top="0" w:bottom="0" w:left="1880" w:right="1520"/>
          <w:cols w:num="3" w:equalWidth="0">
            <w:col w:w="4289" w:space="40"/>
            <w:col w:w="1184" w:space="5731"/>
            <w:col w:w="8606"/>
          </w:cols>
        </w:sectPr>
      </w:pPr>
    </w:p>
    <w:p>
      <w:pPr>
        <w:pStyle w:val="BodyText"/>
        <w:spacing w:before="7"/>
        <w:rPr>
          <w:sz w:val="18"/>
        </w:rPr>
      </w:pPr>
    </w:p>
    <w:p>
      <w:pPr>
        <w:pStyle w:val="ListParagraph"/>
        <w:numPr>
          <w:ilvl w:val="0"/>
          <w:numId w:val="54"/>
        </w:numPr>
        <w:tabs>
          <w:tab w:pos="943" w:val="left" w:leader="none"/>
        </w:tabs>
        <w:spacing w:line="247" w:lineRule="auto" w:before="0" w:after="0"/>
        <w:ind w:left="567" w:right="38" w:firstLine="0"/>
        <w:jc w:val="both"/>
        <w:rPr>
          <w:sz w:val="15"/>
        </w:rPr>
      </w:pPr>
      <w:r>
        <w:rPr>
          <w:sz w:val="15"/>
        </w:rPr>
        <w:t>Para todos aquellos anuncios que no se encuentren considerados dentro de las fracciones anteriores,</w:t>
      </w:r>
      <w:r>
        <w:rPr>
          <w:spacing w:val="24"/>
          <w:sz w:val="15"/>
        </w:rPr>
        <w:t> </w:t>
      </w:r>
      <w:r>
        <w:rPr>
          <w:sz w:val="15"/>
        </w:rPr>
        <w:t>por</w:t>
      </w:r>
      <w:r>
        <w:rPr>
          <w:spacing w:val="26"/>
          <w:sz w:val="15"/>
        </w:rPr>
        <w:t> </w:t>
      </w:r>
      <w:r>
        <w:rPr>
          <w:sz w:val="15"/>
        </w:rPr>
        <w:t>cada</w:t>
      </w:r>
      <w:r>
        <w:rPr>
          <w:spacing w:val="26"/>
          <w:sz w:val="15"/>
        </w:rPr>
        <w:t> </w:t>
      </w:r>
      <w:r>
        <w:rPr>
          <w:sz w:val="15"/>
        </w:rPr>
        <w:t>metro</w:t>
      </w:r>
      <w:r>
        <w:rPr>
          <w:spacing w:val="26"/>
          <w:sz w:val="15"/>
        </w:rPr>
        <w:t> </w:t>
      </w:r>
      <w:r>
        <w:rPr>
          <w:sz w:val="15"/>
        </w:rPr>
        <w:t>cuadrado</w:t>
      </w:r>
      <w:r>
        <w:rPr>
          <w:spacing w:val="26"/>
          <w:sz w:val="15"/>
        </w:rPr>
        <w:t> </w:t>
      </w:r>
      <w:r>
        <w:rPr>
          <w:sz w:val="15"/>
        </w:rPr>
        <w:t>o</w:t>
      </w:r>
      <w:r>
        <w:rPr>
          <w:spacing w:val="26"/>
          <w:sz w:val="15"/>
        </w:rPr>
        <w:t> </w:t>
      </w:r>
      <w:r>
        <w:rPr>
          <w:sz w:val="15"/>
        </w:rPr>
        <w:t>lo</w:t>
      </w:r>
      <w:r>
        <w:rPr>
          <w:spacing w:val="26"/>
          <w:sz w:val="15"/>
        </w:rPr>
        <w:t> </w:t>
      </w:r>
      <w:r>
        <w:rPr>
          <w:sz w:val="15"/>
        </w:rPr>
        <w:t>que</w:t>
      </w:r>
      <w:r>
        <w:rPr>
          <w:spacing w:val="25"/>
          <w:sz w:val="15"/>
        </w:rPr>
        <w:t> </w:t>
      </w:r>
      <w:r>
        <w:rPr>
          <w:sz w:val="15"/>
        </w:rPr>
        <w:t>resulte</w:t>
      </w:r>
    </w:p>
    <w:p>
      <w:pPr>
        <w:pStyle w:val="ListParagraph"/>
        <w:numPr>
          <w:ilvl w:val="0"/>
          <w:numId w:val="61"/>
        </w:numPr>
        <w:tabs>
          <w:tab w:pos="792" w:val="left" w:leader="none"/>
        </w:tabs>
        <w:spacing w:line="247" w:lineRule="auto" w:before="35" w:after="0"/>
        <w:ind w:left="567" w:right="0" w:firstLine="0"/>
        <w:jc w:val="left"/>
        <w:rPr>
          <w:sz w:val="15"/>
        </w:rPr>
      </w:pPr>
      <w:r>
        <w:rPr>
          <w:w w:val="102"/>
          <w:sz w:val="15"/>
        </w:rPr>
        <w:br w:type="column"/>
      </w:r>
      <w:r>
        <w:rPr>
          <w:sz w:val="15"/>
        </w:rPr>
        <w:t>Licencia y/o permiso para construcción de albercas por  metro cúbico de</w:t>
      </w:r>
      <w:r>
        <w:rPr>
          <w:spacing w:val="5"/>
          <w:sz w:val="15"/>
        </w:rPr>
        <w:t> </w:t>
      </w:r>
      <w:r>
        <w:rPr>
          <w:sz w:val="15"/>
        </w:rPr>
        <w:t>capacidad:</w:t>
      </w:r>
    </w:p>
    <w:p>
      <w:pPr>
        <w:pStyle w:val="BodyText"/>
        <w:spacing w:before="2"/>
        <w:rPr>
          <w:sz w:val="18"/>
        </w:rPr>
      </w:pPr>
    </w:p>
    <w:p>
      <w:pPr>
        <w:pStyle w:val="ListParagraph"/>
        <w:numPr>
          <w:ilvl w:val="0"/>
          <w:numId w:val="61"/>
        </w:numPr>
        <w:tabs>
          <w:tab w:pos="803" w:val="left" w:leader="none"/>
        </w:tabs>
        <w:spacing w:line="148" w:lineRule="exact" w:before="0" w:after="0"/>
        <w:ind w:left="802" w:right="0" w:hanging="236"/>
        <w:jc w:val="left"/>
        <w:rPr>
          <w:sz w:val="15"/>
        </w:rPr>
      </w:pPr>
      <w:r>
        <w:rPr>
          <w:sz w:val="15"/>
        </w:rPr>
        <w:t>Construcción</w:t>
      </w:r>
      <w:r>
        <w:rPr>
          <w:spacing w:val="32"/>
          <w:sz w:val="15"/>
        </w:rPr>
        <w:t> </w:t>
      </w:r>
      <w:r>
        <w:rPr>
          <w:sz w:val="15"/>
        </w:rPr>
        <w:t>o</w:t>
      </w:r>
      <w:r>
        <w:rPr>
          <w:spacing w:val="32"/>
          <w:sz w:val="15"/>
        </w:rPr>
        <w:t> </w:t>
      </w:r>
      <w:r>
        <w:rPr>
          <w:sz w:val="15"/>
        </w:rPr>
        <w:t>instalación</w:t>
      </w:r>
      <w:r>
        <w:rPr>
          <w:spacing w:val="33"/>
          <w:sz w:val="15"/>
        </w:rPr>
        <w:t> </w:t>
      </w:r>
      <w:r>
        <w:rPr>
          <w:sz w:val="15"/>
        </w:rPr>
        <w:t>de</w:t>
      </w:r>
      <w:r>
        <w:rPr>
          <w:spacing w:val="32"/>
          <w:sz w:val="15"/>
        </w:rPr>
        <w:t> </w:t>
      </w:r>
      <w:r>
        <w:rPr>
          <w:sz w:val="15"/>
        </w:rPr>
        <w:t>canchas</w:t>
      </w:r>
      <w:r>
        <w:rPr>
          <w:spacing w:val="32"/>
          <w:sz w:val="15"/>
        </w:rPr>
        <w:t> </w:t>
      </w:r>
      <w:r>
        <w:rPr>
          <w:sz w:val="15"/>
        </w:rPr>
        <w:t>o</w:t>
      </w:r>
      <w:r>
        <w:rPr>
          <w:spacing w:val="32"/>
          <w:sz w:val="15"/>
        </w:rPr>
        <w:t> </w:t>
      </w:r>
      <w:r>
        <w:rPr>
          <w:sz w:val="15"/>
        </w:rPr>
        <w:t>áreas</w:t>
      </w:r>
      <w:r>
        <w:rPr>
          <w:spacing w:val="33"/>
          <w:sz w:val="15"/>
        </w:rPr>
        <w:t> </w:t>
      </w:r>
      <w:r>
        <w:rPr>
          <w:sz w:val="15"/>
        </w:rPr>
        <w:t>deportivas,</w:t>
      </w:r>
    </w:p>
    <w:p>
      <w:pPr>
        <w:pStyle w:val="BodyText"/>
        <w:spacing w:before="124"/>
        <w:ind w:left="400"/>
      </w:pPr>
      <w:r>
        <w:rPr/>
        <w:br w:type="column"/>
      </w:r>
      <w:r>
        <w:rPr/>
        <w:t>$147.00</w:t>
      </w:r>
    </w:p>
    <w:p>
      <w:pPr>
        <w:spacing w:after="0"/>
        <w:sectPr>
          <w:type w:val="continuous"/>
          <w:pgSz w:w="23250" w:h="15310" w:orient="landscape"/>
          <w:pgMar w:top="0" w:bottom="0" w:left="1880" w:right="1520"/>
          <w:cols w:num="3" w:equalWidth="0">
            <w:col w:w="4327" w:space="6916"/>
            <w:col w:w="4919" w:space="40"/>
            <w:col w:w="3648"/>
          </w:cols>
        </w:sectPr>
      </w:pPr>
    </w:p>
    <w:p>
      <w:pPr>
        <w:pStyle w:val="BodyText"/>
        <w:spacing w:line="172" w:lineRule="exact"/>
        <w:ind w:left="567"/>
      </w:pPr>
      <w:r>
        <w:rPr/>
        <w:t>del cálculo proporcional por fracción del mismo, sobre</w:t>
      </w:r>
    </w:p>
    <w:p>
      <w:pPr>
        <w:pStyle w:val="BodyText"/>
        <w:tabs>
          <w:tab w:pos="4707" w:val="left" w:leader="none"/>
        </w:tabs>
        <w:spacing w:before="4"/>
        <w:ind w:right="38"/>
        <w:jc w:val="right"/>
      </w:pPr>
      <w:r>
        <w:rPr/>
        <w:t>la superficie total que</w:t>
      </w:r>
      <w:r>
        <w:rPr>
          <w:spacing w:val="29"/>
        </w:rPr>
        <w:t> </w:t>
      </w:r>
      <w:r>
        <w:rPr/>
        <w:t>se</w:t>
      </w:r>
      <w:r>
        <w:rPr>
          <w:spacing w:val="7"/>
        </w:rPr>
        <w:t> </w:t>
      </w:r>
      <w:r>
        <w:rPr/>
        <w:t>publicite</w:t>
        <w:tab/>
        <w:t>De</w:t>
      </w:r>
    </w:p>
    <w:p>
      <w:pPr>
        <w:pStyle w:val="BodyText"/>
        <w:spacing w:before="4"/>
        <w:ind w:right="38"/>
        <w:jc w:val="right"/>
      </w:pPr>
      <w:r>
        <w:rPr/>
        <w:t>$200.00</w:t>
      </w:r>
      <w:r>
        <w:rPr>
          <w:spacing w:val="16"/>
        </w:rPr>
        <w:t> </w:t>
      </w:r>
      <w:r>
        <w:rPr/>
        <w:t>a</w:t>
      </w:r>
    </w:p>
    <w:p>
      <w:pPr>
        <w:pStyle w:val="BodyText"/>
        <w:tabs>
          <w:tab w:pos="5444" w:val="left" w:leader="none"/>
        </w:tabs>
        <w:spacing w:before="30"/>
        <w:ind w:left="567"/>
      </w:pPr>
      <w:r>
        <w:rPr/>
        <w:br w:type="column"/>
      </w:r>
      <w:r>
        <w:rPr/>
        <w:t>por</w:t>
      </w:r>
      <w:r>
        <w:rPr>
          <w:spacing w:val="8"/>
        </w:rPr>
        <w:t> </w:t>
      </w:r>
      <w:r>
        <w:rPr/>
        <w:t>metro</w:t>
      </w:r>
      <w:r>
        <w:rPr>
          <w:spacing w:val="9"/>
        </w:rPr>
        <w:t> </w:t>
      </w:r>
      <w:r>
        <w:rPr/>
        <w:t>cuadrado:</w:t>
        <w:tab/>
        <w:t>$15.00</w:t>
      </w:r>
    </w:p>
    <w:p>
      <w:pPr>
        <w:pStyle w:val="BodyText"/>
        <w:spacing w:before="8"/>
      </w:pPr>
    </w:p>
    <w:p>
      <w:pPr>
        <w:pStyle w:val="ListParagraph"/>
        <w:numPr>
          <w:ilvl w:val="0"/>
          <w:numId w:val="61"/>
        </w:numPr>
        <w:tabs>
          <w:tab w:pos="830" w:val="left" w:leader="none"/>
        </w:tabs>
        <w:spacing w:line="148" w:lineRule="exact" w:before="0" w:after="0"/>
        <w:ind w:left="829" w:right="0" w:hanging="263"/>
        <w:jc w:val="left"/>
        <w:rPr>
          <w:sz w:val="15"/>
        </w:rPr>
      </w:pPr>
      <w:r>
        <w:rPr>
          <w:sz w:val="15"/>
        </w:rPr>
        <w:t>Licencias</w:t>
      </w:r>
      <w:r>
        <w:rPr>
          <w:spacing w:val="32"/>
          <w:sz w:val="15"/>
        </w:rPr>
        <w:t> </w:t>
      </w:r>
      <w:r>
        <w:rPr>
          <w:sz w:val="15"/>
        </w:rPr>
        <w:t>y/o</w:t>
      </w:r>
      <w:r>
        <w:rPr>
          <w:spacing w:val="32"/>
          <w:sz w:val="15"/>
        </w:rPr>
        <w:t> </w:t>
      </w:r>
      <w:r>
        <w:rPr>
          <w:sz w:val="15"/>
        </w:rPr>
        <w:t>permiso</w:t>
      </w:r>
      <w:r>
        <w:rPr>
          <w:spacing w:val="32"/>
          <w:sz w:val="15"/>
        </w:rPr>
        <w:t> </w:t>
      </w:r>
      <w:r>
        <w:rPr>
          <w:sz w:val="15"/>
        </w:rPr>
        <w:t>para</w:t>
      </w:r>
      <w:r>
        <w:rPr>
          <w:spacing w:val="32"/>
          <w:sz w:val="15"/>
        </w:rPr>
        <w:t> </w:t>
      </w:r>
      <w:r>
        <w:rPr>
          <w:sz w:val="15"/>
        </w:rPr>
        <w:t>demolición</w:t>
      </w:r>
      <w:r>
        <w:rPr>
          <w:spacing w:val="32"/>
          <w:sz w:val="15"/>
        </w:rPr>
        <w:t> </w:t>
      </w:r>
      <w:r>
        <w:rPr>
          <w:sz w:val="15"/>
        </w:rPr>
        <w:t>de</w:t>
      </w:r>
      <w:r>
        <w:rPr>
          <w:spacing w:val="32"/>
          <w:sz w:val="15"/>
        </w:rPr>
        <w:t> </w:t>
      </w:r>
      <w:r>
        <w:rPr>
          <w:sz w:val="15"/>
        </w:rPr>
        <w:t>inmuebles,</w:t>
      </w:r>
      <w:r>
        <w:rPr>
          <w:spacing w:val="33"/>
          <w:sz w:val="15"/>
        </w:rPr>
        <w:t> </w:t>
      </w:r>
      <w:r>
        <w:rPr>
          <w:sz w:val="15"/>
        </w:rPr>
        <w:t>por</w:t>
      </w:r>
    </w:p>
    <w:p>
      <w:pPr>
        <w:spacing w:after="0" w:line="148" w:lineRule="exact"/>
        <w:jc w:val="left"/>
        <w:rPr>
          <w:sz w:val="15"/>
        </w:rPr>
        <w:sectPr>
          <w:type w:val="continuous"/>
          <w:pgSz w:w="23250" w:h="15310" w:orient="landscape"/>
          <w:pgMar w:top="0" w:bottom="0" w:left="1880" w:right="1520"/>
          <w:cols w:num="2" w:equalWidth="0">
            <w:col w:w="5513" w:space="5731"/>
            <w:col w:w="8606"/>
          </w:cols>
        </w:sectPr>
      </w:pPr>
    </w:p>
    <w:p>
      <w:pPr>
        <w:pStyle w:val="BodyText"/>
        <w:spacing w:line="171" w:lineRule="exact"/>
        <w:ind w:left="4786"/>
      </w:pPr>
      <w:r>
        <w:rPr/>
        <w:t>$3,646.00</w:t>
      </w:r>
    </w:p>
    <w:p>
      <w:pPr>
        <w:pStyle w:val="BodyText"/>
        <w:spacing w:before="5"/>
        <w:rPr>
          <w:sz w:val="17"/>
        </w:rPr>
      </w:pPr>
    </w:p>
    <w:p>
      <w:pPr>
        <w:pStyle w:val="BodyText"/>
        <w:spacing w:line="247" w:lineRule="auto" w:before="1"/>
        <w:ind w:left="150" w:right="38" w:firstLine="397"/>
        <w:jc w:val="both"/>
      </w:pPr>
      <w:r>
        <w:rPr/>
        <w:t>Los propietarios, arrendadoras, arrendatarios de los bienes muebles o  inmuebles,  agencias  de  publicidad y las personas físicas o jurídicas cuyos productos y servicios sean anunciados, son solidariamente responsables de los pagos de derechos a que se refiere el presente</w:t>
      </w:r>
      <w:r>
        <w:rPr>
          <w:spacing w:val="31"/>
        </w:rPr>
        <w:t> </w:t>
      </w:r>
      <w:r>
        <w:rPr/>
        <w:t>artículo.</w:t>
      </w:r>
    </w:p>
    <w:p>
      <w:pPr>
        <w:pStyle w:val="BodyText"/>
        <w:spacing w:before="2"/>
      </w:pPr>
    </w:p>
    <w:p>
      <w:pPr>
        <w:pStyle w:val="BodyText"/>
        <w:spacing w:line="247" w:lineRule="auto"/>
        <w:ind w:left="151" w:right="38" w:firstLine="397"/>
        <w:jc w:val="both"/>
      </w:pPr>
      <w:r>
        <w:rPr/>
        <w:t>Los sujetos de este derecho o responsables solidarios que no cumplan con los requisitos establecidos     en el Reglamento de Anuncios y sean instalados de forma irregular, además de cubrir los derechos correspondientes por el tiempo que lo hubieren ejercido, deberán cubrir la multa correspondiente,  y  los  anuncios serán retirados por el Municipio a costa del propietario u obligado</w:t>
      </w:r>
      <w:r>
        <w:rPr>
          <w:spacing w:val="36"/>
        </w:rPr>
        <w:t> </w:t>
      </w:r>
      <w:r>
        <w:rPr/>
        <w:t>solidario.</w:t>
      </w:r>
    </w:p>
    <w:p>
      <w:pPr>
        <w:pStyle w:val="BodyText"/>
        <w:spacing w:before="2"/>
      </w:pPr>
    </w:p>
    <w:p>
      <w:pPr>
        <w:pStyle w:val="BodyText"/>
        <w:spacing w:line="247" w:lineRule="auto"/>
        <w:ind w:left="151" w:right="40" w:firstLine="397"/>
        <w:jc w:val="both"/>
      </w:pPr>
      <w:r>
        <w:rPr/>
        <w:t>Los partidos políticos quedan exentos del pago de las licencias previstas en este  artículo,  en  los  términos</w:t>
      </w:r>
      <w:r>
        <w:rPr>
          <w:spacing w:val="5"/>
        </w:rPr>
        <w:t> </w:t>
      </w:r>
      <w:r>
        <w:rPr/>
        <w:t>de</w:t>
      </w:r>
      <w:r>
        <w:rPr>
          <w:spacing w:val="5"/>
        </w:rPr>
        <w:t> </w:t>
      </w:r>
      <w:r>
        <w:rPr/>
        <w:t>lo</w:t>
      </w:r>
      <w:r>
        <w:rPr>
          <w:spacing w:val="5"/>
        </w:rPr>
        <w:t> </w:t>
      </w:r>
      <w:r>
        <w:rPr/>
        <w:t>dispuesto</w:t>
      </w:r>
      <w:r>
        <w:rPr>
          <w:spacing w:val="4"/>
        </w:rPr>
        <w:t> </w:t>
      </w:r>
      <w:r>
        <w:rPr/>
        <w:t>en</w:t>
      </w:r>
      <w:r>
        <w:rPr>
          <w:spacing w:val="5"/>
        </w:rPr>
        <w:t> </w:t>
      </w:r>
      <w:r>
        <w:rPr/>
        <w:t>el</w:t>
      </w:r>
      <w:r>
        <w:rPr>
          <w:spacing w:val="6"/>
        </w:rPr>
        <w:t> </w:t>
      </w:r>
      <w:r>
        <w:rPr/>
        <w:t>Código</w:t>
      </w:r>
      <w:r>
        <w:rPr>
          <w:spacing w:val="5"/>
        </w:rPr>
        <w:t> </w:t>
      </w:r>
      <w:r>
        <w:rPr/>
        <w:t>Electoral</w:t>
      </w:r>
      <w:r>
        <w:rPr>
          <w:spacing w:val="5"/>
        </w:rPr>
        <w:t> </w:t>
      </w:r>
      <w:r>
        <w:rPr/>
        <w:t>y</w:t>
      </w:r>
      <w:r>
        <w:rPr>
          <w:spacing w:val="5"/>
        </w:rPr>
        <w:t> </w:t>
      </w:r>
      <w:r>
        <w:rPr/>
        <w:t>de</w:t>
      </w:r>
      <w:r>
        <w:rPr>
          <w:spacing w:val="6"/>
        </w:rPr>
        <w:t> </w:t>
      </w:r>
      <w:r>
        <w:rPr/>
        <w:t>Participación</w:t>
      </w:r>
      <w:r>
        <w:rPr>
          <w:spacing w:val="5"/>
        </w:rPr>
        <w:t> </w:t>
      </w:r>
      <w:r>
        <w:rPr/>
        <w:t>Ciudadana</w:t>
      </w:r>
      <w:r>
        <w:rPr>
          <w:spacing w:val="5"/>
        </w:rPr>
        <w:t> </w:t>
      </w:r>
      <w:r>
        <w:rPr/>
        <w:t>del</w:t>
      </w:r>
      <w:r>
        <w:rPr>
          <w:spacing w:val="5"/>
        </w:rPr>
        <w:t> </w:t>
      </w:r>
      <w:r>
        <w:rPr/>
        <w:t>Estado</w:t>
      </w:r>
      <w:r>
        <w:rPr>
          <w:spacing w:val="5"/>
        </w:rPr>
        <w:t> </w:t>
      </w:r>
      <w:r>
        <w:rPr/>
        <w:t>de</w:t>
      </w:r>
      <w:r>
        <w:rPr>
          <w:spacing w:val="6"/>
        </w:rPr>
        <w:t> </w:t>
      </w:r>
      <w:r>
        <w:rPr/>
        <w:t>Jalisco.</w:t>
      </w:r>
    </w:p>
    <w:p>
      <w:pPr>
        <w:pStyle w:val="BodyText"/>
        <w:spacing w:line="247" w:lineRule="auto" w:before="29"/>
        <w:ind w:left="150" w:right="39"/>
        <w:jc w:val="both"/>
      </w:pPr>
      <w:r>
        <w:rPr/>
        <w:br w:type="column"/>
      </w:r>
      <w:r>
        <w:rPr/>
        <w:t>metro cuadrado, se pagará el 20% sobre el importe de los derechos que se determinen de acuerdo con la fracción I de  este</w:t>
      </w:r>
      <w:r>
        <w:rPr>
          <w:spacing w:val="1"/>
        </w:rPr>
        <w:t> </w:t>
      </w:r>
      <w:r>
        <w:rPr/>
        <w:t>artículo:</w:t>
      </w:r>
    </w:p>
    <w:p>
      <w:pPr>
        <w:pStyle w:val="BodyText"/>
        <w:rPr>
          <w:sz w:val="16"/>
        </w:rPr>
      </w:pPr>
    </w:p>
    <w:p>
      <w:pPr>
        <w:pStyle w:val="BodyText"/>
        <w:spacing w:before="8"/>
        <w:rPr>
          <w:sz w:val="12"/>
        </w:rPr>
      </w:pPr>
    </w:p>
    <w:p>
      <w:pPr>
        <w:pStyle w:val="ListParagraph"/>
        <w:numPr>
          <w:ilvl w:val="0"/>
          <w:numId w:val="61"/>
        </w:numPr>
        <w:tabs>
          <w:tab w:pos="344" w:val="left" w:leader="none"/>
        </w:tabs>
        <w:spacing w:line="247" w:lineRule="auto" w:before="0" w:after="0"/>
        <w:ind w:left="150" w:right="38" w:firstLine="0"/>
        <w:jc w:val="both"/>
        <w:rPr>
          <w:sz w:val="15"/>
        </w:rPr>
      </w:pPr>
      <w:r>
        <w:rPr>
          <w:sz w:val="15"/>
        </w:rPr>
        <w:t>Licencia y/o permiso para movimiento de tierras, consistente en la modificación de la topografía original del terreno, para tal efecto se pagará una tarifa por metro cúbico,</w:t>
      </w:r>
      <w:r>
        <w:rPr>
          <w:spacing w:val="25"/>
          <w:sz w:val="15"/>
        </w:rPr>
        <w:t> </w:t>
      </w:r>
      <w:r>
        <w:rPr>
          <w:sz w:val="15"/>
        </w:rPr>
        <w:t>de:</w:t>
      </w:r>
    </w:p>
    <w:p>
      <w:pPr>
        <w:pStyle w:val="BodyText"/>
        <w:rPr>
          <w:sz w:val="16"/>
        </w:rPr>
      </w:pPr>
    </w:p>
    <w:p>
      <w:pPr>
        <w:pStyle w:val="BodyText"/>
        <w:spacing w:before="5"/>
        <w:rPr>
          <w:sz w:val="18"/>
        </w:rPr>
      </w:pPr>
    </w:p>
    <w:p>
      <w:pPr>
        <w:pStyle w:val="ListParagraph"/>
        <w:numPr>
          <w:ilvl w:val="0"/>
          <w:numId w:val="61"/>
        </w:numPr>
        <w:tabs>
          <w:tab w:pos="442" w:val="left" w:leader="none"/>
        </w:tabs>
        <w:spacing w:line="244" w:lineRule="auto" w:before="0" w:after="0"/>
        <w:ind w:left="150" w:right="38" w:firstLine="0"/>
        <w:jc w:val="both"/>
        <w:rPr>
          <w:sz w:val="15"/>
        </w:rPr>
      </w:pPr>
      <w:r>
        <w:rPr>
          <w:sz w:val="15"/>
        </w:rPr>
        <w:t>Licencia y/o permiso para demolición o edificación de  bardas por metro</w:t>
      </w:r>
      <w:r>
        <w:rPr>
          <w:spacing w:val="3"/>
          <w:sz w:val="15"/>
        </w:rPr>
        <w:t> </w:t>
      </w:r>
      <w:r>
        <w:rPr>
          <w:sz w:val="15"/>
        </w:rPr>
        <w:t>lineal:</w:t>
      </w:r>
    </w:p>
    <w:p>
      <w:pPr>
        <w:spacing w:before="118"/>
        <w:ind w:left="0" w:right="2682" w:firstLine="0"/>
        <w:jc w:val="right"/>
        <w:rPr>
          <w:sz w:val="15"/>
        </w:rPr>
      </w:pPr>
      <w:r>
        <w:rPr/>
        <w:br w:type="column"/>
      </w:r>
      <w:r>
        <w:rPr>
          <w:sz w:val="15"/>
        </w:rPr>
        <w:t>20%</w:t>
      </w:r>
    </w:p>
    <w:p>
      <w:pPr>
        <w:pStyle w:val="BodyText"/>
        <w:rPr>
          <w:sz w:val="16"/>
        </w:rPr>
      </w:pPr>
    </w:p>
    <w:p>
      <w:pPr>
        <w:pStyle w:val="BodyText"/>
        <w:rPr>
          <w:sz w:val="16"/>
        </w:rPr>
      </w:pPr>
    </w:p>
    <w:p>
      <w:pPr>
        <w:pStyle w:val="BodyText"/>
        <w:rPr>
          <w:sz w:val="16"/>
        </w:rPr>
      </w:pPr>
    </w:p>
    <w:p>
      <w:pPr>
        <w:pStyle w:val="BodyText"/>
        <w:spacing w:before="8"/>
        <w:rPr>
          <w:sz w:val="19"/>
        </w:rPr>
      </w:pPr>
    </w:p>
    <w:p>
      <w:pPr>
        <w:pStyle w:val="BodyText"/>
        <w:ind w:right="2682"/>
        <w:jc w:val="right"/>
      </w:pPr>
      <w:r>
        <w:rPr/>
        <w:t>$22.00</w:t>
      </w:r>
    </w:p>
    <w:p>
      <w:pPr>
        <w:pStyle w:val="BodyText"/>
        <w:rPr>
          <w:sz w:val="16"/>
        </w:rPr>
      </w:pPr>
    </w:p>
    <w:p>
      <w:pPr>
        <w:pStyle w:val="BodyText"/>
        <w:rPr>
          <w:sz w:val="16"/>
        </w:rPr>
      </w:pPr>
    </w:p>
    <w:p>
      <w:pPr>
        <w:pStyle w:val="BodyText"/>
        <w:rPr>
          <w:sz w:val="16"/>
        </w:rPr>
      </w:pPr>
    </w:p>
    <w:p>
      <w:pPr>
        <w:pStyle w:val="BodyText"/>
        <w:spacing w:before="116"/>
        <w:ind w:right="2682"/>
        <w:jc w:val="right"/>
      </w:pPr>
      <w:r>
        <w:rPr/>
        <w:t>$25.00</w:t>
      </w:r>
    </w:p>
    <w:p>
      <w:pPr>
        <w:spacing w:after="0"/>
        <w:jc w:val="right"/>
        <w:sectPr>
          <w:type w:val="continuous"/>
          <w:pgSz w:w="23250" w:h="15310" w:orient="landscape"/>
          <w:pgMar w:top="0" w:bottom="0" w:left="1880" w:right="1520"/>
          <w:cols w:num="3" w:equalWidth="0">
            <w:col w:w="7751" w:space="3910"/>
            <w:col w:w="4545" w:space="332"/>
            <w:col w:w="3312"/>
          </w:cols>
        </w:sectPr>
      </w:pPr>
    </w:p>
    <w:p>
      <w:pPr>
        <w:pStyle w:val="BodyText"/>
        <w:rPr>
          <w:sz w:val="21"/>
        </w:rPr>
      </w:pPr>
    </w:p>
    <w:p>
      <w:pPr>
        <w:spacing w:after="0"/>
        <w:rPr>
          <w:sz w:val="21"/>
        </w:rPr>
        <w:sectPr>
          <w:type w:val="continuous"/>
          <w:pgSz w:w="23250" w:h="15310" w:orient="landscape"/>
          <w:pgMar w:top="0" w:bottom="0" w:left="1880" w:right="1520"/>
        </w:sectPr>
      </w:pPr>
    </w:p>
    <w:p>
      <w:pPr>
        <w:pStyle w:val="BodyText"/>
        <w:spacing w:line="247" w:lineRule="auto" w:before="132"/>
        <w:ind w:left="170" w:right="38" w:firstLine="377"/>
        <w:jc w:val="both"/>
      </w:pPr>
      <w:r>
        <w:rPr>
          <w:b/>
        </w:rPr>
        <w:t>Artículo 79.- </w:t>
      </w:r>
      <w:r>
        <w:rPr/>
        <w:t>Para licencias de agencias publicitarias   o lugares donde se anuncian magnavoces, se rentan camionetas para publicidad</w:t>
      </w:r>
      <w:r>
        <w:rPr>
          <w:spacing w:val="5"/>
        </w:rPr>
        <w:t> </w:t>
      </w:r>
      <w:r>
        <w:rPr/>
        <w:t>de:</w:t>
      </w:r>
    </w:p>
    <w:p>
      <w:pPr>
        <w:pStyle w:val="BodyText"/>
        <w:rPr>
          <w:sz w:val="16"/>
        </w:rPr>
      </w:pPr>
      <w:r>
        <w:rPr/>
        <w:br w:type="column"/>
      </w:r>
      <w:r>
        <w:rPr>
          <w:sz w:val="16"/>
        </w:rPr>
      </w:r>
    </w:p>
    <w:p>
      <w:pPr>
        <w:pStyle w:val="BodyText"/>
        <w:spacing w:before="125"/>
        <w:ind w:right="38"/>
        <w:jc w:val="right"/>
      </w:pPr>
      <w:r>
        <w:rPr/>
        <w:t>$1,227.00</w:t>
      </w:r>
      <w:r>
        <w:rPr>
          <w:spacing w:val="18"/>
        </w:rPr>
        <w:t> </w:t>
      </w:r>
      <w:r>
        <w:rPr/>
        <w:t>a</w:t>
      </w:r>
    </w:p>
    <w:p>
      <w:pPr>
        <w:pStyle w:val="BodyText"/>
        <w:spacing w:before="5"/>
        <w:ind w:right="38"/>
        <w:jc w:val="right"/>
      </w:pPr>
      <w:r>
        <w:rPr/>
        <w:t>$1,839.00</w:t>
      </w:r>
    </w:p>
    <w:p>
      <w:pPr>
        <w:pStyle w:val="ListParagraph"/>
        <w:numPr>
          <w:ilvl w:val="0"/>
          <w:numId w:val="61"/>
        </w:numPr>
        <w:tabs>
          <w:tab w:pos="453" w:val="left" w:leader="none"/>
        </w:tabs>
        <w:spacing w:line="244" w:lineRule="auto" w:before="99" w:after="0"/>
        <w:ind w:left="170" w:right="38" w:firstLine="0"/>
        <w:jc w:val="left"/>
        <w:rPr>
          <w:sz w:val="15"/>
        </w:rPr>
      </w:pPr>
      <w:r>
        <w:rPr>
          <w:w w:val="102"/>
          <w:sz w:val="15"/>
        </w:rPr>
        <w:br w:type="column"/>
      </w:r>
      <w:r>
        <w:rPr>
          <w:sz w:val="15"/>
        </w:rPr>
        <w:t>Licencia y/o permiso para edificación de bardas en predios rústicos o agrícolas por metro</w:t>
      </w:r>
      <w:r>
        <w:rPr>
          <w:spacing w:val="8"/>
          <w:sz w:val="15"/>
        </w:rPr>
        <w:t> </w:t>
      </w:r>
      <w:r>
        <w:rPr>
          <w:sz w:val="15"/>
        </w:rPr>
        <w:t>lineal:</w:t>
      </w:r>
    </w:p>
    <w:p>
      <w:pPr>
        <w:pStyle w:val="BodyText"/>
        <w:spacing w:before="3"/>
        <w:rPr>
          <w:sz w:val="16"/>
        </w:rPr>
      </w:pPr>
      <w:r>
        <w:rPr/>
        <w:br w:type="column"/>
      </w:r>
      <w:r>
        <w:rPr>
          <w:sz w:val="16"/>
        </w:rPr>
      </w:r>
    </w:p>
    <w:p>
      <w:pPr>
        <w:pStyle w:val="BodyText"/>
        <w:ind w:left="170"/>
      </w:pPr>
      <w:r>
        <w:rPr/>
        <w:t>$13.00</w:t>
      </w:r>
    </w:p>
    <w:p>
      <w:pPr>
        <w:spacing w:after="0"/>
        <w:sectPr>
          <w:type w:val="continuous"/>
          <w:pgSz w:w="23250" w:h="15310" w:orient="landscape"/>
          <w:pgMar w:top="0" w:bottom="0" w:left="1880" w:right="1520"/>
          <w:cols w:num="4" w:equalWidth="0">
            <w:col w:w="4297" w:space="193"/>
            <w:col w:w="1023" w:space="6128"/>
            <w:col w:w="4563" w:space="314"/>
            <w:col w:w="3332"/>
          </w:cols>
        </w:sectPr>
      </w:pPr>
    </w:p>
    <w:p>
      <w:pPr>
        <w:pStyle w:val="BodyText"/>
        <w:spacing w:before="11"/>
        <w:rPr>
          <w:sz w:val="16"/>
        </w:rPr>
      </w:pPr>
    </w:p>
    <w:p>
      <w:pPr>
        <w:pStyle w:val="BodyText"/>
        <w:spacing w:line="247" w:lineRule="auto"/>
        <w:ind w:left="150" w:right="38" w:firstLine="397"/>
        <w:jc w:val="both"/>
      </w:pPr>
      <w:r>
        <w:rPr>
          <w:b/>
        </w:rPr>
        <w:t>Artículo 80.- </w:t>
      </w:r>
      <w:r>
        <w:rPr/>
        <w:t>A quienes con motivo de la explotación de su giro comercial deban poseer algún animal de manera permanente, en su caso, se condicionará el otorgamiento y refrendo de la licencia municipal a la ejecución de un programa de bienestar animal previo convenio con la UNASAM conforme a lo establecido en     la Ley de Protección y Cuidado de los Animales del Estado de</w:t>
      </w:r>
      <w:r>
        <w:rPr>
          <w:spacing w:val="17"/>
        </w:rPr>
        <w:t> </w:t>
      </w:r>
      <w:r>
        <w:rPr/>
        <w:t>Jalisco.</w:t>
      </w:r>
    </w:p>
    <w:p>
      <w:pPr>
        <w:pStyle w:val="BodyText"/>
        <w:spacing w:before="3"/>
      </w:pPr>
    </w:p>
    <w:p>
      <w:pPr>
        <w:pStyle w:val="Heading4"/>
        <w:ind w:left="299" w:right="183"/>
      </w:pPr>
      <w:r>
        <w:rPr/>
        <w:t>SECCIÓN TERCERA</w:t>
      </w:r>
    </w:p>
    <w:p>
      <w:pPr>
        <w:spacing w:before="5"/>
        <w:ind w:left="295" w:right="185" w:firstLine="0"/>
        <w:jc w:val="center"/>
        <w:rPr>
          <w:b/>
          <w:sz w:val="15"/>
        </w:rPr>
      </w:pPr>
      <w:r>
        <w:rPr>
          <w:b/>
          <w:sz w:val="15"/>
        </w:rPr>
        <w:t>De las Licencias de Construcción, Reconstrucción, Reparación o Demolición de Obras</w:t>
      </w:r>
    </w:p>
    <w:p>
      <w:pPr>
        <w:pStyle w:val="BodyText"/>
        <w:spacing w:before="8"/>
        <w:rPr>
          <w:b/>
        </w:rPr>
      </w:pPr>
    </w:p>
    <w:p>
      <w:pPr>
        <w:pStyle w:val="BodyText"/>
        <w:spacing w:line="247" w:lineRule="auto"/>
        <w:ind w:left="150" w:right="39" w:firstLine="397"/>
        <w:jc w:val="both"/>
      </w:pPr>
      <w:r>
        <w:rPr>
          <w:b/>
        </w:rPr>
        <w:t>Artículo 81.- </w:t>
      </w:r>
      <w:r>
        <w:rPr/>
        <w:t>Las personas físicas o jurídicas que pretendan llevar a cabo obras de movimiento de tierra, demolición, edificación y/o relativas, deberán obtener previamente la licencia correspondiente y pagar los</w:t>
      </w:r>
    </w:p>
    <w:p>
      <w:pPr>
        <w:pStyle w:val="ListParagraph"/>
        <w:numPr>
          <w:ilvl w:val="0"/>
          <w:numId w:val="61"/>
        </w:numPr>
        <w:tabs>
          <w:tab w:pos="478" w:val="left" w:leader="none"/>
        </w:tabs>
        <w:spacing w:line="247" w:lineRule="auto" w:before="30" w:after="0"/>
        <w:ind w:left="150" w:right="2682" w:firstLine="0"/>
        <w:jc w:val="both"/>
        <w:rPr>
          <w:sz w:val="15"/>
        </w:rPr>
      </w:pPr>
      <w:r>
        <w:rPr>
          <w:w w:val="102"/>
          <w:sz w:val="15"/>
        </w:rPr>
        <w:br w:type="column"/>
      </w:r>
      <w:r>
        <w:rPr>
          <w:sz w:val="15"/>
        </w:rPr>
        <w:t>Licencias para remodelación, sin que implique demolición y/o adición de superficie construida, por metro cuadrado, se pagará el  20  %  sobre  el  importe de los derechos que se determinen de acuerdo con la fracción I de   este</w:t>
      </w:r>
      <w:r>
        <w:rPr>
          <w:spacing w:val="1"/>
          <w:sz w:val="15"/>
        </w:rPr>
        <w:t> </w:t>
      </w:r>
      <w:r>
        <w:rPr>
          <w:sz w:val="15"/>
        </w:rPr>
        <w:t>artículo.</w:t>
      </w:r>
    </w:p>
    <w:p>
      <w:pPr>
        <w:pStyle w:val="BodyText"/>
        <w:rPr>
          <w:sz w:val="16"/>
        </w:rPr>
      </w:pPr>
    </w:p>
    <w:p>
      <w:pPr>
        <w:pStyle w:val="BodyText"/>
        <w:spacing w:before="1"/>
        <w:rPr>
          <w:sz w:val="14"/>
        </w:rPr>
      </w:pPr>
    </w:p>
    <w:p>
      <w:pPr>
        <w:pStyle w:val="ListParagraph"/>
        <w:numPr>
          <w:ilvl w:val="0"/>
          <w:numId w:val="61"/>
        </w:numPr>
        <w:tabs>
          <w:tab w:pos="382" w:val="left" w:leader="none"/>
        </w:tabs>
        <w:spacing w:line="247" w:lineRule="auto" w:before="0" w:after="0"/>
        <w:ind w:left="150" w:right="2766" w:firstLine="0"/>
        <w:jc w:val="left"/>
        <w:rPr>
          <w:sz w:val="15"/>
        </w:rPr>
      </w:pPr>
      <w:r>
        <w:rPr>
          <w:sz w:val="15"/>
        </w:rPr>
        <w:t>Licencia para reconstrucción, reestructuración, reparación  o  adaptación sin que implique modificación o adición de construcción, se pagará por metro cuadrado el 30% sobre el importe de los derechos que se determinen de acuerdo con la fracción I de este</w:t>
      </w:r>
      <w:r>
        <w:rPr>
          <w:spacing w:val="11"/>
          <w:sz w:val="15"/>
        </w:rPr>
        <w:t> </w:t>
      </w:r>
      <w:r>
        <w:rPr>
          <w:sz w:val="15"/>
        </w:rPr>
        <w:t>artículo:</w:t>
      </w:r>
    </w:p>
    <w:p>
      <w:pPr>
        <w:spacing w:after="0" w:line="247" w:lineRule="auto"/>
        <w:jc w:val="left"/>
        <w:rPr>
          <w:sz w:val="15"/>
        </w:rPr>
        <w:sectPr>
          <w:type w:val="continuous"/>
          <w:pgSz w:w="23250" w:h="15310" w:orient="landscape"/>
          <w:pgMar w:top="0" w:bottom="0" w:left="1880" w:right="1520"/>
          <w:cols w:num="2" w:equalWidth="0">
            <w:col w:w="7751" w:space="3909"/>
            <w:col w:w="8190"/>
          </w:cols>
        </w:sectPr>
      </w:pPr>
    </w:p>
    <w:p>
      <w:pPr>
        <w:pStyle w:val="BodyText"/>
        <w:rPr>
          <w:sz w:val="20"/>
        </w:rPr>
      </w:pPr>
    </w:p>
    <w:p>
      <w:pPr>
        <w:pStyle w:val="BodyText"/>
        <w:rPr>
          <w:sz w:val="20"/>
        </w:rPr>
      </w:pPr>
    </w:p>
    <w:p>
      <w:pPr>
        <w:pStyle w:val="BodyText"/>
        <w:spacing w:before="1"/>
        <w:rPr>
          <w:sz w:val="16"/>
        </w:rPr>
      </w:pPr>
    </w:p>
    <w:p>
      <w:pPr>
        <w:spacing w:after="0"/>
        <w:rPr>
          <w:sz w:val="16"/>
        </w:rPr>
        <w:sectPr>
          <w:headerReference w:type="default" r:id="rId70"/>
          <w:pgSz w:w="23250" w:h="15310" w:orient="landscape"/>
          <w:pgMar w:header="881" w:footer="499" w:top="1920" w:bottom="680" w:left="1880" w:right="1520"/>
        </w:sectPr>
      </w:pPr>
    </w:p>
    <w:p>
      <w:pPr>
        <w:pStyle w:val="ListParagraph"/>
        <w:numPr>
          <w:ilvl w:val="0"/>
          <w:numId w:val="61"/>
        </w:numPr>
        <w:tabs>
          <w:tab w:pos="379" w:val="left" w:leader="none"/>
        </w:tabs>
        <w:spacing w:line="247" w:lineRule="auto" w:before="99" w:after="0"/>
        <w:ind w:left="189" w:right="1035" w:firstLine="0"/>
        <w:jc w:val="left"/>
        <w:rPr>
          <w:sz w:val="15"/>
        </w:rPr>
      </w:pPr>
      <w:r>
        <w:rPr>
          <w:sz w:val="15"/>
        </w:rPr>
        <w:t>Espacio de estacionamiento para usos no habitacionales por metro:</w:t>
      </w:r>
    </w:p>
    <w:p>
      <w:pPr>
        <w:pStyle w:val="ListParagraph"/>
        <w:numPr>
          <w:ilvl w:val="0"/>
          <w:numId w:val="62"/>
        </w:numPr>
        <w:tabs>
          <w:tab w:pos="370" w:val="left" w:leader="none"/>
          <w:tab w:pos="5066" w:val="left" w:leader="none"/>
        </w:tabs>
        <w:spacing w:line="240" w:lineRule="auto" w:before="122" w:after="0"/>
        <w:ind w:left="369" w:right="0" w:hanging="181"/>
        <w:jc w:val="left"/>
        <w:rPr>
          <w:sz w:val="15"/>
        </w:rPr>
      </w:pPr>
      <w:r>
        <w:rPr>
          <w:sz w:val="15"/>
        </w:rPr>
        <w:t>Descubierto</w:t>
        <w:tab/>
        <w:t>$23.00</w:t>
      </w:r>
    </w:p>
    <w:p>
      <w:pPr>
        <w:pStyle w:val="ListParagraph"/>
        <w:numPr>
          <w:ilvl w:val="0"/>
          <w:numId w:val="62"/>
        </w:numPr>
        <w:tabs>
          <w:tab w:pos="370" w:val="left" w:leader="none"/>
          <w:tab w:pos="5066" w:val="left" w:leader="none"/>
        </w:tabs>
        <w:spacing w:line="240" w:lineRule="auto" w:before="52" w:after="0"/>
        <w:ind w:left="369" w:right="0" w:hanging="181"/>
        <w:jc w:val="left"/>
        <w:rPr>
          <w:sz w:val="15"/>
        </w:rPr>
      </w:pPr>
      <w:r>
        <w:rPr>
          <w:sz w:val="15"/>
        </w:rPr>
        <w:t>Cubierto</w:t>
        <w:tab/>
      </w:r>
      <w:r>
        <w:rPr>
          <w:position w:val="-8"/>
          <w:sz w:val="15"/>
        </w:rPr>
        <w:t>$18.00</w:t>
      </w:r>
    </w:p>
    <w:p>
      <w:pPr>
        <w:pStyle w:val="ListParagraph"/>
        <w:numPr>
          <w:ilvl w:val="0"/>
          <w:numId w:val="61"/>
        </w:numPr>
        <w:tabs>
          <w:tab w:pos="484" w:val="left" w:leader="none"/>
        </w:tabs>
        <w:spacing w:line="240" w:lineRule="auto" w:before="92" w:after="0"/>
        <w:ind w:left="483" w:right="0" w:hanging="295"/>
        <w:jc w:val="left"/>
        <w:rPr>
          <w:sz w:val="15"/>
        </w:rPr>
      </w:pPr>
      <w:r>
        <w:rPr>
          <w:sz w:val="15"/>
        </w:rPr>
        <w:t>Licencia para construcción de pisos o pavimentos</w:t>
      </w:r>
      <w:r>
        <w:rPr>
          <w:spacing w:val="23"/>
          <w:sz w:val="15"/>
        </w:rPr>
        <w:t> </w:t>
      </w:r>
      <w:r>
        <w:rPr>
          <w:sz w:val="15"/>
        </w:rPr>
        <w:t>en</w:t>
      </w:r>
    </w:p>
    <w:p>
      <w:pPr>
        <w:pStyle w:val="BodyText"/>
        <w:rPr>
          <w:sz w:val="19"/>
        </w:rPr>
      </w:pPr>
      <w:r>
        <w:rPr/>
        <w:br w:type="column"/>
      </w:r>
      <w:r>
        <w:rPr>
          <w:sz w:val="19"/>
        </w:rPr>
      </w:r>
    </w:p>
    <w:p>
      <w:pPr>
        <w:pStyle w:val="ListParagraph"/>
        <w:numPr>
          <w:ilvl w:val="0"/>
          <w:numId w:val="63"/>
        </w:numPr>
        <w:tabs>
          <w:tab w:pos="577" w:val="left" w:leader="none"/>
        </w:tabs>
        <w:spacing w:line="247" w:lineRule="auto" w:before="0" w:after="0"/>
        <w:ind w:left="189" w:right="39" w:firstLine="0"/>
        <w:jc w:val="both"/>
        <w:rPr>
          <w:sz w:val="15"/>
        </w:rPr>
      </w:pPr>
      <w:r>
        <w:rPr>
          <w:sz w:val="15"/>
        </w:rPr>
        <w:t>Permiso para instalar tapiales provisionales en la vía pública, por metro lineal</w:t>
      </w:r>
      <w:r>
        <w:rPr>
          <w:spacing w:val="8"/>
          <w:sz w:val="15"/>
        </w:rPr>
        <w:t> </w:t>
      </w:r>
      <w:r>
        <w:rPr>
          <w:sz w:val="15"/>
        </w:rPr>
        <w:t>semanalmente:</w:t>
      </w:r>
    </w:p>
    <w:p>
      <w:pPr>
        <w:pStyle w:val="BodyText"/>
        <w:rPr>
          <w:sz w:val="16"/>
        </w:rPr>
      </w:pPr>
    </w:p>
    <w:p>
      <w:pPr>
        <w:pStyle w:val="ListParagraph"/>
        <w:numPr>
          <w:ilvl w:val="0"/>
          <w:numId w:val="63"/>
        </w:numPr>
        <w:tabs>
          <w:tab w:pos="571" w:val="left" w:leader="none"/>
        </w:tabs>
        <w:spacing w:line="170" w:lineRule="atLeast" w:before="105" w:after="0"/>
        <w:ind w:left="189" w:right="38" w:firstLine="0"/>
        <w:jc w:val="both"/>
        <w:rPr>
          <w:sz w:val="15"/>
        </w:rPr>
      </w:pPr>
      <w:r>
        <w:rPr>
          <w:sz w:val="15"/>
        </w:rPr>
        <w:t>Permisos para ocupación en la vía pública con materiales de construcción, las cuales se otorgarán siempre y cuando se ajusten</w:t>
      </w:r>
      <w:r>
        <w:rPr>
          <w:spacing w:val="28"/>
          <w:sz w:val="15"/>
        </w:rPr>
        <w:t> </w:t>
      </w:r>
      <w:r>
        <w:rPr>
          <w:sz w:val="15"/>
        </w:rPr>
        <w:t>a</w:t>
      </w:r>
      <w:r>
        <w:rPr>
          <w:spacing w:val="29"/>
          <w:sz w:val="15"/>
        </w:rPr>
        <w:t> </w:t>
      </w:r>
      <w:r>
        <w:rPr>
          <w:sz w:val="15"/>
        </w:rPr>
        <w:t>los</w:t>
      </w:r>
      <w:r>
        <w:rPr>
          <w:spacing w:val="29"/>
          <w:sz w:val="15"/>
        </w:rPr>
        <w:t> </w:t>
      </w:r>
      <w:r>
        <w:rPr>
          <w:sz w:val="15"/>
        </w:rPr>
        <w:t>lineamientos</w:t>
      </w:r>
      <w:r>
        <w:rPr>
          <w:spacing w:val="29"/>
          <w:sz w:val="15"/>
        </w:rPr>
        <w:t> </w:t>
      </w:r>
      <w:r>
        <w:rPr>
          <w:sz w:val="15"/>
        </w:rPr>
        <w:t>señalados</w:t>
      </w:r>
      <w:r>
        <w:rPr>
          <w:spacing w:val="28"/>
          <w:sz w:val="15"/>
        </w:rPr>
        <w:t> </w:t>
      </w:r>
      <w:r>
        <w:rPr>
          <w:sz w:val="15"/>
        </w:rPr>
        <w:t>por</w:t>
      </w:r>
      <w:r>
        <w:rPr>
          <w:spacing w:val="29"/>
          <w:sz w:val="15"/>
        </w:rPr>
        <w:t> </w:t>
      </w:r>
      <w:r>
        <w:rPr>
          <w:sz w:val="15"/>
        </w:rPr>
        <w:t>la</w:t>
      </w:r>
      <w:r>
        <w:rPr>
          <w:spacing w:val="29"/>
          <w:sz w:val="15"/>
        </w:rPr>
        <w:t> </w:t>
      </w:r>
      <w:r>
        <w:rPr>
          <w:sz w:val="15"/>
        </w:rPr>
        <w:t>Dirección</w:t>
      </w:r>
      <w:r>
        <w:rPr>
          <w:spacing w:val="29"/>
          <w:sz w:val="15"/>
        </w:rPr>
        <w:t> </w:t>
      </w:r>
      <w:r>
        <w:rPr>
          <w:sz w:val="15"/>
        </w:rPr>
        <w:t>General</w:t>
      </w:r>
    </w:p>
    <w:p>
      <w:pPr>
        <w:pStyle w:val="BodyText"/>
        <w:rPr>
          <w:sz w:val="19"/>
        </w:rPr>
      </w:pPr>
      <w:r>
        <w:rPr/>
        <w:br w:type="column"/>
      </w:r>
      <w:r>
        <w:rPr>
          <w:sz w:val="19"/>
        </w:rPr>
      </w:r>
    </w:p>
    <w:p>
      <w:pPr>
        <w:pStyle w:val="BodyText"/>
        <w:ind w:left="189"/>
      </w:pPr>
      <w:r>
        <w:rPr/>
        <w:t>$70.00</w:t>
      </w:r>
    </w:p>
    <w:p>
      <w:pPr>
        <w:pStyle w:val="BodyText"/>
        <w:rPr>
          <w:sz w:val="16"/>
        </w:rPr>
      </w:pPr>
    </w:p>
    <w:p>
      <w:pPr>
        <w:pStyle w:val="BodyText"/>
        <w:rPr>
          <w:sz w:val="16"/>
        </w:rPr>
      </w:pPr>
    </w:p>
    <w:p>
      <w:pPr>
        <w:pStyle w:val="BodyText"/>
        <w:rPr>
          <w:sz w:val="16"/>
        </w:rPr>
      </w:pPr>
    </w:p>
    <w:p>
      <w:pPr>
        <w:pStyle w:val="BodyText"/>
        <w:spacing w:before="9"/>
        <w:rPr>
          <w:sz w:val="23"/>
        </w:rPr>
      </w:pPr>
    </w:p>
    <w:p>
      <w:pPr>
        <w:pStyle w:val="BodyText"/>
        <w:spacing w:line="117" w:lineRule="exact"/>
        <w:ind w:left="189"/>
      </w:pPr>
      <w:r>
        <w:rPr/>
        <w:t>$21.00</w:t>
      </w:r>
    </w:p>
    <w:p>
      <w:pPr>
        <w:spacing w:after="0" w:line="117" w:lineRule="exact"/>
        <w:sectPr>
          <w:type w:val="continuous"/>
          <w:pgSz w:w="23250" w:h="15310" w:orient="landscape"/>
          <w:pgMar w:top="0" w:bottom="0" w:left="1880" w:right="1520"/>
          <w:cols w:num="3" w:equalWidth="0">
            <w:col w:w="5578" w:space="6044"/>
            <w:col w:w="4583" w:space="294"/>
            <w:col w:w="3351"/>
          </w:cols>
        </w:sectPr>
      </w:pPr>
    </w:p>
    <w:p>
      <w:pPr>
        <w:pStyle w:val="BodyText"/>
        <w:spacing w:line="124" w:lineRule="exact"/>
        <w:ind w:left="189"/>
      </w:pPr>
      <w:r>
        <w:rPr/>
        <w:t>predios particulares y usos no habitacionales por metro</w:t>
      </w:r>
    </w:p>
    <w:p>
      <w:pPr>
        <w:pStyle w:val="BodyText"/>
        <w:spacing w:before="4"/>
        <w:ind w:left="189"/>
      </w:pPr>
      <w:r>
        <w:rPr/>
        <w:t>cuadrado.</w:t>
      </w:r>
    </w:p>
    <w:p>
      <w:pPr>
        <w:pStyle w:val="BodyText"/>
        <w:spacing w:line="124" w:lineRule="exact"/>
        <w:ind w:left="189"/>
      </w:pPr>
      <w:r>
        <w:rPr/>
        <w:br w:type="column"/>
      </w:r>
      <w:r>
        <w:rPr/>
        <w:t>$23.00</w:t>
      </w:r>
    </w:p>
    <w:p>
      <w:pPr>
        <w:pStyle w:val="BodyText"/>
        <w:spacing w:line="247" w:lineRule="auto" w:before="13"/>
        <w:ind w:left="189" w:right="3664"/>
      </w:pPr>
      <w:r>
        <w:rPr/>
        <w:br w:type="column"/>
      </w:r>
      <w:r>
        <w:rPr/>
        <w:t>de Obras Públicas, para tal efecto el costo por metro cuadrado, por día:</w:t>
      </w:r>
    </w:p>
    <w:p>
      <w:pPr>
        <w:spacing w:after="0" w:line="247" w:lineRule="auto"/>
        <w:sectPr>
          <w:type w:val="continuous"/>
          <w:pgSz w:w="23250" w:h="15310" w:orient="landscape"/>
          <w:pgMar w:top="0" w:bottom="0" w:left="1880" w:right="1520"/>
          <w:cols w:num="3" w:equalWidth="0">
            <w:col w:w="4580" w:space="297"/>
            <w:col w:w="701" w:space="6044"/>
            <w:col w:w="8228"/>
          </w:cols>
        </w:sectPr>
      </w:pPr>
    </w:p>
    <w:p>
      <w:pPr>
        <w:pStyle w:val="BodyText"/>
        <w:spacing w:before="7"/>
      </w:pPr>
    </w:p>
    <w:p>
      <w:pPr>
        <w:spacing w:after="0"/>
        <w:sectPr>
          <w:type w:val="continuous"/>
          <w:pgSz w:w="23250" w:h="15310" w:orient="landscape"/>
          <w:pgMar w:top="0" w:bottom="0" w:left="1880" w:right="1520"/>
        </w:sectPr>
      </w:pPr>
    </w:p>
    <w:p>
      <w:pPr>
        <w:pStyle w:val="ListParagraph"/>
        <w:numPr>
          <w:ilvl w:val="0"/>
          <w:numId w:val="64"/>
        </w:numPr>
        <w:tabs>
          <w:tab w:pos="480" w:val="left" w:leader="none"/>
        </w:tabs>
        <w:spacing w:line="247" w:lineRule="auto" w:before="98" w:after="0"/>
        <w:ind w:left="189" w:right="38" w:firstLine="0"/>
        <w:jc w:val="both"/>
        <w:rPr>
          <w:sz w:val="15"/>
        </w:rPr>
      </w:pPr>
      <w:r>
        <w:rPr>
          <w:sz w:val="15"/>
        </w:rPr>
        <w:t>Licencia y/o permiso para la edificación de equipamientos y/o infraestructura, proyectada en acciones  urbanísticas privadas conforme a los instrumentos de planeación urbana vigentes, cuya finalidad sea su incorporación al patrimonio del dominio público municipal, se cobrará por cada una la tarifa única por metro</w:t>
      </w:r>
      <w:r>
        <w:rPr>
          <w:spacing w:val="4"/>
          <w:sz w:val="15"/>
        </w:rPr>
        <w:t> </w:t>
      </w:r>
      <w:r>
        <w:rPr>
          <w:sz w:val="15"/>
        </w:rPr>
        <w:t>cuadrado:</w:t>
      </w:r>
    </w:p>
    <w:p>
      <w:pPr>
        <w:pStyle w:val="BodyText"/>
        <w:rPr>
          <w:sz w:val="16"/>
        </w:rPr>
      </w:pPr>
    </w:p>
    <w:p>
      <w:pPr>
        <w:pStyle w:val="BodyText"/>
        <w:rPr>
          <w:sz w:val="16"/>
        </w:rPr>
      </w:pPr>
    </w:p>
    <w:p>
      <w:pPr>
        <w:pStyle w:val="ListParagraph"/>
        <w:numPr>
          <w:ilvl w:val="0"/>
          <w:numId w:val="64"/>
        </w:numPr>
        <w:tabs>
          <w:tab w:pos="540" w:val="left" w:leader="none"/>
        </w:tabs>
        <w:spacing w:line="247" w:lineRule="auto" w:before="102" w:after="0"/>
        <w:ind w:left="151" w:right="51" w:firstLine="0"/>
        <w:jc w:val="both"/>
        <w:rPr>
          <w:sz w:val="15"/>
        </w:rPr>
      </w:pPr>
      <w:r>
        <w:rPr>
          <w:sz w:val="15"/>
        </w:rPr>
        <w:t>Licencia y/o permiso para construcción de aljibes o cisternas por metro</w:t>
      </w:r>
      <w:r>
        <w:rPr>
          <w:spacing w:val="3"/>
          <w:sz w:val="15"/>
        </w:rPr>
        <w:t> </w:t>
      </w:r>
      <w:r>
        <w:rPr>
          <w:sz w:val="15"/>
        </w:rPr>
        <w:t>cúbico:</w:t>
      </w:r>
    </w:p>
    <w:p>
      <w:pPr>
        <w:pStyle w:val="BodyText"/>
        <w:rPr>
          <w:sz w:val="16"/>
        </w:rPr>
      </w:pPr>
      <w:r>
        <w:rPr/>
        <w:br w:type="column"/>
      </w:r>
      <w:r>
        <w:rPr>
          <w:sz w:val="16"/>
        </w:rPr>
      </w:r>
    </w:p>
    <w:p>
      <w:pPr>
        <w:pStyle w:val="BodyText"/>
        <w:rPr>
          <w:sz w:val="16"/>
        </w:rPr>
      </w:pPr>
    </w:p>
    <w:p>
      <w:pPr>
        <w:pStyle w:val="BodyText"/>
      </w:pPr>
    </w:p>
    <w:p>
      <w:pPr>
        <w:pStyle w:val="BodyText"/>
        <w:spacing w:before="1"/>
        <w:ind w:left="161"/>
      </w:pPr>
      <w:r>
        <w:rPr/>
        <w:t>$15.00</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23"/>
        </w:rPr>
      </w:pPr>
    </w:p>
    <w:p>
      <w:pPr>
        <w:pStyle w:val="BodyText"/>
        <w:ind w:left="151"/>
      </w:pPr>
      <w:r>
        <w:rPr/>
        <w:t>$37.00</w:t>
      </w:r>
    </w:p>
    <w:p>
      <w:pPr>
        <w:pStyle w:val="BodyText"/>
        <w:spacing w:before="8"/>
        <w:rPr>
          <w:sz w:val="22"/>
        </w:rPr>
      </w:pPr>
      <w:r>
        <w:rPr/>
        <w:br w:type="column"/>
      </w:r>
      <w:r>
        <w:rPr>
          <w:sz w:val="22"/>
        </w:rPr>
      </w:r>
    </w:p>
    <w:p>
      <w:pPr>
        <w:pStyle w:val="ListParagraph"/>
        <w:numPr>
          <w:ilvl w:val="0"/>
          <w:numId w:val="65"/>
        </w:numPr>
        <w:tabs>
          <w:tab w:pos="586" w:val="left" w:leader="none"/>
        </w:tabs>
        <w:spacing w:line="247" w:lineRule="auto" w:before="1" w:after="0"/>
        <w:ind w:left="151" w:right="2681" w:firstLine="0"/>
        <w:jc w:val="both"/>
        <w:rPr>
          <w:sz w:val="15"/>
        </w:rPr>
      </w:pPr>
      <w:r>
        <w:rPr>
          <w:sz w:val="15"/>
        </w:rPr>
        <w:t>Autorización de cambio de proyecto de construcción ya autorizado, se pagará el 2% del costo de la licencia original, además del pago de las excedencias o de los ajustes por cada caso en concreto, de acuerdo a lo establecido en la fracción I del presente</w:t>
      </w:r>
      <w:r>
        <w:rPr>
          <w:spacing w:val="14"/>
          <w:sz w:val="15"/>
        </w:rPr>
        <w:t> </w:t>
      </w:r>
      <w:r>
        <w:rPr>
          <w:sz w:val="15"/>
        </w:rPr>
        <w:t>artículo.</w:t>
      </w:r>
    </w:p>
    <w:p>
      <w:pPr>
        <w:pStyle w:val="BodyText"/>
        <w:rPr>
          <w:sz w:val="16"/>
        </w:rPr>
      </w:pPr>
    </w:p>
    <w:p>
      <w:pPr>
        <w:pStyle w:val="BodyText"/>
        <w:rPr>
          <w:sz w:val="16"/>
        </w:rPr>
      </w:pPr>
    </w:p>
    <w:p>
      <w:pPr>
        <w:pStyle w:val="ListParagraph"/>
        <w:numPr>
          <w:ilvl w:val="0"/>
          <w:numId w:val="65"/>
        </w:numPr>
        <w:tabs>
          <w:tab w:pos="544" w:val="left" w:leader="none"/>
        </w:tabs>
        <w:spacing w:line="247" w:lineRule="auto" w:before="109" w:after="0"/>
        <w:ind w:left="151" w:right="2681" w:firstLine="0"/>
        <w:jc w:val="both"/>
        <w:rPr>
          <w:sz w:val="15"/>
        </w:rPr>
      </w:pPr>
      <w:r>
        <w:rPr>
          <w:sz w:val="15"/>
        </w:rPr>
        <w:t>A los propietarios de inmuebles construidos, afectos al  patrimonio  cultural del Estado y/o inmuebles de valor artístico patrimonial, se les otorgará un 80% de descuento en el costo de las licencias o permisos que  soliciten   para llevar a cabo las obras de conservación y protección de las mismas, siempre</w:t>
      </w:r>
      <w:r>
        <w:rPr>
          <w:spacing w:val="13"/>
          <w:sz w:val="15"/>
        </w:rPr>
        <w:t> </w:t>
      </w:r>
      <w:r>
        <w:rPr>
          <w:sz w:val="15"/>
        </w:rPr>
        <w:t>y</w:t>
      </w:r>
      <w:r>
        <w:rPr>
          <w:spacing w:val="13"/>
          <w:sz w:val="15"/>
        </w:rPr>
        <w:t> </w:t>
      </w:r>
      <w:r>
        <w:rPr>
          <w:sz w:val="15"/>
        </w:rPr>
        <w:t>cuando</w:t>
      </w:r>
      <w:r>
        <w:rPr>
          <w:spacing w:val="14"/>
          <w:sz w:val="15"/>
        </w:rPr>
        <w:t> </w:t>
      </w:r>
      <w:r>
        <w:rPr>
          <w:sz w:val="15"/>
        </w:rPr>
        <w:t>obtenga</w:t>
      </w:r>
      <w:r>
        <w:rPr>
          <w:spacing w:val="13"/>
          <w:sz w:val="15"/>
        </w:rPr>
        <w:t> </w:t>
      </w:r>
      <w:r>
        <w:rPr>
          <w:sz w:val="15"/>
        </w:rPr>
        <w:t>la</w:t>
      </w:r>
      <w:r>
        <w:rPr>
          <w:spacing w:val="14"/>
          <w:sz w:val="15"/>
        </w:rPr>
        <w:t> </w:t>
      </w:r>
      <w:r>
        <w:rPr>
          <w:sz w:val="15"/>
        </w:rPr>
        <w:t>autorización</w:t>
      </w:r>
      <w:r>
        <w:rPr>
          <w:spacing w:val="13"/>
          <w:sz w:val="15"/>
        </w:rPr>
        <w:t> </w:t>
      </w:r>
      <w:r>
        <w:rPr>
          <w:sz w:val="15"/>
        </w:rPr>
        <w:t>correspondiente</w:t>
      </w:r>
      <w:r>
        <w:rPr>
          <w:spacing w:val="13"/>
          <w:sz w:val="15"/>
        </w:rPr>
        <w:t> </w:t>
      </w:r>
      <w:r>
        <w:rPr>
          <w:sz w:val="15"/>
        </w:rPr>
        <w:t>por</w:t>
      </w:r>
      <w:r>
        <w:rPr>
          <w:spacing w:val="14"/>
          <w:sz w:val="15"/>
        </w:rPr>
        <w:t> </w:t>
      </w:r>
      <w:r>
        <w:rPr>
          <w:sz w:val="15"/>
        </w:rPr>
        <w:t>parte</w:t>
      </w:r>
      <w:r>
        <w:rPr>
          <w:spacing w:val="13"/>
          <w:sz w:val="15"/>
        </w:rPr>
        <w:t> </w:t>
      </w:r>
      <w:r>
        <w:rPr>
          <w:sz w:val="15"/>
        </w:rPr>
        <w:t>del</w:t>
      </w:r>
      <w:r>
        <w:rPr>
          <w:spacing w:val="14"/>
          <w:sz w:val="15"/>
        </w:rPr>
        <w:t> </w:t>
      </w:r>
      <w:r>
        <w:rPr>
          <w:sz w:val="15"/>
        </w:rPr>
        <w:t>INAH</w:t>
      </w:r>
    </w:p>
    <w:p>
      <w:pPr>
        <w:spacing w:after="0" w:line="247" w:lineRule="auto"/>
        <w:jc w:val="both"/>
        <w:rPr>
          <w:sz w:val="15"/>
        </w:rPr>
        <w:sectPr>
          <w:type w:val="continuous"/>
          <w:pgSz w:w="23250" w:h="15310" w:orient="landscape"/>
          <w:pgMar w:top="0" w:bottom="0" w:left="1880" w:right="1520"/>
          <w:cols w:num="3" w:equalWidth="0">
            <w:col w:w="4583" w:space="322"/>
            <w:col w:w="673" w:space="6082"/>
            <w:col w:w="8190"/>
          </w:cols>
        </w:sectPr>
      </w:pPr>
    </w:p>
    <w:p>
      <w:pPr>
        <w:pStyle w:val="BodyText"/>
        <w:spacing w:line="247" w:lineRule="auto" w:before="43"/>
        <w:ind w:left="151" w:right="38"/>
        <w:jc w:val="both"/>
      </w:pPr>
      <w:r>
        <w:rPr/>
        <w:t>XIV. Licencias para cubrir áreas dentro de propiedad privada ya sea con lona, cartón, fibra de vidrio, domos, cristal, etc. Sobre el importe de los derechos determinados de acuerdo con la fracción I de este artículo sin aplicación de los descuentos que en la misma se señala, se cobrará:</w:t>
      </w:r>
    </w:p>
    <w:p>
      <w:pPr>
        <w:pStyle w:val="BodyText"/>
        <w:rPr>
          <w:sz w:val="16"/>
        </w:rPr>
      </w:pPr>
    </w:p>
    <w:p>
      <w:pPr>
        <w:pStyle w:val="BodyText"/>
        <w:rPr>
          <w:sz w:val="17"/>
        </w:rPr>
      </w:pPr>
    </w:p>
    <w:p>
      <w:pPr>
        <w:pStyle w:val="ListParagraph"/>
        <w:numPr>
          <w:ilvl w:val="0"/>
          <w:numId w:val="66"/>
        </w:numPr>
        <w:tabs>
          <w:tab w:pos="331" w:val="left" w:leader="none"/>
        </w:tabs>
        <w:spacing w:line="240" w:lineRule="auto" w:before="0" w:after="0"/>
        <w:ind w:left="330" w:right="0" w:hanging="180"/>
        <w:jc w:val="both"/>
        <w:rPr>
          <w:sz w:val="15"/>
        </w:rPr>
      </w:pPr>
      <w:r>
        <w:rPr>
          <w:sz w:val="15"/>
        </w:rPr>
        <w:t>El</w:t>
      </w:r>
      <w:r>
        <w:rPr>
          <w:spacing w:val="7"/>
          <w:sz w:val="15"/>
        </w:rPr>
        <w:t> </w:t>
      </w:r>
      <w:r>
        <w:rPr>
          <w:sz w:val="15"/>
        </w:rPr>
        <w:t>50%</w:t>
      </w:r>
      <w:r>
        <w:rPr>
          <w:spacing w:val="7"/>
          <w:sz w:val="15"/>
        </w:rPr>
        <w:t> </w:t>
      </w:r>
      <w:r>
        <w:rPr>
          <w:sz w:val="15"/>
        </w:rPr>
        <w:t>por</w:t>
      </w:r>
      <w:r>
        <w:rPr>
          <w:spacing w:val="7"/>
          <w:sz w:val="15"/>
        </w:rPr>
        <w:t> </w:t>
      </w:r>
      <w:r>
        <w:rPr>
          <w:sz w:val="15"/>
        </w:rPr>
        <w:t>metro</w:t>
      </w:r>
      <w:r>
        <w:rPr>
          <w:spacing w:val="8"/>
          <w:sz w:val="15"/>
        </w:rPr>
        <w:t> </w:t>
      </w:r>
      <w:r>
        <w:rPr>
          <w:sz w:val="15"/>
        </w:rPr>
        <w:t>cuadrado</w:t>
      </w:r>
      <w:r>
        <w:rPr>
          <w:spacing w:val="7"/>
          <w:sz w:val="15"/>
        </w:rPr>
        <w:t> </w:t>
      </w:r>
      <w:r>
        <w:rPr>
          <w:sz w:val="15"/>
        </w:rPr>
        <w:t>del</w:t>
      </w:r>
      <w:r>
        <w:rPr>
          <w:spacing w:val="7"/>
          <w:sz w:val="15"/>
        </w:rPr>
        <w:t> </w:t>
      </w:r>
      <w:r>
        <w:rPr>
          <w:sz w:val="15"/>
        </w:rPr>
        <w:t>valor</w:t>
      </w:r>
      <w:r>
        <w:rPr>
          <w:spacing w:val="7"/>
          <w:sz w:val="15"/>
        </w:rPr>
        <w:t> </w:t>
      </w:r>
      <w:r>
        <w:rPr>
          <w:sz w:val="15"/>
        </w:rPr>
        <w:t>de</w:t>
      </w:r>
      <w:r>
        <w:rPr>
          <w:spacing w:val="8"/>
          <w:sz w:val="15"/>
        </w:rPr>
        <w:t> </w:t>
      </w:r>
      <w:r>
        <w:rPr>
          <w:sz w:val="15"/>
        </w:rPr>
        <w:t>la</w:t>
      </w:r>
      <w:r>
        <w:rPr>
          <w:spacing w:val="7"/>
          <w:sz w:val="15"/>
        </w:rPr>
        <w:t> </w:t>
      </w:r>
      <w:r>
        <w:rPr>
          <w:sz w:val="15"/>
        </w:rPr>
        <w:t>licencia</w:t>
      </w:r>
      <w:r>
        <w:rPr>
          <w:spacing w:val="7"/>
          <w:sz w:val="15"/>
        </w:rPr>
        <w:t> </w:t>
      </w:r>
      <w:r>
        <w:rPr>
          <w:sz w:val="15"/>
        </w:rPr>
        <w:t>para</w:t>
      </w:r>
      <w:r>
        <w:rPr>
          <w:spacing w:val="7"/>
          <w:sz w:val="15"/>
        </w:rPr>
        <w:t> </w:t>
      </w:r>
      <w:r>
        <w:rPr>
          <w:sz w:val="15"/>
        </w:rPr>
        <w:t>uso</w:t>
      </w:r>
      <w:r>
        <w:rPr>
          <w:spacing w:val="7"/>
          <w:sz w:val="15"/>
        </w:rPr>
        <w:t> </w:t>
      </w:r>
      <w:r>
        <w:rPr>
          <w:sz w:val="15"/>
        </w:rPr>
        <w:t>no</w:t>
      </w:r>
      <w:r>
        <w:rPr>
          <w:spacing w:val="7"/>
          <w:sz w:val="15"/>
        </w:rPr>
        <w:t> </w:t>
      </w:r>
      <w:r>
        <w:rPr>
          <w:sz w:val="15"/>
        </w:rPr>
        <w:t>habitacional</w:t>
      </w:r>
    </w:p>
    <w:p>
      <w:pPr>
        <w:pStyle w:val="BodyText"/>
        <w:spacing w:line="170" w:lineRule="exact"/>
        <w:ind w:left="189"/>
      </w:pPr>
      <w:r>
        <w:rPr/>
        <w:br w:type="column"/>
      </w:r>
      <w:r>
        <w:rPr/>
        <w:t>o la Secretaria de Cultura o la autoridad competente.</w:t>
      </w:r>
    </w:p>
    <w:p>
      <w:pPr>
        <w:pStyle w:val="BodyText"/>
        <w:rPr>
          <w:sz w:val="16"/>
        </w:rPr>
      </w:pPr>
    </w:p>
    <w:p>
      <w:pPr>
        <w:pStyle w:val="ListParagraph"/>
        <w:numPr>
          <w:ilvl w:val="0"/>
          <w:numId w:val="67"/>
        </w:numPr>
        <w:tabs>
          <w:tab w:pos="488" w:val="left" w:leader="none"/>
        </w:tabs>
        <w:spacing w:line="247" w:lineRule="auto" w:before="129" w:after="0"/>
        <w:ind w:left="151" w:right="509" w:firstLine="0"/>
        <w:jc w:val="both"/>
        <w:rPr>
          <w:sz w:val="15"/>
        </w:rPr>
      </w:pPr>
      <w:r>
        <w:rPr>
          <w:sz w:val="15"/>
        </w:rPr>
        <w:t>Los términos de vigencia de las licencias y permisos a que se refiere el presente artículo, serán hasta por  24 meses; transcurrido este término, el solicitante pagará el 10% del costo de su licencia o permiso por cada bimestre</w:t>
      </w:r>
      <w:r>
        <w:rPr>
          <w:spacing w:val="9"/>
          <w:sz w:val="15"/>
        </w:rPr>
        <w:t> </w:t>
      </w:r>
      <w:r>
        <w:rPr>
          <w:sz w:val="15"/>
        </w:rPr>
        <w:t>de</w:t>
      </w:r>
      <w:r>
        <w:rPr>
          <w:spacing w:val="9"/>
          <w:sz w:val="15"/>
        </w:rPr>
        <w:t> </w:t>
      </w:r>
      <w:r>
        <w:rPr>
          <w:sz w:val="15"/>
        </w:rPr>
        <w:t>prórroga;</w:t>
      </w:r>
      <w:r>
        <w:rPr>
          <w:spacing w:val="9"/>
          <w:sz w:val="15"/>
        </w:rPr>
        <w:t> </w:t>
      </w:r>
      <w:r>
        <w:rPr>
          <w:sz w:val="15"/>
        </w:rPr>
        <w:t>no</w:t>
      </w:r>
      <w:r>
        <w:rPr>
          <w:spacing w:val="9"/>
          <w:sz w:val="15"/>
        </w:rPr>
        <w:t> </w:t>
      </w:r>
      <w:r>
        <w:rPr>
          <w:sz w:val="15"/>
        </w:rPr>
        <w:t>será</w:t>
      </w:r>
      <w:r>
        <w:rPr>
          <w:spacing w:val="10"/>
          <w:sz w:val="15"/>
        </w:rPr>
        <w:t> </w:t>
      </w:r>
      <w:r>
        <w:rPr>
          <w:sz w:val="15"/>
        </w:rPr>
        <w:t>necesario</w:t>
      </w:r>
      <w:r>
        <w:rPr>
          <w:spacing w:val="9"/>
          <w:sz w:val="15"/>
        </w:rPr>
        <w:t> </w:t>
      </w:r>
      <w:r>
        <w:rPr>
          <w:sz w:val="15"/>
        </w:rPr>
        <w:t>el</w:t>
      </w:r>
      <w:r>
        <w:rPr>
          <w:spacing w:val="9"/>
          <w:sz w:val="15"/>
        </w:rPr>
        <w:t> </w:t>
      </w:r>
      <w:r>
        <w:rPr>
          <w:sz w:val="15"/>
        </w:rPr>
        <w:t>pago</w:t>
      </w:r>
      <w:r>
        <w:rPr>
          <w:spacing w:val="8"/>
          <w:sz w:val="15"/>
        </w:rPr>
        <w:t> </w:t>
      </w:r>
      <w:r>
        <w:rPr>
          <w:sz w:val="15"/>
        </w:rPr>
        <w:t>de</w:t>
      </w:r>
      <w:r>
        <w:rPr>
          <w:spacing w:val="9"/>
          <w:sz w:val="15"/>
        </w:rPr>
        <w:t> </w:t>
      </w:r>
      <w:r>
        <w:rPr>
          <w:sz w:val="15"/>
        </w:rPr>
        <w:t>éste</w:t>
      </w:r>
      <w:r>
        <w:rPr>
          <w:spacing w:val="10"/>
          <w:sz w:val="15"/>
        </w:rPr>
        <w:t> </w:t>
      </w:r>
      <w:r>
        <w:rPr>
          <w:sz w:val="15"/>
        </w:rPr>
        <w:t>cuando</w:t>
      </w:r>
      <w:r>
        <w:rPr>
          <w:spacing w:val="12"/>
          <w:sz w:val="15"/>
        </w:rPr>
        <w:t> </w:t>
      </w:r>
      <w:r>
        <w:rPr>
          <w:sz w:val="15"/>
        </w:rPr>
        <w:t>se</w:t>
      </w:r>
      <w:r>
        <w:rPr>
          <w:spacing w:val="10"/>
          <w:sz w:val="15"/>
        </w:rPr>
        <w:t> </w:t>
      </w:r>
      <w:r>
        <w:rPr>
          <w:sz w:val="15"/>
        </w:rPr>
        <w:t>haya</w:t>
      </w:r>
      <w:r>
        <w:rPr>
          <w:spacing w:val="9"/>
          <w:sz w:val="15"/>
        </w:rPr>
        <w:t> </w:t>
      </w:r>
      <w:r>
        <w:rPr>
          <w:sz w:val="15"/>
        </w:rPr>
        <w:t>dado</w:t>
      </w:r>
      <w:r>
        <w:rPr>
          <w:spacing w:val="9"/>
          <w:sz w:val="15"/>
        </w:rPr>
        <w:t> </w:t>
      </w:r>
      <w:r>
        <w:rPr>
          <w:sz w:val="15"/>
        </w:rPr>
        <w:t>aviso</w:t>
      </w:r>
      <w:r>
        <w:rPr>
          <w:spacing w:val="9"/>
          <w:sz w:val="15"/>
        </w:rPr>
        <w:t> </w:t>
      </w:r>
      <w:r>
        <w:rPr>
          <w:sz w:val="15"/>
        </w:rPr>
        <w:t>de</w:t>
      </w:r>
      <w:r>
        <w:rPr>
          <w:spacing w:val="9"/>
          <w:sz w:val="15"/>
        </w:rPr>
        <w:t> </w:t>
      </w:r>
      <w:r>
        <w:rPr>
          <w:sz w:val="15"/>
        </w:rPr>
        <w:t>suspensión</w:t>
      </w:r>
      <w:r>
        <w:rPr>
          <w:spacing w:val="10"/>
          <w:sz w:val="15"/>
        </w:rPr>
        <w:t> </w:t>
      </w:r>
      <w:r>
        <w:rPr>
          <w:sz w:val="15"/>
        </w:rPr>
        <w:t>de</w:t>
      </w:r>
      <w:r>
        <w:rPr>
          <w:spacing w:val="9"/>
          <w:sz w:val="15"/>
        </w:rPr>
        <w:t> </w:t>
      </w:r>
      <w:r>
        <w:rPr>
          <w:sz w:val="15"/>
        </w:rPr>
        <w:t>la</w:t>
      </w:r>
      <w:r>
        <w:rPr>
          <w:spacing w:val="9"/>
          <w:sz w:val="15"/>
        </w:rPr>
        <w:t> </w:t>
      </w:r>
      <w:r>
        <w:rPr>
          <w:sz w:val="15"/>
        </w:rPr>
        <w:t>obra.</w:t>
      </w:r>
    </w:p>
    <w:p>
      <w:pPr>
        <w:pStyle w:val="BodyText"/>
        <w:spacing w:before="6"/>
        <w:rPr>
          <w:sz w:val="19"/>
        </w:rPr>
      </w:pPr>
    </w:p>
    <w:p>
      <w:pPr>
        <w:pStyle w:val="ListParagraph"/>
        <w:numPr>
          <w:ilvl w:val="0"/>
          <w:numId w:val="67"/>
        </w:numPr>
        <w:tabs>
          <w:tab w:pos="587" w:val="left" w:leader="none"/>
        </w:tabs>
        <w:spacing w:line="240" w:lineRule="auto" w:before="0" w:after="0"/>
        <w:ind w:left="586" w:right="0" w:hanging="398"/>
        <w:jc w:val="both"/>
        <w:rPr>
          <w:sz w:val="15"/>
        </w:rPr>
      </w:pPr>
      <w:r>
        <w:rPr>
          <w:sz w:val="15"/>
        </w:rPr>
        <w:t>Licencias</w:t>
      </w:r>
      <w:r>
        <w:rPr>
          <w:spacing w:val="24"/>
          <w:sz w:val="15"/>
        </w:rPr>
        <w:t> </w:t>
      </w:r>
      <w:r>
        <w:rPr>
          <w:sz w:val="15"/>
        </w:rPr>
        <w:t>similares</w:t>
      </w:r>
      <w:r>
        <w:rPr>
          <w:spacing w:val="25"/>
          <w:sz w:val="15"/>
        </w:rPr>
        <w:t> </w:t>
      </w:r>
      <w:r>
        <w:rPr>
          <w:sz w:val="15"/>
        </w:rPr>
        <w:t>no</w:t>
      </w:r>
      <w:r>
        <w:rPr>
          <w:spacing w:val="24"/>
          <w:sz w:val="15"/>
        </w:rPr>
        <w:t> </w:t>
      </w:r>
      <w:r>
        <w:rPr>
          <w:sz w:val="15"/>
        </w:rPr>
        <w:t>previstas</w:t>
      </w:r>
      <w:r>
        <w:rPr>
          <w:spacing w:val="25"/>
          <w:sz w:val="15"/>
        </w:rPr>
        <w:t> </w:t>
      </w:r>
      <w:r>
        <w:rPr>
          <w:sz w:val="15"/>
        </w:rPr>
        <w:t>en</w:t>
      </w:r>
      <w:r>
        <w:rPr>
          <w:spacing w:val="24"/>
          <w:sz w:val="15"/>
        </w:rPr>
        <w:t> </w:t>
      </w:r>
      <w:r>
        <w:rPr>
          <w:sz w:val="15"/>
        </w:rPr>
        <w:t>este</w:t>
      </w:r>
      <w:r>
        <w:rPr>
          <w:spacing w:val="25"/>
          <w:sz w:val="15"/>
        </w:rPr>
        <w:t> </w:t>
      </w:r>
      <w:r>
        <w:rPr>
          <w:sz w:val="15"/>
        </w:rPr>
        <w:t>artículo,</w:t>
      </w:r>
      <w:r>
        <w:rPr>
          <w:spacing w:val="24"/>
          <w:sz w:val="15"/>
        </w:rPr>
        <w:t> </w:t>
      </w:r>
      <w:r>
        <w:rPr>
          <w:sz w:val="15"/>
        </w:rPr>
        <w:t>se</w:t>
      </w:r>
    </w:p>
    <w:p>
      <w:pPr>
        <w:spacing w:after="0" w:line="240" w:lineRule="auto"/>
        <w:jc w:val="both"/>
        <w:rPr>
          <w:sz w:val="15"/>
        </w:rPr>
        <w:sectPr>
          <w:type w:val="continuous"/>
          <w:pgSz w:w="23250" w:h="15310" w:orient="landscape"/>
          <w:pgMar w:top="0" w:bottom="0" w:left="1880" w:right="1520"/>
          <w:cols w:num="2" w:equalWidth="0">
            <w:col w:w="5667" w:space="5955"/>
            <w:col w:w="8228"/>
          </w:cols>
        </w:sectPr>
      </w:pPr>
    </w:p>
    <w:p>
      <w:pPr>
        <w:pStyle w:val="ListParagraph"/>
        <w:numPr>
          <w:ilvl w:val="0"/>
          <w:numId w:val="66"/>
        </w:numPr>
        <w:tabs>
          <w:tab w:pos="331" w:val="left" w:leader="none"/>
        </w:tabs>
        <w:spacing w:line="240" w:lineRule="auto" w:before="140" w:after="0"/>
        <w:ind w:left="330" w:right="0" w:hanging="180"/>
        <w:jc w:val="left"/>
        <w:rPr>
          <w:sz w:val="15"/>
        </w:rPr>
      </w:pPr>
      <w:r>
        <w:rPr>
          <w:sz w:val="15"/>
        </w:rPr>
        <w:t>El</w:t>
      </w:r>
      <w:r>
        <w:rPr>
          <w:spacing w:val="7"/>
          <w:sz w:val="15"/>
        </w:rPr>
        <w:t> </w:t>
      </w:r>
      <w:r>
        <w:rPr>
          <w:sz w:val="15"/>
        </w:rPr>
        <w:t>25%</w:t>
      </w:r>
      <w:r>
        <w:rPr>
          <w:spacing w:val="7"/>
          <w:sz w:val="15"/>
        </w:rPr>
        <w:t> </w:t>
      </w:r>
      <w:r>
        <w:rPr>
          <w:sz w:val="15"/>
        </w:rPr>
        <w:t>por</w:t>
      </w:r>
      <w:r>
        <w:rPr>
          <w:spacing w:val="7"/>
          <w:sz w:val="15"/>
        </w:rPr>
        <w:t> </w:t>
      </w:r>
      <w:r>
        <w:rPr>
          <w:sz w:val="15"/>
        </w:rPr>
        <w:t>metro</w:t>
      </w:r>
      <w:r>
        <w:rPr>
          <w:spacing w:val="7"/>
          <w:sz w:val="15"/>
        </w:rPr>
        <w:t> </w:t>
      </w:r>
      <w:r>
        <w:rPr>
          <w:sz w:val="15"/>
        </w:rPr>
        <w:t>cuadrado</w:t>
      </w:r>
      <w:r>
        <w:rPr>
          <w:spacing w:val="7"/>
          <w:sz w:val="15"/>
        </w:rPr>
        <w:t> </w:t>
      </w:r>
      <w:r>
        <w:rPr>
          <w:sz w:val="15"/>
        </w:rPr>
        <w:t>del</w:t>
      </w:r>
      <w:r>
        <w:rPr>
          <w:spacing w:val="7"/>
          <w:sz w:val="15"/>
        </w:rPr>
        <w:t> </w:t>
      </w:r>
      <w:r>
        <w:rPr>
          <w:sz w:val="15"/>
        </w:rPr>
        <w:t>valor</w:t>
      </w:r>
      <w:r>
        <w:rPr>
          <w:spacing w:val="7"/>
          <w:sz w:val="15"/>
        </w:rPr>
        <w:t> </w:t>
      </w:r>
      <w:r>
        <w:rPr>
          <w:sz w:val="15"/>
        </w:rPr>
        <w:t>de</w:t>
      </w:r>
      <w:r>
        <w:rPr>
          <w:spacing w:val="7"/>
          <w:sz w:val="15"/>
        </w:rPr>
        <w:t> </w:t>
      </w:r>
      <w:r>
        <w:rPr>
          <w:sz w:val="15"/>
        </w:rPr>
        <w:t>la</w:t>
      </w:r>
      <w:r>
        <w:rPr>
          <w:spacing w:val="7"/>
          <w:sz w:val="15"/>
        </w:rPr>
        <w:t> </w:t>
      </w:r>
      <w:r>
        <w:rPr>
          <w:sz w:val="15"/>
        </w:rPr>
        <w:t>licencia</w:t>
      </w:r>
      <w:r>
        <w:rPr>
          <w:spacing w:val="7"/>
          <w:sz w:val="15"/>
        </w:rPr>
        <w:t> </w:t>
      </w:r>
      <w:r>
        <w:rPr>
          <w:sz w:val="15"/>
        </w:rPr>
        <w:t>para</w:t>
      </w:r>
      <w:r>
        <w:rPr>
          <w:spacing w:val="7"/>
          <w:sz w:val="15"/>
        </w:rPr>
        <w:t> </w:t>
      </w:r>
      <w:r>
        <w:rPr>
          <w:sz w:val="15"/>
        </w:rPr>
        <w:t>usos</w:t>
      </w:r>
      <w:r>
        <w:rPr>
          <w:spacing w:val="6"/>
          <w:sz w:val="15"/>
        </w:rPr>
        <w:t> </w:t>
      </w:r>
      <w:r>
        <w:rPr>
          <w:sz w:val="15"/>
        </w:rPr>
        <w:t>habitacionales</w:t>
      </w:r>
    </w:p>
    <w:p>
      <w:pPr>
        <w:pStyle w:val="ListParagraph"/>
        <w:numPr>
          <w:ilvl w:val="0"/>
          <w:numId w:val="66"/>
        </w:numPr>
        <w:tabs>
          <w:tab w:pos="343" w:val="left" w:leader="none"/>
        </w:tabs>
        <w:spacing w:line="240" w:lineRule="auto" w:before="126" w:after="0"/>
        <w:ind w:left="342" w:right="0" w:hanging="192"/>
        <w:jc w:val="left"/>
        <w:rPr>
          <w:sz w:val="15"/>
        </w:rPr>
      </w:pPr>
      <w:r>
        <w:rPr>
          <w:sz w:val="15"/>
        </w:rPr>
        <w:t>El</w:t>
      </w:r>
      <w:r>
        <w:rPr>
          <w:spacing w:val="28"/>
          <w:sz w:val="15"/>
        </w:rPr>
        <w:t> </w:t>
      </w:r>
      <w:r>
        <w:rPr>
          <w:sz w:val="15"/>
        </w:rPr>
        <w:t>5%</w:t>
      </w:r>
      <w:r>
        <w:rPr>
          <w:spacing w:val="28"/>
          <w:sz w:val="15"/>
        </w:rPr>
        <w:t> </w:t>
      </w:r>
      <w:r>
        <w:rPr>
          <w:sz w:val="15"/>
        </w:rPr>
        <w:t>por</w:t>
      </w:r>
      <w:r>
        <w:rPr>
          <w:spacing w:val="28"/>
          <w:sz w:val="15"/>
        </w:rPr>
        <w:t> </w:t>
      </w:r>
      <w:r>
        <w:rPr>
          <w:sz w:val="15"/>
        </w:rPr>
        <w:t>metro</w:t>
      </w:r>
      <w:r>
        <w:rPr>
          <w:spacing w:val="28"/>
          <w:sz w:val="15"/>
        </w:rPr>
        <w:t> </w:t>
      </w:r>
      <w:r>
        <w:rPr>
          <w:sz w:val="15"/>
        </w:rPr>
        <w:t>cuadrado</w:t>
      </w:r>
      <w:r>
        <w:rPr>
          <w:spacing w:val="28"/>
          <w:sz w:val="15"/>
        </w:rPr>
        <w:t> </w:t>
      </w:r>
      <w:r>
        <w:rPr>
          <w:sz w:val="15"/>
        </w:rPr>
        <w:t>del</w:t>
      </w:r>
      <w:r>
        <w:rPr>
          <w:spacing w:val="28"/>
          <w:sz w:val="15"/>
        </w:rPr>
        <w:t> </w:t>
      </w:r>
      <w:r>
        <w:rPr>
          <w:sz w:val="15"/>
        </w:rPr>
        <w:t>valor</w:t>
      </w:r>
      <w:r>
        <w:rPr>
          <w:spacing w:val="28"/>
          <w:sz w:val="15"/>
        </w:rPr>
        <w:t> </w:t>
      </w:r>
      <w:r>
        <w:rPr>
          <w:sz w:val="15"/>
        </w:rPr>
        <w:t>de</w:t>
      </w:r>
      <w:r>
        <w:rPr>
          <w:spacing w:val="29"/>
          <w:sz w:val="15"/>
        </w:rPr>
        <w:t> </w:t>
      </w:r>
      <w:r>
        <w:rPr>
          <w:sz w:val="15"/>
        </w:rPr>
        <w:t>la</w:t>
      </w:r>
      <w:r>
        <w:rPr>
          <w:spacing w:val="27"/>
          <w:sz w:val="15"/>
        </w:rPr>
        <w:t> </w:t>
      </w:r>
      <w:r>
        <w:rPr>
          <w:sz w:val="15"/>
        </w:rPr>
        <w:t>licencia</w:t>
      </w:r>
      <w:r>
        <w:rPr>
          <w:spacing w:val="27"/>
          <w:sz w:val="15"/>
        </w:rPr>
        <w:t> </w:t>
      </w:r>
      <w:r>
        <w:rPr>
          <w:sz w:val="15"/>
        </w:rPr>
        <w:t>cuando</w:t>
      </w:r>
      <w:r>
        <w:rPr>
          <w:spacing w:val="29"/>
          <w:sz w:val="15"/>
        </w:rPr>
        <w:t> </w:t>
      </w:r>
      <w:r>
        <w:rPr>
          <w:sz w:val="15"/>
        </w:rPr>
        <w:t>sea</w:t>
      </w:r>
      <w:r>
        <w:rPr>
          <w:spacing w:val="29"/>
          <w:sz w:val="15"/>
        </w:rPr>
        <w:t> </w:t>
      </w:r>
      <w:r>
        <w:rPr>
          <w:sz w:val="15"/>
        </w:rPr>
        <w:t>destinado</w:t>
      </w:r>
      <w:r>
        <w:rPr>
          <w:spacing w:val="27"/>
          <w:sz w:val="15"/>
        </w:rPr>
        <w:t> </w:t>
      </w:r>
      <w:r>
        <w:rPr>
          <w:sz w:val="15"/>
        </w:rPr>
        <w:t>a</w:t>
      </w:r>
    </w:p>
    <w:p>
      <w:pPr>
        <w:pStyle w:val="BodyText"/>
        <w:spacing w:line="247" w:lineRule="auto" w:before="5"/>
        <w:ind w:left="151" w:right="133"/>
      </w:pPr>
      <w:r>
        <w:rPr/>
        <w:br w:type="column"/>
      </w:r>
      <w:r>
        <w:rPr/>
        <w:t>cobrará por metro cuadrado, metro lineal o fracción según sea   el</w:t>
      </w:r>
      <w:r>
        <w:rPr>
          <w:spacing w:val="1"/>
        </w:rPr>
        <w:t> </w:t>
      </w:r>
      <w:r>
        <w:rPr/>
        <w:t>caso:</w:t>
      </w:r>
    </w:p>
    <w:p>
      <w:pPr>
        <w:pStyle w:val="BodyText"/>
        <w:spacing w:before="1"/>
        <w:rPr>
          <w:sz w:val="16"/>
        </w:rPr>
      </w:pPr>
    </w:p>
    <w:p>
      <w:pPr>
        <w:pStyle w:val="ListParagraph"/>
        <w:numPr>
          <w:ilvl w:val="0"/>
          <w:numId w:val="67"/>
        </w:numPr>
        <w:tabs>
          <w:tab w:pos="553" w:val="left" w:leader="none"/>
        </w:tabs>
        <w:spacing w:line="71" w:lineRule="exact" w:before="0" w:after="0"/>
        <w:ind w:left="552" w:right="0" w:hanging="402"/>
        <w:jc w:val="left"/>
        <w:rPr>
          <w:sz w:val="15"/>
        </w:rPr>
      </w:pPr>
      <w:r>
        <w:rPr>
          <w:sz w:val="15"/>
        </w:rPr>
        <w:t>Por revisión del proyecto de edificación, se cobrará</w:t>
      </w:r>
      <w:r>
        <w:rPr>
          <w:spacing w:val="-13"/>
          <w:sz w:val="15"/>
        </w:rPr>
        <w:t> </w:t>
      </w:r>
      <w:r>
        <w:rPr>
          <w:sz w:val="15"/>
        </w:rPr>
        <w:t>por</w:t>
      </w:r>
    </w:p>
    <w:p>
      <w:pPr>
        <w:pStyle w:val="BodyText"/>
        <w:spacing w:before="5"/>
        <w:ind w:left="151"/>
      </w:pPr>
      <w:r>
        <w:rPr/>
        <w:br w:type="column"/>
      </w:r>
      <w:r>
        <w:rPr/>
        <w:t>$63.00</w:t>
      </w:r>
    </w:p>
    <w:p>
      <w:pPr>
        <w:spacing w:after="0"/>
        <w:sectPr>
          <w:type w:val="continuous"/>
          <w:pgSz w:w="23250" w:h="15310" w:orient="landscape"/>
          <w:pgMar w:top="0" w:bottom="0" w:left="1880" w:right="1520"/>
          <w:cols w:num="3" w:equalWidth="0">
            <w:col w:w="5667" w:space="5994"/>
            <w:col w:w="4545" w:space="332"/>
            <w:col w:w="3312"/>
          </w:cols>
        </w:sectPr>
      </w:pPr>
    </w:p>
    <w:p>
      <w:pPr>
        <w:pStyle w:val="BodyText"/>
        <w:spacing w:line="247" w:lineRule="auto"/>
        <w:ind w:left="151" w:right="2144"/>
      </w:pPr>
      <w:r>
        <w:rPr/>
        <w:t>invernaderos en producción agrícola, así como  instalaciones  de  paneles solares.</w:t>
      </w:r>
    </w:p>
    <w:p>
      <w:pPr>
        <w:pStyle w:val="BodyText"/>
        <w:spacing w:before="5"/>
        <w:rPr>
          <w:sz w:val="19"/>
        </w:rPr>
      </w:pPr>
    </w:p>
    <w:p>
      <w:pPr>
        <w:pStyle w:val="BodyText"/>
        <w:spacing w:line="247" w:lineRule="auto"/>
        <w:ind w:left="151" w:right="2120"/>
        <w:jc w:val="both"/>
      </w:pPr>
      <w:r>
        <w:rPr/>
        <w:t>XV. Licencia o Permiso para la colocación de estructuras y/o antenas de telecomunicación, previo dictamen expedido por la Dirección General de Ordenamiento Territorial, por cada una:</w:t>
      </w:r>
    </w:p>
    <w:p>
      <w:pPr>
        <w:pStyle w:val="ListParagraph"/>
        <w:numPr>
          <w:ilvl w:val="0"/>
          <w:numId w:val="68"/>
        </w:numPr>
        <w:tabs>
          <w:tab w:pos="413" w:val="left" w:leader="none"/>
        </w:tabs>
        <w:spacing w:line="247" w:lineRule="auto" w:before="79" w:after="0"/>
        <w:ind w:left="199" w:right="3193" w:firstLine="0"/>
        <w:jc w:val="both"/>
        <w:rPr>
          <w:sz w:val="15"/>
        </w:rPr>
      </w:pPr>
      <w:r>
        <w:rPr/>
        <w:pict>
          <v:shape style="position:absolute;margin-left:329.295227pt;margin-top:8.438740pt;width:733.8pt;height:63.1pt;mso-position-horizontal-relative:page;mso-position-vertical-relative:paragraph;z-index:2516971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5"/>
                    <w:gridCol w:w="10721"/>
                  </w:tblGrid>
                  <w:tr>
                    <w:trPr>
                      <w:trHeight w:val="188" w:hRule="atLeast"/>
                    </w:trPr>
                    <w:tc>
                      <w:tcPr>
                        <w:tcW w:w="3955" w:type="dxa"/>
                      </w:tcPr>
                      <w:p>
                        <w:pPr>
                          <w:pStyle w:val="TableParagraph"/>
                          <w:spacing w:line="168" w:lineRule="exact"/>
                          <w:ind w:left="71"/>
                          <w:rPr>
                            <w:sz w:val="15"/>
                          </w:rPr>
                        </w:pPr>
                        <w:r>
                          <w:rPr>
                            <w:sz w:val="15"/>
                          </w:rPr>
                          <w:t>$13,402.00</w:t>
                        </w:r>
                      </w:p>
                    </w:tc>
                    <w:tc>
                      <w:tcPr>
                        <w:tcW w:w="10721" w:type="dxa"/>
                      </w:tcPr>
                      <w:p>
                        <w:pPr>
                          <w:pStyle w:val="TableParagraph"/>
                          <w:rPr>
                            <w:rFonts w:ascii="Times New Roman"/>
                            <w:sz w:val="12"/>
                          </w:rPr>
                        </w:pPr>
                      </w:p>
                    </w:tc>
                  </w:tr>
                  <w:tr>
                    <w:trPr>
                      <w:trHeight w:val="190" w:hRule="atLeast"/>
                    </w:trPr>
                    <w:tc>
                      <w:tcPr>
                        <w:tcW w:w="3955" w:type="dxa"/>
                      </w:tcPr>
                      <w:p>
                        <w:pPr>
                          <w:pStyle w:val="TableParagraph"/>
                          <w:rPr>
                            <w:rFonts w:ascii="Times New Roman"/>
                            <w:sz w:val="12"/>
                          </w:rPr>
                        </w:pPr>
                      </w:p>
                    </w:tc>
                    <w:tc>
                      <w:tcPr>
                        <w:tcW w:w="10721" w:type="dxa"/>
                      </w:tcPr>
                      <w:p>
                        <w:pPr>
                          <w:pStyle w:val="TableParagraph"/>
                          <w:spacing w:line="156" w:lineRule="exact" w:before="15"/>
                          <w:ind w:left="3150"/>
                          <w:rPr>
                            <w:sz w:val="15"/>
                          </w:rPr>
                        </w:pPr>
                        <w:r>
                          <w:rPr>
                            <w:sz w:val="15"/>
                          </w:rPr>
                          <w:t>XXIII. Las construcciones, podrán obtener un incentivo fiscal sobre el costo de</w:t>
                        </w:r>
                      </w:p>
                    </w:tc>
                  </w:tr>
                  <w:tr>
                    <w:trPr>
                      <w:trHeight w:val="177" w:hRule="atLeast"/>
                    </w:trPr>
                    <w:tc>
                      <w:tcPr>
                        <w:tcW w:w="3955" w:type="dxa"/>
                      </w:tcPr>
                      <w:p>
                        <w:pPr>
                          <w:pStyle w:val="TableParagraph"/>
                          <w:rPr>
                            <w:rFonts w:ascii="Times New Roman"/>
                            <w:sz w:val="10"/>
                          </w:rPr>
                        </w:pPr>
                      </w:p>
                    </w:tc>
                    <w:tc>
                      <w:tcPr>
                        <w:tcW w:w="10721" w:type="dxa"/>
                      </w:tcPr>
                      <w:p>
                        <w:pPr>
                          <w:pStyle w:val="TableParagraph"/>
                          <w:spacing w:line="156" w:lineRule="exact" w:before="1"/>
                          <w:ind w:left="3150"/>
                          <w:rPr>
                            <w:sz w:val="15"/>
                          </w:rPr>
                        </w:pPr>
                        <w:r>
                          <w:rPr>
                            <w:sz w:val="15"/>
                          </w:rPr>
                          <w:t>la licencia de edificación, consistente en un 20% el cumplimiento de los</w:t>
                        </w:r>
                      </w:p>
                    </w:tc>
                  </w:tr>
                  <w:tr>
                    <w:trPr>
                      <w:trHeight w:val="268" w:hRule="atLeast"/>
                    </w:trPr>
                    <w:tc>
                      <w:tcPr>
                        <w:tcW w:w="3955" w:type="dxa"/>
                      </w:tcPr>
                      <w:p>
                        <w:pPr>
                          <w:pStyle w:val="TableParagraph"/>
                          <w:spacing w:before="6"/>
                          <w:ind w:left="50"/>
                          <w:rPr>
                            <w:sz w:val="15"/>
                          </w:rPr>
                        </w:pPr>
                        <w:r>
                          <w:rPr>
                            <w:sz w:val="15"/>
                          </w:rPr>
                          <w:t>$26,803.00</w:t>
                        </w:r>
                      </w:p>
                    </w:tc>
                    <w:tc>
                      <w:tcPr>
                        <w:tcW w:w="10721" w:type="dxa"/>
                      </w:tcPr>
                      <w:p>
                        <w:pPr>
                          <w:pStyle w:val="TableParagraph"/>
                          <w:spacing w:before="1"/>
                          <w:ind w:left="3150"/>
                          <w:rPr>
                            <w:sz w:val="15"/>
                          </w:rPr>
                        </w:pPr>
                        <w:r>
                          <w:rPr>
                            <w:sz w:val="15"/>
                          </w:rPr>
                          <w:t>citados a continuación, que sea incorporado a la edificación:</w:t>
                        </w:r>
                      </w:p>
                    </w:tc>
                  </w:tr>
                  <w:tr>
                    <w:trPr>
                      <w:trHeight w:val="437" w:hRule="atLeast"/>
                    </w:trPr>
                    <w:tc>
                      <w:tcPr>
                        <w:tcW w:w="3955" w:type="dxa"/>
                      </w:tcPr>
                      <w:p>
                        <w:pPr>
                          <w:pStyle w:val="TableParagraph"/>
                          <w:spacing w:before="11"/>
                          <w:rPr>
                            <w:sz w:val="21"/>
                          </w:rPr>
                        </w:pPr>
                      </w:p>
                      <w:p>
                        <w:pPr>
                          <w:pStyle w:val="TableParagraph"/>
                          <w:spacing w:line="164" w:lineRule="exact"/>
                          <w:ind w:left="50"/>
                          <w:rPr>
                            <w:sz w:val="15"/>
                          </w:rPr>
                        </w:pPr>
                        <w:r>
                          <w:rPr>
                            <w:sz w:val="15"/>
                          </w:rPr>
                          <w:t>$40,202.00</w:t>
                        </w:r>
                      </w:p>
                    </w:tc>
                    <w:tc>
                      <w:tcPr>
                        <w:tcW w:w="10721" w:type="dxa"/>
                      </w:tcPr>
                      <w:p>
                        <w:pPr>
                          <w:pStyle w:val="TableParagraph"/>
                          <w:spacing w:before="86"/>
                          <w:ind w:left="3112"/>
                          <w:rPr>
                            <w:sz w:val="15"/>
                          </w:rPr>
                        </w:pPr>
                        <w:r>
                          <w:rPr>
                            <w:sz w:val="15"/>
                          </w:rPr>
                          <w:t>a) Regaderas, mono mandos, manerales y sanitarios de bajo o nulo consumo de agua, luminarias o lámparas</w:t>
                        </w:r>
                      </w:p>
                      <w:p>
                        <w:pPr>
                          <w:pStyle w:val="TableParagraph"/>
                          <w:spacing w:line="153" w:lineRule="exact" w:before="5"/>
                          <w:ind w:left="3112"/>
                          <w:rPr>
                            <w:sz w:val="15"/>
                          </w:rPr>
                        </w:pPr>
                        <w:r>
                          <w:rPr>
                            <w:sz w:val="15"/>
                          </w:rPr>
                          <w:t>L.E.D. instaladas en el total de la vivienda.</w:t>
                        </w:r>
                      </w:p>
                    </w:tc>
                  </w:tr>
                </w:tbl>
                <w:p>
                  <w:pPr>
                    <w:pStyle w:val="BodyText"/>
                  </w:pPr>
                </w:p>
              </w:txbxContent>
            </v:textbox>
            <w10:wrap type="none"/>
          </v:shape>
        </w:pict>
      </w:r>
      <w:r>
        <w:rPr>
          <w:sz w:val="15"/>
        </w:rPr>
        <w:t>Antena con altura máxima de 3 metros sobre el nivel de desplante de la</w:t>
      </w:r>
      <w:r>
        <w:rPr>
          <w:spacing w:val="4"/>
          <w:sz w:val="15"/>
        </w:rPr>
        <w:t> </w:t>
      </w:r>
      <w:r>
        <w:rPr>
          <w:sz w:val="15"/>
        </w:rPr>
        <w:t>misma:</w:t>
      </w:r>
    </w:p>
    <w:p>
      <w:pPr>
        <w:pStyle w:val="BodyText"/>
        <w:spacing w:before="1"/>
        <w:rPr>
          <w:sz w:val="18"/>
        </w:rPr>
      </w:pPr>
    </w:p>
    <w:p>
      <w:pPr>
        <w:pStyle w:val="ListParagraph"/>
        <w:numPr>
          <w:ilvl w:val="0"/>
          <w:numId w:val="68"/>
        </w:numPr>
        <w:tabs>
          <w:tab w:pos="405" w:val="left" w:leader="none"/>
        </w:tabs>
        <w:spacing w:line="247" w:lineRule="auto" w:before="0" w:after="0"/>
        <w:ind w:left="151" w:right="3219" w:firstLine="42"/>
        <w:jc w:val="both"/>
        <w:rPr>
          <w:sz w:val="15"/>
        </w:rPr>
      </w:pPr>
      <w:r>
        <w:rPr>
          <w:sz w:val="15"/>
        </w:rPr>
        <w:t>Antena con altura entre 3.01 metros y 6  metros  sobre</w:t>
      </w:r>
      <w:r>
        <w:rPr>
          <w:spacing w:val="23"/>
          <w:sz w:val="15"/>
        </w:rPr>
        <w:t> </w:t>
      </w:r>
      <w:r>
        <w:rPr>
          <w:sz w:val="15"/>
        </w:rPr>
        <w:t>el nivel de desplante de la</w:t>
      </w:r>
      <w:r>
        <w:rPr>
          <w:spacing w:val="8"/>
          <w:sz w:val="15"/>
        </w:rPr>
        <w:t> </w:t>
      </w:r>
      <w:r>
        <w:rPr>
          <w:sz w:val="15"/>
        </w:rPr>
        <w:t>misma:</w:t>
      </w:r>
    </w:p>
    <w:p>
      <w:pPr>
        <w:pStyle w:val="BodyText"/>
        <w:spacing w:before="10"/>
        <w:rPr>
          <w:sz w:val="13"/>
        </w:rPr>
      </w:pPr>
    </w:p>
    <w:p>
      <w:pPr>
        <w:pStyle w:val="ListParagraph"/>
        <w:numPr>
          <w:ilvl w:val="0"/>
          <w:numId w:val="68"/>
        </w:numPr>
        <w:tabs>
          <w:tab w:pos="393" w:val="left" w:leader="none"/>
        </w:tabs>
        <w:spacing w:line="247" w:lineRule="auto" w:before="1" w:after="0"/>
        <w:ind w:left="151" w:right="3221" w:firstLine="42"/>
        <w:jc w:val="left"/>
        <w:rPr>
          <w:sz w:val="15"/>
        </w:rPr>
      </w:pPr>
      <w:r>
        <w:rPr>
          <w:sz w:val="15"/>
        </w:rPr>
        <w:t>Antena con altura mayor a 6 metros de sobre el nivel de desplante de la</w:t>
      </w:r>
      <w:r>
        <w:rPr>
          <w:spacing w:val="4"/>
          <w:sz w:val="15"/>
        </w:rPr>
        <w:t> </w:t>
      </w:r>
      <w:r>
        <w:rPr>
          <w:sz w:val="15"/>
        </w:rPr>
        <w:t>misma:</w:t>
      </w:r>
    </w:p>
    <w:p>
      <w:pPr>
        <w:pStyle w:val="ListParagraph"/>
        <w:numPr>
          <w:ilvl w:val="0"/>
          <w:numId w:val="68"/>
        </w:numPr>
        <w:tabs>
          <w:tab w:pos="334" w:val="left" w:leader="none"/>
        </w:tabs>
        <w:spacing w:line="247" w:lineRule="auto" w:before="78" w:after="0"/>
        <w:ind w:left="151" w:right="38" w:firstLine="0"/>
        <w:jc w:val="left"/>
        <w:rPr>
          <w:sz w:val="15"/>
        </w:rPr>
      </w:pPr>
      <w:r>
        <w:rPr>
          <w:sz w:val="15"/>
        </w:rPr>
        <w:t>Por la instalación de cableado en espacios públicos de redes de telecomunicaciones, se pagarán una cuota por cada por cada 10 metros lineales o fracción, conforme a lo</w:t>
      </w:r>
      <w:r>
        <w:rPr>
          <w:spacing w:val="29"/>
          <w:sz w:val="15"/>
        </w:rPr>
        <w:t> </w:t>
      </w:r>
      <w:r>
        <w:rPr>
          <w:sz w:val="15"/>
        </w:rPr>
        <w:t>siguiente:</w:t>
      </w:r>
    </w:p>
    <w:p>
      <w:pPr>
        <w:pStyle w:val="BodyText"/>
        <w:spacing w:before="3"/>
      </w:pPr>
    </w:p>
    <w:p>
      <w:pPr>
        <w:pStyle w:val="BodyText"/>
        <w:spacing w:line="494" w:lineRule="auto"/>
        <w:ind w:left="408" w:right="5621"/>
      </w:pPr>
      <w:r>
        <w:rPr/>
        <w:t>1.- Aérea o Visible: $6.00 2.- Subterráneo: $2.00</w:t>
      </w:r>
    </w:p>
    <w:p>
      <w:pPr>
        <w:pStyle w:val="BodyText"/>
        <w:tabs>
          <w:tab w:pos="4980" w:val="left" w:leader="none"/>
        </w:tabs>
        <w:spacing w:before="16"/>
        <w:ind w:left="189"/>
      </w:pPr>
      <w:r>
        <w:rPr/>
        <w:br w:type="column"/>
      </w:r>
      <w:r>
        <w:rPr/>
        <w:t>cada</w:t>
      </w:r>
      <w:r>
        <w:rPr>
          <w:spacing w:val="4"/>
        </w:rPr>
        <w:t> </w:t>
      </w:r>
      <w:r>
        <w:rPr/>
        <w:t>uno:</w:t>
        <w:tab/>
      </w:r>
      <w:r>
        <w:rPr>
          <w:position w:val="9"/>
        </w:rPr>
        <w:t>$402.00</w:t>
      </w:r>
    </w:p>
    <w:p>
      <w:pPr>
        <w:pStyle w:val="ListParagraph"/>
        <w:numPr>
          <w:ilvl w:val="0"/>
          <w:numId w:val="69"/>
        </w:numPr>
        <w:tabs>
          <w:tab w:pos="399" w:val="left" w:leader="none"/>
        </w:tabs>
        <w:spacing w:line="247" w:lineRule="auto" w:before="143" w:after="0"/>
        <w:ind w:left="189" w:right="3676" w:firstLine="0"/>
        <w:jc w:val="both"/>
        <w:rPr>
          <w:sz w:val="15"/>
        </w:rPr>
      </w:pPr>
      <w:r>
        <w:rPr>
          <w:sz w:val="15"/>
        </w:rPr>
        <w:t>Para los casos de la presente fracción no se considerará revisión de proyecto la verificación de las modificaciones al proyecto que se soliciten al contribuyente, pero si  la  modificación al proyecto es a instancia del contribuyente sí se deberá</w:t>
      </w:r>
      <w:r>
        <w:rPr>
          <w:spacing w:val="7"/>
          <w:sz w:val="15"/>
        </w:rPr>
        <w:t> </w:t>
      </w:r>
      <w:r>
        <w:rPr>
          <w:sz w:val="15"/>
        </w:rPr>
        <w:t>pagar</w:t>
      </w:r>
      <w:r>
        <w:rPr>
          <w:spacing w:val="8"/>
          <w:sz w:val="15"/>
        </w:rPr>
        <w:t> </w:t>
      </w:r>
      <w:r>
        <w:rPr>
          <w:sz w:val="15"/>
        </w:rPr>
        <w:t>el</w:t>
      </w:r>
      <w:r>
        <w:rPr>
          <w:spacing w:val="7"/>
          <w:sz w:val="15"/>
        </w:rPr>
        <w:t> </w:t>
      </w:r>
      <w:r>
        <w:rPr>
          <w:sz w:val="15"/>
        </w:rPr>
        <w:t>derecho</w:t>
      </w:r>
      <w:r>
        <w:rPr>
          <w:spacing w:val="8"/>
          <w:sz w:val="15"/>
        </w:rPr>
        <w:t> </w:t>
      </w:r>
      <w:r>
        <w:rPr>
          <w:sz w:val="15"/>
        </w:rPr>
        <w:t>establecido</w:t>
      </w:r>
      <w:r>
        <w:rPr>
          <w:spacing w:val="8"/>
          <w:sz w:val="15"/>
        </w:rPr>
        <w:t> </w:t>
      </w:r>
      <w:r>
        <w:rPr>
          <w:sz w:val="15"/>
        </w:rPr>
        <w:t>en</w:t>
      </w:r>
      <w:r>
        <w:rPr>
          <w:spacing w:val="7"/>
          <w:sz w:val="15"/>
        </w:rPr>
        <w:t> </w:t>
      </w:r>
      <w:r>
        <w:rPr>
          <w:sz w:val="15"/>
        </w:rPr>
        <w:t>la</w:t>
      </w:r>
      <w:r>
        <w:rPr>
          <w:spacing w:val="8"/>
          <w:sz w:val="15"/>
        </w:rPr>
        <w:t> </w:t>
      </w:r>
      <w:r>
        <w:rPr>
          <w:sz w:val="15"/>
        </w:rPr>
        <w:t>presente</w:t>
      </w:r>
      <w:r>
        <w:rPr>
          <w:spacing w:val="8"/>
          <w:sz w:val="15"/>
        </w:rPr>
        <w:t> </w:t>
      </w:r>
      <w:r>
        <w:rPr>
          <w:sz w:val="15"/>
        </w:rPr>
        <w:t>fracción;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ListParagraph"/>
        <w:numPr>
          <w:ilvl w:val="0"/>
          <w:numId w:val="69"/>
        </w:numPr>
        <w:tabs>
          <w:tab w:pos="331" w:val="left" w:leader="none"/>
        </w:tabs>
        <w:spacing w:line="240" w:lineRule="auto" w:before="126" w:after="0"/>
        <w:ind w:left="330" w:right="0" w:hanging="180"/>
        <w:jc w:val="both"/>
        <w:rPr>
          <w:sz w:val="15"/>
        </w:rPr>
      </w:pPr>
      <w:r>
        <w:rPr>
          <w:sz w:val="15"/>
        </w:rPr>
        <w:t>Calentador</w:t>
      </w:r>
      <w:r>
        <w:rPr>
          <w:spacing w:val="1"/>
          <w:sz w:val="15"/>
        </w:rPr>
        <w:t> </w:t>
      </w:r>
      <w:r>
        <w:rPr>
          <w:sz w:val="15"/>
        </w:rPr>
        <w:t>solar.</w:t>
      </w:r>
    </w:p>
    <w:p>
      <w:pPr>
        <w:pStyle w:val="BodyText"/>
        <w:spacing w:before="8"/>
      </w:pPr>
    </w:p>
    <w:p>
      <w:pPr>
        <w:pStyle w:val="ListParagraph"/>
        <w:numPr>
          <w:ilvl w:val="0"/>
          <w:numId w:val="69"/>
        </w:numPr>
        <w:tabs>
          <w:tab w:pos="350" w:val="left" w:leader="none"/>
        </w:tabs>
        <w:spacing w:line="247" w:lineRule="auto" w:before="0" w:after="0"/>
        <w:ind w:left="151" w:right="510" w:firstLine="0"/>
        <w:jc w:val="left"/>
        <w:rPr>
          <w:sz w:val="15"/>
        </w:rPr>
      </w:pPr>
      <w:r>
        <w:rPr>
          <w:sz w:val="15"/>
        </w:rPr>
        <w:t>Sistema para la captación, filtración, almacenamiento y usos de agua pluviales, previa autorización del proyecto por la Dirección de Agua Potable de este</w:t>
      </w:r>
      <w:r>
        <w:rPr>
          <w:spacing w:val="17"/>
          <w:sz w:val="15"/>
        </w:rPr>
        <w:t> </w:t>
      </w:r>
      <w:r>
        <w:rPr>
          <w:sz w:val="15"/>
        </w:rPr>
        <w:t>Municipio.</w:t>
      </w:r>
    </w:p>
    <w:p>
      <w:pPr>
        <w:pStyle w:val="BodyText"/>
        <w:spacing w:before="4"/>
      </w:pPr>
    </w:p>
    <w:p>
      <w:pPr>
        <w:pStyle w:val="ListParagraph"/>
        <w:numPr>
          <w:ilvl w:val="0"/>
          <w:numId w:val="69"/>
        </w:numPr>
        <w:tabs>
          <w:tab w:pos="331" w:val="left" w:leader="none"/>
        </w:tabs>
        <w:spacing w:line="240" w:lineRule="auto" w:before="0" w:after="0"/>
        <w:ind w:left="330" w:right="0" w:hanging="180"/>
        <w:jc w:val="left"/>
        <w:rPr>
          <w:sz w:val="15"/>
        </w:rPr>
      </w:pPr>
      <w:r>
        <w:rPr>
          <w:sz w:val="15"/>
        </w:rPr>
        <w:t>Celdas solares</w:t>
      </w:r>
      <w:r>
        <w:rPr>
          <w:spacing w:val="2"/>
          <w:sz w:val="15"/>
        </w:rPr>
        <w:t> </w:t>
      </w:r>
      <w:r>
        <w:rPr>
          <w:sz w:val="15"/>
        </w:rPr>
        <w:t>fotovoltaicas.</w:t>
      </w:r>
    </w:p>
    <w:p>
      <w:pPr>
        <w:spacing w:after="0" w:line="240" w:lineRule="auto"/>
        <w:jc w:val="left"/>
        <w:rPr>
          <w:sz w:val="15"/>
        </w:rPr>
        <w:sectPr>
          <w:type w:val="continuous"/>
          <w:pgSz w:w="23250" w:h="15310" w:orient="landscape"/>
          <w:pgMar w:top="0" w:bottom="0" w:left="1880" w:right="1520"/>
          <w:cols w:num="2" w:equalWidth="0">
            <w:col w:w="7749" w:space="3873"/>
            <w:col w:w="8228"/>
          </w:cols>
        </w:sectPr>
      </w:pPr>
    </w:p>
    <w:p>
      <w:pPr>
        <w:pStyle w:val="BodyText"/>
        <w:rPr>
          <w:sz w:val="20"/>
        </w:rPr>
      </w:pPr>
    </w:p>
    <w:p>
      <w:pPr>
        <w:pStyle w:val="BodyText"/>
        <w:spacing w:before="7"/>
        <w:rPr>
          <w:sz w:val="29"/>
        </w:rPr>
      </w:pPr>
    </w:p>
    <w:p>
      <w:pPr>
        <w:spacing w:after="0"/>
        <w:rPr>
          <w:sz w:val="29"/>
        </w:rPr>
        <w:sectPr>
          <w:headerReference w:type="default" r:id="rId71"/>
          <w:pgSz w:w="23250" w:h="15310" w:orient="landscape"/>
          <w:pgMar w:header="881" w:footer="499" w:top="1920" w:bottom="680" w:left="1880" w:right="1520"/>
        </w:sectPr>
      </w:pPr>
    </w:p>
    <w:p>
      <w:pPr>
        <w:pStyle w:val="BodyText"/>
        <w:rPr>
          <w:sz w:val="16"/>
        </w:rPr>
      </w:pPr>
    </w:p>
    <w:p>
      <w:pPr>
        <w:pStyle w:val="ListParagraph"/>
        <w:numPr>
          <w:ilvl w:val="0"/>
          <w:numId w:val="70"/>
        </w:numPr>
        <w:tabs>
          <w:tab w:pos="626" w:val="left" w:leader="none"/>
        </w:tabs>
        <w:spacing w:line="247" w:lineRule="auto" w:before="92" w:after="0"/>
        <w:ind w:left="151" w:right="39" w:firstLine="0"/>
        <w:jc w:val="both"/>
        <w:rPr>
          <w:sz w:val="15"/>
        </w:rPr>
      </w:pPr>
      <w:r>
        <w:rPr>
          <w:sz w:val="15"/>
        </w:rPr>
        <w:t>La Tesorería Municipal aplicará el incentivo fiscal, con carácter de bonificación previa  verificación  siempre y cuando no se haya otorgado previamente otro incentivo fiscal y dictamen procedente por parte de la autoridad competente, señalando claramente el cumplimiento del total de los elementos ecológicos que fueron incorporados.</w:t>
      </w:r>
    </w:p>
    <w:p>
      <w:pPr>
        <w:pStyle w:val="BodyText"/>
        <w:spacing w:before="2"/>
      </w:pPr>
    </w:p>
    <w:p>
      <w:pPr>
        <w:pStyle w:val="ListParagraph"/>
        <w:numPr>
          <w:ilvl w:val="0"/>
          <w:numId w:val="70"/>
        </w:numPr>
        <w:tabs>
          <w:tab w:pos="549" w:val="left" w:leader="none"/>
        </w:tabs>
        <w:spacing w:line="247" w:lineRule="auto" w:before="0" w:after="0"/>
        <w:ind w:left="151" w:right="41" w:firstLine="0"/>
        <w:jc w:val="both"/>
        <w:rPr>
          <w:sz w:val="15"/>
        </w:rPr>
      </w:pPr>
      <w:r>
        <w:rPr>
          <w:sz w:val="15"/>
        </w:rPr>
        <w:t>La Autoridad competente podrá negar el certificado de habitabilidad en caso de que previa verificación y dictamen correspondiente, se constate que el proyecto arquitectónico no coincide con los planos originales y   por los cuales se autorizaron los correspondientes descuentos señalados en esta</w:t>
      </w:r>
      <w:r>
        <w:rPr>
          <w:spacing w:val="2"/>
          <w:sz w:val="15"/>
        </w:rPr>
        <w:t> </w:t>
      </w:r>
      <w:r>
        <w:rPr>
          <w:sz w:val="15"/>
        </w:rPr>
        <w:t>fracción.</w:t>
      </w:r>
    </w:p>
    <w:p>
      <w:pPr>
        <w:pStyle w:val="BodyText"/>
        <w:spacing w:before="3"/>
      </w:pPr>
    </w:p>
    <w:p>
      <w:pPr>
        <w:pStyle w:val="BodyText"/>
        <w:spacing w:line="247" w:lineRule="auto"/>
        <w:ind w:left="151" w:right="40" w:firstLine="397"/>
        <w:jc w:val="both"/>
      </w:pPr>
      <w:r>
        <w:rPr>
          <w:b/>
        </w:rPr>
        <w:t>Artículo 82.- </w:t>
      </w:r>
      <w:r>
        <w:rPr/>
        <w:t>Conforme al artículo 115, fracción V de la Constitución Política de los Estados Unidos Mexicanos, las regularizaciones de predios se llevarán a cabo mediante la aplicación de las disposiciones contenidas en el Código Urbano para el Estado de Jalisco; hecho lo anterior, se autorizarán los permisos de construcción que al efecto se soliciten.</w:t>
      </w:r>
    </w:p>
    <w:p>
      <w:pPr>
        <w:pStyle w:val="BodyText"/>
        <w:spacing w:before="2"/>
      </w:pPr>
    </w:p>
    <w:p>
      <w:pPr>
        <w:pStyle w:val="BodyText"/>
        <w:spacing w:line="247" w:lineRule="auto"/>
        <w:ind w:left="151" w:right="40" w:firstLine="397"/>
        <w:jc w:val="both"/>
      </w:pPr>
      <w:r>
        <w:rPr/>
        <w:t>La autorización de permisos de construcción para predios irregulares, de ninguna manera implicará la regularización de los mismos.</w:t>
      </w:r>
    </w:p>
    <w:p>
      <w:pPr>
        <w:pStyle w:val="BodyText"/>
        <w:spacing w:before="4"/>
      </w:pPr>
    </w:p>
    <w:p>
      <w:pPr>
        <w:pStyle w:val="BodyText"/>
        <w:spacing w:line="244" w:lineRule="auto"/>
        <w:ind w:left="151" w:right="38" w:firstLine="397"/>
        <w:jc w:val="both"/>
      </w:pPr>
      <w:r>
        <w:rPr>
          <w:b/>
        </w:rPr>
        <w:t>Artículo 83.- </w:t>
      </w:r>
      <w:r>
        <w:rPr/>
        <w:t>Respecto a los derechos correspondientes por la expedición de permisos o licencias de construcción, aplicarán los siguientes beneficios fiscales:</w:t>
      </w:r>
    </w:p>
    <w:p>
      <w:pPr>
        <w:pStyle w:val="BodyText"/>
        <w:spacing w:before="6"/>
      </w:pPr>
    </w:p>
    <w:p>
      <w:pPr>
        <w:pStyle w:val="ListParagraph"/>
        <w:numPr>
          <w:ilvl w:val="1"/>
          <w:numId w:val="70"/>
        </w:numPr>
        <w:tabs>
          <w:tab w:pos="675" w:val="left" w:leader="none"/>
        </w:tabs>
        <w:spacing w:line="247" w:lineRule="auto" w:before="0" w:after="0"/>
        <w:ind w:left="151" w:right="41" w:firstLine="397"/>
        <w:jc w:val="both"/>
        <w:rPr>
          <w:sz w:val="15"/>
        </w:rPr>
      </w:pPr>
      <w:r>
        <w:rPr>
          <w:sz w:val="15"/>
        </w:rPr>
        <w:t>A favor de personas físicas, por única ocasión para una vivienda, respecto de inmuebles destinados a casa</w:t>
      </w:r>
      <w:r>
        <w:rPr>
          <w:spacing w:val="7"/>
          <w:sz w:val="15"/>
        </w:rPr>
        <w:t> </w:t>
      </w:r>
      <w:r>
        <w:rPr>
          <w:sz w:val="15"/>
        </w:rPr>
        <w:t>habitación</w:t>
      </w:r>
      <w:r>
        <w:rPr>
          <w:spacing w:val="7"/>
          <w:sz w:val="15"/>
        </w:rPr>
        <w:t> </w:t>
      </w:r>
      <w:r>
        <w:rPr>
          <w:sz w:val="15"/>
        </w:rPr>
        <w:t>y</w:t>
      </w:r>
      <w:r>
        <w:rPr>
          <w:spacing w:val="7"/>
          <w:sz w:val="15"/>
        </w:rPr>
        <w:t> </w:t>
      </w:r>
      <w:r>
        <w:rPr>
          <w:sz w:val="15"/>
        </w:rPr>
        <w:t>en</w:t>
      </w:r>
      <w:r>
        <w:rPr>
          <w:spacing w:val="7"/>
          <w:sz w:val="15"/>
        </w:rPr>
        <w:t> </w:t>
      </w:r>
      <w:r>
        <w:rPr>
          <w:sz w:val="15"/>
        </w:rPr>
        <w:t>lo</w:t>
      </w:r>
      <w:r>
        <w:rPr>
          <w:spacing w:val="6"/>
          <w:sz w:val="15"/>
        </w:rPr>
        <w:t> </w:t>
      </w:r>
      <w:r>
        <w:rPr>
          <w:sz w:val="15"/>
        </w:rPr>
        <w:t>que</w:t>
      </w:r>
      <w:r>
        <w:rPr>
          <w:spacing w:val="8"/>
          <w:sz w:val="15"/>
        </w:rPr>
        <w:t> </w:t>
      </w:r>
      <w:r>
        <w:rPr>
          <w:sz w:val="15"/>
        </w:rPr>
        <w:t>respecta</w:t>
      </w:r>
      <w:r>
        <w:rPr>
          <w:spacing w:val="7"/>
          <w:sz w:val="15"/>
        </w:rPr>
        <w:t> </w:t>
      </w:r>
      <w:r>
        <w:rPr>
          <w:sz w:val="15"/>
        </w:rPr>
        <w:t>a</w:t>
      </w:r>
      <w:r>
        <w:rPr>
          <w:spacing w:val="7"/>
          <w:sz w:val="15"/>
        </w:rPr>
        <w:t> </w:t>
      </w:r>
      <w:r>
        <w:rPr>
          <w:sz w:val="15"/>
        </w:rPr>
        <w:t>la</w:t>
      </w:r>
      <w:r>
        <w:rPr>
          <w:spacing w:val="7"/>
          <w:sz w:val="15"/>
        </w:rPr>
        <w:t> </w:t>
      </w:r>
      <w:r>
        <w:rPr>
          <w:sz w:val="15"/>
        </w:rPr>
        <w:t>licencia</w:t>
      </w:r>
      <w:r>
        <w:rPr>
          <w:spacing w:val="7"/>
          <w:sz w:val="15"/>
        </w:rPr>
        <w:t> </w:t>
      </w:r>
      <w:r>
        <w:rPr>
          <w:sz w:val="15"/>
        </w:rPr>
        <w:t>de</w:t>
      </w:r>
      <w:r>
        <w:rPr>
          <w:spacing w:val="8"/>
          <w:sz w:val="15"/>
        </w:rPr>
        <w:t> </w:t>
      </w:r>
      <w:r>
        <w:rPr>
          <w:sz w:val="15"/>
        </w:rPr>
        <w:t>construcción,</w:t>
      </w:r>
      <w:r>
        <w:rPr>
          <w:spacing w:val="7"/>
          <w:sz w:val="15"/>
        </w:rPr>
        <w:t> </w:t>
      </w:r>
      <w:r>
        <w:rPr>
          <w:sz w:val="15"/>
        </w:rPr>
        <w:t>se</w:t>
      </w:r>
      <w:r>
        <w:rPr>
          <w:spacing w:val="7"/>
          <w:sz w:val="15"/>
        </w:rPr>
        <w:t> </w:t>
      </w:r>
      <w:r>
        <w:rPr>
          <w:sz w:val="15"/>
        </w:rPr>
        <w:t>aplicarán</w:t>
      </w:r>
      <w:r>
        <w:rPr>
          <w:spacing w:val="7"/>
          <w:sz w:val="15"/>
        </w:rPr>
        <w:t> </w:t>
      </w:r>
      <w:r>
        <w:rPr>
          <w:sz w:val="15"/>
        </w:rPr>
        <w:t>los</w:t>
      </w:r>
      <w:r>
        <w:rPr>
          <w:spacing w:val="6"/>
          <w:sz w:val="15"/>
        </w:rPr>
        <w:t> </w:t>
      </w:r>
      <w:r>
        <w:rPr>
          <w:sz w:val="15"/>
        </w:rPr>
        <w:t>descuentos</w:t>
      </w:r>
      <w:r>
        <w:rPr>
          <w:spacing w:val="6"/>
          <w:sz w:val="15"/>
        </w:rPr>
        <w:t> </w:t>
      </w:r>
      <w:r>
        <w:rPr>
          <w:sz w:val="15"/>
        </w:rPr>
        <w:t>siguientes:</w:t>
      </w:r>
    </w:p>
    <w:p>
      <w:pPr>
        <w:pStyle w:val="BodyText"/>
        <w:spacing w:before="2"/>
        <w:rPr>
          <w:sz w:val="17"/>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3"/>
        <w:gridCol w:w="667"/>
      </w:tblGrid>
      <w:tr>
        <w:trPr>
          <w:trHeight w:val="282" w:hRule="atLeast"/>
        </w:trPr>
        <w:tc>
          <w:tcPr>
            <w:tcW w:w="4373" w:type="dxa"/>
          </w:tcPr>
          <w:p>
            <w:pPr>
              <w:pStyle w:val="TableParagraph"/>
              <w:spacing w:line="171" w:lineRule="exact"/>
              <w:ind w:left="50"/>
              <w:rPr>
                <w:sz w:val="15"/>
              </w:rPr>
            </w:pPr>
            <w:r>
              <w:rPr>
                <w:sz w:val="15"/>
              </w:rPr>
              <w:t>a) Hasta 100 metros cuadrados de construcción:</w:t>
            </w:r>
          </w:p>
        </w:tc>
        <w:tc>
          <w:tcPr>
            <w:tcW w:w="667" w:type="dxa"/>
          </w:tcPr>
          <w:p>
            <w:pPr>
              <w:pStyle w:val="TableParagraph"/>
              <w:spacing w:line="171" w:lineRule="exact"/>
              <w:ind w:right="48"/>
              <w:jc w:val="right"/>
              <w:rPr>
                <w:sz w:val="15"/>
              </w:rPr>
            </w:pPr>
            <w:r>
              <w:rPr>
                <w:sz w:val="15"/>
              </w:rPr>
              <w:t>65%</w:t>
            </w:r>
          </w:p>
        </w:tc>
      </w:tr>
      <w:tr>
        <w:trPr>
          <w:trHeight w:val="570" w:hRule="atLeast"/>
        </w:trPr>
        <w:tc>
          <w:tcPr>
            <w:tcW w:w="4373" w:type="dxa"/>
          </w:tcPr>
          <w:p>
            <w:pPr>
              <w:pStyle w:val="TableParagraph"/>
              <w:spacing w:line="247" w:lineRule="auto" w:before="109"/>
              <w:ind w:left="50"/>
              <w:rPr>
                <w:sz w:val="15"/>
              </w:rPr>
            </w:pPr>
            <w:r>
              <w:rPr>
                <w:sz w:val="15"/>
              </w:rPr>
              <w:t>b) De más de 100 metros cuadrados y hasta 150 metros cuadrados de construcción:</w:t>
            </w:r>
          </w:p>
        </w:tc>
        <w:tc>
          <w:tcPr>
            <w:tcW w:w="667" w:type="dxa"/>
          </w:tcPr>
          <w:p>
            <w:pPr>
              <w:pStyle w:val="TableParagraph"/>
              <w:spacing w:before="109"/>
              <w:ind w:right="48"/>
              <w:jc w:val="right"/>
              <w:rPr>
                <w:sz w:val="15"/>
              </w:rPr>
            </w:pPr>
            <w:r>
              <w:rPr>
                <w:sz w:val="15"/>
              </w:rPr>
              <w:t>50%</w:t>
            </w:r>
          </w:p>
        </w:tc>
      </w:tr>
      <w:tr>
        <w:trPr>
          <w:trHeight w:val="570" w:hRule="atLeast"/>
        </w:trPr>
        <w:tc>
          <w:tcPr>
            <w:tcW w:w="4373" w:type="dxa"/>
          </w:tcPr>
          <w:p>
            <w:pPr>
              <w:pStyle w:val="TableParagraph"/>
              <w:spacing w:line="247" w:lineRule="auto" w:before="109"/>
              <w:ind w:left="50"/>
              <w:rPr>
                <w:sz w:val="15"/>
              </w:rPr>
            </w:pPr>
            <w:r>
              <w:rPr>
                <w:sz w:val="15"/>
              </w:rPr>
              <w:t>c) De más de 150 metros cuadrados y hasta 200 metros cuadrados de construcción:</w:t>
            </w:r>
          </w:p>
        </w:tc>
        <w:tc>
          <w:tcPr>
            <w:tcW w:w="667" w:type="dxa"/>
          </w:tcPr>
          <w:p>
            <w:pPr>
              <w:pStyle w:val="TableParagraph"/>
              <w:spacing w:before="109"/>
              <w:ind w:right="48"/>
              <w:jc w:val="right"/>
              <w:rPr>
                <w:sz w:val="15"/>
              </w:rPr>
            </w:pPr>
            <w:r>
              <w:rPr>
                <w:sz w:val="15"/>
              </w:rPr>
              <w:t>30%</w:t>
            </w:r>
          </w:p>
        </w:tc>
      </w:tr>
      <w:tr>
        <w:trPr>
          <w:trHeight w:val="459" w:hRule="atLeast"/>
        </w:trPr>
        <w:tc>
          <w:tcPr>
            <w:tcW w:w="4373" w:type="dxa"/>
          </w:tcPr>
          <w:p>
            <w:pPr>
              <w:pStyle w:val="TableParagraph"/>
              <w:spacing w:line="170" w:lineRule="atLeast" w:before="109"/>
              <w:ind w:left="50"/>
              <w:rPr>
                <w:sz w:val="15"/>
              </w:rPr>
            </w:pPr>
            <w:r>
              <w:rPr>
                <w:sz w:val="15"/>
              </w:rPr>
              <w:t>d) De más de 200 metros cuadrados y hasta 250 metros cuadrados de construcción:</w:t>
            </w:r>
          </w:p>
        </w:tc>
        <w:tc>
          <w:tcPr>
            <w:tcW w:w="667" w:type="dxa"/>
          </w:tcPr>
          <w:p>
            <w:pPr>
              <w:pStyle w:val="TableParagraph"/>
              <w:spacing w:before="109"/>
              <w:ind w:right="48"/>
              <w:jc w:val="right"/>
              <w:rPr>
                <w:sz w:val="15"/>
              </w:rPr>
            </w:pPr>
            <w:r>
              <w:rPr>
                <w:sz w:val="15"/>
              </w:rPr>
              <w:t>15%</w:t>
            </w:r>
          </w:p>
        </w:tc>
      </w:tr>
    </w:tbl>
    <w:p>
      <w:pPr>
        <w:pStyle w:val="BodyText"/>
        <w:spacing w:before="5"/>
        <w:rPr>
          <w:sz w:val="17"/>
        </w:rPr>
      </w:pPr>
    </w:p>
    <w:p>
      <w:pPr>
        <w:pStyle w:val="BodyText"/>
        <w:spacing w:line="247" w:lineRule="auto"/>
        <w:ind w:left="151" w:right="39" w:firstLine="397"/>
        <w:jc w:val="both"/>
      </w:pPr>
      <w:r>
        <w:rPr/>
        <w:t>En los permisos o licencias de construcción que amparen menos de 250 metros cuadrados de construcción, el beneficio aplicará en ampliaciones posteriores, hasta totalizar 250 metros cuadrados de construcción;</w:t>
      </w:r>
      <w:r>
        <w:rPr>
          <w:spacing w:val="1"/>
        </w:rPr>
        <w:t> </w:t>
      </w:r>
      <w:r>
        <w:rPr/>
        <w:t>y</w:t>
      </w:r>
    </w:p>
    <w:p>
      <w:pPr>
        <w:pStyle w:val="BodyText"/>
        <w:spacing w:before="2"/>
      </w:pPr>
    </w:p>
    <w:p>
      <w:pPr>
        <w:pStyle w:val="ListParagraph"/>
        <w:numPr>
          <w:ilvl w:val="1"/>
          <w:numId w:val="70"/>
        </w:numPr>
        <w:tabs>
          <w:tab w:pos="731" w:val="left" w:leader="none"/>
        </w:tabs>
        <w:spacing w:line="247" w:lineRule="auto" w:before="0" w:after="0"/>
        <w:ind w:left="151" w:right="41" w:firstLine="397"/>
        <w:jc w:val="both"/>
        <w:rPr>
          <w:sz w:val="15"/>
        </w:rPr>
      </w:pPr>
      <w:r>
        <w:rPr>
          <w:sz w:val="15"/>
        </w:rPr>
        <w:t>A las personas físicas que hayan iniciado la construcción o ampliación de una casa habitación, sin contar con la correspondiente licencia de construcción, podrán acceder a los beneficios establecidos en el presente artículo, siempre y cuando lleven a cabo los trámites para la obtención del permiso o licencia de construcción correspondiente, bajo las reglas</w:t>
      </w:r>
      <w:r>
        <w:rPr>
          <w:spacing w:val="7"/>
          <w:sz w:val="15"/>
        </w:rPr>
        <w:t> </w:t>
      </w:r>
      <w:r>
        <w:rPr>
          <w:sz w:val="15"/>
        </w:rPr>
        <w:t>siguientes:</w:t>
      </w:r>
    </w:p>
    <w:p>
      <w:pPr>
        <w:pStyle w:val="BodyText"/>
        <w:spacing w:before="3"/>
      </w:pPr>
    </w:p>
    <w:p>
      <w:pPr>
        <w:pStyle w:val="ListParagraph"/>
        <w:numPr>
          <w:ilvl w:val="0"/>
          <w:numId w:val="71"/>
        </w:numPr>
        <w:tabs>
          <w:tab w:pos="1142" w:val="left" w:leader="none"/>
          <w:tab w:pos="1143" w:val="left" w:leader="none"/>
        </w:tabs>
        <w:spacing w:line="244" w:lineRule="auto" w:before="0" w:after="0"/>
        <w:ind w:left="151" w:right="40" w:firstLine="397"/>
        <w:jc w:val="both"/>
        <w:rPr>
          <w:sz w:val="15"/>
        </w:rPr>
      </w:pPr>
      <w:r>
        <w:rPr>
          <w:sz w:val="15"/>
        </w:rPr>
        <w:t>Iniciarán el trámite para la obtención del permiso o licencia de construcción correspondiente, dentro</w:t>
      </w:r>
      <w:r>
        <w:rPr>
          <w:spacing w:val="4"/>
          <w:sz w:val="15"/>
        </w:rPr>
        <w:t> </w:t>
      </w:r>
      <w:r>
        <w:rPr>
          <w:sz w:val="15"/>
        </w:rPr>
        <w:t>de</w:t>
      </w:r>
      <w:r>
        <w:rPr>
          <w:spacing w:val="5"/>
          <w:sz w:val="15"/>
        </w:rPr>
        <w:t> </w:t>
      </w:r>
      <w:r>
        <w:rPr>
          <w:sz w:val="15"/>
        </w:rPr>
        <w:t>los</w:t>
      </w:r>
      <w:r>
        <w:rPr>
          <w:spacing w:val="5"/>
          <w:sz w:val="15"/>
        </w:rPr>
        <w:t> </w:t>
      </w:r>
      <w:r>
        <w:rPr>
          <w:sz w:val="15"/>
        </w:rPr>
        <w:t>siguientes</w:t>
      </w:r>
      <w:r>
        <w:rPr>
          <w:spacing w:val="3"/>
          <w:sz w:val="15"/>
        </w:rPr>
        <w:t> </w:t>
      </w:r>
      <w:r>
        <w:rPr>
          <w:sz w:val="15"/>
        </w:rPr>
        <w:t>30</w:t>
      </w:r>
      <w:r>
        <w:rPr>
          <w:spacing w:val="5"/>
          <w:sz w:val="15"/>
        </w:rPr>
        <w:t> </w:t>
      </w:r>
      <w:r>
        <w:rPr>
          <w:sz w:val="15"/>
        </w:rPr>
        <w:t>días</w:t>
      </w:r>
      <w:r>
        <w:rPr>
          <w:spacing w:val="5"/>
          <w:sz w:val="15"/>
        </w:rPr>
        <w:t> </w:t>
      </w:r>
      <w:r>
        <w:rPr>
          <w:sz w:val="15"/>
        </w:rPr>
        <w:t>naturales,</w:t>
      </w:r>
      <w:r>
        <w:rPr>
          <w:spacing w:val="4"/>
          <w:sz w:val="15"/>
        </w:rPr>
        <w:t> </w:t>
      </w:r>
      <w:r>
        <w:rPr>
          <w:sz w:val="15"/>
        </w:rPr>
        <w:t>contados</w:t>
      </w:r>
      <w:r>
        <w:rPr>
          <w:spacing w:val="5"/>
          <w:sz w:val="15"/>
        </w:rPr>
        <w:t> </w:t>
      </w:r>
      <w:r>
        <w:rPr>
          <w:sz w:val="15"/>
        </w:rPr>
        <w:t>a</w:t>
      </w:r>
      <w:r>
        <w:rPr>
          <w:spacing w:val="5"/>
          <w:sz w:val="15"/>
        </w:rPr>
        <w:t> </w:t>
      </w:r>
      <w:r>
        <w:rPr>
          <w:sz w:val="15"/>
        </w:rPr>
        <w:t>partir</w:t>
      </w:r>
      <w:r>
        <w:rPr>
          <w:spacing w:val="4"/>
          <w:sz w:val="15"/>
        </w:rPr>
        <w:t> </w:t>
      </w:r>
      <w:r>
        <w:rPr>
          <w:sz w:val="15"/>
        </w:rPr>
        <w:t>de</w:t>
      </w:r>
      <w:r>
        <w:rPr>
          <w:spacing w:val="4"/>
          <w:sz w:val="15"/>
        </w:rPr>
        <w:t> </w:t>
      </w:r>
      <w:r>
        <w:rPr>
          <w:sz w:val="15"/>
        </w:rPr>
        <w:t>la</w:t>
      </w:r>
      <w:r>
        <w:rPr>
          <w:spacing w:val="5"/>
          <w:sz w:val="15"/>
        </w:rPr>
        <w:t> </w:t>
      </w:r>
      <w:r>
        <w:rPr>
          <w:sz w:val="15"/>
        </w:rPr>
        <w:t>fecha</w:t>
      </w:r>
      <w:r>
        <w:rPr>
          <w:spacing w:val="4"/>
          <w:sz w:val="15"/>
        </w:rPr>
        <w:t> </w:t>
      </w:r>
      <w:r>
        <w:rPr>
          <w:sz w:val="15"/>
        </w:rPr>
        <w:t>de</w:t>
      </w:r>
      <w:r>
        <w:rPr>
          <w:spacing w:val="4"/>
          <w:sz w:val="15"/>
        </w:rPr>
        <w:t> </w:t>
      </w:r>
      <w:r>
        <w:rPr>
          <w:sz w:val="15"/>
        </w:rPr>
        <w:t>la</w:t>
      </w:r>
      <w:r>
        <w:rPr>
          <w:spacing w:val="5"/>
          <w:sz w:val="15"/>
        </w:rPr>
        <w:t> </w:t>
      </w:r>
      <w:r>
        <w:rPr>
          <w:sz w:val="15"/>
        </w:rPr>
        <w:t>visita</w:t>
      </w:r>
      <w:r>
        <w:rPr>
          <w:spacing w:val="5"/>
          <w:sz w:val="15"/>
        </w:rPr>
        <w:t> </w:t>
      </w:r>
      <w:r>
        <w:rPr>
          <w:sz w:val="15"/>
        </w:rPr>
        <w:t>de</w:t>
      </w:r>
      <w:r>
        <w:rPr>
          <w:spacing w:val="5"/>
          <w:sz w:val="15"/>
        </w:rPr>
        <w:t> </w:t>
      </w:r>
      <w:r>
        <w:rPr>
          <w:sz w:val="15"/>
        </w:rPr>
        <w:t>inspección;</w:t>
      </w:r>
    </w:p>
    <w:p>
      <w:pPr>
        <w:pStyle w:val="BodyText"/>
        <w:spacing w:before="7"/>
      </w:pPr>
    </w:p>
    <w:p>
      <w:pPr>
        <w:pStyle w:val="ListParagraph"/>
        <w:numPr>
          <w:ilvl w:val="0"/>
          <w:numId w:val="71"/>
        </w:numPr>
        <w:tabs>
          <w:tab w:pos="1142" w:val="left" w:leader="none"/>
          <w:tab w:pos="1143" w:val="left" w:leader="none"/>
        </w:tabs>
        <w:spacing w:line="240" w:lineRule="auto" w:before="0" w:after="0"/>
        <w:ind w:left="1142" w:right="0" w:hanging="595"/>
        <w:jc w:val="left"/>
        <w:rPr>
          <w:sz w:val="15"/>
        </w:rPr>
      </w:pPr>
      <w:r>
        <w:rPr>
          <w:sz w:val="15"/>
        </w:rPr>
        <w:t>Los descuentos establecidos en la fracción I se reducirán en un 50%;</w:t>
      </w:r>
      <w:r>
        <w:rPr>
          <w:spacing w:val="35"/>
          <w:sz w:val="15"/>
        </w:rPr>
        <w:t> </w:t>
      </w:r>
      <w:r>
        <w:rPr>
          <w:sz w:val="15"/>
        </w:rPr>
        <w:t>y</w:t>
      </w:r>
    </w:p>
    <w:p>
      <w:pPr>
        <w:pStyle w:val="BodyText"/>
        <w:spacing w:before="9"/>
      </w:pPr>
    </w:p>
    <w:p>
      <w:pPr>
        <w:pStyle w:val="ListParagraph"/>
        <w:numPr>
          <w:ilvl w:val="0"/>
          <w:numId w:val="71"/>
        </w:numPr>
        <w:tabs>
          <w:tab w:pos="1142" w:val="left" w:leader="none"/>
          <w:tab w:pos="1143" w:val="left" w:leader="none"/>
        </w:tabs>
        <w:spacing w:line="244" w:lineRule="auto" w:before="0" w:after="0"/>
        <w:ind w:left="151" w:right="38" w:firstLine="397"/>
        <w:jc w:val="both"/>
        <w:rPr>
          <w:sz w:val="15"/>
        </w:rPr>
      </w:pPr>
      <w:r>
        <w:rPr>
          <w:sz w:val="15"/>
        </w:rPr>
        <w:t>La imposición de sanciones a quienes se encuentren en los supuestos establecidos en la  presente fracción, será independiente de los trámites para la obtención de los permisos o licencias de construcción</w:t>
      </w:r>
      <w:r>
        <w:rPr>
          <w:spacing w:val="1"/>
          <w:sz w:val="15"/>
        </w:rPr>
        <w:t> </w:t>
      </w:r>
      <w:r>
        <w:rPr>
          <w:sz w:val="15"/>
        </w:rPr>
        <w:t>respectivas.</w:t>
      </w:r>
    </w:p>
    <w:p>
      <w:pPr>
        <w:pStyle w:val="BodyText"/>
        <w:spacing w:before="8"/>
      </w:pPr>
    </w:p>
    <w:p>
      <w:pPr>
        <w:pStyle w:val="BodyText"/>
        <w:spacing w:line="247" w:lineRule="auto"/>
        <w:ind w:left="151" w:right="39" w:firstLine="397"/>
        <w:jc w:val="both"/>
      </w:pPr>
      <w:r>
        <w:rPr>
          <w:b/>
        </w:rPr>
        <w:t>Artículo 84.-</w:t>
      </w:r>
      <w:r>
        <w:rPr/>
        <w:t>Es objeto de la contribución por Incremento al Coeficiente de Utilización de Suelo (ICUS),      el incremento en la superficie de construcción amparada por el  coeficiente de utilización del suelo (CUS) que    se</w:t>
      </w:r>
      <w:r>
        <w:rPr>
          <w:spacing w:val="22"/>
        </w:rPr>
        <w:t> </w:t>
      </w:r>
      <w:r>
        <w:rPr/>
        <w:t>podrá</w:t>
      </w:r>
      <w:r>
        <w:rPr>
          <w:spacing w:val="23"/>
        </w:rPr>
        <w:t> </w:t>
      </w:r>
      <w:r>
        <w:rPr/>
        <w:t>aplicar</w:t>
      </w:r>
      <w:r>
        <w:rPr>
          <w:spacing w:val="23"/>
        </w:rPr>
        <w:t> </w:t>
      </w:r>
      <w:r>
        <w:rPr/>
        <w:t>en</w:t>
      </w:r>
      <w:r>
        <w:rPr>
          <w:spacing w:val="22"/>
        </w:rPr>
        <w:t> </w:t>
      </w:r>
      <w:r>
        <w:rPr/>
        <w:t>el</w:t>
      </w:r>
      <w:r>
        <w:rPr>
          <w:spacing w:val="23"/>
        </w:rPr>
        <w:t> </w:t>
      </w:r>
      <w:r>
        <w:rPr/>
        <w:t>aumento</w:t>
      </w:r>
      <w:r>
        <w:rPr>
          <w:spacing w:val="23"/>
        </w:rPr>
        <w:t> </w:t>
      </w:r>
      <w:r>
        <w:rPr/>
        <w:t>de</w:t>
      </w:r>
      <w:r>
        <w:rPr>
          <w:spacing w:val="23"/>
        </w:rPr>
        <w:t> </w:t>
      </w:r>
      <w:r>
        <w:rPr/>
        <w:t>metros</w:t>
      </w:r>
      <w:r>
        <w:rPr>
          <w:spacing w:val="22"/>
        </w:rPr>
        <w:t> </w:t>
      </w:r>
      <w:r>
        <w:rPr/>
        <w:t>cuadrados</w:t>
      </w:r>
      <w:r>
        <w:rPr>
          <w:spacing w:val="23"/>
        </w:rPr>
        <w:t> </w:t>
      </w:r>
      <w:r>
        <w:rPr/>
        <w:t>de</w:t>
      </w:r>
      <w:r>
        <w:rPr>
          <w:spacing w:val="23"/>
        </w:rPr>
        <w:t> </w:t>
      </w:r>
      <w:r>
        <w:rPr/>
        <w:t>construcción</w:t>
      </w:r>
      <w:r>
        <w:rPr>
          <w:spacing w:val="22"/>
        </w:rPr>
        <w:t> </w:t>
      </w:r>
      <w:r>
        <w:rPr/>
        <w:t>o</w:t>
      </w:r>
      <w:r>
        <w:rPr>
          <w:spacing w:val="22"/>
        </w:rPr>
        <w:t> </w:t>
      </w:r>
      <w:r>
        <w:rPr/>
        <w:t>en</w:t>
      </w:r>
      <w:r>
        <w:rPr>
          <w:spacing w:val="23"/>
        </w:rPr>
        <w:t> </w:t>
      </w:r>
      <w:r>
        <w:rPr/>
        <w:t>aumento</w:t>
      </w:r>
      <w:r>
        <w:rPr>
          <w:spacing w:val="22"/>
        </w:rPr>
        <w:t> </w:t>
      </w:r>
      <w:r>
        <w:rPr/>
        <w:t>de</w:t>
      </w:r>
      <w:r>
        <w:rPr>
          <w:spacing w:val="23"/>
        </w:rPr>
        <w:t> </w:t>
      </w:r>
      <w:r>
        <w:rPr/>
        <w:t>densidad,</w:t>
      </w:r>
      <w:r>
        <w:rPr>
          <w:spacing w:val="23"/>
        </w:rPr>
        <w:t> </w:t>
      </w:r>
      <w:r>
        <w:rPr/>
        <w:t>amparada</w:t>
      </w:r>
    </w:p>
    <w:p>
      <w:pPr>
        <w:pStyle w:val="BodyText"/>
        <w:spacing w:before="98"/>
        <w:ind w:left="162"/>
      </w:pPr>
      <w:r>
        <w:rPr/>
        <w:br w:type="column"/>
      </w:r>
      <w:r>
        <w:rPr/>
        <w:t>por el Índice de edificación (IDE).</w:t>
      </w:r>
    </w:p>
    <w:p>
      <w:pPr>
        <w:pStyle w:val="BodyText"/>
        <w:spacing w:before="9"/>
      </w:pPr>
    </w:p>
    <w:p>
      <w:pPr>
        <w:pStyle w:val="BodyText"/>
        <w:spacing w:line="247" w:lineRule="auto" w:before="1"/>
        <w:ind w:left="162" w:right="509" w:firstLine="397"/>
        <w:jc w:val="both"/>
      </w:pPr>
      <w:r>
        <w:rPr/>
        <w:t>Será base de esta contribución, el excedente de metros cuadrados de edificación que resulten una vez  que se haya obtenido la diferencia entre el coeficiente de utilización del suelo (CUS) y el Incremento al Coeficiente de Utilización de Suelo (ICUS), o en su caso la diferencia entre la densidad en obtenida de la aplicación del índice de edificación (IDE) y la densidad permitida en las zonas determinadas en los planes parciales de desarrollo urbano</w:t>
      </w:r>
      <w:r>
        <w:rPr>
          <w:spacing w:val="4"/>
        </w:rPr>
        <w:t> </w:t>
      </w:r>
      <w:r>
        <w:rPr/>
        <w:t>vigentes.</w:t>
      </w:r>
    </w:p>
    <w:p>
      <w:pPr>
        <w:pStyle w:val="BodyText"/>
        <w:spacing w:before="1"/>
      </w:pPr>
    </w:p>
    <w:p>
      <w:pPr>
        <w:pStyle w:val="BodyText"/>
        <w:spacing w:line="247" w:lineRule="auto" w:before="1"/>
        <w:ind w:left="162" w:right="508" w:firstLine="397"/>
        <w:jc w:val="both"/>
      </w:pPr>
      <w:r>
        <w:rPr/>
        <w:t>Son sujetos de contribución por incremento en el coeficiente de utilización del suelo (CUS),  los  propietarios o poseedores a título de dueño de los predios indicados en el párrafo anterior, que lo soliciten expresamente ante la Coordinación General de Gestión Integral de la Ciudad, del Municipio de Tlajomulco de Zúñiga.</w:t>
      </w:r>
    </w:p>
    <w:p>
      <w:pPr>
        <w:pStyle w:val="BodyText"/>
        <w:spacing w:before="1"/>
      </w:pPr>
    </w:p>
    <w:p>
      <w:pPr>
        <w:pStyle w:val="BodyText"/>
        <w:spacing w:line="247" w:lineRule="auto" w:before="1"/>
        <w:ind w:left="162" w:right="508" w:firstLine="397"/>
        <w:jc w:val="both"/>
      </w:pPr>
      <w:r>
        <w:rPr/>
        <w:t>La contribución a pagar para el por Incremento al Coeficiente de Utilización de Suelo (ICUS), será la superficie de edificación en metros cuadrados, que exceda la superficie de construcción amparada por el coeficiente de utilización del suelo (CUS), por cada metro cuadrado, la cuota asignada en casa de acuerdo      con las Zonas establecidas en los Programas y Planes Parciales de Desarrollo Urbanos</w:t>
      </w:r>
      <w:r>
        <w:rPr>
          <w:spacing w:val="5"/>
        </w:rPr>
        <w:t> </w:t>
      </w:r>
      <w:r>
        <w:rPr/>
        <w:t>de:</w:t>
      </w:r>
    </w:p>
    <w:p>
      <w:pPr>
        <w:pStyle w:val="BodyText"/>
        <w:rPr>
          <w:sz w:val="20"/>
        </w:rPr>
      </w:pPr>
    </w:p>
    <w:p>
      <w:pPr>
        <w:pStyle w:val="BodyText"/>
        <w:spacing w:after="1"/>
        <w:rPr>
          <w:sz w:val="26"/>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9"/>
        <w:gridCol w:w="2593"/>
      </w:tblGrid>
      <w:tr>
        <w:trPr>
          <w:trHeight w:val="196" w:hRule="atLeast"/>
        </w:trPr>
        <w:tc>
          <w:tcPr>
            <w:tcW w:w="2679" w:type="dxa"/>
          </w:tcPr>
          <w:p>
            <w:pPr>
              <w:pStyle w:val="TableParagraph"/>
              <w:rPr>
                <w:rFonts w:ascii="Times New Roman"/>
                <w:sz w:val="12"/>
              </w:rPr>
            </w:pPr>
          </w:p>
        </w:tc>
        <w:tc>
          <w:tcPr>
            <w:tcW w:w="2593" w:type="dxa"/>
          </w:tcPr>
          <w:p>
            <w:pPr>
              <w:pStyle w:val="TableParagraph"/>
              <w:spacing w:line="171" w:lineRule="exact"/>
              <w:ind w:right="49"/>
              <w:jc w:val="right"/>
              <w:rPr>
                <w:sz w:val="15"/>
              </w:rPr>
            </w:pPr>
            <w:r>
              <w:rPr>
                <w:sz w:val="15"/>
              </w:rPr>
              <w:t>TARIFAS:</w:t>
            </w:r>
          </w:p>
        </w:tc>
      </w:tr>
      <w:tr>
        <w:trPr>
          <w:trHeight w:val="220" w:hRule="atLeast"/>
        </w:trPr>
        <w:tc>
          <w:tcPr>
            <w:tcW w:w="2679" w:type="dxa"/>
          </w:tcPr>
          <w:p>
            <w:pPr>
              <w:pStyle w:val="TableParagraph"/>
              <w:spacing w:before="23"/>
              <w:ind w:left="50"/>
              <w:rPr>
                <w:sz w:val="15"/>
              </w:rPr>
            </w:pPr>
            <w:r>
              <w:rPr>
                <w:sz w:val="15"/>
              </w:rPr>
              <w:t>1.- Zona A)</w:t>
            </w:r>
          </w:p>
        </w:tc>
        <w:tc>
          <w:tcPr>
            <w:tcW w:w="2593" w:type="dxa"/>
          </w:tcPr>
          <w:p>
            <w:pPr>
              <w:pStyle w:val="TableParagraph"/>
              <w:spacing w:before="23"/>
              <w:ind w:right="48"/>
              <w:jc w:val="right"/>
              <w:rPr>
                <w:sz w:val="15"/>
              </w:rPr>
            </w:pPr>
            <w:r>
              <w:rPr>
                <w:sz w:val="15"/>
              </w:rPr>
              <w:t>$820.00</w:t>
            </w:r>
          </w:p>
        </w:tc>
      </w:tr>
      <w:tr>
        <w:trPr>
          <w:trHeight w:val="220" w:hRule="atLeast"/>
        </w:trPr>
        <w:tc>
          <w:tcPr>
            <w:tcW w:w="2679" w:type="dxa"/>
          </w:tcPr>
          <w:p>
            <w:pPr>
              <w:pStyle w:val="TableParagraph"/>
              <w:spacing w:before="22"/>
              <w:ind w:left="50"/>
              <w:rPr>
                <w:sz w:val="15"/>
              </w:rPr>
            </w:pPr>
            <w:r>
              <w:rPr>
                <w:sz w:val="15"/>
              </w:rPr>
              <w:t>2.-Zona B)</w:t>
            </w:r>
          </w:p>
        </w:tc>
        <w:tc>
          <w:tcPr>
            <w:tcW w:w="2593" w:type="dxa"/>
          </w:tcPr>
          <w:p>
            <w:pPr>
              <w:pStyle w:val="TableParagraph"/>
              <w:spacing w:before="22"/>
              <w:ind w:right="48"/>
              <w:jc w:val="right"/>
              <w:rPr>
                <w:sz w:val="15"/>
              </w:rPr>
            </w:pPr>
            <w:r>
              <w:rPr>
                <w:sz w:val="15"/>
              </w:rPr>
              <w:t>$1,380.00</w:t>
            </w:r>
          </w:p>
        </w:tc>
      </w:tr>
      <w:tr>
        <w:trPr>
          <w:trHeight w:val="220" w:hRule="atLeast"/>
        </w:trPr>
        <w:tc>
          <w:tcPr>
            <w:tcW w:w="2679" w:type="dxa"/>
          </w:tcPr>
          <w:p>
            <w:pPr>
              <w:pStyle w:val="TableParagraph"/>
              <w:spacing w:before="23"/>
              <w:ind w:left="50"/>
              <w:rPr>
                <w:sz w:val="15"/>
              </w:rPr>
            </w:pPr>
            <w:r>
              <w:rPr>
                <w:sz w:val="15"/>
              </w:rPr>
              <w:t>3.- Zona C)</w:t>
            </w:r>
          </w:p>
        </w:tc>
        <w:tc>
          <w:tcPr>
            <w:tcW w:w="2593" w:type="dxa"/>
          </w:tcPr>
          <w:p>
            <w:pPr>
              <w:pStyle w:val="TableParagraph"/>
              <w:spacing w:before="23"/>
              <w:ind w:right="48"/>
              <w:jc w:val="right"/>
              <w:rPr>
                <w:sz w:val="15"/>
              </w:rPr>
            </w:pPr>
            <w:r>
              <w:rPr>
                <w:sz w:val="15"/>
              </w:rPr>
              <w:t>$2,231.00</w:t>
            </w:r>
          </w:p>
        </w:tc>
      </w:tr>
      <w:tr>
        <w:trPr>
          <w:trHeight w:val="195" w:hRule="atLeast"/>
        </w:trPr>
        <w:tc>
          <w:tcPr>
            <w:tcW w:w="2679" w:type="dxa"/>
          </w:tcPr>
          <w:p>
            <w:pPr>
              <w:pStyle w:val="TableParagraph"/>
              <w:spacing w:line="153" w:lineRule="exact" w:before="22"/>
              <w:ind w:left="50"/>
              <w:rPr>
                <w:sz w:val="15"/>
              </w:rPr>
            </w:pPr>
            <w:r>
              <w:rPr>
                <w:sz w:val="15"/>
              </w:rPr>
              <w:t>4.- Zona D)</w:t>
            </w:r>
          </w:p>
        </w:tc>
        <w:tc>
          <w:tcPr>
            <w:tcW w:w="2593" w:type="dxa"/>
          </w:tcPr>
          <w:p>
            <w:pPr>
              <w:pStyle w:val="TableParagraph"/>
              <w:spacing w:line="153" w:lineRule="exact" w:before="22"/>
              <w:ind w:right="48"/>
              <w:jc w:val="right"/>
              <w:rPr>
                <w:sz w:val="15"/>
              </w:rPr>
            </w:pPr>
            <w:r>
              <w:rPr>
                <w:sz w:val="15"/>
              </w:rPr>
              <w:t>$4,640.00</w:t>
            </w:r>
          </w:p>
        </w:tc>
      </w:tr>
    </w:tbl>
    <w:p>
      <w:pPr>
        <w:pStyle w:val="BodyText"/>
        <w:spacing w:before="8"/>
      </w:pPr>
    </w:p>
    <w:p>
      <w:pPr>
        <w:pStyle w:val="BodyText"/>
        <w:spacing w:line="247" w:lineRule="auto"/>
        <w:ind w:left="162" w:right="510" w:firstLine="397"/>
        <w:jc w:val="both"/>
      </w:pPr>
      <w:r>
        <w:rPr/>
        <w:t>La contribución a pagar por el incremento en la densidad serán las unidades resultantes de la aplicación del índice de edificación y la diferencia entre las  unidades máximas permitidas por las Zonas establecidas en   los Programas y Planes Parciales de Desarrollo Urbanos</w:t>
      </w:r>
      <w:r>
        <w:rPr>
          <w:spacing w:val="14"/>
        </w:rPr>
        <w:t> </w:t>
      </w:r>
      <w:r>
        <w:rPr/>
        <w:t>de:</w:t>
      </w:r>
    </w:p>
    <w:p>
      <w:pPr>
        <w:pStyle w:val="BodyText"/>
        <w:spacing w:before="2"/>
        <w:rPr>
          <w:sz w:val="19"/>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8"/>
        <w:gridCol w:w="2675"/>
      </w:tblGrid>
      <w:tr>
        <w:trPr>
          <w:trHeight w:val="195" w:hRule="atLeast"/>
        </w:trPr>
        <w:tc>
          <w:tcPr>
            <w:tcW w:w="2598" w:type="dxa"/>
          </w:tcPr>
          <w:p>
            <w:pPr>
              <w:pStyle w:val="TableParagraph"/>
              <w:rPr>
                <w:rFonts w:ascii="Times New Roman"/>
                <w:sz w:val="12"/>
              </w:rPr>
            </w:pPr>
          </w:p>
        </w:tc>
        <w:tc>
          <w:tcPr>
            <w:tcW w:w="2675" w:type="dxa"/>
          </w:tcPr>
          <w:p>
            <w:pPr>
              <w:pStyle w:val="TableParagraph"/>
              <w:spacing w:line="171" w:lineRule="exact"/>
              <w:ind w:right="50"/>
              <w:jc w:val="right"/>
              <w:rPr>
                <w:sz w:val="15"/>
              </w:rPr>
            </w:pPr>
            <w:r>
              <w:rPr>
                <w:sz w:val="15"/>
              </w:rPr>
              <w:t>TARIFAS:</w:t>
            </w:r>
          </w:p>
        </w:tc>
      </w:tr>
      <w:tr>
        <w:trPr>
          <w:trHeight w:val="220" w:hRule="atLeast"/>
        </w:trPr>
        <w:tc>
          <w:tcPr>
            <w:tcW w:w="2598" w:type="dxa"/>
          </w:tcPr>
          <w:p>
            <w:pPr>
              <w:pStyle w:val="TableParagraph"/>
              <w:spacing w:before="22"/>
              <w:ind w:left="50"/>
              <w:rPr>
                <w:sz w:val="15"/>
              </w:rPr>
            </w:pPr>
            <w:r>
              <w:rPr>
                <w:sz w:val="15"/>
              </w:rPr>
              <w:t>1.- Zona A)</w:t>
            </w:r>
          </w:p>
        </w:tc>
        <w:tc>
          <w:tcPr>
            <w:tcW w:w="2675" w:type="dxa"/>
          </w:tcPr>
          <w:p>
            <w:pPr>
              <w:pStyle w:val="TableParagraph"/>
              <w:spacing w:before="22"/>
              <w:ind w:right="49"/>
              <w:jc w:val="right"/>
              <w:rPr>
                <w:sz w:val="15"/>
              </w:rPr>
            </w:pPr>
            <w:r>
              <w:rPr>
                <w:sz w:val="15"/>
              </w:rPr>
              <w:t>$17,712.00</w:t>
            </w:r>
          </w:p>
        </w:tc>
      </w:tr>
      <w:tr>
        <w:trPr>
          <w:trHeight w:val="220" w:hRule="atLeast"/>
        </w:trPr>
        <w:tc>
          <w:tcPr>
            <w:tcW w:w="2598" w:type="dxa"/>
          </w:tcPr>
          <w:p>
            <w:pPr>
              <w:pStyle w:val="TableParagraph"/>
              <w:spacing w:before="23"/>
              <w:ind w:left="50"/>
              <w:rPr>
                <w:sz w:val="15"/>
              </w:rPr>
            </w:pPr>
            <w:r>
              <w:rPr>
                <w:sz w:val="15"/>
              </w:rPr>
              <w:t>2.-Zona B)</w:t>
            </w:r>
          </w:p>
        </w:tc>
        <w:tc>
          <w:tcPr>
            <w:tcW w:w="2675" w:type="dxa"/>
          </w:tcPr>
          <w:p>
            <w:pPr>
              <w:pStyle w:val="TableParagraph"/>
              <w:spacing w:before="23"/>
              <w:ind w:right="49"/>
              <w:jc w:val="right"/>
              <w:rPr>
                <w:sz w:val="15"/>
              </w:rPr>
            </w:pPr>
            <w:r>
              <w:rPr>
                <w:sz w:val="15"/>
              </w:rPr>
              <w:t>$29,808.00</w:t>
            </w:r>
          </w:p>
        </w:tc>
      </w:tr>
      <w:tr>
        <w:trPr>
          <w:trHeight w:val="220" w:hRule="atLeast"/>
        </w:trPr>
        <w:tc>
          <w:tcPr>
            <w:tcW w:w="2598" w:type="dxa"/>
          </w:tcPr>
          <w:p>
            <w:pPr>
              <w:pStyle w:val="TableParagraph"/>
              <w:spacing w:before="22"/>
              <w:ind w:left="50"/>
              <w:rPr>
                <w:sz w:val="15"/>
              </w:rPr>
            </w:pPr>
            <w:r>
              <w:rPr>
                <w:sz w:val="15"/>
              </w:rPr>
              <w:t>3.- Zona C)</w:t>
            </w:r>
          </w:p>
        </w:tc>
        <w:tc>
          <w:tcPr>
            <w:tcW w:w="2675" w:type="dxa"/>
          </w:tcPr>
          <w:p>
            <w:pPr>
              <w:pStyle w:val="TableParagraph"/>
              <w:spacing w:before="22"/>
              <w:ind w:right="49"/>
              <w:jc w:val="right"/>
              <w:rPr>
                <w:sz w:val="15"/>
              </w:rPr>
            </w:pPr>
            <w:r>
              <w:rPr>
                <w:sz w:val="15"/>
              </w:rPr>
              <w:t>$48,189.00</w:t>
            </w:r>
          </w:p>
        </w:tc>
      </w:tr>
      <w:tr>
        <w:trPr>
          <w:trHeight w:val="196" w:hRule="atLeast"/>
        </w:trPr>
        <w:tc>
          <w:tcPr>
            <w:tcW w:w="2598" w:type="dxa"/>
          </w:tcPr>
          <w:p>
            <w:pPr>
              <w:pStyle w:val="TableParagraph"/>
              <w:spacing w:line="153" w:lineRule="exact" w:before="23"/>
              <w:ind w:left="50"/>
              <w:rPr>
                <w:sz w:val="15"/>
              </w:rPr>
            </w:pPr>
            <w:r>
              <w:rPr>
                <w:sz w:val="15"/>
              </w:rPr>
              <w:t>4.- Zona D)</w:t>
            </w:r>
          </w:p>
        </w:tc>
        <w:tc>
          <w:tcPr>
            <w:tcW w:w="2675" w:type="dxa"/>
          </w:tcPr>
          <w:p>
            <w:pPr>
              <w:pStyle w:val="TableParagraph"/>
              <w:spacing w:line="153" w:lineRule="exact" w:before="23"/>
              <w:ind w:right="48"/>
              <w:jc w:val="right"/>
              <w:rPr>
                <w:sz w:val="15"/>
              </w:rPr>
            </w:pPr>
            <w:r>
              <w:rPr>
                <w:sz w:val="15"/>
              </w:rPr>
              <w:t>$100,224.00</w:t>
            </w:r>
          </w:p>
        </w:tc>
      </w:tr>
    </w:tbl>
    <w:p>
      <w:pPr>
        <w:pStyle w:val="BodyText"/>
        <w:spacing w:before="8"/>
      </w:pPr>
    </w:p>
    <w:p>
      <w:pPr>
        <w:pStyle w:val="BodyText"/>
        <w:spacing w:line="244" w:lineRule="auto"/>
        <w:ind w:left="162" w:right="510" w:firstLine="321"/>
        <w:jc w:val="both"/>
      </w:pPr>
      <w:r>
        <w:rPr/>
        <w:t>El pago de esta contribución deberá efectuarse en las oficinas recaudadoras de la Tesorería Municipal dentro de los quince días siguientes a la entrega del dictamen favorable para la aplicación del coeficiente de utilización del suelo máximo optativo, emitido por la autoridad competente.</w:t>
      </w:r>
    </w:p>
    <w:p>
      <w:pPr>
        <w:pStyle w:val="BodyText"/>
        <w:spacing w:before="9"/>
      </w:pPr>
    </w:p>
    <w:p>
      <w:pPr>
        <w:pStyle w:val="Heading4"/>
        <w:ind w:left="2394" w:right="2419"/>
      </w:pPr>
      <w:r>
        <w:rPr/>
        <w:t>SECCIÓN CUARTA</w:t>
      </w:r>
    </w:p>
    <w:p>
      <w:pPr>
        <w:spacing w:before="5"/>
        <w:ind w:left="2395" w:right="2419" w:firstLine="0"/>
        <w:jc w:val="center"/>
        <w:rPr>
          <w:b/>
          <w:sz w:val="15"/>
        </w:rPr>
      </w:pPr>
      <w:r>
        <w:rPr>
          <w:b/>
          <w:sz w:val="15"/>
        </w:rPr>
        <w:t>Del Dictamen de Alineamiento y Número Oficial</w:t>
      </w:r>
    </w:p>
    <w:p>
      <w:pPr>
        <w:pStyle w:val="BodyText"/>
        <w:spacing w:before="7"/>
        <w:rPr>
          <w:b/>
        </w:rPr>
      </w:pPr>
    </w:p>
    <w:p>
      <w:pPr>
        <w:pStyle w:val="BodyText"/>
        <w:spacing w:line="247" w:lineRule="auto" w:before="1"/>
        <w:ind w:left="162" w:right="508" w:firstLine="397"/>
        <w:jc w:val="both"/>
      </w:pPr>
      <w:r>
        <w:rPr>
          <w:b/>
        </w:rPr>
        <w:t>Artículo 85.-</w:t>
      </w:r>
      <w:r>
        <w:rPr/>
        <w:t>Las personas físicas o jurídicas que pretendan llevar a cabo  obras  de  edificación,  demolición o relativas a las mismas, deberán obtener previamente el dictamen de alineamiento  y  número  oficial. En el caso de alineamiento de propiedades en esquina o con varios frentes en  vías  públicas  establecidas</w:t>
      </w:r>
      <w:r>
        <w:rPr>
          <w:spacing w:val="5"/>
        </w:rPr>
        <w:t> </w:t>
      </w:r>
      <w:r>
        <w:rPr/>
        <w:t>o</w:t>
      </w:r>
      <w:r>
        <w:rPr>
          <w:spacing w:val="5"/>
        </w:rPr>
        <w:t> </w:t>
      </w:r>
      <w:r>
        <w:rPr/>
        <w:t>por</w:t>
      </w:r>
      <w:r>
        <w:rPr>
          <w:spacing w:val="5"/>
        </w:rPr>
        <w:t> </w:t>
      </w:r>
      <w:r>
        <w:rPr/>
        <w:t>establecerse</w:t>
      </w:r>
      <w:r>
        <w:rPr>
          <w:spacing w:val="5"/>
        </w:rPr>
        <w:t> </w:t>
      </w:r>
      <w:r>
        <w:rPr/>
        <w:t>cubrirán</w:t>
      </w:r>
      <w:r>
        <w:rPr>
          <w:spacing w:val="6"/>
        </w:rPr>
        <w:t> </w:t>
      </w:r>
      <w:r>
        <w:rPr/>
        <w:t>derechos</w:t>
      </w:r>
      <w:r>
        <w:rPr>
          <w:spacing w:val="5"/>
        </w:rPr>
        <w:t> </w:t>
      </w:r>
      <w:r>
        <w:rPr/>
        <w:t>por</w:t>
      </w:r>
      <w:r>
        <w:rPr>
          <w:spacing w:val="5"/>
        </w:rPr>
        <w:t> </w:t>
      </w:r>
      <w:r>
        <w:rPr/>
        <w:t>toda</w:t>
      </w:r>
      <w:r>
        <w:rPr>
          <w:spacing w:val="5"/>
        </w:rPr>
        <w:t> </w:t>
      </w:r>
      <w:r>
        <w:rPr/>
        <w:t>su</w:t>
      </w:r>
      <w:r>
        <w:rPr>
          <w:spacing w:val="5"/>
        </w:rPr>
        <w:t> </w:t>
      </w:r>
      <w:r>
        <w:rPr/>
        <w:t>longitud</w:t>
      </w:r>
      <w:r>
        <w:rPr>
          <w:spacing w:val="6"/>
        </w:rPr>
        <w:t> </w:t>
      </w:r>
      <w:r>
        <w:rPr/>
        <w:t>y</w:t>
      </w:r>
      <w:r>
        <w:rPr>
          <w:spacing w:val="5"/>
        </w:rPr>
        <w:t> </w:t>
      </w:r>
      <w:r>
        <w:rPr/>
        <w:t>se</w:t>
      </w:r>
      <w:r>
        <w:rPr>
          <w:spacing w:val="5"/>
        </w:rPr>
        <w:t> </w:t>
      </w:r>
      <w:r>
        <w:rPr/>
        <w:t>pagarán</w:t>
      </w:r>
      <w:r>
        <w:rPr>
          <w:spacing w:val="5"/>
        </w:rPr>
        <w:t> </w:t>
      </w:r>
      <w:r>
        <w:rPr/>
        <w:t>las</w:t>
      </w:r>
      <w:r>
        <w:rPr>
          <w:spacing w:val="6"/>
        </w:rPr>
        <w:t> </w:t>
      </w:r>
      <w:r>
        <w:rPr/>
        <w:t>siguientes:</w:t>
      </w:r>
    </w:p>
    <w:p>
      <w:pPr>
        <w:pStyle w:val="BodyText"/>
        <w:spacing w:before="2"/>
      </w:pPr>
    </w:p>
    <w:p>
      <w:pPr>
        <w:pStyle w:val="BodyText"/>
        <w:ind w:right="1897"/>
        <w:jc w:val="right"/>
      </w:pPr>
      <w:r>
        <w:rPr/>
        <w:t>TARIFAS:</w:t>
      </w:r>
    </w:p>
    <w:p>
      <w:pPr>
        <w:pStyle w:val="BodyText"/>
        <w:spacing w:line="247" w:lineRule="auto" w:before="54"/>
        <w:ind w:left="201" w:right="4156"/>
        <w:jc w:val="both"/>
      </w:pPr>
      <w:r>
        <w:rPr/>
        <w:t>I. Dictamen de Alineamiento por lote, fracción o unidad privativa que dé a una vía pública, se pagará una tarifa de:</w:t>
      </w:r>
    </w:p>
    <w:p>
      <w:pPr>
        <w:spacing w:after="0" w:line="247" w:lineRule="auto"/>
        <w:jc w:val="both"/>
        <w:sectPr>
          <w:type w:val="continuous"/>
          <w:pgSz w:w="23250" w:h="15310" w:orient="landscape"/>
          <w:pgMar w:top="0" w:bottom="0" w:left="1880" w:right="1520"/>
          <w:cols w:num="2" w:equalWidth="0">
            <w:col w:w="7753" w:space="3858"/>
            <w:col w:w="8239"/>
          </w:cols>
        </w:sectPr>
      </w:pPr>
    </w:p>
    <w:p>
      <w:pPr>
        <w:pStyle w:val="BodyText"/>
        <w:rPr>
          <w:sz w:val="20"/>
        </w:rPr>
      </w:pPr>
    </w:p>
    <w:p>
      <w:pPr>
        <w:pStyle w:val="BodyText"/>
        <w:rPr>
          <w:sz w:val="20"/>
        </w:rPr>
      </w:pPr>
    </w:p>
    <w:p>
      <w:pPr>
        <w:pStyle w:val="BodyText"/>
        <w:rPr>
          <w:sz w:val="20"/>
        </w:rPr>
      </w:pPr>
    </w:p>
    <w:p>
      <w:pPr>
        <w:pStyle w:val="BodyText"/>
        <w:spacing w:before="8"/>
        <w:rPr>
          <w:sz w:val="14"/>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5"/>
        <w:gridCol w:w="5614"/>
        <w:gridCol w:w="8822"/>
        <w:gridCol w:w="820"/>
      </w:tblGrid>
      <w:tr>
        <w:trPr>
          <w:trHeight w:val="258" w:hRule="atLeast"/>
        </w:trPr>
        <w:tc>
          <w:tcPr>
            <w:tcW w:w="4025" w:type="dxa"/>
          </w:tcPr>
          <w:p>
            <w:pPr>
              <w:pStyle w:val="TableParagraph"/>
              <w:spacing w:line="114" w:lineRule="exact"/>
              <w:ind w:left="88"/>
              <w:rPr>
                <w:sz w:val="15"/>
              </w:rPr>
            </w:pPr>
            <w:r>
              <w:rPr>
                <w:sz w:val="15"/>
              </w:rPr>
              <w:t>a) De hasta 8 metros:</w:t>
            </w:r>
          </w:p>
        </w:tc>
        <w:tc>
          <w:tcPr>
            <w:tcW w:w="5614" w:type="dxa"/>
          </w:tcPr>
          <w:p>
            <w:pPr>
              <w:pStyle w:val="TableParagraph"/>
              <w:spacing w:line="114" w:lineRule="exact"/>
              <w:ind w:right="4277"/>
              <w:jc w:val="right"/>
              <w:rPr>
                <w:sz w:val="15"/>
              </w:rPr>
            </w:pPr>
            <w:r>
              <w:rPr>
                <w:sz w:val="15"/>
              </w:rPr>
              <w:t>$305.00</w:t>
            </w:r>
          </w:p>
        </w:tc>
        <w:tc>
          <w:tcPr>
            <w:tcW w:w="8822" w:type="dxa"/>
          </w:tcPr>
          <w:p>
            <w:pPr>
              <w:pStyle w:val="TableParagraph"/>
              <w:spacing w:line="171" w:lineRule="exact"/>
              <w:ind w:left="5174"/>
              <w:rPr>
                <w:sz w:val="15"/>
              </w:rPr>
            </w:pPr>
            <w:r>
              <w:rPr>
                <w:sz w:val="15"/>
              </w:rPr>
              <w:t>2. Inmuebles de uso de Granjas y huertos (GH)</w:t>
            </w:r>
          </w:p>
        </w:tc>
        <w:tc>
          <w:tcPr>
            <w:tcW w:w="820" w:type="dxa"/>
          </w:tcPr>
          <w:p>
            <w:pPr>
              <w:pStyle w:val="TableParagraph"/>
              <w:spacing w:line="171" w:lineRule="exact"/>
              <w:ind w:right="47"/>
              <w:jc w:val="right"/>
              <w:rPr>
                <w:sz w:val="15"/>
              </w:rPr>
            </w:pPr>
            <w:r>
              <w:rPr>
                <w:sz w:val="15"/>
              </w:rPr>
              <w:t>$23.00</w:t>
            </w:r>
          </w:p>
        </w:tc>
      </w:tr>
      <w:tr>
        <w:trPr>
          <w:trHeight w:val="409" w:hRule="atLeast"/>
        </w:trPr>
        <w:tc>
          <w:tcPr>
            <w:tcW w:w="4025" w:type="dxa"/>
          </w:tcPr>
          <w:p>
            <w:pPr>
              <w:pStyle w:val="TableParagraph"/>
              <w:spacing w:before="85"/>
              <w:ind w:left="88"/>
              <w:rPr>
                <w:sz w:val="15"/>
              </w:rPr>
            </w:pPr>
            <w:r>
              <w:rPr>
                <w:sz w:val="15"/>
              </w:rPr>
              <w:t>b) Un solo frente mayor a 8 metros y hasta 25:</w:t>
            </w:r>
          </w:p>
        </w:tc>
        <w:tc>
          <w:tcPr>
            <w:tcW w:w="5614" w:type="dxa"/>
          </w:tcPr>
          <w:p>
            <w:pPr>
              <w:pStyle w:val="TableParagraph"/>
              <w:spacing w:before="85"/>
              <w:ind w:right="4277"/>
              <w:jc w:val="right"/>
              <w:rPr>
                <w:sz w:val="15"/>
              </w:rPr>
            </w:pPr>
            <w:r>
              <w:rPr>
                <w:sz w:val="15"/>
              </w:rPr>
              <w:t>$609.00</w:t>
            </w:r>
          </w:p>
        </w:tc>
        <w:tc>
          <w:tcPr>
            <w:tcW w:w="8822" w:type="dxa"/>
          </w:tcPr>
          <w:p>
            <w:pPr>
              <w:pStyle w:val="TableParagraph"/>
              <w:spacing w:before="132"/>
              <w:ind w:left="5158"/>
              <w:rPr>
                <w:sz w:val="15"/>
              </w:rPr>
            </w:pPr>
            <w:r>
              <w:rPr>
                <w:sz w:val="15"/>
              </w:rPr>
              <w:t>3. Inmuebles de uso Comercio y servicios (CS)</w:t>
            </w:r>
          </w:p>
        </w:tc>
        <w:tc>
          <w:tcPr>
            <w:tcW w:w="820" w:type="dxa"/>
          </w:tcPr>
          <w:p>
            <w:pPr>
              <w:pStyle w:val="TableParagraph"/>
              <w:spacing w:before="132"/>
              <w:ind w:right="47"/>
              <w:jc w:val="right"/>
              <w:rPr>
                <w:sz w:val="15"/>
              </w:rPr>
            </w:pPr>
            <w:r>
              <w:rPr>
                <w:sz w:val="15"/>
              </w:rPr>
              <w:t>$27.00</w:t>
            </w:r>
          </w:p>
        </w:tc>
      </w:tr>
      <w:tr>
        <w:trPr>
          <w:trHeight w:val="398" w:hRule="atLeast"/>
        </w:trPr>
        <w:tc>
          <w:tcPr>
            <w:tcW w:w="4025" w:type="dxa"/>
          </w:tcPr>
          <w:p>
            <w:pPr>
              <w:pStyle w:val="TableParagraph"/>
              <w:spacing w:before="102"/>
              <w:ind w:left="88"/>
              <w:rPr>
                <w:sz w:val="15"/>
              </w:rPr>
            </w:pPr>
            <w:r>
              <w:rPr>
                <w:sz w:val="15"/>
              </w:rPr>
              <w:t>c) Un solo frente mayor a 25 metros:</w:t>
            </w:r>
          </w:p>
        </w:tc>
        <w:tc>
          <w:tcPr>
            <w:tcW w:w="5614" w:type="dxa"/>
          </w:tcPr>
          <w:p>
            <w:pPr>
              <w:pStyle w:val="TableParagraph"/>
              <w:spacing w:before="102"/>
              <w:ind w:right="4278"/>
              <w:jc w:val="right"/>
              <w:rPr>
                <w:sz w:val="15"/>
              </w:rPr>
            </w:pPr>
            <w:r>
              <w:rPr>
                <w:sz w:val="15"/>
              </w:rPr>
              <w:t>$3,045.00</w:t>
            </w:r>
          </w:p>
        </w:tc>
        <w:tc>
          <w:tcPr>
            <w:tcW w:w="8822" w:type="dxa"/>
          </w:tcPr>
          <w:p>
            <w:pPr>
              <w:pStyle w:val="TableParagraph"/>
              <w:spacing w:before="114"/>
              <w:ind w:left="5139"/>
              <w:rPr>
                <w:sz w:val="15"/>
              </w:rPr>
            </w:pPr>
            <w:r>
              <w:rPr>
                <w:sz w:val="15"/>
              </w:rPr>
              <w:t>4. Inmuebles de uso Industrial (I)</w:t>
            </w:r>
          </w:p>
        </w:tc>
        <w:tc>
          <w:tcPr>
            <w:tcW w:w="820" w:type="dxa"/>
          </w:tcPr>
          <w:p>
            <w:pPr>
              <w:pStyle w:val="TableParagraph"/>
              <w:spacing w:before="114"/>
              <w:ind w:right="47"/>
              <w:jc w:val="right"/>
              <w:rPr>
                <w:sz w:val="15"/>
              </w:rPr>
            </w:pPr>
            <w:r>
              <w:rPr>
                <w:sz w:val="15"/>
              </w:rPr>
              <w:t>$34.00</w:t>
            </w:r>
          </w:p>
        </w:tc>
      </w:tr>
      <w:tr>
        <w:trPr>
          <w:trHeight w:val="321" w:hRule="atLeast"/>
        </w:trPr>
        <w:tc>
          <w:tcPr>
            <w:tcW w:w="4025" w:type="dxa"/>
          </w:tcPr>
          <w:p>
            <w:pPr>
              <w:pStyle w:val="TableParagraph"/>
              <w:spacing w:before="10"/>
              <w:rPr>
                <w:sz w:val="12"/>
              </w:rPr>
            </w:pPr>
          </w:p>
          <w:p>
            <w:pPr>
              <w:pStyle w:val="TableParagraph"/>
              <w:spacing w:line="153" w:lineRule="exact"/>
              <w:ind w:left="88"/>
              <w:rPr>
                <w:sz w:val="15"/>
              </w:rPr>
            </w:pPr>
            <w:r>
              <w:rPr>
                <w:sz w:val="15"/>
              </w:rPr>
              <w:t>II. Designación de número oficial:</w:t>
            </w:r>
          </w:p>
        </w:tc>
        <w:tc>
          <w:tcPr>
            <w:tcW w:w="5614" w:type="dxa"/>
          </w:tcPr>
          <w:p>
            <w:pPr>
              <w:pStyle w:val="TableParagraph"/>
              <w:spacing w:before="10"/>
              <w:rPr>
                <w:sz w:val="12"/>
              </w:rPr>
            </w:pPr>
          </w:p>
          <w:p>
            <w:pPr>
              <w:pStyle w:val="TableParagraph"/>
              <w:spacing w:line="153" w:lineRule="exact"/>
              <w:ind w:right="4277"/>
              <w:jc w:val="right"/>
              <w:rPr>
                <w:sz w:val="15"/>
              </w:rPr>
            </w:pPr>
            <w:r>
              <w:rPr>
                <w:sz w:val="15"/>
              </w:rPr>
              <w:t>$268.00</w:t>
            </w:r>
          </w:p>
        </w:tc>
        <w:tc>
          <w:tcPr>
            <w:tcW w:w="8822" w:type="dxa"/>
          </w:tcPr>
          <w:p>
            <w:pPr>
              <w:pStyle w:val="TableParagraph"/>
              <w:spacing w:before="109"/>
              <w:ind w:left="5139"/>
              <w:rPr>
                <w:sz w:val="15"/>
              </w:rPr>
            </w:pPr>
            <w:r>
              <w:rPr>
                <w:sz w:val="15"/>
              </w:rPr>
              <w:t>5. Inmuebles de uso distinto de los anteriores</w:t>
            </w:r>
          </w:p>
        </w:tc>
        <w:tc>
          <w:tcPr>
            <w:tcW w:w="820" w:type="dxa"/>
          </w:tcPr>
          <w:p>
            <w:pPr>
              <w:pStyle w:val="TableParagraph"/>
              <w:spacing w:before="109"/>
              <w:ind w:right="47"/>
              <w:jc w:val="right"/>
              <w:rPr>
                <w:sz w:val="15"/>
              </w:rPr>
            </w:pPr>
            <w:r>
              <w:rPr>
                <w:sz w:val="15"/>
              </w:rPr>
              <w:t>$26.00</w:t>
            </w:r>
          </w:p>
        </w:tc>
      </w:tr>
      <w:tr>
        <w:trPr>
          <w:trHeight w:val="389" w:hRule="atLeast"/>
        </w:trPr>
        <w:tc>
          <w:tcPr>
            <w:tcW w:w="19281" w:type="dxa"/>
            <w:gridSpan w:val="4"/>
          </w:tcPr>
          <w:p>
            <w:pPr>
              <w:pStyle w:val="TableParagraph"/>
              <w:tabs>
                <w:tab w:pos="12068" w:val="left" w:leader="none"/>
              </w:tabs>
              <w:spacing w:line="120" w:lineRule="auto" w:before="193"/>
              <w:ind w:left="88"/>
              <w:rPr>
                <w:sz w:val="15"/>
              </w:rPr>
            </w:pPr>
            <w:r>
              <w:rPr>
                <w:position w:val="-8"/>
                <w:sz w:val="15"/>
              </w:rPr>
              <w:t>III.</w:t>
            </w:r>
            <w:r>
              <w:rPr>
                <w:spacing w:val="21"/>
                <w:position w:val="-8"/>
                <w:sz w:val="15"/>
              </w:rPr>
              <w:t> </w:t>
            </w:r>
            <w:r>
              <w:rPr>
                <w:position w:val="-8"/>
                <w:sz w:val="15"/>
              </w:rPr>
              <w:t>Servicios</w:t>
            </w:r>
            <w:r>
              <w:rPr>
                <w:spacing w:val="22"/>
                <w:position w:val="-8"/>
                <w:sz w:val="15"/>
              </w:rPr>
              <w:t> </w:t>
            </w:r>
            <w:r>
              <w:rPr>
                <w:position w:val="-8"/>
                <w:sz w:val="15"/>
              </w:rPr>
              <w:t>similares</w:t>
            </w:r>
            <w:r>
              <w:rPr>
                <w:spacing w:val="22"/>
                <w:position w:val="-8"/>
                <w:sz w:val="15"/>
              </w:rPr>
              <w:t> </w:t>
            </w:r>
            <w:r>
              <w:rPr>
                <w:position w:val="-8"/>
                <w:sz w:val="15"/>
              </w:rPr>
              <w:t>no</w:t>
            </w:r>
            <w:r>
              <w:rPr>
                <w:spacing w:val="22"/>
                <w:position w:val="-8"/>
                <w:sz w:val="15"/>
              </w:rPr>
              <w:t> </w:t>
            </w:r>
            <w:r>
              <w:rPr>
                <w:position w:val="-8"/>
                <w:sz w:val="15"/>
              </w:rPr>
              <w:t>previstos</w:t>
            </w:r>
            <w:r>
              <w:rPr>
                <w:spacing w:val="20"/>
                <w:position w:val="-8"/>
                <w:sz w:val="15"/>
              </w:rPr>
              <w:t> </w:t>
            </w:r>
            <w:r>
              <w:rPr>
                <w:position w:val="-8"/>
                <w:sz w:val="15"/>
              </w:rPr>
              <w:t>en</w:t>
            </w:r>
            <w:r>
              <w:rPr>
                <w:spacing w:val="22"/>
                <w:position w:val="-8"/>
                <w:sz w:val="15"/>
              </w:rPr>
              <w:t> </w:t>
            </w:r>
            <w:r>
              <w:rPr>
                <w:position w:val="-8"/>
                <w:sz w:val="15"/>
              </w:rPr>
              <w:t>este</w:t>
            </w:r>
            <w:r>
              <w:rPr>
                <w:spacing w:val="22"/>
                <w:position w:val="-8"/>
                <w:sz w:val="15"/>
              </w:rPr>
              <w:t> </w:t>
            </w:r>
            <w:r>
              <w:rPr>
                <w:position w:val="-8"/>
                <w:sz w:val="15"/>
              </w:rPr>
              <w:t>artículo,</w:t>
            </w:r>
            <w:r>
              <w:rPr>
                <w:spacing w:val="22"/>
                <w:position w:val="-8"/>
                <w:sz w:val="15"/>
              </w:rPr>
              <w:t> </w:t>
            </w:r>
            <w:r>
              <w:rPr>
                <w:position w:val="-8"/>
                <w:sz w:val="15"/>
              </w:rPr>
              <w:t>por</w:t>
              <w:tab/>
            </w:r>
            <w:r>
              <w:rPr>
                <w:sz w:val="15"/>
              </w:rPr>
              <w:t>b)</w:t>
            </w:r>
            <w:r>
              <w:rPr>
                <w:spacing w:val="-2"/>
                <w:sz w:val="15"/>
              </w:rPr>
              <w:t> </w:t>
            </w:r>
            <w:r>
              <w:rPr>
                <w:sz w:val="15"/>
              </w:rPr>
              <w:t>Autorización</w:t>
            </w:r>
            <w:r>
              <w:rPr>
                <w:spacing w:val="9"/>
                <w:sz w:val="15"/>
              </w:rPr>
              <w:t> </w:t>
            </w:r>
            <w:r>
              <w:rPr>
                <w:sz w:val="15"/>
              </w:rPr>
              <w:t>para</w:t>
            </w:r>
            <w:r>
              <w:rPr>
                <w:spacing w:val="8"/>
                <w:sz w:val="15"/>
              </w:rPr>
              <w:t> </w:t>
            </w:r>
            <w:r>
              <w:rPr>
                <w:sz w:val="15"/>
              </w:rPr>
              <w:t>lotificar,</w:t>
            </w:r>
            <w:r>
              <w:rPr>
                <w:spacing w:val="9"/>
                <w:sz w:val="15"/>
              </w:rPr>
              <w:t> </w:t>
            </w:r>
            <w:r>
              <w:rPr>
                <w:sz w:val="15"/>
              </w:rPr>
              <w:t>por</w:t>
            </w:r>
            <w:r>
              <w:rPr>
                <w:spacing w:val="8"/>
                <w:sz w:val="15"/>
              </w:rPr>
              <w:t> </w:t>
            </w:r>
            <w:r>
              <w:rPr>
                <w:sz w:val="15"/>
              </w:rPr>
              <w:t>cada</w:t>
            </w:r>
            <w:r>
              <w:rPr>
                <w:spacing w:val="9"/>
                <w:sz w:val="15"/>
              </w:rPr>
              <w:t> </w:t>
            </w:r>
            <w:r>
              <w:rPr>
                <w:sz w:val="15"/>
              </w:rPr>
              <w:t>lote,</w:t>
            </w:r>
            <w:r>
              <w:rPr>
                <w:spacing w:val="8"/>
                <w:sz w:val="15"/>
              </w:rPr>
              <w:t> </w:t>
            </w:r>
            <w:r>
              <w:rPr>
                <w:sz w:val="15"/>
              </w:rPr>
              <w:t>conforme</w:t>
            </w:r>
            <w:r>
              <w:rPr>
                <w:spacing w:val="9"/>
                <w:sz w:val="15"/>
              </w:rPr>
              <w:t> </w:t>
            </w:r>
            <w:r>
              <w:rPr>
                <w:sz w:val="15"/>
              </w:rPr>
              <w:t>al</w:t>
            </w:r>
            <w:r>
              <w:rPr>
                <w:spacing w:val="8"/>
                <w:sz w:val="15"/>
              </w:rPr>
              <w:t> </w:t>
            </w:r>
            <w:r>
              <w:rPr>
                <w:sz w:val="15"/>
              </w:rPr>
              <w:t>artículo</w:t>
            </w:r>
            <w:r>
              <w:rPr>
                <w:spacing w:val="9"/>
                <w:sz w:val="15"/>
              </w:rPr>
              <w:t> </w:t>
            </w:r>
            <w:r>
              <w:rPr>
                <w:sz w:val="15"/>
              </w:rPr>
              <w:t>237,</w:t>
            </w:r>
            <w:r>
              <w:rPr>
                <w:spacing w:val="8"/>
                <w:sz w:val="15"/>
              </w:rPr>
              <w:t> </w:t>
            </w:r>
            <w:r>
              <w:rPr>
                <w:sz w:val="15"/>
              </w:rPr>
              <w:t>fracción</w:t>
            </w:r>
            <w:r>
              <w:rPr>
                <w:spacing w:val="9"/>
                <w:sz w:val="15"/>
              </w:rPr>
              <w:t> </w:t>
            </w:r>
            <w:r>
              <w:rPr>
                <w:sz w:val="15"/>
              </w:rPr>
              <w:t>I</w:t>
            </w:r>
            <w:r>
              <w:rPr>
                <w:spacing w:val="8"/>
                <w:sz w:val="15"/>
              </w:rPr>
              <w:t> </w:t>
            </w:r>
            <w:r>
              <w:rPr>
                <w:sz w:val="15"/>
              </w:rPr>
              <w:t>del</w:t>
            </w:r>
            <w:r>
              <w:rPr>
                <w:spacing w:val="9"/>
                <w:sz w:val="15"/>
              </w:rPr>
              <w:t> </w:t>
            </w:r>
            <w:r>
              <w:rPr>
                <w:sz w:val="15"/>
              </w:rPr>
              <w:t>Código</w:t>
            </w:r>
            <w:r>
              <w:rPr>
                <w:spacing w:val="9"/>
                <w:sz w:val="15"/>
              </w:rPr>
              <w:t> </w:t>
            </w:r>
            <w:r>
              <w:rPr>
                <w:sz w:val="15"/>
              </w:rPr>
              <w:t>Urbano</w:t>
            </w:r>
            <w:r>
              <w:rPr>
                <w:spacing w:val="8"/>
                <w:sz w:val="15"/>
              </w:rPr>
              <w:t> </w:t>
            </w:r>
            <w:r>
              <w:rPr>
                <w:sz w:val="15"/>
              </w:rPr>
              <w:t>para</w:t>
            </w:r>
            <w:r>
              <w:rPr>
                <w:spacing w:val="9"/>
                <w:sz w:val="15"/>
              </w:rPr>
              <w:t> </w:t>
            </w:r>
            <w:r>
              <w:rPr>
                <w:sz w:val="15"/>
              </w:rPr>
              <w:t>el</w:t>
            </w:r>
          </w:p>
        </w:tc>
      </w:tr>
      <w:tr>
        <w:trPr>
          <w:trHeight w:val="221" w:hRule="atLeast"/>
        </w:trPr>
        <w:tc>
          <w:tcPr>
            <w:tcW w:w="9639" w:type="dxa"/>
            <w:gridSpan w:val="2"/>
          </w:tcPr>
          <w:p>
            <w:pPr>
              <w:pStyle w:val="TableParagraph"/>
              <w:tabs>
                <w:tab w:pos="4075" w:val="left" w:leader="none"/>
              </w:tabs>
              <w:spacing w:line="168" w:lineRule="auto"/>
              <w:ind w:left="88"/>
              <w:rPr>
                <w:sz w:val="15"/>
              </w:rPr>
            </w:pPr>
            <w:r>
              <w:rPr>
                <w:position w:val="-8"/>
                <w:sz w:val="15"/>
              </w:rPr>
              <w:t>cada</w:t>
            </w:r>
            <w:r>
              <w:rPr>
                <w:spacing w:val="4"/>
                <w:position w:val="-8"/>
                <w:sz w:val="15"/>
              </w:rPr>
              <w:t> </w:t>
            </w:r>
            <w:r>
              <w:rPr>
                <w:position w:val="-8"/>
                <w:sz w:val="15"/>
              </w:rPr>
              <w:t>uno,</w:t>
            </w:r>
            <w:r>
              <w:rPr>
                <w:spacing w:val="5"/>
                <w:position w:val="-8"/>
                <w:sz w:val="15"/>
              </w:rPr>
              <w:t> </w:t>
            </w:r>
            <w:r>
              <w:rPr>
                <w:position w:val="-8"/>
                <w:sz w:val="15"/>
              </w:rPr>
              <w:t>de:</w:t>
              <w:tab/>
            </w:r>
            <w:r>
              <w:rPr>
                <w:sz w:val="15"/>
              </w:rPr>
              <w:t>$334.00 a</w:t>
            </w:r>
            <w:r>
              <w:rPr>
                <w:spacing w:val="3"/>
                <w:sz w:val="15"/>
              </w:rPr>
              <w:t> </w:t>
            </w:r>
            <w:r>
              <w:rPr>
                <w:sz w:val="15"/>
              </w:rPr>
              <w:t>$516.00</w:t>
            </w:r>
          </w:p>
        </w:tc>
        <w:tc>
          <w:tcPr>
            <w:tcW w:w="9642" w:type="dxa"/>
            <w:gridSpan w:val="2"/>
          </w:tcPr>
          <w:p>
            <w:pPr>
              <w:pStyle w:val="TableParagraph"/>
              <w:spacing w:line="128" w:lineRule="exact"/>
              <w:ind w:left="2032"/>
              <w:rPr>
                <w:sz w:val="15"/>
              </w:rPr>
            </w:pPr>
            <w:r>
              <w:rPr>
                <w:sz w:val="15"/>
              </w:rPr>
              <w:t>Estado de Jalisco según su categoría:</w:t>
            </w:r>
          </w:p>
        </w:tc>
      </w:tr>
      <w:tr>
        <w:trPr>
          <w:trHeight w:val="371" w:hRule="atLeast"/>
        </w:trPr>
        <w:tc>
          <w:tcPr>
            <w:tcW w:w="9639" w:type="dxa"/>
            <w:gridSpan w:val="2"/>
          </w:tcPr>
          <w:p>
            <w:pPr>
              <w:pStyle w:val="TableParagraph"/>
              <w:rPr>
                <w:rFonts w:ascii="Times New Roman"/>
                <w:sz w:val="14"/>
              </w:rPr>
            </w:pPr>
          </w:p>
        </w:tc>
        <w:tc>
          <w:tcPr>
            <w:tcW w:w="8822" w:type="dxa"/>
          </w:tcPr>
          <w:p>
            <w:pPr>
              <w:pStyle w:val="TableParagraph"/>
              <w:spacing w:before="88"/>
              <w:ind w:left="5131"/>
              <w:rPr>
                <w:sz w:val="15"/>
              </w:rPr>
            </w:pPr>
            <w:r>
              <w:rPr>
                <w:sz w:val="15"/>
              </w:rPr>
              <w:t>1. Inmuebles de uso habitacional (H)</w:t>
            </w:r>
          </w:p>
        </w:tc>
        <w:tc>
          <w:tcPr>
            <w:tcW w:w="820" w:type="dxa"/>
          </w:tcPr>
          <w:p>
            <w:pPr>
              <w:pStyle w:val="TableParagraph"/>
              <w:spacing w:before="88"/>
              <w:ind w:right="47"/>
              <w:jc w:val="right"/>
              <w:rPr>
                <w:sz w:val="15"/>
              </w:rPr>
            </w:pPr>
            <w:r>
              <w:rPr>
                <w:sz w:val="15"/>
              </w:rPr>
              <w:t>$70.00</w:t>
            </w:r>
          </w:p>
        </w:tc>
      </w:tr>
      <w:tr>
        <w:trPr>
          <w:trHeight w:val="309" w:hRule="atLeast"/>
        </w:trPr>
        <w:tc>
          <w:tcPr>
            <w:tcW w:w="9639" w:type="dxa"/>
            <w:gridSpan w:val="2"/>
          </w:tcPr>
          <w:p>
            <w:pPr>
              <w:pStyle w:val="TableParagraph"/>
              <w:spacing w:line="156" w:lineRule="exact" w:before="133"/>
              <w:ind w:left="3171"/>
              <w:rPr>
                <w:b/>
                <w:sz w:val="15"/>
              </w:rPr>
            </w:pPr>
            <w:r>
              <w:rPr>
                <w:b/>
                <w:sz w:val="15"/>
              </w:rPr>
              <w:t>SECCIÓN QUINTA</w:t>
            </w:r>
          </w:p>
        </w:tc>
        <w:tc>
          <w:tcPr>
            <w:tcW w:w="8822" w:type="dxa"/>
          </w:tcPr>
          <w:p>
            <w:pPr>
              <w:pStyle w:val="TableParagraph"/>
              <w:spacing w:before="108"/>
              <w:ind w:left="5131"/>
              <w:rPr>
                <w:sz w:val="15"/>
              </w:rPr>
            </w:pPr>
            <w:r>
              <w:rPr>
                <w:sz w:val="15"/>
              </w:rPr>
              <w:t>2. Inmuebles de uso de Granjas y huertos (GH)</w:t>
            </w:r>
          </w:p>
        </w:tc>
        <w:tc>
          <w:tcPr>
            <w:tcW w:w="820" w:type="dxa"/>
          </w:tcPr>
          <w:p>
            <w:pPr>
              <w:pStyle w:val="TableParagraph"/>
              <w:spacing w:before="108"/>
              <w:ind w:right="47"/>
              <w:jc w:val="right"/>
              <w:rPr>
                <w:sz w:val="15"/>
              </w:rPr>
            </w:pPr>
            <w:r>
              <w:rPr>
                <w:sz w:val="15"/>
              </w:rPr>
              <w:t>$84.00</w:t>
            </w:r>
          </w:p>
        </w:tc>
      </w:tr>
      <w:tr>
        <w:trPr>
          <w:trHeight w:val="183" w:hRule="atLeast"/>
        </w:trPr>
        <w:tc>
          <w:tcPr>
            <w:tcW w:w="9639" w:type="dxa"/>
            <w:gridSpan w:val="2"/>
          </w:tcPr>
          <w:p>
            <w:pPr>
              <w:pStyle w:val="TableParagraph"/>
              <w:spacing w:line="162" w:lineRule="exact" w:before="1"/>
              <w:ind w:left="2614"/>
              <w:rPr>
                <w:b/>
                <w:sz w:val="15"/>
              </w:rPr>
            </w:pPr>
            <w:r>
              <w:rPr>
                <w:b/>
                <w:sz w:val="15"/>
              </w:rPr>
              <w:t>De las Licencias de Urbanización</w:t>
            </w:r>
          </w:p>
        </w:tc>
        <w:tc>
          <w:tcPr>
            <w:tcW w:w="8822" w:type="dxa"/>
          </w:tcPr>
          <w:p>
            <w:pPr>
              <w:pStyle w:val="TableParagraph"/>
              <w:rPr>
                <w:rFonts w:ascii="Times New Roman"/>
                <w:sz w:val="12"/>
              </w:rPr>
            </w:pPr>
          </w:p>
        </w:tc>
        <w:tc>
          <w:tcPr>
            <w:tcW w:w="820" w:type="dxa"/>
          </w:tcPr>
          <w:p>
            <w:pPr>
              <w:pStyle w:val="TableParagraph"/>
              <w:rPr>
                <w:rFonts w:ascii="Times New Roman"/>
                <w:sz w:val="12"/>
              </w:rPr>
            </w:pPr>
          </w:p>
        </w:tc>
      </w:tr>
      <w:tr>
        <w:trPr>
          <w:trHeight w:val="176" w:hRule="atLeast"/>
        </w:trPr>
        <w:tc>
          <w:tcPr>
            <w:tcW w:w="9639" w:type="dxa"/>
            <w:gridSpan w:val="2"/>
          </w:tcPr>
          <w:p>
            <w:pPr>
              <w:pStyle w:val="TableParagraph"/>
              <w:rPr>
                <w:rFonts w:ascii="Times New Roman"/>
                <w:sz w:val="10"/>
              </w:rPr>
            </w:pPr>
          </w:p>
        </w:tc>
        <w:tc>
          <w:tcPr>
            <w:tcW w:w="8822" w:type="dxa"/>
          </w:tcPr>
          <w:p>
            <w:pPr>
              <w:pStyle w:val="TableParagraph"/>
              <w:spacing w:line="149" w:lineRule="exact" w:before="7"/>
              <w:ind w:left="5286"/>
              <w:rPr>
                <w:sz w:val="15"/>
              </w:rPr>
            </w:pPr>
            <w:r>
              <w:rPr>
                <w:sz w:val="15"/>
              </w:rPr>
              <w:t>3. Inmuebles de uso Comercio y servicios (CS)</w:t>
            </w:r>
          </w:p>
        </w:tc>
        <w:tc>
          <w:tcPr>
            <w:tcW w:w="820" w:type="dxa"/>
          </w:tcPr>
          <w:p>
            <w:pPr>
              <w:pStyle w:val="TableParagraph"/>
              <w:spacing w:line="149" w:lineRule="exact" w:before="7"/>
              <w:ind w:right="46"/>
              <w:jc w:val="right"/>
              <w:rPr>
                <w:sz w:val="15"/>
              </w:rPr>
            </w:pPr>
            <w:r>
              <w:rPr>
                <w:sz w:val="15"/>
              </w:rPr>
              <w:t>$88.00</w:t>
            </w:r>
          </w:p>
        </w:tc>
      </w:tr>
      <w:tr>
        <w:trPr>
          <w:trHeight w:val="170" w:hRule="atLeast"/>
        </w:trPr>
        <w:tc>
          <w:tcPr>
            <w:tcW w:w="9639" w:type="dxa"/>
            <w:gridSpan w:val="2"/>
          </w:tcPr>
          <w:p>
            <w:pPr>
              <w:pStyle w:val="TableParagraph"/>
              <w:spacing w:line="150" w:lineRule="exact"/>
              <w:ind w:left="447"/>
              <w:rPr>
                <w:sz w:val="15"/>
              </w:rPr>
            </w:pPr>
            <w:r>
              <w:rPr>
                <w:b/>
                <w:sz w:val="15"/>
              </w:rPr>
              <w:t>Artículo 86.- </w:t>
            </w:r>
            <w:r>
              <w:rPr>
                <w:sz w:val="15"/>
              </w:rPr>
              <w:t>Las personas físicas o jurídicas que pretendan cambiar el régimen de propiedad individual</w:t>
            </w:r>
          </w:p>
        </w:tc>
        <w:tc>
          <w:tcPr>
            <w:tcW w:w="8822" w:type="dxa"/>
          </w:tcPr>
          <w:p>
            <w:pPr>
              <w:pStyle w:val="TableParagraph"/>
              <w:rPr>
                <w:rFonts w:ascii="Times New Roman"/>
                <w:sz w:val="10"/>
              </w:rPr>
            </w:pPr>
          </w:p>
        </w:tc>
        <w:tc>
          <w:tcPr>
            <w:tcW w:w="820" w:type="dxa"/>
          </w:tcPr>
          <w:p>
            <w:pPr>
              <w:pStyle w:val="TableParagraph"/>
              <w:rPr>
                <w:rFonts w:ascii="Times New Roman"/>
                <w:sz w:val="10"/>
              </w:rPr>
            </w:pPr>
          </w:p>
        </w:tc>
      </w:tr>
      <w:tr>
        <w:trPr>
          <w:trHeight w:val="225" w:hRule="atLeast"/>
        </w:trPr>
        <w:tc>
          <w:tcPr>
            <w:tcW w:w="9639" w:type="dxa"/>
            <w:gridSpan w:val="2"/>
          </w:tcPr>
          <w:p>
            <w:pPr>
              <w:pStyle w:val="TableParagraph"/>
              <w:spacing w:before="1"/>
              <w:ind w:left="50"/>
              <w:rPr>
                <w:sz w:val="15"/>
              </w:rPr>
            </w:pPr>
            <w:r>
              <w:rPr>
                <w:sz w:val="15"/>
              </w:rPr>
              <w:t>a condominio, o dividir o transformar terrenos en lotes mediante la realización de obras de urbanización,</w:t>
            </w:r>
          </w:p>
        </w:tc>
        <w:tc>
          <w:tcPr>
            <w:tcW w:w="8822" w:type="dxa"/>
          </w:tcPr>
          <w:p>
            <w:pPr>
              <w:pStyle w:val="TableParagraph"/>
              <w:spacing w:line="153" w:lineRule="exact" w:before="52"/>
              <w:ind w:left="5268"/>
              <w:rPr>
                <w:sz w:val="15"/>
              </w:rPr>
            </w:pPr>
            <w:r>
              <w:rPr>
                <w:sz w:val="15"/>
              </w:rPr>
              <w:t>4. Inmuebles de uso Industrial (I)</w:t>
            </w:r>
          </w:p>
        </w:tc>
        <w:tc>
          <w:tcPr>
            <w:tcW w:w="820" w:type="dxa"/>
          </w:tcPr>
          <w:p>
            <w:pPr>
              <w:pStyle w:val="TableParagraph"/>
              <w:spacing w:line="153" w:lineRule="exact" w:before="52"/>
              <w:ind w:right="46"/>
              <w:jc w:val="right"/>
              <w:rPr>
                <w:sz w:val="15"/>
              </w:rPr>
            </w:pPr>
            <w:r>
              <w:rPr>
                <w:sz w:val="15"/>
              </w:rPr>
              <w:t>$98.00</w:t>
            </w:r>
          </w:p>
        </w:tc>
      </w:tr>
      <w:tr>
        <w:trPr>
          <w:trHeight w:val="124" w:hRule="atLeast"/>
        </w:trPr>
        <w:tc>
          <w:tcPr>
            <w:tcW w:w="19281" w:type="dxa"/>
            <w:gridSpan w:val="4"/>
          </w:tcPr>
          <w:p>
            <w:pPr>
              <w:pStyle w:val="TableParagraph"/>
              <w:spacing w:line="105" w:lineRule="exact"/>
              <w:ind w:left="50"/>
              <w:rPr>
                <w:sz w:val="15"/>
              </w:rPr>
            </w:pPr>
            <w:r>
              <w:rPr>
                <w:sz w:val="15"/>
              </w:rPr>
              <w:t>deberán obtener la licencia correspondiente y pagar los derechos conforme a las siguientes:</w:t>
            </w:r>
          </w:p>
        </w:tc>
      </w:tr>
    </w:tbl>
    <w:p>
      <w:pPr>
        <w:spacing w:after="0" w:line="105" w:lineRule="exact"/>
        <w:rPr>
          <w:sz w:val="15"/>
        </w:rPr>
        <w:sectPr>
          <w:headerReference w:type="default" r:id="rId72"/>
          <w:pgSz w:w="23250" w:h="15310" w:orient="landscape"/>
          <w:pgMar w:header="881" w:footer="499" w:top="1920" w:bottom="680" w:left="1880" w:right="1520"/>
        </w:sectPr>
      </w:pPr>
    </w:p>
    <w:p>
      <w:pPr>
        <w:pStyle w:val="BodyText"/>
        <w:spacing w:before="4"/>
        <w:ind w:right="1513"/>
        <w:jc w:val="right"/>
      </w:pPr>
      <w:r>
        <w:rPr/>
        <w:t>TARIFAS</w:t>
      </w:r>
    </w:p>
    <w:p>
      <w:pPr>
        <w:pStyle w:val="BodyText"/>
        <w:spacing w:before="9"/>
      </w:pPr>
    </w:p>
    <w:p>
      <w:pPr>
        <w:pStyle w:val="BodyText"/>
        <w:spacing w:line="247" w:lineRule="auto"/>
        <w:ind w:left="150" w:right="233" w:firstLine="397"/>
      </w:pPr>
      <w:r>
        <w:rPr/>
        <w:t>I.- Por concepto de anteproyecto de urbanización conforme a los artículos 253 y 254 del Código Urbano para el Estado de Jalisco:</w:t>
      </w:r>
    </w:p>
    <w:p>
      <w:pPr>
        <w:pStyle w:val="BodyText"/>
        <w:spacing w:before="3"/>
      </w:pPr>
    </w:p>
    <w:p>
      <w:pPr>
        <w:pStyle w:val="ListParagraph"/>
        <w:numPr>
          <w:ilvl w:val="0"/>
          <w:numId w:val="72"/>
        </w:numPr>
        <w:tabs>
          <w:tab w:pos="372" w:val="left" w:leader="none"/>
        </w:tabs>
        <w:spacing w:line="240" w:lineRule="auto" w:before="0" w:after="0"/>
        <w:ind w:left="371" w:right="0" w:hanging="222"/>
        <w:jc w:val="left"/>
        <w:rPr>
          <w:sz w:val="15"/>
        </w:rPr>
      </w:pPr>
      <w:r>
        <w:rPr>
          <w:sz w:val="15"/>
        </w:rPr>
        <w:t>Revisión preliminar de Anteproyecto de Urbanización</w:t>
      </w:r>
      <w:r>
        <w:rPr>
          <w:spacing w:val="1"/>
          <w:sz w:val="15"/>
        </w:rPr>
        <w:t> </w:t>
      </w:r>
      <w:r>
        <w:rPr>
          <w:sz w:val="15"/>
        </w:rPr>
        <w:t>por</w:t>
      </w:r>
    </w:p>
    <w:p>
      <w:pPr>
        <w:pStyle w:val="BodyText"/>
        <w:tabs>
          <w:tab w:pos="4950" w:val="left" w:leader="none"/>
        </w:tabs>
        <w:spacing w:before="5"/>
        <w:ind w:left="150"/>
      </w:pPr>
      <w:r>
        <w:rPr/>
        <w:t>cada</w:t>
      </w:r>
      <w:r>
        <w:rPr>
          <w:spacing w:val="8"/>
        </w:rPr>
        <w:t> </w:t>
      </w:r>
      <w:r>
        <w:rPr/>
        <w:t>hectárea:</w:t>
        <w:tab/>
        <w:t>$402.00</w:t>
      </w:r>
    </w:p>
    <w:p>
      <w:pPr>
        <w:pStyle w:val="BodyText"/>
        <w:spacing w:before="9"/>
      </w:pPr>
    </w:p>
    <w:p>
      <w:pPr>
        <w:pStyle w:val="ListParagraph"/>
        <w:numPr>
          <w:ilvl w:val="0"/>
          <w:numId w:val="72"/>
        </w:numPr>
        <w:tabs>
          <w:tab w:pos="375" w:val="left" w:leader="none"/>
        </w:tabs>
        <w:spacing w:line="240" w:lineRule="auto" w:before="0" w:after="0"/>
        <w:ind w:left="374" w:right="0" w:hanging="225"/>
        <w:jc w:val="left"/>
        <w:rPr>
          <w:sz w:val="15"/>
        </w:rPr>
      </w:pPr>
      <w:r>
        <w:rPr>
          <w:sz w:val="15"/>
        </w:rPr>
        <w:t>Autorización</w:t>
      </w:r>
      <w:r>
        <w:rPr>
          <w:spacing w:val="14"/>
          <w:sz w:val="15"/>
        </w:rPr>
        <w:t> </w:t>
      </w:r>
      <w:r>
        <w:rPr>
          <w:sz w:val="15"/>
        </w:rPr>
        <w:t>de</w:t>
      </w:r>
      <w:r>
        <w:rPr>
          <w:spacing w:val="14"/>
          <w:sz w:val="15"/>
        </w:rPr>
        <w:t> </w:t>
      </w:r>
      <w:r>
        <w:rPr>
          <w:sz w:val="15"/>
        </w:rPr>
        <w:t>obras</w:t>
      </w:r>
      <w:r>
        <w:rPr>
          <w:spacing w:val="14"/>
          <w:sz w:val="15"/>
        </w:rPr>
        <w:t> </w:t>
      </w:r>
      <w:r>
        <w:rPr>
          <w:sz w:val="15"/>
        </w:rPr>
        <w:t>preliminares</w:t>
      </w:r>
      <w:r>
        <w:rPr>
          <w:spacing w:val="14"/>
          <w:sz w:val="15"/>
        </w:rPr>
        <w:t> </w:t>
      </w:r>
      <w:r>
        <w:rPr>
          <w:sz w:val="15"/>
        </w:rPr>
        <w:t>de</w:t>
      </w:r>
      <w:r>
        <w:rPr>
          <w:spacing w:val="14"/>
          <w:sz w:val="15"/>
        </w:rPr>
        <w:t> </w:t>
      </w:r>
      <w:r>
        <w:rPr>
          <w:sz w:val="15"/>
        </w:rPr>
        <w:t>mejoramiento</w:t>
      </w:r>
      <w:r>
        <w:rPr>
          <w:spacing w:val="14"/>
          <w:sz w:val="15"/>
        </w:rPr>
        <w:t> </w:t>
      </w:r>
      <w:r>
        <w:rPr>
          <w:sz w:val="15"/>
        </w:rPr>
        <w:t>del</w:t>
      </w:r>
    </w:p>
    <w:p>
      <w:pPr>
        <w:pStyle w:val="BodyText"/>
        <w:tabs>
          <w:tab w:pos="5121" w:val="left" w:leader="none"/>
        </w:tabs>
        <w:spacing w:before="5"/>
        <w:ind w:left="150"/>
      </w:pPr>
      <w:r>
        <w:rPr/>
        <w:t>predio por</w:t>
      </w:r>
      <w:r>
        <w:rPr>
          <w:spacing w:val="17"/>
        </w:rPr>
        <w:t> </w:t>
      </w:r>
      <w:r>
        <w:rPr/>
        <w:t>metro</w:t>
      </w:r>
      <w:r>
        <w:rPr>
          <w:spacing w:val="9"/>
        </w:rPr>
        <w:t> </w:t>
      </w:r>
      <w:r>
        <w:rPr/>
        <w:t>cuadrado:</w:t>
        <w:tab/>
        <w:t>$8.00</w:t>
      </w:r>
    </w:p>
    <w:p>
      <w:pPr>
        <w:pStyle w:val="BodyText"/>
        <w:spacing w:before="9"/>
      </w:pPr>
    </w:p>
    <w:p>
      <w:pPr>
        <w:pStyle w:val="ListParagraph"/>
        <w:numPr>
          <w:ilvl w:val="1"/>
          <w:numId w:val="72"/>
        </w:numPr>
        <w:tabs>
          <w:tab w:pos="746" w:val="left" w:leader="none"/>
        </w:tabs>
        <w:spacing w:line="247" w:lineRule="auto" w:before="0" w:after="0"/>
        <w:ind w:left="150" w:right="38" w:firstLine="397"/>
        <w:jc w:val="both"/>
        <w:rPr>
          <w:sz w:val="15"/>
        </w:rPr>
      </w:pPr>
      <w:r>
        <w:rPr>
          <w:sz w:val="15"/>
        </w:rPr>
        <w:t>Por conceptos relacionados con la revisión y autorización del Proyecto Definitivo de Urbanización conforme al artículo 258, fracción VI del Código Urbano para el Estado de</w:t>
      </w:r>
      <w:r>
        <w:rPr>
          <w:spacing w:val="37"/>
          <w:sz w:val="15"/>
        </w:rPr>
        <w:t> </w:t>
      </w:r>
      <w:r>
        <w:rPr>
          <w:sz w:val="15"/>
        </w:rPr>
        <w:t>Jalisco:</w:t>
      </w:r>
    </w:p>
    <w:p>
      <w:pPr>
        <w:pStyle w:val="BodyText"/>
        <w:spacing w:before="3"/>
      </w:pPr>
    </w:p>
    <w:p>
      <w:pPr>
        <w:pStyle w:val="ListParagraph"/>
        <w:numPr>
          <w:ilvl w:val="0"/>
          <w:numId w:val="73"/>
        </w:numPr>
        <w:tabs>
          <w:tab w:pos="333" w:val="left" w:leader="none"/>
          <w:tab w:pos="4821" w:val="left" w:leader="none"/>
        </w:tabs>
        <w:spacing w:line="244" w:lineRule="auto" w:before="1" w:after="0"/>
        <w:ind w:left="150" w:right="2242" w:firstLine="0"/>
        <w:jc w:val="left"/>
        <w:rPr>
          <w:sz w:val="15"/>
        </w:rPr>
      </w:pPr>
      <w:r>
        <w:rPr>
          <w:sz w:val="15"/>
        </w:rPr>
        <w:t>Primera</w:t>
      </w:r>
      <w:r>
        <w:rPr>
          <w:spacing w:val="15"/>
          <w:sz w:val="15"/>
        </w:rPr>
        <w:t> </w:t>
      </w:r>
      <w:r>
        <w:rPr>
          <w:sz w:val="15"/>
        </w:rPr>
        <w:t>revisión</w:t>
      </w:r>
      <w:r>
        <w:rPr>
          <w:spacing w:val="16"/>
          <w:sz w:val="15"/>
        </w:rPr>
        <w:t> </w:t>
      </w:r>
      <w:r>
        <w:rPr>
          <w:sz w:val="15"/>
        </w:rPr>
        <w:t>del</w:t>
      </w:r>
      <w:r>
        <w:rPr>
          <w:spacing w:val="16"/>
          <w:sz w:val="15"/>
        </w:rPr>
        <w:t> </w:t>
      </w:r>
      <w:r>
        <w:rPr>
          <w:sz w:val="15"/>
        </w:rPr>
        <w:t>Proyecto</w:t>
      </w:r>
      <w:r>
        <w:rPr>
          <w:spacing w:val="16"/>
          <w:sz w:val="15"/>
        </w:rPr>
        <w:t> </w:t>
      </w:r>
      <w:r>
        <w:rPr>
          <w:sz w:val="15"/>
        </w:rPr>
        <w:t>Definitivo</w:t>
      </w:r>
      <w:r>
        <w:rPr>
          <w:spacing w:val="15"/>
          <w:sz w:val="15"/>
        </w:rPr>
        <w:t> </w:t>
      </w:r>
      <w:r>
        <w:rPr>
          <w:sz w:val="15"/>
        </w:rPr>
        <w:t>de</w:t>
      </w:r>
      <w:r>
        <w:rPr>
          <w:spacing w:val="16"/>
          <w:sz w:val="15"/>
        </w:rPr>
        <w:t> </w:t>
      </w:r>
      <w:r>
        <w:rPr>
          <w:sz w:val="15"/>
        </w:rPr>
        <w:t>Urbanización,</w:t>
      </w:r>
      <w:r>
        <w:rPr>
          <w:spacing w:val="16"/>
          <w:sz w:val="15"/>
        </w:rPr>
        <w:t> </w:t>
      </w:r>
      <w:r>
        <w:rPr>
          <w:sz w:val="15"/>
        </w:rPr>
        <w:t>por</w:t>
        <w:tab/>
      </w:r>
      <w:r>
        <w:rPr>
          <w:spacing w:val="-1"/>
          <w:sz w:val="15"/>
        </w:rPr>
        <w:t>$2,107.00 </w:t>
      </w:r>
      <w:r>
        <w:rPr>
          <w:sz w:val="15"/>
        </w:rPr>
        <w:t>cada</w:t>
      </w:r>
      <w:r>
        <w:rPr>
          <w:spacing w:val="1"/>
          <w:sz w:val="15"/>
        </w:rPr>
        <w:t> </w:t>
      </w:r>
      <w:r>
        <w:rPr>
          <w:sz w:val="15"/>
        </w:rPr>
        <w:t>hectárea:</w:t>
      </w:r>
    </w:p>
    <w:p>
      <w:pPr>
        <w:pStyle w:val="BodyText"/>
        <w:spacing w:before="6"/>
      </w:pPr>
    </w:p>
    <w:p>
      <w:pPr>
        <w:pStyle w:val="ListParagraph"/>
        <w:numPr>
          <w:ilvl w:val="0"/>
          <w:numId w:val="73"/>
        </w:numPr>
        <w:tabs>
          <w:tab w:pos="778" w:val="left" w:leader="none"/>
        </w:tabs>
        <w:spacing w:line="247" w:lineRule="auto" w:before="0" w:after="0"/>
        <w:ind w:left="150" w:right="41" w:firstLine="397"/>
        <w:jc w:val="both"/>
        <w:rPr>
          <w:sz w:val="15"/>
        </w:rPr>
      </w:pPr>
      <w:r>
        <w:rPr>
          <w:sz w:val="15"/>
        </w:rPr>
        <w:t>Por la revisión adicional a partir de la tercera, para la aprobación del Proyecto Definitivo de  urbanización</w:t>
      </w:r>
      <w:r>
        <w:rPr>
          <w:spacing w:val="5"/>
          <w:sz w:val="15"/>
        </w:rPr>
        <w:t> </w:t>
      </w:r>
      <w:r>
        <w:rPr>
          <w:sz w:val="15"/>
        </w:rPr>
        <w:t>se</w:t>
      </w:r>
      <w:r>
        <w:rPr>
          <w:spacing w:val="5"/>
          <w:sz w:val="15"/>
        </w:rPr>
        <w:t> </w:t>
      </w:r>
      <w:r>
        <w:rPr>
          <w:sz w:val="15"/>
        </w:rPr>
        <w:t>pagará</w:t>
      </w:r>
      <w:r>
        <w:rPr>
          <w:spacing w:val="5"/>
          <w:sz w:val="15"/>
        </w:rPr>
        <w:t> </w:t>
      </w:r>
      <w:r>
        <w:rPr>
          <w:sz w:val="15"/>
        </w:rPr>
        <w:t>el</w:t>
      </w:r>
      <w:r>
        <w:rPr>
          <w:spacing w:val="5"/>
          <w:sz w:val="15"/>
        </w:rPr>
        <w:t> </w:t>
      </w:r>
      <w:r>
        <w:rPr>
          <w:sz w:val="15"/>
        </w:rPr>
        <w:t>10%</w:t>
      </w:r>
      <w:r>
        <w:rPr>
          <w:spacing w:val="5"/>
          <w:sz w:val="15"/>
        </w:rPr>
        <w:t> </w:t>
      </w:r>
      <w:r>
        <w:rPr>
          <w:sz w:val="15"/>
        </w:rPr>
        <w:t>correspondiente</w:t>
      </w:r>
      <w:r>
        <w:rPr>
          <w:spacing w:val="4"/>
          <w:sz w:val="15"/>
        </w:rPr>
        <w:t> </w:t>
      </w:r>
      <w:r>
        <w:rPr>
          <w:sz w:val="15"/>
        </w:rPr>
        <w:t>a</w:t>
      </w:r>
      <w:r>
        <w:rPr>
          <w:spacing w:val="5"/>
          <w:sz w:val="15"/>
        </w:rPr>
        <w:t> </w:t>
      </w:r>
      <w:r>
        <w:rPr>
          <w:sz w:val="15"/>
        </w:rPr>
        <w:t>la</w:t>
      </w:r>
      <w:r>
        <w:rPr>
          <w:spacing w:val="6"/>
          <w:sz w:val="15"/>
        </w:rPr>
        <w:t> </w:t>
      </w:r>
      <w:r>
        <w:rPr>
          <w:sz w:val="15"/>
        </w:rPr>
        <w:t>cuota</w:t>
      </w:r>
      <w:r>
        <w:rPr>
          <w:spacing w:val="5"/>
          <w:sz w:val="15"/>
        </w:rPr>
        <w:t> </w:t>
      </w:r>
      <w:r>
        <w:rPr>
          <w:sz w:val="15"/>
        </w:rPr>
        <w:t>establecida</w:t>
      </w:r>
      <w:r>
        <w:rPr>
          <w:spacing w:val="5"/>
          <w:sz w:val="15"/>
        </w:rPr>
        <w:t> </w:t>
      </w:r>
      <w:r>
        <w:rPr>
          <w:sz w:val="15"/>
        </w:rPr>
        <w:t>en</w:t>
      </w:r>
      <w:r>
        <w:rPr>
          <w:spacing w:val="5"/>
          <w:sz w:val="15"/>
        </w:rPr>
        <w:t> </w:t>
      </w:r>
      <w:r>
        <w:rPr>
          <w:sz w:val="15"/>
        </w:rPr>
        <w:t>el</w:t>
      </w:r>
      <w:r>
        <w:rPr>
          <w:spacing w:val="5"/>
          <w:sz w:val="15"/>
        </w:rPr>
        <w:t> </w:t>
      </w:r>
      <w:r>
        <w:rPr>
          <w:sz w:val="15"/>
        </w:rPr>
        <w:t>inciso</w:t>
      </w:r>
      <w:r>
        <w:rPr>
          <w:spacing w:val="5"/>
          <w:sz w:val="15"/>
        </w:rPr>
        <w:t> </w:t>
      </w:r>
      <w:r>
        <w:rPr>
          <w:sz w:val="15"/>
        </w:rPr>
        <w:t>a)</w:t>
      </w:r>
      <w:r>
        <w:rPr>
          <w:spacing w:val="5"/>
          <w:sz w:val="15"/>
        </w:rPr>
        <w:t> </w:t>
      </w:r>
      <w:r>
        <w:rPr>
          <w:sz w:val="15"/>
        </w:rPr>
        <w:t>que</w:t>
      </w:r>
      <w:r>
        <w:rPr>
          <w:spacing w:val="6"/>
          <w:sz w:val="15"/>
        </w:rPr>
        <w:t> </w:t>
      </w:r>
      <w:r>
        <w:rPr>
          <w:sz w:val="15"/>
        </w:rPr>
        <w:t>antecede;</w:t>
      </w:r>
    </w:p>
    <w:p>
      <w:pPr>
        <w:pStyle w:val="BodyText"/>
        <w:spacing w:before="4"/>
      </w:pPr>
    </w:p>
    <w:p>
      <w:pPr>
        <w:pStyle w:val="ListParagraph"/>
        <w:numPr>
          <w:ilvl w:val="0"/>
          <w:numId w:val="73"/>
        </w:numPr>
        <w:tabs>
          <w:tab w:pos="734" w:val="left" w:leader="none"/>
        </w:tabs>
        <w:spacing w:line="244" w:lineRule="auto" w:before="0" w:after="0"/>
        <w:ind w:left="150" w:right="41" w:firstLine="397"/>
        <w:jc w:val="both"/>
        <w:rPr>
          <w:sz w:val="15"/>
        </w:rPr>
      </w:pPr>
      <w:r>
        <w:rPr>
          <w:sz w:val="15"/>
        </w:rPr>
        <w:t>Por la revisión de modificación de proyecto definitivo de urbanización cuando la modificación afecte menos de la mitad del predio, se pagará el 50% correspondiente a la cuota establecida en el inciso a) que antecede;</w:t>
      </w:r>
    </w:p>
    <w:p>
      <w:pPr>
        <w:pStyle w:val="BodyText"/>
        <w:spacing w:before="8"/>
      </w:pPr>
    </w:p>
    <w:p>
      <w:pPr>
        <w:pStyle w:val="ListParagraph"/>
        <w:numPr>
          <w:ilvl w:val="0"/>
          <w:numId w:val="73"/>
        </w:numPr>
        <w:tabs>
          <w:tab w:pos="730" w:val="left" w:leader="none"/>
        </w:tabs>
        <w:spacing w:line="247" w:lineRule="auto" w:before="0" w:after="0"/>
        <w:ind w:left="150" w:right="41" w:firstLine="397"/>
        <w:jc w:val="both"/>
        <w:rPr>
          <w:sz w:val="15"/>
        </w:rPr>
      </w:pPr>
      <w:r>
        <w:rPr>
          <w:sz w:val="15"/>
        </w:rPr>
        <w:t>Por revisión de modificación de proyecto definitivo de urbanización cuando la modificación afecte más de</w:t>
      </w:r>
      <w:r>
        <w:rPr>
          <w:spacing w:val="3"/>
          <w:sz w:val="15"/>
        </w:rPr>
        <w:t> </w:t>
      </w:r>
      <w:r>
        <w:rPr>
          <w:sz w:val="15"/>
        </w:rPr>
        <w:t>la</w:t>
      </w:r>
      <w:r>
        <w:rPr>
          <w:spacing w:val="4"/>
          <w:sz w:val="15"/>
        </w:rPr>
        <w:t> </w:t>
      </w:r>
      <w:r>
        <w:rPr>
          <w:sz w:val="15"/>
        </w:rPr>
        <w:t>mitad</w:t>
      </w:r>
      <w:r>
        <w:rPr>
          <w:spacing w:val="4"/>
          <w:sz w:val="15"/>
        </w:rPr>
        <w:t> </w:t>
      </w:r>
      <w:r>
        <w:rPr>
          <w:sz w:val="15"/>
        </w:rPr>
        <w:t>del</w:t>
      </w:r>
      <w:r>
        <w:rPr>
          <w:spacing w:val="4"/>
          <w:sz w:val="15"/>
        </w:rPr>
        <w:t> </w:t>
      </w:r>
      <w:r>
        <w:rPr>
          <w:sz w:val="15"/>
        </w:rPr>
        <w:t>predio</w:t>
      </w:r>
      <w:r>
        <w:rPr>
          <w:spacing w:val="4"/>
          <w:sz w:val="15"/>
        </w:rPr>
        <w:t> </w:t>
      </w:r>
      <w:r>
        <w:rPr>
          <w:sz w:val="15"/>
        </w:rPr>
        <w:t>se</w:t>
      </w:r>
      <w:r>
        <w:rPr>
          <w:spacing w:val="3"/>
          <w:sz w:val="15"/>
        </w:rPr>
        <w:t> </w:t>
      </w:r>
      <w:r>
        <w:rPr>
          <w:sz w:val="15"/>
        </w:rPr>
        <w:t>pagará</w:t>
      </w:r>
      <w:r>
        <w:rPr>
          <w:spacing w:val="4"/>
          <w:sz w:val="15"/>
        </w:rPr>
        <w:t> </w:t>
      </w:r>
      <w:r>
        <w:rPr>
          <w:sz w:val="15"/>
        </w:rPr>
        <w:t>el</w:t>
      </w:r>
      <w:r>
        <w:rPr>
          <w:spacing w:val="4"/>
          <w:sz w:val="15"/>
        </w:rPr>
        <w:t> </w:t>
      </w:r>
      <w:r>
        <w:rPr>
          <w:sz w:val="15"/>
        </w:rPr>
        <w:t>100%</w:t>
      </w:r>
      <w:r>
        <w:rPr>
          <w:spacing w:val="4"/>
          <w:sz w:val="15"/>
        </w:rPr>
        <w:t> </w:t>
      </w:r>
      <w:r>
        <w:rPr>
          <w:sz w:val="15"/>
        </w:rPr>
        <w:t>de</w:t>
      </w:r>
      <w:r>
        <w:rPr>
          <w:spacing w:val="4"/>
          <w:sz w:val="15"/>
        </w:rPr>
        <w:t> </w:t>
      </w:r>
      <w:r>
        <w:rPr>
          <w:sz w:val="15"/>
        </w:rPr>
        <w:t>la</w:t>
      </w:r>
      <w:r>
        <w:rPr>
          <w:spacing w:val="2"/>
          <w:sz w:val="15"/>
        </w:rPr>
        <w:t> </w:t>
      </w:r>
      <w:r>
        <w:rPr>
          <w:sz w:val="15"/>
        </w:rPr>
        <w:t>cuota</w:t>
      </w:r>
      <w:r>
        <w:rPr>
          <w:spacing w:val="4"/>
          <w:sz w:val="15"/>
        </w:rPr>
        <w:t> </w:t>
      </w:r>
      <w:r>
        <w:rPr>
          <w:sz w:val="15"/>
        </w:rPr>
        <w:t>establecida</w:t>
      </w:r>
      <w:r>
        <w:rPr>
          <w:spacing w:val="4"/>
          <w:sz w:val="15"/>
        </w:rPr>
        <w:t> </w:t>
      </w:r>
      <w:r>
        <w:rPr>
          <w:sz w:val="15"/>
        </w:rPr>
        <w:t>en</w:t>
      </w:r>
      <w:r>
        <w:rPr>
          <w:spacing w:val="4"/>
          <w:sz w:val="15"/>
        </w:rPr>
        <w:t> </w:t>
      </w:r>
      <w:r>
        <w:rPr>
          <w:sz w:val="15"/>
        </w:rPr>
        <w:t>el</w:t>
      </w:r>
      <w:r>
        <w:rPr>
          <w:spacing w:val="3"/>
          <w:sz w:val="15"/>
        </w:rPr>
        <w:t> </w:t>
      </w:r>
      <w:r>
        <w:rPr>
          <w:sz w:val="15"/>
        </w:rPr>
        <w:t>inciso</w:t>
      </w:r>
      <w:r>
        <w:rPr>
          <w:spacing w:val="3"/>
          <w:sz w:val="15"/>
        </w:rPr>
        <w:t> </w:t>
      </w:r>
      <w:r>
        <w:rPr>
          <w:sz w:val="15"/>
        </w:rPr>
        <w:t>a)</w:t>
      </w:r>
      <w:r>
        <w:rPr>
          <w:spacing w:val="4"/>
          <w:sz w:val="15"/>
        </w:rPr>
        <w:t> </w:t>
      </w:r>
      <w:r>
        <w:rPr>
          <w:sz w:val="15"/>
        </w:rPr>
        <w:t>que</w:t>
      </w:r>
      <w:r>
        <w:rPr>
          <w:spacing w:val="3"/>
          <w:sz w:val="15"/>
        </w:rPr>
        <w:t> </w:t>
      </w:r>
      <w:r>
        <w:rPr>
          <w:sz w:val="15"/>
        </w:rPr>
        <w:t>antecede.</w:t>
      </w:r>
    </w:p>
    <w:p>
      <w:pPr>
        <w:pStyle w:val="BodyText"/>
        <w:spacing w:before="3"/>
      </w:pPr>
    </w:p>
    <w:p>
      <w:pPr>
        <w:pStyle w:val="BodyText"/>
        <w:spacing w:line="247" w:lineRule="auto"/>
        <w:ind w:left="150" w:right="233" w:firstLine="397"/>
      </w:pPr>
      <w:r>
        <w:rPr/>
        <w:t>II.- Por concepto de Licencia de Urbanización, por cada etapa, conforme al Proyecto Definitivo de Urbanización autorizado de acuerdo al artículo 262, fracción II del Código Urbano para el Estado de Jalisco:</w:t>
      </w:r>
    </w:p>
    <w:p>
      <w:pPr>
        <w:pStyle w:val="BodyText"/>
        <w:spacing w:before="4"/>
      </w:pPr>
    </w:p>
    <w:p>
      <w:pPr>
        <w:pStyle w:val="ListParagraph"/>
        <w:numPr>
          <w:ilvl w:val="0"/>
          <w:numId w:val="74"/>
        </w:numPr>
        <w:tabs>
          <w:tab w:pos="762" w:val="left" w:leader="none"/>
        </w:tabs>
        <w:spacing w:line="244" w:lineRule="auto" w:before="0" w:after="0"/>
        <w:ind w:left="150" w:right="40" w:firstLine="397"/>
        <w:jc w:val="both"/>
        <w:rPr>
          <w:sz w:val="15"/>
        </w:rPr>
      </w:pPr>
      <w:r>
        <w:rPr>
          <w:sz w:val="15"/>
        </w:rPr>
        <w:t>Autorización para urbanizar por metros cuadrados, por año o fracción de duración de  la  obra,  conforme al calendario de obras autorizado, conforme al artículo 237, fracciones II a VI del Código Urbano     para el Estado de Jalisco, según su</w:t>
      </w:r>
      <w:r>
        <w:rPr>
          <w:spacing w:val="9"/>
          <w:sz w:val="15"/>
        </w:rPr>
        <w:t> </w:t>
      </w:r>
      <w:r>
        <w:rPr>
          <w:sz w:val="15"/>
        </w:rPr>
        <w:t>categoría:</w:t>
      </w:r>
    </w:p>
    <w:p>
      <w:pPr>
        <w:pStyle w:val="BodyText"/>
        <w:spacing w:before="7"/>
      </w:pPr>
    </w:p>
    <w:p>
      <w:pPr>
        <w:pStyle w:val="ListParagraph"/>
        <w:numPr>
          <w:ilvl w:val="1"/>
          <w:numId w:val="74"/>
        </w:numPr>
        <w:tabs>
          <w:tab w:pos="3491" w:val="left" w:leader="none"/>
          <w:tab w:pos="7240" w:val="left" w:leader="none"/>
        </w:tabs>
        <w:spacing w:line="240" w:lineRule="auto" w:before="1" w:after="0"/>
        <w:ind w:left="3490" w:right="0" w:hanging="199"/>
        <w:jc w:val="left"/>
        <w:rPr>
          <w:sz w:val="15"/>
        </w:rPr>
      </w:pPr>
      <w:r>
        <w:rPr>
          <w:sz w:val="15"/>
        </w:rPr>
        <w:t>Inmuebles de uso</w:t>
      </w:r>
      <w:r>
        <w:rPr>
          <w:spacing w:val="38"/>
          <w:sz w:val="15"/>
        </w:rPr>
        <w:t> </w:t>
      </w:r>
      <w:r>
        <w:rPr>
          <w:sz w:val="15"/>
        </w:rPr>
        <w:t>habitacional</w:t>
      </w:r>
      <w:r>
        <w:rPr>
          <w:spacing w:val="13"/>
          <w:sz w:val="15"/>
        </w:rPr>
        <w:t> </w:t>
      </w:r>
      <w:r>
        <w:rPr>
          <w:sz w:val="15"/>
        </w:rPr>
        <w:t>(H)</w:t>
        <w:tab/>
        <w:t>$23.00</w:t>
      </w:r>
    </w:p>
    <w:p>
      <w:pPr>
        <w:pStyle w:val="BodyText"/>
        <w:tabs>
          <w:tab w:pos="7240" w:val="left" w:leader="none"/>
        </w:tabs>
        <w:spacing w:before="95"/>
        <w:ind w:left="3446"/>
      </w:pPr>
      <w:r>
        <w:rPr/>
        <w:br w:type="column"/>
      </w:r>
      <w:r>
        <w:rPr/>
        <w:t>5.  Inmuebles de uso de Equipamiento y </w:t>
      </w:r>
      <w:r>
        <w:rPr>
          <w:spacing w:val="2"/>
        </w:rPr>
        <w:t> </w:t>
      </w:r>
      <w:r>
        <w:rPr/>
        <w:t>otros</w:t>
      </w:r>
      <w:r>
        <w:rPr>
          <w:spacing w:val="7"/>
        </w:rPr>
        <w:t> </w:t>
      </w:r>
      <w:r>
        <w:rPr/>
        <w:t>(EI)</w:t>
        <w:tab/>
        <w:t>$87.00</w:t>
      </w:r>
    </w:p>
    <w:p>
      <w:pPr>
        <w:pStyle w:val="BodyText"/>
        <w:rPr>
          <w:sz w:val="18"/>
        </w:rPr>
      </w:pPr>
    </w:p>
    <w:p>
      <w:pPr>
        <w:pStyle w:val="BodyText"/>
        <w:spacing w:line="247" w:lineRule="auto" w:before="1"/>
        <w:ind w:left="150" w:right="510" w:firstLine="397"/>
        <w:jc w:val="both"/>
      </w:pPr>
      <w:r>
        <w:rPr/>
        <w:t>c) Por la supervisión técnica para vigilar el debido cumplimiento de las normas de calidad y especificaciones del proyecto definitivo de urbanización, sobre  el monto del presupuesto autorizado conforme   al artículo 268 del Código Urbano para el Estado de</w:t>
      </w:r>
      <w:r>
        <w:rPr>
          <w:spacing w:val="18"/>
        </w:rPr>
        <w:t> </w:t>
      </w:r>
      <w:r>
        <w:rPr/>
        <w:t>Jalisco:</w:t>
      </w:r>
    </w:p>
    <w:p>
      <w:pPr>
        <w:pStyle w:val="BodyText"/>
        <w:spacing w:before="2"/>
      </w:pPr>
    </w:p>
    <w:p>
      <w:pPr>
        <w:pStyle w:val="ListParagraph"/>
        <w:numPr>
          <w:ilvl w:val="0"/>
          <w:numId w:val="75"/>
        </w:numPr>
        <w:tabs>
          <w:tab w:pos="747" w:val="left" w:leader="none"/>
          <w:tab w:pos="4744" w:val="left" w:leader="none"/>
        </w:tabs>
        <w:spacing w:line="240" w:lineRule="auto" w:before="0" w:after="0"/>
        <w:ind w:left="746" w:right="0" w:hanging="200"/>
        <w:jc w:val="left"/>
        <w:rPr>
          <w:sz w:val="15"/>
        </w:rPr>
      </w:pPr>
      <w:r>
        <w:rPr>
          <w:sz w:val="15"/>
        </w:rPr>
        <w:t>Urbanizaciones</w:t>
      </w:r>
      <w:r>
        <w:rPr>
          <w:spacing w:val="30"/>
          <w:sz w:val="15"/>
        </w:rPr>
        <w:t> </w:t>
      </w:r>
      <w:r>
        <w:rPr>
          <w:sz w:val="15"/>
        </w:rPr>
        <w:t>privadas</w:t>
        <w:tab/>
        <w:t>2%</w:t>
      </w:r>
    </w:p>
    <w:p>
      <w:pPr>
        <w:pStyle w:val="BodyText"/>
        <w:spacing w:before="2"/>
        <w:rPr>
          <w:sz w:val="19"/>
        </w:rPr>
      </w:pPr>
    </w:p>
    <w:p>
      <w:pPr>
        <w:pStyle w:val="ListParagraph"/>
        <w:numPr>
          <w:ilvl w:val="0"/>
          <w:numId w:val="75"/>
        </w:numPr>
        <w:tabs>
          <w:tab w:pos="747" w:val="left" w:leader="none"/>
          <w:tab w:pos="4597" w:val="left" w:leader="none"/>
        </w:tabs>
        <w:spacing w:line="240" w:lineRule="auto" w:before="0" w:after="0"/>
        <w:ind w:left="746" w:right="0" w:hanging="200"/>
        <w:jc w:val="left"/>
        <w:rPr>
          <w:sz w:val="15"/>
        </w:rPr>
      </w:pPr>
      <w:r>
        <w:rPr>
          <w:sz w:val="15"/>
        </w:rPr>
        <w:t>Urbanizaciones promovidas por el </w:t>
      </w:r>
      <w:r>
        <w:rPr>
          <w:spacing w:val="16"/>
          <w:sz w:val="15"/>
        </w:rPr>
        <w:t> </w:t>
      </w:r>
      <w:r>
        <w:rPr>
          <w:sz w:val="15"/>
        </w:rPr>
        <w:t>poder</w:t>
      </w:r>
      <w:r>
        <w:rPr>
          <w:spacing w:val="14"/>
          <w:sz w:val="15"/>
        </w:rPr>
        <w:t> </w:t>
      </w:r>
      <w:r>
        <w:rPr>
          <w:sz w:val="15"/>
        </w:rPr>
        <w:t>público</w:t>
        <w:tab/>
        <w:t>1.6%</w:t>
      </w:r>
    </w:p>
    <w:p>
      <w:pPr>
        <w:pStyle w:val="BodyText"/>
        <w:spacing w:before="1"/>
        <w:rPr>
          <w:sz w:val="19"/>
        </w:rPr>
      </w:pPr>
    </w:p>
    <w:p>
      <w:pPr>
        <w:pStyle w:val="ListParagraph"/>
        <w:numPr>
          <w:ilvl w:val="0"/>
          <w:numId w:val="75"/>
        </w:numPr>
        <w:tabs>
          <w:tab w:pos="747" w:val="left" w:leader="none"/>
          <w:tab w:pos="4745" w:val="left" w:leader="none"/>
        </w:tabs>
        <w:spacing w:line="240" w:lineRule="auto" w:before="0" w:after="0"/>
        <w:ind w:left="746" w:right="0" w:hanging="200"/>
        <w:jc w:val="left"/>
        <w:rPr>
          <w:sz w:val="15"/>
        </w:rPr>
      </w:pPr>
      <w:r>
        <w:rPr>
          <w:sz w:val="15"/>
        </w:rPr>
        <w:t>Urbanizaciones  de</w:t>
      </w:r>
      <w:r>
        <w:rPr>
          <w:spacing w:val="-13"/>
          <w:sz w:val="15"/>
        </w:rPr>
        <w:t> </w:t>
      </w:r>
      <w:r>
        <w:rPr>
          <w:sz w:val="15"/>
        </w:rPr>
        <w:t>objetivo</w:t>
      </w:r>
      <w:r>
        <w:rPr>
          <w:spacing w:val="15"/>
          <w:sz w:val="15"/>
        </w:rPr>
        <w:t> </w:t>
      </w:r>
      <w:r>
        <w:rPr>
          <w:sz w:val="15"/>
        </w:rPr>
        <w:t>social</w:t>
        <w:tab/>
        <w:t>1%</w:t>
      </w:r>
    </w:p>
    <w:p>
      <w:pPr>
        <w:pStyle w:val="BodyText"/>
        <w:spacing w:before="1"/>
        <w:rPr>
          <w:sz w:val="18"/>
        </w:rPr>
      </w:pPr>
    </w:p>
    <w:p>
      <w:pPr>
        <w:pStyle w:val="BodyText"/>
        <w:spacing w:line="247" w:lineRule="auto"/>
        <w:ind w:left="150" w:right="511" w:firstLine="397"/>
        <w:jc w:val="both"/>
      </w:pPr>
      <w:r>
        <w:rPr/>
        <w:t>III.- El término de vigencia de la Licencia de Urbanización será conforme al calendario  de  obras  autorizado para cada etapa. Por cada bimestre adicional se pagará el 20% de la autorización para urbanizar como refrendo del</w:t>
      </w:r>
      <w:r>
        <w:rPr>
          <w:spacing w:val="3"/>
        </w:rPr>
        <w:t> </w:t>
      </w:r>
      <w:r>
        <w:rPr/>
        <w:t>mismo;</w:t>
      </w:r>
    </w:p>
    <w:p>
      <w:pPr>
        <w:pStyle w:val="BodyText"/>
        <w:spacing w:before="3"/>
      </w:pPr>
    </w:p>
    <w:p>
      <w:pPr>
        <w:pStyle w:val="BodyText"/>
        <w:ind w:left="547"/>
      </w:pPr>
      <w:r>
        <w:rPr/>
        <w:t>IV.- Por concepto de autorización de subdivisión de predios baldíos, por cada lote resultante:</w:t>
      </w:r>
    </w:p>
    <w:p>
      <w:pPr>
        <w:pStyle w:val="BodyText"/>
        <w:spacing w:before="5"/>
        <w:ind w:left="150"/>
      </w:pPr>
      <w:r>
        <w:rPr/>
        <w:t>$1,340.00</w:t>
      </w:r>
    </w:p>
    <w:p>
      <w:pPr>
        <w:pStyle w:val="BodyText"/>
        <w:rPr>
          <w:sz w:val="16"/>
        </w:rPr>
      </w:pPr>
    </w:p>
    <w:p>
      <w:pPr>
        <w:pStyle w:val="BodyText"/>
        <w:spacing w:before="2"/>
      </w:pPr>
    </w:p>
    <w:p>
      <w:pPr>
        <w:pStyle w:val="BodyText"/>
        <w:tabs>
          <w:tab w:pos="2624" w:val="left" w:leader="none"/>
        </w:tabs>
        <w:spacing w:line="244" w:lineRule="auto" w:before="1"/>
        <w:ind w:left="150" w:right="510" w:firstLine="397"/>
        <w:jc w:val="both"/>
      </w:pPr>
      <w:r>
        <w:rPr>
          <w:spacing w:val="-5"/>
        </w:rPr>
        <w:t>V.- </w:t>
      </w:r>
      <w:r>
        <w:rPr/>
        <w:t>Por concepto de autorización de subdivisión de predios con fincas edificadas,  por  cada  lote  resultante:</w:t>
        <w:tab/>
        <w:t>$2,084.00</w:t>
      </w:r>
    </w:p>
    <w:p>
      <w:pPr>
        <w:pStyle w:val="BodyText"/>
        <w:spacing w:before="6"/>
      </w:pPr>
    </w:p>
    <w:p>
      <w:pPr>
        <w:pStyle w:val="BodyText"/>
        <w:ind w:left="548"/>
      </w:pPr>
      <w:r>
        <w:rPr/>
        <w:t>VI.- Por concepto de autorización de régimen de propiedad en condominio:</w:t>
      </w:r>
    </w:p>
    <w:p>
      <w:pPr>
        <w:pStyle w:val="BodyText"/>
        <w:spacing w:before="9"/>
      </w:pPr>
    </w:p>
    <w:p>
      <w:pPr>
        <w:pStyle w:val="ListParagraph"/>
        <w:numPr>
          <w:ilvl w:val="0"/>
          <w:numId w:val="76"/>
        </w:numPr>
        <w:tabs>
          <w:tab w:pos="728" w:val="left" w:leader="none"/>
          <w:tab w:pos="4447" w:val="left" w:leader="none"/>
        </w:tabs>
        <w:spacing w:line="240" w:lineRule="auto" w:before="1" w:after="0"/>
        <w:ind w:left="727" w:right="0" w:hanging="180"/>
        <w:jc w:val="left"/>
        <w:rPr>
          <w:sz w:val="15"/>
        </w:rPr>
      </w:pPr>
      <w:r>
        <w:rPr>
          <w:sz w:val="15"/>
        </w:rPr>
        <w:t>Condominio Horizontal, por cada </w:t>
      </w:r>
      <w:r>
        <w:rPr>
          <w:spacing w:val="17"/>
          <w:sz w:val="15"/>
        </w:rPr>
        <w:t> </w:t>
      </w:r>
      <w:r>
        <w:rPr>
          <w:sz w:val="15"/>
        </w:rPr>
        <w:t>unidad</w:t>
      </w:r>
      <w:r>
        <w:rPr>
          <w:spacing w:val="15"/>
          <w:sz w:val="15"/>
        </w:rPr>
        <w:t> </w:t>
      </w:r>
      <w:r>
        <w:rPr>
          <w:sz w:val="15"/>
        </w:rPr>
        <w:t>resultante:</w:t>
        <w:tab/>
        <w:t>$510.00</w:t>
      </w:r>
    </w:p>
    <w:p>
      <w:pPr>
        <w:pStyle w:val="BodyText"/>
        <w:spacing w:before="8"/>
      </w:pPr>
    </w:p>
    <w:p>
      <w:pPr>
        <w:pStyle w:val="ListParagraph"/>
        <w:numPr>
          <w:ilvl w:val="0"/>
          <w:numId w:val="76"/>
        </w:numPr>
        <w:tabs>
          <w:tab w:pos="728" w:val="left" w:leader="none"/>
          <w:tab w:pos="4475" w:val="left" w:leader="none"/>
        </w:tabs>
        <w:spacing w:line="240" w:lineRule="auto" w:before="0" w:after="0"/>
        <w:ind w:left="727" w:right="0" w:hanging="180"/>
        <w:jc w:val="left"/>
        <w:rPr>
          <w:sz w:val="15"/>
        </w:rPr>
      </w:pPr>
      <w:r>
        <w:rPr>
          <w:sz w:val="15"/>
        </w:rPr>
        <w:t>Condominio Vertical, por cada </w:t>
      </w:r>
      <w:r>
        <w:rPr>
          <w:spacing w:val="10"/>
          <w:sz w:val="15"/>
        </w:rPr>
        <w:t> </w:t>
      </w:r>
      <w:r>
        <w:rPr>
          <w:sz w:val="15"/>
        </w:rPr>
        <w:t>unidad</w:t>
      </w:r>
      <w:r>
        <w:rPr>
          <w:spacing w:val="13"/>
          <w:sz w:val="15"/>
        </w:rPr>
        <w:t> </w:t>
      </w:r>
      <w:r>
        <w:rPr>
          <w:sz w:val="15"/>
        </w:rPr>
        <w:t>resultante:</w:t>
        <w:tab/>
        <w:t>$561.00</w:t>
      </w:r>
    </w:p>
    <w:p>
      <w:pPr>
        <w:pStyle w:val="BodyText"/>
        <w:spacing w:before="9"/>
      </w:pPr>
    </w:p>
    <w:p>
      <w:pPr>
        <w:pStyle w:val="ListParagraph"/>
        <w:numPr>
          <w:ilvl w:val="0"/>
          <w:numId w:val="76"/>
        </w:numPr>
        <w:tabs>
          <w:tab w:pos="720" w:val="left" w:leader="none"/>
        </w:tabs>
        <w:spacing w:line="240" w:lineRule="auto" w:before="1" w:after="0"/>
        <w:ind w:left="719" w:right="0" w:hanging="172"/>
        <w:jc w:val="left"/>
        <w:rPr>
          <w:sz w:val="15"/>
        </w:rPr>
      </w:pPr>
      <w:r>
        <w:rPr>
          <w:sz w:val="15"/>
        </w:rPr>
        <w:t>Estacionamientos en áreas comunes, por cada cajón:</w:t>
      </w:r>
      <w:r>
        <w:rPr>
          <w:spacing w:val="14"/>
          <w:sz w:val="15"/>
        </w:rPr>
        <w:t> </w:t>
      </w:r>
      <w:r>
        <w:rPr>
          <w:sz w:val="15"/>
        </w:rPr>
        <w:t>$219.00</w:t>
      </w:r>
    </w:p>
    <w:p>
      <w:pPr>
        <w:pStyle w:val="BodyText"/>
        <w:spacing w:before="9"/>
      </w:pPr>
    </w:p>
    <w:p>
      <w:pPr>
        <w:pStyle w:val="ListParagraph"/>
        <w:numPr>
          <w:ilvl w:val="0"/>
          <w:numId w:val="76"/>
        </w:numPr>
        <w:tabs>
          <w:tab w:pos="775" w:val="left" w:leader="none"/>
        </w:tabs>
        <w:spacing w:line="244" w:lineRule="auto" w:before="0" w:after="0"/>
        <w:ind w:left="548" w:right="511" w:firstLine="0"/>
        <w:jc w:val="left"/>
        <w:rPr>
          <w:sz w:val="15"/>
        </w:rPr>
      </w:pPr>
      <w:r>
        <w:rPr>
          <w:sz w:val="15"/>
        </w:rPr>
        <w:t>Por modificación o rectificación del régimen de condominio, se cobrará el 10% de  las  cuotas  señaladas en los incisos a, b y c, según sea el</w:t>
      </w:r>
      <w:r>
        <w:rPr>
          <w:spacing w:val="19"/>
          <w:sz w:val="15"/>
        </w:rPr>
        <w:t> </w:t>
      </w:r>
      <w:r>
        <w:rPr>
          <w:sz w:val="15"/>
        </w:rPr>
        <w:t>caso.</w:t>
      </w:r>
    </w:p>
    <w:p>
      <w:pPr>
        <w:spacing w:after="0" w:line="244" w:lineRule="auto"/>
        <w:jc w:val="left"/>
        <w:rPr>
          <w:sz w:val="15"/>
        </w:rPr>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spacing w:before="7"/>
        <w:rPr>
          <w:sz w:val="29"/>
        </w:rPr>
      </w:pPr>
    </w:p>
    <w:p>
      <w:pPr>
        <w:spacing w:after="0"/>
        <w:rPr>
          <w:sz w:val="29"/>
        </w:rPr>
        <w:sectPr>
          <w:headerReference w:type="default" r:id="rId73"/>
          <w:pgSz w:w="23250" w:h="15310" w:orient="landscape"/>
          <w:pgMar w:header="881" w:footer="499" w:top="1920" w:bottom="680" w:left="1880" w:right="1520"/>
        </w:sectPr>
      </w:pPr>
    </w:p>
    <w:p>
      <w:pPr>
        <w:pStyle w:val="BodyText"/>
        <w:tabs>
          <w:tab w:pos="5880" w:val="left" w:leader="none"/>
        </w:tabs>
        <w:spacing w:line="247" w:lineRule="auto" w:before="99"/>
        <w:ind w:left="548" w:right="199"/>
      </w:pPr>
      <w:r>
        <w:rPr/>
        <w:t>VII.- Por el peritaje, dictamen o inspección de carácter extraordinario, por parte de la Dirección General    de Ordenamiento Territorial, por</w:t>
      </w:r>
      <w:r>
        <w:rPr>
          <w:spacing w:val="27"/>
        </w:rPr>
        <w:t> </w:t>
      </w:r>
      <w:r>
        <w:rPr/>
        <w:t>cada</w:t>
      </w:r>
      <w:r>
        <w:rPr>
          <w:spacing w:val="7"/>
        </w:rPr>
        <w:t> </w:t>
      </w:r>
      <w:r>
        <w:rPr/>
        <w:t>uno:</w:t>
        <w:tab/>
        <w:t>$536.00</w:t>
      </w:r>
    </w:p>
    <w:p>
      <w:pPr>
        <w:pStyle w:val="BodyText"/>
        <w:spacing w:before="3"/>
      </w:pPr>
    </w:p>
    <w:p>
      <w:pPr>
        <w:pStyle w:val="BodyText"/>
        <w:spacing w:line="247" w:lineRule="auto"/>
        <w:ind w:left="150" w:right="38" w:firstLine="397"/>
        <w:jc w:val="both"/>
      </w:pPr>
      <w:r>
        <w:rPr/>
        <w:t>VIII.- Por concepto de autorización de preventa, cada urbanizador pagará el 10% sobre el valor total de     la Licencia de</w:t>
      </w:r>
      <w:r>
        <w:rPr>
          <w:spacing w:val="3"/>
        </w:rPr>
        <w:t> </w:t>
      </w:r>
      <w:r>
        <w:rPr/>
        <w:t>Urbanización;</w:t>
      </w:r>
    </w:p>
    <w:p>
      <w:pPr>
        <w:pStyle w:val="BodyText"/>
        <w:spacing w:before="3"/>
      </w:pPr>
    </w:p>
    <w:p>
      <w:pPr>
        <w:pStyle w:val="BodyText"/>
        <w:spacing w:line="247" w:lineRule="auto" w:before="1"/>
        <w:ind w:left="151" w:right="38" w:firstLine="397"/>
        <w:jc w:val="both"/>
      </w:pPr>
      <w:r>
        <w:rPr/>
        <w:t>IX.- Por concepto de aprovechamiento de la infraestructura básica existente de vialidades, pagarán los derechos que determinará la Dirección General de Ordenamiento Territorial según el régimen aprobado para     el proyecto definitivo de urbanización, las</w:t>
      </w:r>
      <w:r>
        <w:rPr>
          <w:spacing w:val="9"/>
        </w:rPr>
        <w:t> </w:t>
      </w:r>
      <w:r>
        <w:rPr/>
        <w:t>siguientes:</w:t>
      </w:r>
    </w:p>
    <w:p>
      <w:pPr>
        <w:pStyle w:val="BodyText"/>
        <w:spacing w:line="247" w:lineRule="auto" w:before="99"/>
        <w:ind w:left="150" w:right="510"/>
        <w:jc w:val="both"/>
      </w:pPr>
      <w:r>
        <w:rPr/>
        <w:br w:type="column"/>
      </w:r>
      <w:r>
        <w:rPr/>
        <w:t>reducidas en atención a la superficie del predio y a su uso establecido o propuesto, previa presentación de su título de propiedad, dictamen de uso de suelo y recibo de pago  del impuesto predial, según la siguiente tabla    de</w:t>
      </w:r>
      <w:r>
        <w:rPr>
          <w:spacing w:val="1"/>
        </w:rPr>
        <w:t> </w:t>
      </w:r>
      <w:r>
        <w:rPr/>
        <w:t>reducciones:</w:t>
      </w:r>
    </w:p>
    <w:p>
      <w:pPr>
        <w:spacing w:after="0" w:line="247" w:lineRule="auto"/>
        <w:jc w:val="both"/>
        <w:sectPr>
          <w:type w:val="continuous"/>
          <w:pgSz w:w="23250" w:h="15310" w:orient="landscape"/>
          <w:pgMar w:top="0" w:bottom="0" w:left="1880" w:right="1520"/>
          <w:cols w:num="2" w:equalWidth="0">
            <w:col w:w="7751" w:space="3871"/>
            <w:col w:w="8228"/>
          </w:cols>
        </w:sectPr>
      </w:pPr>
    </w:p>
    <w:p>
      <w:pPr>
        <w:pStyle w:val="BodyText"/>
        <w:spacing w:before="2"/>
      </w:pPr>
    </w:p>
    <w:p>
      <w:pPr>
        <w:pStyle w:val="BodyText"/>
        <w:ind w:left="5887"/>
      </w:pPr>
      <w:r>
        <w:rPr/>
        <w:pict>
          <v:shape style="position:absolute;margin-left:682.484009pt;margin-top:-53.234695pt;width:270.8pt;height:79.3pt;mso-position-horizontal-relative:page;mso-position-vertical-relative:paragraph;z-index:25169817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2"/>
                    <w:gridCol w:w="1179"/>
                    <w:gridCol w:w="786"/>
                    <w:gridCol w:w="1179"/>
                    <w:gridCol w:w="688"/>
                  </w:tblGrid>
                  <w:tr>
                    <w:trPr>
                      <w:trHeight w:val="253" w:hRule="atLeast"/>
                    </w:trPr>
                    <w:tc>
                      <w:tcPr>
                        <w:tcW w:w="1572" w:type="dxa"/>
                      </w:tcPr>
                      <w:p>
                        <w:pPr>
                          <w:pStyle w:val="TableParagraph"/>
                          <w:spacing w:line="153" w:lineRule="exact" w:before="81"/>
                          <w:ind w:left="321"/>
                          <w:rPr>
                            <w:b/>
                            <w:sz w:val="15"/>
                          </w:rPr>
                        </w:pPr>
                        <w:r>
                          <w:rPr>
                            <w:b/>
                            <w:sz w:val="15"/>
                          </w:rPr>
                          <w:t>SUPERFICIE</w:t>
                        </w:r>
                      </w:p>
                    </w:tc>
                    <w:tc>
                      <w:tcPr>
                        <w:tcW w:w="1965" w:type="dxa"/>
                        <w:gridSpan w:val="2"/>
                      </w:tcPr>
                      <w:p>
                        <w:pPr>
                          <w:pStyle w:val="TableParagraph"/>
                          <w:spacing w:line="153" w:lineRule="exact" w:before="81"/>
                          <w:ind w:left="213"/>
                          <w:rPr>
                            <w:b/>
                            <w:sz w:val="15"/>
                          </w:rPr>
                        </w:pPr>
                        <w:r>
                          <w:rPr>
                            <w:b/>
                            <w:sz w:val="15"/>
                          </w:rPr>
                          <w:t>USO HABITACIONAL</w:t>
                        </w:r>
                      </w:p>
                    </w:tc>
                    <w:tc>
                      <w:tcPr>
                        <w:tcW w:w="1867" w:type="dxa"/>
                        <w:gridSpan w:val="2"/>
                      </w:tcPr>
                      <w:p>
                        <w:pPr>
                          <w:pStyle w:val="TableParagraph"/>
                          <w:spacing w:line="153" w:lineRule="exact" w:before="81"/>
                          <w:ind w:left="419"/>
                          <w:rPr>
                            <w:b/>
                            <w:sz w:val="15"/>
                          </w:rPr>
                        </w:pPr>
                        <w:r>
                          <w:rPr>
                            <w:b/>
                            <w:sz w:val="15"/>
                          </w:rPr>
                          <w:t>OTROS USOS</w:t>
                        </w:r>
                      </w:p>
                    </w:tc>
                  </w:tr>
                  <w:tr>
                    <w:trPr>
                      <w:trHeight w:val="252" w:hRule="atLeast"/>
                    </w:trPr>
                    <w:tc>
                      <w:tcPr>
                        <w:tcW w:w="1572" w:type="dxa"/>
                      </w:tcPr>
                      <w:p>
                        <w:pPr>
                          <w:pStyle w:val="TableParagraph"/>
                          <w:rPr>
                            <w:rFonts w:ascii="Times New Roman"/>
                            <w:sz w:val="14"/>
                          </w:rPr>
                        </w:pPr>
                      </w:p>
                    </w:tc>
                    <w:tc>
                      <w:tcPr>
                        <w:tcW w:w="1179" w:type="dxa"/>
                      </w:tcPr>
                      <w:p>
                        <w:pPr>
                          <w:pStyle w:val="TableParagraph"/>
                          <w:spacing w:line="153" w:lineRule="exact" w:before="80"/>
                          <w:ind w:left="63" w:right="56"/>
                          <w:jc w:val="center"/>
                          <w:rPr>
                            <w:b/>
                            <w:sz w:val="15"/>
                          </w:rPr>
                        </w:pPr>
                        <w:r>
                          <w:rPr>
                            <w:b/>
                            <w:sz w:val="15"/>
                          </w:rPr>
                          <w:t>CONSTRUIDO</w:t>
                        </w:r>
                      </w:p>
                    </w:tc>
                    <w:tc>
                      <w:tcPr>
                        <w:tcW w:w="786" w:type="dxa"/>
                      </w:tcPr>
                      <w:p>
                        <w:pPr>
                          <w:pStyle w:val="TableParagraph"/>
                          <w:spacing w:line="153" w:lineRule="exact" w:before="80"/>
                          <w:ind w:left="84" w:right="76"/>
                          <w:jc w:val="center"/>
                          <w:rPr>
                            <w:b/>
                            <w:sz w:val="15"/>
                          </w:rPr>
                        </w:pPr>
                        <w:r>
                          <w:rPr>
                            <w:b/>
                            <w:sz w:val="15"/>
                          </w:rPr>
                          <w:t>BALDÍO</w:t>
                        </w:r>
                      </w:p>
                    </w:tc>
                    <w:tc>
                      <w:tcPr>
                        <w:tcW w:w="1179" w:type="dxa"/>
                      </w:tcPr>
                      <w:p>
                        <w:pPr>
                          <w:pStyle w:val="TableParagraph"/>
                          <w:spacing w:line="153" w:lineRule="exact" w:before="80"/>
                          <w:ind w:left="63" w:right="55"/>
                          <w:jc w:val="center"/>
                          <w:rPr>
                            <w:b/>
                            <w:sz w:val="15"/>
                          </w:rPr>
                        </w:pPr>
                        <w:r>
                          <w:rPr>
                            <w:b/>
                            <w:sz w:val="15"/>
                          </w:rPr>
                          <w:t>CONSTRUIDO</w:t>
                        </w:r>
                      </w:p>
                    </w:tc>
                    <w:tc>
                      <w:tcPr>
                        <w:tcW w:w="688" w:type="dxa"/>
                      </w:tcPr>
                      <w:p>
                        <w:pPr>
                          <w:pStyle w:val="TableParagraph"/>
                          <w:spacing w:line="153" w:lineRule="exact" w:before="80"/>
                          <w:ind w:left="35" w:right="27"/>
                          <w:jc w:val="center"/>
                          <w:rPr>
                            <w:b/>
                            <w:sz w:val="15"/>
                          </w:rPr>
                        </w:pPr>
                        <w:r>
                          <w:rPr>
                            <w:b/>
                            <w:sz w:val="15"/>
                          </w:rPr>
                          <w:t>BALDÍO</w:t>
                        </w:r>
                      </w:p>
                    </w:tc>
                  </w:tr>
                  <w:tr>
                    <w:trPr>
                      <w:trHeight w:val="252" w:hRule="atLeast"/>
                    </w:trPr>
                    <w:tc>
                      <w:tcPr>
                        <w:tcW w:w="1572" w:type="dxa"/>
                      </w:tcPr>
                      <w:p>
                        <w:pPr>
                          <w:pStyle w:val="TableParagraph"/>
                          <w:spacing w:line="154" w:lineRule="exact" w:before="79"/>
                          <w:ind w:left="253"/>
                          <w:rPr>
                            <w:sz w:val="15"/>
                          </w:rPr>
                        </w:pPr>
                        <w:r>
                          <w:rPr>
                            <w:sz w:val="15"/>
                          </w:rPr>
                          <w:t>0 hasta 200 m2</w:t>
                        </w:r>
                      </w:p>
                    </w:tc>
                    <w:tc>
                      <w:tcPr>
                        <w:tcW w:w="1179" w:type="dxa"/>
                      </w:tcPr>
                      <w:p>
                        <w:pPr>
                          <w:pStyle w:val="TableParagraph"/>
                          <w:spacing w:line="154" w:lineRule="exact" w:before="79"/>
                          <w:ind w:left="62" w:right="56"/>
                          <w:jc w:val="center"/>
                          <w:rPr>
                            <w:sz w:val="15"/>
                          </w:rPr>
                        </w:pPr>
                        <w:r>
                          <w:rPr>
                            <w:sz w:val="15"/>
                          </w:rPr>
                          <w:t>90%</w:t>
                        </w:r>
                      </w:p>
                    </w:tc>
                    <w:tc>
                      <w:tcPr>
                        <w:tcW w:w="786" w:type="dxa"/>
                      </w:tcPr>
                      <w:p>
                        <w:pPr>
                          <w:pStyle w:val="TableParagraph"/>
                          <w:spacing w:line="154" w:lineRule="exact" w:before="79"/>
                          <w:ind w:left="83" w:right="76"/>
                          <w:jc w:val="center"/>
                          <w:rPr>
                            <w:sz w:val="15"/>
                          </w:rPr>
                        </w:pPr>
                        <w:r>
                          <w:rPr>
                            <w:sz w:val="15"/>
                          </w:rPr>
                          <w:t>75%</w:t>
                        </w:r>
                      </w:p>
                    </w:tc>
                    <w:tc>
                      <w:tcPr>
                        <w:tcW w:w="1179" w:type="dxa"/>
                      </w:tcPr>
                      <w:p>
                        <w:pPr>
                          <w:pStyle w:val="TableParagraph"/>
                          <w:spacing w:line="154" w:lineRule="exact" w:before="79"/>
                          <w:ind w:left="63" w:right="55"/>
                          <w:jc w:val="center"/>
                          <w:rPr>
                            <w:sz w:val="15"/>
                          </w:rPr>
                        </w:pPr>
                        <w:r>
                          <w:rPr>
                            <w:sz w:val="15"/>
                          </w:rPr>
                          <w:t>50%</w:t>
                        </w:r>
                      </w:p>
                    </w:tc>
                    <w:tc>
                      <w:tcPr>
                        <w:tcW w:w="688" w:type="dxa"/>
                      </w:tcPr>
                      <w:p>
                        <w:pPr>
                          <w:pStyle w:val="TableParagraph"/>
                          <w:spacing w:line="154" w:lineRule="exact" w:before="79"/>
                          <w:ind w:left="35" w:right="26"/>
                          <w:jc w:val="center"/>
                          <w:rPr>
                            <w:sz w:val="15"/>
                          </w:rPr>
                        </w:pPr>
                        <w:r>
                          <w:rPr>
                            <w:sz w:val="15"/>
                          </w:rPr>
                          <w:t>25%</w:t>
                        </w:r>
                      </w:p>
                    </w:tc>
                  </w:tr>
                  <w:tr>
                    <w:trPr>
                      <w:trHeight w:val="253" w:hRule="atLeast"/>
                    </w:trPr>
                    <w:tc>
                      <w:tcPr>
                        <w:tcW w:w="1572" w:type="dxa"/>
                      </w:tcPr>
                      <w:p>
                        <w:pPr>
                          <w:pStyle w:val="TableParagraph"/>
                          <w:spacing w:line="153" w:lineRule="exact" w:before="80"/>
                          <w:ind w:right="162"/>
                          <w:jc w:val="right"/>
                          <w:rPr>
                            <w:sz w:val="15"/>
                          </w:rPr>
                        </w:pPr>
                        <w:r>
                          <w:rPr>
                            <w:sz w:val="15"/>
                          </w:rPr>
                          <w:t>201 hasta 400 m2</w:t>
                        </w:r>
                      </w:p>
                    </w:tc>
                    <w:tc>
                      <w:tcPr>
                        <w:tcW w:w="1179" w:type="dxa"/>
                      </w:tcPr>
                      <w:p>
                        <w:pPr>
                          <w:pStyle w:val="TableParagraph"/>
                          <w:spacing w:line="153" w:lineRule="exact" w:before="80"/>
                          <w:ind w:left="62" w:right="56"/>
                          <w:jc w:val="center"/>
                          <w:rPr>
                            <w:sz w:val="15"/>
                          </w:rPr>
                        </w:pPr>
                        <w:r>
                          <w:rPr>
                            <w:sz w:val="15"/>
                          </w:rPr>
                          <w:t>75%</w:t>
                        </w:r>
                      </w:p>
                    </w:tc>
                    <w:tc>
                      <w:tcPr>
                        <w:tcW w:w="786" w:type="dxa"/>
                      </w:tcPr>
                      <w:p>
                        <w:pPr>
                          <w:pStyle w:val="TableParagraph"/>
                          <w:spacing w:line="153" w:lineRule="exact" w:before="80"/>
                          <w:ind w:left="83" w:right="76"/>
                          <w:jc w:val="center"/>
                          <w:rPr>
                            <w:sz w:val="15"/>
                          </w:rPr>
                        </w:pPr>
                        <w:r>
                          <w:rPr>
                            <w:sz w:val="15"/>
                          </w:rPr>
                          <w:t>50%</w:t>
                        </w:r>
                      </w:p>
                    </w:tc>
                    <w:tc>
                      <w:tcPr>
                        <w:tcW w:w="1179" w:type="dxa"/>
                      </w:tcPr>
                      <w:p>
                        <w:pPr>
                          <w:pStyle w:val="TableParagraph"/>
                          <w:spacing w:line="153" w:lineRule="exact" w:before="80"/>
                          <w:ind w:left="63" w:right="55"/>
                          <w:jc w:val="center"/>
                          <w:rPr>
                            <w:sz w:val="15"/>
                          </w:rPr>
                        </w:pPr>
                        <w:r>
                          <w:rPr>
                            <w:sz w:val="15"/>
                          </w:rPr>
                          <w:t>25%</w:t>
                        </w:r>
                      </w:p>
                    </w:tc>
                    <w:tc>
                      <w:tcPr>
                        <w:tcW w:w="688" w:type="dxa"/>
                      </w:tcPr>
                      <w:p>
                        <w:pPr>
                          <w:pStyle w:val="TableParagraph"/>
                          <w:spacing w:line="153" w:lineRule="exact" w:before="80"/>
                          <w:ind w:left="35" w:right="26"/>
                          <w:jc w:val="center"/>
                          <w:rPr>
                            <w:sz w:val="15"/>
                          </w:rPr>
                        </w:pPr>
                        <w:r>
                          <w:rPr>
                            <w:sz w:val="15"/>
                          </w:rPr>
                          <w:t>15%</w:t>
                        </w:r>
                      </w:p>
                    </w:tc>
                  </w:tr>
                  <w:tr>
                    <w:trPr>
                      <w:trHeight w:val="252" w:hRule="atLeast"/>
                    </w:trPr>
                    <w:tc>
                      <w:tcPr>
                        <w:tcW w:w="1572" w:type="dxa"/>
                      </w:tcPr>
                      <w:p>
                        <w:pPr>
                          <w:pStyle w:val="TableParagraph"/>
                          <w:spacing w:line="154" w:lineRule="exact" w:before="79"/>
                          <w:ind w:right="162"/>
                          <w:jc w:val="right"/>
                          <w:rPr>
                            <w:sz w:val="15"/>
                          </w:rPr>
                        </w:pPr>
                        <w:r>
                          <w:rPr>
                            <w:sz w:val="15"/>
                          </w:rPr>
                          <w:t>401 hasta 600 m2</w:t>
                        </w:r>
                      </w:p>
                    </w:tc>
                    <w:tc>
                      <w:tcPr>
                        <w:tcW w:w="1179" w:type="dxa"/>
                      </w:tcPr>
                      <w:p>
                        <w:pPr>
                          <w:pStyle w:val="TableParagraph"/>
                          <w:spacing w:line="154" w:lineRule="exact" w:before="79"/>
                          <w:ind w:left="62" w:right="56"/>
                          <w:jc w:val="center"/>
                          <w:rPr>
                            <w:sz w:val="15"/>
                          </w:rPr>
                        </w:pPr>
                        <w:r>
                          <w:rPr>
                            <w:sz w:val="15"/>
                          </w:rPr>
                          <w:t>60%</w:t>
                        </w:r>
                      </w:p>
                    </w:tc>
                    <w:tc>
                      <w:tcPr>
                        <w:tcW w:w="786" w:type="dxa"/>
                      </w:tcPr>
                      <w:p>
                        <w:pPr>
                          <w:pStyle w:val="TableParagraph"/>
                          <w:spacing w:line="154" w:lineRule="exact" w:before="79"/>
                          <w:ind w:left="83" w:right="76"/>
                          <w:jc w:val="center"/>
                          <w:rPr>
                            <w:sz w:val="15"/>
                          </w:rPr>
                        </w:pPr>
                        <w:r>
                          <w:rPr>
                            <w:sz w:val="15"/>
                          </w:rPr>
                          <w:t>35%</w:t>
                        </w:r>
                      </w:p>
                    </w:tc>
                    <w:tc>
                      <w:tcPr>
                        <w:tcW w:w="1179" w:type="dxa"/>
                      </w:tcPr>
                      <w:p>
                        <w:pPr>
                          <w:pStyle w:val="TableParagraph"/>
                          <w:spacing w:line="154" w:lineRule="exact" w:before="79"/>
                          <w:ind w:left="63" w:right="55"/>
                          <w:jc w:val="center"/>
                          <w:rPr>
                            <w:sz w:val="15"/>
                          </w:rPr>
                        </w:pPr>
                        <w:r>
                          <w:rPr>
                            <w:sz w:val="15"/>
                          </w:rPr>
                          <w:t>20%</w:t>
                        </w:r>
                      </w:p>
                    </w:tc>
                    <w:tc>
                      <w:tcPr>
                        <w:tcW w:w="688" w:type="dxa"/>
                      </w:tcPr>
                      <w:p>
                        <w:pPr>
                          <w:pStyle w:val="TableParagraph"/>
                          <w:spacing w:line="154" w:lineRule="exact" w:before="79"/>
                          <w:ind w:left="35" w:right="26"/>
                          <w:jc w:val="center"/>
                          <w:rPr>
                            <w:sz w:val="15"/>
                          </w:rPr>
                        </w:pPr>
                        <w:r>
                          <w:rPr>
                            <w:sz w:val="15"/>
                          </w:rPr>
                          <w:t>12%</w:t>
                        </w:r>
                      </w:p>
                    </w:tc>
                  </w:tr>
                  <w:tr>
                    <w:trPr>
                      <w:trHeight w:val="252" w:hRule="atLeast"/>
                    </w:trPr>
                    <w:tc>
                      <w:tcPr>
                        <w:tcW w:w="1572" w:type="dxa"/>
                      </w:tcPr>
                      <w:p>
                        <w:pPr>
                          <w:pStyle w:val="TableParagraph"/>
                          <w:spacing w:line="153" w:lineRule="exact" w:before="79"/>
                          <w:ind w:right="97"/>
                          <w:jc w:val="right"/>
                          <w:rPr>
                            <w:sz w:val="15"/>
                          </w:rPr>
                        </w:pPr>
                        <w:r>
                          <w:rPr>
                            <w:sz w:val="15"/>
                          </w:rPr>
                          <w:t>601 hasta 1,000 m2</w:t>
                        </w:r>
                      </w:p>
                    </w:tc>
                    <w:tc>
                      <w:tcPr>
                        <w:tcW w:w="1179" w:type="dxa"/>
                      </w:tcPr>
                      <w:p>
                        <w:pPr>
                          <w:pStyle w:val="TableParagraph"/>
                          <w:spacing w:line="153" w:lineRule="exact" w:before="79"/>
                          <w:ind w:left="62" w:right="56"/>
                          <w:jc w:val="center"/>
                          <w:rPr>
                            <w:sz w:val="15"/>
                          </w:rPr>
                        </w:pPr>
                        <w:r>
                          <w:rPr>
                            <w:sz w:val="15"/>
                          </w:rPr>
                          <w:t>50%</w:t>
                        </w:r>
                      </w:p>
                    </w:tc>
                    <w:tc>
                      <w:tcPr>
                        <w:tcW w:w="786" w:type="dxa"/>
                      </w:tcPr>
                      <w:p>
                        <w:pPr>
                          <w:pStyle w:val="TableParagraph"/>
                          <w:spacing w:line="153" w:lineRule="exact" w:before="79"/>
                          <w:ind w:left="83" w:right="76"/>
                          <w:jc w:val="center"/>
                          <w:rPr>
                            <w:sz w:val="15"/>
                          </w:rPr>
                        </w:pPr>
                        <w:r>
                          <w:rPr>
                            <w:sz w:val="15"/>
                          </w:rPr>
                          <w:t>25%</w:t>
                        </w:r>
                      </w:p>
                    </w:tc>
                    <w:tc>
                      <w:tcPr>
                        <w:tcW w:w="1179" w:type="dxa"/>
                      </w:tcPr>
                      <w:p>
                        <w:pPr>
                          <w:pStyle w:val="TableParagraph"/>
                          <w:spacing w:line="153" w:lineRule="exact" w:before="79"/>
                          <w:ind w:left="63" w:right="55"/>
                          <w:jc w:val="center"/>
                          <w:rPr>
                            <w:sz w:val="15"/>
                          </w:rPr>
                        </w:pPr>
                        <w:r>
                          <w:rPr>
                            <w:sz w:val="15"/>
                          </w:rPr>
                          <w:t>15%</w:t>
                        </w:r>
                      </w:p>
                    </w:tc>
                    <w:tc>
                      <w:tcPr>
                        <w:tcW w:w="688" w:type="dxa"/>
                      </w:tcPr>
                      <w:p>
                        <w:pPr>
                          <w:pStyle w:val="TableParagraph"/>
                          <w:spacing w:line="153" w:lineRule="exact" w:before="79"/>
                          <w:ind w:left="35" w:right="26"/>
                          <w:jc w:val="center"/>
                          <w:rPr>
                            <w:sz w:val="15"/>
                          </w:rPr>
                        </w:pPr>
                        <w:r>
                          <w:rPr>
                            <w:sz w:val="15"/>
                          </w:rPr>
                          <w:t>10%</w:t>
                        </w:r>
                      </w:p>
                    </w:tc>
                  </w:tr>
                </w:tbl>
                <w:p>
                  <w:pPr>
                    <w:pStyle w:val="BodyText"/>
                  </w:pPr>
                </w:p>
              </w:txbxContent>
            </v:textbox>
            <w10:wrap type="none"/>
          </v:shape>
        </w:pict>
      </w:r>
      <w:r>
        <w:rPr/>
        <w:t>Tarifas</w:t>
      </w:r>
    </w:p>
    <w:p>
      <w:pPr>
        <w:pStyle w:val="ListParagraph"/>
        <w:numPr>
          <w:ilvl w:val="0"/>
          <w:numId w:val="77"/>
        </w:numPr>
        <w:tabs>
          <w:tab w:pos="729" w:val="left" w:leader="none"/>
        </w:tabs>
        <w:spacing w:line="240" w:lineRule="auto" w:before="5" w:after="0"/>
        <w:ind w:left="728" w:right="0" w:hanging="181"/>
        <w:jc w:val="left"/>
        <w:rPr>
          <w:sz w:val="15"/>
        </w:rPr>
      </w:pPr>
      <w:r>
        <w:rPr>
          <w:sz w:val="15"/>
        </w:rPr>
        <w:t>En caso de urbanización de usos predominantemente habitacionales, por cada lote o unidad</w:t>
      </w:r>
      <w:r>
        <w:rPr>
          <w:spacing w:val="17"/>
          <w:sz w:val="15"/>
        </w:rPr>
        <w:t> </w:t>
      </w:r>
      <w:r>
        <w:rPr>
          <w:sz w:val="15"/>
        </w:rPr>
        <w:t>privativa:</w:t>
      </w:r>
    </w:p>
    <w:p>
      <w:pPr>
        <w:spacing w:after="0" w:line="240" w:lineRule="auto"/>
        <w:jc w:val="left"/>
        <w:rPr>
          <w:sz w:val="15"/>
        </w:rPr>
        <w:sectPr>
          <w:type w:val="continuous"/>
          <w:pgSz w:w="23250" w:h="15310" w:orient="landscape"/>
          <w:pgMar w:top="0" w:bottom="0" w:left="1880" w:right="1520"/>
        </w:sectPr>
      </w:pPr>
    </w:p>
    <w:p>
      <w:pPr>
        <w:pStyle w:val="BodyText"/>
        <w:spacing w:before="9"/>
      </w:pPr>
    </w:p>
    <w:p>
      <w:pPr>
        <w:pStyle w:val="BodyText"/>
        <w:tabs>
          <w:tab w:pos="5087" w:val="left" w:leader="none"/>
        </w:tabs>
        <w:ind w:left="548"/>
        <w:jc w:val="both"/>
      </w:pPr>
      <w:r>
        <w:rPr/>
        <w:t>1.- A vialidad de dos carriles</w:t>
      </w:r>
      <w:r>
        <w:rPr>
          <w:spacing w:val="23"/>
        </w:rPr>
        <w:t> </w:t>
      </w:r>
      <w:r>
        <w:rPr/>
        <w:t>de</w:t>
      </w:r>
      <w:r>
        <w:rPr>
          <w:spacing w:val="7"/>
        </w:rPr>
        <w:t> </w:t>
      </w:r>
      <w:r>
        <w:rPr/>
        <w:t>asfalto</w:t>
        <w:tab/>
        <w:t>$110.00</w:t>
      </w:r>
    </w:p>
    <w:p>
      <w:pPr>
        <w:pStyle w:val="BodyText"/>
        <w:rPr>
          <w:sz w:val="16"/>
        </w:rPr>
      </w:pPr>
    </w:p>
    <w:p>
      <w:pPr>
        <w:pStyle w:val="BodyText"/>
        <w:tabs>
          <w:tab w:pos="5076" w:val="left" w:leader="none"/>
        </w:tabs>
        <w:spacing w:before="104"/>
        <w:ind w:left="548"/>
        <w:jc w:val="both"/>
      </w:pPr>
      <w:r>
        <w:rPr/>
        <w:t>2.- A vialidad de cuatro carriles o más</w:t>
      </w:r>
      <w:r>
        <w:rPr>
          <w:spacing w:val="36"/>
        </w:rPr>
        <w:t> </w:t>
      </w:r>
      <w:r>
        <w:rPr/>
        <w:t>de</w:t>
      </w:r>
      <w:r>
        <w:rPr>
          <w:spacing w:val="8"/>
        </w:rPr>
        <w:t> </w:t>
      </w:r>
      <w:r>
        <w:rPr/>
        <w:t>asfalto</w:t>
        <w:tab/>
        <w:t>$221.00</w:t>
      </w:r>
    </w:p>
    <w:p>
      <w:pPr>
        <w:pStyle w:val="BodyText"/>
        <w:tabs>
          <w:tab w:pos="5075" w:val="left" w:leader="none"/>
        </w:tabs>
        <w:spacing w:line="350" w:lineRule="atLeast" w:before="5"/>
        <w:ind w:left="548" w:right="2116"/>
        <w:jc w:val="both"/>
      </w:pPr>
      <w:r>
        <w:rPr/>
        <w:t>3.- A vialidad de dos carriles de</w:t>
      </w:r>
      <w:r>
        <w:rPr>
          <w:spacing w:val="38"/>
        </w:rPr>
        <w:t> </w:t>
      </w:r>
      <w:r>
        <w:rPr/>
        <w:t>concreto</w:t>
      </w:r>
      <w:r>
        <w:rPr>
          <w:spacing w:val="9"/>
        </w:rPr>
        <w:t> </w:t>
      </w:r>
      <w:r>
        <w:rPr/>
        <w:t>hidráulico</w:t>
        <w:tab/>
      </w:r>
      <w:r>
        <w:rPr>
          <w:spacing w:val="-3"/>
        </w:rPr>
        <w:t>$176.00 </w:t>
      </w:r>
      <w:r>
        <w:rPr/>
        <w:t>4.- A vialidad de cuatro carriles o más de concreto</w:t>
      </w:r>
      <w:r>
        <w:rPr>
          <w:spacing w:val="16"/>
        </w:rPr>
        <w:t> </w:t>
      </w:r>
      <w:r>
        <w:rPr/>
        <w:t>hidráulico</w:t>
      </w:r>
    </w:p>
    <w:p>
      <w:pPr>
        <w:pStyle w:val="BodyText"/>
        <w:spacing w:before="8"/>
        <w:ind w:right="2264"/>
        <w:jc w:val="right"/>
      </w:pPr>
      <w:r>
        <w:rPr/>
        <w:t>$353.00</w:t>
      </w:r>
    </w:p>
    <w:p>
      <w:pPr>
        <w:pStyle w:val="BodyText"/>
        <w:spacing w:before="9"/>
      </w:pPr>
    </w:p>
    <w:p>
      <w:pPr>
        <w:pStyle w:val="BodyText"/>
        <w:spacing w:before="1"/>
        <w:ind w:right="2179"/>
        <w:jc w:val="right"/>
      </w:pPr>
      <w:r>
        <w:rPr/>
        <w:t>5.- A vialidades de otros materiales se equiparará a las cuotas del asfalto.</w:t>
      </w:r>
    </w:p>
    <w:p>
      <w:pPr>
        <w:pStyle w:val="BodyText"/>
        <w:spacing w:before="8"/>
      </w:pPr>
    </w:p>
    <w:p>
      <w:pPr>
        <w:pStyle w:val="ListParagraph"/>
        <w:numPr>
          <w:ilvl w:val="0"/>
          <w:numId w:val="77"/>
        </w:numPr>
        <w:tabs>
          <w:tab w:pos="775" w:val="left" w:leader="none"/>
        </w:tabs>
        <w:spacing w:line="247" w:lineRule="auto" w:before="0" w:after="0"/>
        <w:ind w:left="151" w:right="39" w:firstLine="397"/>
        <w:jc w:val="left"/>
        <w:rPr>
          <w:sz w:val="15"/>
        </w:rPr>
      </w:pPr>
      <w:r>
        <w:rPr>
          <w:sz w:val="15"/>
        </w:rPr>
        <w:t>En caso de urbanización de usos comerciales y servicios, turísticos, e industriales,  por  metro  cuadrado del total del</w:t>
      </w:r>
      <w:r>
        <w:rPr>
          <w:spacing w:val="5"/>
          <w:sz w:val="15"/>
        </w:rPr>
        <w:t> </w:t>
      </w:r>
      <w:r>
        <w:rPr>
          <w:sz w:val="15"/>
        </w:rPr>
        <w:t>predio:</w:t>
      </w:r>
    </w:p>
    <w:p>
      <w:pPr>
        <w:pStyle w:val="BodyText"/>
        <w:spacing w:before="4"/>
      </w:pPr>
    </w:p>
    <w:p>
      <w:pPr>
        <w:pStyle w:val="BodyText"/>
        <w:tabs>
          <w:tab w:pos="4486" w:val="left" w:leader="none"/>
        </w:tabs>
        <w:ind w:right="2242"/>
        <w:jc w:val="right"/>
      </w:pPr>
      <w:r>
        <w:rPr/>
        <w:t>1.- A vialidad de dos carriles</w:t>
      </w:r>
      <w:r>
        <w:rPr>
          <w:spacing w:val="23"/>
        </w:rPr>
        <w:t> </w:t>
      </w:r>
      <w:r>
        <w:rPr/>
        <w:t>de</w:t>
      </w:r>
      <w:r>
        <w:rPr>
          <w:spacing w:val="7"/>
        </w:rPr>
        <w:t> </w:t>
      </w:r>
      <w:r>
        <w:rPr/>
        <w:t>asfalto</w:t>
        <w:tab/>
        <w:t>$10.00</w:t>
      </w:r>
    </w:p>
    <w:p>
      <w:pPr>
        <w:pStyle w:val="BodyText"/>
        <w:spacing w:before="9"/>
      </w:pPr>
    </w:p>
    <w:p>
      <w:pPr>
        <w:pStyle w:val="BodyText"/>
        <w:tabs>
          <w:tab w:pos="4486" w:val="left" w:leader="none"/>
        </w:tabs>
        <w:ind w:right="2242"/>
        <w:jc w:val="right"/>
      </w:pPr>
      <w:r>
        <w:rPr/>
        <w:t>2.- A vialidad de cuatro carriles</w:t>
      </w:r>
      <w:r>
        <w:rPr>
          <w:spacing w:val="25"/>
        </w:rPr>
        <w:t> </w:t>
      </w:r>
      <w:r>
        <w:rPr/>
        <w:t>de</w:t>
      </w:r>
      <w:r>
        <w:rPr>
          <w:spacing w:val="8"/>
        </w:rPr>
        <w:t> </w:t>
      </w:r>
      <w:r>
        <w:rPr/>
        <w:t>asfalto</w:t>
        <w:tab/>
        <w:t>$18.00</w:t>
      </w:r>
    </w:p>
    <w:p>
      <w:pPr>
        <w:pStyle w:val="BodyText"/>
        <w:spacing w:before="9"/>
      </w:pPr>
    </w:p>
    <w:p>
      <w:pPr>
        <w:pStyle w:val="BodyText"/>
        <w:tabs>
          <w:tab w:pos="5034" w:val="left" w:leader="none"/>
        </w:tabs>
        <w:spacing w:line="491" w:lineRule="auto"/>
        <w:ind w:left="548" w:right="2179"/>
        <w:jc w:val="both"/>
      </w:pPr>
      <w:r>
        <w:rPr/>
        <w:t>3.- A vialidad de dos carriles de</w:t>
      </w:r>
      <w:r>
        <w:rPr>
          <w:spacing w:val="38"/>
        </w:rPr>
        <w:t> </w:t>
      </w:r>
      <w:r>
        <w:rPr/>
        <w:t>concreto</w:t>
      </w:r>
      <w:r>
        <w:rPr>
          <w:spacing w:val="9"/>
        </w:rPr>
        <w:t> </w:t>
      </w:r>
      <w:r>
        <w:rPr/>
        <w:t>hidráulico</w:t>
        <w:tab/>
        <w:t>$14.00 4.- A vialidad de cuatro carriles de</w:t>
      </w:r>
      <w:r>
        <w:rPr>
          <w:spacing w:val="41"/>
        </w:rPr>
        <w:t> </w:t>
      </w:r>
      <w:r>
        <w:rPr/>
        <w:t>concreto</w:t>
      </w:r>
      <w:r>
        <w:rPr>
          <w:spacing w:val="9"/>
        </w:rPr>
        <w:t> </w:t>
      </w:r>
      <w:r>
        <w:rPr/>
        <w:t>hidráulico</w:t>
        <w:tab/>
        <w:t>$26.00 5.-</w:t>
      </w:r>
      <w:r>
        <w:rPr>
          <w:spacing w:val="-2"/>
        </w:rPr>
        <w:t> </w:t>
      </w:r>
      <w:r>
        <w:rPr/>
        <w:t>A</w:t>
      </w:r>
      <w:r>
        <w:rPr>
          <w:spacing w:val="-1"/>
        </w:rPr>
        <w:t> </w:t>
      </w:r>
      <w:r>
        <w:rPr/>
        <w:t>vialidades</w:t>
      </w:r>
      <w:r>
        <w:rPr>
          <w:spacing w:val="9"/>
        </w:rPr>
        <w:t> </w:t>
      </w:r>
      <w:r>
        <w:rPr/>
        <w:t>de</w:t>
      </w:r>
      <w:r>
        <w:rPr>
          <w:spacing w:val="9"/>
        </w:rPr>
        <w:t> </w:t>
      </w:r>
      <w:r>
        <w:rPr/>
        <w:t>otros</w:t>
      </w:r>
      <w:r>
        <w:rPr>
          <w:spacing w:val="10"/>
        </w:rPr>
        <w:t> </w:t>
      </w:r>
      <w:r>
        <w:rPr/>
        <w:t>materiales</w:t>
      </w:r>
      <w:r>
        <w:rPr>
          <w:spacing w:val="9"/>
        </w:rPr>
        <w:t> </w:t>
      </w:r>
      <w:r>
        <w:rPr/>
        <w:t>se</w:t>
      </w:r>
      <w:r>
        <w:rPr>
          <w:spacing w:val="9"/>
        </w:rPr>
        <w:t> </w:t>
      </w:r>
      <w:r>
        <w:rPr/>
        <w:t>equiparará</w:t>
      </w:r>
      <w:r>
        <w:rPr>
          <w:spacing w:val="10"/>
        </w:rPr>
        <w:t> </w:t>
      </w:r>
      <w:r>
        <w:rPr/>
        <w:t>a</w:t>
      </w:r>
      <w:r>
        <w:rPr>
          <w:spacing w:val="9"/>
        </w:rPr>
        <w:t> </w:t>
      </w:r>
      <w:r>
        <w:rPr/>
        <w:t>las</w:t>
      </w:r>
      <w:r>
        <w:rPr>
          <w:spacing w:val="10"/>
        </w:rPr>
        <w:t> </w:t>
      </w:r>
      <w:r>
        <w:rPr/>
        <w:t>cuotas</w:t>
      </w:r>
      <w:r>
        <w:rPr>
          <w:spacing w:val="11"/>
        </w:rPr>
        <w:t> </w:t>
      </w:r>
      <w:r>
        <w:rPr/>
        <w:t>del</w:t>
      </w:r>
      <w:r>
        <w:rPr>
          <w:spacing w:val="10"/>
        </w:rPr>
        <w:t> </w:t>
      </w:r>
      <w:r>
        <w:rPr/>
        <w:t>asfalto.</w:t>
      </w:r>
    </w:p>
    <w:p>
      <w:pPr>
        <w:pStyle w:val="BodyText"/>
        <w:spacing w:line="247" w:lineRule="auto" w:before="2"/>
        <w:ind w:left="151" w:right="38" w:firstLine="397"/>
        <w:jc w:val="both"/>
      </w:pPr>
      <w:r>
        <w:rPr/>
        <w:t>X.- Los propietarios de predios intraurbanos o predios rústicos, vecinos a una zona urbanizada, centro     de población o urbanización, con superficie no mayor a diez mil metros cuadrados conforme a lo dispuesto por   el capítulo sexto, del título noveno y el artículo 266 del Código Urbano para el Estado de Jalisco, que  aprovechen la infraestructura básica existente, pagarán los derechos por cada metro lineal de frente a vía pública, de acuerdo al número de elementos de infraestructura básica (agua potable, drenaje,  vialidades, energía eléctrica, alumbrado público) con que el predio cuente al frente del mismo, de acuerdo con las siguientes:</w:t>
      </w:r>
    </w:p>
    <w:p>
      <w:pPr>
        <w:pStyle w:val="BodyText"/>
      </w:pPr>
    </w:p>
    <w:p>
      <w:pPr>
        <w:pStyle w:val="ListParagraph"/>
        <w:numPr>
          <w:ilvl w:val="0"/>
          <w:numId w:val="78"/>
        </w:numPr>
        <w:tabs>
          <w:tab w:pos="729" w:val="left" w:leader="none"/>
          <w:tab w:pos="4950" w:val="left" w:leader="none"/>
        </w:tabs>
        <w:spacing w:line="240" w:lineRule="auto" w:before="0" w:after="0"/>
        <w:ind w:left="728" w:right="0" w:hanging="181"/>
        <w:jc w:val="left"/>
        <w:rPr>
          <w:sz w:val="15"/>
        </w:rPr>
      </w:pPr>
      <w:r>
        <w:rPr>
          <w:sz w:val="15"/>
        </w:rPr>
        <w:t>Con un elemento</w:t>
      </w:r>
      <w:r>
        <w:rPr>
          <w:spacing w:val="39"/>
          <w:sz w:val="15"/>
        </w:rPr>
        <w:t> </w:t>
      </w:r>
      <w:r>
        <w:rPr>
          <w:sz w:val="15"/>
        </w:rPr>
        <w:t>de</w:t>
      </w:r>
      <w:r>
        <w:rPr>
          <w:spacing w:val="14"/>
          <w:sz w:val="15"/>
        </w:rPr>
        <w:t> </w:t>
      </w:r>
      <w:r>
        <w:rPr>
          <w:sz w:val="15"/>
        </w:rPr>
        <w:t>infraestructura:</w:t>
        <w:tab/>
        <w:t>$134.00</w:t>
      </w:r>
    </w:p>
    <w:p>
      <w:pPr>
        <w:pStyle w:val="BodyText"/>
        <w:spacing w:before="9"/>
      </w:pPr>
    </w:p>
    <w:p>
      <w:pPr>
        <w:pStyle w:val="ListParagraph"/>
        <w:numPr>
          <w:ilvl w:val="0"/>
          <w:numId w:val="78"/>
        </w:numPr>
        <w:tabs>
          <w:tab w:pos="729" w:val="left" w:leader="none"/>
          <w:tab w:pos="4950" w:val="left" w:leader="none"/>
        </w:tabs>
        <w:spacing w:line="240" w:lineRule="auto" w:before="1" w:after="0"/>
        <w:ind w:left="728" w:right="0" w:hanging="181"/>
        <w:jc w:val="left"/>
        <w:rPr>
          <w:sz w:val="15"/>
        </w:rPr>
      </w:pPr>
      <w:r>
        <w:rPr>
          <w:sz w:val="15"/>
        </w:rPr>
        <w:t>Con dos elementos </w:t>
      </w:r>
      <w:r>
        <w:rPr>
          <w:spacing w:val="5"/>
          <w:sz w:val="15"/>
        </w:rPr>
        <w:t> </w:t>
      </w:r>
      <w:r>
        <w:rPr>
          <w:sz w:val="15"/>
        </w:rPr>
        <w:t>de</w:t>
      </w:r>
      <w:r>
        <w:rPr>
          <w:spacing w:val="16"/>
          <w:sz w:val="15"/>
        </w:rPr>
        <w:t> </w:t>
      </w:r>
      <w:r>
        <w:rPr>
          <w:sz w:val="15"/>
        </w:rPr>
        <w:t>infraestructura:</w:t>
        <w:tab/>
        <w:t>$201.00</w:t>
      </w:r>
    </w:p>
    <w:p>
      <w:pPr>
        <w:pStyle w:val="BodyText"/>
        <w:spacing w:before="9"/>
      </w:pPr>
    </w:p>
    <w:p>
      <w:pPr>
        <w:pStyle w:val="ListParagraph"/>
        <w:numPr>
          <w:ilvl w:val="0"/>
          <w:numId w:val="78"/>
        </w:numPr>
        <w:tabs>
          <w:tab w:pos="720" w:val="left" w:leader="none"/>
          <w:tab w:pos="4948" w:val="left" w:leader="none"/>
        </w:tabs>
        <w:spacing w:line="240" w:lineRule="auto" w:before="0" w:after="0"/>
        <w:ind w:left="719" w:right="0" w:hanging="172"/>
        <w:jc w:val="left"/>
        <w:rPr>
          <w:sz w:val="15"/>
        </w:rPr>
      </w:pPr>
      <w:r>
        <w:rPr>
          <w:sz w:val="15"/>
        </w:rPr>
        <w:t>Con tres o más elementos </w:t>
      </w:r>
      <w:r>
        <w:rPr>
          <w:spacing w:val="15"/>
          <w:sz w:val="15"/>
        </w:rPr>
        <w:t> </w:t>
      </w:r>
      <w:r>
        <w:rPr>
          <w:sz w:val="15"/>
        </w:rPr>
        <w:t>de</w:t>
      </w:r>
      <w:r>
        <w:rPr>
          <w:spacing w:val="11"/>
          <w:sz w:val="15"/>
        </w:rPr>
        <w:t> </w:t>
      </w:r>
      <w:r>
        <w:rPr>
          <w:sz w:val="15"/>
        </w:rPr>
        <w:t>infraestructura:</w:t>
        <w:tab/>
        <w:t>$268.00</w:t>
      </w:r>
    </w:p>
    <w:p>
      <w:pPr>
        <w:pStyle w:val="BodyText"/>
        <w:spacing w:before="8"/>
      </w:pPr>
    </w:p>
    <w:p>
      <w:pPr>
        <w:pStyle w:val="BodyText"/>
        <w:spacing w:line="247" w:lineRule="auto" w:before="1"/>
        <w:ind w:left="151" w:right="38" w:firstLine="557"/>
        <w:jc w:val="both"/>
      </w:pPr>
      <w:r>
        <w:rPr/>
        <w:t>XI.- Las cantidades que por concepto de pago de derechos por aprovechamiento de la infraestructura básica existente en el Municipio, han de ser cubiertas por los particulares a la Hacienda Municipal, respecto a  los predios que anteriormente hubiesen estado sujetos al régimen de propiedad comunal o ejidal que, siendo escriturados por la Comisión Reguladora de la </w:t>
      </w:r>
      <w:r>
        <w:rPr>
          <w:spacing w:val="-3"/>
        </w:rPr>
        <w:t>Tenencia </w:t>
      </w:r>
      <w:r>
        <w:rPr/>
        <w:t>de la Tierra (CORETT) o por el Programa de Certificación de Derechos Ejidales (PROCEDE), estén ya sujetos al régimen de propiedad privada,</w:t>
      </w:r>
      <w:r>
        <w:rPr>
          <w:spacing w:val="14"/>
        </w:rPr>
        <w:t> </w:t>
      </w:r>
      <w:r>
        <w:rPr/>
        <w:t>serán</w:t>
      </w:r>
    </w:p>
    <w:p>
      <w:pPr>
        <w:pStyle w:val="BodyText"/>
        <w:rPr>
          <w:sz w:val="16"/>
        </w:rPr>
      </w:pPr>
      <w:r>
        <w:rPr/>
        <w:br w:type="column"/>
      </w:r>
      <w:r>
        <w:rPr>
          <w:sz w:val="16"/>
        </w:rPr>
      </w:r>
    </w:p>
    <w:p>
      <w:pPr>
        <w:pStyle w:val="BodyText"/>
        <w:spacing w:before="6"/>
        <w:rPr>
          <w:sz w:val="14"/>
        </w:rPr>
      </w:pPr>
    </w:p>
    <w:p>
      <w:pPr>
        <w:pStyle w:val="BodyText"/>
        <w:spacing w:line="247" w:lineRule="auto"/>
        <w:ind w:left="151" w:right="509" w:firstLine="397"/>
        <w:jc w:val="both"/>
      </w:pPr>
      <w:r>
        <w:rPr/>
        <w:t>Los contribuyentes que se encuentren en el supuesto de este artículo, y al mismo tiempo pudieran beneficiarse con la reducción de pago de estos derechos que se establecen en el título primero, de  los incentivos fiscales a la actividad productiva de esta </w:t>
      </w:r>
      <w:r>
        <w:rPr>
          <w:spacing w:val="-4"/>
        </w:rPr>
        <w:t>ley, </w:t>
      </w:r>
      <w:r>
        <w:rPr/>
        <w:t>podrán optar por beneficiarse por la disposición que represente mayores ventajas</w:t>
      </w:r>
      <w:r>
        <w:rPr>
          <w:spacing w:val="4"/>
        </w:rPr>
        <w:t> </w:t>
      </w:r>
      <w:r>
        <w:rPr/>
        <w:t>económicas.</w:t>
      </w:r>
    </w:p>
    <w:p>
      <w:pPr>
        <w:pStyle w:val="BodyText"/>
        <w:spacing w:before="2"/>
      </w:pPr>
    </w:p>
    <w:p>
      <w:pPr>
        <w:pStyle w:val="BodyText"/>
        <w:spacing w:line="247" w:lineRule="auto"/>
        <w:ind w:left="151" w:right="508" w:firstLine="397"/>
        <w:jc w:val="both"/>
      </w:pPr>
      <w:r>
        <w:rPr>
          <w:b/>
        </w:rPr>
        <w:t>Artículo 87.- </w:t>
      </w:r>
      <w:r>
        <w:rPr/>
        <w:t>Quien obtenga una licencia de urbanización para una acción urbanística habitacional y que por acuerdo del Ayuntamiento sea declarada su intervención y rescate, previamente a su formal recepción por Municipio en términos de la legislación en materia de desarrollo  urbano aplicable, será responsable del pago a  la hacienda pública municipal</w:t>
      </w:r>
      <w:r>
        <w:rPr>
          <w:spacing w:val="4"/>
        </w:rPr>
        <w:t> </w:t>
      </w:r>
      <w:r>
        <w:rPr/>
        <w:t>de:</w:t>
      </w:r>
    </w:p>
    <w:p>
      <w:pPr>
        <w:pStyle w:val="BodyText"/>
        <w:spacing w:before="2"/>
      </w:pPr>
    </w:p>
    <w:p>
      <w:pPr>
        <w:pStyle w:val="ListParagraph"/>
        <w:numPr>
          <w:ilvl w:val="0"/>
          <w:numId w:val="79"/>
        </w:numPr>
        <w:tabs>
          <w:tab w:pos="678" w:val="left" w:leader="none"/>
        </w:tabs>
        <w:spacing w:line="240" w:lineRule="auto" w:before="0" w:after="0"/>
        <w:ind w:left="677" w:right="0" w:hanging="130"/>
        <w:jc w:val="left"/>
        <w:rPr>
          <w:sz w:val="15"/>
        </w:rPr>
      </w:pPr>
      <w:r>
        <w:rPr>
          <w:sz w:val="15"/>
        </w:rPr>
        <w:t>Las contribuciones que ordinariamente se hayan causado, sus accesorios;</w:t>
      </w:r>
      <w:r>
        <w:rPr>
          <w:spacing w:val="24"/>
          <w:sz w:val="15"/>
        </w:rPr>
        <w:t> </w:t>
      </w:r>
      <w:r>
        <w:rPr>
          <w:sz w:val="15"/>
        </w:rPr>
        <w:t>y</w:t>
      </w:r>
    </w:p>
    <w:p>
      <w:pPr>
        <w:pStyle w:val="BodyText"/>
        <w:spacing w:before="9"/>
      </w:pPr>
    </w:p>
    <w:p>
      <w:pPr>
        <w:pStyle w:val="ListParagraph"/>
        <w:numPr>
          <w:ilvl w:val="0"/>
          <w:numId w:val="79"/>
        </w:numPr>
        <w:tabs>
          <w:tab w:pos="721" w:val="left" w:leader="none"/>
        </w:tabs>
        <w:spacing w:line="240" w:lineRule="auto" w:before="1" w:after="0"/>
        <w:ind w:left="720" w:right="0" w:hanging="173"/>
        <w:jc w:val="left"/>
        <w:rPr>
          <w:sz w:val="15"/>
        </w:rPr>
      </w:pPr>
      <w:r>
        <w:rPr>
          <w:sz w:val="15"/>
        </w:rPr>
        <w:t>Los</w:t>
      </w:r>
      <w:r>
        <w:rPr>
          <w:spacing w:val="5"/>
          <w:sz w:val="15"/>
        </w:rPr>
        <w:t> </w:t>
      </w:r>
      <w:r>
        <w:rPr>
          <w:sz w:val="15"/>
        </w:rPr>
        <w:t>capitales</w:t>
      </w:r>
      <w:r>
        <w:rPr>
          <w:spacing w:val="5"/>
          <w:sz w:val="15"/>
        </w:rPr>
        <w:t> </w:t>
      </w:r>
      <w:r>
        <w:rPr>
          <w:sz w:val="15"/>
        </w:rPr>
        <w:t>que</w:t>
      </w:r>
      <w:r>
        <w:rPr>
          <w:spacing w:val="6"/>
          <w:sz w:val="15"/>
        </w:rPr>
        <w:t> </w:t>
      </w:r>
      <w:r>
        <w:rPr>
          <w:sz w:val="15"/>
        </w:rPr>
        <w:t>el</w:t>
      </w:r>
      <w:r>
        <w:rPr>
          <w:spacing w:val="4"/>
          <w:sz w:val="15"/>
        </w:rPr>
        <w:t> </w:t>
      </w:r>
      <w:r>
        <w:rPr>
          <w:sz w:val="15"/>
        </w:rPr>
        <w:t>Municipio</w:t>
      </w:r>
      <w:r>
        <w:rPr>
          <w:spacing w:val="6"/>
          <w:sz w:val="15"/>
        </w:rPr>
        <w:t> </w:t>
      </w:r>
      <w:r>
        <w:rPr>
          <w:sz w:val="15"/>
        </w:rPr>
        <w:t>requiera</w:t>
      </w:r>
      <w:r>
        <w:rPr>
          <w:spacing w:val="5"/>
          <w:sz w:val="15"/>
        </w:rPr>
        <w:t> </w:t>
      </w:r>
      <w:r>
        <w:rPr>
          <w:sz w:val="15"/>
        </w:rPr>
        <w:t>para</w:t>
      </w:r>
      <w:r>
        <w:rPr>
          <w:spacing w:val="5"/>
          <w:sz w:val="15"/>
        </w:rPr>
        <w:t> </w:t>
      </w:r>
      <w:r>
        <w:rPr>
          <w:sz w:val="15"/>
        </w:rPr>
        <w:t>concluir,</w:t>
      </w:r>
      <w:r>
        <w:rPr>
          <w:spacing w:val="5"/>
          <w:sz w:val="15"/>
        </w:rPr>
        <w:t> </w:t>
      </w:r>
      <w:r>
        <w:rPr>
          <w:sz w:val="15"/>
        </w:rPr>
        <w:t>corregir</w:t>
      </w:r>
      <w:r>
        <w:rPr>
          <w:spacing w:val="5"/>
          <w:sz w:val="15"/>
        </w:rPr>
        <w:t> </w:t>
      </w:r>
      <w:r>
        <w:rPr>
          <w:sz w:val="15"/>
        </w:rPr>
        <w:t>o</w:t>
      </w:r>
      <w:r>
        <w:rPr>
          <w:spacing w:val="6"/>
          <w:sz w:val="15"/>
        </w:rPr>
        <w:t> </w:t>
      </w:r>
      <w:r>
        <w:rPr>
          <w:sz w:val="15"/>
        </w:rPr>
        <w:t>rehabilitar</w:t>
      </w:r>
      <w:r>
        <w:rPr>
          <w:spacing w:val="5"/>
          <w:sz w:val="15"/>
        </w:rPr>
        <w:t> </w:t>
      </w:r>
      <w:r>
        <w:rPr>
          <w:sz w:val="15"/>
        </w:rPr>
        <w:t>las</w:t>
      </w:r>
      <w:r>
        <w:rPr>
          <w:spacing w:val="6"/>
          <w:sz w:val="15"/>
        </w:rPr>
        <w:t> </w:t>
      </w:r>
      <w:r>
        <w:rPr>
          <w:sz w:val="15"/>
        </w:rPr>
        <w:t>obras</w:t>
      </w:r>
      <w:r>
        <w:rPr>
          <w:spacing w:val="5"/>
          <w:sz w:val="15"/>
        </w:rPr>
        <w:t> </w:t>
      </w:r>
      <w:r>
        <w:rPr>
          <w:sz w:val="15"/>
        </w:rPr>
        <w:t>de</w:t>
      </w:r>
      <w:r>
        <w:rPr>
          <w:spacing w:val="5"/>
          <w:sz w:val="15"/>
        </w:rPr>
        <w:t> </w:t>
      </w:r>
      <w:r>
        <w:rPr>
          <w:sz w:val="15"/>
        </w:rPr>
        <w:t>urbanización.</w:t>
      </w:r>
    </w:p>
    <w:p>
      <w:pPr>
        <w:pStyle w:val="BodyText"/>
        <w:spacing w:before="9"/>
      </w:pPr>
    </w:p>
    <w:p>
      <w:pPr>
        <w:pStyle w:val="BodyText"/>
        <w:spacing w:line="247" w:lineRule="auto"/>
        <w:ind w:left="151" w:right="510" w:firstLine="397"/>
        <w:jc w:val="both"/>
      </w:pPr>
      <w:r>
        <w:rPr/>
        <w:t>Estos capitales tendrán el carácter de derechos en términos del artículo 5 de la Ley de Hacienda Pública Municipal del Estado de Jalisco.</w:t>
      </w:r>
    </w:p>
    <w:p>
      <w:pPr>
        <w:pStyle w:val="BodyText"/>
        <w:spacing w:before="3"/>
      </w:pPr>
    </w:p>
    <w:p>
      <w:pPr>
        <w:pStyle w:val="BodyText"/>
        <w:ind w:left="548"/>
      </w:pPr>
      <w:r>
        <w:rPr>
          <w:b/>
        </w:rPr>
        <w:t>Artículo 88.- </w:t>
      </w:r>
      <w:r>
        <w:rPr/>
        <w:t>Son responsables solidarios de las contribuciones a que se refiere el artículo anterior:</w:t>
      </w:r>
    </w:p>
    <w:p>
      <w:pPr>
        <w:pStyle w:val="BodyText"/>
        <w:spacing w:before="9"/>
      </w:pPr>
    </w:p>
    <w:p>
      <w:pPr>
        <w:pStyle w:val="ListParagraph"/>
        <w:numPr>
          <w:ilvl w:val="0"/>
          <w:numId w:val="80"/>
        </w:numPr>
        <w:tabs>
          <w:tab w:pos="713" w:val="left" w:leader="none"/>
        </w:tabs>
        <w:spacing w:line="247" w:lineRule="auto" w:before="1" w:after="0"/>
        <w:ind w:left="151" w:right="511" w:firstLine="397"/>
        <w:jc w:val="both"/>
        <w:rPr>
          <w:sz w:val="15"/>
        </w:rPr>
      </w:pPr>
      <w:r>
        <w:rPr>
          <w:sz w:val="15"/>
        </w:rPr>
        <w:t>Los propietarios, copropietarios o titulares de los predios sobre los que se obtuvo la licencia de urbanización;</w:t>
      </w:r>
    </w:p>
    <w:p>
      <w:pPr>
        <w:pStyle w:val="BodyText"/>
        <w:spacing w:before="2"/>
      </w:pPr>
    </w:p>
    <w:p>
      <w:pPr>
        <w:pStyle w:val="ListParagraph"/>
        <w:numPr>
          <w:ilvl w:val="0"/>
          <w:numId w:val="80"/>
        </w:numPr>
        <w:tabs>
          <w:tab w:pos="780" w:val="left" w:leader="none"/>
        </w:tabs>
        <w:spacing w:line="247" w:lineRule="auto" w:before="1" w:after="0"/>
        <w:ind w:left="151" w:right="509" w:firstLine="397"/>
        <w:jc w:val="both"/>
        <w:rPr>
          <w:sz w:val="15"/>
        </w:rPr>
      </w:pPr>
      <w:r>
        <w:rPr>
          <w:sz w:val="15"/>
        </w:rPr>
        <w:t>Los fideicomisos, fideicomitentes, fideicomisarios y las instituciones fiduciarias de los predios transmitidos al patrimonio de fideicomisos cuyo objeto sea la urbanización de los predios sobre los que se  obtuvo la licencia de</w:t>
      </w:r>
      <w:r>
        <w:rPr>
          <w:spacing w:val="5"/>
          <w:sz w:val="15"/>
        </w:rPr>
        <w:t> </w:t>
      </w:r>
      <w:r>
        <w:rPr>
          <w:sz w:val="15"/>
        </w:rPr>
        <w:t>urbanización;</w:t>
      </w:r>
    </w:p>
    <w:p>
      <w:pPr>
        <w:pStyle w:val="BodyText"/>
        <w:spacing w:before="2"/>
      </w:pPr>
    </w:p>
    <w:p>
      <w:pPr>
        <w:pStyle w:val="ListParagraph"/>
        <w:numPr>
          <w:ilvl w:val="0"/>
          <w:numId w:val="80"/>
        </w:numPr>
        <w:tabs>
          <w:tab w:pos="764" w:val="left" w:leader="none"/>
        </w:tabs>
        <w:spacing w:line="240" w:lineRule="auto" w:before="0" w:after="0"/>
        <w:ind w:left="763" w:right="0" w:hanging="216"/>
        <w:jc w:val="left"/>
        <w:rPr>
          <w:sz w:val="15"/>
        </w:rPr>
      </w:pPr>
      <w:r>
        <w:rPr>
          <w:sz w:val="15"/>
        </w:rPr>
        <w:t>Los</w:t>
      </w:r>
      <w:r>
        <w:rPr>
          <w:spacing w:val="4"/>
          <w:sz w:val="15"/>
        </w:rPr>
        <w:t> </w:t>
      </w:r>
      <w:r>
        <w:rPr>
          <w:sz w:val="15"/>
        </w:rPr>
        <w:t>socios</w:t>
      </w:r>
      <w:r>
        <w:rPr>
          <w:spacing w:val="4"/>
          <w:sz w:val="15"/>
        </w:rPr>
        <w:t> </w:t>
      </w:r>
      <w:r>
        <w:rPr>
          <w:sz w:val="15"/>
        </w:rPr>
        <w:t>y</w:t>
      </w:r>
      <w:r>
        <w:rPr>
          <w:spacing w:val="5"/>
          <w:sz w:val="15"/>
        </w:rPr>
        <w:t> </w:t>
      </w:r>
      <w:r>
        <w:rPr>
          <w:sz w:val="15"/>
        </w:rPr>
        <w:t>accionistas</w:t>
      </w:r>
      <w:r>
        <w:rPr>
          <w:spacing w:val="4"/>
          <w:sz w:val="15"/>
        </w:rPr>
        <w:t> </w:t>
      </w:r>
      <w:r>
        <w:rPr>
          <w:sz w:val="15"/>
        </w:rPr>
        <w:t>de</w:t>
      </w:r>
      <w:r>
        <w:rPr>
          <w:spacing w:val="5"/>
          <w:sz w:val="15"/>
        </w:rPr>
        <w:t> </w:t>
      </w:r>
      <w:r>
        <w:rPr>
          <w:sz w:val="15"/>
        </w:rPr>
        <w:t>las</w:t>
      </w:r>
      <w:r>
        <w:rPr>
          <w:spacing w:val="3"/>
          <w:sz w:val="15"/>
        </w:rPr>
        <w:t> </w:t>
      </w:r>
      <w:r>
        <w:rPr>
          <w:sz w:val="15"/>
        </w:rPr>
        <w:t>personas</w:t>
      </w:r>
      <w:r>
        <w:rPr>
          <w:spacing w:val="4"/>
          <w:sz w:val="15"/>
        </w:rPr>
        <w:t> </w:t>
      </w:r>
      <w:r>
        <w:rPr>
          <w:sz w:val="15"/>
        </w:rPr>
        <w:t>jurídicas</w:t>
      </w:r>
      <w:r>
        <w:rPr>
          <w:spacing w:val="5"/>
          <w:sz w:val="15"/>
        </w:rPr>
        <w:t> </w:t>
      </w:r>
      <w:r>
        <w:rPr>
          <w:sz w:val="15"/>
        </w:rPr>
        <w:t>que</w:t>
      </w:r>
      <w:r>
        <w:rPr>
          <w:spacing w:val="4"/>
          <w:sz w:val="15"/>
        </w:rPr>
        <w:t> </w:t>
      </w:r>
      <w:r>
        <w:rPr>
          <w:sz w:val="15"/>
        </w:rPr>
        <w:t>obtuvieron</w:t>
      </w:r>
      <w:r>
        <w:rPr>
          <w:spacing w:val="5"/>
          <w:sz w:val="15"/>
        </w:rPr>
        <w:t> </w:t>
      </w:r>
      <w:r>
        <w:rPr>
          <w:sz w:val="15"/>
        </w:rPr>
        <w:t>la</w:t>
      </w:r>
      <w:r>
        <w:rPr>
          <w:spacing w:val="4"/>
          <w:sz w:val="15"/>
        </w:rPr>
        <w:t> </w:t>
      </w:r>
      <w:r>
        <w:rPr>
          <w:sz w:val="15"/>
        </w:rPr>
        <w:t>licencia</w:t>
      </w:r>
      <w:r>
        <w:rPr>
          <w:spacing w:val="4"/>
          <w:sz w:val="15"/>
        </w:rPr>
        <w:t> </w:t>
      </w:r>
      <w:r>
        <w:rPr>
          <w:sz w:val="15"/>
        </w:rPr>
        <w:t>de</w:t>
      </w:r>
      <w:r>
        <w:rPr>
          <w:spacing w:val="5"/>
          <w:sz w:val="15"/>
        </w:rPr>
        <w:t> </w:t>
      </w:r>
      <w:r>
        <w:rPr>
          <w:sz w:val="15"/>
        </w:rPr>
        <w:t>urbanización;</w:t>
      </w:r>
    </w:p>
    <w:p>
      <w:pPr>
        <w:pStyle w:val="BodyText"/>
        <w:spacing w:before="10"/>
      </w:pPr>
    </w:p>
    <w:p>
      <w:pPr>
        <w:pStyle w:val="ListParagraph"/>
        <w:numPr>
          <w:ilvl w:val="0"/>
          <w:numId w:val="80"/>
        </w:numPr>
        <w:tabs>
          <w:tab w:pos="781" w:val="left" w:leader="none"/>
        </w:tabs>
        <w:spacing w:line="247" w:lineRule="auto" w:before="0" w:after="0"/>
        <w:ind w:left="151" w:right="508" w:firstLine="397"/>
        <w:jc w:val="both"/>
        <w:rPr>
          <w:sz w:val="15"/>
        </w:rPr>
      </w:pPr>
      <w:r>
        <w:rPr>
          <w:sz w:val="15"/>
        </w:rPr>
        <w:t>Las personas que celebraron el contrato de asociación en participación o cualquier otro similar, sin importar</w:t>
      </w:r>
      <w:r>
        <w:rPr>
          <w:spacing w:val="9"/>
          <w:sz w:val="15"/>
        </w:rPr>
        <w:t> </w:t>
      </w:r>
      <w:r>
        <w:rPr>
          <w:sz w:val="15"/>
        </w:rPr>
        <w:t>su</w:t>
      </w:r>
      <w:r>
        <w:rPr>
          <w:spacing w:val="10"/>
          <w:sz w:val="15"/>
        </w:rPr>
        <w:t> </w:t>
      </w:r>
      <w:r>
        <w:rPr>
          <w:sz w:val="15"/>
        </w:rPr>
        <w:t>denominación,</w:t>
      </w:r>
      <w:r>
        <w:rPr>
          <w:spacing w:val="10"/>
          <w:sz w:val="15"/>
        </w:rPr>
        <w:t> </w:t>
      </w:r>
      <w:r>
        <w:rPr>
          <w:sz w:val="15"/>
        </w:rPr>
        <w:t>donde</w:t>
      </w:r>
      <w:r>
        <w:rPr>
          <w:spacing w:val="10"/>
          <w:sz w:val="15"/>
        </w:rPr>
        <w:t> </w:t>
      </w:r>
      <w:r>
        <w:rPr>
          <w:sz w:val="15"/>
        </w:rPr>
        <w:t>se</w:t>
      </w:r>
      <w:r>
        <w:rPr>
          <w:spacing w:val="10"/>
          <w:sz w:val="15"/>
        </w:rPr>
        <w:t> </w:t>
      </w:r>
      <w:r>
        <w:rPr>
          <w:sz w:val="15"/>
        </w:rPr>
        <w:t>aporten</w:t>
      </w:r>
      <w:r>
        <w:rPr>
          <w:spacing w:val="10"/>
          <w:sz w:val="15"/>
        </w:rPr>
        <w:t> </w:t>
      </w:r>
      <w:r>
        <w:rPr>
          <w:sz w:val="15"/>
        </w:rPr>
        <w:t>los</w:t>
      </w:r>
      <w:r>
        <w:rPr>
          <w:spacing w:val="10"/>
          <w:sz w:val="15"/>
        </w:rPr>
        <w:t> </w:t>
      </w:r>
      <w:r>
        <w:rPr>
          <w:sz w:val="15"/>
        </w:rPr>
        <w:t>predios</w:t>
      </w:r>
      <w:r>
        <w:rPr>
          <w:spacing w:val="8"/>
          <w:sz w:val="15"/>
        </w:rPr>
        <w:t> </w:t>
      </w:r>
      <w:r>
        <w:rPr>
          <w:sz w:val="15"/>
        </w:rPr>
        <w:t>sobre</w:t>
      </w:r>
      <w:r>
        <w:rPr>
          <w:spacing w:val="10"/>
          <w:sz w:val="15"/>
        </w:rPr>
        <w:t> </w:t>
      </w:r>
      <w:r>
        <w:rPr>
          <w:sz w:val="15"/>
        </w:rPr>
        <w:t>los</w:t>
      </w:r>
      <w:r>
        <w:rPr>
          <w:spacing w:val="10"/>
          <w:sz w:val="15"/>
        </w:rPr>
        <w:t> </w:t>
      </w:r>
      <w:r>
        <w:rPr>
          <w:sz w:val="15"/>
        </w:rPr>
        <w:t>que</w:t>
      </w:r>
      <w:r>
        <w:rPr>
          <w:spacing w:val="9"/>
          <w:sz w:val="15"/>
        </w:rPr>
        <w:t> </w:t>
      </w:r>
      <w:r>
        <w:rPr>
          <w:sz w:val="15"/>
        </w:rPr>
        <w:t>se</w:t>
      </w:r>
      <w:r>
        <w:rPr>
          <w:spacing w:val="10"/>
          <w:sz w:val="15"/>
        </w:rPr>
        <w:t> </w:t>
      </w:r>
      <w:r>
        <w:rPr>
          <w:sz w:val="15"/>
        </w:rPr>
        <w:t>obtuvo</w:t>
      </w:r>
      <w:r>
        <w:rPr>
          <w:spacing w:val="10"/>
          <w:sz w:val="15"/>
        </w:rPr>
        <w:t> </w:t>
      </w:r>
      <w:r>
        <w:rPr>
          <w:sz w:val="15"/>
        </w:rPr>
        <w:t>la</w:t>
      </w:r>
      <w:r>
        <w:rPr>
          <w:spacing w:val="10"/>
          <w:sz w:val="15"/>
        </w:rPr>
        <w:t> </w:t>
      </w:r>
      <w:r>
        <w:rPr>
          <w:sz w:val="15"/>
        </w:rPr>
        <w:t>licencia</w:t>
      </w:r>
      <w:r>
        <w:rPr>
          <w:spacing w:val="10"/>
          <w:sz w:val="15"/>
        </w:rPr>
        <w:t> </w:t>
      </w:r>
      <w:r>
        <w:rPr>
          <w:sz w:val="15"/>
        </w:rPr>
        <w:t>de</w:t>
      </w:r>
      <w:r>
        <w:rPr>
          <w:spacing w:val="8"/>
          <w:sz w:val="15"/>
        </w:rPr>
        <w:t> </w:t>
      </w:r>
      <w:r>
        <w:rPr>
          <w:sz w:val="15"/>
        </w:rPr>
        <w:t>urbanización;</w:t>
      </w:r>
      <w:r>
        <w:rPr>
          <w:spacing w:val="10"/>
          <w:sz w:val="15"/>
        </w:rPr>
        <w:t> </w:t>
      </w:r>
      <w:r>
        <w:rPr>
          <w:sz w:val="15"/>
        </w:rPr>
        <w:t>o</w:t>
      </w:r>
    </w:p>
    <w:p>
      <w:pPr>
        <w:pStyle w:val="BodyText"/>
        <w:spacing w:before="3"/>
      </w:pPr>
    </w:p>
    <w:p>
      <w:pPr>
        <w:pStyle w:val="ListParagraph"/>
        <w:numPr>
          <w:ilvl w:val="0"/>
          <w:numId w:val="80"/>
        </w:numPr>
        <w:tabs>
          <w:tab w:pos="727" w:val="left" w:leader="none"/>
        </w:tabs>
        <w:spacing w:line="244" w:lineRule="auto" w:before="1" w:after="0"/>
        <w:ind w:left="151" w:right="510" w:firstLine="397"/>
        <w:jc w:val="both"/>
        <w:rPr>
          <w:sz w:val="15"/>
        </w:rPr>
      </w:pPr>
      <w:r>
        <w:rPr>
          <w:sz w:val="15"/>
        </w:rPr>
        <w:t>Los peritos responsables de las obras de urbanización de la acción urbanística habitacional de la que sea declarada su intervención y</w:t>
      </w:r>
      <w:r>
        <w:rPr>
          <w:spacing w:val="7"/>
          <w:sz w:val="15"/>
        </w:rPr>
        <w:t> </w:t>
      </w:r>
      <w:r>
        <w:rPr>
          <w:sz w:val="15"/>
        </w:rPr>
        <w:t>rescate.</w:t>
      </w:r>
    </w:p>
    <w:p>
      <w:pPr>
        <w:pStyle w:val="BodyText"/>
        <w:spacing w:before="6"/>
      </w:pPr>
    </w:p>
    <w:p>
      <w:pPr>
        <w:pStyle w:val="BodyText"/>
        <w:spacing w:line="247" w:lineRule="auto"/>
        <w:ind w:left="151" w:right="511" w:firstLine="397"/>
        <w:jc w:val="both"/>
      </w:pPr>
      <w:r>
        <w:rPr>
          <w:b/>
        </w:rPr>
        <w:t>Artículo 89.- </w:t>
      </w:r>
      <w:r>
        <w:rPr/>
        <w:t>Para los efectos de la fracción II del artículo anterior, el Municipio reclamará o requerirá la     o las fianzas constituidas a su favor ante las instituciones afianzadoras que expidieron las pólizas de fianzas, salvo que la vigencia de la fianza haya</w:t>
      </w:r>
      <w:r>
        <w:rPr>
          <w:spacing w:val="11"/>
        </w:rPr>
        <w:t> </w:t>
      </w:r>
      <w:r>
        <w:rPr/>
        <w:t>vencido.</w:t>
      </w:r>
    </w:p>
    <w:p>
      <w:pPr>
        <w:pStyle w:val="BodyText"/>
        <w:spacing w:before="2"/>
      </w:pPr>
    </w:p>
    <w:p>
      <w:pPr>
        <w:pStyle w:val="BodyText"/>
        <w:spacing w:line="247" w:lineRule="auto" w:before="1"/>
        <w:ind w:left="151" w:right="506" w:firstLine="397"/>
        <w:jc w:val="both"/>
      </w:pPr>
      <w:r>
        <w:rPr>
          <w:b/>
        </w:rPr>
        <w:t>Artículo 90.- </w:t>
      </w:r>
      <w:r>
        <w:rPr/>
        <w:t>En los casos de que la reclamación o requerimiento del pago de la o las fianzas sean rechazados por cualquier motivo por la o las instituciones afianzadoras o el monto aceptado por la institución afianzadora resulta insuficiente para concluir, corregir o rehabilitar las obras de urbanización o  se  haya  otorgado</w:t>
      </w:r>
      <w:r>
        <w:rPr>
          <w:spacing w:val="15"/>
        </w:rPr>
        <w:t> </w:t>
      </w:r>
      <w:r>
        <w:rPr/>
        <w:t>la</w:t>
      </w:r>
      <w:r>
        <w:rPr>
          <w:spacing w:val="14"/>
        </w:rPr>
        <w:t> </w:t>
      </w:r>
      <w:r>
        <w:rPr/>
        <w:t>fianza</w:t>
      </w:r>
      <w:r>
        <w:rPr>
          <w:spacing w:val="15"/>
        </w:rPr>
        <w:t> </w:t>
      </w:r>
      <w:r>
        <w:rPr/>
        <w:t>por</w:t>
      </w:r>
      <w:r>
        <w:rPr>
          <w:spacing w:val="16"/>
        </w:rPr>
        <w:t> </w:t>
      </w:r>
      <w:r>
        <w:rPr/>
        <w:t>las</w:t>
      </w:r>
      <w:r>
        <w:rPr>
          <w:spacing w:val="15"/>
        </w:rPr>
        <w:t> </w:t>
      </w:r>
      <w:r>
        <w:rPr/>
        <w:t>obras</w:t>
      </w:r>
      <w:r>
        <w:rPr>
          <w:spacing w:val="15"/>
        </w:rPr>
        <w:t> </w:t>
      </w:r>
      <w:r>
        <w:rPr/>
        <w:t>de</w:t>
      </w:r>
      <w:r>
        <w:rPr>
          <w:spacing w:val="14"/>
        </w:rPr>
        <w:t> </w:t>
      </w:r>
      <w:r>
        <w:rPr/>
        <w:t>urbanización</w:t>
      </w:r>
      <w:r>
        <w:rPr>
          <w:spacing w:val="16"/>
        </w:rPr>
        <w:t> </w:t>
      </w:r>
      <w:r>
        <w:rPr/>
        <w:t>y</w:t>
      </w:r>
      <w:r>
        <w:rPr>
          <w:spacing w:val="14"/>
        </w:rPr>
        <w:t> </w:t>
      </w:r>
      <w:r>
        <w:rPr/>
        <w:t>la</w:t>
      </w:r>
      <w:r>
        <w:rPr>
          <w:spacing w:val="15"/>
        </w:rPr>
        <w:t> </w:t>
      </w:r>
      <w:r>
        <w:rPr/>
        <w:t>misma</w:t>
      </w:r>
      <w:r>
        <w:rPr>
          <w:spacing w:val="16"/>
        </w:rPr>
        <w:t> </w:t>
      </w:r>
      <w:r>
        <w:rPr/>
        <w:t>se</w:t>
      </w:r>
      <w:r>
        <w:rPr>
          <w:spacing w:val="18"/>
        </w:rPr>
        <w:t> </w:t>
      </w:r>
      <w:r>
        <w:rPr/>
        <w:t>encuentre</w:t>
      </w:r>
      <w:r>
        <w:rPr>
          <w:spacing w:val="16"/>
        </w:rPr>
        <w:t> </w:t>
      </w:r>
      <w:r>
        <w:rPr/>
        <w:t>vencida,</w:t>
      </w:r>
      <w:r>
        <w:rPr>
          <w:spacing w:val="15"/>
        </w:rPr>
        <w:t> </w:t>
      </w:r>
      <w:r>
        <w:rPr/>
        <w:t>la</w:t>
      </w:r>
      <w:r>
        <w:rPr>
          <w:spacing w:val="15"/>
        </w:rPr>
        <w:t> </w:t>
      </w:r>
      <w:r>
        <w:rPr/>
        <w:t>base</w:t>
      </w:r>
      <w:r>
        <w:rPr>
          <w:spacing w:val="16"/>
        </w:rPr>
        <w:t> </w:t>
      </w:r>
      <w:r>
        <w:rPr/>
        <w:t>para</w:t>
      </w:r>
      <w:r>
        <w:rPr>
          <w:spacing w:val="14"/>
        </w:rPr>
        <w:t> </w:t>
      </w:r>
      <w:r>
        <w:rPr/>
        <w:t>liquidar</w:t>
      </w:r>
      <w:r>
        <w:rPr>
          <w:spacing w:val="15"/>
        </w:rPr>
        <w:t> </w:t>
      </w:r>
      <w:r>
        <w:rPr/>
        <w:t>estos</w:t>
      </w:r>
    </w:p>
    <w:p>
      <w:pPr>
        <w:spacing w:after="0" w:line="247" w:lineRule="auto"/>
        <w:jc w:val="both"/>
        <w:sectPr>
          <w:type w:val="continuous"/>
          <w:pgSz w:w="23250" w:h="15310" w:orient="landscape"/>
          <w:pgMar w:top="0" w:bottom="0" w:left="1880" w:right="1520"/>
          <w:cols w:num="2" w:equalWidth="0">
            <w:col w:w="7751" w:space="3871"/>
            <w:col w:w="8228"/>
          </w:cols>
        </w:sectPr>
      </w:pPr>
    </w:p>
    <w:p>
      <w:pPr>
        <w:pStyle w:val="BodyText"/>
        <w:rPr>
          <w:sz w:val="20"/>
        </w:rPr>
      </w:pPr>
    </w:p>
    <w:p>
      <w:pPr>
        <w:pStyle w:val="BodyText"/>
        <w:spacing w:before="7"/>
        <w:rPr>
          <w:sz w:val="29"/>
        </w:rPr>
      </w:pPr>
    </w:p>
    <w:p>
      <w:pPr>
        <w:spacing w:after="0"/>
        <w:rPr>
          <w:sz w:val="29"/>
        </w:rPr>
        <w:sectPr>
          <w:headerReference w:type="default" r:id="rId74"/>
          <w:pgSz w:w="23250" w:h="15310" w:orient="landscape"/>
          <w:pgMar w:header="881" w:footer="499" w:top="1920" w:bottom="680" w:left="1880" w:right="1520"/>
        </w:sectPr>
      </w:pPr>
    </w:p>
    <w:p>
      <w:pPr>
        <w:pStyle w:val="BodyText"/>
        <w:spacing w:before="99"/>
        <w:ind w:left="151"/>
      </w:pPr>
      <w:r>
        <w:rPr/>
        <w:t>capitales se determinará conforme a lo siguiente:</w:t>
      </w:r>
    </w:p>
    <w:p>
      <w:pPr>
        <w:pStyle w:val="BodyText"/>
        <w:spacing w:before="9"/>
      </w:pPr>
    </w:p>
    <w:p>
      <w:pPr>
        <w:pStyle w:val="ListParagraph"/>
        <w:numPr>
          <w:ilvl w:val="0"/>
          <w:numId w:val="81"/>
        </w:numPr>
        <w:tabs>
          <w:tab w:pos="689" w:val="left" w:leader="none"/>
        </w:tabs>
        <w:spacing w:line="244" w:lineRule="auto" w:before="0" w:after="0"/>
        <w:ind w:left="151" w:right="39" w:firstLine="397"/>
        <w:jc w:val="both"/>
        <w:rPr>
          <w:sz w:val="15"/>
        </w:rPr>
      </w:pPr>
      <w:r>
        <w:rPr>
          <w:sz w:val="15"/>
        </w:rPr>
        <w:t>El </w:t>
      </w:r>
      <w:r>
        <w:rPr>
          <w:spacing w:val="-3"/>
          <w:sz w:val="15"/>
        </w:rPr>
        <w:t>Tesorero </w:t>
      </w:r>
      <w:r>
        <w:rPr>
          <w:sz w:val="15"/>
        </w:rPr>
        <w:t>Municipal fincará a cargo del titular de la licencia de urbanización el crédito fiscal por los capitales</w:t>
      </w:r>
      <w:r>
        <w:rPr>
          <w:spacing w:val="4"/>
          <w:sz w:val="15"/>
        </w:rPr>
        <w:t> </w:t>
      </w:r>
      <w:r>
        <w:rPr>
          <w:sz w:val="15"/>
        </w:rPr>
        <w:t>que</w:t>
      </w:r>
      <w:r>
        <w:rPr>
          <w:spacing w:val="4"/>
          <w:sz w:val="15"/>
        </w:rPr>
        <w:t> </w:t>
      </w:r>
      <w:r>
        <w:rPr>
          <w:sz w:val="15"/>
        </w:rPr>
        <w:t>el</w:t>
      </w:r>
      <w:r>
        <w:rPr>
          <w:spacing w:val="5"/>
          <w:sz w:val="15"/>
        </w:rPr>
        <w:t> </w:t>
      </w:r>
      <w:r>
        <w:rPr>
          <w:sz w:val="15"/>
        </w:rPr>
        <w:t>Municipio</w:t>
      </w:r>
      <w:r>
        <w:rPr>
          <w:spacing w:val="4"/>
          <w:sz w:val="15"/>
        </w:rPr>
        <w:t> </w:t>
      </w:r>
      <w:r>
        <w:rPr>
          <w:sz w:val="15"/>
        </w:rPr>
        <w:t>requiera</w:t>
      </w:r>
      <w:r>
        <w:rPr>
          <w:spacing w:val="5"/>
          <w:sz w:val="15"/>
        </w:rPr>
        <w:t> </w:t>
      </w:r>
      <w:r>
        <w:rPr>
          <w:sz w:val="15"/>
        </w:rPr>
        <w:t>para</w:t>
      </w:r>
      <w:r>
        <w:rPr>
          <w:spacing w:val="4"/>
          <w:sz w:val="15"/>
        </w:rPr>
        <w:t> </w:t>
      </w:r>
      <w:r>
        <w:rPr>
          <w:sz w:val="15"/>
        </w:rPr>
        <w:t>concluir,</w:t>
      </w:r>
      <w:r>
        <w:rPr>
          <w:spacing w:val="3"/>
          <w:sz w:val="15"/>
        </w:rPr>
        <w:t> </w:t>
      </w:r>
      <w:r>
        <w:rPr>
          <w:sz w:val="15"/>
        </w:rPr>
        <w:t>corregir</w:t>
      </w:r>
      <w:r>
        <w:rPr>
          <w:spacing w:val="5"/>
          <w:sz w:val="15"/>
        </w:rPr>
        <w:t> </w:t>
      </w:r>
      <w:r>
        <w:rPr>
          <w:sz w:val="15"/>
        </w:rPr>
        <w:t>o</w:t>
      </w:r>
      <w:r>
        <w:rPr>
          <w:spacing w:val="4"/>
          <w:sz w:val="15"/>
        </w:rPr>
        <w:t> </w:t>
      </w:r>
      <w:r>
        <w:rPr>
          <w:sz w:val="15"/>
        </w:rPr>
        <w:t>rehabilitar</w:t>
      </w:r>
      <w:r>
        <w:rPr>
          <w:spacing w:val="5"/>
          <w:sz w:val="15"/>
        </w:rPr>
        <w:t> </w:t>
      </w:r>
      <w:r>
        <w:rPr>
          <w:sz w:val="15"/>
        </w:rPr>
        <w:t>las</w:t>
      </w:r>
      <w:r>
        <w:rPr>
          <w:spacing w:val="4"/>
          <w:sz w:val="15"/>
        </w:rPr>
        <w:t> </w:t>
      </w:r>
      <w:r>
        <w:rPr>
          <w:sz w:val="15"/>
        </w:rPr>
        <w:t>obras</w:t>
      </w:r>
      <w:r>
        <w:rPr>
          <w:spacing w:val="4"/>
          <w:sz w:val="15"/>
        </w:rPr>
        <w:t> </w:t>
      </w:r>
      <w:r>
        <w:rPr>
          <w:sz w:val="15"/>
        </w:rPr>
        <w:t>de</w:t>
      </w:r>
      <w:r>
        <w:rPr>
          <w:spacing w:val="5"/>
          <w:sz w:val="15"/>
        </w:rPr>
        <w:t> </w:t>
      </w:r>
      <w:r>
        <w:rPr>
          <w:sz w:val="15"/>
        </w:rPr>
        <w:t>urbanización;</w:t>
      </w:r>
    </w:p>
    <w:p>
      <w:pPr>
        <w:pStyle w:val="BodyText"/>
        <w:spacing w:before="7"/>
      </w:pPr>
    </w:p>
    <w:p>
      <w:pPr>
        <w:pStyle w:val="ListParagraph"/>
        <w:numPr>
          <w:ilvl w:val="0"/>
          <w:numId w:val="81"/>
        </w:numPr>
        <w:tabs>
          <w:tab w:pos="736" w:val="left" w:leader="none"/>
        </w:tabs>
        <w:spacing w:line="247" w:lineRule="auto" w:before="0" w:after="0"/>
        <w:ind w:left="151" w:right="38" w:firstLine="397"/>
        <w:jc w:val="both"/>
        <w:rPr>
          <w:sz w:val="15"/>
        </w:rPr>
      </w:pPr>
      <w:r>
        <w:rPr>
          <w:sz w:val="15"/>
        </w:rPr>
        <w:t>Los capitales para las obras de urbanización rescatadas se  calcularán con base en los montos que    las dependencias de la administración pública municipal competentes cuantifiquen a partir del  proyecto  definitivo de urbanización por la Dirección General de Ordenamiento</w:t>
      </w:r>
      <w:r>
        <w:rPr>
          <w:spacing w:val="20"/>
          <w:sz w:val="15"/>
        </w:rPr>
        <w:t> </w:t>
      </w:r>
      <w:r>
        <w:rPr>
          <w:sz w:val="15"/>
        </w:rPr>
        <w:t>Territorial;</w:t>
      </w:r>
    </w:p>
    <w:p>
      <w:pPr>
        <w:pStyle w:val="BodyText"/>
        <w:spacing w:before="2"/>
      </w:pPr>
    </w:p>
    <w:p>
      <w:pPr>
        <w:pStyle w:val="ListParagraph"/>
        <w:numPr>
          <w:ilvl w:val="0"/>
          <w:numId w:val="81"/>
        </w:numPr>
        <w:tabs>
          <w:tab w:pos="790" w:val="left" w:leader="none"/>
        </w:tabs>
        <w:spacing w:line="247" w:lineRule="auto" w:before="0" w:after="0"/>
        <w:ind w:left="151" w:right="39" w:firstLine="397"/>
        <w:jc w:val="both"/>
        <w:rPr>
          <w:sz w:val="15"/>
        </w:rPr>
      </w:pPr>
      <w:r>
        <w:rPr>
          <w:sz w:val="15"/>
        </w:rPr>
        <w:t>Si el proyecto definitivo de urbanización se encuentra incompleto o contraviene las disposiciones vigentes al momento de su autorización en materia de desarrollo urbano, las Dirección General de  Ordenamiento Territorial completará o corregirá el proyecto definitivo de urbanización, y  los  gastos  y  honorarios</w:t>
      </w:r>
      <w:r>
        <w:rPr>
          <w:spacing w:val="8"/>
          <w:sz w:val="15"/>
        </w:rPr>
        <w:t> </w:t>
      </w:r>
      <w:r>
        <w:rPr>
          <w:sz w:val="15"/>
        </w:rPr>
        <w:t>por</w:t>
      </w:r>
      <w:r>
        <w:rPr>
          <w:spacing w:val="9"/>
          <w:sz w:val="15"/>
        </w:rPr>
        <w:t> </w:t>
      </w:r>
      <w:r>
        <w:rPr>
          <w:sz w:val="15"/>
        </w:rPr>
        <w:t>dichos</w:t>
      </w:r>
      <w:r>
        <w:rPr>
          <w:spacing w:val="8"/>
          <w:sz w:val="15"/>
        </w:rPr>
        <w:t> </w:t>
      </w:r>
      <w:r>
        <w:rPr>
          <w:sz w:val="15"/>
        </w:rPr>
        <w:t>trabajos</w:t>
      </w:r>
      <w:r>
        <w:rPr>
          <w:spacing w:val="8"/>
          <w:sz w:val="15"/>
        </w:rPr>
        <w:t> </w:t>
      </w:r>
      <w:r>
        <w:rPr>
          <w:sz w:val="15"/>
        </w:rPr>
        <w:t>serán</w:t>
      </w:r>
      <w:r>
        <w:rPr>
          <w:spacing w:val="8"/>
          <w:sz w:val="15"/>
        </w:rPr>
        <w:t> </w:t>
      </w:r>
      <w:r>
        <w:rPr>
          <w:sz w:val="15"/>
        </w:rPr>
        <w:t>integrados</w:t>
      </w:r>
      <w:r>
        <w:rPr>
          <w:spacing w:val="8"/>
          <w:sz w:val="15"/>
        </w:rPr>
        <w:t> </w:t>
      </w:r>
      <w:r>
        <w:rPr>
          <w:sz w:val="15"/>
        </w:rPr>
        <w:t>a</w:t>
      </w:r>
      <w:r>
        <w:rPr>
          <w:spacing w:val="8"/>
          <w:sz w:val="15"/>
        </w:rPr>
        <w:t> </w:t>
      </w:r>
      <w:r>
        <w:rPr>
          <w:sz w:val="15"/>
        </w:rPr>
        <w:t>los</w:t>
      </w:r>
      <w:r>
        <w:rPr>
          <w:spacing w:val="8"/>
          <w:sz w:val="15"/>
        </w:rPr>
        <w:t> </w:t>
      </w:r>
      <w:r>
        <w:rPr>
          <w:sz w:val="15"/>
        </w:rPr>
        <w:t>capitales</w:t>
      </w:r>
      <w:r>
        <w:rPr>
          <w:spacing w:val="14"/>
          <w:sz w:val="15"/>
        </w:rPr>
        <w:t> </w:t>
      </w:r>
      <w:r>
        <w:rPr>
          <w:sz w:val="15"/>
        </w:rPr>
        <w:t>para</w:t>
      </w:r>
      <w:r>
        <w:rPr>
          <w:spacing w:val="9"/>
          <w:sz w:val="15"/>
        </w:rPr>
        <w:t> </w:t>
      </w:r>
      <w:r>
        <w:rPr>
          <w:sz w:val="15"/>
        </w:rPr>
        <w:t>las</w:t>
      </w:r>
      <w:r>
        <w:rPr>
          <w:spacing w:val="8"/>
          <w:sz w:val="15"/>
        </w:rPr>
        <w:t> </w:t>
      </w:r>
      <w:r>
        <w:rPr>
          <w:sz w:val="15"/>
        </w:rPr>
        <w:t>obras</w:t>
      </w:r>
      <w:r>
        <w:rPr>
          <w:spacing w:val="9"/>
          <w:sz w:val="15"/>
        </w:rPr>
        <w:t> </w:t>
      </w:r>
      <w:r>
        <w:rPr>
          <w:sz w:val="15"/>
        </w:rPr>
        <w:t>de</w:t>
      </w:r>
      <w:r>
        <w:rPr>
          <w:spacing w:val="8"/>
          <w:sz w:val="15"/>
        </w:rPr>
        <w:t> </w:t>
      </w:r>
      <w:r>
        <w:rPr>
          <w:sz w:val="15"/>
        </w:rPr>
        <w:t>urbanización</w:t>
      </w:r>
      <w:r>
        <w:rPr>
          <w:spacing w:val="9"/>
          <w:sz w:val="15"/>
        </w:rPr>
        <w:t> </w:t>
      </w:r>
      <w:r>
        <w:rPr>
          <w:sz w:val="15"/>
        </w:rPr>
        <w:t>rescatadas;</w:t>
      </w:r>
      <w:r>
        <w:rPr>
          <w:spacing w:val="8"/>
          <w:sz w:val="15"/>
        </w:rPr>
        <w:t> </w:t>
      </w:r>
      <w:r>
        <w:rPr>
          <w:sz w:val="15"/>
        </w:rPr>
        <w:t>y</w:t>
      </w:r>
    </w:p>
    <w:p>
      <w:pPr>
        <w:pStyle w:val="BodyText"/>
        <w:spacing w:before="2"/>
      </w:pPr>
    </w:p>
    <w:p>
      <w:pPr>
        <w:pStyle w:val="ListParagraph"/>
        <w:numPr>
          <w:ilvl w:val="0"/>
          <w:numId w:val="81"/>
        </w:numPr>
        <w:tabs>
          <w:tab w:pos="792" w:val="left" w:leader="none"/>
        </w:tabs>
        <w:spacing w:line="247" w:lineRule="auto" w:before="0" w:after="0"/>
        <w:ind w:left="151" w:right="38" w:firstLine="397"/>
        <w:jc w:val="both"/>
        <w:rPr>
          <w:sz w:val="15"/>
        </w:rPr>
      </w:pPr>
      <w:r>
        <w:rPr>
          <w:sz w:val="15"/>
        </w:rPr>
        <w:t>Los gastos y honorarios que erogue el Municipio por la escrituración a su favor de las áreas de     cesión para destinos y la entrega formal de las obras de urbanización, se fincarán a cargo del titular de la  licencia</w:t>
      </w:r>
      <w:r>
        <w:rPr>
          <w:spacing w:val="7"/>
          <w:sz w:val="15"/>
        </w:rPr>
        <w:t> </w:t>
      </w:r>
      <w:r>
        <w:rPr>
          <w:sz w:val="15"/>
        </w:rPr>
        <w:t>de</w:t>
      </w:r>
      <w:r>
        <w:rPr>
          <w:spacing w:val="8"/>
          <w:sz w:val="15"/>
        </w:rPr>
        <w:t> </w:t>
      </w:r>
      <w:r>
        <w:rPr>
          <w:sz w:val="15"/>
        </w:rPr>
        <w:t>urbanización</w:t>
      </w:r>
      <w:r>
        <w:rPr>
          <w:spacing w:val="7"/>
          <w:sz w:val="15"/>
        </w:rPr>
        <w:t> </w:t>
      </w:r>
      <w:r>
        <w:rPr>
          <w:sz w:val="15"/>
        </w:rPr>
        <w:t>como</w:t>
      </w:r>
      <w:r>
        <w:rPr>
          <w:spacing w:val="8"/>
          <w:sz w:val="15"/>
        </w:rPr>
        <w:t> </w:t>
      </w:r>
      <w:r>
        <w:rPr>
          <w:sz w:val="15"/>
        </w:rPr>
        <w:t>capital</w:t>
      </w:r>
      <w:r>
        <w:rPr>
          <w:spacing w:val="7"/>
          <w:sz w:val="15"/>
        </w:rPr>
        <w:t> </w:t>
      </w:r>
      <w:r>
        <w:rPr>
          <w:sz w:val="15"/>
        </w:rPr>
        <w:t>complementario,</w:t>
      </w:r>
      <w:r>
        <w:rPr>
          <w:spacing w:val="8"/>
          <w:sz w:val="15"/>
        </w:rPr>
        <w:t> </w:t>
      </w:r>
      <w:r>
        <w:rPr>
          <w:sz w:val="15"/>
        </w:rPr>
        <w:t>en</w:t>
      </w:r>
      <w:r>
        <w:rPr>
          <w:spacing w:val="8"/>
          <w:sz w:val="15"/>
        </w:rPr>
        <w:t> </w:t>
      </w:r>
      <w:r>
        <w:rPr>
          <w:sz w:val="15"/>
        </w:rPr>
        <w:t>el</w:t>
      </w:r>
      <w:r>
        <w:rPr>
          <w:spacing w:val="7"/>
          <w:sz w:val="15"/>
        </w:rPr>
        <w:t> </w:t>
      </w:r>
      <w:r>
        <w:rPr>
          <w:sz w:val="15"/>
        </w:rPr>
        <w:t>momento</w:t>
      </w:r>
      <w:r>
        <w:rPr>
          <w:spacing w:val="7"/>
          <w:sz w:val="15"/>
        </w:rPr>
        <w:t> </w:t>
      </w:r>
      <w:r>
        <w:rPr>
          <w:sz w:val="15"/>
        </w:rPr>
        <w:t>de</w:t>
      </w:r>
      <w:r>
        <w:rPr>
          <w:spacing w:val="9"/>
          <w:sz w:val="15"/>
        </w:rPr>
        <w:t> </w:t>
      </w:r>
      <w:r>
        <w:rPr>
          <w:sz w:val="15"/>
        </w:rPr>
        <w:t>que</w:t>
      </w:r>
      <w:r>
        <w:rPr>
          <w:spacing w:val="8"/>
          <w:sz w:val="15"/>
        </w:rPr>
        <w:t> </w:t>
      </w:r>
      <w:r>
        <w:rPr>
          <w:sz w:val="15"/>
        </w:rPr>
        <w:t>se</w:t>
      </w:r>
      <w:r>
        <w:rPr>
          <w:spacing w:val="8"/>
          <w:sz w:val="15"/>
        </w:rPr>
        <w:t> </w:t>
      </w:r>
      <w:r>
        <w:rPr>
          <w:sz w:val="15"/>
        </w:rPr>
        <w:t>genere</w:t>
      </w:r>
      <w:r>
        <w:rPr>
          <w:spacing w:val="8"/>
          <w:sz w:val="15"/>
        </w:rPr>
        <w:t> </w:t>
      </w:r>
      <w:r>
        <w:rPr>
          <w:sz w:val="15"/>
        </w:rPr>
        <w:t>dicha</w:t>
      </w:r>
      <w:r>
        <w:rPr>
          <w:spacing w:val="7"/>
          <w:sz w:val="15"/>
        </w:rPr>
        <w:t> </w:t>
      </w:r>
      <w:r>
        <w:rPr>
          <w:sz w:val="15"/>
        </w:rPr>
        <w:t>obligación.</w:t>
      </w:r>
    </w:p>
    <w:p>
      <w:pPr>
        <w:pStyle w:val="BodyText"/>
        <w:spacing w:before="4"/>
      </w:pPr>
    </w:p>
    <w:p>
      <w:pPr>
        <w:pStyle w:val="BodyText"/>
        <w:spacing w:line="247" w:lineRule="auto"/>
        <w:ind w:left="151" w:right="39" w:firstLine="397"/>
        <w:jc w:val="both"/>
      </w:pPr>
      <w:r>
        <w:rPr/>
        <w:t>Para los efectos de la fracción II del presente artículo, las dependencias de la administración pública municipal podrán auxiliarse de la Dirección General de Obras Públicas, particularmente, para establecer el catálogo de conceptos, volúmenes de obra, ajustes de costos y demás gastos directos o indirectos que se generen para concluir, corregir o rehabilitar las obras de urbanización rescatadas.</w:t>
      </w:r>
    </w:p>
    <w:p>
      <w:pPr>
        <w:pStyle w:val="BodyText"/>
        <w:spacing w:before="3"/>
      </w:pPr>
    </w:p>
    <w:p>
      <w:pPr>
        <w:pStyle w:val="Heading4"/>
        <w:ind w:left="299" w:right="181"/>
      </w:pPr>
      <w:r>
        <w:rPr/>
        <w:t>SECCIÓN SEXTA</w:t>
      </w:r>
    </w:p>
    <w:p>
      <w:pPr>
        <w:spacing w:before="5"/>
        <w:ind w:left="297" w:right="185" w:firstLine="0"/>
        <w:jc w:val="center"/>
        <w:rPr>
          <w:b/>
          <w:sz w:val="15"/>
        </w:rPr>
      </w:pPr>
      <w:r>
        <w:rPr>
          <w:b/>
          <w:sz w:val="15"/>
        </w:rPr>
        <w:t>De los Permisos de Giros</w:t>
      </w:r>
    </w:p>
    <w:p>
      <w:pPr>
        <w:pStyle w:val="BodyText"/>
        <w:spacing w:before="7"/>
        <w:rPr>
          <w:b/>
        </w:rPr>
      </w:pPr>
    </w:p>
    <w:p>
      <w:pPr>
        <w:pStyle w:val="BodyText"/>
        <w:spacing w:line="247" w:lineRule="auto" w:before="1"/>
        <w:ind w:left="151" w:right="38" w:firstLine="397"/>
        <w:jc w:val="both"/>
      </w:pPr>
      <w:r>
        <w:rPr>
          <w:b/>
        </w:rPr>
        <w:t>Artículo 91.- </w:t>
      </w:r>
      <w:r>
        <w:rPr/>
        <w:t>Las personas físicas o jurídicas que realicen actividades comerciales o de prestación de servicios cuyos giros sean la venta o consumo de bebidas alcohólicas y que requieran de permiso para operar hasta por 30 días naturales, según el giro, deberán obtener previamente el permiso respectivo y, pagar los derechos que se señalan conforme a lo siguiente:</w:t>
      </w:r>
    </w:p>
    <w:p>
      <w:pPr>
        <w:pStyle w:val="BodyText"/>
        <w:spacing w:before="2"/>
      </w:pPr>
    </w:p>
    <w:p>
      <w:pPr>
        <w:pStyle w:val="ListParagraph"/>
        <w:numPr>
          <w:ilvl w:val="0"/>
          <w:numId w:val="82"/>
        </w:numPr>
        <w:tabs>
          <w:tab w:pos="690" w:val="left" w:leader="none"/>
        </w:tabs>
        <w:spacing w:line="247" w:lineRule="auto" w:before="0" w:after="0"/>
        <w:ind w:left="151" w:right="40" w:firstLine="397"/>
        <w:jc w:val="both"/>
        <w:rPr>
          <w:sz w:val="15"/>
        </w:rPr>
      </w:pPr>
      <w:r>
        <w:rPr>
          <w:sz w:val="15"/>
        </w:rPr>
        <w:t>Bailes, conciertos, tardeadas, música en vivo, en bares, restaurantes, casinos, auditorios, centros de espectáculos y similares, en forma eventual, con venta o consumo de bebidas alcohólicas de alta y baja graduación, pagarán por evento, excluyendo las actividades de beneficio social, independientemente del pago correspondiente a lo dispuesto en el artículo 50 de la presente</w:t>
      </w:r>
      <w:r>
        <w:rPr>
          <w:spacing w:val="23"/>
          <w:sz w:val="15"/>
        </w:rPr>
        <w:t> </w:t>
      </w:r>
      <w:r>
        <w:rPr>
          <w:sz w:val="15"/>
        </w:rPr>
        <w:t>Ley:</w:t>
      </w:r>
    </w:p>
    <w:p>
      <w:pPr>
        <w:pStyle w:val="BodyText"/>
        <w:spacing w:before="2"/>
      </w:pPr>
    </w:p>
    <w:p>
      <w:pPr>
        <w:pStyle w:val="BodyText"/>
        <w:ind w:right="1618"/>
        <w:jc w:val="right"/>
      </w:pPr>
      <w:r>
        <w:rPr/>
        <w:t>TARIFAS</w:t>
      </w:r>
    </w:p>
    <w:p>
      <w:pPr>
        <w:pStyle w:val="ListParagraph"/>
        <w:numPr>
          <w:ilvl w:val="0"/>
          <w:numId w:val="83"/>
        </w:numPr>
        <w:tabs>
          <w:tab w:pos="411" w:val="left" w:leader="none"/>
        </w:tabs>
        <w:spacing w:line="247" w:lineRule="auto" w:before="5" w:after="0"/>
        <w:ind w:left="226" w:right="2241" w:firstLine="0"/>
        <w:jc w:val="left"/>
        <w:rPr>
          <w:sz w:val="15"/>
        </w:rPr>
      </w:pPr>
      <w:r>
        <w:rPr>
          <w:sz w:val="15"/>
        </w:rPr>
        <w:t>Eventos atendiendo al aforo del lugar donde se lleve a cabo el evento con venta de bebidas de alta graduación</w:t>
      </w:r>
      <w:r>
        <w:rPr>
          <w:spacing w:val="10"/>
          <w:sz w:val="15"/>
        </w:rPr>
        <w:t> </w:t>
      </w:r>
      <w:r>
        <w:rPr>
          <w:sz w:val="15"/>
        </w:rPr>
        <w:t>de:</w:t>
      </w:r>
    </w:p>
    <w:p>
      <w:pPr>
        <w:pStyle w:val="BodyText"/>
        <w:spacing w:before="3"/>
      </w:pPr>
    </w:p>
    <w:p>
      <w:pPr>
        <w:pStyle w:val="BodyText"/>
        <w:tabs>
          <w:tab w:pos="4823" w:val="left" w:leader="none"/>
        </w:tabs>
        <w:spacing w:before="1"/>
        <w:ind w:left="647"/>
      </w:pPr>
      <w:r>
        <w:rPr/>
        <w:t>1. de 1 a</w:t>
      </w:r>
      <w:r>
        <w:rPr>
          <w:spacing w:val="22"/>
        </w:rPr>
        <w:t> </w:t>
      </w:r>
      <w:r>
        <w:rPr/>
        <w:t>500</w:t>
      </w:r>
      <w:r>
        <w:rPr>
          <w:spacing w:val="6"/>
        </w:rPr>
        <w:t> </w:t>
      </w:r>
      <w:r>
        <w:rPr/>
        <w:t>personas:</w:t>
        <w:tab/>
        <w:t>$6,275.00</w:t>
      </w:r>
    </w:p>
    <w:p>
      <w:pPr>
        <w:pStyle w:val="BodyText"/>
        <w:spacing w:before="8"/>
      </w:pPr>
    </w:p>
    <w:p>
      <w:pPr>
        <w:pStyle w:val="BodyText"/>
        <w:tabs>
          <w:tab w:pos="4737" w:val="left" w:leader="none"/>
        </w:tabs>
        <w:ind w:left="647"/>
      </w:pPr>
      <w:r>
        <w:rPr/>
        <w:t>2. de 501 a</w:t>
      </w:r>
      <w:r>
        <w:rPr>
          <w:spacing w:val="25"/>
        </w:rPr>
        <w:t> </w:t>
      </w:r>
      <w:r>
        <w:rPr/>
        <w:t>1000</w:t>
      </w:r>
      <w:r>
        <w:rPr>
          <w:spacing w:val="6"/>
        </w:rPr>
        <w:t> </w:t>
      </w:r>
      <w:r>
        <w:rPr/>
        <w:t>personas:</w:t>
        <w:tab/>
        <w:t>$13,178.00</w:t>
      </w:r>
    </w:p>
    <w:p>
      <w:pPr>
        <w:pStyle w:val="BodyText"/>
        <w:spacing w:before="10"/>
      </w:pPr>
    </w:p>
    <w:p>
      <w:pPr>
        <w:pStyle w:val="BodyText"/>
        <w:tabs>
          <w:tab w:pos="4737" w:val="left" w:leader="none"/>
        </w:tabs>
        <w:ind w:left="647"/>
      </w:pPr>
      <w:r>
        <w:rPr/>
        <w:t>3. de 1,001 a</w:t>
      </w:r>
      <w:r>
        <w:rPr>
          <w:spacing w:val="28"/>
        </w:rPr>
        <w:t> </w:t>
      </w:r>
      <w:r>
        <w:rPr/>
        <w:t>1,500</w:t>
      </w:r>
      <w:r>
        <w:rPr>
          <w:spacing w:val="7"/>
        </w:rPr>
        <w:t> </w:t>
      </w:r>
      <w:r>
        <w:rPr/>
        <w:t>personas:</w:t>
        <w:tab/>
        <w:t>$18,666.00</w:t>
      </w:r>
    </w:p>
    <w:p>
      <w:pPr>
        <w:pStyle w:val="BodyText"/>
        <w:spacing w:before="9"/>
      </w:pPr>
    </w:p>
    <w:p>
      <w:pPr>
        <w:pStyle w:val="BodyText"/>
        <w:tabs>
          <w:tab w:pos="4737" w:val="left" w:leader="none"/>
        </w:tabs>
        <w:ind w:left="647"/>
      </w:pPr>
      <w:r>
        <w:rPr/>
        <w:t>4. de 1,501 a</w:t>
      </w:r>
      <w:r>
        <w:rPr>
          <w:spacing w:val="28"/>
        </w:rPr>
        <w:t> </w:t>
      </w:r>
      <w:r>
        <w:rPr/>
        <w:t>2,000</w:t>
      </w:r>
      <w:r>
        <w:rPr>
          <w:spacing w:val="7"/>
        </w:rPr>
        <w:t> </w:t>
      </w:r>
      <w:r>
        <w:rPr/>
        <w:t>personas:</w:t>
        <w:tab/>
        <w:t>$24,155.00</w:t>
      </w:r>
    </w:p>
    <w:p>
      <w:pPr>
        <w:pStyle w:val="BodyText"/>
        <w:spacing w:before="9"/>
      </w:pPr>
    </w:p>
    <w:p>
      <w:pPr>
        <w:pStyle w:val="BodyText"/>
        <w:tabs>
          <w:tab w:pos="4737" w:val="left" w:leader="none"/>
        </w:tabs>
        <w:ind w:left="647"/>
      </w:pPr>
      <w:r>
        <w:rPr/>
        <w:t>5. de 2,001 a</w:t>
      </w:r>
      <w:r>
        <w:rPr>
          <w:spacing w:val="28"/>
        </w:rPr>
        <w:t> </w:t>
      </w:r>
      <w:r>
        <w:rPr/>
        <w:t>2,500</w:t>
      </w:r>
      <w:r>
        <w:rPr>
          <w:spacing w:val="7"/>
        </w:rPr>
        <w:t> </w:t>
      </w:r>
      <w:r>
        <w:rPr/>
        <w:t>personas:</w:t>
        <w:tab/>
        <w:t>$29,648.00</w:t>
      </w:r>
    </w:p>
    <w:p>
      <w:pPr>
        <w:pStyle w:val="BodyText"/>
        <w:spacing w:before="9"/>
      </w:pPr>
    </w:p>
    <w:p>
      <w:pPr>
        <w:pStyle w:val="BodyText"/>
        <w:tabs>
          <w:tab w:pos="4736" w:val="left" w:leader="none"/>
        </w:tabs>
        <w:spacing w:before="1"/>
        <w:ind w:left="647"/>
      </w:pPr>
      <w:r>
        <w:rPr/>
        <w:t>6. de 2501 personas</w:t>
      </w:r>
      <w:r>
        <w:rPr>
          <w:spacing w:val="32"/>
        </w:rPr>
        <w:t> </w:t>
      </w:r>
      <w:r>
        <w:rPr/>
        <w:t>en</w:t>
      </w:r>
      <w:r>
        <w:rPr>
          <w:spacing w:val="7"/>
        </w:rPr>
        <w:t> </w:t>
      </w:r>
      <w:r>
        <w:rPr/>
        <w:t>adelante:</w:t>
        <w:tab/>
        <w:t>$31,623.00</w:t>
      </w:r>
    </w:p>
    <w:p>
      <w:pPr>
        <w:pStyle w:val="BodyText"/>
        <w:spacing w:before="8"/>
      </w:pPr>
    </w:p>
    <w:p>
      <w:pPr>
        <w:pStyle w:val="ListParagraph"/>
        <w:numPr>
          <w:ilvl w:val="0"/>
          <w:numId w:val="83"/>
        </w:numPr>
        <w:tabs>
          <w:tab w:pos="407" w:val="left" w:leader="none"/>
        </w:tabs>
        <w:spacing w:line="240" w:lineRule="auto" w:before="0" w:after="0"/>
        <w:ind w:left="406" w:right="0" w:hanging="181"/>
        <w:jc w:val="left"/>
        <w:rPr>
          <w:sz w:val="15"/>
        </w:rPr>
      </w:pPr>
      <w:r>
        <w:rPr>
          <w:sz w:val="15"/>
        </w:rPr>
        <w:t>Bebidas alcohólicas de baja graduación,</w:t>
      </w:r>
      <w:r>
        <w:rPr>
          <w:spacing w:val="6"/>
          <w:sz w:val="15"/>
        </w:rPr>
        <w:t> </w:t>
      </w:r>
      <w:r>
        <w:rPr>
          <w:sz w:val="15"/>
        </w:rPr>
        <w:t>de:</w:t>
      </w:r>
    </w:p>
    <w:p>
      <w:pPr>
        <w:pStyle w:val="BodyText"/>
        <w:spacing w:before="9"/>
      </w:pPr>
    </w:p>
    <w:p>
      <w:pPr>
        <w:pStyle w:val="BodyText"/>
        <w:tabs>
          <w:tab w:pos="4822" w:val="left" w:leader="none"/>
        </w:tabs>
        <w:spacing w:before="1"/>
        <w:ind w:left="647"/>
      </w:pPr>
      <w:r>
        <w:rPr/>
        <w:t>1.- De 1 a</w:t>
      </w:r>
      <w:r>
        <w:rPr>
          <w:spacing w:val="24"/>
        </w:rPr>
        <w:t> </w:t>
      </w:r>
      <w:r>
        <w:rPr/>
        <w:t>250</w:t>
      </w:r>
      <w:r>
        <w:rPr>
          <w:spacing w:val="6"/>
        </w:rPr>
        <w:t> </w:t>
      </w:r>
      <w:r>
        <w:rPr/>
        <w:t>personas:</w:t>
        <w:tab/>
        <w:t>$3,077.00</w:t>
      </w:r>
    </w:p>
    <w:p>
      <w:pPr>
        <w:pStyle w:val="BodyText"/>
        <w:tabs>
          <w:tab w:pos="4175" w:val="left" w:leader="none"/>
        </w:tabs>
        <w:spacing w:before="98"/>
        <w:ind w:right="2711"/>
        <w:jc w:val="right"/>
      </w:pPr>
      <w:r>
        <w:rPr/>
        <w:br w:type="column"/>
      </w:r>
      <w:r>
        <w:rPr/>
        <w:t>2.- De 251 a</w:t>
      </w:r>
      <w:r>
        <w:rPr>
          <w:spacing w:val="26"/>
        </w:rPr>
        <w:t> </w:t>
      </w:r>
      <w:r>
        <w:rPr/>
        <w:t>500</w:t>
      </w:r>
      <w:r>
        <w:rPr>
          <w:spacing w:val="6"/>
        </w:rPr>
        <w:t> </w:t>
      </w:r>
      <w:r>
        <w:rPr/>
        <w:t>personas:</w:t>
        <w:tab/>
        <w:t>$6,152.00</w:t>
      </w:r>
    </w:p>
    <w:p>
      <w:pPr>
        <w:pStyle w:val="BodyText"/>
        <w:spacing w:before="10"/>
      </w:pPr>
    </w:p>
    <w:p>
      <w:pPr>
        <w:pStyle w:val="BodyText"/>
        <w:tabs>
          <w:tab w:pos="4174" w:val="left" w:leader="none"/>
        </w:tabs>
        <w:ind w:right="2712"/>
        <w:jc w:val="right"/>
      </w:pPr>
      <w:r>
        <w:rPr/>
        <w:t>3.- De 501 a</w:t>
      </w:r>
      <w:r>
        <w:rPr>
          <w:spacing w:val="27"/>
        </w:rPr>
        <w:t> </w:t>
      </w:r>
      <w:r>
        <w:rPr/>
        <w:t>1000</w:t>
      </w:r>
      <w:r>
        <w:rPr>
          <w:spacing w:val="7"/>
        </w:rPr>
        <w:t> </w:t>
      </w:r>
      <w:r>
        <w:rPr/>
        <w:t>personas:</w:t>
        <w:tab/>
        <w:t>$8,782.00</w:t>
      </w:r>
    </w:p>
    <w:p>
      <w:pPr>
        <w:pStyle w:val="BodyText"/>
        <w:spacing w:before="9"/>
      </w:pPr>
    </w:p>
    <w:p>
      <w:pPr>
        <w:pStyle w:val="BodyText"/>
        <w:tabs>
          <w:tab w:pos="4089" w:val="left" w:leader="none"/>
        </w:tabs>
        <w:ind w:right="2712"/>
        <w:jc w:val="right"/>
      </w:pPr>
      <w:r>
        <w:rPr/>
        <w:t>4.- De 1,001 a</w:t>
      </w:r>
      <w:r>
        <w:rPr>
          <w:spacing w:val="29"/>
        </w:rPr>
        <w:t> </w:t>
      </w:r>
      <w:r>
        <w:rPr/>
        <w:t>1,500</w:t>
      </w:r>
      <w:r>
        <w:rPr>
          <w:spacing w:val="8"/>
        </w:rPr>
        <w:t> </w:t>
      </w:r>
      <w:r>
        <w:rPr/>
        <w:t>personas:</w:t>
        <w:tab/>
      </w:r>
      <w:r>
        <w:rPr>
          <w:spacing w:val="-1"/>
        </w:rPr>
        <w:t>$13,161.00</w:t>
      </w:r>
    </w:p>
    <w:p>
      <w:pPr>
        <w:pStyle w:val="BodyText"/>
        <w:spacing w:before="9"/>
      </w:pPr>
    </w:p>
    <w:p>
      <w:pPr>
        <w:pStyle w:val="BodyText"/>
        <w:tabs>
          <w:tab w:pos="4089" w:val="left" w:leader="none"/>
        </w:tabs>
        <w:ind w:right="2712"/>
        <w:jc w:val="right"/>
      </w:pPr>
      <w:r>
        <w:rPr/>
        <w:t>5.- De 1,501 a</w:t>
      </w:r>
      <w:r>
        <w:rPr>
          <w:spacing w:val="29"/>
        </w:rPr>
        <w:t> </w:t>
      </w:r>
      <w:r>
        <w:rPr/>
        <w:t>2,000</w:t>
      </w:r>
      <w:r>
        <w:rPr>
          <w:spacing w:val="8"/>
        </w:rPr>
        <w:t> </w:t>
      </w:r>
      <w:r>
        <w:rPr/>
        <w:t>personas:</w:t>
        <w:tab/>
      </w:r>
      <w:r>
        <w:rPr>
          <w:spacing w:val="-1"/>
        </w:rPr>
        <w:t>$17,542.00</w:t>
      </w:r>
    </w:p>
    <w:p>
      <w:pPr>
        <w:pStyle w:val="BodyText"/>
        <w:spacing w:before="10"/>
      </w:pPr>
    </w:p>
    <w:p>
      <w:pPr>
        <w:pStyle w:val="BodyText"/>
        <w:tabs>
          <w:tab w:pos="4089" w:val="left" w:leader="none"/>
        </w:tabs>
        <w:ind w:right="2712"/>
        <w:jc w:val="right"/>
      </w:pPr>
      <w:r>
        <w:rPr/>
        <w:t>6.- De 2,001 a</w:t>
      </w:r>
      <w:r>
        <w:rPr>
          <w:spacing w:val="29"/>
        </w:rPr>
        <w:t> </w:t>
      </w:r>
      <w:r>
        <w:rPr/>
        <w:t>2,500</w:t>
      </w:r>
      <w:r>
        <w:rPr>
          <w:spacing w:val="8"/>
        </w:rPr>
        <w:t> </w:t>
      </w:r>
      <w:r>
        <w:rPr/>
        <w:t>personas:</w:t>
        <w:tab/>
      </w:r>
      <w:r>
        <w:rPr>
          <w:spacing w:val="-1"/>
        </w:rPr>
        <w:t>$22,334.00</w:t>
      </w:r>
    </w:p>
    <w:p>
      <w:pPr>
        <w:pStyle w:val="BodyText"/>
        <w:spacing w:before="8"/>
      </w:pPr>
    </w:p>
    <w:p>
      <w:pPr>
        <w:pStyle w:val="BodyText"/>
        <w:tabs>
          <w:tab w:pos="4089" w:val="left" w:leader="none"/>
        </w:tabs>
        <w:ind w:right="2712"/>
        <w:jc w:val="right"/>
      </w:pPr>
      <w:r>
        <w:rPr/>
        <w:t>7.- De 2501 personas</w:t>
      </w:r>
      <w:r>
        <w:rPr>
          <w:spacing w:val="33"/>
        </w:rPr>
        <w:t> </w:t>
      </w:r>
      <w:r>
        <w:rPr/>
        <w:t>en</w:t>
      </w:r>
      <w:r>
        <w:rPr>
          <w:spacing w:val="8"/>
        </w:rPr>
        <w:t> </w:t>
      </w:r>
      <w:r>
        <w:rPr/>
        <w:t>adelante:</w:t>
        <w:tab/>
      </w:r>
      <w:r>
        <w:rPr>
          <w:spacing w:val="-1"/>
        </w:rPr>
        <w:t>$25,087.00</w:t>
      </w:r>
    </w:p>
    <w:p>
      <w:pPr>
        <w:pStyle w:val="BodyText"/>
        <w:spacing w:before="10"/>
      </w:pPr>
    </w:p>
    <w:p>
      <w:pPr>
        <w:pStyle w:val="ListParagraph"/>
        <w:numPr>
          <w:ilvl w:val="0"/>
          <w:numId w:val="82"/>
        </w:numPr>
        <w:tabs>
          <w:tab w:pos="774" w:val="left" w:leader="none"/>
        </w:tabs>
        <w:spacing w:line="247" w:lineRule="auto" w:before="0" w:after="0"/>
        <w:ind w:left="151" w:right="510" w:firstLine="397"/>
        <w:jc w:val="both"/>
        <w:rPr>
          <w:sz w:val="15"/>
        </w:rPr>
      </w:pPr>
      <w:r>
        <w:rPr>
          <w:sz w:val="15"/>
        </w:rPr>
        <w:t>Tertulias, ferias, kermeses, cualquier otro espectáculo o diversión pública, centros deportivos,  culturales y de recreo y similares, así como en la vía pública, en forma eventual, con venta o consumo de bebidas alcohólicas de alta y baja graduación, pagarán por evento, excluyendo las actividades de beneficio social,</w:t>
      </w:r>
      <w:r>
        <w:rPr>
          <w:spacing w:val="5"/>
          <w:sz w:val="15"/>
        </w:rPr>
        <w:t> </w:t>
      </w:r>
      <w:r>
        <w:rPr>
          <w:sz w:val="15"/>
        </w:rPr>
        <w:t>independientemente</w:t>
      </w:r>
      <w:r>
        <w:rPr>
          <w:spacing w:val="7"/>
          <w:sz w:val="15"/>
        </w:rPr>
        <w:t> </w:t>
      </w:r>
      <w:r>
        <w:rPr>
          <w:sz w:val="15"/>
        </w:rPr>
        <w:t>del</w:t>
      </w:r>
      <w:r>
        <w:rPr>
          <w:spacing w:val="8"/>
          <w:sz w:val="15"/>
        </w:rPr>
        <w:t> </w:t>
      </w:r>
      <w:r>
        <w:rPr>
          <w:sz w:val="15"/>
        </w:rPr>
        <w:t>pago</w:t>
      </w:r>
      <w:r>
        <w:rPr>
          <w:spacing w:val="7"/>
          <w:sz w:val="15"/>
        </w:rPr>
        <w:t> </w:t>
      </w:r>
      <w:r>
        <w:rPr>
          <w:sz w:val="15"/>
        </w:rPr>
        <w:t>correspondiente</w:t>
      </w:r>
      <w:r>
        <w:rPr>
          <w:spacing w:val="7"/>
          <w:sz w:val="15"/>
        </w:rPr>
        <w:t> </w:t>
      </w:r>
      <w:r>
        <w:rPr>
          <w:sz w:val="15"/>
        </w:rPr>
        <w:t>a</w:t>
      </w:r>
      <w:r>
        <w:rPr>
          <w:spacing w:val="7"/>
          <w:sz w:val="15"/>
        </w:rPr>
        <w:t> </w:t>
      </w:r>
      <w:r>
        <w:rPr>
          <w:sz w:val="15"/>
        </w:rPr>
        <w:t>lo</w:t>
      </w:r>
      <w:r>
        <w:rPr>
          <w:spacing w:val="7"/>
          <w:sz w:val="15"/>
        </w:rPr>
        <w:t> </w:t>
      </w:r>
      <w:r>
        <w:rPr>
          <w:sz w:val="15"/>
        </w:rPr>
        <w:t>dispuesto</w:t>
      </w:r>
      <w:r>
        <w:rPr>
          <w:spacing w:val="7"/>
          <w:sz w:val="15"/>
        </w:rPr>
        <w:t> </w:t>
      </w:r>
      <w:r>
        <w:rPr>
          <w:sz w:val="15"/>
        </w:rPr>
        <w:t>en</w:t>
      </w:r>
      <w:r>
        <w:rPr>
          <w:spacing w:val="7"/>
          <w:sz w:val="15"/>
        </w:rPr>
        <w:t> </w:t>
      </w:r>
      <w:r>
        <w:rPr>
          <w:sz w:val="15"/>
        </w:rPr>
        <w:t>el</w:t>
      </w:r>
      <w:r>
        <w:rPr>
          <w:spacing w:val="7"/>
          <w:sz w:val="15"/>
        </w:rPr>
        <w:t> </w:t>
      </w:r>
      <w:r>
        <w:rPr>
          <w:sz w:val="15"/>
        </w:rPr>
        <w:t>artículo</w:t>
      </w:r>
      <w:r>
        <w:rPr>
          <w:spacing w:val="7"/>
          <w:sz w:val="15"/>
        </w:rPr>
        <w:t> </w:t>
      </w:r>
      <w:r>
        <w:rPr>
          <w:sz w:val="15"/>
        </w:rPr>
        <w:t>65</w:t>
      </w:r>
      <w:r>
        <w:rPr>
          <w:spacing w:val="6"/>
          <w:sz w:val="15"/>
        </w:rPr>
        <w:t> </w:t>
      </w:r>
      <w:r>
        <w:rPr>
          <w:sz w:val="15"/>
        </w:rPr>
        <w:t>de</w:t>
      </w:r>
      <w:r>
        <w:rPr>
          <w:spacing w:val="7"/>
          <w:sz w:val="15"/>
        </w:rPr>
        <w:t> </w:t>
      </w:r>
      <w:r>
        <w:rPr>
          <w:sz w:val="15"/>
        </w:rPr>
        <w:t>la</w:t>
      </w:r>
      <w:r>
        <w:rPr>
          <w:spacing w:val="7"/>
          <w:sz w:val="15"/>
        </w:rPr>
        <w:t> </w:t>
      </w:r>
      <w:r>
        <w:rPr>
          <w:sz w:val="15"/>
        </w:rPr>
        <w:t>presente</w:t>
      </w:r>
      <w:r>
        <w:rPr>
          <w:spacing w:val="7"/>
          <w:sz w:val="15"/>
        </w:rPr>
        <w:t> </w:t>
      </w:r>
      <w:r>
        <w:rPr>
          <w:sz w:val="15"/>
        </w:rPr>
        <w:t>Ley:</w:t>
      </w:r>
    </w:p>
    <w:p>
      <w:pPr>
        <w:pStyle w:val="BodyText"/>
        <w:spacing w:before="2"/>
      </w:pPr>
    </w:p>
    <w:p>
      <w:pPr>
        <w:pStyle w:val="BodyText"/>
        <w:ind w:right="2004"/>
        <w:jc w:val="right"/>
      </w:pPr>
      <w:r>
        <w:rPr/>
        <w:t>TARIFAS</w:t>
      </w:r>
    </w:p>
    <w:p>
      <w:pPr>
        <w:pStyle w:val="BodyText"/>
        <w:spacing w:before="8"/>
      </w:pPr>
    </w:p>
    <w:p>
      <w:pPr>
        <w:pStyle w:val="ListParagraph"/>
        <w:numPr>
          <w:ilvl w:val="1"/>
          <w:numId w:val="82"/>
        </w:numPr>
        <w:tabs>
          <w:tab w:pos="180" w:val="left" w:leader="none"/>
          <w:tab w:pos="4044" w:val="left" w:leader="none"/>
        </w:tabs>
        <w:spacing w:line="240" w:lineRule="auto" w:before="1" w:after="0"/>
        <w:ind w:left="827" w:right="2712" w:hanging="828"/>
        <w:jc w:val="right"/>
        <w:rPr>
          <w:sz w:val="15"/>
        </w:rPr>
      </w:pPr>
      <w:r>
        <w:rPr>
          <w:sz w:val="15"/>
        </w:rPr>
        <w:t>Bebidas alcohólicas de alta</w:t>
      </w:r>
      <w:r>
        <w:rPr>
          <w:spacing w:val="38"/>
          <w:sz w:val="15"/>
        </w:rPr>
        <w:t> </w:t>
      </w:r>
      <w:r>
        <w:rPr>
          <w:sz w:val="15"/>
        </w:rPr>
        <w:t>graduación,</w:t>
      </w:r>
      <w:r>
        <w:rPr>
          <w:spacing w:val="10"/>
          <w:sz w:val="15"/>
        </w:rPr>
        <w:t> </w:t>
      </w:r>
      <w:r>
        <w:rPr>
          <w:sz w:val="15"/>
        </w:rPr>
        <w:t>de:</w:t>
        <w:tab/>
        <w:t>$5,490.00</w:t>
      </w:r>
      <w:r>
        <w:rPr>
          <w:spacing w:val="21"/>
          <w:sz w:val="15"/>
        </w:rPr>
        <w:t> </w:t>
      </w:r>
      <w:r>
        <w:rPr>
          <w:sz w:val="15"/>
        </w:rPr>
        <w:t>a</w:t>
      </w:r>
    </w:p>
    <w:p>
      <w:pPr>
        <w:pStyle w:val="BodyText"/>
        <w:spacing w:before="4"/>
        <w:ind w:right="2712"/>
        <w:jc w:val="right"/>
      </w:pPr>
      <w:r>
        <w:rPr>
          <w:spacing w:val="-1"/>
        </w:rPr>
        <w:t>$13,178.00</w:t>
      </w:r>
    </w:p>
    <w:p>
      <w:pPr>
        <w:pStyle w:val="BodyText"/>
        <w:spacing w:before="10"/>
      </w:pPr>
    </w:p>
    <w:p>
      <w:pPr>
        <w:pStyle w:val="ListParagraph"/>
        <w:numPr>
          <w:ilvl w:val="1"/>
          <w:numId w:val="82"/>
        </w:numPr>
        <w:tabs>
          <w:tab w:pos="180" w:val="left" w:leader="none"/>
          <w:tab w:pos="4045" w:val="left" w:leader="none"/>
        </w:tabs>
        <w:spacing w:line="240" w:lineRule="auto" w:before="0" w:after="0"/>
        <w:ind w:left="827" w:right="2712" w:hanging="828"/>
        <w:jc w:val="right"/>
        <w:rPr>
          <w:sz w:val="15"/>
        </w:rPr>
      </w:pPr>
      <w:r>
        <w:rPr>
          <w:sz w:val="15"/>
        </w:rPr>
        <w:t>Bebidas alcohólicas de baja</w:t>
      </w:r>
      <w:r>
        <w:rPr>
          <w:spacing w:val="39"/>
          <w:sz w:val="15"/>
        </w:rPr>
        <w:t> </w:t>
      </w:r>
      <w:r>
        <w:rPr>
          <w:sz w:val="15"/>
        </w:rPr>
        <w:t>graduación,</w:t>
      </w:r>
      <w:r>
        <w:rPr>
          <w:spacing w:val="11"/>
          <w:sz w:val="15"/>
        </w:rPr>
        <w:t> </w:t>
      </w:r>
      <w:r>
        <w:rPr>
          <w:sz w:val="15"/>
        </w:rPr>
        <w:t>de:</w:t>
        <w:tab/>
        <w:t>$3,077.00</w:t>
      </w:r>
      <w:r>
        <w:rPr>
          <w:spacing w:val="20"/>
          <w:sz w:val="15"/>
        </w:rPr>
        <w:t> </w:t>
      </w:r>
      <w:r>
        <w:rPr>
          <w:sz w:val="15"/>
        </w:rPr>
        <w:t>a</w:t>
      </w:r>
    </w:p>
    <w:p>
      <w:pPr>
        <w:pStyle w:val="BodyText"/>
        <w:spacing w:before="5"/>
        <w:ind w:right="2712"/>
        <w:jc w:val="right"/>
      </w:pPr>
      <w:r>
        <w:rPr/>
        <w:t>$8,782.00</w:t>
      </w:r>
    </w:p>
    <w:p>
      <w:pPr>
        <w:pStyle w:val="BodyText"/>
        <w:spacing w:before="8"/>
      </w:pPr>
    </w:p>
    <w:p>
      <w:pPr>
        <w:pStyle w:val="ListParagraph"/>
        <w:numPr>
          <w:ilvl w:val="0"/>
          <w:numId w:val="82"/>
        </w:numPr>
        <w:tabs>
          <w:tab w:pos="779" w:val="left" w:leader="none"/>
        </w:tabs>
        <w:spacing w:line="247" w:lineRule="auto" w:before="0" w:after="0"/>
        <w:ind w:left="151" w:right="507" w:firstLine="397"/>
        <w:jc w:val="both"/>
        <w:rPr>
          <w:sz w:val="15"/>
        </w:rPr>
      </w:pPr>
      <w:r>
        <w:rPr>
          <w:sz w:val="15"/>
        </w:rPr>
        <w:t>Tratándose de permisos provisionales para la venta o consumo de bebidas alcohólicas en locales, stands, puestos o terrazas, en predios particulares, el costo se determinará aplicando el 1% del valor de la licencia correspondiente por el número de</w:t>
      </w:r>
      <w:r>
        <w:rPr>
          <w:spacing w:val="8"/>
          <w:sz w:val="15"/>
        </w:rPr>
        <w:t> </w:t>
      </w:r>
      <w:r>
        <w:rPr>
          <w:sz w:val="15"/>
        </w:rPr>
        <w:t>días.</w:t>
      </w:r>
    </w:p>
    <w:p>
      <w:pPr>
        <w:pStyle w:val="BodyText"/>
        <w:spacing w:before="3"/>
      </w:pPr>
    </w:p>
    <w:p>
      <w:pPr>
        <w:pStyle w:val="ListParagraph"/>
        <w:numPr>
          <w:ilvl w:val="0"/>
          <w:numId w:val="82"/>
        </w:numPr>
        <w:tabs>
          <w:tab w:pos="832" w:val="left" w:leader="none"/>
          <w:tab w:pos="1616" w:val="left" w:leader="none"/>
          <w:tab w:pos="2422" w:val="left" w:leader="none"/>
          <w:tab w:pos="3469" w:val="left" w:leader="none"/>
          <w:tab w:pos="4427" w:val="left" w:leader="none"/>
          <w:tab w:pos="5233" w:val="left" w:leader="none"/>
          <w:tab w:pos="5903" w:val="left" w:leader="none"/>
          <w:tab w:pos="6778" w:val="left" w:leader="none"/>
        </w:tabs>
        <w:spacing w:line="244" w:lineRule="auto" w:before="1" w:after="0"/>
        <w:ind w:left="151" w:right="508" w:firstLine="397"/>
        <w:jc w:val="left"/>
        <w:rPr>
          <w:sz w:val="15"/>
        </w:rPr>
      </w:pPr>
      <w:r>
        <w:rPr>
          <w:sz w:val="15"/>
        </w:rPr>
        <w:t>Permiso para degustaciones de bebidas alcohólicas de alta y/o baja graduación en  forma  promocional,</w:t>
        <w:tab/>
        <w:t>por</w:t>
        <w:tab/>
        <w:t>evento</w:t>
        <w:tab/>
        <w:t>hasta</w:t>
        <w:tab/>
        <w:t>por</w:t>
        <w:tab/>
        <w:t>7</w:t>
        <w:tab/>
        <w:t>días</w:t>
        <w:tab/>
      </w:r>
      <w:r>
        <w:rPr>
          <w:spacing w:val="-3"/>
          <w:sz w:val="15"/>
        </w:rPr>
        <w:t>consecutivos:</w:t>
      </w:r>
    </w:p>
    <w:p>
      <w:pPr>
        <w:pStyle w:val="BodyText"/>
        <w:spacing w:before="1"/>
        <w:ind w:left="151"/>
      </w:pPr>
      <w:r>
        <w:rPr/>
        <w:t>$665.00</w:t>
      </w:r>
    </w:p>
    <w:p>
      <w:pPr>
        <w:pStyle w:val="BodyText"/>
        <w:spacing w:before="10"/>
      </w:pPr>
    </w:p>
    <w:p>
      <w:pPr>
        <w:pStyle w:val="ListParagraph"/>
        <w:numPr>
          <w:ilvl w:val="0"/>
          <w:numId w:val="82"/>
        </w:numPr>
        <w:tabs>
          <w:tab w:pos="746" w:val="left" w:leader="none"/>
        </w:tabs>
        <w:spacing w:line="247" w:lineRule="auto" w:before="0" w:after="0"/>
        <w:ind w:left="151" w:right="509" w:firstLine="397"/>
        <w:jc w:val="both"/>
        <w:rPr>
          <w:sz w:val="15"/>
        </w:rPr>
      </w:pPr>
      <w:r>
        <w:rPr>
          <w:sz w:val="15"/>
        </w:rPr>
        <w:t>Para operar por horas extras de conformidad con el reglamento de la materia, a partir del horario     límite del funcionamiento establecido en la licencia municipal, en horario extraordinario se pagará por día, correspondiente según el giro, y conforme a lo</w:t>
      </w:r>
      <w:r>
        <w:rPr>
          <w:spacing w:val="14"/>
          <w:sz w:val="15"/>
        </w:rPr>
        <w:t> </w:t>
      </w:r>
      <w:r>
        <w:rPr>
          <w:sz w:val="15"/>
        </w:rPr>
        <w:t>siguiente:</w:t>
      </w:r>
    </w:p>
    <w:p>
      <w:pPr>
        <w:pStyle w:val="BodyText"/>
        <w:spacing w:before="2"/>
      </w:pPr>
    </w:p>
    <w:p>
      <w:pPr>
        <w:pStyle w:val="ListParagraph"/>
        <w:numPr>
          <w:ilvl w:val="0"/>
          <w:numId w:val="84"/>
        </w:numPr>
        <w:tabs>
          <w:tab w:pos="751" w:val="left" w:leader="none"/>
        </w:tabs>
        <w:spacing w:line="247" w:lineRule="auto" w:before="0" w:after="0"/>
        <w:ind w:left="151" w:right="509" w:firstLine="397"/>
        <w:jc w:val="left"/>
        <w:rPr>
          <w:sz w:val="15"/>
        </w:rPr>
      </w:pPr>
      <w:r>
        <w:rPr>
          <w:spacing w:val="-3"/>
          <w:sz w:val="15"/>
        </w:rPr>
        <w:t>Venta </w:t>
      </w:r>
      <w:r>
        <w:rPr>
          <w:sz w:val="15"/>
        </w:rPr>
        <w:t>de bebidas de baja graduación cuyo contenido de alcohol sea hasta 12° grados en envase cerrado por cada</w:t>
      </w:r>
      <w:r>
        <w:rPr>
          <w:spacing w:val="2"/>
          <w:sz w:val="15"/>
        </w:rPr>
        <w:t> </w:t>
      </w:r>
      <w:r>
        <w:rPr>
          <w:sz w:val="15"/>
        </w:rPr>
        <w:t>uno:</w:t>
      </w:r>
    </w:p>
    <w:p>
      <w:pPr>
        <w:pStyle w:val="BodyText"/>
        <w:spacing w:before="4"/>
      </w:pPr>
    </w:p>
    <w:p>
      <w:pPr>
        <w:pStyle w:val="BodyText"/>
        <w:ind w:left="647"/>
      </w:pPr>
      <w:r>
        <w:rPr/>
        <w:t>1.- En abarrotes, tendejones, misceláneas y negocios</w:t>
      </w:r>
    </w:p>
    <w:p>
      <w:pPr>
        <w:pStyle w:val="BodyText"/>
        <w:tabs>
          <w:tab w:pos="5089" w:val="left" w:leader="none"/>
        </w:tabs>
        <w:spacing w:before="4"/>
        <w:ind w:left="226"/>
      </w:pPr>
      <w:r>
        <w:rPr/>
        <w:t>similares:</w:t>
        <w:tab/>
        <w:t>$25.00</w:t>
      </w:r>
    </w:p>
    <w:p>
      <w:pPr>
        <w:pStyle w:val="BodyText"/>
        <w:spacing w:before="5"/>
        <w:rPr>
          <w:sz w:val="23"/>
        </w:rPr>
      </w:pPr>
    </w:p>
    <w:p>
      <w:pPr>
        <w:pStyle w:val="BodyText"/>
        <w:tabs>
          <w:tab w:pos="5089" w:val="left" w:leader="none"/>
        </w:tabs>
        <w:spacing w:line="280" w:lineRule="auto"/>
        <w:ind w:left="647" w:right="2660"/>
      </w:pPr>
      <w:r>
        <w:rPr/>
        <w:t>2.- En mini supermercados y </w:t>
      </w:r>
      <w:r>
        <w:rPr>
          <w:spacing w:val="9"/>
        </w:rPr>
        <w:t> </w:t>
      </w:r>
      <w:r>
        <w:rPr/>
        <w:t>negocios</w:t>
      </w:r>
      <w:r>
        <w:rPr>
          <w:spacing w:val="10"/>
        </w:rPr>
        <w:t> </w:t>
      </w:r>
      <w:r>
        <w:rPr/>
        <w:t>similares:</w:t>
        <w:tab/>
      </w:r>
      <w:r>
        <w:rPr>
          <w:spacing w:val="-4"/>
        </w:rPr>
        <w:t>$37.00 </w:t>
      </w:r>
      <w:r>
        <w:rPr/>
        <w:t>3.- En supermercados, tiendas de autoservicio</w:t>
      </w:r>
      <w:r>
        <w:rPr>
          <w:spacing w:val="12"/>
        </w:rPr>
        <w:t> </w:t>
      </w:r>
      <w:r>
        <w:rPr/>
        <w:t>y</w:t>
      </w:r>
    </w:p>
    <w:p>
      <w:pPr>
        <w:pStyle w:val="BodyText"/>
        <w:tabs>
          <w:tab w:pos="5090" w:val="left" w:leader="none"/>
        </w:tabs>
        <w:spacing w:line="148" w:lineRule="exact"/>
        <w:ind w:left="226"/>
        <w:jc w:val="both"/>
      </w:pPr>
      <w:r>
        <w:rPr/>
        <w:t>negocios</w:t>
      </w:r>
      <w:r>
        <w:rPr>
          <w:spacing w:val="9"/>
        </w:rPr>
        <w:t> </w:t>
      </w:r>
      <w:r>
        <w:rPr/>
        <w:t>similares:</w:t>
        <w:tab/>
        <w:t>$56.00</w:t>
      </w:r>
    </w:p>
    <w:p>
      <w:pPr>
        <w:pStyle w:val="BodyText"/>
        <w:spacing w:before="2"/>
        <w:rPr>
          <w:sz w:val="21"/>
        </w:rPr>
      </w:pPr>
    </w:p>
    <w:p>
      <w:pPr>
        <w:pStyle w:val="ListParagraph"/>
        <w:numPr>
          <w:ilvl w:val="0"/>
          <w:numId w:val="84"/>
        </w:numPr>
        <w:tabs>
          <w:tab w:pos="870" w:val="left" w:leader="none"/>
        </w:tabs>
        <w:spacing w:line="247" w:lineRule="auto" w:before="0" w:after="0"/>
        <w:ind w:left="226" w:right="3687" w:firstLine="420"/>
        <w:jc w:val="both"/>
        <w:rPr>
          <w:sz w:val="15"/>
        </w:rPr>
      </w:pPr>
      <w:r>
        <w:rPr>
          <w:spacing w:val="-3"/>
          <w:sz w:val="15"/>
        </w:rPr>
        <w:t>Venta </w:t>
      </w:r>
      <w:r>
        <w:rPr>
          <w:sz w:val="15"/>
        </w:rPr>
        <w:t>y consumo de bebidas de baja graduación, cerveza, o vinos generosos en fondas, cenadurías, loncherías, cocinas</w:t>
      </w:r>
      <w:r>
        <w:rPr>
          <w:spacing w:val="6"/>
          <w:sz w:val="15"/>
        </w:rPr>
        <w:t> </w:t>
      </w:r>
      <w:r>
        <w:rPr>
          <w:sz w:val="15"/>
        </w:rPr>
        <w:t>económicas,</w:t>
      </w:r>
      <w:r>
        <w:rPr>
          <w:spacing w:val="7"/>
          <w:sz w:val="15"/>
        </w:rPr>
        <w:t> </w:t>
      </w:r>
      <w:r>
        <w:rPr>
          <w:sz w:val="15"/>
        </w:rPr>
        <w:t>y</w:t>
      </w:r>
      <w:r>
        <w:rPr>
          <w:spacing w:val="7"/>
          <w:sz w:val="15"/>
        </w:rPr>
        <w:t> </w:t>
      </w:r>
      <w:r>
        <w:rPr>
          <w:sz w:val="15"/>
        </w:rPr>
        <w:t>negocios</w:t>
      </w:r>
      <w:r>
        <w:rPr>
          <w:spacing w:val="7"/>
          <w:sz w:val="15"/>
        </w:rPr>
        <w:t> </w:t>
      </w:r>
      <w:r>
        <w:rPr>
          <w:sz w:val="15"/>
        </w:rPr>
        <w:t>similares,</w:t>
      </w:r>
      <w:r>
        <w:rPr>
          <w:spacing w:val="6"/>
          <w:sz w:val="15"/>
        </w:rPr>
        <w:t> </w:t>
      </w:r>
      <w:r>
        <w:rPr>
          <w:sz w:val="15"/>
        </w:rPr>
        <w:t>excluyendo</w:t>
      </w:r>
      <w:r>
        <w:rPr>
          <w:spacing w:val="7"/>
          <w:sz w:val="15"/>
        </w:rPr>
        <w:t> </w:t>
      </w:r>
      <w:r>
        <w:rPr>
          <w:sz w:val="15"/>
        </w:rPr>
        <w:t>a</w:t>
      </w:r>
    </w:p>
    <w:p>
      <w:pPr>
        <w:pStyle w:val="BodyText"/>
        <w:tabs>
          <w:tab w:pos="5063" w:val="left" w:leader="none"/>
        </w:tabs>
        <w:spacing w:line="171" w:lineRule="exact"/>
        <w:ind w:left="226"/>
        <w:jc w:val="both"/>
      </w:pPr>
      <w:r>
        <w:rPr/>
        <w:t>restaurantes, por</w:t>
      </w:r>
      <w:r>
        <w:rPr>
          <w:spacing w:val="17"/>
        </w:rPr>
        <w:t> </w:t>
      </w:r>
      <w:r>
        <w:rPr/>
        <w:t>cada</w:t>
      </w:r>
      <w:r>
        <w:rPr>
          <w:spacing w:val="8"/>
        </w:rPr>
        <w:t> </w:t>
      </w:r>
      <w:r>
        <w:rPr/>
        <w:t>uno:</w:t>
        <w:tab/>
        <w:t>$62.00</w:t>
      </w:r>
    </w:p>
    <w:p>
      <w:pPr>
        <w:pStyle w:val="BodyText"/>
        <w:spacing w:before="8"/>
      </w:pPr>
    </w:p>
    <w:p>
      <w:pPr>
        <w:pStyle w:val="ListParagraph"/>
        <w:numPr>
          <w:ilvl w:val="0"/>
          <w:numId w:val="84"/>
        </w:numPr>
        <w:tabs>
          <w:tab w:pos="833" w:val="left" w:leader="none"/>
        </w:tabs>
        <w:spacing w:line="240" w:lineRule="auto" w:before="0" w:after="0"/>
        <w:ind w:left="832" w:right="0" w:hanging="186"/>
        <w:jc w:val="left"/>
        <w:rPr>
          <w:sz w:val="15"/>
        </w:rPr>
      </w:pPr>
      <w:r>
        <w:rPr>
          <w:spacing w:val="-3"/>
          <w:sz w:val="15"/>
        </w:rPr>
        <w:t>Venta</w:t>
      </w:r>
      <w:r>
        <w:rPr>
          <w:spacing w:val="16"/>
          <w:sz w:val="15"/>
        </w:rPr>
        <w:t> </w:t>
      </w:r>
      <w:r>
        <w:rPr>
          <w:sz w:val="15"/>
        </w:rPr>
        <w:t>y</w:t>
      </w:r>
      <w:r>
        <w:rPr>
          <w:spacing w:val="16"/>
          <w:sz w:val="15"/>
        </w:rPr>
        <w:t> </w:t>
      </w:r>
      <w:r>
        <w:rPr>
          <w:sz w:val="15"/>
        </w:rPr>
        <w:t>consumo</w:t>
      </w:r>
      <w:r>
        <w:rPr>
          <w:spacing w:val="16"/>
          <w:sz w:val="15"/>
        </w:rPr>
        <w:t> </w:t>
      </w:r>
      <w:r>
        <w:rPr>
          <w:sz w:val="15"/>
        </w:rPr>
        <w:t>de</w:t>
      </w:r>
      <w:r>
        <w:rPr>
          <w:spacing w:val="16"/>
          <w:sz w:val="15"/>
        </w:rPr>
        <w:t> </w:t>
      </w:r>
      <w:r>
        <w:rPr>
          <w:sz w:val="15"/>
        </w:rPr>
        <w:t>bebidas</w:t>
      </w:r>
      <w:r>
        <w:rPr>
          <w:spacing w:val="16"/>
          <w:sz w:val="15"/>
        </w:rPr>
        <w:t> </w:t>
      </w:r>
      <w:r>
        <w:rPr>
          <w:sz w:val="15"/>
        </w:rPr>
        <w:t>de</w:t>
      </w:r>
      <w:r>
        <w:rPr>
          <w:spacing w:val="15"/>
          <w:sz w:val="15"/>
        </w:rPr>
        <w:t> </w:t>
      </w:r>
      <w:r>
        <w:rPr>
          <w:sz w:val="15"/>
        </w:rPr>
        <w:t>baja</w:t>
      </w:r>
      <w:r>
        <w:rPr>
          <w:spacing w:val="16"/>
          <w:sz w:val="15"/>
        </w:rPr>
        <w:t> </w:t>
      </w:r>
      <w:r>
        <w:rPr>
          <w:sz w:val="15"/>
        </w:rPr>
        <w:t>graduación,</w:t>
      </w:r>
      <w:r>
        <w:rPr>
          <w:spacing w:val="16"/>
          <w:sz w:val="15"/>
        </w:rPr>
        <w:t> </w:t>
      </w:r>
      <w:r>
        <w:rPr>
          <w:sz w:val="15"/>
        </w:rPr>
        <w:t>en</w:t>
      </w:r>
    </w:p>
    <w:p>
      <w:pPr>
        <w:pStyle w:val="BodyText"/>
        <w:tabs>
          <w:tab w:pos="5062" w:val="left" w:leader="none"/>
        </w:tabs>
        <w:spacing w:before="5"/>
        <w:ind w:left="226"/>
      </w:pPr>
      <w:r>
        <w:rPr/>
        <w:t>restaurante:</w:t>
        <w:tab/>
        <w:t>$90.00</w:t>
      </w:r>
    </w:p>
    <w:p>
      <w:pPr>
        <w:spacing w:after="0"/>
        <w:sectPr>
          <w:type w:val="continuous"/>
          <w:pgSz w:w="23250" w:h="15310" w:orient="landscape"/>
          <w:pgMar w:top="0" w:bottom="0" w:left="1880" w:right="1520"/>
          <w:cols w:num="2" w:equalWidth="0">
            <w:col w:w="7751" w:space="3871"/>
            <w:col w:w="8228"/>
          </w:cols>
        </w:sect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18"/>
        </w:rPr>
      </w:pPr>
    </w:p>
    <w:tbl>
      <w:tblPr>
        <w:tblW w:w="0" w:type="auto"/>
        <w:jc w:val="left"/>
        <w:tblInd w:w="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0"/>
        <w:gridCol w:w="3677"/>
        <w:gridCol w:w="10730"/>
      </w:tblGrid>
      <w:tr>
        <w:trPr>
          <w:trHeight w:val="174" w:hRule="atLeast"/>
        </w:trPr>
        <w:tc>
          <w:tcPr>
            <w:tcW w:w="4800" w:type="dxa"/>
          </w:tcPr>
          <w:p>
            <w:pPr>
              <w:pStyle w:val="TableParagraph"/>
              <w:spacing w:line="155" w:lineRule="exact"/>
              <w:ind w:right="443"/>
              <w:jc w:val="right"/>
              <w:rPr>
                <w:sz w:val="15"/>
              </w:rPr>
            </w:pPr>
            <w:r>
              <w:rPr>
                <w:sz w:val="15"/>
              </w:rPr>
              <w:t>d) Venta de cerveza en botella cerrada, en depósitos,</w:t>
            </w:r>
          </w:p>
        </w:tc>
        <w:tc>
          <w:tcPr>
            <w:tcW w:w="3677" w:type="dxa"/>
          </w:tcPr>
          <w:p>
            <w:pPr>
              <w:pStyle w:val="TableParagraph"/>
              <w:rPr>
                <w:rFonts w:ascii="Times New Roman"/>
                <w:sz w:val="10"/>
              </w:rPr>
            </w:pPr>
          </w:p>
        </w:tc>
        <w:tc>
          <w:tcPr>
            <w:tcW w:w="10730" w:type="dxa"/>
          </w:tcPr>
          <w:p>
            <w:pPr>
              <w:pStyle w:val="TableParagraph"/>
              <w:spacing w:line="155" w:lineRule="exact"/>
              <w:ind w:right="47"/>
              <w:jc w:val="right"/>
              <w:rPr>
                <w:sz w:val="15"/>
              </w:rPr>
            </w:pPr>
            <w:r>
              <w:rPr>
                <w:b/>
                <w:sz w:val="15"/>
              </w:rPr>
              <w:t>Artículo 92.- </w:t>
            </w:r>
            <w:r>
              <w:rPr>
                <w:sz w:val="15"/>
              </w:rPr>
              <w:t>A los propietarios, arrendadoras, arrendatarios, o por cualquier otro contrato traslativo de</w:t>
            </w:r>
          </w:p>
        </w:tc>
      </w:tr>
      <w:tr>
        <w:trPr>
          <w:trHeight w:val="177" w:hRule="atLeast"/>
        </w:trPr>
        <w:tc>
          <w:tcPr>
            <w:tcW w:w="4800" w:type="dxa"/>
          </w:tcPr>
          <w:p>
            <w:pPr>
              <w:pStyle w:val="TableParagraph"/>
              <w:spacing w:line="156" w:lineRule="exact" w:before="1"/>
              <w:ind w:left="50"/>
              <w:rPr>
                <w:sz w:val="15"/>
              </w:rPr>
            </w:pPr>
            <w:r>
              <w:rPr>
                <w:sz w:val="15"/>
              </w:rPr>
              <w:t>autobaños y giros similares, por cada uno:</w:t>
            </w:r>
          </w:p>
        </w:tc>
        <w:tc>
          <w:tcPr>
            <w:tcW w:w="3677" w:type="dxa"/>
          </w:tcPr>
          <w:p>
            <w:pPr>
              <w:pStyle w:val="TableParagraph"/>
              <w:spacing w:line="156" w:lineRule="exact" w:before="1"/>
              <w:ind w:left="86"/>
              <w:rPr>
                <w:sz w:val="15"/>
              </w:rPr>
            </w:pPr>
            <w:r>
              <w:rPr>
                <w:sz w:val="15"/>
              </w:rPr>
              <w:t>$47.00</w:t>
            </w:r>
          </w:p>
        </w:tc>
        <w:tc>
          <w:tcPr>
            <w:tcW w:w="10730" w:type="dxa"/>
          </w:tcPr>
          <w:p>
            <w:pPr>
              <w:pStyle w:val="TableParagraph"/>
              <w:spacing w:line="156" w:lineRule="exact" w:before="1"/>
              <w:ind w:right="48"/>
              <w:jc w:val="right"/>
              <w:rPr>
                <w:sz w:val="15"/>
              </w:rPr>
            </w:pPr>
            <w:r>
              <w:rPr>
                <w:sz w:val="15"/>
              </w:rPr>
              <w:t>uso o de derechos a agencias publicitarias, anunciantes, así como a las personas físicas y jurídicas cuyos</w:t>
            </w:r>
          </w:p>
        </w:tc>
      </w:tr>
      <w:tr>
        <w:trPr>
          <w:trHeight w:val="353" w:hRule="atLeast"/>
        </w:trPr>
        <w:tc>
          <w:tcPr>
            <w:tcW w:w="4800" w:type="dxa"/>
          </w:tcPr>
          <w:p>
            <w:pPr>
              <w:pStyle w:val="TableParagraph"/>
              <w:spacing w:before="5"/>
              <w:rPr>
                <w:rFonts w:ascii="Times New Roman"/>
                <w:sz w:val="15"/>
              </w:rPr>
            </w:pPr>
          </w:p>
          <w:p>
            <w:pPr>
              <w:pStyle w:val="TableParagraph"/>
              <w:spacing w:line="156" w:lineRule="exact"/>
              <w:ind w:right="442"/>
              <w:jc w:val="right"/>
              <w:rPr>
                <w:sz w:val="15"/>
              </w:rPr>
            </w:pPr>
            <w:r>
              <w:rPr>
                <w:sz w:val="15"/>
              </w:rPr>
              <w:t>e) Venta de bebidas de alta graduación cuyo contenido</w:t>
            </w:r>
          </w:p>
        </w:tc>
        <w:tc>
          <w:tcPr>
            <w:tcW w:w="3677" w:type="dxa"/>
          </w:tcPr>
          <w:p>
            <w:pPr>
              <w:pStyle w:val="TableParagraph"/>
              <w:rPr>
                <w:rFonts w:ascii="Times New Roman"/>
                <w:sz w:val="14"/>
              </w:rPr>
            </w:pPr>
          </w:p>
        </w:tc>
        <w:tc>
          <w:tcPr>
            <w:tcW w:w="10730" w:type="dxa"/>
          </w:tcPr>
          <w:p>
            <w:pPr>
              <w:pStyle w:val="TableParagraph"/>
              <w:spacing w:line="176" w:lineRule="exact" w:before="1"/>
              <w:ind w:left="3119"/>
              <w:rPr>
                <w:sz w:val="15"/>
              </w:rPr>
            </w:pPr>
            <w:r>
              <w:rPr>
                <w:sz w:val="15"/>
              </w:rPr>
              <w:t>anuncios, productos o servicios sean anunciados eventualmente por un plazo no mayor de 30 días, deberán obtener previamente permiso y pagar los derechos por la autorización correspondiente conforme a las</w:t>
            </w:r>
          </w:p>
        </w:tc>
      </w:tr>
      <w:tr>
        <w:trPr>
          <w:trHeight w:val="177" w:hRule="atLeast"/>
        </w:trPr>
        <w:tc>
          <w:tcPr>
            <w:tcW w:w="4800" w:type="dxa"/>
          </w:tcPr>
          <w:p>
            <w:pPr>
              <w:pStyle w:val="TableParagraph"/>
              <w:spacing w:line="156" w:lineRule="exact" w:before="1"/>
              <w:ind w:left="50"/>
              <w:rPr>
                <w:sz w:val="15"/>
              </w:rPr>
            </w:pPr>
            <w:r>
              <w:rPr>
                <w:sz w:val="15"/>
              </w:rPr>
              <w:t>de alcohol sea mayor a los 12º grados en botella cerrada, por</w:t>
            </w:r>
          </w:p>
        </w:tc>
        <w:tc>
          <w:tcPr>
            <w:tcW w:w="3677" w:type="dxa"/>
          </w:tcPr>
          <w:p>
            <w:pPr>
              <w:pStyle w:val="TableParagraph"/>
              <w:rPr>
                <w:rFonts w:ascii="Times New Roman"/>
                <w:sz w:val="10"/>
              </w:rPr>
            </w:pPr>
          </w:p>
        </w:tc>
        <w:tc>
          <w:tcPr>
            <w:tcW w:w="10730" w:type="dxa"/>
          </w:tcPr>
          <w:p>
            <w:pPr>
              <w:pStyle w:val="TableParagraph"/>
              <w:spacing w:line="156" w:lineRule="exact" w:before="1"/>
              <w:ind w:left="3119"/>
              <w:rPr>
                <w:sz w:val="15"/>
              </w:rPr>
            </w:pPr>
            <w:r>
              <w:rPr>
                <w:sz w:val="15"/>
              </w:rPr>
              <w:t>siguientes:</w:t>
            </w:r>
          </w:p>
        </w:tc>
      </w:tr>
      <w:tr>
        <w:trPr>
          <w:trHeight w:val="177" w:hRule="atLeast"/>
        </w:trPr>
        <w:tc>
          <w:tcPr>
            <w:tcW w:w="4800" w:type="dxa"/>
          </w:tcPr>
          <w:p>
            <w:pPr>
              <w:pStyle w:val="TableParagraph"/>
              <w:spacing w:line="156" w:lineRule="exact" w:before="1"/>
              <w:ind w:left="50"/>
              <w:rPr>
                <w:sz w:val="15"/>
              </w:rPr>
            </w:pPr>
            <w:r>
              <w:rPr>
                <w:sz w:val="15"/>
              </w:rPr>
              <w:t>cada uno:</w:t>
            </w:r>
          </w:p>
        </w:tc>
        <w:tc>
          <w:tcPr>
            <w:tcW w:w="3677" w:type="dxa"/>
          </w:tcPr>
          <w:p>
            <w:pPr>
              <w:pStyle w:val="TableParagraph"/>
              <w:rPr>
                <w:rFonts w:ascii="Times New Roman"/>
                <w:sz w:val="10"/>
              </w:rPr>
            </w:pPr>
          </w:p>
        </w:tc>
        <w:tc>
          <w:tcPr>
            <w:tcW w:w="10730" w:type="dxa"/>
          </w:tcPr>
          <w:p>
            <w:pPr>
              <w:pStyle w:val="TableParagraph"/>
              <w:rPr>
                <w:rFonts w:ascii="Times New Roman"/>
                <w:sz w:val="10"/>
              </w:rPr>
            </w:pPr>
          </w:p>
        </w:tc>
      </w:tr>
      <w:tr>
        <w:trPr>
          <w:trHeight w:val="177"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spacing w:line="156" w:lineRule="exact" w:before="1"/>
              <w:ind w:right="1425"/>
              <w:jc w:val="right"/>
              <w:rPr>
                <w:sz w:val="15"/>
              </w:rPr>
            </w:pPr>
            <w:r>
              <w:rPr>
                <w:sz w:val="15"/>
              </w:rPr>
              <w:t>TARIFAS</w:t>
            </w:r>
          </w:p>
        </w:tc>
      </w:tr>
      <w:tr>
        <w:trPr>
          <w:trHeight w:val="177" w:hRule="atLeast"/>
        </w:trPr>
        <w:tc>
          <w:tcPr>
            <w:tcW w:w="4800" w:type="dxa"/>
          </w:tcPr>
          <w:p>
            <w:pPr>
              <w:pStyle w:val="TableParagraph"/>
              <w:spacing w:line="156" w:lineRule="exact" w:before="1"/>
              <w:ind w:left="471"/>
              <w:rPr>
                <w:sz w:val="15"/>
              </w:rPr>
            </w:pPr>
            <w:r>
              <w:rPr>
                <w:sz w:val="15"/>
              </w:rPr>
              <w:t>1.- En abarrotes:</w:t>
            </w:r>
          </w:p>
        </w:tc>
        <w:tc>
          <w:tcPr>
            <w:tcW w:w="3677" w:type="dxa"/>
          </w:tcPr>
          <w:p>
            <w:pPr>
              <w:pStyle w:val="TableParagraph"/>
              <w:spacing w:line="156" w:lineRule="exact" w:before="1"/>
              <w:ind w:left="87"/>
              <w:rPr>
                <w:sz w:val="15"/>
              </w:rPr>
            </w:pPr>
            <w:r>
              <w:rPr>
                <w:sz w:val="15"/>
              </w:rPr>
              <w:t>$84.00</w:t>
            </w:r>
          </w:p>
        </w:tc>
        <w:tc>
          <w:tcPr>
            <w:tcW w:w="10730" w:type="dxa"/>
          </w:tcPr>
          <w:p>
            <w:pPr>
              <w:pStyle w:val="TableParagraph"/>
              <w:spacing w:line="156" w:lineRule="exact" w:before="1"/>
              <w:ind w:left="3615"/>
              <w:rPr>
                <w:sz w:val="15"/>
              </w:rPr>
            </w:pPr>
            <w:r>
              <w:rPr>
                <w:sz w:val="15"/>
              </w:rPr>
              <w:t>I. Anuncios sin estructura, rotulados en toldos, gabinetes corridos o</w:t>
            </w:r>
          </w:p>
        </w:tc>
      </w:tr>
      <w:tr>
        <w:trPr>
          <w:trHeight w:val="353" w:hRule="atLeast"/>
        </w:trPr>
        <w:tc>
          <w:tcPr>
            <w:tcW w:w="4800" w:type="dxa"/>
          </w:tcPr>
          <w:p>
            <w:pPr>
              <w:pStyle w:val="TableParagraph"/>
              <w:spacing w:before="5"/>
              <w:rPr>
                <w:rFonts w:ascii="Times New Roman"/>
                <w:sz w:val="15"/>
              </w:rPr>
            </w:pPr>
          </w:p>
          <w:p>
            <w:pPr>
              <w:pStyle w:val="TableParagraph"/>
              <w:spacing w:line="156" w:lineRule="exact"/>
              <w:ind w:left="471"/>
              <w:rPr>
                <w:sz w:val="15"/>
              </w:rPr>
            </w:pPr>
            <w:r>
              <w:rPr>
                <w:sz w:val="15"/>
              </w:rPr>
              <w:t>2.- En vinaterías:</w:t>
            </w:r>
          </w:p>
        </w:tc>
        <w:tc>
          <w:tcPr>
            <w:tcW w:w="3677" w:type="dxa"/>
          </w:tcPr>
          <w:p>
            <w:pPr>
              <w:pStyle w:val="TableParagraph"/>
              <w:spacing w:before="5"/>
              <w:rPr>
                <w:rFonts w:ascii="Times New Roman"/>
                <w:sz w:val="15"/>
              </w:rPr>
            </w:pPr>
          </w:p>
          <w:p>
            <w:pPr>
              <w:pStyle w:val="TableParagraph"/>
              <w:spacing w:line="156" w:lineRule="exact"/>
              <w:ind w:left="1"/>
              <w:rPr>
                <w:sz w:val="15"/>
              </w:rPr>
            </w:pPr>
            <w:r>
              <w:rPr>
                <w:sz w:val="15"/>
              </w:rPr>
              <w:t>$124.00</w:t>
            </w:r>
          </w:p>
        </w:tc>
        <w:tc>
          <w:tcPr>
            <w:tcW w:w="10730" w:type="dxa"/>
          </w:tcPr>
          <w:p>
            <w:pPr>
              <w:pStyle w:val="TableParagraph"/>
              <w:spacing w:line="176" w:lineRule="exact" w:before="1"/>
              <w:ind w:left="3195" w:right="2356"/>
              <w:rPr>
                <w:sz w:val="15"/>
              </w:rPr>
            </w:pPr>
            <w:r>
              <w:rPr>
                <w:sz w:val="15"/>
              </w:rPr>
              <w:t>individuales, volados, adosados, pintados en bienes muebles o inmuebles,   por</w:t>
            </w:r>
            <w:r>
              <w:rPr>
                <w:spacing w:val="17"/>
                <w:sz w:val="15"/>
              </w:rPr>
              <w:t> </w:t>
            </w:r>
            <w:r>
              <w:rPr>
                <w:sz w:val="15"/>
              </w:rPr>
              <w:t>cada</w:t>
            </w:r>
            <w:r>
              <w:rPr>
                <w:spacing w:val="17"/>
                <w:sz w:val="15"/>
              </w:rPr>
              <w:t> </w:t>
            </w:r>
            <w:r>
              <w:rPr>
                <w:sz w:val="15"/>
              </w:rPr>
              <w:t>metro</w:t>
            </w:r>
            <w:r>
              <w:rPr>
                <w:spacing w:val="18"/>
                <w:sz w:val="15"/>
              </w:rPr>
              <w:t> </w:t>
            </w:r>
            <w:r>
              <w:rPr>
                <w:sz w:val="15"/>
              </w:rPr>
              <w:t>cuadrado</w:t>
            </w:r>
            <w:r>
              <w:rPr>
                <w:spacing w:val="17"/>
                <w:sz w:val="15"/>
              </w:rPr>
              <w:t> </w:t>
            </w:r>
            <w:r>
              <w:rPr>
                <w:sz w:val="15"/>
              </w:rPr>
              <w:t>o</w:t>
            </w:r>
            <w:r>
              <w:rPr>
                <w:spacing w:val="17"/>
                <w:sz w:val="15"/>
              </w:rPr>
              <w:t> </w:t>
            </w:r>
            <w:r>
              <w:rPr>
                <w:sz w:val="15"/>
              </w:rPr>
              <w:t>lo</w:t>
            </w:r>
            <w:r>
              <w:rPr>
                <w:spacing w:val="18"/>
                <w:sz w:val="15"/>
              </w:rPr>
              <w:t> </w:t>
            </w:r>
            <w:r>
              <w:rPr>
                <w:sz w:val="15"/>
              </w:rPr>
              <w:t>que</w:t>
            </w:r>
            <w:r>
              <w:rPr>
                <w:spacing w:val="17"/>
                <w:sz w:val="15"/>
              </w:rPr>
              <w:t> </w:t>
            </w:r>
            <w:r>
              <w:rPr>
                <w:sz w:val="15"/>
              </w:rPr>
              <w:t>resulte</w:t>
            </w:r>
            <w:r>
              <w:rPr>
                <w:spacing w:val="16"/>
                <w:sz w:val="15"/>
              </w:rPr>
              <w:t> </w:t>
            </w:r>
            <w:r>
              <w:rPr>
                <w:sz w:val="15"/>
              </w:rPr>
              <w:t>del</w:t>
            </w:r>
            <w:r>
              <w:rPr>
                <w:spacing w:val="17"/>
                <w:sz w:val="15"/>
              </w:rPr>
              <w:t> </w:t>
            </w:r>
            <w:r>
              <w:rPr>
                <w:sz w:val="15"/>
              </w:rPr>
              <w:t>cálculo</w:t>
            </w:r>
            <w:r>
              <w:rPr>
                <w:spacing w:val="18"/>
                <w:sz w:val="15"/>
              </w:rPr>
              <w:t> </w:t>
            </w:r>
            <w:r>
              <w:rPr>
                <w:sz w:val="15"/>
              </w:rPr>
              <w:t>proporcional</w:t>
            </w:r>
            <w:r>
              <w:rPr>
                <w:spacing w:val="17"/>
                <w:sz w:val="15"/>
              </w:rPr>
              <w:t> </w:t>
            </w:r>
            <w:r>
              <w:rPr>
                <w:sz w:val="15"/>
              </w:rPr>
              <w:t>por</w:t>
            </w:r>
          </w:p>
        </w:tc>
      </w:tr>
      <w:tr>
        <w:trPr>
          <w:trHeight w:val="177"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spacing w:line="156" w:lineRule="exact" w:before="1"/>
              <w:ind w:left="3195"/>
              <w:rPr>
                <w:sz w:val="15"/>
              </w:rPr>
            </w:pPr>
            <w:r>
              <w:rPr>
                <w:sz w:val="15"/>
              </w:rPr>
              <w:t>fracción del mismo, por mes:</w:t>
            </w:r>
          </w:p>
        </w:tc>
      </w:tr>
      <w:tr>
        <w:trPr>
          <w:trHeight w:val="177" w:hRule="atLeast"/>
        </w:trPr>
        <w:tc>
          <w:tcPr>
            <w:tcW w:w="4800" w:type="dxa"/>
          </w:tcPr>
          <w:p>
            <w:pPr>
              <w:pStyle w:val="TableParagraph"/>
              <w:spacing w:line="156" w:lineRule="exact" w:before="1"/>
              <w:ind w:left="471"/>
              <w:rPr>
                <w:sz w:val="15"/>
              </w:rPr>
            </w:pPr>
            <w:r>
              <w:rPr>
                <w:sz w:val="15"/>
              </w:rPr>
              <w:t>3.- En mini supermercados y negocios similares:</w:t>
            </w:r>
          </w:p>
        </w:tc>
        <w:tc>
          <w:tcPr>
            <w:tcW w:w="3677" w:type="dxa"/>
          </w:tcPr>
          <w:p>
            <w:pPr>
              <w:pStyle w:val="TableParagraph"/>
              <w:spacing w:line="156" w:lineRule="exact" w:before="1"/>
              <w:rPr>
                <w:sz w:val="15"/>
              </w:rPr>
            </w:pPr>
            <w:r>
              <w:rPr>
                <w:sz w:val="15"/>
              </w:rPr>
              <w:t>$185.00</w:t>
            </w:r>
          </w:p>
        </w:tc>
        <w:tc>
          <w:tcPr>
            <w:tcW w:w="10730" w:type="dxa"/>
          </w:tcPr>
          <w:p>
            <w:pPr>
              <w:pStyle w:val="TableParagraph"/>
              <w:rPr>
                <w:rFonts w:ascii="Times New Roman"/>
                <w:sz w:val="10"/>
              </w:rPr>
            </w:pPr>
          </w:p>
        </w:tc>
      </w:tr>
      <w:tr>
        <w:trPr>
          <w:trHeight w:val="177"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tabs>
                <w:tab w:pos="8007" w:val="left" w:leader="none"/>
              </w:tabs>
              <w:spacing w:line="156" w:lineRule="exact" w:before="1"/>
              <w:ind w:left="3195"/>
              <w:rPr>
                <w:sz w:val="15"/>
              </w:rPr>
            </w:pPr>
            <w:r>
              <w:rPr>
                <w:sz w:val="15"/>
              </w:rPr>
              <w:t>a)</w:t>
            </w:r>
            <w:r>
              <w:rPr>
                <w:spacing w:val="5"/>
                <w:sz w:val="15"/>
              </w:rPr>
              <w:t> </w:t>
            </w:r>
            <w:r>
              <w:rPr>
                <w:sz w:val="15"/>
              </w:rPr>
              <w:t>Opacos</w:t>
            </w:r>
            <w:r>
              <w:rPr>
                <w:spacing w:val="6"/>
                <w:sz w:val="15"/>
              </w:rPr>
              <w:t> </w:t>
            </w:r>
            <w:r>
              <w:rPr>
                <w:sz w:val="15"/>
              </w:rPr>
              <w:t>de:</w:t>
              <w:tab/>
              <w:t>$24.00</w:t>
            </w:r>
          </w:p>
        </w:tc>
      </w:tr>
      <w:tr>
        <w:trPr>
          <w:trHeight w:val="353" w:hRule="atLeast"/>
        </w:trPr>
        <w:tc>
          <w:tcPr>
            <w:tcW w:w="4800" w:type="dxa"/>
          </w:tcPr>
          <w:p>
            <w:pPr>
              <w:pStyle w:val="TableParagraph"/>
              <w:spacing w:line="176" w:lineRule="exact" w:before="1"/>
              <w:ind w:left="50" w:firstLine="420"/>
              <w:rPr>
                <w:sz w:val="15"/>
              </w:rPr>
            </w:pPr>
            <w:r>
              <w:rPr>
                <w:sz w:val="15"/>
              </w:rPr>
              <w:t>4.- En supermercados, tiendas de autoservicio y tiendas especializadas:</w:t>
            </w:r>
          </w:p>
        </w:tc>
        <w:tc>
          <w:tcPr>
            <w:tcW w:w="3677" w:type="dxa"/>
          </w:tcPr>
          <w:p>
            <w:pPr>
              <w:pStyle w:val="TableParagraph"/>
              <w:spacing w:before="5"/>
              <w:rPr>
                <w:rFonts w:ascii="Times New Roman"/>
                <w:sz w:val="15"/>
              </w:rPr>
            </w:pPr>
          </w:p>
          <w:p>
            <w:pPr>
              <w:pStyle w:val="TableParagraph"/>
              <w:spacing w:line="156" w:lineRule="exact"/>
              <w:ind w:left="1"/>
              <w:rPr>
                <w:sz w:val="15"/>
              </w:rPr>
            </w:pPr>
            <w:r>
              <w:rPr>
                <w:sz w:val="15"/>
              </w:rPr>
              <w:t>$285.00</w:t>
            </w:r>
          </w:p>
        </w:tc>
        <w:tc>
          <w:tcPr>
            <w:tcW w:w="10730" w:type="dxa"/>
          </w:tcPr>
          <w:p>
            <w:pPr>
              <w:pStyle w:val="TableParagraph"/>
              <w:spacing w:before="1"/>
              <w:ind w:right="2252"/>
              <w:jc w:val="right"/>
              <w:rPr>
                <w:sz w:val="15"/>
              </w:rPr>
            </w:pPr>
            <w:r>
              <w:rPr>
                <w:sz w:val="15"/>
              </w:rPr>
              <w:t>a $47.00</w:t>
            </w:r>
          </w:p>
        </w:tc>
      </w:tr>
      <w:tr>
        <w:trPr>
          <w:trHeight w:val="177"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tabs>
                <w:tab w:pos="8006" w:val="left" w:leader="none"/>
              </w:tabs>
              <w:spacing w:line="156" w:lineRule="exact" w:before="1"/>
              <w:ind w:left="3195"/>
              <w:rPr>
                <w:sz w:val="15"/>
              </w:rPr>
            </w:pPr>
            <w:r>
              <w:rPr>
                <w:sz w:val="15"/>
              </w:rPr>
              <w:t>b) Luminosos o</w:t>
            </w:r>
            <w:r>
              <w:rPr>
                <w:spacing w:val="25"/>
                <w:sz w:val="15"/>
              </w:rPr>
              <w:t> </w:t>
            </w:r>
            <w:r>
              <w:rPr>
                <w:sz w:val="15"/>
              </w:rPr>
              <w:t>iluminados</w:t>
            </w:r>
            <w:r>
              <w:rPr>
                <w:spacing w:val="9"/>
                <w:sz w:val="15"/>
              </w:rPr>
              <w:t> </w:t>
            </w:r>
            <w:r>
              <w:rPr>
                <w:sz w:val="15"/>
              </w:rPr>
              <w:t>de:</w:t>
              <w:tab/>
              <w:t>$25.00</w:t>
            </w:r>
          </w:p>
        </w:tc>
      </w:tr>
      <w:tr>
        <w:trPr>
          <w:trHeight w:val="266" w:hRule="atLeast"/>
        </w:trPr>
        <w:tc>
          <w:tcPr>
            <w:tcW w:w="4800" w:type="dxa"/>
          </w:tcPr>
          <w:p>
            <w:pPr>
              <w:pStyle w:val="TableParagraph"/>
              <w:spacing w:before="1"/>
              <w:ind w:left="471"/>
              <w:rPr>
                <w:sz w:val="15"/>
              </w:rPr>
            </w:pPr>
            <w:r>
              <w:rPr>
                <w:sz w:val="15"/>
              </w:rPr>
              <w:t>f) Giros que a continuación se indiquen:</w:t>
            </w:r>
          </w:p>
        </w:tc>
        <w:tc>
          <w:tcPr>
            <w:tcW w:w="3677" w:type="dxa"/>
          </w:tcPr>
          <w:p>
            <w:pPr>
              <w:pStyle w:val="TableParagraph"/>
              <w:rPr>
                <w:rFonts w:ascii="Times New Roman"/>
                <w:sz w:val="14"/>
              </w:rPr>
            </w:pPr>
          </w:p>
        </w:tc>
        <w:tc>
          <w:tcPr>
            <w:tcW w:w="10730" w:type="dxa"/>
          </w:tcPr>
          <w:p>
            <w:pPr>
              <w:pStyle w:val="TableParagraph"/>
              <w:spacing w:before="1"/>
              <w:ind w:right="2252"/>
              <w:jc w:val="right"/>
              <w:rPr>
                <w:sz w:val="15"/>
              </w:rPr>
            </w:pPr>
            <w:r>
              <w:rPr>
                <w:sz w:val="15"/>
              </w:rPr>
              <w:t>a $49.00</w:t>
            </w:r>
          </w:p>
        </w:tc>
      </w:tr>
      <w:tr>
        <w:trPr>
          <w:trHeight w:val="442" w:hRule="atLeast"/>
        </w:trPr>
        <w:tc>
          <w:tcPr>
            <w:tcW w:w="4800" w:type="dxa"/>
          </w:tcPr>
          <w:p>
            <w:pPr>
              <w:pStyle w:val="TableParagraph"/>
              <w:spacing w:before="90"/>
              <w:ind w:left="471"/>
              <w:rPr>
                <w:sz w:val="15"/>
              </w:rPr>
            </w:pPr>
            <w:r>
              <w:rPr>
                <w:sz w:val="15"/>
              </w:rPr>
              <w:t>1.- Bar en restaurante y giros similares, por cada uno:</w:t>
            </w:r>
          </w:p>
        </w:tc>
        <w:tc>
          <w:tcPr>
            <w:tcW w:w="3677" w:type="dxa"/>
          </w:tcPr>
          <w:p>
            <w:pPr>
              <w:pStyle w:val="TableParagraph"/>
              <w:spacing w:before="1"/>
              <w:rPr>
                <w:rFonts w:ascii="Times New Roman"/>
                <w:sz w:val="23"/>
              </w:rPr>
            </w:pPr>
          </w:p>
          <w:p>
            <w:pPr>
              <w:pStyle w:val="TableParagraph"/>
              <w:spacing w:line="156" w:lineRule="exact" w:before="1"/>
              <w:rPr>
                <w:sz w:val="15"/>
              </w:rPr>
            </w:pPr>
            <w:r>
              <w:rPr>
                <w:sz w:val="15"/>
              </w:rPr>
              <w:t>$239.00</w:t>
            </w:r>
          </w:p>
        </w:tc>
        <w:tc>
          <w:tcPr>
            <w:tcW w:w="10730" w:type="dxa"/>
          </w:tcPr>
          <w:p>
            <w:pPr>
              <w:pStyle w:val="TableParagraph"/>
              <w:spacing w:line="170" w:lineRule="atLeast" w:before="89"/>
              <w:ind w:left="3194" w:right="3666" w:firstLine="420"/>
              <w:rPr>
                <w:sz w:val="15"/>
              </w:rPr>
            </w:pPr>
            <w:r>
              <w:rPr>
                <w:sz w:val="15"/>
              </w:rPr>
              <w:t>II. Anuncios semiestructurales estela, navaja o mampostería, en azoteas o piso, por metro cuadrado o lo</w:t>
            </w:r>
          </w:p>
        </w:tc>
      </w:tr>
      <w:tr>
        <w:trPr>
          <w:trHeight w:val="177"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tabs>
                <w:tab w:pos="7790" w:val="left" w:leader="none"/>
              </w:tabs>
              <w:spacing w:line="156" w:lineRule="exact" w:before="1"/>
              <w:ind w:left="3194"/>
              <w:rPr>
                <w:sz w:val="15"/>
              </w:rPr>
            </w:pPr>
            <w:r>
              <w:rPr>
                <w:sz w:val="15"/>
              </w:rPr>
              <w:t>que   resulte   del   cálculo   proporcional   por</w:t>
            </w:r>
            <w:r>
              <w:rPr>
                <w:spacing w:val="38"/>
                <w:sz w:val="15"/>
              </w:rPr>
              <w:t> </w:t>
            </w:r>
            <w:r>
              <w:rPr>
                <w:sz w:val="15"/>
              </w:rPr>
              <w:t>fracción </w:t>
            </w:r>
            <w:r>
              <w:rPr>
                <w:spacing w:val="35"/>
                <w:sz w:val="15"/>
              </w:rPr>
              <w:t> </w:t>
            </w:r>
            <w:r>
              <w:rPr>
                <w:sz w:val="15"/>
              </w:rPr>
              <w:t>del</w:t>
              <w:tab/>
              <w:t>$108.00</w:t>
            </w:r>
            <w:r>
              <w:rPr>
                <w:spacing w:val="1"/>
                <w:sz w:val="15"/>
              </w:rPr>
              <w:t> </w:t>
            </w:r>
            <w:r>
              <w:rPr>
                <w:sz w:val="15"/>
              </w:rPr>
              <w:t>a</w:t>
            </w:r>
          </w:p>
        </w:tc>
      </w:tr>
      <w:tr>
        <w:trPr>
          <w:trHeight w:val="177" w:hRule="atLeast"/>
        </w:trPr>
        <w:tc>
          <w:tcPr>
            <w:tcW w:w="4800" w:type="dxa"/>
          </w:tcPr>
          <w:p>
            <w:pPr>
              <w:pStyle w:val="TableParagraph"/>
              <w:spacing w:line="156" w:lineRule="exact" w:before="1"/>
              <w:ind w:left="471"/>
              <w:rPr>
                <w:sz w:val="15"/>
              </w:rPr>
            </w:pPr>
            <w:r>
              <w:rPr>
                <w:sz w:val="15"/>
              </w:rPr>
              <w:t>2.- Bar en restaurante folklórico o con música en vivo:</w:t>
            </w:r>
          </w:p>
        </w:tc>
        <w:tc>
          <w:tcPr>
            <w:tcW w:w="3677" w:type="dxa"/>
          </w:tcPr>
          <w:p>
            <w:pPr>
              <w:pStyle w:val="TableParagraph"/>
              <w:rPr>
                <w:rFonts w:ascii="Times New Roman"/>
                <w:sz w:val="10"/>
              </w:rPr>
            </w:pPr>
          </w:p>
        </w:tc>
        <w:tc>
          <w:tcPr>
            <w:tcW w:w="10730" w:type="dxa"/>
          </w:tcPr>
          <w:p>
            <w:pPr>
              <w:pStyle w:val="TableParagraph"/>
              <w:tabs>
                <w:tab w:pos="7918" w:val="left" w:leader="none"/>
              </w:tabs>
              <w:spacing w:line="156" w:lineRule="exact" w:before="1"/>
              <w:ind w:left="3194"/>
              <w:rPr>
                <w:sz w:val="15"/>
              </w:rPr>
            </w:pPr>
            <w:r>
              <w:rPr>
                <w:sz w:val="15"/>
              </w:rPr>
              <w:t>mismo</w:t>
            </w:r>
            <w:r>
              <w:rPr>
                <w:spacing w:val="6"/>
                <w:sz w:val="15"/>
              </w:rPr>
              <w:t> </w:t>
            </w:r>
            <w:r>
              <w:rPr>
                <w:sz w:val="15"/>
              </w:rPr>
              <w:t>de:</w:t>
              <w:tab/>
              <w:t>$215.00</w:t>
            </w:r>
          </w:p>
        </w:tc>
      </w:tr>
      <w:tr>
        <w:trPr>
          <w:trHeight w:val="177" w:hRule="atLeast"/>
        </w:trPr>
        <w:tc>
          <w:tcPr>
            <w:tcW w:w="4800" w:type="dxa"/>
          </w:tcPr>
          <w:p>
            <w:pPr>
              <w:pStyle w:val="TableParagraph"/>
              <w:rPr>
                <w:rFonts w:ascii="Times New Roman"/>
                <w:sz w:val="10"/>
              </w:rPr>
            </w:pPr>
          </w:p>
        </w:tc>
        <w:tc>
          <w:tcPr>
            <w:tcW w:w="3677" w:type="dxa"/>
          </w:tcPr>
          <w:p>
            <w:pPr>
              <w:pStyle w:val="TableParagraph"/>
              <w:spacing w:line="156" w:lineRule="exact" w:before="1"/>
              <w:rPr>
                <w:sz w:val="15"/>
              </w:rPr>
            </w:pPr>
            <w:r>
              <w:rPr>
                <w:sz w:val="15"/>
              </w:rPr>
              <w:t>$314.00</w:t>
            </w:r>
          </w:p>
        </w:tc>
        <w:tc>
          <w:tcPr>
            <w:tcW w:w="10730" w:type="dxa"/>
          </w:tcPr>
          <w:p>
            <w:pPr>
              <w:pStyle w:val="TableParagraph"/>
              <w:rPr>
                <w:rFonts w:ascii="Times New Roman"/>
                <w:sz w:val="10"/>
              </w:rPr>
            </w:pPr>
          </w:p>
        </w:tc>
      </w:tr>
      <w:tr>
        <w:trPr>
          <w:trHeight w:val="177"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spacing w:line="156" w:lineRule="exact" w:before="1"/>
              <w:ind w:left="3615"/>
              <w:rPr>
                <w:sz w:val="15"/>
              </w:rPr>
            </w:pPr>
            <w:r>
              <w:rPr>
                <w:sz w:val="15"/>
              </w:rPr>
              <w:t>III. Anuncios estructurales de cartelera en azoteas o</w:t>
            </w:r>
          </w:p>
        </w:tc>
      </w:tr>
      <w:tr>
        <w:trPr>
          <w:trHeight w:val="442" w:hRule="atLeast"/>
        </w:trPr>
        <w:tc>
          <w:tcPr>
            <w:tcW w:w="4800" w:type="dxa"/>
          </w:tcPr>
          <w:p>
            <w:pPr>
              <w:pStyle w:val="TableParagraph"/>
              <w:spacing w:line="244" w:lineRule="auto" w:before="1"/>
              <w:ind w:left="50" w:right="281" w:firstLine="420"/>
              <w:rPr>
                <w:sz w:val="15"/>
              </w:rPr>
            </w:pPr>
            <w:r>
              <w:rPr>
                <w:sz w:val="15"/>
              </w:rPr>
              <w:t>3.- Bar en cabaret, centro nocturno y giros similares, por cada uno:</w:t>
            </w:r>
          </w:p>
        </w:tc>
        <w:tc>
          <w:tcPr>
            <w:tcW w:w="3677" w:type="dxa"/>
          </w:tcPr>
          <w:p>
            <w:pPr>
              <w:pStyle w:val="TableParagraph"/>
              <w:spacing w:before="5"/>
              <w:rPr>
                <w:rFonts w:ascii="Times New Roman"/>
                <w:sz w:val="15"/>
              </w:rPr>
            </w:pPr>
          </w:p>
          <w:p>
            <w:pPr>
              <w:pStyle w:val="TableParagraph"/>
              <w:rPr>
                <w:sz w:val="15"/>
              </w:rPr>
            </w:pPr>
            <w:r>
              <w:rPr>
                <w:sz w:val="15"/>
              </w:rPr>
              <w:t>$525.00</w:t>
            </w:r>
          </w:p>
        </w:tc>
        <w:tc>
          <w:tcPr>
            <w:tcW w:w="10730" w:type="dxa"/>
          </w:tcPr>
          <w:p>
            <w:pPr>
              <w:pStyle w:val="TableParagraph"/>
              <w:tabs>
                <w:tab w:pos="7790" w:val="left" w:leader="none"/>
                <w:tab w:pos="7918" w:val="left" w:leader="none"/>
              </w:tabs>
              <w:spacing w:line="244" w:lineRule="auto" w:before="1"/>
              <w:ind w:left="3194" w:right="2252"/>
              <w:rPr>
                <w:sz w:val="15"/>
              </w:rPr>
            </w:pPr>
            <w:r>
              <w:rPr>
                <w:sz w:val="15"/>
              </w:rPr>
              <w:t>piso, </w:t>
            </w:r>
            <w:r>
              <w:rPr>
                <w:spacing w:val="11"/>
                <w:sz w:val="15"/>
              </w:rPr>
              <w:t> </w:t>
            </w:r>
            <w:r>
              <w:rPr>
                <w:sz w:val="15"/>
              </w:rPr>
              <w:t>por </w:t>
            </w:r>
            <w:r>
              <w:rPr>
                <w:spacing w:val="11"/>
                <w:sz w:val="15"/>
              </w:rPr>
              <w:t> </w:t>
            </w:r>
            <w:r>
              <w:rPr>
                <w:sz w:val="15"/>
              </w:rPr>
              <w:t>metro </w:t>
            </w:r>
            <w:r>
              <w:rPr>
                <w:spacing w:val="11"/>
                <w:sz w:val="15"/>
              </w:rPr>
              <w:t> </w:t>
            </w:r>
            <w:r>
              <w:rPr>
                <w:sz w:val="15"/>
              </w:rPr>
              <w:t>cuadrado </w:t>
            </w:r>
            <w:r>
              <w:rPr>
                <w:spacing w:val="11"/>
                <w:sz w:val="15"/>
              </w:rPr>
              <w:t> </w:t>
            </w:r>
            <w:r>
              <w:rPr>
                <w:sz w:val="15"/>
              </w:rPr>
              <w:t>o </w:t>
            </w:r>
            <w:r>
              <w:rPr>
                <w:spacing w:val="12"/>
                <w:sz w:val="15"/>
              </w:rPr>
              <w:t> </w:t>
            </w:r>
            <w:r>
              <w:rPr>
                <w:sz w:val="15"/>
              </w:rPr>
              <w:t>lo </w:t>
            </w:r>
            <w:r>
              <w:rPr>
                <w:spacing w:val="11"/>
                <w:sz w:val="15"/>
              </w:rPr>
              <w:t> </w:t>
            </w:r>
            <w:r>
              <w:rPr>
                <w:sz w:val="15"/>
              </w:rPr>
              <w:t>que </w:t>
            </w:r>
            <w:r>
              <w:rPr>
                <w:spacing w:val="11"/>
                <w:sz w:val="15"/>
              </w:rPr>
              <w:t> </w:t>
            </w:r>
            <w:r>
              <w:rPr>
                <w:sz w:val="15"/>
              </w:rPr>
              <w:t>resulte </w:t>
            </w:r>
            <w:r>
              <w:rPr>
                <w:spacing w:val="11"/>
                <w:sz w:val="15"/>
              </w:rPr>
              <w:t> </w:t>
            </w:r>
            <w:r>
              <w:rPr>
                <w:sz w:val="15"/>
              </w:rPr>
              <w:t>del </w:t>
            </w:r>
            <w:r>
              <w:rPr>
                <w:spacing w:val="12"/>
                <w:sz w:val="15"/>
              </w:rPr>
              <w:t> </w:t>
            </w:r>
            <w:r>
              <w:rPr>
                <w:sz w:val="15"/>
              </w:rPr>
              <w:t>cálculo</w:t>
              <w:tab/>
              <w:t>$138.00 </w:t>
            </w:r>
            <w:r>
              <w:rPr>
                <w:spacing w:val="-16"/>
                <w:sz w:val="15"/>
              </w:rPr>
              <w:t>a </w:t>
            </w:r>
            <w:r>
              <w:rPr>
                <w:sz w:val="15"/>
              </w:rPr>
              <w:t>proporcional por fracción del mismo, por </w:t>
            </w:r>
            <w:r>
              <w:rPr>
                <w:spacing w:val="12"/>
                <w:sz w:val="15"/>
              </w:rPr>
              <w:t> </w:t>
            </w:r>
            <w:r>
              <w:rPr>
                <w:sz w:val="15"/>
              </w:rPr>
              <w:t>mes,</w:t>
            </w:r>
            <w:r>
              <w:rPr>
                <w:spacing w:val="10"/>
                <w:sz w:val="15"/>
              </w:rPr>
              <w:t> </w:t>
            </w:r>
            <w:r>
              <w:rPr>
                <w:sz w:val="15"/>
              </w:rPr>
              <w:t>de:</w:t>
              <w:tab/>
              <w:tab/>
            </w:r>
            <w:r>
              <w:rPr>
                <w:spacing w:val="-3"/>
                <w:sz w:val="15"/>
              </w:rPr>
              <w:t>$274.00</w:t>
            </w:r>
          </w:p>
        </w:tc>
      </w:tr>
      <w:tr>
        <w:trPr>
          <w:trHeight w:val="265" w:hRule="atLeast"/>
        </w:trPr>
        <w:tc>
          <w:tcPr>
            <w:tcW w:w="4800" w:type="dxa"/>
          </w:tcPr>
          <w:p>
            <w:pPr>
              <w:pStyle w:val="TableParagraph"/>
              <w:spacing w:line="156" w:lineRule="exact" w:before="90"/>
              <w:ind w:left="471"/>
              <w:rPr>
                <w:sz w:val="15"/>
              </w:rPr>
            </w:pPr>
            <w:r>
              <w:rPr>
                <w:sz w:val="15"/>
              </w:rPr>
              <w:t>4.- Cantina y giros similares, por cada uno:</w:t>
            </w:r>
          </w:p>
        </w:tc>
        <w:tc>
          <w:tcPr>
            <w:tcW w:w="3677" w:type="dxa"/>
          </w:tcPr>
          <w:p>
            <w:pPr>
              <w:pStyle w:val="TableParagraph"/>
              <w:spacing w:line="156" w:lineRule="exact" w:before="90"/>
              <w:rPr>
                <w:sz w:val="15"/>
              </w:rPr>
            </w:pPr>
            <w:r>
              <w:rPr>
                <w:sz w:val="15"/>
              </w:rPr>
              <w:t>$317.00</w:t>
            </w:r>
          </w:p>
        </w:tc>
        <w:tc>
          <w:tcPr>
            <w:tcW w:w="10730" w:type="dxa"/>
          </w:tcPr>
          <w:p>
            <w:pPr>
              <w:pStyle w:val="TableParagraph"/>
              <w:tabs>
                <w:tab w:pos="7876" w:val="left" w:leader="none"/>
              </w:tabs>
              <w:spacing w:line="156" w:lineRule="exact" w:before="89"/>
              <w:ind w:left="3615"/>
              <w:rPr>
                <w:sz w:val="15"/>
              </w:rPr>
            </w:pPr>
            <w:r>
              <w:rPr>
                <w:spacing w:val="-5"/>
                <w:sz w:val="15"/>
              </w:rPr>
              <w:t>IV.  </w:t>
            </w:r>
            <w:r>
              <w:rPr>
                <w:sz w:val="15"/>
              </w:rPr>
              <w:t>Anuncios  inflables,  aerostáticos  y </w:t>
            </w:r>
            <w:r>
              <w:rPr>
                <w:spacing w:val="13"/>
                <w:sz w:val="15"/>
              </w:rPr>
              <w:t> </w:t>
            </w:r>
            <w:r>
              <w:rPr>
                <w:sz w:val="15"/>
              </w:rPr>
              <w:t>anuncio </w:t>
            </w:r>
            <w:r>
              <w:rPr>
                <w:spacing w:val="2"/>
                <w:sz w:val="15"/>
              </w:rPr>
              <w:t> </w:t>
            </w:r>
            <w:r>
              <w:rPr>
                <w:sz w:val="15"/>
              </w:rPr>
              <w:t>tipo</w:t>
              <w:tab/>
              <w:t>$85.00</w:t>
            </w:r>
            <w:r>
              <w:rPr>
                <w:spacing w:val="1"/>
                <w:sz w:val="15"/>
              </w:rPr>
              <w:t> </w:t>
            </w:r>
            <w:r>
              <w:rPr>
                <w:sz w:val="15"/>
              </w:rPr>
              <w:t>a</w:t>
            </w:r>
          </w:p>
        </w:tc>
      </w:tr>
      <w:tr>
        <w:trPr>
          <w:trHeight w:val="177"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tabs>
                <w:tab w:pos="7918" w:val="left" w:leader="none"/>
              </w:tabs>
              <w:spacing w:line="156" w:lineRule="exact" w:before="1"/>
              <w:ind w:left="3194"/>
              <w:rPr>
                <w:sz w:val="15"/>
              </w:rPr>
            </w:pPr>
            <w:r>
              <w:rPr>
                <w:sz w:val="15"/>
              </w:rPr>
              <w:t>botarga por metro cúbico, por</w:t>
            </w:r>
            <w:r>
              <w:rPr>
                <w:spacing w:val="39"/>
                <w:sz w:val="15"/>
              </w:rPr>
              <w:t> </w:t>
            </w:r>
            <w:r>
              <w:rPr>
                <w:sz w:val="15"/>
              </w:rPr>
              <w:t>mes,</w:t>
            </w:r>
            <w:r>
              <w:rPr>
                <w:spacing w:val="8"/>
                <w:sz w:val="15"/>
              </w:rPr>
              <w:t> </w:t>
            </w:r>
            <w:r>
              <w:rPr>
                <w:sz w:val="15"/>
              </w:rPr>
              <w:t>de:</w:t>
              <w:tab/>
              <w:t>$170.00</w:t>
            </w:r>
          </w:p>
        </w:tc>
      </w:tr>
      <w:tr>
        <w:trPr>
          <w:trHeight w:val="353" w:hRule="atLeast"/>
        </w:trPr>
        <w:tc>
          <w:tcPr>
            <w:tcW w:w="4800" w:type="dxa"/>
          </w:tcPr>
          <w:p>
            <w:pPr>
              <w:pStyle w:val="TableParagraph"/>
              <w:spacing w:before="1"/>
              <w:ind w:left="471"/>
              <w:rPr>
                <w:sz w:val="15"/>
              </w:rPr>
            </w:pPr>
            <w:r>
              <w:rPr>
                <w:sz w:val="15"/>
              </w:rPr>
              <w:t>5.- Bar y giros similares, por cada uno:</w:t>
            </w:r>
          </w:p>
        </w:tc>
        <w:tc>
          <w:tcPr>
            <w:tcW w:w="3677" w:type="dxa"/>
          </w:tcPr>
          <w:p>
            <w:pPr>
              <w:pStyle w:val="TableParagraph"/>
              <w:spacing w:before="1"/>
              <w:rPr>
                <w:sz w:val="15"/>
              </w:rPr>
            </w:pPr>
            <w:r>
              <w:rPr>
                <w:sz w:val="15"/>
              </w:rPr>
              <w:t>$422.00</w:t>
            </w:r>
          </w:p>
        </w:tc>
        <w:tc>
          <w:tcPr>
            <w:tcW w:w="10730" w:type="dxa"/>
          </w:tcPr>
          <w:p>
            <w:pPr>
              <w:pStyle w:val="TableParagraph"/>
              <w:spacing w:before="4"/>
              <w:rPr>
                <w:rFonts w:ascii="Times New Roman"/>
                <w:sz w:val="15"/>
              </w:rPr>
            </w:pPr>
          </w:p>
          <w:p>
            <w:pPr>
              <w:pStyle w:val="TableParagraph"/>
              <w:spacing w:line="156" w:lineRule="exact" w:before="1"/>
              <w:ind w:left="3615"/>
              <w:rPr>
                <w:sz w:val="15"/>
              </w:rPr>
            </w:pPr>
            <w:r>
              <w:rPr>
                <w:sz w:val="15"/>
              </w:rPr>
              <w:t>V. Anuncios de promociones de propaganda</w:t>
            </w:r>
          </w:p>
        </w:tc>
      </w:tr>
      <w:tr>
        <w:trPr>
          <w:trHeight w:val="177" w:hRule="atLeast"/>
        </w:trPr>
        <w:tc>
          <w:tcPr>
            <w:tcW w:w="4800" w:type="dxa"/>
          </w:tcPr>
          <w:p>
            <w:pPr>
              <w:pStyle w:val="TableParagraph"/>
              <w:spacing w:line="156" w:lineRule="exact" w:before="1"/>
              <w:ind w:right="441"/>
              <w:jc w:val="right"/>
              <w:rPr>
                <w:sz w:val="15"/>
              </w:rPr>
            </w:pPr>
            <w:r>
              <w:rPr>
                <w:sz w:val="15"/>
              </w:rPr>
              <w:t>6.- Bar en video bar, discotecas y giros similares, por</w:t>
            </w:r>
          </w:p>
        </w:tc>
        <w:tc>
          <w:tcPr>
            <w:tcW w:w="3677" w:type="dxa"/>
          </w:tcPr>
          <w:p>
            <w:pPr>
              <w:pStyle w:val="TableParagraph"/>
              <w:rPr>
                <w:rFonts w:ascii="Times New Roman"/>
                <w:sz w:val="10"/>
              </w:rPr>
            </w:pPr>
          </w:p>
        </w:tc>
        <w:tc>
          <w:tcPr>
            <w:tcW w:w="10730" w:type="dxa"/>
          </w:tcPr>
          <w:p>
            <w:pPr>
              <w:pStyle w:val="TableParagraph"/>
              <w:spacing w:line="156" w:lineRule="exact" w:before="1"/>
              <w:ind w:left="3194"/>
              <w:rPr>
                <w:sz w:val="15"/>
              </w:rPr>
            </w:pPr>
            <w:r>
              <w:rPr>
                <w:sz w:val="15"/>
              </w:rPr>
              <w:t>comercial mediante cartulinas, mantas, publicidad en</w:t>
            </w:r>
          </w:p>
        </w:tc>
      </w:tr>
      <w:tr>
        <w:trPr>
          <w:trHeight w:val="177" w:hRule="atLeast"/>
        </w:trPr>
        <w:tc>
          <w:tcPr>
            <w:tcW w:w="4800" w:type="dxa"/>
          </w:tcPr>
          <w:p>
            <w:pPr>
              <w:pStyle w:val="TableParagraph"/>
              <w:spacing w:line="156" w:lineRule="exact" w:before="1"/>
              <w:ind w:left="50"/>
              <w:rPr>
                <w:sz w:val="15"/>
              </w:rPr>
            </w:pPr>
            <w:r>
              <w:rPr>
                <w:sz w:val="15"/>
              </w:rPr>
              <w:t>cada uno:</w:t>
            </w:r>
          </w:p>
        </w:tc>
        <w:tc>
          <w:tcPr>
            <w:tcW w:w="3677" w:type="dxa"/>
          </w:tcPr>
          <w:p>
            <w:pPr>
              <w:pStyle w:val="TableParagraph"/>
              <w:spacing w:line="156" w:lineRule="exact" w:before="1"/>
              <w:rPr>
                <w:sz w:val="15"/>
              </w:rPr>
            </w:pPr>
            <w:r>
              <w:rPr>
                <w:sz w:val="15"/>
              </w:rPr>
              <w:t>$483.00</w:t>
            </w:r>
          </w:p>
        </w:tc>
        <w:tc>
          <w:tcPr>
            <w:tcW w:w="10730" w:type="dxa"/>
          </w:tcPr>
          <w:p>
            <w:pPr>
              <w:pStyle w:val="TableParagraph"/>
              <w:spacing w:line="156" w:lineRule="exact" w:before="1"/>
              <w:ind w:left="3194"/>
              <w:rPr>
                <w:sz w:val="15"/>
              </w:rPr>
            </w:pPr>
            <w:r>
              <w:rPr>
                <w:sz w:val="15"/>
              </w:rPr>
              <w:t>bardas, y demás formas similares, por cada promoción,</w:t>
            </w:r>
          </w:p>
        </w:tc>
      </w:tr>
      <w:tr>
        <w:trPr>
          <w:trHeight w:val="177"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spacing w:line="156" w:lineRule="exact" w:before="1"/>
              <w:ind w:left="3194"/>
              <w:rPr>
                <w:sz w:val="15"/>
              </w:rPr>
            </w:pPr>
            <w:r>
              <w:rPr>
                <w:sz w:val="15"/>
              </w:rPr>
              <w:t>evento, baile o espectáculo público, por metro cuadrado o</w:t>
            </w:r>
          </w:p>
        </w:tc>
      </w:tr>
      <w:tr>
        <w:trPr>
          <w:trHeight w:val="177" w:hRule="atLeast"/>
        </w:trPr>
        <w:tc>
          <w:tcPr>
            <w:tcW w:w="4800" w:type="dxa"/>
          </w:tcPr>
          <w:p>
            <w:pPr>
              <w:pStyle w:val="TableParagraph"/>
              <w:spacing w:line="156" w:lineRule="exact" w:before="1"/>
              <w:ind w:right="441"/>
              <w:jc w:val="right"/>
              <w:rPr>
                <w:sz w:val="15"/>
              </w:rPr>
            </w:pPr>
            <w:r>
              <w:rPr>
                <w:sz w:val="15"/>
              </w:rPr>
              <w:t>7.- Cantinas, bares y departamento de bebidas</w:t>
            </w:r>
          </w:p>
        </w:tc>
        <w:tc>
          <w:tcPr>
            <w:tcW w:w="3677" w:type="dxa"/>
          </w:tcPr>
          <w:p>
            <w:pPr>
              <w:pStyle w:val="TableParagraph"/>
              <w:rPr>
                <w:rFonts w:ascii="Times New Roman"/>
                <w:sz w:val="10"/>
              </w:rPr>
            </w:pPr>
          </w:p>
        </w:tc>
        <w:tc>
          <w:tcPr>
            <w:tcW w:w="10730" w:type="dxa"/>
          </w:tcPr>
          <w:p>
            <w:pPr>
              <w:pStyle w:val="TableParagraph"/>
              <w:spacing w:line="156" w:lineRule="exact" w:before="1"/>
              <w:ind w:left="3194"/>
              <w:rPr>
                <w:sz w:val="15"/>
              </w:rPr>
            </w:pPr>
            <w:r>
              <w:rPr>
                <w:sz w:val="15"/>
              </w:rPr>
              <w:t>lo que resulte del cálculo proporcional por fracción del $32.00 a $56.00</w:t>
            </w:r>
          </w:p>
        </w:tc>
      </w:tr>
      <w:tr>
        <w:trPr>
          <w:trHeight w:val="353" w:hRule="atLeast"/>
        </w:trPr>
        <w:tc>
          <w:tcPr>
            <w:tcW w:w="4800" w:type="dxa"/>
          </w:tcPr>
          <w:p>
            <w:pPr>
              <w:pStyle w:val="TableParagraph"/>
              <w:spacing w:line="176" w:lineRule="exact" w:before="1"/>
              <w:ind w:left="50" w:right="281"/>
              <w:rPr>
                <w:sz w:val="15"/>
              </w:rPr>
            </w:pPr>
            <w:r>
              <w:rPr>
                <w:sz w:val="15"/>
              </w:rPr>
              <w:t>alcohólicas de alta graduación, cuyo contenido de alcohol sea superior a los 12° grados en hoteles, moteles, motor hoteles,</w:t>
            </w:r>
          </w:p>
        </w:tc>
        <w:tc>
          <w:tcPr>
            <w:tcW w:w="3677" w:type="dxa"/>
          </w:tcPr>
          <w:p>
            <w:pPr>
              <w:pStyle w:val="TableParagraph"/>
              <w:rPr>
                <w:rFonts w:ascii="Times New Roman"/>
                <w:sz w:val="14"/>
              </w:rPr>
            </w:pPr>
          </w:p>
        </w:tc>
        <w:tc>
          <w:tcPr>
            <w:tcW w:w="10730" w:type="dxa"/>
          </w:tcPr>
          <w:p>
            <w:pPr>
              <w:pStyle w:val="TableParagraph"/>
              <w:spacing w:before="1"/>
              <w:ind w:left="3194"/>
              <w:rPr>
                <w:sz w:val="15"/>
              </w:rPr>
            </w:pPr>
            <w:r>
              <w:rPr>
                <w:sz w:val="15"/>
              </w:rPr>
              <w:t>mismo, de:</w:t>
            </w:r>
          </w:p>
        </w:tc>
      </w:tr>
      <w:tr>
        <w:trPr>
          <w:trHeight w:val="177" w:hRule="atLeast"/>
        </w:trPr>
        <w:tc>
          <w:tcPr>
            <w:tcW w:w="4800" w:type="dxa"/>
          </w:tcPr>
          <w:p>
            <w:pPr>
              <w:pStyle w:val="TableParagraph"/>
              <w:spacing w:line="156" w:lineRule="exact" w:before="1"/>
              <w:ind w:left="50"/>
              <w:rPr>
                <w:sz w:val="15"/>
              </w:rPr>
            </w:pPr>
            <w:r>
              <w:rPr>
                <w:sz w:val="15"/>
              </w:rPr>
              <w:t>centros recreativos, teatros, clubes sociales, clubes privados</w:t>
            </w:r>
          </w:p>
        </w:tc>
        <w:tc>
          <w:tcPr>
            <w:tcW w:w="3677" w:type="dxa"/>
          </w:tcPr>
          <w:p>
            <w:pPr>
              <w:pStyle w:val="TableParagraph"/>
              <w:rPr>
                <w:rFonts w:ascii="Times New Roman"/>
                <w:sz w:val="10"/>
              </w:rPr>
            </w:pPr>
          </w:p>
        </w:tc>
        <w:tc>
          <w:tcPr>
            <w:tcW w:w="10730" w:type="dxa"/>
          </w:tcPr>
          <w:p>
            <w:pPr>
              <w:pStyle w:val="TableParagraph"/>
              <w:spacing w:line="156" w:lineRule="exact" w:before="1"/>
              <w:ind w:left="3615"/>
              <w:rPr>
                <w:sz w:val="15"/>
              </w:rPr>
            </w:pPr>
            <w:r>
              <w:rPr>
                <w:sz w:val="15"/>
              </w:rPr>
              <w:t>VI. Anuncios en cartel colocados en tableros o</w:t>
            </w:r>
          </w:p>
        </w:tc>
      </w:tr>
      <w:tr>
        <w:trPr>
          <w:trHeight w:val="177" w:hRule="atLeast"/>
        </w:trPr>
        <w:tc>
          <w:tcPr>
            <w:tcW w:w="4800" w:type="dxa"/>
          </w:tcPr>
          <w:p>
            <w:pPr>
              <w:pStyle w:val="TableParagraph"/>
              <w:spacing w:line="156" w:lineRule="exact" w:before="1"/>
              <w:ind w:left="50"/>
              <w:rPr>
                <w:sz w:val="15"/>
              </w:rPr>
            </w:pPr>
            <w:r>
              <w:rPr>
                <w:sz w:val="15"/>
              </w:rPr>
              <w:t>con membresía, salones de juego, asociaciones civiles y</w:t>
            </w:r>
          </w:p>
        </w:tc>
        <w:tc>
          <w:tcPr>
            <w:tcW w:w="3677" w:type="dxa"/>
          </w:tcPr>
          <w:p>
            <w:pPr>
              <w:pStyle w:val="TableParagraph"/>
              <w:rPr>
                <w:rFonts w:ascii="Times New Roman"/>
                <w:sz w:val="10"/>
              </w:rPr>
            </w:pPr>
          </w:p>
        </w:tc>
        <w:tc>
          <w:tcPr>
            <w:tcW w:w="10730" w:type="dxa"/>
          </w:tcPr>
          <w:p>
            <w:pPr>
              <w:pStyle w:val="TableParagraph"/>
              <w:spacing w:line="156" w:lineRule="exact" w:before="1"/>
              <w:ind w:left="3194"/>
              <w:rPr>
                <w:sz w:val="15"/>
              </w:rPr>
            </w:pPr>
            <w:r>
              <w:rPr>
                <w:sz w:val="15"/>
              </w:rPr>
              <w:t>espacios destinados por el Municipio para fijar</w:t>
            </w:r>
          </w:p>
        </w:tc>
      </w:tr>
      <w:tr>
        <w:trPr>
          <w:trHeight w:val="177" w:hRule="atLeast"/>
        </w:trPr>
        <w:tc>
          <w:tcPr>
            <w:tcW w:w="4800" w:type="dxa"/>
          </w:tcPr>
          <w:p>
            <w:pPr>
              <w:pStyle w:val="TableParagraph"/>
              <w:spacing w:line="156" w:lineRule="exact" w:before="1"/>
              <w:ind w:left="50"/>
              <w:rPr>
                <w:sz w:val="15"/>
              </w:rPr>
            </w:pPr>
            <w:r>
              <w:rPr>
                <w:sz w:val="15"/>
              </w:rPr>
              <w:t>deportivas, y demás departamentos similares, por cada uno:</w:t>
            </w:r>
          </w:p>
        </w:tc>
        <w:tc>
          <w:tcPr>
            <w:tcW w:w="3677" w:type="dxa"/>
          </w:tcPr>
          <w:p>
            <w:pPr>
              <w:pStyle w:val="TableParagraph"/>
              <w:rPr>
                <w:rFonts w:ascii="Times New Roman"/>
                <w:sz w:val="10"/>
              </w:rPr>
            </w:pPr>
          </w:p>
        </w:tc>
        <w:tc>
          <w:tcPr>
            <w:tcW w:w="10730" w:type="dxa"/>
          </w:tcPr>
          <w:p>
            <w:pPr>
              <w:pStyle w:val="TableParagraph"/>
              <w:tabs>
                <w:tab w:pos="7919" w:val="left" w:leader="none"/>
              </w:tabs>
              <w:spacing w:line="156" w:lineRule="exact" w:before="1"/>
              <w:ind w:left="3194"/>
              <w:rPr>
                <w:sz w:val="15"/>
              </w:rPr>
            </w:pPr>
            <w:r>
              <w:rPr>
                <w:sz w:val="15"/>
              </w:rPr>
              <w:t>propaganda impresa, por</w:t>
            </w:r>
            <w:r>
              <w:rPr>
                <w:spacing w:val="34"/>
                <w:sz w:val="15"/>
              </w:rPr>
              <w:t> </w:t>
            </w:r>
            <w:r>
              <w:rPr>
                <w:sz w:val="15"/>
              </w:rPr>
              <w:t>cada</w:t>
            </w:r>
            <w:r>
              <w:rPr>
                <w:spacing w:val="11"/>
                <w:sz w:val="15"/>
              </w:rPr>
              <w:t> </w:t>
            </w:r>
            <w:r>
              <w:rPr>
                <w:sz w:val="15"/>
              </w:rPr>
              <w:t>promoción:</w:t>
              <w:tab/>
              <w:t>$303.00</w:t>
            </w:r>
          </w:p>
        </w:tc>
      </w:tr>
      <w:tr>
        <w:trPr>
          <w:trHeight w:val="353" w:hRule="atLeast"/>
        </w:trPr>
        <w:tc>
          <w:tcPr>
            <w:tcW w:w="4800" w:type="dxa"/>
          </w:tcPr>
          <w:p>
            <w:pPr>
              <w:pStyle w:val="TableParagraph"/>
              <w:rPr>
                <w:rFonts w:ascii="Times New Roman"/>
                <w:sz w:val="14"/>
              </w:rPr>
            </w:pPr>
          </w:p>
        </w:tc>
        <w:tc>
          <w:tcPr>
            <w:tcW w:w="3677" w:type="dxa"/>
          </w:tcPr>
          <w:p>
            <w:pPr>
              <w:pStyle w:val="TableParagraph"/>
              <w:spacing w:before="1"/>
              <w:rPr>
                <w:sz w:val="15"/>
              </w:rPr>
            </w:pPr>
            <w:r>
              <w:rPr>
                <w:sz w:val="15"/>
              </w:rPr>
              <w:t>$239.00</w:t>
            </w:r>
          </w:p>
        </w:tc>
        <w:tc>
          <w:tcPr>
            <w:tcW w:w="10730" w:type="dxa"/>
          </w:tcPr>
          <w:p>
            <w:pPr>
              <w:pStyle w:val="TableParagraph"/>
              <w:spacing w:before="4"/>
              <w:rPr>
                <w:rFonts w:ascii="Times New Roman"/>
                <w:sz w:val="15"/>
              </w:rPr>
            </w:pPr>
          </w:p>
          <w:p>
            <w:pPr>
              <w:pStyle w:val="TableParagraph"/>
              <w:spacing w:line="156" w:lineRule="exact"/>
              <w:ind w:left="3615"/>
              <w:rPr>
                <w:sz w:val="15"/>
              </w:rPr>
            </w:pPr>
            <w:r>
              <w:rPr>
                <w:sz w:val="15"/>
              </w:rPr>
              <w:t>VII. Anuncios publicitarios instalados en tapiales</w:t>
            </w:r>
          </w:p>
        </w:tc>
      </w:tr>
      <w:tr>
        <w:trPr>
          <w:trHeight w:val="620" w:hRule="atLeast"/>
        </w:trPr>
        <w:tc>
          <w:tcPr>
            <w:tcW w:w="4800" w:type="dxa"/>
          </w:tcPr>
          <w:p>
            <w:pPr>
              <w:pStyle w:val="TableParagraph"/>
              <w:spacing w:line="247" w:lineRule="auto" w:before="2"/>
              <w:ind w:left="50" w:right="281" w:firstLine="420"/>
              <w:rPr>
                <w:sz w:val="15"/>
              </w:rPr>
            </w:pPr>
            <w:r>
              <w:rPr>
                <w:sz w:val="15"/>
              </w:rPr>
              <w:t>8.- Giros donde se utilicen vinos y licores para preparar bebidas a base de café, jugos, frutas, por cada uno:</w:t>
            </w:r>
          </w:p>
        </w:tc>
        <w:tc>
          <w:tcPr>
            <w:tcW w:w="3677" w:type="dxa"/>
          </w:tcPr>
          <w:p>
            <w:pPr>
              <w:pStyle w:val="TableParagraph"/>
              <w:rPr>
                <w:rFonts w:ascii="Times New Roman"/>
                <w:sz w:val="16"/>
              </w:rPr>
            </w:pPr>
          </w:p>
          <w:p>
            <w:pPr>
              <w:pStyle w:val="TableParagraph"/>
              <w:spacing w:before="11"/>
              <w:rPr>
                <w:rFonts w:ascii="Times New Roman"/>
                <w:sz w:val="14"/>
              </w:rPr>
            </w:pPr>
          </w:p>
          <w:p>
            <w:pPr>
              <w:pStyle w:val="TableParagraph"/>
              <w:ind w:left="85"/>
              <w:rPr>
                <w:sz w:val="15"/>
              </w:rPr>
            </w:pPr>
            <w:r>
              <w:rPr>
                <w:sz w:val="15"/>
              </w:rPr>
              <w:t>$90.00</w:t>
            </w:r>
          </w:p>
        </w:tc>
        <w:tc>
          <w:tcPr>
            <w:tcW w:w="10730" w:type="dxa"/>
          </w:tcPr>
          <w:p>
            <w:pPr>
              <w:pStyle w:val="TableParagraph"/>
              <w:spacing w:line="247" w:lineRule="auto" w:before="1"/>
              <w:ind w:left="3194" w:right="3666"/>
              <w:rPr>
                <w:sz w:val="15"/>
              </w:rPr>
            </w:pPr>
            <w:r>
              <w:rPr>
                <w:sz w:val="15"/>
              </w:rPr>
              <w:t>provisionales en la vía pública, en  predios  en  construcción</w:t>
            </w:r>
            <w:r>
              <w:rPr>
                <w:spacing w:val="16"/>
                <w:sz w:val="15"/>
              </w:rPr>
              <w:t> </w:t>
            </w:r>
            <w:r>
              <w:rPr>
                <w:sz w:val="15"/>
              </w:rPr>
              <w:t>por</w:t>
            </w:r>
            <w:r>
              <w:rPr>
                <w:spacing w:val="16"/>
                <w:sz w:val="15"/>
              </w:rPr>
              <w:t> </w:t>
            </w:r>
            <w:r>
              <w:rPr>
                <w:sz w:val="15"/>
              </w:rPr>
              <w:t>metro</w:t>
            </w:r>
            <w:r>
              <w:rPr>
                <w:spacing w:val="17"/>
                <w:sz w:val="15"/>
              </w:rPr>
              <w:t> </w:t>
            </w:r>
            <w:r>
              <w:rPr>
                <w:sz w:val="15"/>
              </w:rPr>
              <w:t>cuadrado</w:t>
            </w:r>
            <w:r>
              <w:rPr>
                <w:spacing w:val="15"/>
                <w:sz w:val="15"/>
              </w:rPr>
              <w:t> </w:t>
            </w:r>
            <w:r>
              <w:rPr>
                <w:sz w:val="15"/>
              </w:rPr>
              <w:t>o</w:t>
            </w:r>
            <w:r>
              <w:rPr>
                <w:spacing w:val="16"/>
                <w:sz w:val="15"/>
              </w:rPr>
              <w:t> </w:t>
            </w:r>
            <w:r>
              <w:rPr>
                <w:sz w:val="15"/>
              </w:rPr>
              <w:t>lo</w:t>
            </w:r>
            <w:r>
              <w:rPr>
                <w:spacing w:val="17"/>
                <w:sz w:val="15"/>
              </w:rPr>
              <w:t> </w:t>
            </w:r>
            <w:r>
              <w:rPr>
                <w:sz w:val="15"/>
              </w:rPr>
              <w:t>que</w:t>
            </w:r>
            <w:r>
              <w:rPr>
                <w:spacing w:val="15"/>
                <w:sz w:val="15"/>
              </w:rPr>
              <w:t> </w:t>
            </w:r>
            <w:r>
              <w:rPr>
                <w:sz w:val="15"/>
              </w:rPr>
              <w:t>resulte</w:t>
            </w:r>
            <w:r>
              <w:rPr>
                <w:spacing w:val="17"/>
                <w:sz w:val="15"/>
              </w:rPr>
              <w:t> </w:t>
            </w:r>
            <w:r>
              <w:rPr>
                <w:sz w:val="15"/>
              </w:rPr>
              <w:t>del</w:t>
            </w:r>
          </w:p>
          <w:p>
            <w:pPr>
              <w:pStyle w:val="TableParagraph"/>
              <w:tabs>
                <w:tab w:pos="8005" w:val="left" w:leader="none"/>
              </w:tabs>
              <w:spacing w:line="172" w:lineRule="exact"/>
              <w:ind w:left="3194"/>
              <w:rPr>
                <w:sz w:val="15"/>
              </w:rPr>
            </w:pPr>
            <w:r>
              <w:rPr>
                <w:sz w:val="15"/>
              </w:rPr>
              <w:t>cálculo proporcional por fracción</w:t>
            </w:r>
            <w:r>
              <w:rPr>
                <w:spacing w:val="40"/>
                <w:sz w:val="15"/>
              </w:rPr>
              <w:t> </w:t>
            </w:r>
            <w:r>
              <w:rPr>
                <w:sz w:val="15"/>
              </w:rPr>
              <w:t>del</w:t>
            </w:r>
            <w:r>
              <w:rPr>
                <w:spacing w:val="9"/>
                <w:sz w:val="15"/>
              </w:rPr>
              <w:t> </w:t>
            </w:r>
            <w:r>
              <w:rPr>
                <w:sz w:val="15"/>
              </w:rPr>
              <w:t>mismo:</w:t>
              <w:tab/>
              <w:t>$85.00</w:t>
            </w:r>
          </w:p>
        </w:tc>
      </w:tr>
      <w:tr>
        <w:trPr>
          <w:trHeight w:val="708" w:hRule="atLeast"/>
        </w:trPr>
        <w:tc>
          <w:tcPr>
            <w:tcW w:w="4800" w:type="dxa"/>
          </w:tcPr>
          <w:p>
            <w:pPr>
              <w:pStyle w:val="TableParagraph"/>
              <w:spacing w:line="244" w:lineRule="auto" w:before="90"/>
              <w:ind w:left="50" w:right="441" w:firstLine="420"/>
              <w:jc w:val="both"/>
              <w:rPr>
                <w:sz w:val="15"/>
              </w:rPr>
            </w:pPr>
            <w:r>
              <w:rPr>
                <w:sz w:val="15"/>
              </w:rPr>
              <w:t>9.- Venta y consumo de bebidas alcohólicas de baja graduación de hasta 6° grados en billares o boliches, por cada uno:</w:t>
            </w:r>
          </w:p>
        </w:tc>
        <w:tc>
          <w:tcPr>
            <w:tcW w:w="3677" w:type="dxa"/>
          </w:tcPr>
          <w:p>
            <w:pPr>
              <w:pStyle w:val="TableParagraph"/>
              <w:rPr>
                <w:rFonts w:ascii="Times New Roman"/>
                <w:sz w:val="16"/>
              </w:rPr>
            </w:pPr>
          </w:p>
          <w:p>
            <w:pPr>
              <w:pStyle w:val="TableParagraph"/>
              <w:spacing w:before="6"/>
              <w:rPr>
                <w:rFonts w:ascii="Times New Roman"/>
                <w:sz w:val="22"/>
              </w:rPr>
            </w:pPr>
          </w:p>
          <w:p>
            <w:pPr>
              <w:pStyle w:val="TableParagraph"/>
              <w:ind w:left="86"/>
              <w:rPr>
                <w:sz w:val="15"/>
              </w:rPr>
            </w:pPr>
            <w:r>
              <w:rPr>
                <w:sz w:val="15"/>
              </w:rPr>
              <w:t>$90.00</w:t>
            </w:r>
          </w:p>
        </w:tc>
        <w:tc>
          <w:tcPr>
            <w:tcW w:w="10730" w:type="dxa"/>
          </w:tcPr>
          <w:p>
            <w:pPr>
              <w:pStyle w:val="TableParagraph"/>
              <w:spacing w:line="244" w:lineRule="auto" w:before="89"/>
              <w:ind w:left="3195" w:right="3666" w:firstLine="420"/>
              <w:rPr>
                <w:sz w:val="15"/>
              </w:rPr>
            </w:pPr>
            <w:r>
              <w:rPr>
                <w:sz w:val="15"/>
              </w:rPr>
              <w:t>VIII. Anuncios publicitarios instalados en vallas, pantallas electrónicas, por metro cuadrado o lo que</w:t>
            </w:r>
          </w:p>
          <w:p>
            <w:pPr>
              <w:pStyle w:val="TableParagraph"/>
              <w:tabs>
                <w:tab w:pos="7919" w:val="left" w:leader="none"/>
              </w:tabs>
              <w:spacing w:before="2"/>
              <w:ind w:left="3195"/>
              <w:rPr>
                <w:sz w:val="15"/>
              </w:rPr>
            </w:pPr>
            <w:r>
              <w:rPr>
                <w:sz w:val="15"/>
              </w:rPr>
              <w:t>resulte del cálculo proporcional por fracción </w:t>
            </w:r>
            <w:r>
              <w:rPr>
                <w:spacing w:val="16"/>
                <w:sz w:val="15"/>
              </w:rPr>
              <w:t> </w:t>
            </w:r>
            <w:r>
              <w:rPr>
                <w:sz w:val="15"/>
              </w:rPr>
              <w:t>del</w:t>
            </w:r>
            <w:r>
              <w:rPr>
                <w:spacing w:val="9"/>
                <w:sz w:val="15"/>
              </w:rPr>
              <w:t> </w:t>
            </w:r>
            <w:r>
              <w:rPr>
                <w:sz w:val="15"/>
              </w:rPr>
              <w:t>mismo:</w:t>
              <w:tab/>
              <w:t>$100.00</w:t>
            </w:r>
          </w:p>
        </w:tc>
      </w:tr>
      <w:tr>
        <w:trPr>
          <w:trHeight w:val="442" w:hRule="atLeast"/>
        </w:trPr>
        <w:tc>
          <w:tcPr>
            <w:tcW w:w="4800" w:type="dxa"/>
          </w:tcPr>
          <w:p>
            <w:pPr>
              <w:pStyle w:val="TableParagraph"/>
              <w:spacing w:line="170" w:lineRule="atLeast" w:before="90"/>
              <w:ind w:left="50" w:right="281" w:firstLine="420"/>
              <w:rPr>
                <w:sz w:val="15"/>
              </w:rPr>
            </w:pPr>
            <w:r>
              <w:rPr>
                <w:sz w:val="15"/>
              </w:rPr>
              <w:t>10.- Venta y consumo de bebidas alcohólicas de alta graduación en billares o boliches, por cada uno:</w:t>
            </w:r>
          </w:p>
        </w:tc>
        <w:tc>
          <w:tcPr>
            <w:tcW w:w="3677" w:type="dxa"/>
          </w:tcPr>
          <w:p>
            <w:pPr>
              <w:pStyle w:val="TableParagraph"/>
              <w:spacing w:before="2"/>
              <w:rPr>
                <w:rFonts w:ascii="Times New Roman"/>
                <w:sz w:val="23"/>
              </w:rPr>
            </w:pPr>
          </w:p>
          <w:p>
            <w:pPr>
              <w:pStyle w:val="TableParagraph"/>
              <w:spacing w:line="155" w:lineRule="exact" w:before="1"/>
              <w:ind w:left="86"/>
              <w:rPr>
                <w:sz w:val="15"/>
              </w:rPr>
            </w:pPr>
            <w:r>
              <w:rPr>
                <w:sz w:val="15"/>
              </w:rPr>
              <w:t>$90.00</w:t>
            </w:r>
          </w:p>
        </w:tc>
        <w:tc>
          <w:tcPr>
            <w:tcW w:w="10730" w:type="dxa"/>
          </w:tcPr>
          <w:p>
            <w:pPr>
              <w:pStyle w:val="TableParagraph"/>
              <w:spacing w:line="170" w:lineRule="atLeast" w:before="89"/>
              <w:ind w:left="3195" w:right="3666" w:firstLine="420"/>
              <w:rPr>
                <w:sz w:val="15"/>
              </w:rPr>
            </w:pPr>
            <w:r>
              <w:rPr>
                <w:sz w:val="15"/>
              </w:rPr>
              <w:t>IX. Anuncio sin estructura gabinete corrido luminoso, por cada metro cuadrado o lo que resulte del</w:t>
            </w:r>
          </w:p>
        </w:tc>
      </w:tr>
      <w:tr>
        <w:trPr>
          <w:trHeight w:val="177"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tabs>
                <w:tab w:pos="8005" w:val="left" w:leader="none"/>
              </w:tabs>
              <w:spacing w:line="157" w:lineRule="exact"/>
              <w:ind w:left="3195"/>
              <w:rPr>
                <w:sz w:val="15"/>
              </w:rPr>
            </w:pPr>
            <w:r>
              <w:rPr>
                <w:sz w:val="15"/>
              </w:rPr>
              <w:t>cálculo proporcional por fracción</w:t>
            </w:r>
            <w:r>
              <w:rPr>
                <w:spacing w:val="40"/>
                <w:sz w:val="15"/>
              </w:rPr>
              <w:t> </w:t>
            </w:r>
            <w:r>
              <w:rPr>
                <w:sz w:val="15"/>
              </w:rPr>
              <w:t>del</w:t>
            </w:r>
            <w:r>
              <w:rPr>
                <w:spacing w:val="9"/>
                <w:sz w:val="15"/>
              </w:rPr>
              <w:t> </w:t>
            </w:r>
            <w:r>
              <w:rPr>
                <w:sz w:val="15"/>
              </w:rPr>
              <w:t>mismo:</w:t>
              <w:tab/>
              <w:t>$68.00</w:t>
            </w:r>
          </w:p>
        </w:tc>
      </w:tr>
      <w:tr>
        <w:trPr>
          <w:trHeight w:val="354" w:hRule="atLeast"/>
        </w:trPr>
        <w:tc>
          <w:tcPr>
            <w:tcW w:w="8477" w:type="dxa"/>
            <w:gridSpan w:val="2"/>
          </w:tcPr>
          <w:p>
            <w:pPr>
              <w:pStyle w:val="TableParagraph"/>
              <w:spacing w:before="2"/>
              <w:ind w:left="2680" w:right="3641"/>
              <w:jc w:val="center"/>
              <w:rPr>
                <w:b/>
                <w:sz w:val="15"/>
              </w:rPr>
            </w:pPr>
            <w:r>
              <w:rPr>
                <w:b/>
                <w:sz w:val="15"/>
              </w:rPr>
              <w:t>SECCIÓN</w:t>
            </w:r>
            <w:r>
              <w:rPr>
                <w:b/>
                <w:spacing w:val="1"/>
                <w:sz w:val="15"/>
              </w:rPr>
              <w:t> </w:t>
            </w:r>
            <w:r>
              <w:rPr>
                <w:b/>
                <w:sz w:val="15"/>
              </w:rPr>
              <w:t>SÉPTIMA</w:t>
            </w:r>
          </w:p>
          <w:p>
            <w:pPr>
              <w:pStyle w:val="TableParagraph"/>
              <w:spacing w:line="155" w:lineRule="exact" w:before="4"/>
              <w:ind w:left="2680" w:right="3648"/>
              <w:jc w:val="center"/>
              <w:rPr>
                <w:b/>
                <w:sz w:val="15"/>
              </w:rPr>
            </w:pPr>
            <w:r>
              <w:rPr>
                <w:b/>
                <w:sz w:val="15"/>
              </w:rPr>
              <w:t>De los Permisos de Anuncios</w:t>
            </w:r>
          </w:p>
        </w:tc>
        <w:tc>
          <w:tcPr>
            <w:tcW w:w="10730" w:type="dxa"/>
          </w:tcPr>
          <w:p>
            <w:pPr>
              <w:pStyle w:val="TableParagraph"/>
              <w:spacing w:before="5"/>
              <w:rPr>
                <w:rFonts w:ascii="Times New Roman"/>
                <w:sz w:val="15"/>
              </w:rPr>
            </w:pPr>
          </w:p>
          <w:p>
            <w:pPr>
              <w:pStyle w:val="TableParagraph"/>
              <w:spacing w:line="157" w:lineRule="exact"/>
              <w:ind w:left="3615"/>
              <w:rPr>
                <w:sz w:val="15"/>
              </w:rPr>
            </w:pPr>
            <w:r>
              <w:rPr>
                <w:sz w:val="15"/>
              </w:rPr>
              <w:t>X. Anuncios en estructuras, carteleras, pantallas</w:t>
            </w:r>
          </w:p>
        </w:tc>
      </w:tr>
      <w:tr>
        <w:trPr>
          <w:trHeight w:val="173" w:hRule="atLeast"/>
        </w:trPr>
        <w:tc>
          <w:tcPr>
            <w:tcW w:w="4800" w:type="dxa"/>
          </w:tcPr>
          <w:p>
            <w:pPr>
              <w:pStyle w:val="TableParagraph"/>
              <w:rPr>
                <w:rFonts w:ascii="Times New Roman"/>
                <w:sz w:val="10"/>
              </w:rPr>
            </w:pPr>
          </w:p>
        </w:tc>
        <w:tc>
          <w:tcPr>
            <w:tcW w:w="3677" w:type="dxa"/>
          </w:tcPr>
          <w:p>
            <w:pPr>
              <w:pStyle w:val="TableParagraph"/>
              <w:rPr>
                <w:rFonts w:ascii="Times New Roman"/>
                <w:sz w:val="10"/>
              </w:rPr>
            </w:pPr>
          </w:p>
        </w:tc>
        <w:tc>
          <w:tcPr>
            <w:tcW w:w="10730" w:type="dxa"/>
          </w:tcPr>
          <w:p>
            <w:pPr>
              <w:pStyle w:val="TableParagraph"/>
              <w:spacing w:line="153" w:lineRule="exact"/>
              <w:ind w:left="3195"/>
              <w:rPr>
                <w:sz w:val="15"/>
              </w:rPr>
            </w:pPr>
            <w:r>
              <w:rPr>
                <w:sz w:val="15"/>
              </w:rPr>
              <w:t>electrónicas, adaptados a vehículos particulares o</w:t>
            </w:r>
          </w:p>
        </w:tc>
      </w:tr>
    </w:tbl>
    <w:p>
      <w:pPr>
        <w:spacing w:after="0" w:line="153" w:lineRule="exact"/>
        <w:rPr>
          <w:sz w:val="15"/>
        </w:rPr>
        <w:sectPr>
          <w:headerReference w:type="default" r:id="rId75"/>
          <w:pgSz w:w="23250" w:h="15310" w:orient="landscape"/>
          <w:pgMar w:header="881" w:footer="499" w:top="1920" w:bottom="680" w:left="1880" w:right="1520"/>
        </w:sectPr>
      </w:pPr>
    </w:p>
    <w:p>
      <w:pPr>
        <w:pStyle w:val="BodyText"/>
        <w:rPr>
          <w:rFonts w:ascii="Times New Roman"/>
          <w:sz w:val="20"/>
        </w:rPr>
      </w:pPr>
    </w:p>
    <w:p>
      <w:pPr>
        <w:pStyle w:val="BodyText"/>
        <w:spacing w:before="7"/>
        <w:rPr>
          <w:rFonts w:ascii="Times New Roman"/>
          <w:sz w:val="29"/>
        </w:rPr>
      </w:pPr>
    </w:p>
    <w:p>
      <w:pPr>
        <w:spacing w:after="0"/>
        <w:rPr>
          <w:rFonts w:ascii="Times New Roman"/>
          <w:sz w:val="29"/>
        </w:rPr>
        <w:sectPr>
          <w:headerReference w:type="default" r:id="rId76"/>
          <w:pgSz w:w="23250" w:h="15310" w:orient="landscape"/>
          <w:pgMar w:header="881" w:footer="499" w:top="1920" w:bottom="680" w:left="1880" w:right="1520"/>
        </w:sectPr>
      </w:pPr>
    </w:p>
    <w:p>
      <w:pPr>
        <w:pStyle w:val="BodyText"/>
        <w:spacing w:line="247" w:lineRule="auto" w:before="99"/>
        <w:ind w:left="226" w:right="1382"/>
      </w:pPr>
      <w:r>
        <w:rPr/>
        <w:t>remolques, por metro cuadrado o lo que  resulte  </w:t>
      </w:r>
      <w:r>
        <w:rPr>
          <w:spacing w:val="-4"/>
        </w:rPr>
        <w:t>del  </w:t>
      </w:r>
      <w:r>
        <w:rPr/>
        <w:t>cálculo</w:t>
      </w:r>
      <w:r>
        <w:rPr>
          <w:spacing w:val="16"/>
        </w:rPr>
        <w:t> </w:t>
      </w:r>
      <w:r>
        <w:rPr/>
        <w:t>proporcional</w:t>
      </w:r>
      <w:r>
        <w:rPr>
          <w:spacing w:val="17"/>
        </w:rPr>
        <w:t> </w:t>
      </w:r>
      <w:r>
        <w:rPr/>
        <w:t>por</w:t>
      </w:r>
      <w:r>
        <w:rPr>
          <w:spacing w:val="17"/>
        </w:rPr>
        <w:t> </w:t>
      </w:r>
      <w:r>
        <w:rPr/>
        <w:t>fracción</w:t>
      </w:r>
      <w:r>
        <w:rPr>
          <w:spacing w:val="16"/>
        </w:rPr>
        <w:t> </w:t>
      </w:r>
      <w:r>
        <w:rPr/>
        <w:t>del</w:t>
      </w:r>
      <w:r>
        <w:rPr>
          <w:spacing w:val="17"/>
        </w:rPr>
        <w:t> </w:t>
      </w:r>
      <w:r>
        <w:rPr/>
        <w:t>mismo,</w:t>
      </w:r>
      <w:r>
        <w:rPr>
          <w:spacing w:val="18"/>
        </w:rPr>
        <w:t> </w:t>
      </w:r>
      <w:r>
        <w:rPr/>
        <w:t>por</w:t>
      </w:r>
      <w:r>
        <w:rPr>
          <w:spacing w:val="17"/>
        </w:rPr>
        <w:t> </w:t>
      </w:r>
      <w:r>
        <w:rPr/>
        <w:t>cada</w:t>
      </w:r>
    </w:p>
    <w:p>
      <w:pPr>
        <w:pStyle w:val="BodyText"/>
        <w:tabs>
          <w:tab w:pos="5037" w:val="left" w:leader="none"/>
        </w:tabs>
        <w:spacing w:line="172" w:lineRule="exact"/>
        <w:ind w:left="226"/>
      </w:pPr>
      <w:r>
        <w:rPr/>
        <w:t>cara:</w:t>
        <w:tab/>
        <w:t>$80.00</w:t>
      </w:r>
    </w:p>
    <w:p>
      <w:pPr>
        <w:pStyle w:val="BodyText"/>
        <w:tabs>
          <w:tab w:pos="5044" w:val="left" w:leader="none"/>
        </w:tabs>
        <w:spacing w:before="99"/>
        <w:ind w:left="233"/>
      </w:pPr>
      <w:r>
        <w:rPr/>
        <w:br w:type="column"/>
      </w:r>
      <w:r>
        <w:rPr/>
        <w:t>conducto, por</w:t>
      </w:r>
      <w:r>
        <w:rPr>
          <w:spacing w:val="17"/>
        </w:rPr>
        <w:t> </w:t>
      </w:r>
      <w:r>
        <w:rPr/>
        <w:t>metro</w:t>
      </w:r>
      <w:r>
        <w:rPr>
          <w:spacing w:val="9"/>
        </w:rPr>
        <w:t> </w:t>
      </w:r>
      <w:r>
        <w:rPr/>
        <w:t>lineal:</w:t>
        <w:tab/>
        <w:t>$15.00</w:t>
      </w:r>
    </w:p>
    <w:p>
      <w:pPr>
        <w:pStyle w:val="BodyText"/>
        <w:spacing w:before="10"/>
      </w:pPr>
    </w:p>
    <w:p>
      <w:pPr>
        <w:pStyle w:val="Heading4"/>
        <w:ind w:left="3237" w:right="3589"/>
      </w:pPr>
      <w:r>
        <w:rPr/>
        <w:t>SECCIÓN NOVENA</w:t>
      </w:r>
    </w:p>
    <w:p>
      <w:pPr>
        <w:spacing w:before="4"/>
        <w:ind w:left="226" w:right="0" w:firstLine="0"/>
        <w:jc w:val="left"/>
        <w:rPr>
          <w:b/>
          <w:sz w:val="15"/>
        </w:rPr>
      </w:pPr>
      <w:r>
        <w:rPr>
          <w:b/>
          <w:sz w:val="15"/>
        </w:rPr>
        <w:t>De los Servicios de Obra de Agua Potable, Drenaje, Alcantarillado, Tratamiento y Disposición Final de</w:t>
      </w:r>
    </w:p>
    <w:p>
      <w:pPr>
        <w:spacing w:after="0"/>
        <w:jc w:val="left"/>
        <w:rPr>
          <w:sz w:val="15"/>
        </w:rPr>
        <w:sectPr>
          <w:type w:val="continuous"/>
          <w:pgSz w:w="23250" w:h="15310" w:orient="landscape"/>
          <w:pgMar w:top="0" w:bottom="0" w:left="1880" w:right="1520"/>
          <w:cols w:num="2" w:equalWidth="0">
            <w:col w:w="5549" w:space="6067"/>
            <w:col w:w="8234"/>
          </w:cols>
        </w:sectPr>
      </w:pPr>
    </w:p>
    <w:p>
      <w:pPr>
        <w:pStyle w:val="BodyText"/>
        <w:spacing w:line="247" w:lineRule="auto" w:before="4"/>
        <w:ind w:left="226" w:firstLine="420"/>
      </w:pPr>
      <w:r>
        <w:rPr/>
        <w:t>XI. Anuncio por perifoneo por cada unidad de transporte o en el establecimiento de:</w:t>
      </w:r>
    </w:p>
    <w:p>
      <w:pPr>
        <w:pStyle w:val="BodyText"/>
        <w:spacing w:before="4"/>
        <w:ind w:left="226"/>
      </w:pPr>
      <w:r>
        <w:rPr/>
        <w:br w:type="column"/>
      </w:r>
      <w:r>
        <w:rPr/>
        <w:t>$341.00</w:t>
      </w:r>
    </w:p>
    <w:p>
      <w:pPr>
        <w:pStyle w:val="Heading4"/>
        <w:spacing w:before="5"/>
        <w:ind w:left="2946" w:right="3626"/>
      </w:pPr>
      <w:r>
        <w:rPr>
          <w:b w:val="0"/>
        </w:rPr>
        <w:br w:type="column"/>
      </w:r>
      <w:r>
        <w:rPr/>
        <w:t>Aguas Residuales</w:t>
      </w:r>
    </w:p>
    <w:p>
      <w:pPr>
        <w:pStyle w:val="BodyText"/>
        <w:spacing w:before="8"/>
        <w:rPr>
          <w:b/>
        </w:rPr>
      </w:pPr>
    </w:p>
    <w:p>
      <w:pPr>
        <w:pStyle w:val="BodyText"/>
        <w:ind w:left="226"/>
      </w:pPr>
      <w:r>
        <w:rPr>
          <w:b/>
        </w:rPr>
        <w:t>Artículo 94.- </w:t>
      </w:r>
      <w:r>
        <w:rPr/>
        <w:t>Las personas físicas o jurídicas que requieran de los servicios que a continuación se</w:t>
      </w:r>
    </w:p>
    <w:p>
      <w:pPr>
        <w:spacing w:after="0"/>
        <w:sectPr>
          <w:type w:val="continuous"/>
          <w:pgSz w:w="23250" w:h="15310" w:orient="landscape"/>
          <w:pgMar w:top="0" w:bottom="0" w:left="1880" w:right="1520"/>
          <w:cols w:num="3" w:equalWidth="0">
            <w:col w:w="4244" w:space="482"/>
            <w:col w:w="823" w:space="6395"/>
            <w:col w:w="7906"/>
          </w:cols>
        </w:sectPr>
      </w:pPr>
    </w:p>
    <w:p>
      <w:pPr>
        <w:pStyle w:val="BodyText"/>
        <w:spacing w:line="244" w:lineRule="auto" w:before="5"/>
        <w:ind w:left="151" w:right="40" w:firstLine="397"/>
        <w:jc w:val="both"/>
      </w:pPr>
      <w:r>
        <w:rPr/>
        <w:t>Los partidos políticos quedan exentos del pago de derechos de los permisos previstos en este artículo,    en los términos de lo dispuesto en las disposiciones legales y  reglamentarias en materia electoral a nivel   estatal y</w:t>
      </w:r>
      <w:r>
        <w:rPr>
          <w:spacing w:val="2"/>
        </w:rPr>
        <w:t> </w:t>
      </w:r>
      <w:r>
        <w:rPr/>
        <w:t>federal.</w:t>
      </w:r>
    </w:p>
    <w:p>
      <w:pPr>
        <w:pStyle w:val="BodyText"/>
        <w:spacing w:before="9"/>
      </w:pPr>
    </w:p>
    <w:p>
      <w:pPr>
        <w:pStyle w:val="Heading4"/>
        <w:ind w:left="299" w:right="183"/>
      </w:pPr>
      <w:r>
        <w:rPr/>
        <w:t>SECCIÓN OCTAVA</w:t>
      </w:r>
    </w:p>
    <w:p>
      <w:pPr>
        <w:spacing w:before="5"/>
        <w:ind w:left="298" w:right="185" w:firstLine="0"/>
        <w:jc w:val="center"/>
        <w:rPr>
          <w:b/>
          <w:sz w:val="15"/>
        </w:rPr>
      </w:pPr>
      <w:r>
        <w:rPr>
          <w:b/>
          <w:sz w:val="15"/>
        </w:rPr>
        <w:t>De los Servicios de Obra</w:t>
      </w:r>
    </w:p>
    <w:p>
      <w:pPr>
        <w:pStyle w:val="BodyText"/>
        <w:spacing w:before="7"/>
        <w:rPr>
          <w:b/>
        </w:rPr>
      </w:pPr>
    </w:p>
    <w:p>
      <w:pPr>
        <w:pStyle w:val="BodyText"/>
        <w:spacing w:line="247" w:lineRule="auto"/>
        <w:ind w:left="151" w:right="38" w:firstLine="397"/>
        <w:jc w:val="both"/>
      </w:pPr>
      <w:r>
        <w:rPr>
          <w:b/>
        </w:rPr>
        <w:t>Artículo 93.- </w:t>
      </w:r>
      <w:r>
        <w:rPr/>
        <w:t>Las personas físicas o jurídicas que requieran de los servicios que a continuación se mencionan para la realización de obras, cubrirán previamente los derechos correspondientes conforme a lo siguiente:</w:t>
      </w:r>
    </w:p>
    <w:p>
      <w:pPr>
        <w:pStyle w:val="BodyText"/>
        <w:spacing w:before="4"/>
      </w:pPr>
    </w:p>
    <w:p>
      <w:pPr>
        <w:pStyle w:val="ListParagraph"/>
        <w:numPr>
          <w:ilvl w:val="0"/>
          <w:numId w:val="85"/>
        </w:numPr>
        <w:tabs>
          <w:tab w:pos="884" w:val="left" w:leader="none"/>
        </w:tabs>
        <w:spacing w:line="240" w:lineRule="auto" w:before="0" w:after="0"/>
        <w:ind w:left="883" w:right="0" w:hanging="194"/>
        <w:jc w:val="left"/>
        <w:rPr>
          <w:sz w:val="15"/>
        </w:rPr>
      </w:pPr>
      <w:r>
        <w:rPr>
          <w:sz w:val="15"/>
        </w:rPr>
        <w:t>Por la medición de terrenos por la</w:t>
      </w:r>
      <w:r>
        <w:rPr>
          <w:spacing w:val="4"/>
          <w:sz w:val="15"/>
        </w:rPr>
        <w:t> </w:t>
      </w:r>
      <w:r>
        <w:rPr>
          <w:sz w:val="15"/>
        </w:rPr>
        <w:t>dependencia</w:t>
      </w:r>
    </w:p>
    <w:p>
      <w:pPr>
        <w:pStyle w:val="BodyText"/>
        <w:tabs>
          <w:tab w:pos="5036" w:val="left" w:leader="none"/>
        </w:tabs>
        <w:spacing w:before="4"/>
        <w:ind w:left="226"/>
        <w:jc w:val="both"/>
      </w:pPr>
      <w:r>
        <w:rPr/>
        <w:t>municipal de obras públicas por </w:t>
      </w:r>
      <w:r>
        <w:rPr>
          <w:spacing w:val="6"/>
        </w:rPr>
        <w:t> </w:t>
      </w:r>
      <w:r>
        <w:rPr/>
        <w:t>metro</w:t>
      </w:r>
      <w:r>
        <w:rPr>
          <w:spacing w:val="10"/>
        </w:rPr>
        <w:t> </w:t>
      </w:r>
      <w:r>
        <w:rPr/>
        <w:t>cuadrado:</w:t>
        <w:tab/>
        <w:t>$10.00</w:t>
      </w:r>
    </w:p>
    <w:p>
      <w:pPr>
        <w:pStyle w:val="BodyText"/>
        <w:spacing w:before="9"/>
      </w:pPr>
    </w:p>
    <w:p>
      <w:pPr>
        <w:pStyle w:val="ListParagraph"/>
        <w:numPr>
          <w:ilvl w:val="0"/>
          <w:numId w:val="85"/>
        </w:numPr>
        <w:tabs>
          <w:tab w:pos="830" w:val="left" w:leader="none"/>
        </w:tabs>
        <w:spacing w:line="247" w:lineRule="auto" w:before="0" w:after="0"/>
        <w:ind w:left="226" w:right="3186" w:firstLine="420"/>
        <w:jc w:val="both"/>
        <w:rPr>
          <w:sz w:val="15"/>
        </w:rPr>
      </w:pPr>
      <w:r>
        <w:rPr>
          <w:sz w:val="15"/>
        </w:rPr>
        <w:t>Por autorización para romper pavimento, banquetas o machuelos, para la instalación de tomas de agua, descargas o reparación</w:t>
      </w:r>
      <w:r>
        <w:rPr>
          <w:spacing w:val="21"/>
          <w:sz w:val="15"/>
        </w:rPr>
        <w:t> </w:t>
      </w:r>
      <w:r>
        <w:rPr>
          <w:sz w:val="15"/>
        </w:rPr>
        <w:t>de</w:t>
      </w:r>
      <w:r>
        <w:rPr>
          <w:spacing w:val="21"/>
          <w:sz w:val="15"/>
        </w:rPr>
        <w:t> </w:t>
      </w:r>
      <w:r>
        <w:rPr>
          <w:sz w:val="15"/>
        </w:rPr>
        <w:t>tuberías</w:t>
      </w:r>
      <w:r>
        <w:rPr>
          <w:spacing w:val="21"/>
          <w:sz w:val="15"/>
        </w:rPr>
        <w:t> </w:t>
      </w:r>
      <w:r>
        <w:rPr>
          <w:sz w:val="15"/>
        </w:rPr>
        <w:t>o</w:t>
      </w:r>
      <w:r>
        <w:rPr>
          <w:spacing w:val="21"/>
          <w:sz w:val="15"/>
        </w:rPr>
        <w:t> </w:t>
      </w:r>
      <w:r>
        <w:rPr>
          <w:sz w:val="15"/>
        </w:rPr>
        <w:t>servicios</w:t>
      </w:r>
      <w:r>
        <w:rPr>
          <w:spacing w:val="21"/>
          <w:sz w:val="15"/>
        </w:rPr>
        <w:t> </w:t>
      </w:r>
      <w:r>
        <w:rPr>
          <w:sz w:val="15"/>
        </w:rPr>
        <w:t>de</w:t>
      </w:r>
      <w:r>
        <w:rPr>
          <w:spacing w:val="21"/>
          <w:sz w:val="15"/>
        </w:rPr>
        <w:t> </w:t>
      </w:r>
      <w:r>
        <w:rPr>
          <w:sz w:val="15"/>
        </w:rPr>
        <w:t>cualquier</w:t>
      </w:r>
      <w:r>
        <w:rPr>
          <w:spacing w:val="20"/>
          <w:sz w:val="15"/>
        </w:rPr>
        <w:t> </w:t>
      </w:r>
      <w:r>
        <w:rPr>
          <w:sz w:val="15"/>
        </w:rPr>
        <w:t>naturaleza,</w:t>
      </w:r>
      <w:r>
        <w:rPr>
          <w:spacing w:val="20"/>
          <w:sz w:val="15"/>
        </w:rPr>
        <w:t> </w:t>
      </w:r>
      <w:r>
        <w:rPr>
          <w:sz w:val="15"/>
        </w:rPr>
        <w:t>por</w:t>
      </w:r>
    </w:p>
    <w:p>
      <w:pPr>
        <w:pStyle w:val="BodyText"/>
        <w:tabs>
          <w:tab w:pos="4951" w:val="left" w:leader="none"/>
        </w:tabs>
        <w:spacing w:line="171" w:lineRule="exact"/>
        <w:ind w:left="226"/>
        <w:jc w:val="both"/>
      </w:pPr>
      <w:r>
        <w:rPr/>
        <w:t>metro</w:t>
      </w:r>
      <w:r>
        <w:rPr>
          <w:spacing w:val="9"/>
        </w:rPr>
        <w:t> </w:t>
      </w:r>
      <w:r>
        <w:rPr/>
        <w:t>cuadrado:</w:t>
        <w:tab/>
        <w:t>$268.00</w:t>
      </w:r>
    </w:p>
    <w:p>
      <w:pPr>
        <w:pStyle w:val="BodyText"/>
        <w:spacing w:before="8"/>
      </w:pPr>
    </w:p>
    <w:p>
      <w:pPr>
        <w:pStyle w:val="BodyText"/>
        <w:spacing w:line="247" w:lineRule="auto" w:before="1"/>
        <w:ind w:left="226" w:right="3183" w:firstLine="420"/>
        <w:jc w:val="both"/>
      </w:pPr>
      <w:r>
        <w:rPr/>
        <w:t>Adicionalmente al párrafo que antecede  y  para  garantizar la reposición de los bienes afectados, el interesado  en realizar la ruptura de pavimento, banquetas o machuelos, deberá realizar un depósito en la Tesorería Municipal o cheque certificado, que será reintegrado al interesado, una vez que hayan sido revisados los trabajos y sea constatado que fueron realizados conforme al estado original y la normatividad aplicable. El valor del depósito, la revisión y la evaluación de   los trabajos, serán determinados por la Dirección General de Obras</w:t>
      </w:r>
      <w:r>
        <w:rPr>
          <w:spacing w:val="1"/>
        </w:rPr>
        <w:t> </w:t>
      </w:r>
      <w:r>
        <w:rPr/>
        <w:t>Públicas.</w:t>
      </w:r>
    </w:p>
    <w:p>
      <w:pPr>
        <w:pStyle w:val="BodyText"/>
        <w:spacing w:line="247" w:lineRule="auto" w:before="5"/>
        <w:ind w:left="151" w:right="748"/>
      </w:pPr>
      <w:r>
        <w:rPr/>
        <w:br w:type="column"/>
      </w:r>
      <w:r>
        <w:rPr/>
        <w:t>mencionan para la realización de obra, cubrirán previamente al Municipio de Tlajomulco de Zúñiga, Jalisco,      los derechos correspondientes conforme a lo</w:t>
      </w:r>
      <w:r>
        <w:rPr>
          <w:spacing w:val="11"/>
        </w:rPr>
        <w:t> </w:t>
      </w:r>
      <w:r>
        <w:rPr/>
        <w:t>siguiente:</w:t>
      </w:r>
    </w:p>
    <w:p>
      <w:pPr>
        <w:pStyle w:val="BodyText"/>
        <w:spacing w:before="3"/>
      </w:pPr>
    </w:p>
    <w:p>
      <w:pPr>
        <w:pStyle w:val="BodyText"/>
        <w:spacing w:line="247" w:lineRule="auto"/>
        <w:ind w:left="151" w:right="748" w:firstLine="397"/>
      </w:pPr>
      <w:r>
        <w:rPr/>
        <w:t>I. Por autorización para romper pavimento, banquetas o machuelos, para la instalación de  tomas  de  agua,</w:t>
      </w:r>
      <w:r>
        <w:rPr>
          <w:spacing w:val="4"/>
        </w:rPr>
        <w:t> </w:t>
      </w:r>
      <w:r>
        <w:rPr/>
        <w:t>descargas</w:t>
      </w:r>
      <w:r>
        <w:rPr>
          <w:spacing w:val="5"/>
        </w:rPr>
        <w:t> </w:t>
      </w:r>
      <w:r>
        <w:rPr/>
        <w:t>o</w:t>
      </w:r>
      <w:r>
        <w:rPr>
          <w:spacing w:val="4"/>
        </w:rPr>
        <w:t> </w:t>
      </w:r>
      <w:r>
        <w:rPr/>
        <w:t>reparación</w:t>
      </w:r>
      <w:r>
        <w:rPr>
          <w:spacing w:val="5"/>
        </w:rPr>
        <w:t> </w:t>
      </w:r>
      <w:r>
        <w:rPr/>
        <w:t>de</w:t>
      </w:r>
      <w:r>
        <w:rPr>
          <w:spacing w:val="4"/>
        </w:rPr>
        <w:t> </w:t>
      </w:r>
      <w:r>
        <w:rPr/>
        <w:t>tuberías</w:t>
      </w:r>
      <w:r>
        <w:rPr>
          <w:spacing w:val="5"/>
        </w:rPr>
        <w:t> </w:t>
      </w:r>
      <w:r>
        <w:rPr/>
        <w:t>o</w:t>
      </w:r>
      <w:r>
        <w:rPr>
          <w:spacing w:val="4"/>
        </w:rPr>
        <w:t> </w:t>
      </w:r>
      <w:r>
        <w:rPr/>
        <w:t>servicios</w:t>
      </w:r>
      <w:r>
        <w:rPr>
          <w:spacing w:val="5"/>
        </w:rPr>
        <w:t> </w:t>
      </w:r>
      <w:r>
        <w:rPr/>
        <w:t>de</w:t>
      </w:r>
      <w:r>
        <w:rPr>
          <w:spacing w:val="3"/>
        </w:rPr>
        <w:t> </w:t>
      </w:r>
      <w:r>
        <w:rPr/>
        <w:t>cualquier</w:t>
      </w:r>
      <w:r>
        <w:rPr>
          <w:spacing w:val="5"/>
        </w:rPr>
        <w:t> </w:t>
      </w:r>
      <w:r>
        <w:rPr/>
        <w:t>naturaleza,</w:t>
      </w:r>
      <w:r>
        <w:rPr>
          <w:spacing w:val="4"/>
        </w:rPr>
        <w:t> </w:t>
      </w:r>
      <w:r>
        <w:rPr/>
        <w:t>por</w:t>
      </w:r>
      <w:r>
        <w:rPr>
          <w:spacing w:val="5"/>
        </w:rPr>
        <w:t> </w:t>
      </w:r>
      <w:r>
        <w:rPr/>
        <w:t>metro</w:t>
      </w:r>
      <w:r>
        <w:rPr>
          <w:spacing w:val="4"/>
        </w:rPr>
        <w:t> </w:t>
      </w:r>
      <w:r>
        <w:rPr/>
        <w:t>lineal.</w:t>
      </w:r>
    </w:p>
    <w:p>
      <w:pPr>
        <w:pStyle w:val="BodyText"/>
        <w:spacing w:before="4"/>
      </w:pPr>
    </w:p>
    <w:p>
      <w:pPr>
        <w:pStyle w:val="ListParagraph"/>
        <w:numPr>
          <w:ilvl w:val="0"/>
          <w:numId w:val="86"/>
        </w:numPr>
        <w:tabs>
          <w:tab w:pos="726" w:val="left" w:leader="none"/>
        </w:tabs>
        <w:spacing w:line="240" w:lineRule="auto" w:before="0" w:after="0"/>
        <w:ind w:left="725" w:right="0" w:hanging="178"/>
        <w:jc w:val="left"/>
        <w:rPr>
          <w:sz w:val="15"/>
        </w:rPr>
      </w:pPr>
      <w:r>
        <w:rPr>
          <w:spacing w:val="-4"/>
          <w:sz w:val="15"/>
        </w:rPr>
        <w:t>Tomas </w:t>
      </w:r>
      <w:r>
        <w:rPr>
          <w:sz w:val="15"/>
        </w:rPr>
        <w:t>y</w:t>
      </w:r>
      <w:r>
        <w:rPr>
          <w:spacing w:val="6"/>
          <w:sz w:val="15"/>
        </w:rPr>
        <w:t> </w:t>
      </w:r>
      <w:r>
        <w:rPr>
          <w:sz w:val="15"/>
        </w:rPr>
        <w:t>descargas:</w:t>
      </w:r>
    </w:p>
    <w:p>
      <w:pPr>
        <w:pStyle w:val="BodyText"/>
        <w:spacing w:before="8"/>
      </w:pPr>
    </w:p>
    <w:p>
      <w:pPr>
        <w:pStyle w:val="ListParagraph"/>
        <w:numPr>
          <w:ilvl w:val="1"/>
          <w:numId w:val="86"/>
        </w:numPr>
        <w:tabs>
          <w:tab w:pos="1129" w:val="left" w:leader="none"/>
          <w:tab w:pos="5037" w:val="left" w:leader="none"/>
        </w:tabs>
        <w:spacing w:line="240" w:lineRule="auto" w:before="0" w:after="0"/>
        <w:ind w:left="1128" w:right="0" w:hanging="253"/>
        <w:jc w:val="left"/>
        <w:rPr>
          <w:sz w:val="15"/>
        </w:rPr>
      </w:pPr>
      <w:r>
        <w:rPr>
          <w:sz w:val="15"/>
        </w:rPr>
        <w:t>Terracería:</w:t>
        <w:tab/>
        <w:t>$44.00</w:t>
      </w:r>
    </w:p>
    <w:p>
      <w:pPr>
        <w:pStyle w:val="BodyText"/>
        <w:spacing w:before="10"/>
      </w:pPr>
    </w:p>
    <w:p>
      <w:pPr>
        <w:pStyle w:val="ListParagraph"/>
        <w:numPr>
          <w:ilvl w:val="1"/>
          <w:numId w:val="86"/>
        </w:numPr>
        <w:tabs>
          <w:tab w:pos="1129" w:val="left" w:leader="none"/>
          <w:tab w:pos="5037" w:val="left" w:leader="none"/>
        </w:tabs>
        <w:spacing w:line="240" w:lineRule="auto" w:before="0" w:after="0"/>
        <w:ind w:left="1128" w:right="0" w:hanging="253"/>
        <w:jc w:val="left"/>
        <w:rPr>
          <w:sz w:val="15"/>
        </w:rPr>
      </w:pPr>
      <w:r>
        <w:rPr>
          <w:sz w:val="15"/>
        </w:rPr>
        <w:t>Empedrado:</w:t>
        <w:tab/>
        <w:t>$90.00</w:t>
      </w:r>
    </w:p>
    <w:p>
      <w:pPr>
        <w:pStyle w:val="BodyText"/>
        <w:spacing w:before="9"/>
      </w:pPr>
    </w:p>
    <w:p>
      <w:pPr>
        <w:pStyle w:val="BodyText"/>
        <w:tabs>
          <w:tab w:pos="4950" w:val="left" w:leader="none"/>
        </w:tabs>
        <w:ind w:left="876"/>
      </w:pPr>
      <w:r>
        <w:rPr/>
        <w:t>3.  </w:t>
      </w:r>
      <w:r>
        <w:rPr>
          <w:spacing w:val="6"/>
        </w:rPr>
        <w:t> </w:t>
      </w:r>
      <w:r>
        <w:rPr/>
        <w:t>Asfalto:</w:t>
        <w:tab/>
        <w:t>$141.00</w:t>
      </w:r>
    </w:p>
    <w:p>
      <w:pPr>
        <w:pStyle w:val="BodyText"/>
        <w:spacing w:before="9"/>
      </w:pPr>
    </w:p>
    <w:p>
      <w:pPr>
        <w:pStyle w:val="BodyText"/>
        <w:tabs>
          <w:tab w:pos="4950" w:val="left" w:leader="none"/>
        </w:tabs>
        <w:ind w:left="876"/>
      </w:pPr>
      <w:r>
        <w:rPr/>
        <w:t>4.  </w:t>
      </w:r>
      <w:r>
        <w:rPr>
          <w:spacing w:val="8"/>
        </w:rPr>
        <w:t> </w:t>
      </w:r>
      <w:r>
        <w:rPr/>
        <w:t>Adoquín:</w:t>
        <w:tab/>
        <w:t>$158.00</w:t>
      </w:r>
    </w:p>
    <w:p>
      <w:pPr>
        <w:pStyle w:val="BodyText"/>
        <w:spacing w:before="10"/>
      </w:pPr>
    </w:p>
    <w:p>
      <w:pPr>
        <w:pStyle w:val="ListParagraph"/>
        <w:numPr>
          <w:ilvl w:val="0"/>
          <w:numId w:val="87"/>
        </w:numPr>
        <w:tabs>
          <w:tab w:pos="1129" w:val="left" w:leader="none"/>
          <w:tab w:pos="4950" w:val="left" w:leader="none"/>
        </w:tabs>
        <w:spacing w:line="240" w:lineRule="auto" w:before="0" w:after="0"/>
        <w:ind w:left="1128" w:right="0" w:hanging="253"/>
        <w:jc w:val="left"/>
        <w:rPr>
          <w:sz w:val="15"/>
        </w:rPr>
      </w:pPr>
      <w:r>
        <w:rPr>
          <w:sz w:val="15"/>
        </w:rPr>
        <w:t>Concreto</w:t>
      </w:r>
      <w:r>
        <w:rPr>
          <w:spacing w:val="26"/>
          <w:sz w:val="15"/>
        </w:rPr>
        <w:t> </w:t>
      </w:r>
      <w:r>
        <w:rPr>
          <w:sz w:val="15"/>
        </w:rPr>
        <w:t>Hidráulico</w:t>
        <w:tab/>
        <w:t>$176.00</w:t>
      </w:r>
    </w:p>
    <w:p>
      <w:pPr>
        <w:pStyle w:val="BodyText"/>
        <w:spacing w:before="8"/>
      </w:pPr>
    </w:p>
    <w:p>
      <w:pPr>
        <w:pStyle w:val="ListParagraph"/>
        <w:numPr>
          <w:ilvl w:val="0"/>
          <w:numId w:val="87"/>
        </w:numPr>
        <w:tabs>
          <w:tab w:pos="1129" w:val="left" w:leader="none"/>
          <w:tab w:pos="5036" w:val="left" w:leader="none"/>
        </w:tabs>
        <w:spacing w:line="240" w:lineRule="auto" w:before="0" w:after="0"/>
        <w:ind w:left="1128" w:right="0" w:hanging="253"/>
        <w:jc w:val="left"/>
        <w:rPr>
          <w:sz w:val="15"/>
        </w:rPr>
      </w:pPr>
      <w:r>
        <w:rPr>
          <w:sz w:val="15"/>
        </w:rPr>
        <w:t>Banquetas:</w:t>
        <w:tab/>
        <w:t>$44.00</w:t>
      </w:r>
    </w:p>
    <w:p>
      <w:pPr>
        <w:pStyle w:val="BodyText"/>
        <w:spacing w:before="10"/>
      </w:pPr>
    </w:p>
    <w:p>
      <w:pPr>
        <w:pStyle w:val="ListParagraph"/>
        <w:numPr>
          <w:ilvl w:val="0"/>
          <w:numId w:val="87"/>
        </w:numPr>
        <w:tabs>
          <w:tab w:pos="1129" w:val="left" w:leader="none"/>
          <w:tab w:pos="5036" w:val="left" w:leader="none"/>
        </w:tabs>
        <w:spacing w:line="240" w:lineRule="auto" w:before="0" w:after="0"/>
        <w:ind w:left="1128" w:right="0" w:hanging="253"/>
        <w:jc w:val="left"/>
        <w:rPr>
          <w:sz w:val="15"/>
        </w:rPr>
      </w:pPr>
      <w:r>
        <w:rPr>
          <w:sz w:val="15"/>
        </w:rPr>
        <w:t>Machuelos:</w:t>
        <w:tab/>
        <w:t>$67.00</w:t>
      </w:r>
    </w:p>
    <w:p>
      <w:pPr>
        <w:pStyle w:val="BodyText"/>
        <w:spacing w:before="9"/>
      </w:pPr>
    </w:p>
    <w:p>
      <w:pPr>
        <w:pStyle w:val="BodyText"/>
        <w:spacing w:line="244" w:lineRule="auto"/>
        <w:ind w:left="151" w:right="509" w:firstLine="397"/>
        <w:jc w:val="both"/>
      </w:pPr>
      <w:r>
        <w:rPr/>
        <w:t>La reposición de empedrado o pavimentos se realizará exclusivamente por la autoridad municipal, la      cual se hará a los costos vigentes de mercado con cargo al propietario del inmueble para quien se haya solicitado el permiso, o de la persona responsable de la</w:t>
      </w:r>
      <w:r>
        <w:rPr>
          <w:spacing w:val="17"/>
        </w:rPr>
        <w:t> </w:t>
      </w:r>
      <w:r>
        <w:rPr/>
        <w:t>obra.</w:t>
      </w:r>
    </w:p>
    <w:p>
      <w:pPr>
        <w:pStyle w:val="BodyText"/>
        <w:spacing w:before="8"/>
      </w:pPr>
    </w:p>
    <w:p>
      <w:pPr>
        <w:pStyle w:val="ListParagraph"/>
        <w:numPr>
          <w:ilvl w:val="0"/>
          <w:numId w:val="86"/>
        </w:numPr>
        <w:tabs>
          <w:tab w:pos="726" w:val="left" w:leader="none"/>
        </w:tabs>
        <w:spacing w:line="240" w:lineRule="auto" w:before="0" w:after="0"/>
        <w:ind w:left="725" w:right="0" w:hanging="178"/>
        <w:jc w:val="left"/>
        <w:rPr>
          <w:sz w:val="15"/>
        </w:rPr>
      </w:pPr>
      <w:r>
        <w:rPr>
          <w:spacing w:val="-4"/>
          <w:sz w:val="15"/>
        </w:rPr>
        <w:t>Tomas </w:t>
      </w:r>
      <w:r>
        <w:rPr>
          <w:sz w:val="15"/>
        </w:rPr>
        <w:t>y</w:t>
      </w:r>
      <w:r>
        <w:rPr>
          <w:spacing w:val="6"/>
          <w:sz w:val="15"/>
        </w:rPr>
        <w:t> </w:t>
      </w:r>
      <w:r>
        <w:rPr>
          <w:sz w:val="15"/>
        </w:rPr>
        <w:t>descargas:</w:t>
      </w:r>
    </w:p>
    <w:p>
      <w:pPr>
        <w:pStyle w:val="BodyText"/>
        <w:spacing w:before="9"/>
      </w:pPr>
    </w:p>
    <w:p>
      <w:pPr>
        <w:pStyle w:val="ListParagraph"/>
        <w:numPr>
          <w:ilvl w:val="1"/>
          <w:numId w:val="86"/>
        </w:numPr>
        <w:tabs>
          <w:tab w:pos="1129" w:val="left" w:leader="none"/>
          <w:tab w:pos="4963" w:val="left" w:leader="none"/>
        </w:tabs>
        <w:spacing w:line="240" w:lineRule="auto" w:before="1" w:after="0"/>
        <w:ind w:left="1128" w:right="0" w:hanging="253"/>
        <w:jc w:val="left"/>
        <w:rPr>
          <w:sz w:val="15"/>
        </w:rPr>
      </w:pPr>
      <w:r>
        <w:rPr>
          <w:sz w:val="15"/>
        </w:rPr>
        <w:t>Terracería:</w:t>
        <w:tab/>
        <w:t>$21.00</w:t>
      </w:r>
    </w:p>
    <w:p>
      <w:pPr>
        <w:spacing w:after="0" w:line="240" w:lineRule="auto"/>
        <w:jc w:val="left"/>
        <w:rPr>
          <w:sz w:val="15"/>
        </w:rPr>
        <w:sectPr>
          <w:type w:val="continuous"/>
          <w:pgSz w:w="23250" w:h="15310" w:orient="landscape"/>
          <w:pgMar w:top="0" w:bottom="0" w:left="1880" w:right="1520"/>
          <w:cols w:num="2" w:equalWidth="0">
            <w:col w:w="7751" w:space="3871"/>
            <w:col w:w="8228"/>
          </w:cols>
        </w:sectPr>
      </w:pPr>
    </w:p>
    <w:p>
      <w:pPr>
        <w:pStyle w:val="BodyText"/>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4"/>
        <w:gridCol w:w="4038"/>
        <w:gridCol w:w="6594"/>
        <w:gridCol w:w="1672"/>
      </w:tblGrid>
      <w:tr>
        <w:trPr>
          <w:trHeight w:val="529" w:hRule="atLeast"/>
        </w:trPr>
        <w:tc>
          <w:tcPr>
            <w:tcW w:w="4624" w:type="dxa"/>
          </w:tcPr>
          <w:p>
            <w:pPr>
              <w:pStyle w:val="TableParagraph"/>
              <w:spacing w:line="247" w:lineRule="auto"/>
              <w:ind w:left="50" w:right="229" w:firstLine="420"/>
              <w:rPr>
                <w:sz w:val="15"/>
              </w:rPr>
            </w:pPr>
            <w:r>
              <w:rPr>
                <w:sz w:val="15"/>
              </w:rPr>
              <w:t>III. Por autorización para instalación o introducción de líneas  ocultas,  para  redes  eléctricas,  oleoductos,</w:t>
            </w:r>
            <w:r>
              <w:rPr>
                <w:spacing w:val="22"/>
                <w:sz w:val="15"/>
              </w:rPr>
              <w:t> </w:t>
            </w:r>
            <w:r>
              <w:rPr>
                <w:sz w:val="15"/>
              </w:rPr>
              <w:t>gasoductos,</w:t>
            </w:r>
          </w:p>
          <w:p>
            <w:pPr>
              <w:pStyle w:val="TableParagraph"/>
              <w:spacing w:line="155" w:lineRule="exact"/>
              <w:ind w:left="50"/>
              <w:rPr>
                <w:sz w:val="15"/>
              </w:rPr>
            </w:pPr>
            <w:r>
              <w:rPr>
                <w:sz w:val="15"/>
              </w:rPr>
              <w:t>telefonía,  voz  y  datos  u  otra  infraestructura  similar  en  la</w:t>
            </w:r>
            <w:r>
              <w:rPr>
                <w:spacing w:val="19"/>
                <w:sz w:val="15"/>
              </w:rPr>
              <w:t> </w:t>
            </w:r>
            <w:r>
              <w:rPr>
                <w:sz w:val="15"/>
              </w:rPr>
              <w:t>vía</w:t>
            </w:r>
          </w:p>
        </w:tc>
        <w:tc>
          <w:tcPr>
            <w:tcW w:w="4038" w:type="dxa"/>
          </w:tcPr>
          <w:p>
            <w:pPr>
              <w:pStyle w:val="TableParagraph"/>
              <w:rPr>
                <w:rFonts w:ascii="Times New Roman"/>
                <w:sz w:val="14"/>
              </w:rPr>
            </w:pPr>
          </w:p>
        </w:tc>
        <w:tc>
          <w:tcPr>
            <w:tcW w:w="6594" w:type="dxa"/>
          </w:tcPr>
          <w:p>
            <w:pPr>
              <w:pStyle w:val="TableParagraph"/>
              <w:numPr>
                <w:ilvl w:val="0"/>
                <w:numId w:val="88"/>
              </w:numPr>
              <w:tabs>
                <w:tab w:pos="3912" w:val="left" w:leader="none"/>
              </w:tabs>
              <w:spacing w:line="171" w:lineRule="exact" w:before="0" w:after="0"/>
              <w:ind w:left="3911" w:right="0" w:hanging="253"/>
              <w:jc w:val="left"/>
              <w:rPr>
                <w:sz w:val="15"/>
              </w:rPr>
            </w:pPr>
            <w:r>
              <w:rPr>
                <w:sz w:val="15"/>
              </w:rPr>
              <w:t>Empedrado:</w:t>
            </w:r>
          </w:p>
          <w:p>
            <w:pPr>
              <w:pStyle w:val="TableParagraph"/>
              <w:spacing w:before="9"/>
              <w:rPr>
                <w:sz w:val="15"/>
              </w:rPr>
            </w:pPr>
          </w:p>
          <w:p>
            <w:pPr>
              <w:pStyle w:val="TableParagraph"/>
              <w:numPr>
                <w:ilvl w:val="0"/>
                <w:numId w:val="88"/>
              </w:numPr>
              <w:tabs>
                <w:tab w:pos="3912" w:val="left" w:leader="none"/>
              </w:tabs>
              <w:spacing w:line="156" w:lineRule="exact" w:before="1" w:after="0"/>
              <w:ind w:left="3911" w:right="0" w:hanging="253"/>
              <w:jc w:val="left"/>
              <w:rPr>
                <w:sz w:val="15"/>
              </w:rPr>
            </w:pPr>
            <w:r>
              <w:rPr>
                <w:sz w:val="15"/>
              </w:rPr>
              <w:t>Asfalto:</w:t>
            </w:r>
          </w:p>
        </w:tc>
        <w:tc>
          <w:tcPr>
            <w:tcW w:w="1672" w:type="dxa"/>
          </w:tcPr>
          <w:p>
            <w:pPr>
              <w:pStyle w:val="TableParagraph"/>
              <w:spacing w:line="171" w:lineRule="exact"/>
              <w:ind w:right="46"/>
              <w:jc w:val="right"/>
              <w:rPr>
                <w:sz w:val="15"/>
              </w:rPr>
            </w:pPr>
            <w:r>
              <w:rPr>
                <w:sz w:val="15"/>
              </w:rPr>
              <w:t>$66.00</w:t>
            </w:r>
          </w:p>
          <w:p>
            <w:pPr>
              <w:pStyle w:val="TableParagraph"/>
              <w:spacing w:before="9"/>
              <w:rPr>
                <w:sz w:val="15"/>
              </w:rPr>
            </w:pPr>
          </w:p>
          <w:p>
            <w:pPr>
              <w:pStyle w:val="TableParagraph"/>
              <w:spacing w:line="156" w:lineRule="exact" w:before="1"/>
              <w:ind w:right="46"/>
              <w:jc w:val="right"/>
              <w:rPr>
                <w:sz w:val="15"/>
              </w:rPr>
            </w:pPr>
            <w:r>
              <w:rPr>
                <w:sz w:val="15"/>
              </w:rPr>
              <w:t>$188.00</w:t>
            </w:r>
          </w:p>
        </w:tc>
      </w:tr>
      <w:tr>
        <w:trPr>
          <w:trHeight w:val="176" w:hRule="atLeast"/>
        </w:trPr>
        <w:tc>
          <w:tcPr>
            <w:tcW w:w="4624" w:type="dxa"/>
          </w:tcPr>
          <w:p>
            <w:pPr>
              <w:pStyle w:val="TableParagraph"/>
              <w:spacing w:line="156" w:lineRule="exact" w:before="1"/>
              <w:ind w:left="50"/>
              <w:rPr>
                <w:sz w:val="15"/>
              </w:rPr>
            </w:pPr>
            <w:r>
              <w:rPr>
                <w:sz w:val="15"/>
              </w:rPr>
              <w:t>pública, pagarán por cada conducto, por metro lineal:</w:t>
            </w:r>
          </w:p>
        </w:tc>
        <w:tc>
          <w:tcPr>
            <w:tcW w:w="4038" w:type="dxa"/>
          </w:tcPr>
          <w:p>
            <w:pPr>
              <w:pStyle w:val="TableParagraph"/>
              <w:spacing w:line="156" w:lineRule="exact" w:before="1"/>
              <w:ind w:right="3328"/>
              <w:jc w:val="right"/>
              <w:rPr>
                <w:sz w:val="15"/>
              </w:rPr>
            </w:pPr>
            <w:r>
              <w:rPr>
                <w:sz w:val="15"/>
              </w:rPr>
              <w:t>$10.00</w:t>
            </w:r>
          </w:p>
        </w:tc>
        <w:tc>
          <w:tcPr>
            <w:tcW w:w="6594" w:type="dxa"/>
          </w:tcPr>
          <w:p>
            <w:pPr>
              <w:pStyle w:val="TableParagraph"/>
              <w:rPr>
                <w:rFonts w:ascii="Times New Roman"/>
                <w:sz w:val="10"/>
              </w:rPr>
            </w:pPr>
          </w:p>
        </w:tc>
        <w:tc>
          <w:tcPr>
            <w:tcW w:w="1672" w:type="dxa"/>
          </w:tcPr>
          <w:p>
            <w:pPr>
              <w:pStyle w:val="TableParagraph"/>
              <w:rPr>
                <w:rFonts w:ascii="Times New Roman"/>
                <w:sz w:val="10"/>
              </w:rPr>
            </w:pPr>
          </w:p>
        </w:tc>
      </w:tr>
      <w:tr>
        <w:trPr>
          <w:trHeight w:val="353" w:hRule="atLeast"/>
        </w:trPr>
        <w:tc>
          <w:tcPr>
            <w:tcW w:w="4624" w:type="dxa"/>
          </w:tcPr>
          <w:p>
            <w:pPr>
              <w:pStyle w:val="TableParagraph"/>
              <w:spacing w:before="5"/>
              <w:rPr>
                <w:sz w:val="15"/>
              </w:rPr>
            </w:pPr>
          </w:p>
          <w:p>
            <w:pPr>
              <w:pStyle w:val="TableParagraph"/>
              <w:spacing w:line="156" w:lineRule="exact"/>
              <w:ind w:left="470"/>
              <w:rPr>
                <w:sz w:val="15"/>
              </w:rPr>
            </w:pPr>
            <w:r>
              <w:rPr>
                <w:sz w:val="15"/>
              </w:rPr>
              <w:t>IV. Por autorización para instalación o introducción de</w:t>
            </w:r>
          </w:p>
        </w:tc>
        <w:tc>
          <w:tcPr>
            <w:tcW w:w="4038" w:type="dxa"/>
          </w:tcPr>
          <w:p>
            <w:pPr>
              <w:pStyle w:val="TableParagraph"/>
              <w:rPr>
                <w:rFonts w:ascii="Times New Roman"/>
                <w:sz w:val="14"/>
              </w:rPr>
            </w:pPr>
          </w:p>
        </w:tc>
        <w:tc>
          <w:tcPr>
            <w:tcW w:w="6594" w:type="dxa"/>
          </w:tcPr>
          <w:p>
            <w:pPr>
              <w:pStyle w:val="TableParagraph"/>
              <w:spacing w:before="1"/>
              <w:ind w:left="3659"/>
              <w:rPr>
                <w:sz w:val="15"/>
              </w:rPr>
            </w:pPr>
            <w:r>
              <w:rPr>
                <w:sz w:val="15"/>
              </w:rPr>
              <w:t>4. Adoquín:</w:t>
            </w:r>
          </w:p>
        </w:tc>
        <w:tc>
          <w:tcPr>
            <w:tcW w:w="1672" w:type="dxa"/>
          </w:tcPr>
          <w:p>
            <w:pPr>
              <w:pStyle w:val="TableParagraph"/>
              <w:spacing w:before="1"/>
              <w:ind w:right="47"/>
              <w:jc w:val="right"/>
              <w:rPr>
                <w:sz w:val="15"/>
              </w:rPr>
            </w:pPr>
            <w:r>
              <w:rPr>
                <w:sz w:val="15"/>
              </w:rPr>
              <w:t>$64.00</w:t>
            </w:r>
          </w:p>
        </w:tc>
      </w:tr>
      <w:tr>
        <w:trPr>
          <w:trHeight w:val="354" w:hRule="atLeast"/>
        </w:trPr>
        <w:tc>
          <w:tcPr>
            <w:tcW w:w="4624" w:type="dxa"/>
          </w:tcPr>
          <w:p>
            <w:pPr>
              <w:pStyle w:val="TableParagraph"/>
              <w:spacing w:line="178" w:lineRule="exact"/>
              <w:ind w:left="50" w:right="229"/>
              <w:rPr>
                <w:sz w:val="15"/>
              </w:rPr>
            </w:pPr>
            <w:r>
              <w:rPr>
                <w:sz w:val="15"/>
              </w:rPr>
              <w:t>líneas visibles, para redes eléctricas, agua potable, líneas sanitarias, oleoductos, gasoductos, telefonía, voz y datos u</w:t>
            </w:r>
          </w:p>
        </w:tc>
        <w:tc>
          <w:tcPr>
            <w:tcW w:w="4038" w:type="dxa"/>
          </w:tcPr>
          <w:p>
            <w:pPr>
              <w:pStyle w:val="TableParagraph"/>
              <w:rPr>
                <w:rFonts w:ascii="Times New Roman"/>
                <w:sz w:val="14"/>
              </w:rPr>
            </w:pPr>
          </w:p>
        </w:tc>
        <w:tc>
          <w:tcPr>
            <w:tcW w:w="6594" w:type="dxa"/>
          </w:tcPr>
          <w:p>
            <w:pPr>
              <w:pStyle w:val="TableParagraph"/>
              <w:spacing w:before="1"/>
              <w:ind w:left="3659"/>
              <w:rPr>
                <w:sz w:val="15"/>
              </w:rPr>
            </w:pPr>
            <w:r>
              <w:rPr>
                <w:sz w:val="15"/>
              </w:rPr>
              <w:t>5. Concreto Hidráulico:</w:t>
            </w:r>
          </w:p>
        </w:tc>
        <w:tc>
          <w:tcPr>
            <w:tcW w:w="1672" w:type="dxa"/>
          </w:tcPr>
          <w:p>
            <w:pPr>
              <w:pStyle w:val="TableParagraph"/>
              <w:spacing w:before="1"/>
              <w:ind w:right="47"/>
              <w:jc w:val="right"/>
              <w:rPr>
                <w:sz w:val="15"/>
              </w:rPr>
            </w:pPr>
            <w:r>
              <w:rPr>
                <w:sz w:val="15"/>
              </w:rPr>
              <w:t>$365.00</w:t>
            </w:r>
          </w:p>
        </w:tc>
      </w:tr>
      <w:tr>
        <w:trPr>
          <w:trHeight w:val="529" w:hRule="atLeast"/>
        </w:trPr>
        <w:tc>
          <w:tcPr>
            <w:tcW w:w="4624" w:type="dxa"/>
          </w:tcPr>
          <w:p>
            <w:pPr>
              <w:pStyle w:val="TableParagraph"/>
              <w:spacing w:line="172" w:lineRule="exact"/>
              <w:ind w:left="50"/>
              <w:rPr>
                <w:sz w:val="15"/>
              </w:rPr>
            </w:pPr>
            <w:r>
              <w:rPr>
                <w:sz w:val="15"/>
              </w:rPr>
              <w:t>otra   infraestructura   similar   en   la   vía   pública,   cuando  </w:t>
            </w:r>
            <w:r>
              <w:rPr>
                <w:spacing w:val="34"/>
                <w:sz w:val="15"/>
              </w:rPr>
              <w:t> </w:t>
            </w:r>
            <w:r>
              <w:rPr>
                <w:sz w:val="15"/>
              </w:rPr>
              <w:t>la</w:t>
            </w:r>
          </w:p>
          <w:p>
            <w:pPr>
              <w:pStyle w:val="TableParagraph"/>
              <w:spacing w:line="170" w:lineRule="atLeast" w:before="4"/>
              <w:ind w:left="50" w:right="228"/>
              <w:rPr>
                <w:sz w:val="15"/>
              </w:rPr>
            </w:pPr>
            <w:r>
              <w:rPr>
                <w:sz w:val="15"/>
              </w:rPr>
              <w:t>instalación se vaya a realizar en postes ya existentes de la Comisión  Federal  de  Electricidad  o  de  Teléfonos  de</w:t>
            </w:r>
            <w:r>
              <w:rPr>
                <w:spacing w:val="32"/>
                <w:sz w:val="15"/>
              </w:rPr>
              <w:t> </w:t>
            </w:r>
            <w:r>
              <w:rPr>
                <w:sz w:val="15"/>
              </w:rPr>
              <w:t>México,</w:t>
            </w:r>
          </w:p>
        </w:tc>
        <w:tc>
          <w:tcPr>
            <w:tcW w:w="4038" w:type="dxa"/>
          </w:tcPr>
          <w:p>
            <w:pPr>
              <w:pStyle w:val="TableParagraph"/>
              <w:rPr>
                <w:rFonts w:ascii="Times New Roman"/>
                <w:sz w:val="14"/>
              </w:rPr>
            </w:pPr>
          </w:p>
        </w:tc>
        <w:tc>
          <w:tcPr>
            <w:tcW w:w="6594" w:type="dxa"/>
          </w:tcPr>
          <w:p>
            <w:pPr>
              <w:pStyle w:val="TableParagraph"/>
              <w:numPr>
                <w:ilvl w:val="0"/>
                <w:numId w:val="89"/>
              </w:numPr>
              <w:tabs>
                <w:tab w:pos="3912" w:val="left" w:leader="none"/>
              </w:tabs>
              <w:spacing w:line="240" w:lineRule="auto" w:before="0" w:after="0"/>
              <w:ind w:left="3911" w:right="0" w:hanging="253"/>
              <w:jc w:val="left"/>
              <w:rPr>
                <w:sz w:val="15"/>
              </w:rPr>
            </w:pPr>
            <w:r>
              <w:rPr>
                <w:sz w:val="15"/>
              </w:rPr>
              <w:t>Empedrado</w:t>
            </w:r>
            <w:r>
              <w:rPr>
                <w:spacing w:val="3"/>
                <w:sz w:val="15"/>
              </w:rPr>
              <w:t> </w:t>
            </w:r>
            <w:r>
              <w:rPr>
                <w:sz w:val="15"/>
              </w:rPr>
              <w:t>Zampeado:</w:t>
            </w:r>
          </w:p>
          <w:p>
            <w:pPr>
              <w:pStyle w:val="TableParagraph"/>
              <w:spacing w:before="8"/>
              <w:rPr>
                <w:sz w:val="15"/>
              </w:rPr>
            </w:pPr>
          </w:p>
          <w:p>
            <w:pPr>
              <w:pStyle w:val="TableParagraph"/>
              <w:numPr>
                <w:ilvl w:val="0"/>
                <w:numId w:val="89"/>
              </w:numPr>
              <w:tabs>
                <w:tab w:pos="3912" w:val="left" w:leader="none"/>
              </w:tabs>
              <w:spacing w:line="156" w:lineRule="exact" w:before="1" w:after="0"/>
              <w:ind w:left="3911" w:right="0" w:hanging="253"/>
              <w:jc w:val="left"/>
              <w:rPr>
                <w:sz w:val="15"/>
              </w:rPr>
            </w:pPr>
            <w:r>
              <w:rPr>
                <w:sz w:val="15"/>
              </w:rPr>
              <w:t>Banquetas:</w:t>
            </w:r>
          </w:p>
        </w:tc>
        <w:tc>
          <w:tcPr>
            <w:tcW w:w="1672" w:type="dxa"/>
          </w:tcPr>
          <w:p>
            <w:pPr>
              <w:pStyle w:val="TableParagraph"/>
              <w:ind w:left="1069"/>
              <w:rPr>
                <w:sz w:val="15"/>
              </w:rPr>
            </w:pPr>
            <w:r>
              <w:rPr>
                <w:sz w:val="15"/>
              </w:rPr>
              <w:t>$147.00</w:t>
            </w:r>
          </w:p>
          <w:p>
            <w:pPr>
              <w:pStyle w:val="TableParagraph"/>
              <w:spacing w:before="8"/>
              <w:rPr>
                <w:sz w:val="15"/>
              </w:rPr>
            </w:pPr>
          </w:p>
          <w:p>
            <w:pPr>
              <w:pStyle w:val="TableParagraph"/>
              <w:spacing w:line="156" w:lineRule="exact" w:before="1"/>
              <w:ind w:left="1152"/>
              <w:rPr>
                <w:sz w:val="15"/>
              </w:rPr>
            </w:pPr>
            <w:r>
              <w:rPr>
                <w:sz w:val="15"/>
              </w:rPr>
              <w:t>$53.00</w:t>
            </w:r>
          </w:p>
        </w:tc>
      </w:tr>
      <w:tr>
        <w:trPr>
          <w:trHeight w:val="176" w:hRule="atLeast"/>
        </w:trPr>
        <w:tc>
          <w:tcPr>
            <w:tcW w:w="4624" w:type="dxa"/>
          </w:tcPr>
          <w:p>
            <w:pPr>
              <w:pStyle w:val="TableParagraph"/>
              <w:spacing w:line="156" w:lineRule="exact" w:before="1"/>
              <w:ind w:left="50"/>
              <w:rPr>
                <w:sz w:val="15"/>
              </w:rPr>
            </w:pPr>
            <w:r>
              <w:rPr>
                <w:sz w:val="15"/>
              </w:rPr>
              <w:t>previa autorización de los propietarios de los postes, pagarán</w:t>
            </w:r>
          </w:p>
        </w:tc>
        <w:tc>
          <w:tcPr>
            <w:tcW w:w="4038" w:type="dxa"/>
          </w:tcPr>
          <w:p>
            <w:pPr>
              <w:pStyle w:val="TableParagraph"/>
              <w:rPr>
                <w:rFonts w:ascii="Times New Roman"/>
                <w:sz w:val="10"/>
              </w:rPr>
            </w:pPr>
          </w:p>
        </w:tc>
        <w:tc>
          <w:tcPr>
            <w:tcW w:w="6594" w:type="dxa"/>
          </w:tcPr>
          <w:p>
            <w:pPr>
              <w:pStyle w:val="TableParagraph"/>
              <w:rPr>
                <w:rFonts w:ascii="Times New Roman"/>
                <w:sz w:val="10"/>
              </w:rPr>
            </w:pPr>
          </w:p>
        </w:tc>
        <w:tc>
          <w:tcPr>
            <w:tcW w:w="1672" w:type="dxa"/>
          </w:tcPr>
          <w:p>
            <w:pPr>
              <w:pStyle w:val="TableParagraph"/>
              <w:rPr>
                <w:rFonts w:ascii="Times New Roman"/>
                <w:sz w:val="10"/>
              </w:rPr>
            </w:pPr>
          </w:p>
        </w:tc>
      </w:tr>
      <w:tr>
        <w:trPr>
          <w:trHeight w:val="266" w:hRule="atLeast"/>
        </w:trPr>
        <w:tc>
          <w:tcPr>
            <w:tcW w:w="4624" w:type="dxa"/>
          </w:tcPr>
          <w:p>
            <w:pPr>
              <w:pStyle w:val="TableParagraph"/>
              <w:spacing w:before="1"/>
              <w:ind w:left="50"/>
              <w:rPr>
                <w:sz w:val="15"/>
              </w:rPr>
            </w:pPr>
            <w:r>
              <w:rPr>
                <w:sz w:val="15"/>
              </w:rPr>
              <w:t>por cada conducto, por metro lineal:</w:t>
            </w:r>
          </w:p>
        </w:tc>
        <w:tc>
          <w:tcPr>
            <w:tcW w:w="4038" w:type="dxa"/>
          </w:tcPr>
          <w:p>
            <w:pPr>
              <w:pStyle w:val="TableParagraph"/>
              <w:spacing w:before="1"/>
              <w:ind w:right="3328"/>
              <w:jc w:val="right"/>
              <w:rPr>
                <w:sz w:val="15"/>
              </w:rPr>
            </w:pPr>
            <w:r>
              <w:rPr>
                <w:sz w:val="15"/>
              </w:rPr>
              <w:t>$8.00</w:t>
            </w:r>
          </w:p>
        </w:tc>
        <w:tc>
          <w:tcPr>
            <w:tcW w:w="6594" w:type="dxa"/>
          </w:tcPr>
          <w:p>
            <w:pPr>
              <w:pStyle w:val="TableParagraph"/>
              <w:spacing w:before="1"/>
              <w:ind w:left="3659"/>
              <w:rPr>
                <w:sz w:val="15"/>
              </w:rPr>
            </w:pPr>
            <w:r>
              <w:rPr>
                <w:sz w:val="15"/>
              </w:rPr>
              <w:t>8. Machuelos:</w:t>
            </w:r>
          </w:p>
        </w:tc>
        <w:tc>
          <w:tcPr>
            <w:tcW w:w="1672" w:type="dxa"/>
          </w:tcPr>
          <w:p>
            <w:pPr>
              <w:pStyle w:val="TableParagraph"/>
              <w:spacing w:before="1"/>
              <w:ind w:right="46"/>
              <w:jc w:val="right"/>
              <w:rPr>
                <w:sz w:val="15"/>
              </w:rPr>
            </w:pPr>
            <w:r>
              <w:rPr>
                <w:sz w:val="15"/>
              </w:rPr>
              <w:t>$85.00</w:t>
            </w:r>
          </w:p>
        </w:tc>
      </w:tr>
      <w:tr>
        <w:trPr>
          <w:trHeight w:val="441" w:hRule="atLeast"/>
        </w:trPr>
        <w:tc>
          <w:tcPr>
            <w:tcW w:w="4624" w:type="dxa"/>
          </w:tcPr>
          <w:p>
            <w:pPr>
              <w:pStyle w:val="TableParagraph"/>
              <w:spacing w:line="170" w:lineRule="atLeast" w:before="89"/>
              <w:ind w:left="50" w:right="304" w:firstLine="420"/>
              <w:rPr>
                <w:sz w:val="15"/>
              </w:rPr>
            </w:pPr>
            <w:r>
              <w:rPr>
                <w:sz w:val="15"/>
              </w:rPr>
              <w:t>V. Por autorización para instalación o introducción de líneas visibles, para redes eléctricas, agua potable, líneas</w:t>
            </w:r>
          </w:p>
        </w:tc>
        <w:tc>
          <w:tcPr>
            <w:tcW w:w="10632" w:type="dxa"/>
            <w:gridSpan w:val="2"/>
          </w:tcPr>
          <w:p>
            <w:pPr>
              <w:pStyle w:val="TableParagraph"/>
              <w:spacing w:before="90"/>
              <w:ind w:right="1154"/>
              <w:jc w:val="right"/>
              <w:rPr>
                <w:sz w:val="15"/>
              </w:rPr>
            </w:pPr>
            <w:r>
              <w:rPr>
                <w:sz w:val="15"/>
              </w:rPr>
              <w:t>c) Conducción de combustible:</w:t>
            </w:r>
          </w:p>
        </w:tc>
        <w:tc>
          <w:tcPr>
            <w:tcW w:w="1672" w:type="dxa"/>
          </w:tcPr>
          <w:p>
            <w:pPr>
              <w:pStyle w:val="TableParagraph"/>
              <w:rPr>
                <w:rFonts w:ascii="Times New Roman"/>
                <w:sz w:val="14"/>
              </w:rPr>
            </w:pPr>
          </w:p>
        </w:tc>
      </w:tr>
      <w:tr>
        <w:trPr>
          <w:trHeight w:val="354" w:hRule="atLeast"/>
        </w:trPr>
        <w:tc>
          <w:tcPr>
            <w:tcW w:w="4624" w:type="dxa"/>
          </w:tcPr>
          <w:p>
            <w:pPr>
              <w:pStyle w:val="TableParagraph"/>
              <w:spacing w:line="178" w:lineRule="exact"/>
              <w:ind w:left="50" w:right="304"/>
              <w:rPr>
                <w:sz w:val="15"/>
              </w:rPr>
            </w:pPr>
            <w:r>
              <w:rPr>
                <w:sz w:val="15"/>
              </w:rPr>
              <w:t>sanitarias, oleoductos, gasoductos, telefonía, voz y  datos  u  otra infraestructura similar en la vía pública, cuando</w:t>
            </w:r>
            <w:r>
              <w:rPr>
                <w:spacing w:val="22"/>
                <w:sz w:val="15"/>
              </w:rPr>
              <w:t> </w:t>
            </w:r>
            <w:r>
              <w:rPr>
                <w:sz w:val="15"/>
              </w:rPr>
              <w:t>se</w:t>
            </w:r>
          </w:p>
        </w:tc>
        <w:tc>
          <w:tcPr>
            <w:tcW w:w="10632" w:type="dxa"/>
            <w:gridSpan w:val="2"/>
          </w:tcPr>
          <w:p>
            <w:pPr>
              <w:pStyle w:val="TableParagraph"/>
              <w:spacing w:before="1"/>
              <w:ind w:right="2020"/>
              <w:jc w:val="right"/>
              <w:rPr>
                <w:sz w:val="15"/>
              </w:rPr>
            </w:pPr>
            <w:r>
              <w:rPr>
                <w:sz w:val="15"/>
              </w:rPr>
              <w:t>1. Terracería:</w:t>
            </w:r>
          </w:p>
        </w:tc>
        <w:tc>
          <w:tcPr>
            <w:tcW w:w="1672" w:type="dxa"/>
          </w:tcPr>
          <w:p>
            <w:pPr>
              <w:pStyle w:val="TableParagraph"/>
              <w:spacing w:before="1"/>
              <w:ind w:right="111"/>
              <w:jc w:val="right"/>
              <w:rPr>
                <w:sz w:val="15"/>
              </w:rPr>
            </w:pPr>
            <w:r>
              <w:rPr>
                <w:sz w:val="15"/>
              </w:rPr>
              <w:t>$19.00</w:t>
            </w:r>
          </w:p>
        </w:tc>
      </w:tr>
      <w:tr>
        <w:trPr>
          <w:trHeight w:val="173" w:hRule="atLeast"/>
        </w:trPr>
        <w:tc>
          <w:tcPr>
            <w:tcW w:w="4624" w:type="dxa"/>
          </w:tcPr>
          <w:p>
            <w:pPr>
              <w:pStyle w:val="TableParagraph"/>
              <w:spacing w:line="154" w:lineRule="exact"/>
              <w:ind w:left="50"/>
              <w:rPr>
                <w:sz w:val="15"/>
              </w:rPr>
            </w:pPr>
            <w:r>
              <w:rPr>
                <w:sz w:val="15"/>
              </w:rPr>
              <w:t>requiera la instalación de postes nuevos, pagarán por cada</w:t>
            </w:r>
          </w:p>
        </w:tc>
        <w:tc>
          <w:tcPr>
            <w:tcW w:w="10632" w:type="dxa"/>
            <w:gridSpan w:val="2"/>
          </w:tcPr>
          <w:p>
            <w:pPr>
              <w:pStyle w:val="TableParagraph"/>
              <w:spacing w:line="153" w:lineRule="exact"/>
              <w:ind w:right="1917"/>
              <w:jc w:val="right"/>
              <w:rPr>
                <w:sz w:val="15"/>
              </w:rPr>
            </w:pPr>
            <w:r>
              <w:rPr>
                <w:sz w:val="15"/>
              </w:rPr>
              <w:t>2. Empedrado:</w:t>
            </w:r>
          </w:p>
        </w:tc>
        <w:tc>
          <w:tcPr>
            <w:tcW w:w="1672" w:type="dxa"/>
          </w:tcPr>
          <w:p>
            <w:pPr>
              <w:pStyle w:val="TableParagraph"/>
              <w:spacing w:line="153" w:lineRule="exact"/>
              <w:ind w:right="108"/>
              <w:jc w:val="right"/>
              <w:rPr>
                <w:sz w:val="15"/>
              </w:rPr>
            </w:pPr>
            <w:r>
              <w:rPr>
                <w:sz w:val="15"/>
              </w:rPr>
              <w:t>$32.00</w:t>
            </w:r>
          </w:p>
        </w:tc>
      </w:tr>
    </w:tbl>
    <w:p>
      <w:pPr>
        <w:spacing w:after="0" w:line="153" w:lineRule="exact"/>
        <w:jc w:val="right"/>
        <w:rPr>
          <w:sz w:val="15"/>
        </w:rPr>
        <w:sectPr>
          <w:type w:val="continuous"/>
          <w:pgSz w:w="23250" w:h="15310" w:orient="landscape"/>
          <w:pgMar w:top="0" w:bottom="0" w:left="1880" w:right="1520"/>
        </w:sectPr>
      </w:pPr>
    </w:p>
    <w:p>
      <w:pPr>
        <w:pStyle w:val="BodyText"/>
        <w:rPr>
          <w:sz w:val="20"/>
        </w:rPr>
      </w:pPr>
    </w:p>
    <w:p>
      <w:pPr>
        <w:pStyle w:val="BodyText"/>
        <w:spacing w:before="7"/>
        <w:rPr>
          <w:sz w:val="29"/>
        </w:rPr>
      </w:pPr>
    </w:p>
    <w:p>
      <w:pPr>
        <w:spacing w:after="0"/>
        <w:rPr>
          <w:sz w:val="29"/>
        </w:rPr>
        <w:sectPr>
          <w:headerReference w:type="default" r:id="rId77"/>
          <w:pgSz w:w="23250" w:h="15310" w:orient="landscape"/>
          <w:pgMar w:header="881" w:footer="499" w:top="1920" w:bottom="680" w:left="1880" w:right="1520"/>
        </w:sectPr>
      </w:pPr>
    </w:p>
    <w:p>
      <w:pPr>
        <w:pStyle w:val="BodyText"/>
        <w:rPr>
          <w:sz w:val="16"/>
        </w:rPr>
      </w:pPr>
    </w:p>
    <w:p>
      <w:pPr>
        <w:pStyle w:val="ListParagraph"/>
        <w:numPr>
          <w:ilvl w:val="0"/>
          <w:numId w:val="90"/>
        </w:numPr>
        <w:tabs>
          <w:tab w:pos="1053" w:val="left" w:leader="none"/>
          <w:tab w:pos="4898" w:val="left" w:leader="none"/>
        </w:tabs>
        <w:spacing w:line="240" w:lineRule="auto" w:before="92" w:after="0"/>
        <w:ind w:left="1052" w:right="0" w:hanging="253"/>
        <w:jc w:val="left"/>
        <w:rPr>
          <w:sz w:val="15"/>
        </w:rPr>
      </w:pPr>
      <w:r>
        <w:rPr>
          <w:sz w:val="15"/>
        </w:rPr>
        <w:t>Asfalto:</w:t>
        <w:tab/>
        <w:t>$68.00</w:t>
      </w:r>
    </w:p>
    <w:p>
      <w:pPr>
        <w:pStyle w:val="BodyText"/>
        <w:spacing w:before="8"/>
      </w:pPr>
    </w:p>
    <w:p>
      <w:pPr>
        <w:pStyle w:val="ListParagraph"/>
        <w:numPr>
          <w:ilvl w:val="0"/>
          <w:numId w:val="90"/>
        </w:numPr>
        <w:tabs>
          <w:tab w:pos="1053" w:val="left" w:leader="none"/>
          <w:tab w:pos="4898" w:val="left" w:leader="none"/>
        </w:tabs>
        <w:spacing w:line="240" w:lineRule="auto" w:before="1" w:after="0"/>
        <w:ind w:left="1052" w:right="0" w:hanging="253"/>
        <w:jc w:val="left"/>
        <w:rPr>
          <w:sz w:val="15"/>
        </w:rPr>
      </w:pPr>
      <w:r>
        <w:rPr>
          <w:sz w:val="15"/>
        </w:rPr>
        <w:t>Adoquín:</w:t>
        <w:tab/>
        <w:t>$49.00</w:t>
      </w:r>
    </w:p>
    <w:p>
      <w:pPr>
        <w:pStyle w:val="BodyText"/>
        <w:spacing w:before="9"/>
      </w:pPr>
    </w:p>
    <w:p>
      <w:pPr>
        <w:pStyle w:val="ListParagraph"/>
        <w:numPr>
          <w:ilvl w:val="0"/>
          <w:numId w:val="90"/>
        </w:numPr>
        <w:tabs>
          <w:tab w:pos="1053" w:val="left" w:leader="none"/>
          <w:tab w:pos="4897" w:val="left" w:leader="none"/>
        </w:tabs>
        <w:spacing w:line="240" w:lineRule="auto" w:before="0" w:after="0"/>
        <w:ind w:left="1052" w:right="0" w:hanging="253"/>
        <w:jc w:val="left"/>
        <w:rPr>
          <w:sz w:val="15"/>
        </w:rPr>
      </w:pPr>
      <w:r>
        <w:rPr>
          <w:sz w:val="15"/>
        </w:rPr>
        <w:t>Concreto</w:t>
      </w:r>
      <w:r>
        <w:rPr>
          <w:spacing w:val="27"/>
          <w:sz w:val="15"/>
        </w:rPr>
        <w:t> </w:t>
      </w:r>
      <w:r>
        <w:rPr>
          <w:sz w:val="15"/>
        </w:rPr>
        <w:t>Hidráulico:</w:t>
        <w:tab/>
        <w:t>$86.00</w:t>
      </w:r>
    </w:p>
    <w:p>
      <w:pPr>
        <w:pStyle w:val="BodyText"/>
        <w:spacing w:before="9"/>
      </w:pPr>
    </w:p>
    <w:p>
      <w:pPr>
        <w:pStyle w:val="ListParagraph"/>
        <w:numPr>
          <w:ilvl w:val="0"/>
          <w:numId w:val="90"/>
        </w:numPr>
        <w:tabs>
          <w:tab w:pos="1053" w:val="left" w:leader="none"/>
          <w:tab w:pos="4876" w:val="left" w:leader="none"/>
        </w:tabs>
        <w:spacing w:line="240" w:lineRule="auto" w:before="1" w:after="0"/>
        <w:ind w:left="1052" w:right="0" w:hanging="253"/>
        <w:jc w:val="left"/>
        <w:rPr>
          <w:sz w:val="15"/>
        </w:rPr>
      </w:pPr>
      <w:r>
        <w:rPr>
          <w:sz w:val="15"/>
        </w:rPr>
        <w:t>Banquetas:</w:t>
        <w:tab/>
        <w:t>$86.00</w:t>
      </w:r>
    </w:p>
    <w:p>
      <w:pPr>
        <w:pStyle w:val="BodyText"/>
        <w:spacing w:before="8"/>
      </w:pPr>
    </w:p>
    <w:p>
      <w:pPr>
        <w:pStyle w:val="ListParagraph"/>
        <w:numPr>
          <w:ilvl w:val="0"/>
          <w:numId w:val="90"/>
        </w:numPr>
        <w:tabs>
          <w:tab w:pos="1053" w:val="left" w:leader="none"/>
          <w:tab w:pos="4876" w:val="left" w:leader="none"/>
        </w:tabs>
        <w:spacing w:line="240" w:lineRule="auto" w:before="0" w:after="0"/>
        <w:ind w:left="1052" w:right="0" w:hanging="253"/>
        <w:jc w:val="left"/>
        <w:rPr>
          <w:sz w:val="15"/>
        </w:rPr>
      </w:pPr>
      <w:r>
        <w:rPr>
          <w:sz w:val="15"/>
        </w:rPr>
        <w:t>Machuelos:</w:t>
        <w:tab/>
        <w:t>$26.00</w:t>
      </w:r>
    </w:p>
    <w:p>
      <w:pPr>
        <w:pStyle w:val="BodyText"/>
        <w:spacing w:before="11"/>
      </w:pPr>
    </w:p>
    <w:p>
      <w:pPr>
        <w:pStyle w:val="Heading4"/>
        <w:ind w:left="299" w:right="181"/>
      </w:pPr>
      <w:r>
        <w:rPr/>
        <w:t>SECCIÓN DÉCIMA</w:t>
      </w:r>
    </w:p>
    <w:p>
      <w:pPr>
        <w:spacing w:before="5"/>
        <w:ind w:left="297" w:right="185" w:firstLine="0"/>
        <w:jc w:val="center"/>
        <w:rPr>
          <w:b/>
          <w:sz w:val="15"/>
        </w:rPr>
      </w:pPr>
      <w:r>
        <w:rPr>
          <w:b/>
          <w:sz w:val="15"/>
        </w:rPr>
        <w:t>De los Servicios de Sanidad</w:t>
      </w:r>
    </w:p>
    <w:p>
      <w:pPr>
        <w:pStyle w:val="BodyText"/>
        <w:spacing w:before="7"/>
        <w:rPr>
          <w:b/>
        </w:rPr>
      </w:pPr>
    </w:p>
    <w:p>
      <w:pPr>
        <w:pStyle w:val="BodyText"/>
        <w:spacing w:line="247" w:lineRule="auto"/>
        <w:ind w:left="151" w:firstLine="397"/>
      </w:pPr>
      <w:r>
        <w:rPr>
          <w:b/>
        </w:rPr>
        <w:t>Artículo 95.- </w:t>
      </w:r>
      <w:r>
        <w:rPr/>
        <w:t>Las personas físicas o jurídicas que requieran de servicios de sanidad en los casos que se mencionan en esta sección pagarán los derechos correspondientes, conforme a lo siguiente:</w:t>
      </w:r>
    </w:p>
    <w:p>
      <w:pPr>
        <w:pStyle w:val="BodyText"/>
        <w:spacing w:before="4"/>
      </w:pPr>
    </w:p>
    <w:p>
      <w:pPr>
        <w:pStyle w:val="ListParagraph"/>
        <w:numPr>
          <w:ilvl w:val="0"/>
          <w:numId w:val="91"/>
        </w:numPr>
        <w:tabs>
          <w:tab w:pos="777" w:val="left" w:leader="none"/>
        </w:tabs>
        <w:spacing w:line="88" w:lineRule="exact" w:before="0" w:after="0"/>
        <w:ind w:left="776" w:right="0" w:hanging="130"/>
        <w:jc w:val="left"/>
        <w:rPr>
          <w:sz w:val="15"/>
        </w:rPr>
      </w:pPr>
      <w:r>
        <w:rPr>
          <w:sz w:val="15"/>
        </w:rPr>
        <w:t>Inhumaciones y reinhumaciones, por cada</w:t>
      </w:r>
      <w:r>
        <w:rPr>
          <w:spacing w:val="8"/>
          <w:sz w:val="15"/>
        </w:rPr>
        <w:t> </w:t>
      </w:r>
      <w:r>
        <w:rPr>
          <w:sz w:val="15"/>
        </w:rPr>
        <w:t>una:</w:t>
      </w:r>
    </w:p>
    <w:p>
      <w:pPr>
        <w:pStyle w:val="ListParagraph"/>
        <w:numPr>
          <w:ilvl w:val="0"/>
          <w:numId w:val="91"/>
        </w:numPr>
        <w:tabs>
          <w:tab w:pos="746" w:val="left" w:leader="none"/>
        </w:tabs>
        <w:spacing w:line="247" w:lineRule="auto" w:before="99" w:after="0"/>
        <w:ind w:left="151" w:right="3449" w:firstLine="420"/>
        <w:jc w:val="both"/>
        <w:rPr>
          <w:sz w:val="15"/>
        </w:rPr>
      </w:pPr>
      <w:r>
        <w:rPr>
          <w:w w:val="102"/>
          <w:sz w:val="15"/>
        </w:rPr>
        <w:br w:type="column"/>
      </w:r>
      <w:r>
        <w:rPr>
          <w:sz w:val="15"/>
        </w:rPr>
        <w:t>Por depositar en forma eventual o permanente desechos </w:t>
      </w:r>
      <w:r>
        <w:rPr>
          <w:spacing w:val="-11"/>
          <w:sz w:val="15"/>
        </w:rPr>
        <w:t>o </w:t>
      </w:r>
      <w:r>
        <w:rPr>
          <w:sz w:val="15"/>
        </w:rPr>
        <w:t>residuos no contaminantes en la planta  de  transferencia  en vehículo particular, solicitado por personas físicas sin que su actividad</w:t>
      </w:r>
      <w:r>
        <w:rPr>
          <w:spacing w:val="7"/>
          <w:sz w:val="15"/>
        </w:rPr>
        <w:t> </w:t>
      </w:r>
      <w:r>
        <w:rPr>
          <w:sz w:val="15"/>
        </w:rPr>
        <w:t>sea</w:t>
      </w:r>
      <w:r>
        <w:rPr>
          <w:spacing w:val="8"/>
          <w:sz w:val="15"/>
        </w:rPr>
        <w:t> </w:t>
      </w:r>
      <w:r>
        <w:rPr>
          <w:sz w:val="15"/>
        </w:rPr>
        <w:t>la</w:t>
      </w:r>
      <w:r>
        <w:rPr>
          <w:spacing w:val="8"/>
          <w:sz w:val="15"/>
        </w:rPr>
        <w:t> </w:t>
      </w:r>
      <w:r>
        <w:rPr>
          <w:sz w:val="15"/>
        </w:rPr>
        <w:t>recolección</w:t>
      </w:r>
      <w:r>
        <w:rPr>
          <w:spacing w:val="8"/>
          <w:sz w:val="15"/>
        </w:rPr>
        <w:t> </w:t>
      </w:r>
      <w:r>
        <w:rPr>
          <w:sz w:val="15"/>
        </w:rPr>
        <w:t>de</w:t>
      </w:r>
      <w:r>
        <w:rPr>
          <w:spacing w:val="7"/>
          <w:sz w:val="15"/>
        </w:rPr>
        <w:t> </w:t>
      </w:r>
      <w:r>
        <w:rPr>
          <w:sz w:val="15"/>
        </w:rPr>
        <w:t>basura,</w:t>
      </w:r>
      <w:r>
        <w:rPr>
          <w:spacing w:val="8"/>
          <w:sz w:val="15"/>
        </w:rPr>
        <w:t> </w:t>
      </w:r>
      <w:r>
        <w:rPr>
          <w:sz w:val="15"/>
        </w:rPr>
        <w:t>por</w:t>
      </w:r>
      <w:r>
        <w:rPr>
          <w:spacing w:val="8"/>
          <w:sz w:val="15"/>
        </w:rPr>
        <w:t> </w:t>
      </w:r>
      <w:r>
        <w:rPr>
          <w:sz w:val="15"/>
        </w:rPr>
        <w:t>tonelada</w:t>
      </w:r>
      <w:r>
        <w:rPr>
          <w:spacing w:val="7"/>
          <w:sz w:val="15"/>
        </w:rPr>
        <w:t> </w:t>
      </w:r>
      <w:r>
        <w:rPr>
          <w:sz w:val="15"/>
        </w:rPr>
        <w:t>o</w:t>
      </w:r>
      <w:r>
        <w:rPr>
          <w:spacing w:val="8"/>
          <w:sz w:val="15"/>
        </w:rPr>
        <w:t> </w:t>
      </w:r>
      <w:r>
        <w:rPr>
          <w:sz w:val="15"/>
        </w:rPr>
        <w:t>su</w:t>
      </w:r>
    </w:p>
    <w:p>
      <w:pPr>
        <w:pStyle w:val="BodyText"/>
        <w:tabs>
          <w:tab w:pos="4922" w:val="left" w:leader="none"/>
        </w:tabs>
        <w:spacing w:line="170" w:lineRule="exact"/>
        <w:ind w:left="151"/>
        <w:jc w:val="both"/>
      </w:pPr>
      <w:r>
        <w:rPr/>
        <w:t>equivalente</w:t>
      </w:r>
      <w:r>
        <w:rPr>
          <w:spacing w:val="11"/>
        </w:rPr>
        <w:t> </w:t>
      </w:r>
      <w:r>
        <w:rPr/>
        <w:t>en</w:t>
      </w:r>
      <w:r>
        <w:rPr>
          <w:spacing w:val="11"/>
        </w:rPr>
        <w:t> </w:t>
      </w:r>
      <w:r>
        <w:rPr/>
        <w:t>kilogramos:</w:t>
        <w:tab/>
        <w:t>$432.00</w:t>
      </w:r>
    </w:p>
    <w:p>
      <w:pPr>
        <w:pStyle w:val="BodyText"/>
        <w:spacing w:before="11"/>
        <w:rPr>
          <w:sz w:val="13"/>
        </w:rPr>
      </w:pPr>
    </w:p>
    <w:p>
      <w:pPr>
        <w:pStyle w:val="BodyText"/>
        <w:spacing w:line="247" w:lineRule="auto"/>
        <w:ind w:left="151" w:right="3453" w:firstLine="420"/>
        <w:jc w:val="both"/>
      </w:pPr>
      <w:r>
        <w:rPr/>
        <w:t>Las personas físicas sin que su actividad sea la recolección  de basura que acudan a depositar desechos o residuos domésticos de menos de 100 kilogramos estarán exentas de este</w:t>
      </w:r>
      <w:r>
        <w:rPr>
          <w:spacing w:val="3"/>
        </w:rPr>
        <w:t> </w:t>
      </w:r>
      <w:r>
        <w:rPr/>
        <w:t>cobro.</w:t>
      </w:r>
    </w:p>
    <w:p>
      <w:pPr>
        <w:pStyle w:val="BodyText"/>
        <w:rPr>
          <w:sz w:val="16"/>
        </w:rPr>
      </w:pPr>
    </w:p>
    <w:p>
      <w:pPr>
        <w:pStyle w:val="BodyText"/>
        <w:spacing w:before="10"/>
        <w:rPr>
          <w:sz w:val="21"/>
        </w:rPr>
      </w:pPr>
    </w:p>
    <w:p>
      <w:pPr>
        <w:pStyle w:val="ListParagraph"/>
        <w:numPr>
          <w:ilvl w:val="0"/>
          <w:numId w:val="91"/>
        </w:numPr>
        <w:tabs>
          <w:tab w:pos="787" w:val="left" w:leader="none"/>
          <w:tab w:pos="4922" w:val="left" w:leader="none"/>
        </w:tabs>
        <w:spacing w:line="240" w:lineRule="auto" w:before="0" w:after="0"/>
        <w:ind w:left="786" w:right="0" w:hanging="215"/>
        <w:jc w:val="left"/>
        <w:rPr>
          <w:sz w:val="15"/>
        </w:rPr>
      </w:pPr>
      <w:r>
        <w:rPr>
          <w:sz w:val="15"/>
        </w:rPr>
        <w:t>Por</w:t>
      </w:r>
      <w:r>
        <w:rPr>
          <w:spacing w:val="9"/>
          <w:sz w:val="15"/>
        </w:rPr>
        <w:t> </w:t>
      </w:r>
      <w:r>
        <w:rPr>
          <w:sz w:val="15"/>
        </w:rPr>
        <w:t>recolectar</w:t>
      </w:r>
      <w:r>
        <w:rPr>
          <w:spacing w:val="10"/>
          <w:sz w:val="15"/>
        </w:rPr>
        <w:t> </w:t>
      </w:r>
      <w:r>
        <w:rPr>
          <w:sz w:val="15"/>
        </w:rPr>
        <w:t>la</w:t>
      </w:r>
      <w:r>
        <w:rPr>
          <w:spacing w:val="10"/>
          <w:sz w:val="15"/>
        </w:rPr>
        <w:t> </w:t>
      </w:r>
      <w:r>
        <w:rPr>
          <w:sz w:val="15"/>
        </w:rPr>
        <w:t>basura</w:t>
      </w:r>
      <w:r>
        <w:rPr>
          <w:spacing w:val="10"/>
          <w:sz w:val="15"/>
        </w:rPr>
        <w:t> </w:t>
      </w:r>
      <w:r>
        <w:rPr>
          <w:sz w:val="15"/>
        </w:rPr>
        <w:t>de</w:t>
      </w:r>
      <w:r>
        <w:rPr>
          <w:spacing w:val="10"/>
          <w:sz w:val="15"/>
        </w:rPr>
        <w:t> </w:t>
      </w:r>
      <w:r>
        <w:rPr>
          <w:sz w:val="15"/>
        </w:rPr>
        <w:t>tianguis,</w:t>
      </w:r>
      <w:r>
        <w:rPr>
          <w:spacing w:val="10"/>
          <w:sz w:val="15"/>
        </w:rPr>
        <w:t> </w:t>
      </w:r>
      <w:r>
        <w:rPr>
          <w:sz w:val="15"/>
        </w:rPr>
        <w:t>por</w:t>
      </w:r>
      <w:r>
        <w:rPr>
          <w:spacing w:val="10"/>
          <w:sz w:val="15"/>
        </w:rPr>
        <w:t> </w:t>
      </w:r>
      <w:r>
        <w:rPr>
          <w:sz w:val="15"/>
        </w:rPr>
        <w:t>cada</w:t>
      </w:r>
      <w:r>
        <w:rPr>
          <w:spacing w:val="10"/>
          <w:sz w:val="15"/>
        </w:rPr>
        <w:t> </w:t>
      </w:r>
      <w:r>
        <w:rPr>
          <w:sz w:val="15"/>
        </w:rPr>
        <w:t>puesto:</w:t>
        <w:tab/>
        <w:t>$7.00</w:t>
      </w:r>
    </w:p>
    <w:p>
      <w:pPr>
        <w:pStyle w:val="BodyText"/>
        <w:rPr>
          <w:sz w:val="16"/>
        </w:rPr>
      </w:pPr>
    </w:p>
    <w:p>
      <w:pPr>
        <w:pStyle w:val="BodyText"/>
        <w:spacing w:before="5"/>
        <w:rPr>
          <w:sz w:val="17"/>
        </w:rPr>
      </w:pPr>
    </w:p>
    <w:p>
      <w:pPr>
        <w:pStyle w:val="ListParagraph"/>
        <w:numPr>
          <w:ilvl w:val="0"/>
          <w:numId w:val="91"/>
        </w:numPr>
        <w:tabs>
          <w:tab w:pos="690" w:val="left" w:leader="none"/>
        </w:tabs>
        <w:spacing w:line="244" w:lineRule="auto" w:before="0" w:after="0"/>
        <w:ind w:left="151" w:right="3449" w:firstLine="320"/>
        <w:jc w:val="both"/>
        <w:rPr>
          <w:sz w:val="15"/>
        </w:rPr>
      </w:pPr>
      <w:r>
        <w:rPr>
          <w:sz w:val="15"/>
        </w:rPr>
        <w:t>Por limpieza de lotes baldíos, jardines, prados, banquetas y similares en rebeldía una vez que se haya agotado el proceso de notificación correspondiente de los usuarios obligados</w:t>
      </w:r>
      <w:r>
        <w:rPr>
          <w:spacing w:val="5"/>
          <w:sz w:val="15"/>
        </w:rPr>
        <w:t> </w:t>
      </w:r>
      <w:r>
        <w:rPr>
          <w:sz w:val="15"/>
        </w:rPr>
        <w:t>a</w:t>
      </w:r>
    </w:p>
    <w:p>
      <w:pPr>
        <w:spacing w:after="0" w:line="244" w:lineRule="auto"/>
        <w:jc w:val="both"/>
        <w:rPr>
          <w:sz w:val="15"/>
        </w:rPr>
        <w:sectPr>
          <w:type w:val="continuous"/>
          <w:pgSz w:w="23250" w:h="15310" w:orient="landscape"/>
          <w:pgMar w:top="0" w:bottom="0" w:left="1880" w:right="1520"/>
          <w:cols w:num="2" w:equalWidth="0">
            <w:col w:w="7751" w:space="3871"/>
            <w:col w:w="8228"/>
          </w:cols>
        </w:sectPr>
      </w:pPr>
    </w:p>
    <w:p>
      <w:pPr>
        <w:pStyle w:val="BodyText"/>
        <w:spacing w:before="1"/>
        <w:rPr>
          <w:sz w:val="23"/>
        </w:rPr>
      </w:pPr>
    </w:p>
    <w:p>
      <w:pPr>
        <w:pStyle w:val="ListParagraph"/>
        <w:numPr>
          <w:ilvl w:val="1"/>
          <w:numId w:val="91"/>
        </w:numPr>
        <w:tabs>
          <w:tab w:pos="828" w:val="left" w:leader="none"/>
          <w:tab w:pos="4876" w:val="left" w:leader="none"/>
        </w:tabs>
        <w:spacing w:line="240" w:lineRule="auto" w:before="0" w:after="0"/>
        <w:ind w:left="827" w:right="0" w:hanging="181"/>
        <w:jc w:val="left"/>
        <w:rPr>
          <w:sz w:val="15"/>
        </w:rPr>
      </w:pPr>
      <w:r>
        <w:rPr>
          <w:sz w:val="15"/>
        </w:rPr>
        <w:t>En</w:t>
      </w:r>
      <w:r>
        <w:rPr>
          <w:spacing w:val="19"/>
          <w:sz w:val="15"/>
        </w:rPr>
        <w:t> </w:t>
      </w:r>
      <w:r>
        <w:rPr>
          <w:sz w:val="15"/>
        </w:rPr>
        <w:t>cementerios</w:t>
      </w:r>
      <w:r>
        <w:rPr>
          <w:spacing w:val="20"/>
          <w:sz w:val="15"/>
        </w:rPr>
        <w:t> </w:t>
      </w:r>
      <w:r>
        <w:rPr>
          <w:sz w:val="15"/>
        </w:rPr>
        <w:t>municipales:</w:t>
        <w:tab/>
        <w:t>$138.00</w:t>
      </w:r>
    </w:p>
    <w:p>
      <w:pPr>
        <w:pStyle w:val="BodyText"/>
        <w:spacing w:before="9"/>
      </w:pPr>
    </w:p>
    <w:p>
      <w:pPr>
        <w:pStyle w:val="ListParagraph"/>
        <w:numPr>
          <w:ilvl w:val="1"/>
          <w:numId w:val="91"/>
        </w:numPr>
        <w:tabs>
          <w:tab w:pos="828" w:val="left" w:leader="none"/>
          <w:tab w:pos="4875" w:val="left" w:leader="none"/>
        </w:tabs>
        <w:spacing w:line="240" w:lineRule="auto" w:before="0" w:after="0"/>
        <w:ind w:left="827" w:right="0" w:hanging="181"/>
        <w:jc w:val="left"/>
        <w:rPr>
          <w:sz w:val="15"/>
        </w:rPr>
      </w:pPr>
      <w:r>
        <w:rPr>
          <w:sz w:val="15"/>
        </w:rPr>
        <w:t>En cementerios concesionados </w:t>
      </w:r>
      <w:r>
        <w:rPr>
          <w:spacing w:val="6"/>
          <w:sz w:val="15"/>
        </w:rPr>
        <w:t> </w:t>
      </w:r>
      <w:r>
        <w:rPr>
          <w:sz w:val="15"/>
        </w:rPr>
        <w:t>a</w:t>
      </w:r>
      <w:r>
        <w:rPr>
          <w:spacing w:val="15"/>
          <w:sz w:val="15"/>
        </w:rPr>
        <w:t> </w:t>
      </w:r>
      <w:r>
        <w:rPr>
          <w:sz w:val="15"/>
        </w:rPr>
        <w:t>particulares:</w:t>
        <w:tab/>
        <w:t>$242.00</w:t>
      </w:r>
    </w:p>
    <w:p>
      <w:pPr>
        <w:pStyle w:val="BodyText"/>
        <w:spacing w:line="247" w:lineRule="auto"/>
        <w:ind w:left="647"/>
        <w:jc w:val="both"/>
      </w:pPr>
      <w:r>
        <w:rPr/>
        <w:br w:type="column"/>
      </w:r>
      <w:r>
        <w:rPr/>
        <w:t>mantenerlos limpios quienes deberán pagar el costo del servicio dentro de los cinco días posteriores a su notificación, por cada tonelada de basura o desecho:</w:t>
      </w:r>
    </w:p>
    <w:p>
      <w:pPr>
        <w:pStyle w:val="BodyText"/>
        <w:spacing w:before="3"/>
        <w:rPr>
          <w:sz w:val="16"/>
        </w:rPr>
      </w:pPr>
    </w:p>
    <w:p>
      <w:pPr>
        <w:pStyle w:val="ListParagraph"/>
        <w:numPr>
          <w:ilvl w:val="0"/>
          <w:numId w:val="91"/>
        </w:numPr>
        <w:tabs>
          <w:tab w:pos="1243" w:val="left" w:leader="none"/>
        </w:tabs>
        <w:spacing w:line="240" w:lineRule="auto" w:before="0" w:after="0"/>
        <w:ind w:left="1242" w:right="0" w:hanging="175"/>
        <w:jc w:val="left"/>
        <w:rPr>
          <w:sz w:val="15"/>
        </w:rPr>
      </w:pPr>
      <w:r>
        <w:rPr>
          <w:sz w:val="15"/>
        </w:rPr>
        <w:t>Cuando se requieran servicios de camiones de aseo</w:t>
      </w:r>
      <w:r>
        <w:rPr>
          <w:spacing w:val="13"/>
          <w:sz w:val="15"/>
        </w:rPr>
        <w:t> </w:t>
      </w:r>
      <w:r>
        <w:rPr>
          <w:sz w:val="15"/>
        </w:rPr>
        <w:t>en</w:t>
      </w:r>
    </w:p>
    <w:p>
      <w:pPr>
        <w:pStyle w:val="BodyText"/>
        <w:spacing w:line="172" w:lineRule="exact"/>
        <w:ind w:left="112"/>
      </w:pPr>
      <w:r>
        <w:rPr/>
        <w:br w:type="column"/>
      </w:r>
      <w:r>
        <w:rPr/>
        <w:t>$770.00</w:t>
      </w:r>
    </w:p>
    <w:p>
      <w:pPr>
        <w:spacing w:after="0" w:line="172" w:lineRule="exact"/>
        <w:sectPr>
          <w:type w:val="continuous"/>
          <w:pgSz w:w="23250" w:h="15310" w:orient="landscape"/>
          <w:pgMar w:top="0" w:bottom="0" w:left="1880" w:right="1520"/>
          <w:cols w:num="3" w:equalWidth="0">
            <w:col w:w="5474" w:space="5651"/>
            <w:col w:w="5267" w:space="40"/>
            <w:col w:w="3418"/>
          </w:cols>
        </w:sectPr>
      </w:pPr>
    </w:p>
    <w:p>
      <w:pPr>
        <w:pStyle w:val="ListParagraph"/>
        <w:numPr>
          <w:ilvl w:val="0"/>
          <w:numId w:val="92"/>
        </w:numPr>
        <w:tabs>
          <w:tab w:pos="819" w:val="left" w:leader="none"/>
        </w:tabs>
        <w:spacing w:line="240" w:lineRule="auto" w:before="82" w:after="0"/>
        <w:ind w:left="819" w:right="0" w:hanging="172"/>
        <w:jc w:val="left"/>
        <w:rPr>
          <w:sz w:val="15"/>
        </w:rPr>
      </w:pPr>
      <w:r>
        <w:rPr>
          <w:sz w:val="15"/>
        </w:rPr>
        <w:t>Exhumaciones, por cada</w:t>
      </w:r>
      <w:r>
        <w:rPr>
          <w:spacing w:val="5"/>
          <w:sz w:val="15"/>
        </w:rPr>
        <w:t> </w:t>
      </w:r>
      <w:r>
        <w:rPr>
          <w:sz w:val="15"/>
        </w:rPr>
        <w:t>una:</w:t>
      </w:r>
    </w:p>
    <w:p>
      <w:pPr>
        <w:pStyle w:val="BodyText"/>
        <w:spacing w:before="8"/>
      </w:pPr>
    </w:p>
    <w:p>
      <w:pPr>
        <w:pStyle w:val="ListParagraph"/>
        <w:numPr>
          <w:ilvl w:val="0"/>
          <w:numId w:val="93"/>
        </w:numPr>
        <w:tabs>
          <w:tab w:pos="828" w:val="left" w:leader="none"/>
          <w:tab w:pos="4876" w:val="left" w:leader="none"/>
        </w:tabs>
        <w:spacing w:line="240" w:lineRule="auto" w:before="1" w:after="0"/>
        <w:ind w:left="827" w:right="0" w:hanging="181"/>
        <w:jc w:val="left"/>
        <w:rPr>
          <w:sz w:val="15"/>
        </w:rPr>
      </w:pPr>
      <w:r>
        <w:rPr>
          <w:sz w:val="15"/>
        </w:rPr>
        <w:t>Exhumaciones</w:t>
      </w:r>
      <w:r>
        <w:rPr>
          <w:spacing w:val="25"/>
          <w:sz w:val="15"/>
        </w:rPr>
        <w:t> </w:t>
      </w:r>
      <w:r>
        <w:rPr>
          <w:sz w:val="15"/>
        </w:rPr>
        <w:t>prematuras,</w:t>
      </w:r>
      <w:r>
        <w:rPr>
          <w:spacing w:val="26"/>
          <w:sz w:val="15"/>
        </w:rPr>
        <w:t> </w:t>
      </w:r>
      <w:r>
        <w:rPr>
          <w:sz w:val="15"/>
        </w:rPr>
        <w:t>de:</w:t>
        <w:tab/>
        <w:t>$294.00</w:t>
      </w:r>
    </w:p>
    <w:p>
      <w:pPr>
        <w:pStyle w:val="BodyText"/>
        <w:spacing w:before="9"/>
      </w:pPr>
    </w:p>
    <w:p>
      <w:pPr>
        <w:pStyle w:val="ListParagraph"/>
        <w:numPr>
          <w:ilvl w:val="0"/>
          <w:numId w:val="93"/>
        </w:numPr>
        <w:tabs>
          <w:tab w:pos="828" w:val="left" w:leader="none"/>
          <w:tab w:pos="4877" w:val="left" w:leader="none"/>
        </w:tabs>
        <w:spacing w:line="240" w:lineRule="auto" w:before="0" w:after="0"/>
        <w:ind w:left="827" w:right="0" w:hanging="181"/>
        <w:jc w:val="left"/>
        <w:rPr>
          <w:sz w:val="15"/>
        </w:rPr>
      </w:pPr>
      <w:r>
        <w:rPr>
          <w:sz w:val="15"/>
        </w:rPr>
        <w:t>De</w:t>
      </w:r>
      <w:r>
        <w:rPr>
          <w:spacing w:val="14"/>
          <w:sz w:val="15"/>
        </w:rPr>
        <w:t> </w:t>
      </w:r>
      <w:r>
        <w:rPr>
          <w:sz w:val="15"/>
        </w:rPr>
        <w:t>restos</w:t>
      </w:r>
      <w:r>
        <w:rPr>
          <w:spacing w:val="14"/>
          <w:sz w:val="15"/>
        </w:rPr>
        <w:t> </w:t>
      </w:r>
      <w:r>
        <w:rPr>
          <w:sz w:val="15"/>
        </w:rPr>
        <w:t>áridos:</w:t>
        <w:tab/>
        <w:t>$102.00</w:t>
      </w:r>
    </w:p>
    <w:p>
      <w:pPr>
        <w:pStyle w:val="BodyText"/>
        <w:tabs>
          <w:tab w:pos="5418" w:val="left" w:leader="none"/>
        </w:tabs>
        <w:spacing w:before="4"/>
        <w:ind w:left="647"/>
      </w:pPr>
      <w:r>
        <w:rPr/>
        <w:br w:type="column"/>
      </w:r>
      <w:r>
        <w:rPr/>
        <w:t>forma</w:t>
      </w:r>
      <w:r>
        <w:rPr>
          <w:spacing w:val="8"/>
        </w:rPr>
        <w:t> </w:t>
      </w:r>
      <w:r>
        <w:rPr/>
        <w:t>exclusiva,</w:t>
      </w:r>
      <w:r>
        <w:rPr>
          <w:spacing w:val="9"/>
        </w:rPr>
        <w:t> </w:t>
      </w:r>
      <w:r>
        <w:rPr/>
        <w:t>por</w:t>
      </w:r>
      <w:r>
        <w:rPr>
          <w:spacing w:val="9"/>
        </w:rPr>
        <w:t> </w:t>
      </w:r>
      <w:r>
        <w:rPr/>
        <w:t>cada</w:t>
      </w:r>
      <w:r>
        <w:rPr>
          <w:spacing w:val="9"/>
        </w:rPr>
        <w:t> </w:t>
      </w:r>
      <w:r>
        <w:rPr/>
        <w:t>flete</w:t>
      </w:r>
      <w:r>
        <w:rPr>
          <w:spacing w:val="9"/>
        </w:rPr>
        <w:t> </w:t>
      </w:r>
      <w:r>
        <w:rPr/>
        <w:t>de</w:t>
      </w:r>
      <w:r>
        <w:rPr>
          <w:spacing w:val="9"/>
        </w:rPr>
        <w:t> </w:t>
      </w:r>
      <w:r>
        <w:rPr/>
        <w:t>recolección</w:t>
      </w:r>
      <w:r>
        <w:rPr>
          <w:spacing w:val="8"/>
        </w:rPr>
        <w:t> </w:t>
      </w:r>
      <w:r>
        <w:rPr/>
        <w:t>a</w:t>
      </w:r>
      <w:r>
        <w:rPr>
          <w:spacing w:val="8"/>
        </w:rPr>
        <w:t> </w:t>
      </w:r>
      <w:r>
        <w:rPr/>
        <w:t>su</w:t>
      </w:r>
      <w:r>
        <w:rPr>
          <w:spacing w:val="9"/>
        </w:rPr>
        <w:t> </w:t>
      </w:r>
      <w:r>
        <w:rPr/>
        <w:t>destino</w:t>
      </w:r>
      <w:r>
        <w:rPr>
          <w:spacing w:val="9"/>
        </w:rPr>
        <w:t> </w:t>
      </w:r>
      <w:r>
        <w:rPr/>
        <w:t>final:</w:t>
        <w:tab/>
        <w:t>$926.00</w:t>
      </w:r>
    </w:p>
    <w:p>
      <w:pPr>
        <w:pStyle w:val="BodyText"/>
        <w:rPr>
          <w:sz w:val="20"/>
        </w:rPr>
      </w:pPr>
    </w:p>
    <w:p>
      <w:pPr>
        <w:pStyle w:val="BodyText"/>
        <w:spacing w:line="247" w:lineRule="auto"/>
        <w:ind w:left="647" w:right="3449" w:firstLine="420"/>
        <w:jc w:val="both"/>
      </w:pPr>
      <w:r>
        <w:rPr/>
        <w:t>VI. Para condominios o fraccionamientos que requieran el servicio de recolección de basura y/o desperdicios no peligrosos en vehículos del Ayuntamiento en los términos de lo dispuesto en los reglamentos municipales respectivos, por cada tonelada</w:t>
      </w:r>
    </w:p>
    <w:p>
      <w:pPr>
        <w:spacing w:after="0" w:line="247" w:lineRule="auto"/>
        <w:jc w:val="both"/>
        <w:sectPr>
          <w:type w:val="continuous"/>
          <w:pgSz w:w="23250" w:h="15310" w:orient="landscape"/>
          <w:pgMar w:top="0" w:bottom="0" w:left="1880" w:right="1520"/>
          <w:cols w:num="2" w:equalWidth="0">
            <w:col w:w="5474" w:space="5651"/>
            <w:col w:w="8725"/>
          </w:cols>
        </w:sectPr>
      </w:pPr>
    </w:p>
    <w:p>
      <w:pPr>
        <w:pStyle w:val="ListParagraph"/>
        <w:numPr>
          <w:ilvl w:val="0"/>
          <w:numId w:val="92"/>
        </w:numPr>
        <w:tabs>
          <w:tab w:pos="904" w:val="left" w:leader="none"/>
        </w:tabs>
        <w:spacing w:line="244" w:lineRule="auto" w:before="27" w:after="0"/>
        <w:ind w:left="226" w:right="38" w:firstLine="420"/>
        <w:jc w:val="left"/>
        <w:rPr>
          <w:sz w:val="15"/>
        </w:rPr>
      </w:pPr>
      <w:r>
        <w:rPr>
          <w:sz w:val="15"/>
        </w:rPr>
        <w:t>Los servicios de cremación causarán, por cada  uno, una cuota</w:t>
      </w:r>
      <w:r>
        <w:rPr>
          <w:spacing w:val="4"/>
          <w:sz w:val="15"/>
        </w:rPr>
        <w:t> </w:t>
      </w:r>
      <w:r>
        <w:rPr>
          <w:sz w:val="15"/>
        </w:rPr>
        <w:t>de:</w:t>
      </w:r>
    </w:p>
    <w:p>
      <w:pPr>
        <w:pStyle w:val="BodyText"/>
        <w:spacing w:before="7"/>
      </w:pPr>
    </w:p>
    <w:p>
      <w:pPr>
        <w:pStyle w:val="ListParagraph"/>
        <w:numPr>
          <w:ilvl w:val="0"/>
          <w:numId w:val="92"/>
        </w:numPr>
        <w:tabs>
          <w:tab w:pos="881" w:val="left" w:leader="none"/>
        </w:tabs>
        <w:spacing w:line="247" w:lineRule="auto" w:before="0" w:after="0"/>
        <w:ind w:left="226" w:right="38" w:firstLine="420"/>
        <w:jc w:val="left"/>
        <w:rPr>
          <w:sz w:val="15"/>
        </w:rPr>
      </w:pPr>
      <w:r>
        <w:rPr>
          <w:sz w:val="15"/>
        </w:rPr>
        <w:t>Permiso de traslado de cadáveres y restos áridos fuera del Municipio, por cada</w:t>
      </w:r>
      <w:r>
        <w:rPr>
          <w:spacing w:val="8"/>
          <w:sz w:val="15"/>
        </w:rPr>
        <w:t> </w:t>
      </w:r>
      <w:r>
        <w:rPr>
          <w:sz w:val="15"/>
        </w:rPr>
        <w:t>uno:</w:t>
      </w:r>
    </w:p>
    <w:p>
      <w:pPr>
        <w:pStyle w:val="BodyText"/>
        <w:spacing w:before="27"/>
        <w:ind w:left="226"/>
      </w:pPr>
      <w:r>
        <w:rPr/>
        <w:br w:type="column"/>
      </w:r>
      <w:r>
        <w:rPr/>
        <w:t>$654.00</w:t>
      </w:r>
      <w:r>
        <w:rPr>
          <w:spacing w:val="16"/>
        </w:rPr>
        <w:t> </w:t>
      </w:r>
      <w:r>
        <w:rPr/>
        <w:t>a</w:t>
      </w:r>
    </w:p>
    <w:p>
      <w:pPr>
        <w:pStyle w:val="BodyText"/>
        <w:spacing w:before="4"/>
        <w:ind w:left="226"/>
      </w:pPr>
      <w:r>
        <w:rPr/>
        <w:t>$2,207.00</w:t>
      </w:r>
    </w:p>
    <w:p>
      <w:pPr>
        <w:pStyle w:val="BodyText"/>
        <w:tabs>
          <w:tab w:pos="4997" w:val="left" w:leader="none"/>
        </w:tabs>
        <w:spacing w:line="170" w:lineRule="exact"/>
        <w:ind w:left="226"/>
      </w:pPr>
      <w:r>
        <w:rPr/>
        <w:br w:type="column"/>
      </w:r>
      <w:r>
        <w:rPr/>
        <w:t>recolectada:</w:t>
        <w:tab/>
        <w:t>$770.00</w:t>
      </w:r>
    </w:p>
    <w:p>
      <w:pPr>
        <w:pStyle w:val="BodyText"/>
        <w:rPr>
          <w:sz w:val="16"/>
        </w:rPr>
      </w:pPr>
    </w:p>
    <w:p>
      <w:pPr>
        <w:pStyle w:val="ListParagraph"/>
        <w:numPr>
          <w:ilvl w:val="1"/>
          <w:numId w:val="92"/>
        </w:numPr>
        <w:tabs>
          <w:tab w:pos="1217" w:val="left" w:leader="none"/>
          <w:tab w:pos="1218" w:val="left" w:leader="none"/>
        </w:tabs>
        <w:spacing w:line="240" w:lineRule="auto" w:before="103" w:after="0"/>
        <w:ind w:left="1217" w:right="0" w:hanging="428"/>
        <w:jc w:val="left"/>
        <w:rPr>
          <w:sz w:val="15"/>
        </w:rPr>
      </w:pPr>
      <w:r>
        <w:rPr>
          <w:sz w:val="15"/>
        </w:rPr>
        <w:t>Por disposición final de llantas se</w:t>
      </w:r>
      <w:r>
        <w:rPr>
          <w:spacing w:val="8"/>
          <w:sz w:val="15"/>
        </w:rPr>
        <w:t> </w:t>
      </w:r>
      <w:r>
        <w:rPr>
          <w:sz w:val="15"/>
        </w:rPr>
        <w:t>cobrarán:</w:t>
      </w:r>
    </w:p>
    <w:p>
      <w:pPr>
        <w:pStyle w:val="BodyText"/>
        <w:rPr>
          <w:sz w:val="16"/>
        </w:rPr>
      </w:pPr>
    </w:p>
    <w:p>
      <w:pPr>
        <w:pStyle w:val="BodyText"/>
        <w:tabs>
          <w:tab w:pos="4997" w:val="left" w:leader="none"/>
        </w:tabs>
        <w:spacing w:line="156" w:lineRule="exact" w:before="122"/>
        <w:ind w:left="690"/>
      </w:pPr>
      <w:r>
        <w:rPr/>
        <w:t>a) Por cada llanta hasta</w:t>
      </w:r>
      <w:r>
        <w:rPr>
          <w:spacing w:val="34"/>
        </w:rPr>
        <w:t> </w:t>
      </w:r>
      <w:r>
        <w:rPr/>
        <w:t>medida</w:t>
      </w:r>
      <w:r>
        <w:rPr>
          <w:spacing w:val="7"/>
        </w:rPr>
        <w:t> </w:t>
      </w:r>
      <w:r>
        <w:rPr/>
        <w:t>R20:</w:t>
        <w:tab/>
        <w:t>$13.00</w:t>
      </w:r>
    </w:p>
    <w:p>
      <w:pPr>
        <w:spacing w:after="0" w:line="156" w:lineRule="exact"/>
        <w:sectPr>
          <w:type w:val="continuous"/>
          <w:pgSz w:w="23250" w:h="15310" w:orient="landscape"/>
          <w:pgMar w:top="0" w:bottom="0" w:left="1880" w:right="1520"/>
          <w:cols w:num="3" w:equalWidth="0">
            <w:col w:w="4414" w:space="108"/>
            <w:col w:w="952" w:space="6072"/>
            <w:col w:w="8304"/>
          </w:cols>
        </w:sectPr>
      </w:pPr>
    </w:p>
    <w:p>
      <w:pPr>
        <w:pStyle w:val="ListParagraph"/>
        <w:numPr>
          <w:ilvl w:val="0"/>
          <w:numId w:val="94"/>
        </w:numPr>
        <w:tabs>
          <w:tab w:pos="819" w:val="left" w:leader="none"/>
          <w:tab w:pos="4879" w:val="left" w:leader="none"/>
        </w:tabs>
        <w:spacing w:line="171" w:lineRule="exact" w:before="0" w:after="0"/>
        <w:ind w:left="818" w:right="0" w:hanging="172"/>
        <w:jc w:val="left"/>
        <w:rPr>
          <w:sz w:val="15"/>
        </w:rPr>
      </w:pPr>
      <w:r>
        <w:rPr>
          <w:sz w:val="15"/>
        </w:rPr>
        <w:t>Al interior</w:t>
      </w:r>
      <w:r>
        <w:rPr>
          <w:spacing w:val="18"/>
          <w:sz w:val="15"/>
        </w:rPr>
        <w:t> </w:t>
      </w:r>
      <w:r>
        <w:rPr>
          <w:sz w:val="15"/>
        </w:rPr>
        <w:t>del</w:t>
      </w:r>
      <w:r>
        <w:rPr>
          <w:spacing w:val="10"/>
          <w:sz w:val="15"/>
        </w:rPr>
        <w:t> </w:t>
      </w:r>
      <w:r>
        <w:rPr>
          <w:sz w:val="15"/>
        </w:rPr>
        <w:t>Estado:</w:t>
        <w:tab/>
        <w:t>$195.00</w:t>
      </w:r>
    </w:p>
    <w:p>
      <w:pPr>
        <w:pStyle w:val="ListParagraph"/>
        <w:numPr>
          <w:ilvl w:val="0"/>
          <w:numId w:val="94"/>
        </w:numPr>
        <w:tabs>
          <w:tab w:pos="12417" w:val="left" w:leader="none"/>
          <w:tab w:pos="16542" w:val="left" w:leader="none"/>
        </w:tabs>
        <w:spacing w:line="155" w:lineRule="exact" w:before="28" w:after="0"/>
        <w:ind w:left="12416" w:right="0" w:hanging="181"/>
        <w:jc w:val="left"/>
        <w:rPr>
          <w:sz w:val="15"/>
        </w:rPr>
      </w:pPr>
      <w:r>
        <w:rPr>
          <w:sz w:val="15"/>
        </w:rPr>
        <w:t>Por cada llanta que rebase la </w:t>
      </w:r>
      <w:r>
        <w:rPr>
          <w:spacing w:val="16"/>
          <w:sz w:val="15"/>
        </w:rPr>
        <w:t> </w:t>
      </w:r>
      <w:r>
        <w:rPr>
          <w:sz w:val="15"/>
        </w:rPr>
        <w:t>medida</w:t>
      </w:r>
      <w:r>
        <w:rPr>
          <w:spacing w:val="9"/>
          <w:sz w:val="15"/>
        </w:rPr>
        <w:t> </w:t>
      </w:r>
      <w:r>
        <w:rPr>
          <w:sz w:val="15"/>
        </w:rPr>
        <w:t>anterior:</w:t>
        <w:tab/>
        <w:t>$21.00</w:t>
      </w:r>
    </w:p>
    <w:p>
      <w:pPr>
        <w:spacing w:after="0" w:line="155" w:lineRule="exact"/>
        <w:jc w:val="left"/>
        <w:rPr>
          <w:sz w:val="15"/>
        </w:rPr>
        <w:sectPr>
          <w:type w:val="continuous"/>
          <w:pgSz w:w="23250" w:h="15310" w:orient="landscape"/>
          <w:pgMar w:top="0" w:bottom="0" w:left="1880" w:right="1520"/>
        </w:sectPr>
      </w:pPr>
    </w:p>
    <w:p>
      <w:pPr>
        <w:pStyle w:val="ListParagraph"/>
        <w:numPr>
          <w:ilvl w:val="0"/>
          <w:numId w:val="95"/>
        </w:numPr>
        <w:tabs>
          <w:tab w:pos="828" w:val="left" w:leader="none"/>
          <w:tab w:pos="4879" w:val="left" w:leader="none"/>
        </w:tabs>
        <w:spacing w:line="171" w:lineRule="exact" w:before="0" w:after="0"/>
        <w:ind w:left="827" w:right="0" w:hanging="181"/>
        <w:jc w:val="left"/>
        <w:rPr>
          <w:sz w:val="15"/>
        </w:rPr>
      </w:pPr>
      <w:r>
        <w:rPr>
          <w:sz w:val="15"/>
        </w:rPr>
        <w:t>Fuera</w:t>
      </w:r>
      <w:r>
        <w:rPr>
          <w:spacing w:val="12"/>
          <w:sz w:val="15"/>
        </w:rPr>
        <w:t> </w:t>
      </w:r>
      <w:r>
        <w:rPr>
          <w:sz w:val="15"/>
        </w:rPr>
        <w:t>del</w:t>
      </w:r>
      <w:r>
        <w:rPr>
          <w:spacing w:val="12"/>
          <w:sz w:val="15"/>
        </w:rPr>
        <w:t> </w:t>
      </w:r>
      <w:r>
        <w:rPr>
          <w:sz w:val="15"/>
        </w:rPr>
        <w:t>Estado:</w:t>
        <w:tab/>
        <w:t>$389.00</w:t>
      </w:r>
    </w:p>
    <w:p>
      <w:pPr>
        <w:pStyle w:val="BodyText"/>
        <w:spacing w:before="9"/>
      </w:pPr>
    </w:p>
    <w:p>
      <w:pPr>
        <w:pStyle w:val="ListParagraph"/>
        <w:numPr>
          <w:ilvl w:val="0"/>
          <w:numId w:val="95"/>
        </w:numPr>
        <w:tabs>
          <w:tab w:pos="819" w:val="left" w:leader="none"/>
          <w:tab w:pos="4876" w:val="left" w:leader="none"/>
        </w:tabs>
        <w:spacing w:line="240" w:lineRule="auto" w:before="0" w:after="0"/>
        <w:ind w:left="818" w:right="0" w:hanging="172"/>
        <w:jc w:val="left"/>
        <w:rPr>
          <w:sz w:val="15"/>
        </w:rPr>
      </w:pPr>
      <w:r>
        <w:rPr>
          <w:sz w:val="15"/>
        </w:rPr>
        <w:t>Fuera</w:t>
      </w:r>
      <w:r>
        <w:rPr>
          <w:spacing w:val="12"/>
          <w:sz w:val="15"/>
        </w:rPr>
        <w:t> </w:t>
      </w:r>
      <w:r>
        <w:rPr>
          <w:sz w:val="15"/>
        </w:rPr>
        <w:t>del</w:t>
      </w:r>
      <w:r>
        <w:rPr>
          <w:spacing w:val="13"/>
          <w:sz w:val="15"/>
        </w:rPr>
        <w:t> </w:t>
      </w:r>
      <w:r>
        <w:rPr>
          <w:sz w:val="15"/>
        </w:rPr>
        <w:t>País:</w:t>
        <w:tab/>
        <w:t>$410.00</w:t>
      </w:r>
    </w:p>
    <w:p>
      <w:pPr>
        <w:pStyle w:val="BodyText"/>
        <w:spacing w:line="247" w:lineRule="auto" w:before="22"/>
        <w:ind w:left="647" w:firstLine="420"/>
      </w:pPr>
      <w:r>
        <w:rPr/>
        <w:br w:type="column"/>
      </w:r>
      <w:r>
        <w:rPr/>
        <w:t>VII. Por otros servicios similares no especificados en esta sección:</w:t>
      </w:r>
    </w:p>
    <w:p>
      <w:pPr>
        <w:pStyle w:val="BodyText"/>
        <w:spacing w:before="22"/>
        <w:ind w:left="154"/>
      </w:pPr>
      <w:r>
        <w:rPr/>
        <w:br w:type="column"/>
      </w:r>
      <w:r>
        <w:rPr/>
        <w:t>$985.00</w:t>
      </w:r>
    </w:p>
    <w:p>
      <w:pPr>
        <w:spacing w:after="0"/>
        <w:sectPr>
          <w:type w:val="continuous"/>
          <w:pgSz w:w="23250" w:h="15310" w:orient="landscape"/>
          <w:pgMar w:top="0" w:bottom="0" w:left="1880" w:right="1520"/>
          <w:cols w:num="3" w:equalWidth="0">
            <w:col w:w="5476" w:space="5649"/>
            <w:col w:w="5268" w:space="40"/>
            <w:col w:w="3417"/>
          </w:cols>
        </w:sectPr>
      </w:pPr>
    </w:p>
    <w:p>
      <w:pPr>
        <w:pStyle w:val="BodyText"/>
        <w:rPr>
          <w:sz w:val="16"/>
        </w:rPr>
      </w:pPr>
    </w:p>
    <w:p>
      <w:pPr>
        <w:pStyle w:val="BodyText"/>
        <w:spacing w:before="3"/>
      </w:pPr>
    </w:p>
    <w:p>
      <w:pPr>
        <w:pStyle w:val="Heading4"/>
        <w:ind w:left="299" w:right="183"/>
      </w:pPr>
      <w:r>
        <w:rPr/>
        <w:t>SECCIÓN  DÉCIMA</w:t>
      </w:r>
      <w:r>
        <w:rPr>
          <w:spacing w:val="4"/>
        </w:rPr>
        <w:t> </w:t>
      </w:r>
      <w:r>
        <w:rPr/>
        <w:t>PRIMERA</w:t>
      </w:r>
    </w:p>
    <w:p>
      <w:pPr>
        <w:spacing w:before="5"/>
        <w:ind w:left="296" w:right="185" w:firstLine="0"/>
        <w:jc w:val="center"/>
        <w:rPr>
          <w:b/>
          <w:sz w:val="15"/>
        </w:rPr>
      </w:pPr>
      <w:r>
        <w:rPr>
          <w:b/>
          <w:sz w:val="15"/>
        </w:rPr>
        <w:t>Del Aseo  Público</w:t>
      </w:r>
      <w:r>
        <w:rPr>
          <w:b/>
          <w:spacing w:val="-2"/>
          <w:sz w:val="15"/>
        </w:rPr>
        <w:t> </w:t>
      </w:r>
      <w:r>
        <w:rPr>
          <w:b/>
          <w:sz w:val="15"/>
        </w:rPr>
        <w:t>Contratado</w:t>
      </w:r>
    </w:p>
    <w:p>
      <w:pPr>
        <w:pStyle w:val="BodyText"/>
        <w:spacing w:before="8"/>
        <w:rPr>
          <w:b/>
        </w:rPr>
      </w:pPr>
    </w:p>
    <w:p>
      <w:pPr>
        <w:pStyle w:val="BodyText"/>
        <w:spacing w:line="244" w:lineRule="auto"/>
        <w:ind w:left="150" w:right="38" w:firstLine="397"/>
        <w:jc w:val="both"/>
      </w:pPr>
      <w:r>
        <w:rPr>
          <w:b/>
        </w:rPr>
        <w:t>Artículo 96.- </w:t>
      </w:r>
      <w:r>
        <w:rPr/>
        <w:t>Las personas físicas o jurídicas, a quienes se presten los servicios que en esta sección se enumeran de conformidad con la ley y reglamento en la materia, pagarán los derechos correspondientes conforme a lo siguiente:</w:t>
      </w:r>
    </w:p>
    <w:p>
      <w:pPr>
        <w:pStyle w:val="BodyText"/>
        <w:spacing w:before="8"/>
      </w:pPr>
    </w:p>
    <w:p>
      <w:pPr>
        <w:pStyle w:val="BodyText"/>
        <w:spacing w:line="247" w:lineRule="auto"/>
        <w:ind w:left="150" w:right="2978" w:firstLine="420"/>
        <w:jc w:val="both"/>
      </w:pPr>
      <w:r>
        <w:rPr/>
        <w:t>I. Por recolección de basura, desechos o desperdicios no peligrosos en vehículos del Ayuntamiento, en los términos de lo dispuesto en los reglamentos municipales respectivos, por cada</w:t>
      </w:r>
    </w:p>
    <w:p>
      <w:pPr>
        <w:pStyle w:val="BodyText"/>
        <w:tabs>
          <w:tab w:pos="4921" w:val="left" w:leader="none"/>
        </w:tabs>
        <w:spacing w:line="170" w:lineRule="exact"/>
        <w:ind w:left="150"/>
        <w:jc w:val="both"/>
      </w:pPr>
      <w:r>
        <w:rPr/>
        <w:t>tonelada recolectada o su equivalente </w:t>
      </w:r>
      <w:r>
        <w:rPr>
          <w:spacing w:val="11"/>
        </w:rPr>
        <w:t> </w:t>
      </w:r>
      <w:r>
        <w:rPr/>
        <w:t>en</w:t>
      </w:r>
      <w:r>
        <w:rPr>
          <w:spacing w:val="10"/>
        </w:rPr>
        <w:t> </w:t>
      </w:r>
      <w:r>
        <w:rPr/>
        <w:t>kilogramos:</w:t>
        <w:tab/>
        <w:t>$770.00</w:t>
      </w:r>
    </w:p>
    <w:p>
      <w:pPr>
        <w:pStyle w:val="BodyText"/>
        <w:spacing w:line="247" w:lineRule="auto" w:before="28"/>
        <w:ind w:left="150" w:right="509" w:firstLine="397"/>
        <w:jc w:val="both"/>
      </w:pPr>
      <w:r>
        <w:rPr/>
        <w:br w:type="column"/>
      </w:r>
      <w:r>
        <w:rPr>
          <w:b/>
        </w:rPr>
        <w:t>Artículo 97.- </w:t>
      </w:r>
      <w:r>
        <w:rPr/>
        <w:t>La explotación de los basureros será objeto de concesión bajo contrato que suscriba el Municipio cumpliendo con los requisitos previstos en las disposiciones legales y reglamentarias aplicables.</w:t>
      </w:r>
    </w:p>
    <w:p>
      <w:pPr>
        <w:pStyle w:val="BodyText"/>
        <w:spacing w:before="5"/>
      </w:pPr>
    </w:p>
    <w:p>
      <w:pPr>
        <w:pStyle w:val="Heading4"/>
        <w:ind w:left="273" w:right="632"/>
      </w:pPr>
      <w:r>
        <w:rPr/>
        <w:t>SECCIÓN DÉCIMA SEGUNDA</w:t>
      </w:r>
    </w:p>
    <w:p>
      <w:pPr>
        <w:spacing w:before="5"/>
        <w:ind w:left="274" w:right="632" w:firstLine="0"/>
        <w:jc w:val="center"/>
        <w:rPr>
          <w:b/>
          <w:sz w:val="15"/>
        </w:rPr>
      </w:pPr>
      <w:r>
        <w:rPr>
          <w:b/>
          <w:sz w:val="15"/>
        </w:rPr>
        <w:t>Del Agua Potable, Drenaje, Alcantarillado, Tratamiento y Disposición Final de Aguas Residuales</w:t>
      </w:r>
    </w:p>
    <w:p>
      <w:pPr>
        <w:pStyle w:val="BodyText"/>
        <w:spacing w:before="8"/>
        <w:rPr>
          <w:b/>
        </w:rPr>
      </w:pPr>
    </w:p>
    <w:p>
      <w:pPr>
        <w:pStyle w:val="BodyText"/>
        <w:spacing w:line="247" w:lineRule="auto"/>
        <w:ind w:left="151" w:right="509" w:firstLine="397"/>
        <w:jc w:val="both"/>
      </w:pPr>
      <w:r>
        <w:rPr>
          <w:b/>
        </w:rPr>
        <w:t>Artículo 98</w:t>
      </w:r>
      <w:r>
        <w:rPr/>
        <w:t>.- Las personas físicas o jurídicas, propietarias, poseedoras, usufructuarias o  que  por  cualquier título utilicen inmuebles en el Municipio de Tlajomulco de Zúñiga, Jalisco, que se beneficien directa o indirectamente con uno o varios de los servicios de agua potable, drenaje, alcantarillado, tratamiento y reúso     en la disposición final de aguas residuales, que proporciona el Municipio, a través de la Dirección General de Agua Potable y Saneamiento, asociaciones u otros organismos operadores o por cualquier otra forma, bien porque reciban alguno o algunos de ellos o porque por el frente o algún lado del perímetro del inmueble pase alguna de estas redes, están obligados a cubrir los derechos correspondientes, conforme a las cuotas, tasas o tarifas mensuales establecidas en esta ley y a su registro en el Padrón de</w:t>
      </w:r>
      <w:r>
        <w:rPr>
          <w:spacing w:val="40"/>
        </w:rPr>
        <w:t> </w:t>
      </w:r>
      <w:r>
        <w:rPr/>
        <w:t>usuarios.</w:t>
      </w:r>
    </w:p>
    <w:p>
      <w:pPr>
        <w:pStyle w:val="BodyText"/>
      </w:pPr>
    </w:p>
    <w:p>
      <w:pPr>
        <w:pStyle w:val="BodyText"/>
        <w:spacing w:before="1"/>
        <w:ind w:left="548"/>
      </w:pPr>
      <w:r>
        <w:rPr>
          <w:b/>
        </w:rPr>
        <w:t>Artículo 99.- </w:t>
      </w:r>
      <w:r>
        <w:rPr/>
        <w:t>Los servicios que el Municipio de Tlajomulco de Zúñiga, Jalisco, u otros organismos</w:t>
      </w:r>
    </w:p>
    <w:p>
      <w:pPr>
        <w:spacing w:after="0"/>
        <w:sectPr>
          <w:type w:val="continuous"/>
          <w:pgSz w:w="23250" w:h="15310" w:orient="landscape"/>
          <w:pgMar w:top="0" w:bottom="0" w:left="1880" w:right="1520"/>
          <w:cols w:num="2" w:equalWidth="0">
            <w:col w:w="7751" w:space="3871"/>
            <w:col w:w="8228"/>
          </w:cols>
        </w:sectPr>
      </w:pPr>
    </w:p>
    <w:p>
      <w:pPr>
        <w:pStyle w:val="BodyText"/>
        <w:rPr>
          <w:sz w:val="20"/>
        </w:rPr>
      </w:pPr>
    </w:p>
    <w:p>
      <w:pPr>
        <w:pStyle w:val="BodyText"/>
        <w:spacing w:before="7"/>
        <w:rPr>
          <w:sz w:val="29"/>
        </w:rPr>
      </w:pPr>
    </w:p>
    <w:p>
      <w:pPr>
        <w:spacing w:after="0"/>
        <w:rPr>
          <w:sz w:val="29"/>
        </w:rPr>
        <w:sectPr>
          <w:headerReference w:type="default" r:id="rId78"/>
          <w:pgSz w:w="23250" w:h="15310" w:orient="landscape"/>
          <w:pgMar w:header="881" w:footer="499" w:top="1920" w:bottom="680" w:left="1880" w:right="1520"/>
        </w:sectPr>
      </w:pPr>
    </w:p>
    <w:p>
      <w:pPr>
        <w:pStyle w:val="BodyText"/>
        <w:spacing w:line="247" w:lineRule="auto" w:before="99"/>
        <w:ind w:left="151" w:right="114"/>
      </w:pPr>
      <w:r>
        <w:rPr/>
        <w:t>operadores proporcionan por concepto de Agua Potable, Alcantarillado y Saneamiento deberán de sujetarse invariablemente a alguno de los siguientes regímenes:</w:t>
      </w:r>
    </w:p>
    <w:p>
      <w:pPr>
        <w:pStyle w:val="BodyText"/>
        <w:spacing w:before="2"/>
      </w:pPr>
    </w:p>
    <w:p>
      <w:pPr>
        <w:pStyle w:val="ListParagraph"/>
        <w:numPr>
          <w:ilvl w:val="0"/>
          <w:numId w:val="96"/>
        </w:numPr>
        <w:tabs>
          <w:tab w:pos="678" w:val="left" w:leader="none"/>
        </w:tabs>
        <w:spacing w:line="240" w:lineRule="auto" w:before="1" w:after="0"/>
        <w:ind w:left="677" w:right="0" w:hanging="130"/>
        <w:jc w:val="left"/>
        <w:rPr>
          <w:sz w:val="15"/>
        </w:rPr>
      </w:pPr>
      <w:r>
        <w:rPr>
          <w:sz w:val="15"/>
        </w:rPr>
        <w:t>Servicio de cuota fija;</w:t>
      </w:r>
      <w:r>
        <w:rPr>
          <w:spacing w:val="3"/>
          <w:sz w:val="15"/>
        </w:rPr>
        <w:t> </w:t>
      </w:r>
      <w:r>
        <w:rPr>
          <w:sz w:val="15"/>
        </w:rPr>
        <w:t>o</w:t>
      </w:r>
    </w:p>
    <w:p>
      <w:pPr>
        <w:pStyle w:val="ListParagraph"/>
        <w:numPr>
          <w:ilvl w:val="0"/>
          <w:numId w:val="96"/>
        </w:numPr>
        <w:tabs>
          <w:tab w:pos="720" w:val="left" w:leader="none"/>
        </w:tabs>
        <w:spacing w:line="240" w:lineRule="auto" w:before="4" w:after="0"/>
        <w:ind w:left="719" w:right="0" w:hanging="172"/>
        <w:jc w:val="left"/>
        <w:rPr>
          <w:sz w:val="15"/>
        </w:rPr>
      </w:pPr>
      <w:r>
        <w:rPr>
          <w:sz w:val="15"/>
        </w:rPr>
        <w:t>Servicio</w:t>
      </w:r>
      <w:r>
        <w:rPr>
          <w:spacing w:val="1"/>
          <w:sz w:val="15"/>
        </w:rPr>
        <w:t> </w:t>
      </w:r>
      <w:r>
        <w:rPr>
          <w:sz w:val="15"/>
        </w:rPr>
        <w:t>medido.</w:t>
      </w:r>
    </w:p>
    <w:p>
      <w:pPr>
        <w:pStyle w:val="BodyText"/>
        <w:spacing w:before="10"/>
      </w:pPr>
    </w:p>
    <w:p>
      <w:pPr>
        <w:pStyle w:val="BodyText"/>
        <w:spacing w:line="247" w:lineRule="auto"/>
        <w:ind w:left="151" w:right="38" w:firstLine="397"/>
        <w:jc w:val="both"/>
      </w:pPr>
      <w:r>
        <w:rPr>
          <w:b/>
        </w:rPr>
        <w:t>Artículo 100.- </w:t>
      </w:r>
      <w:r>
        <w:rPr/>
        <w:t>Para los efectos de la presente </w:t>
      </w:r>
      <w:r>
        <w:rPr>
          <w:spacing w:val="-4"/>
        </w:rPr>
        <w:t>Ley,  </w:t>
      </w:r>
      <w:r>
        <w:rPr/>
        <w:t>se entiende por servicio de cuota fija aquel que     presta el Municipio de Tlajomulco de Zúñiga, Jalisco, u otros organismos operadores por concepto de Agua Potable, Alcantarillado y Saneamiento sin la utilización de aparatos medidores que sirvan para determinar el monto a pagar por un</w:t>
      </w:r>
      <w:r>
        <w:rPr>
          <w:spacing w:val="7"/>
        </w:rPr>
        <w:t> </w:t>
      </w:r>
      <w:r>
        <w:rPr/>
        <w:t>contribuyente.</w:t>
      </w:r>
    </w:p>
    <w:p>
      <w:pPr>
        <w:pStyle w:val="BodyText"/>
        <w:spacing w:before="2"/>
      </w:pPr>
    </w:p>
    <w:p>
      <w:pPr>
        <w:pStyle w:val="BodyText"/>
        <w:spacing w:line="247" w:lineRule="auto"/>
        <w:ind w:left="151" w:right="39" w:firstLine="397"/>
        <w:jc w:val="both"/>
      </w:pPr>
      <w:r>
        <w:rPr>
          <w:b/>
        </w:rPr>
        <w:t>Artículo 101.- </w:t>
      </w:r>
      <w:r>
        <w:rPr/>
        <w:t>Para los efectos de la presente </w:t>
      </w:r>
      <w:r>
        <w:rPr>
          <w:spacing w:val="-4"/>
        </w:rPr>
        <w:t>Ley, </w:t>
      </w:r>
      <w:r>
        <w:rPr/>
        <w:t>se entiende por servicio medido a aquel que por concepto de Agua Potable, Alcantarillado, Saneamiento y reúso presta el Municipio u otros organismos operadores, cuantificando el consumo de agua que se efectúe en los domicilios, mediante  la  utilización  aparatos</w:t>
      </w:r>
      <w:r>
        <w:rPr>
          <w:spacing w:val="7"/>
        </w:rPr>
        <w:t> </w:t>
      </w:r>
      <w:r>
        <w:rPr/>
        <w:t>medidores</w:t>
      </w:r>
      <w:r>
        <w:rPr>
          <w:spacing w:val="8"/>
        </w:rPr>
        <w:t> </w:t>
      </w:r>
      <w:r>
        <w:rPr/>
        <w:t>debidamente</w:t>
      </w:r>
      <w:r>
        <w:rPr>
          <w:spacing w:val="8"/>
        </w:rPr>
        <w:t> </w:t>
      </w:r>
      <w:r>
        <w:rPr/>
        <w:t>autorizados</w:t>
      </w:r>
      <w:r>
        <w:rPr>
          <w:spacing w:val="8"/>
        </w:rPr>
        <w:t> </w:t>
      </w:r>
      <w:r>
        <w:rPr/>
        <w:t>por</w:t>
      </w:r>
      <w:r>
        <w:rPr>
          <w:spacing w:val="7"/>
        </w:rPr>
        <w:t> </w:t>
      </w:r>
      <w:r>
        <w:rPr/>
        <w:t>la</w:t>
      </w:r>
      <w:r>
        <w:rPr>
          <w:spacing w:val="8"/>
        </w:rPr>
        <w:t> </w:t>
      </w:r>
      <w:r>
        <w:rPr/>
        <w:t>Dirección</w:t>
      </w:r>
      <w:r>
        <w:rPr>
          <w:spacing w:val="7"/>
        </w:rPr>
        <w:t> </w:t>
      </w:r>
      <w:r>
        <w:rPr/>
        <w:t>General</w:t>
      </w:r>
      <w:r>
        <w:rPr>
          <w:spacing w:val="8"/>
        </w:rPr>
        <w:t> </w:t>
      </w:r>
      <w:r>
        <w:rPr/>
        <w:t>de</w:t>
      </w:r>
      <w:r>
        <w:rPr>
          <w:spacing w:val="-3"/>
        </w:rPr>
        <w:t> </w:t>
      </w:r>
      <w:r>
        <w:rPr/>
        <w:t>Agua</w:t>
      </w:r>
      <w:r>
        <w:rPr>
          <w:spacing w:val="8"/>
        </w:rPr>
        <w:t> </w:t>
      </w:r>
      <w:r>
        <w:rPr/>
        <w:t>Potable</w:t>
      </w:r>
      <w:r>
        <w:rPr>
          <w:spacing w:val="8"/>
        </w:rPr>
        <w:t> </w:t>
      </w:r>
      <w:r>
        <w:rPr/>
        <w:t>y</w:t>
      </w:r>
      <w:r>
        <w:rPr>
          <w:spacing w:val="8"/>
        </w:rPr>
        <w:t> </w:t>
      </w:r>
      <w:r>
        <w:rPr/>
        <w:t>Saneamiento.</w:t>
      </w:r>
    </w:p>
    <w:p>
      <w:pPr>
        <w:pStyle w:val="BodyText"/>
        <w:spacing w:before="2"/>
      </w:pPr>
    </w:p>
    <w:p>
      <w:pPr>
        <w:pStyle w:val="BodyText"/>
        <w:spacing w:line="247" w:lineRule="auto"/>
        <w:ind w:left="151" w:right="38" w:firstLine="397"/>
        <w:jc w:val="both"/>
      </w:pPr>
      <w:r>
        <w:rPr>
          <w:b/>
        </w:rPr>
        <w:t>Artículo 102.-</w:t>
      </w:r>
      <w:r>
        <w:rPr/>
        <w:t>Será obligatorio en los domicilios que el Municipio determine y en las tomas de nueva creación el pago de las cuotas, tasas y tarifas por los servicios de agua potable, drenaje, alcantarillado, tratamiento y disposición final de aguas residuales mediante aparatos medidores que autorice la Dirección General de Agua Potable y Saneamiento.</w:t>
      </w:r>
    </w:p>
    <w:p>
      <w:pPr>
        <w:pStyle w:val="BodyText"/>
        <w:spacing w:before="2"/>
      </w:pPr>
    </w:p>
    <w:p>
      <w:pPr>
        <w:pStyle w:val="BodyText"/>
        <w:spacing w:line="247" w:lineRule="auto" w:before="1"/>
        <w:ind w:left="151" w:right="40" w:firstLine="397"/>
        <w:jc w:val="both"/>
      </w:pPr>
      <w:r>
        <w:rPr/>
        <w:t>Los usuarios que estén bajo régimen de cobro por servicio medido estarán obligados a  instalar  su medidor</w:t>
      </w:r>
      <w:r>
        <w:rPr>
          <w:spacing w:val="4"/>
        </w:rPr>
        <w:t> </w:t>
      </w:r>
      <w:r>
        <w:rPr/>
        <w:t>al</w:t>
      </w:r>
      <w:r>
        <w:rPr>
          <w:spacing w:val="4"/>
        </w:rPr>
        <w:t> </w:t>
      </w:r>
      <w:r>
        <w:rPr/>
        <w:t>exterior</w:t>
      </w:r>
      <w:r>
        <w:rPr>
          <w:spacing w:val="5"/>
        </w:rPr>
        <w:t> </w:t>
      </w:r>
      <w:r>
        <w:rPr/>
        <w:t>del</w:t>
      </w:r>
      <w:r>
        <w:rPr>
          <w:spacing w:val="4"/>
        </w:rPr>
        <w:t> </w:t>
      </w:r>
      <w:r>
        <w:rPr/>
        <w:t>domicilio</w:t>
      </w:r>
      <w:r>
        <w:rPr>
          <w:spacing w:val="5"/>
        </w:rPr>
        <w:t> </w:t>
      </w:r>
      <w:r>
        <w:rPr/>
        <w:t>y</w:t>
      </w:r>
      <w:r>
        <w:rPr>
          <w:spacing w:val="4"/>
        </w:rPr>
        <w:t> </w:t>
      </w:r>
      <w:r>
        <w:rPr/>
        <w:t>dicha</w:t>
      </w:r>
      <w:r>
        <w:rPr>
          <w:spacing w:val="5"/>
        </w:rPr>
        <w:t> </w:t>
      </w:r>
      <w:r>
        <w:rPr/>
        <w:t>obligación</w:t>
      </w:r>
      <w:r>
        <w:rPr>
          <w:spacing w:val="4"/>
        </w:rPr>
        <w:t> </w:t>
      </w:r>
      <w:r>
        <w:rPr/>
        <w:t>correrá</w:t>
      </w:r>
      <w:r>
        <w:rPr>
          <w:spacing w:val="5"/>
        </w:rPr>
        <w:t> </w:t>
      </w:r>
      <w:r>
        <w:rPr/>
        <w:t>por</w:t>
      </w:r>
      <w:r>
        <w:rPr>
          <w:spacing w:val="4"/>
        </w:rPr>
        <w:t> </w:t>
      </w:r>
      <w:r>
        <w:rPr/>
        <w:t>cuenta</w:t>
      </w:r>
      <w:r>
        <w:rPr>
          <w:spacing w:val="5"/>
        </w:rPr>
        <w:t> </w:t>
      </w:r>
      <w:r>
        <w:rPr/>
        <w:t>del</w:t>
      </w:r>
      <w:r>
        <w:rPr>
          <w:spacing w:val="4"/>
        </w:rPr>
        <w:t> </w:t>
      </w:r>
      <w:r>
        <w:rPr/>
        <w:t>propietario</w:t>
      </w:r>
      <w:r>
        <w:rPr>
          <w:spacing w:val="3"/>
        </w:rPr>
        <w:t> </w:t>
      </w:r>
      <w:r>
        <w:rPr/>
        <w:t>del</w:t>
      </w:r>
      <w:r>
        <w:rPr>
          <w:spacing w:val="5"/>
        </w:rPr>
        <w:t> </w:t>
      </w:r>
      <w:r>
        <w:rPr/>
        <w:t>predio.</w:t>
      </w:r>
    </w:p>
    <w:p>
      <w:pPr>
        <w:pStyle w:val="BodyText"/>
        <w:spacing w:line="247" w:lineRule="auto" w:before="99"/>
        <w:ind w:left="151" w:right="509"/>
        <w:jc w:val="both"/>
      </w:pPr>
      <w:r>
        <w:rPr/>
        <w:br w:type="column"/>
      </w:r>
      <w:r>
        <w:rPr/>
        <w:t>los primeros 15 días del mes, el pago correspondiente de las cuotas, tasas y tarifas, según corresponda, mensuales aplicables, conforme a las características del predio registrado en el padrón de usuarios, o las que   se determinen por la verificación del mismo, conforme a lo</w:t>
      </w:r>
      <w:r>
        <w:rPr>
          <w:spacing w:val="22"/>
        </w:rPr>
        <w:t> </w:t>
      </w:r>
      <w:r>
        <w:rPr/>
        <w:t>siguiente:</w:t>
      </w:r>
    </w:p>
    <w:p>
      <w:pPr>
        <w:pStyle w:val="BodyText"/>
        <w:spacing w:before="2"/>
      </w:pPr>
    </w:p>
    <w:p>
      <w:pPr>
        <w:pStyle w:val="BodyText"/>
        <w:ind w:right="1961"/>
        <w:jc w:val="right"/>
      </w:pPr>
      <w:r>
        <w:rPr/>
        <w:t>TARIFAS</w:t>
      </w:r>
    </w:p>
    <w:p>
      <w:pPr>
        <w:pStyle w:val="ListParagraph"/>
        <w:numPr>
          <w:ilvl w:val="1"/>
          <w:numId w:val="96"/>
        </w:numPr>
        <w:tabs>
          <w:tab w:pos="827" w:val="left" w:leader="none"/>
        </w:tabs>
        <w:spacing w:line="247" w:lineRule="auto" w:before="5" w:after="0"/>
        <w:ind w:left="226" w:right="3669" w:firstLine="420"/>
        <w:jc w:val="left"/>
        <w:rPr>
          <w:sz w:val="15"/>
        </w:rPr>
      </w:pPr>
      <w:r>
        <w:rPr>
          <w:sz w:val="15"/>
        </w:rPr>
        <w:t>Tabulador del servicio doméstico, cuota fija, en la cabecera</w:t>
      </w:r>
      <w:r>
        <w:rPr>
          <w:spacing w:val="1"/>
          <w:sz w:val="15"/>
        </w:rPr>
        <w:t> </w:t>
      </w:r>
      <w:r>
        <w:rPr>
          <w:sz w:val="15"/>
        </w:rPr>
        <w:t>municipal:</w:t>
      </w:r>
    </w:p>
    <w:p>
      <w:pPr>
        <w:pStyle w:val="BodyText"/>
        <w:spacing w:before="4"/>
      </w:pPr>
    </w:p>
    <w:p>
      <w:pPr>
        <w:pStyle w:val="ListParagraph"/>
        <w:numPr>
          <w:ilvl w:val="0"/>
          <w:numId w:val="97"/>
        </w:numPr>
        <w:tabs>
          <w:tab w:pos="828" w:val="left" w:leader="none"/>
        </w:tabs>
        <w:spacing w:line="240" w:lineRule="auto" w:before="0" w:after="0"/>
        <w:ind w:left="827" w:right="0" w:hanging="181"/>
        <w:jc w:val="left"/>
        <w:rPr>
          <w:sz w:val="15"/>
        </w:rPr>
      </w:pPr>
      <w:r>
        <w:rPr>
          <w:sz w:val="15"/>
        </w:rPr>
        <w:t>Casa habitación unifamiliar o</w:t>
      </w:r>
      <w:r>
        <w:rPr>
          <w:spacing w:val="6"/>
          <w:sz w:val="15"/>
        </w:rPr>
        <w:t> </w:t>
      </w:r>
      <w:r>
        <w:rPr>
          <w:sz w:val="15"/>
        </w:rPr>
        <w:t>departamento.</w:t>
      </w:r>
    </w:p>
    <w:p>
      <w:pPr>
        <w:pStyle w:val="BodyText"/>
        <w:spacing w:before="8"/>
      </w:pPr>
    </w:p>
    <w:p>
      <w:pPr>
        <w:pStyle w:val="ListParagraph"/>
        <w:numPr>
          <w:ilvl w:val="0"/>
          <w:numId w:val="98"/>
        </w:numPr>
        <w:tabs>
          <w:tab w:pos="819" w:val="left" w:leader="none"/>
          <w:tab w:pos="5036" w:val="left" w:leader="none"/>
        </w:tabs>
        <w:spacing w:line="240" w:lineRule="auto" w:before="1" w:after="0"/>
        <w:ind w:left="818" w:right="0" w:hanging="172"/>
        <w:jc w:val="left"/>
        <w:rPr>
          <w:sz w:val="15"/>
        </w:rPr>
      </w:pPr>
      <w:r>
        <w:rPr>
          <w:sz w:val="15"/>
        </w:rPr>
        <w:t>Hasta dos recámaras y</w:t>
      </w:r>
      <w:r>
        <w:rPr>
          <w:spacing w:val="40"/>
          <w:sz w:val="15"/>
        </w:rPr>
        <w:t> </w:t>
      </w:r>
      <w:r>
        <w:rPr>
          <w:sz w:val="15"/>
        </w:rPr>
        <w:t>un</w:t>
      </w:r>
      <w:r>
        <w:rPr>
          <w:spacing w:val="10"/>
          <w:sz w:val="15"/>
        </w:rPr>
        <w:t> </w:t>
      </w:r>
      <w:r>
        <w:rPr>
          <w:sz w:val="15"/>
        </w:rPr>
        <w:t>baño:</w:t>
        <w:tab/>
        <w:t>$78.00</w:t>
      </w:r>
    </w:p>
    <w:p>
      <w:pPr>
        <w:pStyle w:val="BodyText"/>
        <w:spacing w:before="9"/>
      </w:pPr>
    </w:p>
    <w:p>
      <w:pPr>
        <w:pStyle w:val="ListParagraph"/>
        <w:numPr>
          <w:ilvl w:val="0"/>
          <w:numId w:val="98"/>
        </w:numPr>
        <w:tabs>
          <w:tab w:pos="819" w:val="left" w:leader="none"/>
          <w:tab w:pos="5036" w:val="left" w:leader="none"/>
        </w:tabs>
        <w:spacing w:line="240" w:lineRule="auto" w:before="0" w:after="0"/>
        <w:ind w:left="818" w:right="0" w:hanging="172"/>
        <w:jc w:val="left"/>
        <w:rPr>
          <w:sz w:val="15"/>
        </w:rPr>
      </w:pPr>
      <w:r>
        <w:rPr>
          <w:sz w:val="15"/>
        </w:rPr>
        <w:t>Por  cada</w:t>
      </w:r>
      <w:r>
        <w:rPr>
          <w:spacing w:val="-8"/>
          <w:sz w:val="15"/>
        </w:rPr>
        <w:t> </w:t>
      </w:r>
      <w:r>
        <w:rPr>
          <w:sz w:val="15"/>
        </w:rPr>
        <w:t>recámara</w:t>
      </w:r>
      <w:r>
        <w:rPr>
          <w:spacing w:val="17"/>
          <w:sz w:val="15"/>
        </w:rPr>
        <w:t> </w:t>
      </w:r>
      <w:r>
        <w:rPr>
          <w:sz w:val="15"/>
        </w:rPr>
        <w:t>excedente:</w:t>
        <w:tab/>
        <w:t>$21.00</w:t>
      </w:r>
    </w:p>
    <w:p>
      <w:pPr>
        <w:pStyle w:val="ListParagraph"/>
        <w:numPr>
          <w:ilvl w:val="0"/>
          <w:numId w:val="98"/>
        </w:numPr>
        <w:tabs>
          <w:tab w:pos="819" w:val="left" w:leader="none"/>
          <w:tab w:pos="5036" w:val="left" w:leader="none"/>
        </w:tabs>
        <w:spacing w:line="354" w:lineRule="exact" w:before="39" w:after="0"/>
        <w:ind w:left="647" w:right="2712" w:firstLine="0"/>
        <w:jc w:val="left"/>
        <w:rPr>
          <w:sz w:val="15"/>
        </w:rPr>
      </w:pPr>
      <w:r>
        <w:rPr>
          <w:sz w:val="15"/>
        </w:rPr>
        <w:t>Por  cada</w:t>
      </w:r>
      <w:r>
        <w:rPr>
          <w:spacing w:val="-13"/>
          <w:sz w:val="15"/>
        </w:rPr>
        <w:t> </w:t>
      </w:r>
      <w:r>
        <w:rPr>
          <w:sz w:val="15"/>
        </w:rPr>
        <w:t>baño</w:t>
      </w:r>
      <w:r>
        <w:rPr>
          <w:spacing w:val="14"/>
          <w:sz w:val="15"/>
        </w:rPr>
        <w:t> </w:t>
      </w:r>
      <w:r>
        <w:rPr>
          <w:sz w:val="15"/>
        </w:rPr>
        <w:t>excedente:</w:t>
        <w:tab/>
      </w:r>
      <w:r>
        <w:rPr>
          <w:spacing w:val="-3"/>
          <w:sz w:val="15"/>
        </w:rPr>
        <w:t>$21.00 </w:t>
      </w:r>
      <w:r>
        <w:rPr>
          <w:sz w:val="15"/>
        </w:rPr>
        <w:t>El cuarto de servicio se considera recámara y el</w:t>
      </w:r>
      <w:r>
        <w:rPr>
          <w:spacing w:val="-13"/>
          <w:sz w:val="15"/>
        </w:rPr>
        <w:t> </w:t>
      </w:r>
      <w:r>
        <w:rPr>
          <w:sz w:val="15"/>
        </w:rPr>
        <w:t>medio</w:t>
      </w:r>
    </w:p>
    <w:p>
      <w:pPr>
        <w:pStyle w:val="BodyText"/>
        <w:spacing w:line="139" w:lineRule="exact"/>
        <w:ind w:left="226"/>
        <w:jc w:val="both"/>
      </w:pPr>
      <w:r>
        <w:rPr/>
        <w:t>baño, como baño incluyendo los casos de los demás incisos.</w:t>
      </w:r>
    </w:p>
    <w:p>
      <w:pPr>
        <w:pStyle w:val="BodyText"/>
        <w:spacing w:before="8"/>
      </w:pPr>
    </w:p>
    <w:p>
      <w:pPr>
        <w:pStyle w:val="ListParagraph"/>
        <w:numPr>
          <w:ilvl w:val="0"/>
          <w:numId w:val="97"/>
        </w:numPr>
        <w:tabs>
          <w:tab w:pos="914" w:val="left" w:leader="none"/>
        </w:tabs>
        <w:spacing w:line="247" w:lineRule="auto" w:before="0" w:after="0"/>
        <w:ind w:left="226" w:right="3672" w:firstLine="420"/>
        <w:jc w:val="left"/>
        <w:rPr>
          <w:sz w:val="15"/>
        </w:rPr>
      </w:pPr>
      <w:r>
        <w:rPr>
          <w:sz w:val="15"/>
        </w:rPr>
        <w:t>Vecindades, con vivienda de una habitación y servicios sanitarios</w:t>
      </w:r>
      <w:r>
        <w:rPr>
          <w:spacing w:val="3"/>
          <w:sz w:val="15"/>
        </w:rPr>
        <w:t> </w:t>
      </w:r>
      <w:r>
        <w:rPr>
          <w:sz w:val="15"/>
        </w:rPr>
        <w:t>comunes:</w:t>
      </w:r>
    </w:p>
    <w:p>
      <w:pPr>
        <w:pStyle w:val="BodyText"/>
        <w:spacing w:before="4"/>
      </w:pPr>
    </w:p>
    <w:p>
      <w:pPr>
        <w:pStyle w:val="ListParagraph"/>
        <w:numPr>
          <w:ilvl w:val="0"/>
          <w:numId w:val="99"/>
        </w:numPr>
        <w:tabs>
          <w:tab w:pos="819" w:val="left" w:leader="none"/>
          <w:tab w:pos="4951" w:val="left" w:leader="none"/>
        </w:tabs>
        <w:spacing w:line="240" w:lineRule="auto" w:before="0" w:after="0"/>
        <w:ind w:left="818" w:right="0" w:hanging="172"/>
        <w:jc w:val="left"/>
        <w:rPr>
          <w:sz w:val="15"/>
        </w:rPr>
      </w:pPr>
      <w:r>
        <w:rPr>
          <w:sz w:val="15"/>
        </w:rPr>
        <w:t>Hasta  por</w:t>
      </w:r>
      <w:r>
        <w:rPr>
          <w:spacing w:val="-16"/>
          <w:sz w:val="15"/>
        </w:rPr>
        <w:t> </w:t>
      </w:r>
      <w:r>
        <w:rPr>
          <w:sz w:val="15"/>
        </w:rPr>
        <w:t>ocho</w:t>
      </w:r>
      <w:r>
        <w:rPr>
          <w:spacing w:val="13"/>
          <w:sz w:val="15"/>
        </w:rPr>
        <w:t> </w:t>
      </w:r>
      <w:r>
        <w:rPr>
          <w:sz w:val="15"/>
        </w:rPr>
        <w:t>viviendas:</w:t>
        <w:tab/>
        <w:t>$159.00</w:t>
      </w:r>
    </w:p>
    <w:p>
      <w:pPr>
        <w:spacing w:after="0" w:line="240" w:lineRule="auto"/>
        <w:jc w:val="left"/>
        <w:rPr>
          <w:sz w:val="15"/>
        </w:rPr>
        <w:sectPr>
          <w:type w:val="continuous"/>
          <w:pgSz w:w="23250" w:h="15310" w:orient="landscape"/>
          <w:pgMar w:top="0" w:bottom="0" w:left="1880" w:right="1520"/>
          <w:cols w:num="2" w:equalWidth="0">
            <w:col w:w="7753" w:space="3869"/>
            <w:col w:w="8228"/>
          </w:cols>
        </w:sectPr>
      </w:pPr>
    </w:p>
    <w:p>
      <w:pPr>
        <w:pStyle w:val="BodyText"/>
        <w:spacing w:before="3"/>
      </w:pPr>
    </w:p>
    <w:p>
      <w:pPr>
        <w:pStyle w:val="BodyText"/>
        <w:spacing w:line="247" w:lineRule="auto" w:before="1"/>
        <w:ind w:left="151" w:right="39" w:firstLine="397"/>
        <w:jc w:val="both"/>
      </w:pPr>
      <w:r>
        <w:rPr/>
        <w:t>Para el cobro a los usuarios con servicio medido que registren  fallas,  inconsistencias en las lecturas o  que no exista el aparato de medición, se cuantificarán los cargos con base en los elementos objetivos de que    se disponga con relación al volumen estimado de lecturas presuntivamente, aplicando la cuota o tarifa que corresponda.</w:t>
      </w:r>
    </w:p>
    <w:p>
      <w:pPr>
        <w:pStyle w:val="BodyText"/>
        <w:spacing w:before="2"/>
      </w:pPr>
    </w:p>
    <w:p>
      <w:pPr>
        <w:pStyle w:val="BodyText"/>
        <w:spacing w:line="247" w:lineRule="auto"/>
        <w:ind w:left="151" w:right="39" w:firstLine="397"/>
        <w:jc w:val="both"/>
      </w:pPr>
      <w:r>
        <w:rPr/>
        <w:t>En caso de la falta de elementos objetivos en base histórica de consumos o donde no se reconozca con claridad la fecha de la falla en el medidor; se cuantificarán los cargos en base a lo establecido en el Artículo    104 Servicio a cuota</w:t>
      </w:r>
      <w:r>
        <w:rPr>
          <w:spacing w:val="4"/>
        </w:rPr>
        <w:t> </w:t>
      </w:r>
      <w:r>
        <w:rPr/>
        <w:t>fija.</w:t>
      </w:r>
    </w:p>
    <w:p>
      <w:pPr>
        <w:pStyle w:val="BodyText"/>
        <w:spacing w:before="2"/>
      </w:pPr>
    </w:p>
    <w:p>
      <w:pPr>
        <w:pStyle w:val="BodyText"/>
        <w:ind w:left="548"/>
      </w:pPr>
      <w:r>
        <w:rPr/>
        <w:t>Quedan exentos de la obligatoriedad de instalar medidor los predios baldíos.</w:t>
      </w:r>
    </w:p>
    <w:p>
      <w:pPr>
        <w:pStyle w:val="BodyText"/>
        <w:spacing w:before="10"/>
      </w:pPr>
    </w:p>
    <w:p>
      <w:pPr>
        <w:pStyle w:val="BodyText"/>
        <w:spacing w:line="244" w:lineRule="auto"/>
        <w:ind w:left="151" w:right="38" w:firstLine="397"/>
        <w:jc w:val="both"/>
      </w:pPr>
      <w:r>
        <w:rPr>
          <w:b/>
        </w:rPr>
        <w:t>Artículo 103.- </w:t>
      </w:r>
      <w:r>
        <w:rPr/>
        <w:t>Los servicios a que se refiere la presente sección, en cualquiera de los regímenes a que    se refieren los artículos 98 y 99, serán de tres</w:t>
      </w:r>
      <w:r>
        <w:rPr>
          <w:spacing w:val="16"/>
        </w:rPr>
        <w:t> </w:t>
      </w:r>
      <w:r>
        <w:rPr/>
        <w:t>clases:</w:t>
      </w:r>
    </w:p>
    <w:p>
      <w:pPr>
        <w:pStyle w:val="BodyText"/>
        <w:spacing w:before="3"/>
      </w:pPr>
      <w:r>
        <w:rPr/>
        <w:br w:type="column"/>
      </w:r>
      <w:r>
        <w:rPr/>
      </w:r>
    </w:p>
    <w:p>
      <w:pPr>
        <w:pStyle w:val="ListParagraph"/>
        <w:numPr>
          <w:ilvl w:val="0"/>
          <w:numId w:val="99"/>
        </w:numPr>
        <w:tabs>
          <w:tab w:pos="744" w:val="left" w:leader="none"/>
        </w:tabs>
        <w:spacing w:line="240" w:lineRule="auto" w:before="0" w:after="0"/>
        <w:ind w:left="743" w:right="0" w:hanging="173"/>
        <w:jc w:val="left"/>
        <w:rPr>
          <w:sz w:val="15"/>
        </w:rPr>
      </w:pPr>
      <w:r>
        <w:rPr>
          <w:sz w:val="15"/>
        </w:rPr>
        <w:t>Por cada vivienda excedente de</w:t>
      </w:r>
      <w:r>
        <w:rPr>
          <w:spacing w:val="13"/>
          <w:sz w:val="15"/>
        </w:rPr>
        <w:t> </w:t>
      </w:r>
      <w:r>
        <w:rPr>
          <w:sz w:val="15"/>
        </w:rPr>
        <w:t>ocho:</w:t>
      </w:r>
    </w:p>
    <w:p>
      <w:pPr>
        <w:pStyle w:val="BodyText"/>
        <w:spacing w:before="9"/>
      </w:pPr>
    </w:p>
    <w:p>
      <w:pPr>
        <w:pStyle w:val="ListParagraph"/>
        <w:numPr>
          <w:ilvl w:val="0"/>
          <w:numId w:val="97"/>
        </w:numPr>
        <w:tabs>
          <w:tab w:pos="799" w:val="left" w:leader="none"/>
        </w:tabs>
        <w:spacing w:line="247" w:lineRule="auto" w:before="0" w:after="0"/>
        <w:ind w:left="151" w:right="38" w:firstLine="420"/>
        <w:jc w:val="both"/>
        <w:rPr>
          <w:sz w:val="15"/>
        </w:rPr>
      </w:pPr>
      <w:r>
        <w:rPr>
          <w:sz w:val="15"/>
        </w:rPr>
        <w:t>La casa habitación con distribución de abarrotes,  ropa, o cualquier índole con fines de lucro comercio menor, se considerará como lo indica el presente artículo, Tabulador II, Inciso</w:t>
      </w:r>
      <w:r>
        <w:rPr>
          <w:spacing w:val="1"/>
          <w:sz w:val="15"/>
        </w:rPr>
        <w:t> </w:t>
      </w:r>
      <w:r>
        <w:rPr>
          <w:sz w:val="15"/>
        </w:rPr>
        <w:t>g)</w:t>
      </w:r>
    </w:p>
    <w:p>
      <w:pPr>
        <w:pStyle w:val="BodyText"/>
        <w:spacing w:before="2"/>
      </w:pPr>
    </w:p>
    <w:p>
      <w:pPr>
        <w:pStyle w:val="ListParagraph"/>
        <w:numPr>
          <w:ilvl w:val="1"/>
          <w:numId w:val="96"/>
        </w:numPr>
        <w:tabs>
          <w:tab w:pos="819" w:val="left" w:leader="none"/>
        </w:tabs>
        <w:spacing w:line="247" w:lineRule="auto" w:before="0" w:after="0"/>
        <w:ind w:left="151" w:right="38" w:firstLine="420"/>
        <w:jc w:val="both"/>
        <w:rPr>
          <w:sz w:val="15"/>
        </w:rPr>
      </w:pPr>
      <w:r>
        <w:rPr>
          <w:sz w:val="15"/>
        </w:rPr>
        <w:t>Tabulador del servicio no doméstico, cuota fija, aplicable en el</w:t>
      </w:r>
      <w:r>
        <w:rPr>
          <w:spacing w:val="3"/>
          <w:sz w:val="15"/>
        </w:rPr>
        <w:t> </w:t>
      </w:r>
      <w:r>
        <w:rPr>
          <w:sz w:val="15"/>
        </w:rPr>
        <w:t>Municipio:</w:t>
      </w:r>
    </w:p>
    <w:p>
      <w:pPr>
        <w:pStyle w:val="BodyText"/>
        <w:spacing w:before="4"/>
      </w:pPr>
    </w:p>
    <w:p>
      <w:pPr>
        <w:pStyle w:val="ListParagraph"/>
        <w:numPr>
          <w:ilvl w:val="0"/>
          <w:numId w:val="100"/>
        </w:numPr>
        <w:tabs>
          <w:tab w:pos="766" w:val="left" w:leader="none"/>
        </w:tabs>
        <w:spacing w:line="244" w:lineRule="auto" w:before="0" w:after="0"/>
        <w:ind w:left="151" w:right="41" w:firstLine="420"/>
        <w:jc w:val="both"/>
        <w:rPr>
          <w:sz w:val="15"/>
        </w:rPr>
      </w:pPr>
      <w:r>
        <w:rPr>
          <w:sz w:val="15"/>
        </w:rPr>
        <w:t>Hoteles, hostales, sanatorios, internados, seminarios, conventos, casas de huéspedes y similares con  facilidades  para</w:t>
      </w:r>
      <w:r>
        <w:rPr>
          <w:spacing w:val="1"/>
          <w:sz w:val="15"/>
        </w:rPr>
        <w:t> </w:t>
      </w:r>
      <w:r>
        <w:rPr>
          <w:sz w:val="15"/>
        </w:rPr>
        <w:t>pernoctar:</w:t>
      </w:r>
    </w:p>
    <w:p>
      <w:pPr>
        <w:pStyle w:val="BodyText"/>
        <w:spacing w:before="3"/>
      </w:pPr>
      <w:r>
        <w:rPr/>
        <w:br w:type="column"/>
      </w:r>
      <w:r>
        <w:rPr/>
      </w:r>
    </w:p>
    <w:p>
      <w:pPr>
        <w:pStyle w:val="BodyText"/>
        <w:ind w:left="151"/>
      </w:pPr>
      <w:r>
        <w:rPr/>
        <w:t>$22.00</w:t>
      </w:r>
    </w:p>
    <w:p>
      <w:pPr>
        <w:spacing w:after="0"/>
        <w:sectPr>
          <w:type w:val="continuous"/>
          <w:pgSz w:w="23250" w:h="15310" w:orient="landscape"/>
          <w:pgMar w:top="0" w:bottom="0" w:left="1880" w:right="1520"/>
          <w:cols w:num="3" w:equalWidth="0">
            <w:col w:w="7752" w:space="3946"/>
            <w:col w:w="4513" w:space="296"/>
            <w:col w:w="3343"/>
          </w:cols>
        </w:sectPr>
      </w:pPr>
    </w:p>
    <w:p>
      <w:pPr>
        <w:pStyle w:val="BodyText"/>
        <w:spacing w:before="6"/>
      </w:pPr>
    </w:p>
    <w:p>
      <w:pPr>
        <w:pStyle w:val="ListParagraph"/>
        <w:numPr>
          <w:ilvl w:val="0"/>
          <w:numId w:val="101"/>
        </w:numPr>
        <w:tabs>
          <w:tab w:pos="688" w:val="left" w:leader="none"/>
        </w:tabs>
        <w:spacing w:line="247" w:lineRule="auto" w:before="1" w:after="0"/>
        <w:ind w:left="151" w:right="38" w:firstLine="397"/>
        <w:jc w:val="left"/>
        <w:rPr>
          <w:sz w:val="15"/>
        </w:rPr>
      </w:pPr>
      <w:r>
        <w:rPr>
          <w:sz w:val="15"/>
        </w:rPr>
        <w:t>Habitacional: aquellos cuya toma presten los servicios a viviendas, departamentos, casas o cualquier otra denominación que se les dé, destinadas al uso personal de una</w:t>
      </w:r>
      <w:r>
        <w:rPr>
          <w:spacing w:val="33"/>
          <w:sz w:val="15"/>
        </w:rPr>
        <w:t> </w:t>
      </w:r>
      <w:r>
        <w:rPr>
          <w:sz w:val="15"/>
        </w:rPr>
        <w:t>familia;</w:t>
      </w:r>
    </w:p>
    <w:p>
      <w:pPr>
        <w:pStyle w:val="BodyText"/>
        <w:spacing w:before="6"/>
      </w:pPr>
      <w:r>
        <w:rPr/>
        <w:br w:type="column"/>
      </w:r>
      <w:r>
        <w:rPr/>
      </w:r>
    </w:p>
    <w:p>
      <w:pPr>
        <w:pStyle w:val="BodyText"/>
        <w:tabs>
          <w:tab w:pos="4540" w:val="left" w:leader="none"/>
        </w:tabs>
        <w:ind w:left="151"/>
      </w:pPr>
      <w:r>
        <w:rPr/>
        <w:t>1. Por cada dormitorio</w:t>
      </w:r>
      <w:r>
        <w:rPr>
          <w:spacing w:val="31"/>
        </w:rPr>
        <w:t> </w:t>
      </w:r>
      <w:r>
        <w:rPr/>
        <w:t>sin</w:t>
      </w:r>
      <w:r>
        <w:rPr>
          <w:spacing w:val="7"/>
        </w:rPr>
        <w:t> </w:t>
      </w:r>
      <w:r>
        <w:rPr/>
        <w:t>baño:</w:t>
        <w:tab/>
        <w:t>$37.00</w:t>
      </w:r>
    </w:p>
    <w:p>
      <w:pPr>
        <w:spacing w:after="0"/>
        <w:sectPr>
          <w:type w:val="continuous"/>
          <w:pgSz w:w="23250" w:h="15310" w:orient="landscape"/>
          <w:pgMar w:top="0" w:bottom="0" w:left="1880" w:right="1520"/>
          <w:cols w:num="2" w:equalWidth="0">
            <w:col w:w="7750" w:space="4369"/>
            <w:col w:w="7731"/>
          </w:cols>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89"/>
        <w:gridCol w:w="6352"/>
        <w:gridCol w:w="837"/>
      </w:tblGrid>
      <w:tr>
        <w:trPr>
          <w:trHeight w:val="174" w:hRule="atLeast"/>
        </w:trPr>
        <w:tc>
          <w:tcPr>
            <w:tcW w:w="9889" w:type="dxa"/>
          </w:tcPr>
          <w:p>
            <w:pPr>
              <w:pStyle w:val="TableParagraph"/>
              <w:spacing w:line="154" w:lineRule="exact"/>
              <w:ind w:left="447"/>
              <w:rPr>
                <w:sz w:val="15"/>
              </w:rPr>
            </w:pPr>
            <w:r>
              <w:rPr>
                <w:sz w:val="15"/>
              </w:rPr>
              <w:t>Uso Mixto Habitacional- No doméstico. Servicio específico habitacional, para personas físicas siempre y</w:t>
            </w:r>
          </w:p>
        </w:tc>
        <w:tc>
          <w:tcPr>
            <w:tcW w:w="6352" w:type="dxa"/>
          </w:tcPr>
          <w:p>
            <w:pPr>
              <w:pStyle w:val="TableParagraph"/>
              <w:spacing w:line="154" w:lineRule="exact"/>
              <w:ind w:left="2279"/>
              <w:rPr>
                <w:sz w:val="15"/>
              </w:rPr>
            </w:pPr>
            <w:r>
              <w:rPr>
                <w:sz w:val="15"/>
              </w:rPr>
              <w:t>2. Por cada dormitorio con baño privado:</w:t>
            </w:r>
          </w:p>
        </w:tc>
        <w:tc>
          <w:tcPr>
            <w:tcW w:w="837" w:type="dxa"/>
          </w:tcPr>
          <w:p>
            <w:pPr>
              <w:pStyle w:val="TableParagraph"/>
              <w:spacing w:line="154" w:lineRule="exact"/>
              <w:ind w:right="47"/>
              <w:jc w:val="right"/>
              <w:rPr>
                <w:sz w:val="15"/>
              </w:rPr>
            </w:pPr>
            <w:r>
              <w:rPr>
                <w:sz w:val="15"/>
              </w:rPr>
              <w:t>$110.00</w:t>
            </w:r>
          </w:p>
        </w:tc>
      </w:tr>
      <w:tr>
        <w:trPr>
          <w:trHeight w:val="528" w:hRule="atLeast"/>
        </w:trPr>
        <w:tc>
          <w:tcPr>
            <w:tcW w:w="9889" w:type="dxa"/>
          </w:tcPr>
          <w:p>
            <w:pPr>
              <w:pStyle w:val="TableParagraph"/>
              <w:spacing w:line="247" w:lineRule="auto"/>
              <w:ind w:left="50" w:right="2289"/>
              <w:rPr>
                <w:sz w:val="15"/>
              </w:rPr>
            </w:pPr>
            <w:r>
              <w:rPr>
                <w:sz w:val="15"/>
              </w:rPr>
              <w:t>cuando realicen en el mismo predio y a pequeña escala actividades propias del uso comercial (abarrotes, frutería,</w:t>
            </w:r>
            <w:r>
              <w:rPr>
                <w:spacing w:val="14"/>
                <w:sz w:val="15"/>
              </w:rPr>
              <w:t> </w:t>
            </w:r>
            <w:r>
              <w:rPr>
                <w:sz w:val="15"/>
              </w:rPr>
              <w:t>pollería,</w:t>
            </w:r>
            <w:r>
              <w:rPr>
                <w:spacing w:val="14"/>
                <w:sz w:val="15"/>
              </w:rPr>
              <w:t> </w:t>
            </w:r>
            <w:r>
              <w:rPr>
                <w:sz w:val="15"/>
              </w:rPr>
              <w:t>dulcería,</w:t>
            </w:r>
            <w:r>
              <w:rPr>
                <w:spacing w:val="14"/>
                <w:sz w:val="15"/>
              </w:rPr>
              <w:t> </w:t>
            </w:r>
            <w:r>
              <w:rPr>
                <w:sz w:val="15"/>
              </w:rPr>
              <w:t>papelería</w:t>
            </w:r>
            <w:r>
              <w:rPr>
                <w:spacing w:val="14"/>
                <w:sz w:val="15"/>
              </w:rPr>
              <w:t> </w:t>
            </w:r>
            <w:r>
              <w:rPr>
                <w:sz w:val="15"/>
              </w:rPr>
              <w:t>y</w:t>
            </w:r>
            <w:r>
              <w:rPr>
                <w:spacing w:val="14"/>
                <w:sz w:val="15"/>
              </w:rPr>
              <w:t> </w:t>
            </w:r>
            <w:r>
              <w:rPr>
                <w:sz w:val="15"/>
              </w:rPr>
              <w:t>demás</w:t>
            </w:r>
            <w:r>
              <w:rPr>
                <w:spacing w:val="14"/>
                <w:sz w:val="15"/>
              </w:rPr>
              <w:t> </w:t>
            </w:r>
            <w:r>
              <w:rPr>
                <w:sz w:val="15"/>
              </w:rPr>
              <w:t>confines</w:t>
            </w:r>
            <w:r>
              <w:rPr>
                <w:spacing w:val="14"/>
                <w:sz w:val="15"/>
              </w:rPr>
              <w:t> </w:t>
            </w:r>
            <w:r>
              <w:rPr>
                <w:sz w:val="15"/>
              </w:rPr>
              <w:t>similares),</w:t>
            </w:r>
            <w:r>
              <w:rPr>
                <w:spacing w:val="14"/>
                <w:sz w:val="15"/>
              </w:rPr>
              <w:t> </w:t>
            </w:r>
            <w:r>
              <w:rPr>
                <w:sz w:val="15"/>
              </w:rPr>
              <w:t>para</w:t>
            </w:r>
            <w:r>
              <w:rPr>
                <w:spacing w:val="14"/>
                <w:sz w:val="15"/>
              </w:rPr>
              <w:t> </w:t>
            </w:r>
            <w:r>
              <w:rPr>
                <w:sz w:val="15"/>
              </w:rPr>
              <w:t>supervivencia</w:t>
            </w:r>
            <w:r>
              <w:rPr>
                <w:spacing w:val="14"/>
                <w:sz w:val="15"/>
              </w:rPr>
              <w:t> </w:t>
            </w:r>
            <w:r>
              <w:rPr>
                <w:sz w:val="15"/>
              </w:rPr>
              <w:t>familiar;</w:t>
            </w:r>
            <w:r>
              <w:rPr>
                <w:spacing w:val="14"/>
                <w:sz w:val="15"/>
              </w:rPr>
              <w:t> </w:t>
            </w:r>
            <w:r>
              <w:rPr>
                <w:sz w:val="15"/>
              </w:rPr>
              <w:t>lo</w:t>
            </w:r>
            <w:r>
              <w:rPr>
                <w:spacing w:val="15"/>
                <w:sz w:val="15"/>
              </w:rPr>
              <w:t> </w:t>
            </w:r>
            <w:r>
              <w:rPr>
                <w:sz w:val="15"/>
              </w:rPr>
              <w:t>anterior</w:t>
            </w:r>
            <w:r>
              <w:rPr>
                <w:spacing w:val="14"/>
                <w:sz w:val="15"/>
              </w:rPr>
              <w:t> </w:t>
            </w:r>
            <w:r>
              <w:rPr>
                <w:sz w:val="15"/>
              </w:rPr>
              <w:t>previo</w:t>
            </w:r>
          </w:p>
          <w:p>
            <w:pPr>
              <w:pStyle w:val="TableParagraph"/>
              <w:spacing w:line="152" w:lineRule="exact"/>
              <w:ind w:left="50"/>
              <w:rPr>
                <w:sz w:val="15"/>
              </w:rPr>
            </w:pPr>
            <w:r>
              <w:rPr>
                <w:sz w:val="15"/>
              </w:rPr>
              <w:t>inspección de la Dirección Comercial dependiente de la Dirección General de Agua Potable y Saneamiento.</w:t>
            </w:r>
          </w:p>
        </w:tc>
        <w:tc>
          <w:tcPr>
            <w:tcW w:w="6352" w:type="dxa"/>
          </w:tcPr>
          <w:p>
            <w:pPr>
              <w:pStyle w:val="TableParagraph"/>
              <w:spacing w:before="5"/>
              <w:rPr>
                <w:sz w:val="15"/>
              </w:rPr>
            </w:pPr>
          </w:p>
          <w:p>
            <w:pPr>
              <w:pStyle w:val="TableParagraph"/>
              <w:ind w:left="2279"/>
              <w:rPr>
                <w:sz w:val="15"/>
              </w:rPr>
            </w:pPr>
            <w:r>
              <w:rPr>
                <w:sz w:val="15"/>
              </w:rPr>
              <w:t>3. Baños para uso común, hasta tres salidas o muebles:</w:t>
            </w:r>
          </w:p>
        </w:tc>
        <w:tc>
          <w:tcPr>
            <w:tcW w:w="837" w:type="dxa"/>
          </w:tcPr>
          <w:p>
            <w:pPr>
              <w:pStyle w:val="TableParagraph"/>
              <w:rPr>
                <w:sz w:val="16"/>
              </w:rPr>
            </w:pPr>
          </w:p>
          <w:p>
            <w:pPr>
              <w:pStyle w:val="TableParagraph"/>
              <w:spacing w:before="9"/>
              <w:rPr>
                <w:sz w:val="14"/>
              </w:rPr>
            </w:pPr>
          </w:p>
          <w:p>
            <w:pPr>
              <w:pStyle w:val="TableParagraph"/>
              <w:spacing w:line="154" w:lineRule="exact" w:before="1"/>
              <w:ind w:right="47"/>
              <w:jc w:val="right"/>
              <w:rPr>
                <w:sz w:val="15"/>
              </w:rPr>
            </w:pPr>
            <w:r>
              <w:rPr>
                <w:sz w:val="15"/>
              </w:rPr>
              <w:t>$74.00</w:t>
            </w:r>
          </w:p>
        </w:tc>
      </w:tr>
    </w:tbl>
    <w:p>
      <w:pPr>
        <w:pStyle w:val="BodyText"/>
        <w:spacing w:before="1"/>
        <w:rPr>
          <w:sz w:val="7"/>
        </w:rPr>
      </w:pPr>
    </w:p>
    <w:p>
      <w:pPr>
        <w:spacing w:after="0"/>
        <w:rPr>
          <w:sz w:val="7"/>
        </w:rPr>
        <w:sectPr>
          <w:type w:val="continuous"/>
          <w:pgSz w:w="23250" w:h="15310" w:orient="landscape"/>
          <w:pgMar w:top="0" w:bottom="0" w:left="1880" w:right="1520"/>
        </w:sectPr>
      </w:pPr>
    </w:p>
    <w:p>
      <w:pPr>
        <w:pStyle w:val="ListParagraph"/>
        <w:numPr>
          <w:ilvl w:val="0"/>
          <w:numId w:val="101"/>
        </w:numPr>
        <w:tabs>
          <w:tab w:pos="734" w:val="left" w:leader="none"/>
        </w:tabs>
        <w:spacing w:line="247" w:lineRule="auto" w:before="99" w:after="0"/>
        <w:ind w:left="151" w:right="38" w:firstLine="397"/>
        <w:jc w:val="both"/>
        <w:rPr>
          <w:sz w:val="15"/>
        </w:rPr>
      </w:pPr>
      <w:r>
        <w:rPr>
          <w:sz w:val="15"/>
        </w:rPr>
        <w:t>No doméstico: aquellos cuya toma presten los servicios a domicilios de uso comercial, de servicios, productivos, de hotelería e industrial, Instituciones Públicas o que presten servicios  públicos  u  otros  usos; estas tarifas serán aplicadas a las tomas que hagan del agua un uso distinto al doméstico, ya sea total o parcialmente;</w:t>
      </w:r>
      <w:r>
        <w:rPr>
          <w:spacing w:val="1"/>
          <w:sz w:val="15"/>
        </w:rPr>
        <w:t> </w:t>
      </w:r>
      <w:r>
        <w:rPr>
          <w:sz w:val="15"/>
        </w:rPr>
        <w:t>y</w:t>
      </w:r>
    </w:p>
    <w:p>
      <w:pPr>
        <w:pStyle w:val="BodyText"/>
        <w:rPr>
          <w:sz w:val="16"/>
        </w:rPr>
      </w:pPr>
      <w:r>
        <w:rPr/>
        <w:br w:type="column"/>
      </w:r>
      <w:r>
        <w:rPr>
          <w:sz w:val="16"/>
        </w:rPr>
      </w:r>
    </w:p>
    <w:p>
      <w:pPr>
        <w:pStyle w:val="BodyText"/>
        <w:spacing w:before="92"/>
        <w:ind w:left="151"/>
      </w:pPr>
      <w:r>
        <w:rPr/>
        <w:t>baño.</w:t>
      </w:r>
    </w:p>
    <w:p>
      <w:pPr>
        <w:pStyle w:val="BodyText"/>
        <w:spacing w:before="99"/>
        <w:ind w:left="-5"/>
      </w:pPr>
      <w:r>
        <w:rPr/>
        <w:br w:type="column"/>
      </w:r>
      <w:r>
        <w:rPr/>
        <w:t>Cada</w:t>
      </w:r>
      <w:r>
        <w:rPr>
          <w:spacing w:val="33"/>
        </w:rPr>
        <w:t> </w:t>
      </w:r>
      <w:r>
        <w:rPr/>
        <w:t>múltiplo</w:t>
      </w:r>
      <w:r>
        <w:rPr>
          <w:spacing w:val="33"/>
        </w:rPr>
        <w:t> </w:t>
      </w:r>
      <w:r>
        <w:rPr/>
        <w:t>de</w:t>
      </w:r>
      <w:r>
        <w:rPr>
          <w:spacing w:val="33"/>
        </w:rPr>
        <w:t> </w:t>
      </w:r>
      <w:r>
        <w:rPr/>
        <w:t>tres</w:t>
      </w:r>
      <w:r>
        <w:rPr>
          <w:spacing w:val="34"/>
        </w:rPr>
        <w:t> </w:t>
      </w:r>
      <w:r>
        <w:rPr/>
        <w:t>salidas</w:t>
      </w:r>
      <w:r>
        <w:rPr>
          <w:spacing w:val="33"/>
        </w:rPr>
        <w:t> </w:t>
      </w:r>
      <w:r>
        <w:rPr/>
        <w:t>o</w:t>
      </w:r>
      <w:r>
        <w:rPr>
          <w:spacing w:val="33"/>
        </w:rPr>
        <w:t> </w:t>
      </w:r>
      <w:r>
        <w:rPr/>
        <w:t>muebles</w:t>
      </w:r>
      <w:r>
        <w:rPr>
          <w:spacing w:val="34"/>
        </w:rPr>
        <w:t> </w:t>
      </w:r>
      <w:r>
        <w:rPr/>
        <w:t>equivale</w:t>
      </w:r>
      <w:r>
        <w:rPr>
          <w:spacing w:val="33"/>
        </w:rPr>
        <w:t> </w:t>
      </w:r>
      <w:r>
        <w:rPr/>
        <w:t>a</w:t>
      </w:r>
      <w:r>
        <w:rPr>
          <w:spacing w:val="33"/>
        </w:rPr>
        <w:t> </w:t>
      </w:r>
      <w:r>
        <w:rPr/>
        <w:t>un</w:t>
      </w:r>
    </w:p>
    <w:p>
      <w:pPr>
        <w:pStyle w:val="BodyText"/>
        <w:rPr>
          <w:sz w:val="16"/>
        </w:rPr>
      </w:pPr>
    </w:p>
    <w:p>
      <w:pPr>
        <w:pStyle w:val="BodyText"/>
        <w:spacing w:before="2"/>
      </w:pPr>
    </w:p>
    <w:p>
      <w:pPr>
        <w:pStyle w:val="BodyText"/>
        <w:ind w:left="-5"/>
      </w:pPr>
      <w:r>
        <w:rPr/>
        <w:t>Los  hoteles  de  paso  y  negocios  similares  pagarán</w:t>
      </w:r>
      <w:r>
        <w:rPr>
          <w:spacing w:val="36"/>
        </w:rPr>
        <w:t> </w:t>
      </w:r>
      <w:r>
        <w:rPr/>
        <w:t>las</w:t>
      </w:r>
    </w:p>
    <w:p>
      <w:pPr>
        <w:spacing w:after="0"/>
        <w:sectPr>
          <w:type w:val="continuous"/>
          <w:pgSz w:w="23250" w:h="15310" w:orient="landscape"/>
          <w:pgMar w:top="0" w:bottom="0" w:left="1880" w:right="1520"/>
          <w:cols w:num="3" w:equalWidth="0">
            <w:col w:w="7751" w:space="3946"/>
            <w:col w:w="537" w:space="40"/>
            <w:col w:w="7576"/>
          </w:cols>
        </w:sectPr>
      </w:pPr>
    </w:p>
    <w:p>
      <w:pPr>
        <w:pStyle w:val="BodyText"/>
        <w:spacing w:before="2"/>
      </w:pPr>
    </w:p>
    <w:p>
      <w:pPr>
        <w:pStyle w:val="ListParagraph"/>
        <w:numPr>
          <w:ilvl w:val="0"/>
          <w:numId w:val="101"/>
        </w:numPr>
        <w:tabs>
          <w:tab w:pos="771" w:val="left" w:leader="none"/>
        </w:tabs>
        <w:spacing w:line="247" w:lineRule="auto" w:before="1" w:after="0"/>
        <w:ind w:left="151" w:right="38" w:firstLine="397"/>
        <w:jc w:val="both"/>
        <w:rPr>
          <w:sz w:val="15"/>
        </w:rPr>
      </w:pPr>
      <w:r>
        <w:rPr>
          <w:sz w:val="15"/>
        </w:rPr>
        <w:t>Predios baldíos: aquellos que contando con aparatos medidores o sin ellos, reciben la prestación de todos o algunos de los servicios de agua potable, drenaje, alcantarillado, tratamiento y disposición final de   aguas residuales, de forma directa o indirecta y que no cuentan  con  edificaciones,  ni  sean  considerados dentro de los usos de la clasificación del servicio no</w:t>
      </w:r>
      <w:r>
        <w:rPr>
          <w:spacing w:val="18"/>
          <w:sz w:val="15"/>
        </w:rPr>
        <w:t> </w:t>
      </w:r>
      <w:r>
        <w:rPr>
          <w:sz w:val="15"/>
        </w:rPr>
        <w:t>doméstico.</w:t>
      </w:r>
    </w:p>
    <w:p>
      <w:pPr>
        <w:pStyle w:val="BodyText"/>
        <w:spacing w:before="2"/>
      </w:pPr>
    </w:p>
    <w:p>
      <w:pPr>
        <w:pStyle w:val="BodyText"/>
        <w:ind w:left="548"/>
      </w:pPr>
      <w:r>
        <w:rPr>
          <w:b/>
        </w:rPr>
        <w:t>Artículo 104.- </w:t>
      </w:r>
      <w:r>
        <w:rPr/>
        <w:t>Servicio a cuota fija: Los usuarios que estén bajo este régimen, deberán de efectuar, en</w:t>
      </w:r>
    </w:p>
    <w:p>
      <w:pPr>
        <w:pStyle w:val="BodyText"/>
        <w:spacing w:line="170" w:lineRule="exact"/>
        <w:ind w:left="151"/>
      </w:pPr>
      <w:r>
        <w:rPr/>
        <w:br w:type="column"/>
      </w:r>
      <w:r>
        <w:rPr/>
        <w:t>cuotas antes señaladas con un incremento del 60%.</w:t>
      </w:r>
    </w:p>
    <w:p>
      <w:pPr>
        <w:pStyle w:val="BodyText"/>
        <w:spacing w:before="9"/>
      </w:pPr>
    </w:p>
    <w:p>
      <w:pPr>
        <w:pStyle w:val="ListParagraph"/>
        <w:numPr>
          <w:ilvl w:val="0"/>
          <w:numId w:val="100"/>
        </w:numPr>
        <w:tabs>
          <w:tab w:pos="752" w:val="left" w:leader="none"/>
        </w:tabs>
        <w:spacing w:line="240" w:lineRule="auto" w:before="0" w:after="0"/>
        <w:ind w:left="751" w:right="0" w:hanging="181"/>
        <w:jc w:val="left"/>
        <w:rPr>
          <w:sz w:val="15"/>
        </w:rPr>
      </w:pPr>
      <w:r>
        <w:rPr>
          <w:sz w:val="15"/>
        </w:rPr>
        <w:t>Calderas:</w:t>
      </w:r>
    </w:p>
    <w:p>
      <w:pPr>
        <w:pStyle w:val="BodyText"/>
        <w:spacing w:before="9"/>
      </w:pPr>
    </w:p>
    <w:p>
      <w:pPr>
        <w:pStyle w:val="ListParagraph"/>
        <w:numPr>
          <w:ilvl w:val="1"/>
          <w:numId w:val="100"/>
        </w:numPr>
        <w:tabs>
          <w:tab w:pos="1053" w:val="left" w:leader="none"/>
          <w:tab w:pos="4960" w:val="left" w:leader="none"/>
        </w:tabs>
        <w:spacing w:line="240" w:lineRule="auto" w:before="0" w:after="0"/>
        <w:ind w:left="1052" w:right="0" w:hanging="253"/>
        <w:jc w:val="left"/>
        <w:rPr>
          <w:sz w:val="15"/>
        </w:rPr>
      </w:pPr>
      <w:r>
        <w:rPr>
          <w:sz w:val="15"/>
        </w:rPr>
        <w:t>De 10 HP hasta</w:t>
      </w:r>
      <w:r>
        <w:rPr>
          <w:spacing w:val="23"/>
          <w:sz w:val="15"/>
        </w:rPr>
        <w:t> </w:t>
      </w:r>
      <w:r>
        <w:rPr>
          <w:sz w:val="15"/>
        </w:rPr>
        <w:t>50</w:t>
      </w:r>
      <w:r>
        <w:rPr>
          <w:spacing w:val="7"/>
          <w:sz w:val="15"/>
        </w:rPr>
        <w:t> </w:t>
      </w:r>
      <w:r>
        <w:rPr>
          <w:sz w:val="15"/>
        </w:rPr>
        <w:t>HP:</w:t>
        <w:tab/>
        <w:t>$40.00</w:t>
      </w:r>
    </w:p>
    <w:p>
      <w:pPr>
        <w:pStyle w:val="BodyText"/>
        <w:spacing w:before="9"/>
      </w:pPr>
    </w:p>
    <w:p>
      <w:pPr>
        <w:pStyle w:val="BodyText"/>
        <w:tabs>
          <w:tab w:pos="4875" w:val="left" w:leader="none"/>
        </w:tabs>
        <w:ind w:left="800"/>
      </w:pPr>
      <w:r>
        <w:rPr/>
        <w:t>2.   De 51 HP hasta</w:t>
      </w:r>
      <w:r>
        <w:rPr>
          <w:spacing w:val="23"/>
        </w:rPr>
        <w:t> </w:t>
      </w:r>
      <w:r>
        <w:rPr/>
        <w:t>100</w:t>
      </w:r>
      <w:r>
        <w:rPr>
          <w:spacing w:val="4"/>
        </w:rPr>
        <w:t> </w:t>
      </w:r>
      <w:r>
        <w:rPr/>
        <w:t>HP:</w:t>
        <w:tab/>
        <w:t>$100.00</w:t>
      </w:r>
    </w:p>
    <w:p>
      <w:pPr>
        <w:spacing w:after="0"/>
        <w:sectPr>
          <w:type w:val="continuous"/>
          <w:pgSz w:w="23250" w:h="15310" w:orient="landscape"/>
          <w:pgMar w:top="0" w:bottom="0" w:left="1880" w:right="1520"/>
          <w:cols w:num="2" w:equalWidth="0">
            <w:col w:w="7752" w:space="3946"/>
            <w:col w:w="8152"/>
          </w:cols>
        </w:sectPr>
      </w:pPr>
    </w:p>
    <w:p>
      <w:pPr>
        <w:pStyle w:val="BodyText"/>
        <w:rPr>
          <w:sz w:val="20"/>
        </w:rPr>
      </w:pPr>
    </w:p>
    <w:p>
      <w:pPr>
        <w:pStyle w:val="BodyText"/>
        <w:spacing w:before="7"/>
        <w:rPr>
          <w:sz w:val="29"/>
        </w:rPr>
      </w:pPr>
    </w:p>
    <w:p>
      <w:pPr>
        <w:spacing w:after="0"/>
        <w:rPr>
          <w:sz w:val="29"/>
        </w:rPr>
        <w:sectPr>
          <w:headerReference w:type="default" r:id="rId79"/>
          <w:pgSz w:w="23250" w:h="15310" w:orient="landscape"/>
          <w:pgMar w:header="881" w:footer="499" w:top="1920" w:bottom="680" w:left="1880" w:right="1520"/>
        </w:sectPr>
      </w:pPr>
    </w:p>
    <w:p>
      <w:pPr>
        <w:pStyle w:val="BodyText"/>
        <w:rPr>
          <w:sz w:val="16"/>
        </w:rPr>
      </w:pPr>
    </w:p>
    <w:p>
      <w:pPr>
        <w:pStyle w:val="BodyText"/>
        <w:tabs>
          <w:tab w:pos="4950" w:val="left" w:leader="none"/>
        </w:tabs>
        <w:spacing w:before="92"/>
        <w:ind w:left="875"/>
      </w:pPr>
      <w:r>
        <w:rPr/>
        <w:t>3.   De 101 HP hasta</w:t>
      </w:r>
      <w:r>
        <w:rPr>
          <w:spacing w:val="24"/>
        </w:rPr>
        <w:t> </w:t>
      </w:r>
      <w:r>
        <w:rPr/>
        <w:t>200</w:t>
      </w:r>
      <w:r>
        <w:rPr>
          <w:spacing w:val="5"/>
        </w:rPr>
        <w:t> </w:t>
      </w:r>
      <w:r>
        <w:rPr/>
        <w:t>HP:</w:t>
        <w:tab/>
        <w:t>$239.00</w:t>
      </w:r>
    </w:p>
    <w:p>
      <w:pPr>
        <w:pStyle w:val="BodyText"/>
        <w:spacing w:before="8"/>
      </w:pPr>
    </w:p>
    <w:p>
      <w:pPr>
        <w:pStyle w:val="BodyText"/>
        <w:tabs>
          <w:tab w:pos="4951" w:val="left" w:leader="none"/>
        </w:tabs>
        <w:spacing w:before="1"/>
        <w:ind w:left="875"/>
      </w:pPr>
      <w:r>
        <w:rPr/>
        <w:t>4.   De 201 HP</w:t>
      </w:r>
      <w:r>
        <w:rPr>
          <w:spacing w:val="16"/>
        </w:rPr>
        <w:t> </w:t>
      </w:r>
      <w:r>
        <w:rPr/>
        <w:t>o</w:t>
      </w:r>
      <w:r>
        <w:rPr>
          <w:spacing w:val="4"/>
        </w:rPr>
        <w:t> </w:t>
      </w:r>
      <w:r>
        <w:rPr/>
        <w:t>más:</w:t>
        <w:tab/>
        <w:t>$375.00</w:t>
      </w:r>
    </w:p>
    <w:p>
      <w:pPr>
        <w:pStyle w:val="BodyText"/>
        <w:spacing w:before="9"/>
      </w:pPr>
    </w:p>
    <w:p>
      <w:pPr>
        <w:pStyle w:val="ListParagraph"/>
        <w:numPr>
          <w:ilvl w:val="0"/>
          <w:numId w:val="100"/>
        </w:numPr>
        <w:tabs>
          <w:tab w:pos="819" w:val="left" w:leader="none"/>
        </w:tabs>
        <w:spacing w:line="240" w:lineRule="auto" w:before="0" w:after="0"/>
        <w:ind w:left="818" w:right="0" w:hanging="172"/>
        <w:jc w:val="left"/>
        <w:rPr>
          <w:sz w:val="15"/>
        </w:rPr>
      </w:pPr>
      <w:r>
        <w:rPr>
          <w:sz w:val="15"/>
        </w:rPr>
        <w:t>Lavanderías y</w:t>
      </w:r>
      <w:r>
        <w:rPr>
          <w:spacing w:val="3"/>
          <w:sz w:val="15"/>
        </w:rPr>
        <w:t> </w:t>
      </w:r>
      <w:r>
        <w:rPr>
          <w:sz w:val="15"/>
        </w:rPr>
        <w:t>tintorerías.</w:t>
      </w:r>
    </w:p>
    <w:p>
      <w:pPr>
        <w:pStyle w:val="BodyText"/>
        <w:tabs>
          <w:tab w:pos="4950" w:val="left" w:leader="none"/>
        </w:tabs>
        <w:spacing w:line="350" w:lineRule="atLeast" w:before="5"/>
        <w:ind w:left="647" w:right="38"/>
        <w:jc w:val="both"/>
      </w:pPr>
      <w:r>
        <w:rPr/>
        <w:t>1. Por cada válvula o  máquina</w:t>
      </w:r>
      <w:r>
        <w:rPr>
          <w:spacing w:val="9"/>
        </w:rPr>
        <w:t> </w:t>
      </w:r>
      <w:r>
        <w:rPr/>
        <w:t>lavadora:</w:t>
        <w:tab/>
      </w:r>
      <w:r>
        <w:rPr>
          <w:spacing w:val="-3"/>
        </w:rPr>
        <w:t>$198.00 </w:t>
      </w:r>
      <w:r>
        <w:rPr/>
        <w:t>Los</w:t>
      </w:r>
      <w:r>
        <w:rPr>
          <w:spacing w:val="29"/>
        </w:rPr>
        <w:t> </w:t>
      </w:r>
      <w:r>
        <w:rPr/>
        <w:t>locales</w:t>
      </w:r>
      <w:r>
        <w:rPr>
          <w:spacing w:val="29"/>
        </w:rPr>
        <w:t> </w:t>
      </w:r>
      <w:r>
        <w:rPr/>
        <w:t>destinados</w:t>
      </w:r>
      <w:r>
        <w:rPr>
          <w:spacing w:val="30"/>
        </w:rPr>
        <w:t> </w:t>
      </w:r>
      <w:r>
        <w:rPr/>
        <w:t>únicamente</w:t>
      </w:r>
      <w:r>
        <w:rPr>
          <w:spacing w:val="29"/>
        </w:rPr>
        <w:t> </w:t>
      </w:r>
      <w:r>
        <w:rPr/>
        <w:t>a</w:t>
      </w:r>
      <w:r>
        <w:rPr>
          <w:spacing w:val="30"/>
        </w:rPr>
        <w:t> </w:t>
      </w:r>
      <w:r>
        <w:rPr/>
        <w:t>la</w:t>
      </w:r>
      <w:r>
        <w:rPr>
          <w:spacing w:val="29"/>
        </w:rPr>
        <w:t> </w:t>
      </w:r>
      <w:r>
        <w:rPr/>
        <w:t>distribución</w:t>
      </w:r>
      <w:r>
        <w:rPr>
          <w:spacing w:val="30"/>
        </w:rPr>
        <w:t> </w:t>
      </w:r>
      <w:r>
        <w:rPr/>
        <w:t>de</w:t>
      </w:r>
    </w:p>
    <w:p>
      <w:pPr>
        <w:pStyle w:val="BodyText"/>
        <w:spacing w:line="247" w:lineRule="auto" w:before="8"/>
        <w:ind w:left="226" w:right="998"/>
        <w:jc w:val="both"/>
      </w:pPr>
      <w:r>
        <w:rPr/>
        <w:t>las prendas serán considerados como local(es) comercial(es), de acuerdo a lo establecido en el presente artículo, </w:t>
      </w:r>
      <w:r>
        <w:rPr>
          <w:spacing w:val="-3"/>
        </w:rPr>
        <w:t>Tabulador   </w:t>
      </w:r>
      <w:r>
        <w:rPr/>
        <w:t>II, inciso</w:t>
      </w:r>
      <w:r>
        <w:rPr>
          <w:spacing w:val="2"/>
        </w:rPr>
        <w:t> </w:t>
      </w:r>
      <w:r>
        <w:rPr/>
        <w:t>g).</w:t>
      </w:r>
    </w:p>
    <w:p>
      <w:pPr>
        <w:pStyle w:val="BodyText"/>
        <w:spacing w:before="2"/>
      </w:pPr>
    </w:p>
    <w:p>
      <w:pPr>
        <w:pStyle w:val="ListParagraph"/>
        <w:numPr>
          <w:ilvl w:val="0"/>
          <w:numId w:val="100"/>
        </w:numPr>
        <w:tabs>
          <w:tab w:pos="934" w:val="left" w:leader="none"/>
        </w:tabs>
        <w:spacing w:line="247" w:lineRule="auto" w:before="0" w:after="0"/>
        <w:ind w:left="226" w:right="999" w:firstLine="420"/>
        <w:jc w:val="left"/>
        <w:rPr>
          <w:sz w:val="15"/>
        </w:rPr>
      </w:pPr>
      <w:r>
        <w:rPr>
          <w:sz w:val="15"/>
        </w:rPr>
        <w:t>Albercas, chapoteaderos, espejos de agua y similares:</w:t>
      </w:r>
    </w:p>
    <w:p>
      <w:pPr>
        <w:pStyle w:val="BodyText"/>
        <w:spacing w:before="4"/>
      </w:pPr>
    </w:p>
    <w:p>
      <w:pPr>
        <w:pStyle w:val="ListParagraph"/>
        <w:numPr>
          <w:ilvl w:val="0"/>
          <w:numId w:val="102"/>
        </w:numPr>
        <w:tabs>
          <w:tab w:pos="819" w:val="left" w:leader="none"/>
        </w:tabs>
        <w:spacing w:line="240" w:lineRule="auto" w:before="0" w:after="0"/>
        <w:ind w:left="818" w:right="0" w:hanging="172"/>
        <w:jc w:val="left"/>
        <w:rPr>
          <w:sz w:val="15"/>
        </w:rPr>
      </w:pPr>
      <w:r>
        <w:rPr>
          <w:sz w:val="15"/>
        </w:rPr>
        <w:t>Con equipo de purificación y retorno, por cada</w:t>
      </w:r>
      <w:r>
        <w:rPr>
          <w:spacing w:val="26"/>
          <w:sz w:val="15"/>
        </w:rPr>
        <w:t> </w:t>
      </w:r>
      <w:r>
        <w:rPr>
          <w:sz w:val="15"/>
        </w:rPr>
        <w:t>metro</w:t>
      </w:r>
    </w:p>
    <w:p>
      <w:pPr>
        <w:pStyle w:val="BodyText"/>
        <w:tabs>
          <w:tab w:pos="5036" w:val="left" w:leader="none"/>
        </w:tabs>
        <w:spacing w:before="5"/>
        <w:ind w:left="226"/>
      </w:pPr>
      <w:r>
        <w:rPr/>
        <w:t>cúbico</w:t>
      </w:r>
      <w:r>
        <w:rPr>
          <w:spacing w:val="8"/>
        </w:rPr>
        <w:t> </w:t>
      </w:r>
      <w:r>
        <w:rPr/>
        <w:t>de</w:t>
      </w:r>
      <w:r>
        <w:rPr>
          <w:spacing w:val="7"/>
        </w:rPr>
        <w:t> </w:t>
      </w:r>
      <w:r>
        <w:rPr/>
        <w:t>capacidad:</w:t>
        <w:tab/>
        <w:t>$10.00</w:t>
      </w:r>
    </w:p>
    <w:p>
      <w:pPr>
        <w:pStyle w:val="BodyText"/>
        <w:spacing w:before="9"/>
      </w:pPr>
    </w:p>
    <w:p>
      <w:pPr>
        <w:pStyle w:val="ListParagraph"/>
        <w:numPr>
          <w:ilvl w:val="0"/>
          <w:numId w:val="102"/>
        </w:numPr>
        <w:tabs>
          <w:tab w:pos="851" w:val="left" w:leader="none"/>
        </w:tabs>
        <w:spacing w:line="247" w:lineRule="auto" w:before="0" w:after="0"/>
        <w:ind w:left="226" w:right="38" w:firstLine="420"/>
        <w:jc w:val="both"/>
        <w:rPr>
          <w:sz w:val="15"/>
        </w:rPr>
      </w:pPr>
      <w:r>
        <w:rPr>
          <w:sz w:val="15"/>
        </w:rPr>
        <w:t>Sin equipo de purificación y retorno, se estimará el consumo  de agua, tomando en cuenta la capacidad multiplicada por cuatro veces para calcular el costo de consumo mensual, con base en la tarifa correspondiente   a servicio medido en el renglón de no</w:t>
      </w:r>
      <w:r>
        <w:rPr>
          <w:spacing w:val="18"/>
          <w:sz w:val="15"/>
        </w:rPr>
        <w:t> </w:t>
      </w:r>
      <w:r>
        <w:rPr>
          <w:sz w:val="15"/>
        </w:rPr>
        <w:t>doméstico.</w:t>
      </w:r>
    </w:p>
    <w:p>
      <w:pPr>
        <w:pStyle w:val="BodyText"/>
        <w:spacing w:before="2"/>
      </w:pPr>
    </w:p>
    <w:p>
      <w:pPr>
        <w:pStyle w:val="BodyText"/>
        <w:spacing w:line="247" w:lineRule="auto"/>
        <w:ind w:left="226" w:right="38" w:firstLine="420"/>
        <w:jc w:val="both"/>
      </w:pPr>
      <w:r>
        <w:rPr/>
        <w:t>Para efectos de determinar la capacidad de los depósitos referidos en   el inciso d), la Dirección Comercial dependiente del Instituto para el Mejoramiento del Hábitat mediante la Dirección General de Agua Potable ySaneamiento de Tlajomulco de Zúñiga, Jalisco,  verificará  los  metros cúbicos que se determinarán mediante la inspección física y  dejará  constancia por escrito de ello, con la finalidad de acotar el cobro en virtud del uso del agua a lo que es debido. En caso de no uso del  depósito,  la  Dirección mencionada deberá certificar tal circunstancia por escrito considerando que para ello el depósito debe estar siempre vacío  por  deterioro; y el llenado del mismo, aunque sea por una sola ocasión, determinará el cobro bajo las modalidades de este inciso</w:t>
      </w:r>
      <w:r>
        <w:rPr>
          <w:spacing w:val="31"/>
        </w:rPr>
        <w:t> </w:t>
      </w:r>
      <w:r>
        <w:rPr/>
        <w:t>d).</w:t>
      </w:r>
    </w:p>
    <w:p>
      <w:pPr>
        <w:pStyle w:val="BodyText"/>
        <w:spacing w:before="9"/>
        <w:rPr>
          <w:sz w:val="14"/>
        </w:rPr>
      </w:pPr>
    </w:p>
    <w:p>
      <w:pPr>
        <w:pStyle w:val="ListParagraph"/>
        <w:numPr>
          <w:ilvl w:val="0"/>
          <w:numId w:val="100"/>
        </w:numPr>
        <w:tabs>
          <w:tab w:pos="828" w:val="left" w:leader="none"/>
          <w:tab w:pos="5122" w:val="left" w:leader="none"/>
        </w:tabs>
        <w:spacing w:line="240" w:lineRule="auto" w:before="1" w:after="0"/>
        <w:ind w:left="827" w:right="0" w:hanging="181"/>
        <w:jc w:val="left"/>
        <w:rPr>
          <w:sz w:val="15"/>
        </w:rPr>
      </w:pPr>
      <w:r>
        <w:rPr>
          <w:sz w:val="15"/>
        </w:rPr>
        <w:t>Jardines, por cada</w:t>
      </w:r>
      <w:r>
        <w:rPr>
          <w:spacing w:val="40"/>
          <w:sz w:val="15"/>
        </w:rPr>
        <w:t> </w:t>
      </w:r>
      <w:r>
        <w:rPr>
          <w:sz w:val="15"/>
        </w:rPr>
        <w:t>metro</w:t>
      </w:r>
      <w:r>
        <w:rPr>
          <w:spacing w:val="13"/>
          <w:sz w:val="15"/>
        </w:rPr>
        <w:t> </w:t>
      </w:r>
      <w:r>
        <w:rPr>
          <w:sz w:val="15"/>
        </w:rPr>
        <w:t>cuadrado:</w:t>
        <w:tab/>
        <w:t>$6.00</w:t>
      </w:r>
    </w:p>
    <w:p>
      <w:pPr>
        <w:pStyle w:val="ListParagraph"/>
        <w:numPr>
          <w:ilvl w:val="0"/>
          <w:numId w:val="100"/>
        </w:numPr>
        <w:tabs>
          <w:tab w:pos="785" w:val="left" w:leader="none"/>
          <w:tab w:pos="5037" w:val="left" w:leader="none"/>
        </w:tabs>
        <w:spacing w:line="350" w:lineRule="atLeast" w:before="4" w:after="0"/>
        <w:ind w:left="647" w:right="38" w:hanging="1"/>
        <w:jc w:val="both"/>
        <w:rPr>
          <w:sz w:val="15"/>
        </w:rPr>
      </w:pPr>
      <w:r>
        <w:rPr>
          <w:sz w:val="15"/>
        </w:rPr>
        <w:t>Fuentes en todo tipo</w:t>
      </w:r>
      <w:r>
        <w:rPr>
          <w:spacing w:val="39"/>
          <w:sz w:val="15"/>
        </w:rPr>
        <w:t> </w:t>
      </w:r>
      <w:r>
        <w:rPr>
          <w:sz w:val="15"/>
        </w:rPr>
        <w:t>de</w:t>
      </w:r>
      <w:r>
        <w:rPr>
          <w:spacing w:val="9"/>
          <w:sz w:val="15"/>
        </w:rPr>
        <w:t> </w:t>
      </w:r>
      <w:r>
        <w:rPr>
          <w:sz w:val="15"/>
        </w:rPr>
        <w:t>predio:</w:t>
        <w:tab/>
      </w:r>
      <w:r>
        <w:rPr>
          <w:spacing w:val="-3"/>
          <w:sz w:val="15"/>
        </w:rPr>
        <w:t>$24.00 </w:t>
      </w:r>
      <w:r>
        <w:rPr>
          <w:sz w:val="15"/>
        </w:rPr>
        <w:t>Es</w:t>
      </w:r>
      <w:r>
        <w:rPr>
          <w:spacing w:val="20"/>
          <w:sz w:val="15"/>
        </w:rPr>
        <w:t> </w:t>
      </w:r>
      <w:r>
        <w:rPr>
          <w:sz w:val="15"/>
        </w:rPr>
        <w:t>obligatoria</w:t>
      </w:r>
      <w:r>
        <w:rPr>
          <w:spacing w:val="21"/>
          <w:sz w:val="15"/>
        </w:rPr>
        <w:t> </w:t>
      </w:r>
      <w:r>
        <w:rPr>
          <w:sz w:val="15"/>
        </w:rPr>
        <w:t>la</w:t>
      </w:r>
      <w:r>
        <w:rPr>
          <w:spacing w:val="21"/>
          <w:sz w:val="15"/>
        </w:rPr>
        <w:t> </w:t>
      </w:r>
      <w:r>
        <w:rPr>
          <w:sz w:val="15"/>
        </w:rPr>
        <w:t>instalación</w:t>
      </w:r>
      <w:r>
        <w:rPr>
          <w:spacing w:val="21"/>
          <w:sz w:val="15"/>
        </w:rPr>
        <w:t> </w:t>
      </w:r>
      <w:r>
        <w:rPr>
          <w:sz w:val="15"/>
        </w:rPr>
        <w:t>de</w:t>
      </w:r>
      <w:r>
        <w:rPr>
          <w:spacing w:val="21"/>
          <w:sz w:val="15"/>
        </w:rPr>
        <w:t> </w:t>
      </w:r>
      <w:r>
        <w:rPr>
          <w:sz w:val="15"/>
        </w:rPr>
        <w:t>equipos</w:t>
      </w:r>
      <w:r>
        <w:rPr>
          <w:spacing w:val="21"/>
          <w:sz w:val="15"/>
        </w:rPr>
        <w:t> </w:t>
      </w:r>
      <w:r>
        <w:rPr>
          <w:sz w:val="15"/>
        </w:rPr>
        <w:t>de</w:t>
      </w:r>
      <w:r>
        <w:rPr>
          <w:spacing w:val="21"/>
          <w:sz w:val="15"/>
        </w:rPr>
        <w:t> </w:t>
      </w:r>
      <w:r>
        <w:rPr>
          <w:sz w:val="15"/>
        </w:rPr>
        <w:t>retorno</w:t>
      </w:r>
      <w:r>
        <w:rPr>
          <w:spacing w:val="21"/>
          <w:sz w:val="15"/>
        </w:rPr>
        <w:t> </w:t>
      </w:r>
      <w:r>
        <w:rPr>
          <w:sz w:val="15"/>
        </w:rPr>
        <w:t>en</w:t>
      </w:r>
      <w:r>
        <w:rPr>
          <w:spacing w:val="21"/>
          <w:sz w:val="15"/>
        </w:rPr>
        <w:t> </w:t>
      </w:r>
      <w:r>
        <w:rPr>
          <w:sz w:val="15"/>
        </w:rPr>
        <w:t>cada</w:t>
      </w:r>
      <w:r>
        <w:rPr>
          <w:spacing w:val="20"/>
          <w:sz w:val="15"/>
        </w:rPr>
        <w:t> </w:t>
      </w:r>
      <w:r>
        <w:rPr>
          <w:sz w:val="15"/>
        </w:rPr>
        <w:t>fuente.</w:t>
      </w:r>
      <w:r>
        <w:rPr>
          <w:spacing w:val="21"/>
          <w:sz w:val="15"/>
        </w:rPr>
        <w:t> </w:t>
      </w:r>
      <w:r>
        <w:rPr>
          <w:sz w:val="15"/>
        </w:rPr>
        <w:t>Su</w:t>
      </w:r>
    </w:p>
    <w:p>
      <w:pPr>
        <w:pStyle w:val="BodyText"/>
        <w:spacing w:before="99"/>
        <w:ind w:left="723"/>
      </w:pPr>
      <w:r>
        <w:rPr/>
        <w:br w:type="column"/>
      </w:r>
      <w:r>
        <w:rPr/>
        <w:t>2. Servicios sanitarios comunes, por cada tres salidas o</w:t>
      </w:r>
    </w:p>
    <w:p>
      <w:pPr>
        <w:pStyle w:val="BodyText"/>
        <w:tabs>
          <w:tab w:pos="5112" w:val="left" w:leader="none"/>
        </w:tabs>
        <w:spacing w:before="4"/>
        <w:ind w:left="302"/>
      </w:pPr>
      <w:r>
        <w:rPr/>
        <w:t>muebles o fracción</w:t>
      </w:r>
      <w:r>
        <w:rPr>
          <w:spacing w:val="23"/>
        </w:rPr>
        <w:t> </w:t>
      </w:r>
      <w:r>
        <w:rPr/>
        <w:t>de</w:t>
      </w:r>
      <w:r>
        <w:rPr>
          <w:spacing w:val="8"/>
        </w:rPr>
        <w:t> </w:t>
      </w:r>
      <w:r>
        <w:rPr/>
        <w:t>ellas:</w:t>
        <w:tab/>
        <w:t>$63.00</w:t>
      </w:r>
    </w:p>
    <w:p>
      <w:pPr>
        <w:pStyle w:val="BodyText"/>
        <w:spacing w:before="9"/>
      </w:pPr>
    </w:p>
    <w:p>
      <w:pPr>
        <w:pStyle w:val="BodyText"/>
        <w:ind w:left="723"/>
      </w:pPr>
      <w:r>
        <w:rPr/>
        <w:t>h) Lugares donde se expendan comidas o bebidas:</w:t>
      </w:r>
    </w:p>
    <w:p>
      <w:pPr>
        <w:pStyle w:val="BodyText"/>
        <w:spacing w:before="9"/>
      </w:pPr>
    </w:p>
    <w:p>
      <w:pPr>
        <w:pStyle w:val="BodyText"/>
        <w:spacing w:line="247" w:lineRule="auto" w:before="1"/>
        <w:ind w:left="302" w:right="3615" w:firstLine="420"/>
      </w:pPr>
      <w:r>
        <w:rPr/>
        <w:t>1. Fregaderos de cocina, tarjas para lavado de loza, lavadoras de platos, barras y similares, por cada una de</w:t>
      </w:r>
    </w:p>
    <w:p>
      <w:pPr>
        <w:pStyle w:val="BodyText"/>
        <w:tabs>
          <w:tab w:pos="4943" w:val="left" w:leader="none"/>
        </w:tabs>
        <w:spacing w:line="172" w:lineRule="exact"/>
        <w:ind w:left="302"/>
      </w:pPr>
      <w:r>
        <w:rPr/>
        <w:t>estas  salidas,  tipo</w:t>
      </w:r>
      <w:r>
        <w:rPr>
          <w:spacing w:val="29"/>
        </w:rPr>
        <w:t> </w:t>
      </w:r>
      <w:r>
        <w:rPr/>
        <w:t>o</w:t>
      </w:r>
      <w:r>
        <w:rPr>
          <w:spacing w:val="6"/>
        </w:rPr>
        <w:t> </w:t>
      </w:r>
      <w:r>
        <w:rPr/>
        <w:t>mueble:</w:t>
        <w:tab/>
        <w:t>$87.00</w:t>
      </w:r>
    </w:p>
    <w:p>
      <w:pPr>
        <w:pStyle w:val="BodyText"/>
        <w:spacing w:before="8"/>
      </w:pPr>
    </w:p>
    <w:p>
      <w:pPr>
        <w:pStyle w:val="BodyText"/>
        <w:spacing w:line="247" w:lineRule="auto"/>
        <w:ind w:left="302" w:right="3615" w:firstLine="420"/>
      </w:pPr>
      <w:r>
        <w:rPr/>
        <w:t>i) Servicios sanitarios de uso público, baños públicos, clubes deportivos y similares:</w:t>
      </w:r>
    </w:p>
    <w:p>
      <w:pPr>
        <w:pStyle w:val="BodyText"/>
        <w:spacing w:before="4"/>
      </w:pPr>
    </w:p>
    <w:p>
      <w:pPr>
        <w:pStyle w:val="ListParagraph"/>
        <w:numPr>
          <w:ilvl w:val="0"/>
          <w:numId w:val="103"/>
        </w:numPr>
        <w:tabs>
          <w:tab w:pos="895" w:val="left" w:leader="none"/>
          <w:tab w:pos="5026" w:val="left" w:leader="none"/>
        </w:tabs>
        <w:spacing w:line="240" w:lineRule="auto" w:before="0" w:after="0"/>
        <w:ind w:left="894" w:right="0" w:hanging="172"/>
        <w:jc w:val="left"/>
        <w:rPr>
          <w:sz w:val="15"/>
        </w:rPr>
      </w:pPr>
      <w:r>
        <w:rPr>
          <w:sz w:val="15"/>
        </w:rPr>
        <w:t>Por</w:t>
      </w:r>
      <w:r>
        <w:rPr>
          <w:spacing w:val="15"/>
          <w:sz w:val="15"/>
        </w:rPr>
        <w:t> </w:t>
      </w:r>
      <w:r>
        <w:rPr>
          <w:sz w:val="15"/>
        </w:rPr>
        <w:t>cada</w:t>
      </w:r>
      <w:r>
        <w:rPr>
          <w:spacing w:val="16"/>
          <w:sz w:val="15"/>
        </w:rPr>
        <w:t> </w:t>
      </w:r>
      <w:r>
        <w:rPr>
          <w:sz w:val="15"/>
        </w:rPr>
        <w:t>regadera:</w:t>
        <w:tab/>
        <w:t>$191.00</w:t>
      </w:r>
    </w:p>
    <w:p>
      <w:pPr>
        <w:pStyle w:val="BodyText"/>
        <w:spacing w:before="9"/>
      </w:pPr>
    </w:p>
    <w:p>
      <w:pPr>
        <w:pStyle w:val="ListParagraph"/>
        <w:numPr>
          <w:ilvl w:val="0"/>
          <w:numId w:val="103"/>
        </w:numPr>
        <w:tabs>
          <w:tab w:pos="895" w:val="left" w:leader="none"/>
          <w:tab w:pos="5111" w:val="left" w:leader="none"/>
        </w:tabs>
        <w:spacing w:line="240" w:lineRule="auto" w:before="0" w:after="0"/>
        <w:ind w:left="894" w:right="0" w:hanging="172"/>
        <w:jc w:val="left"/>
        <w:rPr>
          <w:sz w:val="15"/>
        </w:rPr>
      </w:pPr>
      <w:r>
        <w:rPr>
          <w:sz w:val="15"/>
        </w:rPr>
        <w:t>Por  cada</w:t>
      </w:r>
      <w:r>
        <w:rPr>
          <w:spacing w:val="-17"/>
          <w:sz w:val="15"/>
        </w:rPr>
        <w:t> </w:t>
      </w:r>
      <w:r>
        <w:rPr>
          <w:sz w:val="15"/>
        </w:rPr>
        <w:t>mueble</w:t>
      </w:r>
      <w:r>
        <w:rPr>
          <w:spacing w:val="13"/>
          <w:sz w:val="15"/>
        </w:rPr>
        <w:t> </w:t>
      </w:r>
      <w:r>
        <w:rPr>
          <w:sz w:val="15"/>
        </w:rPr>
        <w:t>sanitario:</w:t>
        <w:tab/>
        <w:t>$61.00</w:t>
      </w:r>
    </w:p>
    <w:p>
      <w:pPr>
        <w:pStyle w:val="BodyText"/>
        <w:spacing w:before="9"/>
      </w:pPr>
    </w:p>
    <w:p>
      <w:pPr>
        <w:pStyle w:val="ListParagraph"/>
        <w:numPr>
          <w:ilvl w:val="0"/>
          <w:numId w:val="103"/>
        </w:numPr>
        <w:tabs>
          <w:tab w:pos="895" w:val="left" w:leader="none"/>
          <w:tab w:pos="5025" w:val="left" w:leader="none"/>
        </w:tabs>
        <w:spacing w:line="240" w:lineRule="auto" w:before="0" w:after="0"/>
        <w:ind w:left="894" w:right="0" w:hanging="172"/>
        <w:jc w:val="left"/>
        <w:rPr>
          <w:sz w:val="15"/>
        </w:rPr>
      </w:pPr>
      <w:r>
        <w:rPr>
          <w:sz w:val="15"/>
        </w:rPr>
        <w:t>Departamento  de</w:t>
      </w:r>
      <w:r>
        <w:rPr>
          <w:spacing w:val="-10"/>
          <w:sz w:val="15"/>
        </w:rPr>
        <w:t> </w:t>
      </w:r>
      <w:r>
        <w:rPr>
          <w:sz w:val="15"/>
        </w:rPr>
        <w:t>vapor</w:t>
      </w:r>
      <w:r>
        <w:rPr>
          <w:spacing w:val="16"/>
          <w:sz w:val="15"/>
        </w:rPr>
        <w:t> </w:t>
      </w:r>
      <w:r>
        <w:rPr>
          <w:sz w:val="15"/>
        </w:rPr>
        <w:t>individual:</w:t>
        <w:tab/>
        <w:t>$191.00</w:t>
      </w:r>
    </w:p>
    <w:p>
      <w:pPr>
        <w:pStyle w:val="BodyText"/>
        <w:spacing w:before="10"/>
      </w:pPr>
    </w:p>
    <w:p>
      <w:pPr>
        <w:pStyle w:val="ListParagraph"/>
        <w:numPr>
          <w:ilvl w:val="0"/>
          <w:numId w:val="103"/>
        </w:numPr>
        <w:tabs>
          <w:tab w:pos="895" w:val="left" w:leader="none"/>
          <w:tab w:pos="5025" w:val="left" w:leader="none"/>
        </w:tabs>
        <w:spacing w:line="240" w:lineRule="auto" w:before="0" w:after="0"/>
        <w:ind w:left="894" w:right="0" w:hanging="172"/>
        <w:jc w:val="left"/>
        <w:rPr>
          <w:sz w:val="15"/>
        </w:rPr>
      </w:pPr>
      <w:r>
        <w:rPr>
          <w:sz w:val="15"/>
        </w:rPr>
        <w:t>Departamento  de</w:t>
      </w:r>
      <w:r>
        <w:rPr>
          <w:spacing w:val="-12"/>
          <w:sz w:val="15"/>
        </w:rPr>
        <w:t> </w:t>
      </w:r>
      <w:r>
        <w:rPr>
          <w:sz w:val="15"/>
        </w:rPr>
        <w:t>vapor</w:t>
      </w:r>
      <w:r>
        <w:rPr>
          <w:spacing w:val="15"/>
          <w:sz w:val="15"/>
        </w:rPr>
        <w:t> </w:t>
      </w:r>
      <w:r>
        <w:rPr>
          <w:sz w:val="15"/>
        </w:rPr>
        <w:t>general:</w:t>
        <w:tab/>
        <w:t>$382.00</w:t>
      </w:r>
    </w:p>
    <w:p>
      <w:pPr>
        <w:pStyle w:val="BodyText"/>
        <w:spacing w:before="8"/>
      </w:pPr>
    </w:p>
    <w:p>
      <w:pPr>
        <w:pStyle w:val="BodyText"/>
        <w:spacing w:line="247" w:lineRule="auto"/>
        <w:ind w:left="226" w:right="617" w:firstLine="397"/>
      </w:pPr>
      <w:r>
        <w:rPr/>
        <w:t>Se consideran también servicios sanitarios de uso público, los  que estén al servicio del público asistente   a cualquier tipo de predio, excepto</w:t>
      </w:r>
      <w:r>
        <w:rPr>
          <w:spacing w:val="9"/>
        </w:rPr>
        <w:t> </w:t>
      </w:r>
      <w:r>
        <w:rPr/>
        <w:t>habitacional.</w:t>
      </w:r>
    </w:p>
    <w:p>
      <w:pPr>
        <w:pStyle w:val="BodyText"/>
        <w:spacing w:before="4"/>
      </w:pPr>
    </w:p>
    <w:p>
      <w:pPr>
        <w:pStyle w:val="ListParagraph"/>
        <w:numPr>
          <w:ilvl w:val="0"/>
          <w:numId w:val="104"/>
        </w:numPr>
        <w:tabs>
          <w:tab w:pos="753" w:val="left" w:leader="none"/>
        </w:tabs>
        <w:spacing w:line="240" w:lineRule="auto" w:before="0" w:after="0"/>
        <w:ind w:left="752" w:right="0" w:hanging="130"/>
        <w:jc w:val="left"/>
        <w:rPr>
          <w:sz w:val="15"/>
        </w:rPr>
      </w:pPr>
      <w:r>
        <w:rPr>
          <w:sz w:val="15"/>
        </w:rPr>
        <w:t>Lavaderos de vehículos</w:t>
      </w:r>
      <w:r>
        <w:rPr>
          <w:spacing w:val="4"/>
          <w:sz w:val="15"/>
        </w:rPr>
        <w:t> </w:t>
      </w:r>
      <w:r>
        <w:rPr>
          <w:sz w:val="15"/>
        </w:rPr>
        <w:t>automotores:</w:t>
      </w:r>
    </w:p>
    <w:p>
      <w:pPr>
        <w:pStyle w:val="BodyText"/>
        <w:spacing w:before="9"/>
      </w:pPr>
    </w:p>
    <w:p>
      <w:pPr>
        <w:pStyle w:val="ListParagraph"/>
        <w:numPr>
          <w:ilvl w:val="1"/>
          <w:numId w:val="104"/>
        </w:numPr>
        <w:tabs>
          <w:tab w:pos="895" w:val="left" w:leader="none"/>
          <w:tab w:pos="5026" w:val="left" w:leader="none"/>
        </w:tabs>
        <w:spacing w:line="240" w:lineRule="auto" w:before="0" w:after="0"/>
        <w:ind w:left="894" w:right="0" w:hanging="172"/>
        <w:jc w:val="left"/>
        <w:rPr>
          <w:sz w:val="15"/>
        </w:rPr>
      </w:pPr>
      <w:r>
        <w:rPr>
          <w:sz w:val="15"/>
        </w:rPr>
        <w:t>Por cada llave de presión </w:t>
      </w:r>
      <w:r>
        <w:rPr>
          <w:spacing w:val="3"/>
          <w:sz w:val="15"/>
        </w:rPr>
        <w:t> </w:t>
      </w:r>
      <w:r>
        <w:rPr>
          <w:sz w:val="15"/>
        </w:rPr>
        <w:t>o</w:t>
      </w:r>
      <w:r>
        <w:rPr>
          <w:spacing w:val="9"/>
          <w:sz w:val="15"/>
        </w:rPr>
        <w:t> </w:t>
      </w:r>
      <w:r>
        <w:rPr>
          <w:sz w:val="15"/>
        </w:rPr>
        <w:t>arco:</w:t>
        <w:tab/>
        <w:t>$478.00</w:t>
      </w:r>
    </w:p>
    <w:p>
      <w:pPr>
        <w:pStyle w:val="BodyText"/>
        <w:spacing w:before="9"/>
      </w:pPr>
    </w:p>
    <w:p>
      <w:pPr>
        <w:pStyle w:val="ListParagraph"/>
        <w:numPr>
          <w:ilvl w:val="1"/>
          <w:numId w:val="104"/>
        </w:numPr>
        <w:tabs>
          <w:tab w:pos="895" w:val="left" w:leader="none"/>
          <w:tab w:pos="5027" w:val="left" w:leader="none"/>
        </w:tabs>
        <w:spacing w:line="240" w:lineRule="auto" w:before="1" w:after="0"/>
        <w:ind w:left="894" w:right="0" w:hanging="172"/>
        <w:jc w:val="left"/>
        <w:rPr>
          <w:sz w:val="15"/>
        </w:rPr>
      </w:pPr>
      <w:r>
        <w:rPr>
          <w:sz w:val="15"/>
        </w:rPr>
        <w:t>Por</w:t>
      </w:r>
      <w:r>
        <w:rPr>
          <w:spacing w:val="13"/>
          <w:sz w:val="15"/>
        </w:rPr>
        <w:t> </w:t>
      </w:r>
      <w:r>
        <w:rPr>
          <w:sz w:val="15"/>
        </w:rPr>
        <w:t>cada</w:t>
      </w:r>
      <w:r>
        <w:rPr>
          <w:spacing w:val="13"/>
          <w:sz w:val="15"/>
        </w:rPr>
        <w:t> </w:t>
      </w:r>
      <w:r>
        <w:rPr>
          <w:sz w:val="15"/>
        </w:rPr>
        <w:t>pulpo:</w:t>
        <w:tab/>
        <w:t>$526.00</w:t>
      </w:r>
    </w:p>
    <w:p>
      <w:pPr>
        <w:pStyle w:val="BodyText"/>
        <w:spacing w:before="9"/>
      </w:pPr>
    </w:p>
    <w:p>
      <w:pPr>
        <w:pStyle w:val="ListParagraph"/>
        <w:numPr>
          <w:ilvl w:val="0"/>
          <w:numId w:val="104"/>
        </w:numPr>
        <w:tabs>
          <w:tab w:pos="807" w:val="left" w:leader="none"/>
        </w:tabs>
        <w:spacing w:line="247" w:lineRule="auto" w:before="0" w:after="0"/>
        <w:ind w:left="226" w:right="509" w:firstLine="397"/>
        <w:jc w:val="both"/>
        <w:rPr>
          <w:sz w:val="15"/>
        </w:rPr>
      </w:pPr>
      <w:r>
        <w:rPr>
          <w:sz w:val="15"/>
        </w:rPr>
        <w:t>Para usos industriales, comerciales u otros no señalados expresamente, se estimará el consumo de    las salidas no tabuladas y se calificará por la Dirección Comercial, de la Dirección General de Agua Potable ySaneamiento, perteneciente al IMHAB de Tlajomulco de Zúñiga, Jalisco, conforme al uso y características      del</w:t>
      </w:r>
      <w:r>
        <w:rPr>
          <w:spacing w:val="1"/>
          <w:sz w:val="15"/>
        </w:rPr>
        <w:t> </w:t>
      </w:r>
      <w:r>
        <w:rPr>
          <w:sz w:val="15"/>
        </w:rPr>
        <w:t>predio.</w:t>
      </w:r>
    </w:p>
    <w:p>
      <w:pPr>
        <w:pStyle w:val="BodyText"/>
        <w:spacing w:before="2"/>
      </w:pPr>
    </w:p>
    <w:p>
      <w:pPr>
        <w:pStyle w:val="ListParagraph"/>
        <w:numPr>
          <w:ilvl w:val="0"/>
          <w:numId w:val="104"/>
        </w:numPr>
        <w:tabs>
          <w:tab w:pos="773" w:val="left" w:leader="none"/>
        </w:tabs>
        <w:spacing w:line="247" w:lineRule="auto" w:before="0" w:after="0"/>
        <w:ind w:left="226" w:right="509" w:firstLine="397"/>
        <w:jc w:val="both"/>
        <w:rPr>
          <w:sz w:val="15"/>
        </w:rPr>
      </w:pPr>
      <w:r>
        <w:rPr>
          <w:sz w:val="15"/>
        </w:rPr>
        <w:t>Cuando en los predios de uso industrial exista fuente propia de abastecimiento, se cobrará el 20% considerando la tarifa de agua correspondiente a la cuota fija  que competa siendo la Dirección Comercial, de    la Dirección General de Agua Potable y Saneamiento, perteneciente al IMHAB de Tlajomulco  de  Zúñiga, Jalisco, quien estime y califique el consumo a</w:t>
      </w:r>
      <w:r>
        <w:rPr>
          <w:spacing w:val="13"/>
          <w:sz w:val="15"/>
        </w:rPr>
        <w:t> </w:t>
      </w:r>
      <w:r>
        <w:rPr>
          <w:sz w:val="15"/>
        </w:rPr>
        <w:t>considerar.</w:t>
      </w:r>
    </w:p>
    <w:p>
      <w:pPr>
        <w:pStyle w:val="BodyText"/>
        <w:spacing w:before="2"/>
      </w:pPr>
    </w:p>
    <w:p>
      <w:pPr>
        <w:pStyle w:val="ListParagraph"/>
        <w:numPr>
          <w:ilvl w:val="0"/>
          <w:numId w:val="104"/>
        </w:numPr>
        <w:tabs>
          <w:tab w:pos="861" w:val="left" w:leader="none"/>
        </w:tabs>
        <w:spacing w:line="247" w:lineRule="auto" w:before="1" w:after="0"/>
        <w:ind w:left="226" w:right="509" w:firstLine="397"/>
        <w:jc w:val="both"/>
        <w:rPr>
          <w:sz w:val="15"/>
        </w:rPr>
      </w:pPr>
      <w:r>
        <w:rPr>
          <w:sz w:val="15"/>
        </w:rPr>
        <w:t>Cuando el consumo de las salidas mencionadas rebase el doble de la cantidad estimada para uso doméstico,</w:t>
      </w:r>
      <w:r>
        <w:rPr>
          <w:spacing w:val="3"/>
          <w:sz w:val="15"/>
        </w:rPr>
        <w:t> </w:t>
      </w:r>
      <w:r>
        <w:rPr>
          <w:sz w:val="15"/>
        </w:rPr>
        <w:t>se</w:t>
      </w:r>
      <w:r>
        <w:rPr>
          <w:spacing w:val="4"/>
          <w:sz w:val="15"/>
        </w:rPr>
        <w:t> </w:t>
      </w:r>
      <w:r>
        <w:rPr>
          <w:sz w:val="15"/>
        </w:rPr>
        <w:t>considerará</w:t>
      </w:r>
      <w:r>
        <w:rPr>
          <w:spacing w:val="5"/>
          <w:sz w:val="15"/>
        </w:rPr>
        <w:t> </w:t>
      </w:r>
      <w:r>
        <w:rPr>
          <w:sz w:val="15"/>
        </w:rPr>
        <w:t>como</w:t>
      </w:r>
      <w:r>
        <w:rPr>
          <w:spacing w:val="4"/>
          <w:sz w:val="15"/>
        </w:rPr>
        <w:t> </w:t>
      </w:r>
      <w:r>
        <w:rPr>
          <w:sz w:val="15"/>
        </w:rPr>
        <w:t>uso</w:t>
      </w:r>
      <w:r>
        <w:rPr>
          <w:spacing w:val="5"/>
          <w:sz w:val="15"/>
        </w:rPr>
        <w:t> </w:t>
      </w:r>
      <w:r>
        <w:rPr>
          <w:sz w:val="15"/>
        </w:rPr>
        <w:t>productivo,</w:t>
      </w:r>
      <w:r>
        <w:rPr>
          <w:spacing w:val="4"/>
          <w:sz w:val="15"/>
        </w:rPr>
        <w:t> </w:t>
      </w:r>
      <w:r>
        <w:rPr>
          <w:sz w:val="15"/>
        </w:rPr>
        <w:t>y</w:t>
      </w:r>
      <w:r>
        <w:rPr>
          <w:spacing w:val="5"/>
          <w:sz w:val="15"/>
        </w:rPr>
        <w:t> </w:t>
      </w:r>
      <w:r>
        <w:rPr>
          <w:sz w:val="15"/>
        </w:rPr>
        <w:t>deberá</w:t>
      </w:r>
      <w:r>
        <w:rPr>
          <w:spacing w:val="4"/>
          <w:sz w:val="15"/>
        </w:rPr>
        <w:t> </w:t>
      </w:r>
      <w:r>
        <w:rPr>
          <w:sz w:val="15"/>
        </w:rPr>
        <w:t>cubrirse</w:t>
      </w:r>
      <w:r>
        <w:rPr>
          <w:spacing w:val="5"/>
          <w:sz w:val="15"/>
        </w:rPr>
        <w:t> </w:t>
      </w:r>
      <w:r>
        <w:rPr>
          <w:sz w:val="15"/>
        </w:rPr>
        <w:t>conforme</w:t>
      </w:r>
      <w:r>
        <w:rPr>
          <w:spacing w:val="4"/>
          <w:sz w:val="15"/>
        </w:rPr>
        <w:t> </w:t>
      </w:r>
      <w:r>
        <w:rPr>
          <w:sz w:val="15"/>
        </w:rPr>
        <w:t>a</w:t>
      </w:r>
      <w:r>
        <w:rPr>
          <w:spacing w:val="5"/>
          <w:sz w:val="15"/>
        </w:rPr>
        <w:t> </w:t>
      </w:r>
      <w:r>
        <w:rPr>
          <w:sz w:val="15"/>
        </w:rPr>
        <w:t>las</w:t>
      </w:r>
      <w:r>
        <w:rPr>
          <w:spacing w:val="4"/>
          <w:sz w:val="15"/>
        </w:rPr>
        <w:t> </w:t>
      </w:r>
      <w:r>
        <w:rPr>
          <w:sz w:val="15"/>
        </w:rPr>
        <w:t>siguientes:</w:t>
      </w:r>
    </w:p>
    <w:p>
      <w:pPr>
        <w:spacing w:after="0" w:line="247" w:lineRule="auto"/>
        <w:jc w:val="both"/>
        <w:rPr>
          <w:sz w:val="15"/>
        </w:rPr>
        <w:sectPr>
          <w:type w:val="continuous"/>
          <w:pgSz w:w="23250" w:h="15310" w:orient="landscape"/>
          <w:pgMar w:top="0" w:bottom="0" w:left="1880" w:right="1520"/>
          <w:cols w:num="2" w:equalWidth="0">
            <w:col w:w="5549" w:space="5998"/>
            <w:col w:w="8303"/>
          </w:cols>
        </w:sectPr>
      </w:pPr>
    </w:p>
    <w:p>
      <w:pPr>
        <w:pStyle w:val="BodyText"/>
        <w:spacing w:line="247" w:lineRule="auto" w:before="8"/>
        <w:ind w:left="226" w:right="77"/>
      </w:pPr>
      <w:r>
        <w:rPr/>
        <w:t>violación se encuadrará en lo dispuesto por esta ley y su reincidencia podrá ser motivo de reducción del suministro del servicio al</w:t>
      </w:r>
      <w:r>
        <w:rPr>
          <w:spacing w:val="29"/>
        </w:rPr>
        <w:t> </w:t>
      </w:r>
      <w:r>
        <w:rPr/>
        <w:t>predio.</w:t>
      </w:r>
    </w:p>
    <w:p>
      <w:pPr>
        <w:pStyle w:val="BodyText"/>
        <w:spacing w:before="4"/>
      </w:pPr>
    </w:p>
    <w:p>
      <w:pPr>
        <w:pStyle w:val="BodyText"/>
        <w:tabs>
          <w:tab w:pos="5036" w:val="left" w:leader="none"/>
        </w:tabs>
        <w:ind w:left="647"/>
      </w:pPr>
      <w:r>
        <w:rPr/>
        <w:t>g) Oficinas y locales comerciales, por </w:t>
      </w:r>
      <w:r>
        <w:rPr>
          <w:spacing w:val="10"/>
        </w:rPr>
        <w:t> </w:t>
      </w:r>
      <w:r>
        <w:rPr/>
        <w:t>cada</w:t>
      </w:r>
      <w:r>
        <w:rPr>
          <w:spacing w:val="9"/>
        </w:rPr>
        <w:t> </w:t>
      </w:r>
      <w:r>
        <w:rPr/>
        <w:t>uno:</w:t>
        <w:tab/>
        <w:t>$42.00</w:t>
      </w:r>
    </w:p>
    <w:p>
      <w:pPr>
        <w:pStyle w:val="ListParagraph"/>
        <w:numPr>
          <w:ilvl w:val="0"/>
          <w:numId w:val="105"/>
        </w:numPr>
        <w:tabs>
          <w:tab w:pos="893" w:val="left" w:leader="none"/>
        </w:tabs>
        <w:spacing w:line="247" w:lineRule="auto" w:before="9" w:after="0"/>
        <w:ind w:left="226" w:right="38" w:firstLine="420"/>
        <w:jc w:val="left"/>
        <w:rPr>
          <w:sz w:val="15"/>
        </w:rPr>
      </w:pPr>
      <w:r>
        <w:rPr>
          <w:spacing w:val="-1"/>
          <w:w w:val="102"/>
          <w:sz w:val="15"/>
        </w:rPr>
        <w:br w:type="column"/>
      </w:r>
      <w:r>
        <w:rPr>
          <w:sz w:val="15"/>
        </w:rPr>
        <w:t>Usos productivos de agua potable del sistema municipal, por metro</w:t>
      </w:r>
      <w:r>
        <w:rPr>
          <w:spacing w:val="5"/>
          <w:sz w:val="15"/>
        </w:rPr>
        <w:t> </w:t>
      </w:r>
      <w:r>
        <w:rPr>
          <w:sz w:val="15"/>
        </w:rPr>
        <w:t>cúbico:</w:t>
      </w:r>
    </w:p>
    <w:p>
      <w:pPr>
        <w:pStyle w:val="ListParagraph"/>
        <w:numPr>
          <w:ilvl w:val="0"/>
          <w:numId w:val="105"/>
        </w:numPr>
        <w:tabs>
          <w:tab w:pos="861" w:val="left" w:leader="none"/>
        </w:tabs>
        <w:spacing w:line="247" w:lineRule="auto" w:before="0" w:after="0"/>
        <w:ind w:left="226" w:right="38" w:firstLine="420"/>
        <w:jc w:val="left"/>
        <w:rPr>
          <w:sz w:val="15"/>
        </w:rPr>
      </w:pPr>
      <w:r>
        <w:rPr>
          <w:sz w:val="15"/>
        </w:rPr>
        <w:t>Uso productivo que descarga aguas residuales al sistema municipal dentro de las normas oficiales</w:t>
      </w:r>
      <w:r>
        <w:rPr>
          <w:spacing w:val="6"/>
          <w:sz w:val="15"/>
        </w:rPr>
        <w:t> </w:t>
      </w:r>
      <w:r>
        <w:rPr>
          <w:sz w:val="15"/>
        </w:rPr>
        <w:t>mexicanas</w:t>
      </w:r>
    </w:p>
    <w:p>
      <w:pPr>
        <w:pStyle w:val="BodyText"/>
        <w:spacing w:before="9"/>
        <w:ind w:left="226"/>
      </w:pPr>
      <w:r>
        <w:rPr/>
        <w:br w:type="column"/>
      </w:r>
      <w:r>
        <w:rPr/>
        <w:t>$20.00</w:t>
      </w:r>
    </w:p>
    <w:p>
      <w:pPr>
        <w:spacing w:after="0"/>
        <w:sectPr>
          <w:type w:val="continuous"/>
          <w:pgSz w:w="23250" w:h="15310" w:orient="landscape"/>
          <w:pgMar w:top="0" w:bottom="0" w:left="1880" w:right="1520"/>
          <w:cols w:num="3" w:equalWidth="0">
            <w:col w:w="5548" w:space="6073"/>
            <w:col w:w="4519" w:space="291"/>
            <w:col w:w="3419"/>
          </w:cols>
        </w:sectPr>
      </w:pPr>
    </w:p>
    <w:p>
      <w:pPr>
        <w:pStyle w:val="BodyText"/>
        <w:spacing w:before="1"/>
      </w:pPr>
    </w:p>
    <w:p>
      <w:pPr>
        <w:pStyle w:val="BodyText"/>
        <w:spacing w:before="1"/>
        <w:ind w:left="647"/>
      </w:pPr>
      <w:r>
        <w:rPr/>
        <w:t>1. Servicios sanitarios privados, por cada tres salidas o</w:t>
      </w:r>
    </w:p>
    <w:p>
      <w:pPr>
        <w:pStyle w:val="BodyText"/>
        <w:tabs>
          <w:tab w:pos="5037" w:val="left" w:leader="none"/>
        </w:tabs>
        <w:spacing w:before="4"/>
        <w:ind w:left="227"/>
      </w:pPr>
      <w:r>
        <w:rPr/>
        <w:t>muebles o fracción</w:t>
      </w:r>
      <w:r>
        <w:rPr>
          <w:spacing w:val="23"/>
        </w:rPr>
        <w:t> </w:t>
      </w:r>
      <w:r>
        <w:rPr/>
        <w:t>de</w:t>
      </w:r>
      <w:r>
        <w:rPr>
          <w:spacing w:val="8"/>
        </w:rPr>
        <w:t> </w:t>
      </w:r>
      <w:r>
        <w:rPr/>
        <w:t>ellas:</w:t>
        <w:tab/>
        <w:t>$45.00</w:t>
      </w:r>
    </w:p>
    <w:p>
      <w:pPr>
        <w:pStyle w:val="BodyText"/>
        <w:spacing w:before="10"/>
      </w:pPr>
    </w:p>
    <w:p>
      <w:pPr>
        <w:pStyle w:val="BodyText"/>
        <w:spacing w:line="247" w:lineRule="auto"/>
        <w:ind w:left="227" w:right="653" w:firstLine="420"/>
      </w:pPr>
      <w:r>
        <w:rPr/>
        <w:t>Se consideran servicios sanitarios privados, en oficinas o locales comerciales los siguientes:</w:t>
      </w:r>
    </w:p>
    <w:p>
      <w:pPr>
        <w:pStyle w:val="BodyText"/>
        <w:spacing w:before="3"/>
      </w:pPr>
    </w:p>
    <w:p>
      <w:pPr>
        <w:pStyle w:val="BodyText"/>
        <w:spacing w:line="247" w:lineRule="auto"/>
        <w:ind w:left="227" w:firstLine="420"/>
      </w:pPr>
      <w:r>
        <w:rPr/>
        <w:t>Cuando se encuentren en su interior y sean para uso exclusivo de quienes ahí trabajen y éstos no sean más de diez personas.</w:t>
      </w:r>
    </w:p>
    <w:p>
      <w:pPr>
        <w:pStyle w:val="BodyText"/>
        <w:tabs>
          <w:tab w:pos="5121" w:val="left" w:leader="none"/>
        </w:tabs>
        <w:spacing w:line="171" w:lineRule="exact"/>
        <w:ind w:left="227"/>
      </w:pPr>
      <w:r>
        <w:rPr/>
        <w:br w:type="column"/>
      </w:r>
      <w:r>
        <w:rPr/>
        <w:t>vigentes, por</w:t>
      </w:r>
      <w:r>
        <w:rPr>
          <w:spacing w:val="18"/>
        </w:rPr>
        <w:t> </w:t>
      </w:r>
      <w:r>
        <w:rPr/>
        <w:t>metro</w:t>
      </w:r>
      <w:r>
        <w:rPr>
          <w:spacing w:val="9"/>
        </w:rPr>
        <w:t> </w:t>
      </w:r>
      <w:r>
        <w:rPr/>
        <w:t>cúbico:</w:t>
        <w:tab/>
        <w:t>$4.00</w:t>
      </w:r>
    </w:p>
    <w:p>
      <w:pPr>
        <w:pStyle w:val="BodyText"/>
        <w:spacing w:before="8"/>
      </w:pPr>
    </w:p>
    <w:p>
      <w:pPr>
        <w:pStyle w:val="BodyText"/>
        <w:ind w:left="647"/>
      </w:pPr>
      <w:r>
        <w:rPr/>
        <w:t>3. Los establos, zahúrdas y granjas pagarán:</w:t>
      </w:r>
    </w:p>
    <w:p>
      <w:pPr>
        <w:pStyle w:val="BodyText"/>
        <w:spacing w:before="10"/>
      </w:pPr>
    </w:p>
    <w:p>
      <w:pPr>
        <w:pStyle w:val="BodyText"/>
        <w:tabs>
          <w:tab w:pos="5036" w:val="left" w:leader="none"/>
        </w:tabs>
        <w:ind w:left="647"/>
      </w:pPr>
      <w:r>
        <w:rPr/>
        <w:t>Establos y zahúrdas,</w:t>
      </w:r>
      <w:r>
        <w:rPr>
          <w:spacing w:val="26"/>
        </w:rPr>
        <w:t> </w:t>
      </w:r>
      <w:r>
        <w:rPr/>
        <w:t>por</w:t>
      </w:r>
      <w:r>
        <w:rPr>
          <w:spacing w:val="9"/>
        </w:rPr>
        <w:t> </w:t>
      </w:r>
      <w:r>
        <w:rPr/>
        <w:t>cabeza:</w:t>
        <w:tab/>
        <w:t>$18.00</w:t>
      </w:r>
    </w:p>
    <w:p>
      <w:pPr>
        <w:pStyle w:val="BodyText"/>
        <w:spacing w:before="8"/>
      </w:pPr>
    </w:p>
    <w:p>
      <w:pPr>
        <w:pStyle w:val="BodyText"/>
        <w:tabs>
          <w:tab w:pos="5036" w:val="left" w:leader="none"/>
        </w:tabs>
        <w:spacing w:before="1"/>
        <w:ind w:left="647"/>
      </w:pPr>
      <w:r>
        <w:rPr/>
        <w:t>Granjas, por cada</w:t>
      </w:r>
      <w:r>
        <w:rPr>
          <w:spacing w:val="23"/>
        </w:rPr>
        <w:t> </w:t>
      </w:r>
      <w:r>
        <w:rPr/>
        <w:t>100</w:t>
      </w:r>
      <w:r>
        <w:rPr>
          <w:spacing w:val="7"/>
        </w:rPr>
        <w:t> </w:t>
      </w:r>
      <w:r>
        <w:rPr/>
        <w:t>aves:</w:t>
        <w:tab/>
        <w:t>$19.00</w:t>
      </w:r>
    </w:p>
    <w:p>
      <w:pPr>
        <w:pStyle w:val="BodyText"/>
        <w:spacing w:before="9"/>
      </w:pPr>
    </w:p>
    <w:p>
      <w:pPr>
        <w:pStyle w:val="ListParagraph"/>
        <w:numPr>
          <w:ilvl w:val="1"/>
          <w:numId w:val="101"/>
        </w:numPr>
        <w:tabs>
          <w:tab w:pos="863" w:val="left" w:leader="none"/>
        </w:tabs>
        <w:spacing w:line="240" w:lineRule="auto" w:before="0" w:after="0"/>
        <w:ind w:left="862" w:right="0" w:hanging="215"/>
        <w:jc w:val="left"/>
        <w:rPr>
          <w:sz w:val="15"/>
        </w:rPr>
      </w:pPr>
      <w:r>
        <w:rPr>
          <w:sz w:val="15"/>
        </w:rPr>
        <w:t>Predios Baldíos:</w:t>
      </w:r>
    </w:p>
    <w:p>
      <w:pPr>
        <w:spacing w:after="0" w:line="240" w:lineRule="auto"/>
        <w:jc w:val="left"/>
        <w:rPr>
          <w:sz w:val="15"/>
        </w:rPr>
        <w:sectPr>
          <w:type w:val="continuous"/>
          <w:pgSz w:w="23250" w:h="15310" w:orient="landscape"/>
          <w:pgMar w:top="0" w:bottom="0" w:left="1880" w:right="1520"/>
          <w:cols w:num="2" w:equalWidth="0">
            <w:col w:w="5549" w:space="6073"/>
            <w:col w:w="8228"/>
          </w:cols>
        </w:sectPr>
      </w:pPr>
    </w:p>
    <w:p>
      <w:pPr>
        <w:pStyle w:val="BodyText"/>
        <w:rPr>
          <w:sz w:val="20"/>
        </w:rPr>
      </w:pPr>
    </w:p>
    <w:p>
      <w:pPr>
        <w:pStyle w:val="BodyText"/>
        <w:spacing w:before="7"/>
        <w:rPr>
          <w:sz w:val="29"/>
        </w:rPr>
      </w:pPr>
    </w:p>
    <w:p>
      <w:pPr>
        <w:spacing w:after="0"/>
        <w:rPr>
          <w:sz w:val="29"/>
        </w:rPr>
        <w:sectPr>
          <w:headerReference w:type="default" r:id="rId80"/>
          <w:pgSz w:w="23250" w:h="15310" w:orient="landscape"/>
          <w:pgMar w:header="881" w:footer="499" w:top="1920" w:bottom="680" w:left="1880" w:right="1520"/>
        </w:sectPr>
      </w:pPr>
    </w:p>
    <w:p>
      <w:pPr>
        <w:pStyle w:val="BodyText"/>
        <w:spacing w:line="247" w:lineRule="auto" w:before="99"/>
        <w:ind w:left="226" w:right="16" w:firstLine="420"/>
      </w:pPr>
      <w:r>
        <w:rPr/>
        <w:t>a) Los predios baldíos que tengan toma instalada, pagarán mensualmente:</w:t>
      </w:r>
    </w:p>
    <w:p>
      <w:pPr>
        <w:pStyle w:val="BodyText"/>
        <w:spacing w:before="3"/>
      </w:pPr>
    </w:p>
    <w:p>
      <w:pPr>
        <w:pStyle w:val="ListParagraph"/>
        <w:numPr>
          <w:ilvl w:val="0"/>
          <w:numId w:val="106"/>
        </w:numPr>
        <w:tabs>
          <w:tab w:pos="876" w:val="left" w:leader="none"/>
        </w:tabs>
        <w:spacing w:line="247" w:lineRule="auto" w:before="0" w:after="0"/>
        <w:ind w:left="226" w:right="40" w:firstLine="420"/>
        <w:jc w:val="left"/>
        <w:rPr>
          <w:sz w:val="15"/>
        </w:rPr>
      </w:pPr>
      <w:r>
        <w:rPr>
          <w:sz w:val="15"/>
        </w:rPr>
        <w:t>Predios baldíos hasta de una superficie de 250 metros</w:t>
      </w:r>
      <w:r>
        <w:rPr>
          <w:spacing w:val="1"/>
          <w:sz w:val="15"/>
        </w:rPr>
        <w:t> </w:t>
      </w:r>
      <w:r>
        <w:rPr>
          <w:sz w:val="15"/>
        </w:rPr>
        <w:t>cuadrados:</w:t>
      </w:r>
    </w:p>
    <w:p>
      <w:pPr>
        <w:pStyle w:val="ListParagraph"/>
        <w:numPr>
          <w:ilvl w:val="0"/>
          <w:numId w:val="106"/>
        </w:numPr>
        <w:tabs>
          <w:tab w:pos="828" w:val="left" w:leader="none"/>
        </w:tabs>
        <w:spacing w:line="172" w:lineRule="exact" w:before="0" w:after="0"/>
        <w:ind w:left="827" w:right="0" w:hanging="181"/>
        <w:jc w:val="left"/>
        <w:rPr>
          <w:sz w:val="15"/>
        </w:rPr>
      </w:pPr>
      <w:r>
        <w:rPr>
          <w:sz w:val="15"/>
        </w:rPr>
        <w:t>Por</w:t>
      </w:r>
      <w:r>
        <w:rPr>
          <w:spacing w:val="18"/>
          <w:sz w:val="15"/>
        </w:rPr>
        <w:t> </w:t>
      </w:r>
      <w:r>
        <w:rPr>
          <w:sz w:val="15"/>
        </w:rPr>
        <w:t>cada</w:t>
      </w:r>
      <w:r>
        <w:rPr>
          <w:spacing w:val="18"/>
          <w:sz w:val="15"/>
        </w:rPr>
        <w:t> </w:t>
      </w:r>
      <w:r>
        <w:rPr>
          <w:sz w:val="15"/>
        </w:rPr>
        <w:t>metro</w:t>
      </w:r>
      <w:r>
        <w:rPr>
          <w:spacing w:val="18"/>
          <w:sz w:val="15"/>
        </w:rPr>
        <w:t> </w:t>
      </w:r>
      <w:r>
        <w:rPr>
          <w:sz w:val="15"/>
        </w:rPr>
        <w:t>excedente</w:t>
      </w:r>
      <w:r>
        <w:rPr>
          <w:spacing w:val="19"/>
          <w:sz w:val="15"/>
        </w:rPr>
        <w:t> </w:t>
      </w:r>
      <w:r>
        <w:rPr>
          <w:sz w:val="15"/>
        </w:rPr>
        <w:t>de</w:t>
      </w:r>
      <w:r>
        <w:rPr>
          <w:spacing w:val="19"/>
          <w:sz w:val="15"/>
        </w:rPr>
        <w:t> </w:t>
      </w:r>
      <w:r>
        <w:rPr>
          <w:sz w:val="15"/>
        </w:rPr>
        <w:t>250</w:t>
      </w:r>
      <w:r>
        <w:rPr>
          <w:spacing w:val="17"/>
          <w:sz w:val="15"/>
        </w:rPr>
        <w:t> </w:t>
      </w:r>
      <w:r>
        <w:rPr>
          <w:sz w:val="15"/>
        </w:rPr>
        <w:t>metros</w:t>
      </w:r>
      <w:r>
        <w:rPr>
          <w:spacing w:val="19"/>
          <w:sz w:val="15"/>
        </w:rPr>
        <w:t> </w:t>
      </w:r>
      <w:r>
        <w:rPr>
          <w:sz w:val="15"/>
        </w:rPr>
        <w:t>cuadrados</w:t>
      </w:r>
    </w:p>
    <w:p>
      <w:pPr>
        <w:pStyle w:val="BodyText"/>
        <w:rPr>
          <w:sz w:val="16"/>
        </w:rPr>
      </w:pPr>
      <w:r>
        <w:rPr/>
        <w:br w:type="column"/>
      </w:r>
      <w:r>
        <w:rPr>
          <w:sz w:val="16"/>
        </w:rPr>
      </w:r>
    </w:p>
    <w:p>
      <w:pPr>
        <w:pStyle w:val="BodyText"/>
        <w:rPr>
          <w:sz w:val="16"/>
        </w:rPr>
      </w:pPr>
    </w:p>
    <w:p>
      <w:pPr>
        <w:pStyle w:val="BodyText"/>
        <w:spacing w:before="8"/>
        <w:rPr>
          <w:sz w:val="22"/>
        </w:rPr>
      </w:pPr>
    </w:p>
    <w:p>
      <w:pPr>
        <w:pStyle w:val="BodyText"/>
        <w:spacing w:before="1"/>
        <w:ind w:left="226"/>
      </w:pPr>
      <w:r>
        <w:rPr/>
        <w:t>$90.00</w:t>
      </w:r>
    </w:p>
    <w:p>
      <w:pPr>
        <w:pStyle w:val="BodyText"/>
        <w:rPr>
          <w:sz w:val="16"/>
        </w:rPr>
      </w:pPr>
      <w:r>
        <w:rPr/>
        <w:br w:type="column"/>
      </w:r>
      <w:r>
        <w:rPr>
          <w:sz w:val="16"/>
        </w:rPr>
      </w:r>
    </w:p>
    <w:p>
      <w:pPr>
        <w:pStyle w:val="ListParagraph"/>
        <w:numPr>
          <w:ilvl w:val="0"/>
          <w:numId w:val="107"/>
        </w:numPr>
        <w:tabs>
          <w:tab w:pos="875" w:val="left" w:leader="none"/>
        </w:tabs>
        <w:spacing w:line="247" w:lineRule="auto" w:before="92" w:after="0"/>
        <w:ind w:left="226" w:right="510" w:firstLine="397"/>
        <w:jc w:val="left"/>
        <w:rPr>
          <w:sz w:val="15"/>
        </w:rPr>
      </w:pPr>
      <w:r>
        <w:rPr>
          <w:sz w:val="15"/>
        </w:rPr>
        <w:t>Cuotas Generales: Urbanizaciones, áreas de reserva urbana en proceso de urbanización,  edificaciones sin beneficio fiscal y que demanden del</w:t>
      </w:r>
      <w:r>
        <w:rPr>
          <w:spacing w:val="16"/>
          <w:sz w:val="15"/>
        </w:rPr>
        <w:t> </w:t>
      </w:r>
      <w:r>
        <w:rPr>
          <w:sz w:val="15"/>
        </w:rPr>
        <w:t>servicio:</w:t>
      </w:r>
    </w:p>
    <w:p>
      <w:pPr>
        <w:pStyle w:val="BodyText"/>
        <w:spacing w:before="3"/>
      </w:pPr>
    </w:p>
    <w:p>
      <w:pPr>
        <w:pStyle w:val="ListParagraph"/>
        <w:numPr>
          <w:ilvl w:val="1"/>
          <w:numId w:val="107"/>
        </w:numPr>
        <w:tabs>
          <w:tab w:pos="1044" w:val="left" w:leader="none"/>
        </w:tabs>
        <w:spacing w:line="247" w:lineRule="auto" w:before="0" w:after="0"/>
        <w:ind w:left="302" w:right="3522" w:firstLine="420"/>
        <w:jc w:val="left"/>
        <w:rPr>
          <w:sz w:val="15"/>
        </w:rPr>
      </w:pPr>
      <w:r>
        <w:rPr>
          <w:sz w:val="15"/>
        </w:rPr>
        <w:t>Para otorgar los servicios e incrementar la infraestructura de agua potable, por metro cuadrado</w:t>
      </w:r>
      <w:r>
        <w:rPr>
          <w:spacing w:val="27"/>
          <w:sz w:val="15"/>
        </w:rPr>
        <w:t> </w:t>
      </w:r>
      <w:r>
        <w:rPr>
          <w:sz w:val="15"/>
        </w:rPr>
        <w:t>de</w:t>
      </w:r>
    </w:p>
    <w:p>
      <w:pPr>
        <w:spacing w:after="0" w:line="247" w:lineRule="auto"/>
        <w:jc w:val="left"/>
        <w:rPr>
          <w:sz w:val="15"/>
        </w:rPr>
        <w:sectPr>
          <w:type w:val="continuous"/>
          <w:pgSz w:w="23250" w:h="15310" w:orient="landscape"/>
          <w:pgMar w:top="0" w:bottom="0" w:left="1880" w:right="1520"/>
          <w:cols w:num="3" w:equalWidth="0">
            <w:col w:w="4520" w:space="289"/>
            <w:col w:w="738" w:space="5999"/>
            <w:col w:w="8304"/>
          </w:cols>
        </w:sectPr>
      </w:pPr>
    </w:p>
    <w:p>
      <w:pPr>
        <w:pStyle w:val="BodyText"/>
        <w:tabs>
          <w:tab w:pos="5121" w:val="left" w:leader="none"/>
        </w:tabs>
        <w:spacing w:line="172" w:lineRule="exact"/>
        <w:ind w:left="226"/>
      </w:pPr>
      <w:r>
        <w:rPr/>
        <w:t>hasta 1,000</w:t>
      </w:r>
      <w:r>
        <w:rPr>
          <w:spacing w:val="20"/>
        </w:rPr>
        <w:t> </w:t>
      </w:r>
      <w:r>
        <w:rPr/>
        <w:t>metros</w:t>
      </w:r>
      <w:r>
        <w:rPr>
          <w:spacing w:val="10"/>
        </w:rPr>
        <w:t> </w:t>
      </w:r>
      <w:r>
        <w:rPr/>
        <w:t>cuadrados:</w:t>
        <w:tab/>
        <w:t>$0.30</w:t>
      </w:r>
    </w:p>
    <w:p>
      <w:pPr>
        <w:pStyle w:val="BodyText"/>
        <w:spacing w:before="9"/>
      </w:pPr>
    </w:p>
    <w:p>
      <w:pPr>
        <w:pStyle w:val="BodyText"/>
        <w:spacing w:line="244" w:lineRule="auto"/>
        <w:ind w:left="226" w:right="3156" w:firstLine="420"/>
      </w:pPr>
      <w:r>
        <w:rPr/>
        <w:t>3. Predios mayores de 1,000 metros cuadrados se aplicarán las cuotas de los numerales anteriores y por cada</w:t>
      </w:r>
    </w:p>
    <w:p>
      <w:pPr>
        <w:pStyle w:val="BodyText"/>
        <w:tabs>
          <w:tab w:pos="5120" w:val="left" w:leader="none"/>
        </w:tabs>
        <w:spacing w:before="2"/>
        <w:ind w:left="226"/>
      </w:pPr>
      <w:r>
        <w:rPr/>
        <w:t>metro</w:t>
      </w:r>
      <w:r>
        <w:rPr>
          <w:spacing w:val="11"/>
        </w:rPr>
        <w:t> </w:t>
      </w:r>
      <w:r>
        <w:rPr/>
        <w:t>cuadrado</w:t>
      </w:r>
      <w:r>
        <w:rPr>
          <w:spacing w:val="12"/>
        </w:rPr>
        <w:t> </w:t>
      </w:r>
      <w:r>
        <w:rPr/>
        <w:t>excedente:</w:t>
        <w:tab/>
        <w:t>$0.15</w:t>
      </w:r>
    </w:p>
    <w:p>
      <w:pPr>
        <w:pStyle w:val="BodyText"/>
        <w:spacing w:before="9"/>
      </w:pPr>
    </w:p>
    <w:p>
      <w:pPr>
        <w:pStyle w:val="ListParagraph"/>
        <w:numPr>
          <w:ilvl w:val="1"/>
          <w:numId w:val="107"/>
        </w:numPr>
        <w:tabs>
          <w:tab w:pos="742" w:val="left" w:leader="none"/>
        </w:tabs>
        <w:spacing w:line="247" w:lineRule="auto" w:before="0" w:after="0"/>
        <w:ind w:left="151" w:right="38" w:firstLine="397"/>
        <w:jc w:val="left"/>
        <w:rPr>
          <w:sz w:val="15"/>
        </w:rPr>
      </w:pPr>
      <w:r>
        <w:rPr>
          <w:sz w:val="15"/>
        </w:rPr>
        <w:t>Los predios baldíos que no cuenten con toma instalada, pagarán el 50% de lo correspondiente a la cuota señalada en el inciso</w:t>
      </w:r>
      <w:r>
        <w:rPr>
          <w:spacing w:val="6"/>
          <w:sz w:val="15"/>
        </w:rPr>
        <w:t> </w:t>
      </w:r>
      <w:r>
        <w:rPr>
          <w:sz w:val="15"/>
        </w:rPr>
        <w:t>a).</w:t>
      </w:r>
    </w:p>
    <w:p>
      <w:pPr>
        <w:pStyle w:val="BodyText"/>
        <w:spacing w:line="247" w:lineRule="auto"/>
        <w:ind w:left="151" w:right="3522"/>
      </w:pPr>
      <w:r>
        <w:rPr/>
        <w:br w:type="column"/>
      </w:r>
      <w:r>
        <w:rPr/>
        <w:t>construcción de superficie total vendible o que demande el  servicio</w:t>
      </w:r>
      <w:r>
        <w:rPr>
          <w:spacing w:val="34"/>
        </w:rPr>
        <w:t> </w:t>
      </w:r>
      <w:r>
        <w:rPr/>
        <w:t>según</w:t>
      </w:r>
      <w:r>
        <w:rPr>
          <w:spacing w:val="34"/>
        </w:rPr>
        <w:t> </w:t>
      </w:r>
      <w:r>
        <w:rPr/>
        <w:t>sea</w:t>
      </w:r>
      <w:r>
        <w:rPr>
          <w:spacing w:val="35"/>
        </w:rPr>
        <w:t> </w:t>
      </w:r>
      <w:r>
        <w:rPr/>
        <w:t>el</w:t>
      </w:r>
      <w:r>
        <w:rPr>
          <w:spacing w:val="33"/>
        </w:rPr>
        <w:t> </w:t>
      </w:r>
      <w:r>
        <w:rPr/>
        <w:t>caso,</w:t>
      </w:r>
      <w:r>
        <w:rPr>
          <w:spacing w:val="34"/>
        </w:rPr>
        <w:t> </w:t>
      </w:r>
      <w:r>
        <w:rPr/>
        <w:t>por</w:t>
      </w:r>
      <w:r>
        <w:rPr>
          <w:spacing w:val="35"/>
        </w:rPr>
        <w:t> </w:t>
      </w:r>
      <w:r>
        <w:rPr/>
        <w:t>una</w:t>
      </w:r>
      <w:r>
        <w:rPr>
          <w:spacing w:val="34"/>
        </w:rPr>
        <w:t> </w:t>
      </w:r>
      <w:r>
        <w:rPr/>
        <w:t>sola</w:t>
      </w:r>
      <w:r>
        <w:rPr>
          <w:spacing w:val="34"/>
        </w:rPr>
        <w:t> </w:t>
      </w:r>
      <w:r>
        <w:rPr/>
        <w:t>vez,</w:t>
      </w:r>
      <w:r>
        <w:rPr>
          <w:spacing w:val="34"/>
        </w:rPr>
        <w:t> </w:t>
      </w:r>
      <w:r>
        <w:rPr/>
        <w:t>exceptuando</w:t>
      </w:r>
      <w:r>
        <w:rPr>
          <w:spacing w:val="34"/>
        </w:rPr>
        <w:t> </w:t>
      </w:r>
      <w:r>
        <w:rPr/>
        <w:t>las</w:t>
      </w:r>
    </w:p>
    <w:p>
      <w:pPr>
        <w:pStyle w:val="BodyText"/>
        <w:tabs>
          <w:tab w:pos="4874" w:val="left" w:leader="none"/>
        </w:tabs>
        <w:spacing w:line="172" w:lineRule="exact"/>
        <w:ind w:left="151"/>
      </w:pPr>
      <w:r>
        <w:rPr/>
        <w:t>áreas que corresponden a </w:t>
      </w:r>
      <w:r>
        <w:rPr>
          <w:spacing w:val="3"/>
        </w:rPr>
        <w:t> </w:t>
      </w:r>
      <w:r>
        <w:rPr/>
        <w:t>vialidades</w:t>
      </w:r>
      <w:r>
        <w:rPr>
          <w:spacing w:val="12"/>
        </w:rPr>
        <w:t> </w:t>
      </w:r>
      <w:r>
        <w:rPr/>
        <w:t>municipales:</w:t>
        <w:tab/>
        <w:t>$170.00</w:t>
      </w:r>
    </w:p>
    <w:p>
      <w:pPr>
        <w:pStyle w:val="BodyText"/>
        <w:spacing w:before="7"/>
      </w:pPr>
    </w:p>
    <w:p>
      <w:pPr>
        <w:pStyle w:val="ListParagraph"/>
        <w:numPr>
          <w:ilvl w:val="0"/>
          <w:numId w:val="108"/>
        </w:numPr>
        <w:tabs>
          <w:tab w:pos="893" w:val="left" w:leader="none"/>
        </w:tabs>
        <w:spacing w:line="247" w:lineRule="auto" w:before="1" w:after="0"/>
        <w:ind w:left="151" w:right="3522" w:firstLine="420"/>
        <w:jc w:val="both"/>
        <w:rPr>
          <w:sz w:val="15"/>
        </w:rPr>
      </w:pPr>
      <w:r>
        <w:rPr>
          <w:sz w:val="15"/>
        </w:rPr>
        <w:t>Para otorgar los servicios e incrementar la infraestructura de captación, conducción y alejamiento de aguas residuales, por metro cuadrado de superficie vendible total o que demanden</w:t>
      </w:r>
      <w:r>
        <w:rPr>
          <w:spacing w:val="11"/>
          <w:sz w:val="15"/>
        </w:rPr>
        <w:t> </w:t>
      </w:r>
      <w:r>
        <w:rPr>
          <w:sz w:val="15"/>
        </w:rPr>
        <w:t>el</w:t>
      </w:r>
      <w:r>
        <w:rPr>
          <w:spacing w:val="10"/>
          <w:sz w:val="15"/>
        </w:rPr>
        <w:t> </w:t>
      </w:r>
      <w:r>
        <w:rPr>
          <w:sz w:val="15"/>
        </w:rPr>
        <w:t>servicio,</w:t>
      </w:r>
      <w:r>
        <w:rPr>
          <w:spacing w:val="11"/>
          <w:sz w:val="15"/>
        </w:rPr>
        <w:t> </w:t>
      </w:r>
      <w:r>
        <w:rPr>
          <w:sz w:val="15"/>
        </w:rPr>
        <w:t>según</w:t>
      </w:r>
      <w:r>
        <w:rPr>
          <w:spacing w:val="10"/>
          <w:sz w:val="15"/>
        </w:rPr>
        <w:t> </w:t>
      </w:r>
      <w:r>
        <w:rPr>
          <w:sz w:val="15"/>
        </w:rPr>
        <w:t>sea</w:t>
      </w:r>
      <w:r>
        <w:rPr>
          <w:spacing w:val="10"/>
          <w:sz w:val="15"/>
        </w:rPr>
        <w:t> </w:t>
      </w:r>
      <w:r>
        <w:rPr>
          <w:sz w:val="15"/>
        </w:rPr>
        <w:t>el</w:t>
      </w:r>
      <w:r>
        <w:rPr>
          <w:spacing w:val="11"/>
          <w:sz w:val="15"/>
        </w:rPr>
        <w:t> </w:t>
      </w:r>
      <w:r>
        <w:rPr>
          <w:sz w:val="15"/>
        </w:rPr>
        <w:t>caso,</w:t>
      </w:r>
      <w:r>
        <w:rPr>
          <w:spacing w:val="10"/>
          <w:sz w:val="15"/>
        </w:rPr>
        <w:t> </w:t>
      </w:r>
      <w:r>
        <w:rPr>
          <w:sz w:val="15"/>
        </w:rPr>
        <w:t>por</w:t>
      </w:r>
      <w:r>
        <w:rPr>
          <w:spacing w:val="10"/>
          <w:sz w:val="15"/>
        </w:rPr>
        <w:t> </w:t>
      </w:r>
      <w:r>
        <w:rPr>
          <w:sz w:val="15"/>
        </w:rPr>
        <w:t>una</w:t>
      </w:r>
      <w:r>
        <w:rPr>
          <w:spacing w:val="10"/>
          <w:sz w:val="15"/>
        </w:rPr>
        <w:t> </w:t>
      </w:r>
      <w:r>
        <w:rPr>
          <w:sz w:val="15"/>
        </w:rPr>
        <w:t>sola</w:t>
      </w:r>
      <w:r>
        <w:rPr>
          <w:spacing w:val="11"/>
          <w:sz w:val="15"/>
        </w:rPr>
        <w:t> </w:t>
      </w:r>
      <w:r>
        <w:rPr>
          <w:sz w:val="15"/>
        </w:rPr>
        <w:t>vez,</w:t>
      </w:r>
    </w:p>
    <w:p>
      <w:pPr>
        <w:spacing w:after="0" w:line="247" w:lineRule="auto"/>
        <w:jc w:val="both"/>
        <w:rPr>
          <w:sz w:val="15"/>
        </w:rPr>
        <w:sectPr>
          <w:type w:val="continuous"/>
          <w:pgSz w:w="23250" w:h="15310" w:orient="landscape"/>
          <w:pgMar w:top="0" w:bottom="0" w:left="1880" w:right="1520"/>
          <w:cols w:num="2" w:equalWidth="0">
            <w:col w:w="7751" w:space="3947"/>
            <w:col w:w="8152"/>
          </w:cols>
        </w:sectPr>
      </w:pPr>
    </w:p>
    <w:p>
      <w:pPr>
        <w:pStyle w:val="BodyText"/>
        <w:spacing w:before="2"/>
      </w:pPr>
    </w:p>
    <w:p>
      <w:pPr>
        <w:pStyle w:val="ListParagraph"/>
        <w:numPr>
          <w:ilvl w:val="0"/>
          <w:numId w:val="108"/>
        </w:numPr>
        <w:tabs>
          <w:tab w:pos="772" w:val="left" w:leader="none"/>
        </w:tabs>
        <w:spacing w:line="244" w:lineRule="auto" w:before="0" w:after="0"/>
        <w:ind w:left="151" w:right="38" w:firstLine="397"/>
        <w:jc w:val="both"/>
        <w:rPr>
          <w:sz w:val="15"/>
        </w:rPr>
      </w:pPr>
      <w:r>
        <w:rPr>
          <w:sz w:val="15"/>
        </w:rPr>
        <w:t>En los predios no construidos o no urbanizados; y por cuyo frente pase tubería de agua o  alcantarillado, pagarán como lotes baldíos estimando la superficie hasta un fondo máximo de 30 metros, quedando el excedente en la categoría rústica del servicio. Dicha tarifa también podrá ser aplicada cuando el predio</w:t>
      </w:r>
      <w:r>
        <w:rPr>
          <w:spacing w:val="13"/>
          <w:sz w:val="15"/>
        </w:rPr>
        <w:t> </w:t>
      </w:r>
      <w:r>
        <w:rPr>
          <w:sz w:val="15"/>
        </w:rPr>
        <w:t>mencionado</w:t>
      </w:r>
      <w:r>
        <w:rPr>
          <w:spacing w:val="14"/>
          <w:sz w:val="15"/>
        </w:rPr>
        <w:t> </w:t>
      </w:r>
      <w:r>
        <w:rPr>
          <w:sz w:val="15"/>
        </w:rPr>
        <w:t>cuente</w:t>
      </w:r>
      <w:r>
        <w:rPr>
          <w:spacing w:val="13"/>
          <w:sz w:val="15"/>
        </w:rPr>
        <w:t> </w:t>
      </w:r>
      <w:r>
        <w:rPr>
          <w:sz w:val="15"/>
        </w:rPr>
        <w:t>con</w:t>
      </w:r>
      <w:r>
        <w:rPr>
          <w:spacing w:val="14"/>
          <w:sz w:val="15"/>
        </w:rPr>
        <w:t> </w:t>
      </w:r>
      <w:r>
        <w:rPr>
          <w:sz w:val="15"/>
        </w:rPr>
        <w:t>una</w:t>
      </w:r>
      <w:r>
        <w:rPr>
          <w:spacing w:val="13"/>
          <w:sz w:val="15"/>
        </w:rPr>
        <w:t> </w:t>
      </w:r>
      <w:r>
        <w:rPr>
          <w:sz w:val="15"/>
        </w:rPr>
        <w:t>construcción</w:t>
      </w:r>
      <w:r>
        <w:rPr>
          <w:spacing w:val="14"/>
          <w:sz w:val="15"/>
        </w:rPr>
        <w:t> </w:t>
      </w:r>
      <w:r>
        <w:rPr>
          <w:sz w:val="15"/>
        </w:rPr>
        <w:t>máxima</w:t>
      </w:r>
      <w:r>
        <w:rPr>
          <w:spacing w:val="13"/>
          <w:sz w:val="15"/>
        </w:rPr>
        <w:t> </w:t>
      </w:r>
      <w:r>
        <w:rPr>
          <w:sz w:val="15"/>
        </w:rPr>
        <w:t>equivalente</w:t>
      </w:r>
      <w:r>
        <w:rPr>
          <w:spacing w:val="14"/>
          <w:sz w:val="15"/>
        </w:rPr>
        <w:t> </w:t>
      </w:r>
      <w:r>
        <w:rPr>
          <w:sz w:val="15"/>
        </w:rPr>
        <w:t>a</w:t>
      </w:r>
      <w:r>
        <w:rPr>
          <w:spacing w:val="14"/>
          <w:sz w:val="15"/>
        </w:rPr>
        <w:t> </w:t>
      </w:r>
      <w:r>
        <w:rPr>
          <w:sz w:val="15"/>
        </w:rPr>
        <w:t>75</w:t>
      </w:r>
      <w:r>
        <w:rPr>
          <w:spacing w:val="13"/>
          <w:sz w:val="15"/>
        </w:rPr>
        <w:t> </w:t>
      </w:r>
      <w:r>
        <w:rPr>
          <w:sz w:val="15"/>
        </w:rPr>
        <w:t>m</w:t>
      </w:r>
      <w:r>
        <w:rPr>
          <w:position w:val="5"/>
          <w:sz w:val="10"/>
        </w:rPr>
        <w:t>2</w:t>
      </w:r>
      <w:r>
        <w:rPr>
          <w:sz w:val="15"/>
        </w:rPr>
        <w:t>;</w:t>
      </w:r>
      <w:r>
        <w:rPr>
          <w:spacing w:val="14"/>
          <w:sz w:val="15"/>
        </w:rPr>
        <w:t> </w:t>
      </w:r>
      <w:r>
        <w:rPr>
          <w:sz w:val="15"/>
        </w:rPr>
        <w:t>previa</w:t>
      </w:r>
      <w:r>
        <w:rPr>
          <w:spacing w:val="13"/>
          <w:sz w:val="15"/>
        </w:rPr>
        <w:t> </w:t>
      </w:r>
      <w:r>
        <w:rPr>
          <w:sz w:val="15"/>
        </w:rPr>
        <w:t>inspección</w:t>
      </w:r>
      <w:r>
        <w:rPr>
          <w:spacing w:val="14"/>
          <w:sz w:val="15"/>
        </w:rPr>
        <w:t> </w:t>
      </w:r>
      <w:r>
        <w:rPr>
          <w:sz w:val="15"/>
        </w:rPr>
        <w:t>de</w:t>
      </w:r>
      <w:r>
        <w:rPr>
          <w:spacing w:val="12"/>
          <w:sz w:val="15"/>
        </w:rPr>
        <w:t> </w:t>
      </w:r>
      <w:r>
        <w:rPr>
          <w:sz w:val="15"/>
        </w:rPr>
        <w:t>la</w:t>
      </w:r>
    </w:p>
    <w:p>
      <w:pPr>
        <w:pStyle w:val="BodyText"/>
        <w:spacing w:line="247" w:lineRule="auto"/>
        <w:ind w:left="151" w:right="84"/>
      </w:pPr>
      <w:r>
        <w:rPr/>
        <w:br w:type="column"/>
      </w:r>
      <w:r>
        <w:rPr/>
        <w:t>exceptuando las áreas que corresponden a vialidades  municipales:</w:t>
      </w:r>
    </w:p>
    <w:p>
      <w:pPr>
        <w:pStyle w:val="BodyText"/>
        <w:spacing w:before="1"/>
      </w:pPr>
    </w:p>
    <w:p>
      <w:pPr>
        <w:pStyle w:val="ListParagraph"/>
        <w:numPr>
          <w:ilvl w:val="0"/>
          <w:numId w:val="109"/>
        </w:numPr>
        <w:tabs>
          <w:tab w:pos="281" w:val="left" w:leader="none"/>
        </w:tabs>
        <w:spacing w:line="247" w:lineRule="auto" w:before="0" w:after="0"/>
        <w:ind w:left="151" w:right="38" w:firstLine="0"/>
        <w:jc w:val="left"/>
        <w:rPr>
          <w:sz w:val="15"/>
        </w:rPr>
      </w:pPr>
      <w:r>
        <w:rPr>
          <w:sz w:val="15"/>
        </w:rPr>
        <w:t>Para otorgar los servicios e incrementar la  infraestructura  pluvial</w:t>
      </w:r>
      <w:r>
        <w:rPr>
          <w:spacing w:val="13"/>
          <w:sz w:val="15"/>
        </w:rPr>
        <w:t> </w:t>
      </w:r>
      <w:r>
        <w:rPr>
          <w:sz w:val="15"/>
        </w:rPr>
        <w:t>por</w:t>
      </w:r>
      <w:r>
        <w:rPr>
          <w:spacing w:val="13"/>
          <w:sz w:val="15"/>
        </w:rPr>
        <w:t> </w:t>
      </w:r>
      <w:r>
        <w:rPr>
          <w:sz w:val="15"/>
        </w:rPr>
        <w:t>metro</w:t>
      </w:r>
      <w:r>
        <w:rPr>
          <w:spacing w:val="14"/>
          <w:sz w:val="15"/>
        </w:rPr>
        <w:t> </w:t>
      </w:r>
      <w:r>
        <w:rPr>
          <w:sz w:val="15"/>
        </w:rPr>
        <w:t>cuadrado</w:t>
      </w:r>
      <w:r>
        <w:rPr>
          <w:spacing w:val="14"/>
          <w:sz w:val="15"/>
        </w:rPr>
        <w:t> </w:t>
      </w:r>
      <w:r>
        <w:rPr>
          <w:sz w:val="15"/>
        </w:rPr>
        <w:t>de</w:t>
      </w:r>
      <w:r>
        <w:rPr>
          <w:spacing w:val="14"/>
          <w:sz w:val="15"/>
        </w:rPr>
        <w:t> </w:t>
      </w:r>
      <w:r>
        <w:rPr>
          <w:sz w:val="15"/>
        </w:rPr>
        <w:t>superficie</w:t>
      </w:r>
      <w:r>
        <w:rPr>
          <w:spacing w:val="14"/>
          <w:sz w:val="15"/>
        </w:rPr>
        <w:t> </w:t>
      </w:r>
      <w:r>
        <w:rPr>
          <w:sz w:val="15"/>
        </w:rPr>
        <w:t>total</w:t>
      </w:r>
      <w:r>
        <w:rPr>
          <w:spacing w:val="14"/>
          <w:sz w:val="15"/>
        </w:rPr>
        <w:t> </w:t>
      </w:r>
      <w:r>
        <w:rPr>
          <w:sz w:val="15"/>
        </w:rPr>
        <w:t>o</w:t>
      </w:r>
      <w:r>
        <w:rPr>
          <w:spacing w:val="13"/>
          <w:sz w:val="15"/>
        </w:rPr>
        <w:t> </w:t>
      </w:r>
      <w:r>
        <w:rPr>
          <w:sz w:val="15"/>
        </w:rPr>
        <w:t>que</w:t>
      </w:r>
      <w:r>
        <w:rPr>
          <w:spacing w:val="14"/>
          <w:sz w:val="15"/>
        </w:rPr>
        <w:t> </w:t>
      </w:r>
      <w:r>
        <w:rPr>
          <w:sz w:val="15"/>
        </w:rPr>
        <w:t>demanden</w:t>
      </w:r>
      <w:r>
        <w:rPr>
          <w:spacing w:val="13"/>
          <w:sz w:val="15"/>
        </w:rPr>
        <w:t> </w:t>
      </w:r>
      <w:r>
        <w:rPr>
          <w:sz w:val="15"/>
        </w:rPr>
        <w:t>el</w:t>
      </w:r>
    </w:p>
    <w:p>
      <w:pPr>
        <w:pStyle w:val="BodyText"/>
        <w:spacing w:line="170" w:lineRule="exact"/>
        <w:ind w:left="151"/>
      </w:pPr>
      <w:r>
        <w:rPr/>
        <w:br w:type="column"/>
      </w:r>
      <w:r>
        <w:rPr/>
        <w:t>$71.00</w:t>
      </w:r>
    </w:p>
    <w:p>
      <w:pPr>
        <w:spacing w:after="0" w:line="170" w:lineRule="exact"/>
        <w:sectPr>
          <w:type w:val="continuous"/>
          <w:pgSz w:w="23250" w:h="15310" w:orient="landscape"/>
          <w:pgMar w:top="0" w:bottom="0" w:left="1880" w:right="1520"/>
          <w:cols w:num="3" w:equalWidth="0">
            <w:col w:w="7751" w:space="3947"/>
            <w:col w:w="4663" w:space="145"/>
            <w:col w:w="3344"/>
          </w:cols>
        </w:sectPr>
      </w:pPr>
    </w:p>
    <w:p>
      <w:pPr>
        <w:pStyle w:val="BodyText"/>
        <w:spacing w:line="171" w:lineRule="exact"/>
        <w:ind w:left="151"/>
      </w:pPr>
      <w:r>
        <w:rPr/>
        <w:t>Dirección Comercial Dependiente de la Dirección General de Agua Potable y Saneamiento.</w:t>
      </w:r>
    </w:p>
    <w:p>
      <w:pPr>
        <w:pStyle w:val="BodyText"/>
        <w:spacing w:before="9"/>
      </w:pPr>
    </w:p>
    <w:p>
      <w:pPr>
        <w:pStyle w:val="ListParagraph"/>
        <w:numPr>
          <w:ilvl w:val="1"/>
          <w:numId w:val="101"/>
        </w:numPr>
        <w:tabs>
          <w:tab w:pos="824" w:val="left" w:leader="none"/>
        </w:tabs>
        <w:spacing w:line="247" w:lineRule="auto" w:before="0" w:after="0"/>
        <w:ind w:left="150" w:right="41" w:firstLine="397"/>
        <w:jc w:val="both"/>
        <w:rPr>
          <w:sz w:val="15"/>
        </w:rPr>
      </w:pPr>
      <w:r>
        <w:rPr>
          <w:sz w:val="15"/>
        </w:rPr>
        <w:t>Cuota fija en localidades, poblaciones, fraccionamientos, colonias o desarrollos en condominio habitacional.</w:t>
      </w:r>
    </w:p>
    <w:p>
      <w:pPr>
        <w:pStyle w:val="BodyText"/>
        <w:spacing w:before="4"/>
      </w:pPr>
    </w:p>
    <w:p>
      <w:pPr>
        <w:pStyle w:val="ListParagraph"/>
        <w:numPr>
          <w:ilvl w:val="0"/>
          <w:numId w:val="110"/>
        </w:numPr>
        <w:tabs>
          <w:tab w:pos="743" w:val="left" w:leader="none"/>
        </w:tabs>
        <w:spacing w:line="244" w:lineRule="auto" w:before="0" w:after="0"/>
        <w:ind w:left="150" w:right="39" w:firstLine="397"/>
        <w:jc w:val="both"/>
        <w:rPr>
          <w:sz w:val="15"/>
        </w:rPr>
      </w:pPr>
      <w:r>
        <w:rPr>
          <w:sz w:val="15"/>
        </w:rPr>
        <w:t>Los Predios comprendidos en las localidades, poblaciones, fraccionamientos, colonias o desarrollos    en condominio habitacional, registrados en el Padrón de Usuarios o en proceso de actualización en dicho padrón, cubrirán cuota fija mínima mensual de acuerdo a las tarifas establecidas en la fracción VI en</w:t>
      </w:r>
      <w:r>
        <w:rPr>
          <w:spacing w:val="10"/>
          <w:sz w:val="15"/>
        </w:rPr>
        <w:t> </w:t>
      </w:r>
      <w:r>
        <w:rPr>
          <w:sz w:val="15"/>
        </w:rPr>
        <w:t>razón:</w:t>
      </w:r>
    </w:p>
    <w:p>
      <w:pPr>
        <w:pStyle w:val="BodyText"/>
        <w:spacing w:before="8"/>
      </w:pPr>
    </w:p>
    <w:p>
      <w:pPr>
        <w:pStyle w:val="ListParagraph"/>
        <w:numPr>
          <w:ilvl w:val="1"/>
          <w:numId w:val="110"/>
        </w:numPr>
        <w:tabs>
          <w:tab w:pos="729" w:val="left" w:leader="none"/>
        </w:tabs>
        <w:spacing w:line="247" w:lineRule="auto" w:before="0" w:after="0"/>
        <w:ind w:left="151" w:right="38" w:firstLine="397"/>
        <w:jc w:val="both"/>
        <w:rPr>
          <w:sz w:val="15"/>
        </w:rPr>
      </w:pPr>
      <w:r>
        <w:rPr>
          <w:sz w:val="15"/>
        </w:rPr>
        <w:t>Casa habitación unifamiliar o departamento se aplica la tarifa prevista en la fracción VI conforme a los siguientes</w:t>
      </w:r>
      <w:r>
        <w:rPr>
          <w:spacing w:val="1"/>
          <w:sz w:val="15"/>
        </w:rPr>
        <w:t> </w:t>
      </w:r>
      <w:r>
        <w:rPr>
          <w:sz w:val="15"/>
        </w:rPr>
        <w:t>porcentajes:</w:t>
      </w:r>
    </w:p>
    <w:p>
      <w:pPr>
        <w:pStyle w:val="BodyText"/>
        <w:tabs>
          <w:tab w:pos="5035" w:val="left" w:leader="none"/>
        </w:tabs>
        <w:spacing w:line="171" w:lineRule="exact"/>
        <w:ind w:left="226"/>
      </w:pPr>
      <w:r>
        <w:rPr/>
        <w:br w:type="column"/>
      </w:r>
      <w:r>
        <w:rPr/>
        <w:t>servicio,</w:t>
      </w:r>
      <w:r>
        <w:rPr>
          <w:spacing w:val="7"/>
        </w:rPr>
        <w:t> </w:t>
      </w:r>
      <w:r>
        <w:rPr/>
        <w:t>según</w:t>
      </w:r>
      <w:r>
        <w:rPr>
          <w:spacing w:val="8"/>
        </w:rPr>
        <w:t> </w:t>
      </w:r>
      <w:r>
        <w:rPr/>
        <w:t>sea</w:t>
      </w:r>
      <w:r>
        <w:rPr>
          <w:spacing w:val="7"/>
        </w:rPr>
        <w:t> </w:t>
      </w:r>
      <w:r>
        <w:rPr/>
        <w:t>el</w:t>
      </w:r>
      <w:r>
        <w:rPr>
          <w:spacing w:val="8"/>
        </w:rPr>
        <w:t> </w:t>
      </w:r>
      <w:r>
        <w:rPr/>
        <w:t>caso,</w:t>
      </w:r>
      <w:r>
        <w:rPr>
          <w:spacing w:val="8"/>
        </w:rPr>
        <w:t> </w:t>
      </w:r>
      <w:r>
        <w:rPr/>
        <w:t>por</w:t>
      </w:r>
      <w:r>
        <w:rPr>
          <w:spacing w:val="7"/>
        </w:rPr>
        <w:t> </w:t>
      </w:r>
      <w:r>
        <w:rPr/>
        <w:t>una</w:t>
      </w:r>
      <w:r>
        <w:rPr>
          <w:spacing w:val="7"/>
        </w:rPr>
        <w:t> </w:t>
      </w:r>
      <w:r>
        <w:rPr/>
        <w:t>sola</w:t>
      </w:r>
      <w:r>
        <w:rPr>
          <w:spacing w:val="7"/>
        </w:rPr>
        <w:t> </w:t>
      </w:r>
      <w:r>
        <w:rPr/>
        <w:t>vez</w:t>
      </w:r>
      <w:r>
        <w:rPr>
          <w:spacing w:val="8"/>
        </w:rPr>
        <w:t> </w:t>
      </w:r>
      <w:r>
        <w:rPr/>
        <w:t>la</w:t>
      </w:r>
      <w:r>
        <w:rPr>
          <w:spacing w:val="7"/>
        </w:rPr>
        <w:t> </w:t>
      </w:r>
      <w:r>
        <w:rPr/>
        <w:t>cantidad</w:t>
      </w:r>
      <w:r>
        <w:rPr>
          <w:spacing w:val="8"/>
        </w:rPr>
        <w:t> </w:t>
      </w:r>
      <w:r>
        <w:rPr/>
        <w:t>de:</w:t>
        <w:tab/>
        <w:t>$45.00</w:t>
      </w:r>
    </w:p>
    <w:p>
      <w:pPr>
        <w:pStyle w:val="BodyText"/>
        <w:spacing w:before="9"/>
      </w:pPr>
    </w:p>
    <w:p>
      <w:pPr>
        <w:pStyle w:val="ListParagraph"/>
        <w:numPr>
          <w:ilvl w:val="0"/>
          <w:numId w:val="107"/>
        </w:numPr>
        <w:tabs>
          <w:tab w:pos="740" w:val="left" w:leader="none"/>
        </w:tabs>
        <w:spacing w:line="247" w:lineRule="auto" w:before="0" w:after="0"/>
        <w:ind w:left="150" w:right="512" w:firstLine="397"/>
        <w:jc w:val="both"/>
        <w:rPr>
          <w:sz w:val="15"/>
        </w:rPr>
      </w:pPr>
      <w:r>
        <w:rPr>
          <w:sz w:val="15"/>
        </w:rPr>
        <w:t>Cuotas especiales con beneficio fiscal: Cuando se trate de edificaciones, autoconstrucción o áreas    que demanden el servicio al interior de las localidades descritas en la fracción VI, inciso a) y b) del presente artículo, distintas a</w:t>
      </w:r>
      <w:r>
        <w:rPr>
          <w:spacing w:val="4"/>
          <w:sz w:val="15"/>
        </w:rPr>
        <w:t> </w:t>
      </w:r>
      <w:r>
        <w:rPr>
          <w:sz w:val="15"/>
        </w:rPr>
        <w:t>urbanizaciones:</w:t>
      </w:r>
    </w:p>
    <w:p>
      <w:pPr>
        <w:pStyle w:val="BodyText"/>
        <w:spacing w:before="3"/>
      </w:pPr>
    </w:p>
    <w:p>
      <w:pPr>
        <w:pStyle w:val="ListParagraph"/>
        <w:numPr>
          <w:ilvl w:val="0"/>
          <w:numId w:val="111"/>
        </w:numPr>
        <w:tabs>
          <w:tab w:pos="776" w:val="left" w:leader="none"/>
        </w:tabs>
        <w:spacing w:line="247" w:lineRule="auto" w:before="0" w:after="0"/>
        <w:ind w:left="150" w:right="3282" w:firstLine="397"/>
        <w:jc w:val="left"/>
        <w:rPr>
          <w:sz w:val="15"/>
        </w:rPr>
      </w:pPr>
      <w:r>
        <w:rPr>
          <w:sz w:val="15"/>
        </w:rPr>
        <w:t>Las áreas de origen ejidal, al ser regularizadas o  incorporadas al servicio de agua potable, pagarán por una</w:t>
      </w:r>
      <w:r>
        <w:rPr>
          <w:spacing w:val="-6"/>
          <w:sz w:val="15"/>
        </w:rPr>
        <w:t> </w:t>
      </w:r>
      <w:r>
        <w:rPr>
          <w:sz w:val="15"/>
        </w:rPr>
        <w:t>sola</w:t>
      </w:r>
    </w:p>
    <w:p>
      <w:pPr>
        <w:pStyle w:val="BodyText"/>
        <w:tabs>
          <w:tab w:pos="5179" w:val="left" w:leader="none"/>
        </w:tabs>
        <w:spacing w:line="172" w:lineRule="exact"/>
        <w:ind w:left="150"/>
      </w:pPr>
      <w:r>
        <w:rPr/>
        <w:t>vez,  por </w:t>
      </w:r>
      <w:r>
        <w:rPr>
          <w:spacing w:val="22"/>
        </w:rPr>
        <w:t> </w:t>
      </w:r>
      <w:r>
        <w:rPr/>
        <w:t>metro </w:t>
      </w:r>
      <w:r>
        <w:rPr>
          <w:spacing w:val="11"/>
        </w:rPr>
        <w:t> </w:t>
      </w:r>
      <w:r>
        <w:rPr/>
        <w:t>cuadrado:</w:t>
        <w:tab/>
        <w:t>$65.00</w:t>
      </w:r>
    </w:p>
    <w:p>
      <w:pPr>
        <w:pStyle w:val="BodyText"/>
        <w:spacing w:before="9"/>
      </w:pPr>
    </w:p>
    <w:p>
      <w:pPr>
        <w:pStyle w:val="ListParagraph"/>
        <w:numPr>
          <w:ilvl w:val="0"/>
          <w:numId w:val="111"/>
        </w:numPr>
        <w:tabs>
          <w:tab w:pos="828" w:val="left" w:leader="none"/>
        </w:tabs>
        <w:spacing w:line="240" w:lineRule="auto" w:before="1" w:after="0"/>
        <w:ind w:left="827" w:right="0" w:hanging="280"/>
        <w:jc w:val="left"/>
        <w:rPr>
          <w:sz w:val="15"/>
        </w:rPr>
      </w:pPr>
      <w:r>
        <w:rPr>
          <w:sz w:val="15"/>
        </w:rPr>
        <w:t>Las áreas de origen ejidal, al ser regularizadas</w:t>
      </w:r>
      <w:r>
        <w:rPr>
          <w:spacing w:val="25"/>
          <w:sz w:val="15"/>
        </w:rPr>
        <w:t> </w:t>
      </w:r>
      <w:r>
        <w:rPr>
          <w:sz w:val="15"/>
        </w:rPr>
        <w:t>o</w:t>
      </w:r>
    </w:p>
    <w:p>
      <w:pPr>
        <w:spacing w:after="0" w:line="240" w:lineRule="auto"/>
        <w:jc w:val="left"/>
        <w:rPr>
          <w:sz w:val="15"/>
        </w:rPr>
        <w:sectPr>
          <w:type w:val="continuous"/>
          <w:pgSz w:w="23250" w:h="15310" w:orient="landscape"/>
          <w:pgMar w:top="0" w:bottom="0" w:left="1880" w:right="1520"/>
          <w:cols w:num="2" w:equalWidth="0">
            <w:col w:w="7752" w:space="3870"/>
            <w:col w:w="8228"/>
          </w:cols>
        </w:sectPr>
      </w:pPr>
    </w:p>
    <w:p>
      <w:pPr>
        <w:pStyle w:val="BodyText"/>
        <w:spacing w:before="3"/>
      </w:pPr>
    </w:p>
    <w:p>
      <w:pPr>
        <w:pStyle w:val="ListParagraph"/>
        <w:numPr>
          <w:ilvl w:val="0"/>
          <w:numId w:val="112"/>
        </w:numPr>
        <w:tabs>
          <w:tab w:pos="720" w:val="left" w:leader="none"/>
          <w:tab w:pos="3928" w:val="left" w:leader="none"/>
        </w:tabs>
        <w:spacing w:line="240" w:lineRule="auto" w:before="0" w:after="0"/>
        <w:ind w:left="719" w:right="0" w:hanging="172"/>
        <w:jc w:val="left"/>
        <w:rPr>
          <w:sz w:val="15"/>
        </w:rPr>
      </w:pPr>
      <w:r>
        <w:rPr>
          <w:sz w:val="15"/>
        </w:rPr>
        <w:t>Hasta dos recámaras y</w:t>
      </w:r>
      <w:r>
        <w:rPr>
          <w:spacing w:val="40"/>
          <w:sz w:val="15"/>
        </w:rPr>
        <w:t> </w:t>
      </w:r>
      <w:r>
        <w:rPr>
          <w:sz w:val="15"/>
        </w:rPr>
        <w:t>un</w:t>
      </w:r>
      <w:r>
        <w:rPr>
          <w:spacing w:val="10"/>
          <w:sz w:val="15"/>
        </w:rPr>
        <w:t> </w:t>
      </w:r>
      <w:r>
        <w:rPr>
          <w:sz w:val="15"/>
        </w:rPr>
        <w:t>baño:</w:t>
        <w:tab/>
        <w:t>100% de la</w:t>
      </w:r>
      <w:r>
        <w:rPr>
          <w:spacing w:val="18"/>
          <w:sz w:val="15"/>
        </w:rPr>
        <w:t> </w:t>
      </w:r>
      <w:r>
        <w:rPr>
          <w:sz w:val="15"/>
        </w:rPr>
        <w:t>tarifa</w:t>
      </w:r>
    </w:p>
    <w:p>
      <w:pPr>
        <w:pStyle w:val="BodyText"/>
        <w:spacing w:line="247" w:lineRule="auto"/>
        <w:ind w:left="548" w:right="42"/>
      </w:pPr>
      <w:r>
        <w:rPr/>
        <w:br w:type="column"/>
      </w:r>
      <w:r>
        <w:rPr/>
        <w:t>incorporadas al servicio de alcantarillado, pagarán por una sola vez,  por metro</w:t>
      </w:r>
      <w:r>
        <w:rPr>
          <w:spacing w:val="2"/>
        </w:rPr>
        <w:t> </w:t>
      </w:r>
      <w:r>
        <w:rPr/>
        <w:t>cuadrado:</w:t>
      </w:r>
    </w:p>
    <w:p>
      <w:pPr>
        <w:pStyle w:val="BodyText"/>
        <w:spacing w:line="171" w:lineRule="exact"/>
        <w:ind w:left="200"/>
      </w:pPr>
      <w:r>
        <w:rPr/>
        <w:br w:type="column"/>
      </w:r>
      <w:r>
        <w:rPr/>
        <w:t>$13.00</w:t>
      </w:r>
    </w:p>
    <w:p>
      <w:pPr>
        <w:spacing w:after="0" w:line="171" w:lineRule="exact"/>
        <w:sectPr>
          <w:type w:val="continuous"/>
          <w:pgSz w:w="23250" w:h="15310" w:orient="landscape"/>
          <w:pgMar w:top="0" w:bottom="0" w:left="1880" w:right="1520"/>
          <w:cols w:num="3" w:equalWidth="0">
            <w:col w:w="5121" w:space="6104"/>
            <w:col w:w="5335" w:space="39"/>
            <w:col w:w="3251"/>
          </w:cols>
        </w:sectPr>
      </w:pPr>
    </w:p>
    <w:p>
      <w:pPr>
        <w:pStyle w:val="BodyText"/>
        <w:spacing w:before="2"/>
      </w:pPr>
    </w:p>
    <w:p>
      <w:pPr>
        <w:pStyle w:val="ListParagraph"/>
        <w:numPr>
          <w:ilvl w:val="0"/>
          <w:numId w:val="112"/>
        </w:numPr>
        <w:tabs>
          <w:tab w:pos="720" w:val="left" w:leader="none"/>
          <w:tab w:pos="4024" w:val="left" w:leader="none"/>
        </w:tabs>
        <w:spacing w:line="240" w:lineRule="auto" w:before="0" w:after="0"/>
        <w:ind w:left="719" w:right="0" w:hanging="172"/>
        <w:jc w:val="left"/>
        <w:rPr>
          <w:sz w:val="15"/>
        </w:rPr>
      </w:pPr>
      <w:r>
        <w:rPr>
          <w:sz w:val="15"/>
        </w:rPr>
        <w:t>Por  cada</w:t>
      </w:r>
      <w:r>
        <w:rPr>
          <w:spacing w:val="-8"/>
          <w:sz w:val="15"/>
        </w:rPr>
        <w:t> </w:t>
      </w:r>
      <w:r>
        <w:rPr>
          <w:sz w:val="15"/>
        </w:rPr>
        <w:t>recámara</w:t>
      </w:r>
      <w:r>
        <w:rPr>
          <w:spacing w:val="17"/>
          <w:sz w:val="15"/>
        </w:rPr>
        <w:t> </w:t>
      </w:r>
      <w:r>
        <w:rPr>
          <w:sz w:val="15"/>
        </w:rPr>
        <w:t>excedente:</w:t>
        <w:tab/>
        <w:t>26% de la</w:t>
      </w:r>
      <w:r>
        <w:rPr>
          <w:spacing w:val="22"/>
          <w:sz w:val="15"/>
        </w:rPr>
        <w:t> </w:t>
      </w:r>
      <w:r>
        <w:rPr>
          <w:sz w:val="15"/>
        </w:rPr>
        <w:t>tarifa</w:t>
      </w:r>
    </w:p>
    <w:p>
      <w:pPr>
        <w:pStyle w:val="BodyText"/>
        <w:spacing w:before="10"/>
      </w:pPr>
    </w:p>
    <w:p>
      <w:pPr>
        <w:pStyle w:val="ListParagraph"/>
        <w:numPr>
          <w:ilvl w:val="0"/>
          <w:numId w:val="112"/>
        </w:numPr>
        <w:tabs>
          <w:tab w:pos="712" w:val="left" w:leader="none"/>
          <w:tab w:pos="4007" w:val="left" w:leader="none"/>
        </w:tabs>
        <w:spacing w:line="240" w:lineRule="auto" w:before="0" w:after="0"/>
        <w:ind w:left="711" w:right="0" w:hanging="164"/>
        <w:jc w:val="left"/>
        <w:rPr>
          <w:sz w:val="15"/>
        </w:rPr>
      </w:pPr>
      <w:r>
        <w:rPr>
          <w:sz w:val="15"/>
        </w:rPr>
        <w:t>Por  cada</w:t>
      </w:r>
      <w:r>
        <w:rPr>
          <w:spacing w:val="-14"/>
          <w:sz w:val="15"/>
        </w:rPr>
        <w:t> </w:t>
      </w:r>
      <w:r>
        <w:rPr>
          <w:sz w:val="15"/>
        </w:rPr>
        <w:t>baño</w:t>
      </w:r>
      <w:r>
        <w:rPr>
          <w:spacing w:val="14"/>
          <w:sz w:val="15"/>
        </w:rPr>
        <w:t> </w:t>
      </w:r>
      <w:r>
        <w:rPr>
          <w:sz w:val="15"/>
        </w:rPr>
        <w:t>excedente:</w:t>
        <w:tab/>
        <w:t>26% de la</w:t>
      </w:r>
      <w:r>
        <w:rPr>
          <w:spacing w:val="21"/>
          <w:sz w:val="15"/>
        </w:rPr>
        <w:t> </w:t>
      </w:r>
      <w:r>
        <w:rPr>
          <w:sz w:val="15"/>
        </w:rPr>
        <w:t>tarifa</w:t>
      </w:r>
    </w:p>
    <w:p>
      <w:pPr>
        <w:pStyle w:val="BodyText"/>
        <w:spacing w:before="8"/>
      </w:pPr>
    </w:p>
    <w:p>
      <w:pPr>
        <w:pStyle w:val="BodyText"/>
        <w:spacing w:line="247" w:lineRule="auto"/>
        <w:ind w:left="150" w:right="38" w:firstLine="397"/>
        <w:jc w:val="both"/>
      </w:pPr>
      <w:r>
        <w:rPr/>
        <w:t>Para efectos de determinar la tarifa, en los términos del numeral 1), el cuarto de servicio se considera recámara y el medio baño como baño.</w:t>
      </w:r>
    </w:p>
    <w:p>
      <w:pPr>
        <w:pStyle w:val="BodyText"/>
        <w:spacing w:before="4"/>
      </w:pPr>
    </w:p>
    <w:p>
      <w:pPr>
        <w:pStyle w:val="ListParagraph"/>
        <w:numPr>
          <w:ilvl w:val="1"/>
          <w:numId w:val="110"/>
        </w:numPr>
        <w:tabs>
          <w:tab w:pos="746" w:val="left" w:leader="none"/>
        </w:tabs>
        <w:spacing w:line="247" w:lineRule="auto" w:before="0" w:after="0"/>
        <w:ind w:left="151" w:right="38" w:firstLine="397"/>
        <w:jc w:val="both"/>
        <w:rPr>
          <w:sz w:val="15"/>
        </w:rPr>
      </w:pPr>
      <w:r>
        <w:rPr>
          <w:sz w:val="15"/>
        </w:rPr>
        <w:t>Los predios baldíos propiedad de las empresas urbanizadoras legalmente constituidas tendrán una bonificación del 25% de las cuotas anteriores en tanto no sea transmitida la posesión a otro detentador a cualquier título, momento a partir del cual cubrirán sus cuotas</w:t>
      </w:r>
      <w:r>
        <w:rPr>
          <w:spacing w:val="27"/>
          <w:sz w:val="15"/>
        </w:rPr>
        <w:t> </w:t>
      </w:r>
      <w:r>
        <w:rPr>
          <w:sz w:val="15"/>
        </w:rPr>
        <w:t>normalmente.</w:t>
      </w:r>
    </w:p>
    <w:p>
      <w:pPr>
        <w:pStyle w:val="BodyText"/>
        <w:spacing w:before="3"/>
      </w:pPr>
    </w:p>
    <w:p>
      <w:pPr>
        <w:pStyle w:val="ListParagraph"/>
        <w:numPr>
          <w:ilvl w:val="1"/>
          <w:numId w:val="110"/>
        </w:numPr>
        <w:tabs>
          <w:tab w:pos="729" w:val="left" w:leader="none"/>
        </w:tabs>
        <w:spacing w:line="247" w:lineRule="auto" w:before="0" w:after="0"/>
        <w:ind w:left="151" w:right="38" w:firstLine="397"/>
        <w:jc w:val="both"/>
        <w:rPr>
          <w:sz w:val="15"/>
        </w:rPr>
      </w:pPr>
      <w:r>
        <w:rPr>
          <w:sz w:val="15"/>
        </w:rPr>
        <w:t>Las empresas urbanizadoras comenzarán a cubrir sus cuotas en los términos del artículo 104 fracción </w:t>
      </w:r>
      <w:r>
        <w:rPr>
          <w:spacing w:val="-5"/>
          <w:sz w:val="15"/>
        </w:rPr>
        <w:t>IV,  </w:t>
      </w:r>
      <w:r>
        <w:rPr>
          <w:sz w:val="15"/>
        </w:rPr>
        <w:t>con la obligación de entregar bimestralmente una relación de los nuevos poseedores de los predios, para     la actualización del padrón de</w:t>
      </w:r>
      <w:r>
        <w:rPr>
          <w:spacing w:val="7"/>
          <w:sz w:val="15"/>
        </w:rPr>
        <w:t> </w:t>
      </w:r>
      <w:r>
        <w:rPr>
          <w:sz w:val="15"/>
        </w:rPr>
        <w:t>usuarios.</w:t>
      </w:r>
    </w:p>
    <w:p>
      <w:pPr>
        <w:pStyle w:val="BodyText"/>
        <w:spacing w:before="2"/>
      </w:pPr>
    </w:p>
    <w:p>
      <w:pPr>
        <w:pStyle w:val="BodyText"/>
        <w:spacing w:line="247" w:lineRule="auto" w:before="1"/>
        <w:ind w:left="151" w:right="38" w:firstLine="397"/>
        <w:jc w:val="both"/>
      </w:pPr>
      <w:r>
        <w:rPr/>
        <w:t>En caso de que la empresa urbanizadora no cumpla con esta obligación, no será acreedora al beneficio señalado en el inciso 2) del presente artículo.</w:t>
      </w:r>
    </w:p>
    <w:p>
      <w:pPr>
        <w:pStyle w:val="BodyText"/>
        <w:spacing w:before="3"/>
      </w:pPr>
    </w:p>
    <w:p>
      <w:pPr>
        <w:pStyle w:val="BodyText"/>
        <w:spacing w:line="247" w:lineRule="auto" w:before="1"/>
        <w:ind w:left="151" w:right="38" w:firstLine="397"/>
        <w:jc w:val="both"/>
      </w:pPr>
      <w:r>
        <w:rPr>
          <w:spacing w:val="-5"/>
        </w:rPr>
        <w:t>V.- </w:t>
      </w:r>
      <w:r>
        <w:rPr/>
        <w:t>Derechos por aprovechamiento o incorporación a la infraestructura hidráulica básica: las urbanizaciones, edificaciones o áreas de reserva urbana en proceso de urbanización que demanden los  servicios de agua potable, drenaje, alcantarillado, tratamiento o disposición  final  de  aguas  residuales,  así como incrementos en su uso en zonas ya en servicio, además de las obras complementarias que para el caso especial se requiera estarán obligados al pago de estos derechos conforme a lo</w:t>
      </w:r>
      <w:r>
        <w:rPr>
          <w:spacing w:val="5"/>
        </w:rPr>
        <w:t> </w:t>
      </w:r>
      <w:r>
        <w:rPr/>
        <w:t>siguiente:</w:t>
      </w:r>
    </w:p>
    <w:p>
      <w:pPr>
        <w:pStyle w:val="BodyText"/>
        <w:spacing w:before="2"/>
      </w:pPr>
      <w:r>
        <w:rPr/>
        <w:br w:type="column"/>
      </w:r>
      <w:r>
        <w:rPr/>
      </w:r>
    </w:p>
    <w:p>
      <w:pPr>
        <w:pStyle w:val="ListParagraph"/>
        <w:numPr>
          <w:ilvl w:val="0"/>
          <w:numId w:val="111"/>
        </w:numPr>
        <w:tabs>
          <w:tab w:pos="741" w:val="left" w:leader="none"/>
        </w:tabs>
        <w:spacing w:line="247" w:lineRule="auto" w:before="0" w:after="0"/>
        <w:ind w:left="150" w:right="509" w:firstLine="397"/>
        <w:jc w:val="both"/>
        <w:rPr>
          <w:sz w:val="15"/>
        </w:rPr>
      </w:pPr>
      <w:r>
        <w:rPr>
          <w:sz w:val="15"/>
        </w:rPr>
        <w:t>La persona física propietaria de un predio al interior de las localidades descritas en la fracción VI,    inciso a) y b) del presente artículo o que obtenga título de propiedad emitido por la Comisión Municipal de Regularización de Predios (COMUR) o el Instituto Nacional del Suelo Sustentable (INSUS), que se conecte o solicite la conexión a los servicios de agua potable o alcantarillado para su casa habitación, pagarán por una  sola vez, por metro cuadrado  $65.00  y  $13.00  respectivamente,  quienes  tendrán  las  siguientes  obligaciones:</w:t>
      </w:r>
    </w:p>
    <w:p>
      <w:pPr>
        <w:pStyle w:val="BodyText"/>
        <w:spacing w:before="1"/>
      </w:pPr>
    </w:p>
    <w:p>
      <w:pPr>
        <w:pStyle w:val="BodyText"/>
        <w:spacing w:before="1"/>
        <w:ind w:left="548"/>
      </w:pPr>
      <w:r>
        <w:rPr/>
        <w:t>1.- Deberá conservar el destino que origine la conexión;</w:t>
      </w:r>
    </w:p>
    <w:p>
      <w:pPr>
        <w:pStyle w:val="BodyText"/>
        <w:spacing w:before="8"/>
      </w:pPr>
    </w:p>
    <w:p>
      <w:pPr>
        <w:pStyle w:val="BodyText"/>
        <w:spacing w:line="247" w:lineRule="auto"/>
        <w:ind w:left="150" w:right="508" w:firstLine="397"/>
        <w:jc w:val="both"/>
      </w:pPr>
      <w:r>
        <w:rPr/>
        <w:t>2.- Si pretende modificar el destino del inmueble deberá presentar la solicitud correspondiente a la Dirección Comercial dependiente de la Dirección General de Agua  Potable y Saneamiento del  IMHAB, pagar  los derechos de incorporación conforme al nuevo uso que se vaya  dar al inmueble, así como los materiales   para realizar la nueva conexión, en caso de que se tenga que cambiar la misma; y</w:t>
      </w:r>
    </w:p>
    <w:p>
      <w:pPr>
        <w:pStyle w:val="BodyText"/>
        <w:spacing w:before="2"/>
      </w:pPr>
    </w:p>
    <w:p>
      <w:pPr>
        <w:pStyle w:val="BodyText"/>
        <w:spacing w:line="247" w:lineRule="auto"/>
        <w:ind w:left="150" w:right="509" w:firstLine="397"/>
        <w:jc w:val="both"/>
      </w:pPr>
      <w:r>
        <w:rPr/>
        <w:t>3.- Si realizó la conexión sin hacer los trámites correspondientes o si la toma de agua da servicio a más   de una casa habitación, el Titular del inmueble deberá pagar los derechos de incorporación conforme lo establecido en la presente fracción, los materiales que correspondan a la conexión y el equivalente a la estimación de los servicios de agua potable y alcantarillado a partir de la fecha de su conexión en caso de comprobar la misma, en caso contrario, la  determinación del adeudo de esta se hará por los últimos cinco   años, a partir de la fecha del inicio del trámite, o de que la autoridad municipal descubra la evasión de estas obligaciones, además de pagar los accesorios</w:t>
      </w:r>
      <w:r>
        <w:rPr>
          <w:spacing w:val="12"/>
        </w:rPr>
        <w:t> </w:t>
      </w:r>
      <w:r>
        <w:rPr/>
        <w:t>correspondientes.</w:t>
      </w:r>
    </w:p>
    <w:p>
      <w:pPr>
        <w:pStyle w:val="BodyText"/>
        <w:spacing w:before="1"/>
      </w:pPr>
    </w:p>
    <w:p>
      <w:pPr>
        <w:pStyle w:val="BodyText"/>
        <w:ind w:left="548"/>
      </w:pPr>
      <w:r>
        <w:rPr/>
        <w:t>4.- En caso de que las edificaciones sean mayores a los 90 metros cuadrados cambiando el destino del</w:t>
      </w:r>
    </w:p>
    <w:p>
      <w:pPr>
        <w:spacing w:after="0"/>
        <w:sectPr>
          <w:type w:val="continuous"/>
          <w:pgSz w:w="23250" w:h="15310" w:orient="landscape"/>
          <w:pgMar w:top="0" w:bottom="0" w:left="1880" w:right="1520"/>
          <w:cols w:num="2" w:equalWidth="0">
            <w:col w:w="7752" w:space="3871"/>
            <w:col w:w="8227"/>
          </w:cols>
        </w:sectPr>
      </w:pPr>
    </w:p>
    <w:p>
      <w:pPr>
        <w:pStyle w:val="BodyText"/>
        <w:rPr>
          <w:sz w:val="20"/>
        </w:rPr>
      </w:pPr>
    </w:p>
    <w:p>
      <w:pPr>
        <w:pStyle w:val="BodyText"/>
        <w:spacing w:before="7"/>
        <w:rPr>
          <w:sz w:val="29"/>
        </w:rPr>
      </w:pPr>
    </w:p>
    <w:p>
      <w:pPr>
        <w:spacing w:after="0"/>
        <w:rPr>
          <w:sz w:val="29"/>
        </w:rPr>
        <w:sectPr>
          <w:headerReference w:type="default" r:id="rId81"/>
          <w:pgSz w:w="23250" w:h="15310" w:orient="landscape"/>
          <w:pgMar w:header="881" w:footer="499" w:top="1920" w:bottom="680" w:left="1880" w:right="1520"/>
        </w:sectPr>
      </w:pPr>
    </w:p>
    <w:p>
      <w:pPr>
        <w:pStyle w:val="BodyText"/>
        <w:spacing w:line="247" w:lineRule="auto" w:before="99"/>
        <w:ind w:left="151"/>
      </w:pPr>
      <w:r>
        <w:rPr/>
        <w:t>inmueble, el titular deberá pagar conforme a la cuota general establecida en el presente artículo fracción V. numeral 1.</w:t>
      </w:r>
    </w:p>
    <w:p>
      <w:pPr>
        <w:pStyle w:val="BodyText"/>
        <w:spacing w:before="2"/>
      </w:pPr>
    </w:p>
    <w:p>
      <w:pPr>
        <w:pStyle w:val="ListParagraph"/>
        <w:numPr>
          <w:ilvl w:val="0"/>
          <w:numId w:val="111"/>
        </w:numPr>
        <w:tabs>
          <w:tab w:pos="739" w:val="left" w:leader="none"/>
        </w:tabs>
        <w:spacing w:line="247" w:lineRule="auto" w:before="1" w:after="0"/>
        <w:ind w:left="151" w:right="41" w:firstLine="397"/>
        <w:jc w:val="both"/>
        <w:rPr>
          <w:sz w:val="15"/>
        </w:rPr>
      </w:pPr>
      <w:r>
        <w:rPr>
          <w:sz w:val="15"/>
        </w:rPr>
        <w:t>Las edificaciones destinadas al establecimiento de pequeñas y medianas empresas, regularizadas o incorporadas al servicio de agua potable, drenaje y alcantarillado y pluvial, se les podrá aplicar un descuento    de</w:t>
      </w:r>
      <w:r>
        <w:rPr>
          <w:spacing w:val="4"/>
          <w:sz w:val="15"/>
        </w:rPr>
        <w:t> </w:t>
      </w:r>
      <w:r>
        <w:rPr>
          <w:sz w:val="15"/>
        </w:rPr>
        <w:t>hasta</w:t>
      </w:r>
      <w:r>
        <w:rPr>
          <w:spacing w:val="4"/>
          <w:sz w:val="15"/>
        </w:rPr>
        <w:t> </w:t>
      </w:r>
      <w:r>
        <w:rPr>
          <w:sz w:val="15"/>
        </w:rPr>
        <w:t>40%</w:t>
      </w:r>
      <w:r>
        <w:rPr>
          <w:spacing w:val="5"/>
          <w:sz w:val="15"/>
        </w:rPr>
        <w:t> </w:t>
      </w:r>
      <w:r>
        <w:rPr>
          <w:sz w:val="15"/>
        </w:rPr>
        <w:t>sobre</w:t>
      </w:r>
      <w:r>
        <w:rPr>
          <w:spacing w:val="4"/>
          <w:sz w:val="15"/>
        </w:rPr>
        <w:t> </w:t>
      </w:r>
      <w:r>
        <w:rPr>
          <w:sz w:val="15"/>
        </w:rPr>
        <w:t>las</w:t>
      </w:r>
      <w:r>
        <w:rPr>
          <w:spacing w:val="4"/>
          <w:sz w:val="15"/>
        </w:rPr>
        <w:t> </w:t>
      </w:r>
      <w:r>
        <w:rPr>
          <w:sz w:val="15"/>
        </w:rPr>
        <w:t>cuotas</w:t>
      </w:r>
      <w:r>
        <w:rPr>
          <w:spacing w:val="4"/>
          <w:sz w:val="15"/>
        </w:rPr>
        <w:t> </w:t>
      </w:r>
      <w:r>
        <w:rPr>
          <w:sz w:val="15"/>
        </w:rPr>
        <w:t>establecidas</w:t>
      </w:r>
      <w:r>
        <w:rPr>
          <w:spacing w:val="5"/>
          <w:sz w:val="15"/>
        </w:rPr>
        <w:t> </w:t>
      </w:r>
      <w:r>
        <w:rPr>
          <w:sz w:val="15"/>
        </w:rPr>
        <w:t>para</w:t>
      </w:r>
      <w:r>
        <w:rPr>
          <w:spacing w:val="4"/>
          <w:sz w:val="15"/>
        </w:rPr>
        <w:t> </w:t>
      </w:r>
      <w:r>
        <w:rPr>
          <w:sz w:val="15"/>
        </w:rPr>
        <w:t>cada</w:t>
      </w:r>
      <w:r>
        <w:rPr>
          <w:spacing w:val="5"/>
          <w:sz w:val="15"/>
        </w:rPr>
        <w:t> </w:t>
      </w:r>
      <w:r>
        <w:rPr>
          <w:sz w:val="15"/>
        </w:rPr>
        <w:t>concepto</w:t>
      </w:r>
      <w:r>
        <w:rPr>
          <w:spacing w:val="4"/>
          <w:sz w:val="15"/>
        </w:rPr>
        <w:t> </w:t>
      </w:r>
      <w:r>
        <w:rPr>
          <w:sz w:val="15"/>
        </w:rPr>
        <w:t>en</w:t>
      </w:r>
      <w:r>
        <w:rPr>
          <w:spacing w:val="5"/>
          <w:sz w:val="15"/>
        </w:rPr>
        <w:t> </w:t>
      </w:r>
      <w:r>
        <w:rPr>
          <w:sz w:val="15"/>
        </w:rPr>
        <w:t>el</w:t>
      </w:r>
      <w:r>
        <w:rPr>
          <w:spacing w:val="4"/>
          <w:sz w:val="15"/>
        </w:rPr>
        <w:t> </w:t>
      </w:r>
      <w:r>
        <w:rPr>
          <w:sz w:val="15"/>
        </w:rPr>
        <w:t>numeral</w:t>
      </w:r>
      <w:r>
        <w:rPr>
          <w:spacing w:val="5"/>
          <w:sz w:val="15"/>
        </w:rPr>
        <w:t> </w:t>
      </w:r>
      <w:r>
        <w:rPr>
          <w:sz w:val="15"/>
        </w:rPr>
        <w:t>1</w:t>
      </w:r>
      <w:r>
        <w:rPr>
          <w:spacing w:val="4"/>
          <w:sz w:val="15"/>
        </w:rPr>
        <w:t> </w:t>
      </w:r>
      <w:r>
        <w:rPr>
          <w:sz w:val="15"/>
        </w:rPr>
        <w:t>de</w:t>
      </w:r>
      <w:r>
        <w:rPr>
          <w:spacing w:val="5"/>
          <w:sz w:val="15"/>
        </w:rPr>
        <w:t> </w:t>
      </w:r>
      <w:r>
        <w:rPr>
          <w:sz w:val="15"/>
        </w:rPr>
        <w:t>esta</w:t>
      </w:r>
      <w:r>
        <w:rPr>
          <w:spacing w:val="4"/>
          <w:sz w:val="15"/>
        </w:rPr>
        <w:t> </w:t>
      </w:r>
      <w:r>
        <w:rPr>
          <w:sz w:val="15"/>
        </w:rPr>
        <w:t>fracción.</w:t>
      </w:r>
    </w:p>
    <w:p>
      <w:pPr>
        <w:pStyle w:val="BodyText"/>
        <w:spacing w:before="3"/>
      </w:pPr>
    </w:p>
    <w:p>
      <w:pPr>
        <w:pStyle w:val="ListParagraph"/>
        <w:numPr>
          <w:ilvl w:val="0"/>
          <w:numId w:val="111"/>
        </w:numPr>
        <w:tabs>
          <w:tab w:pos="739" w:val="left" w:leader="none"/>
        </w:tabs>
        <w:spacing w:line="247" w:lineRule="auto" w:before="0" w:after="0"/>
        <w:ind w:left="151" w:right="38" w:firstLine="397"/>
        <w:jc w:val="both"/>
        <w:rPr>
          <w:sz w:val="15"/>
        </w:rPr>
      </w:pPr>
      <w:r>
        <w:rPr>
          <w:sz w:val="15"/>
        </w:rPr>
        <w:t>Las edificaciones destinadas a proyectos de asociación público - privado incorporadas al servicio de agua potable, drenaje y alcantarillado y pluvial, se les podrá aplicar un descuento de  hasta 30%  sobre las cuotas establecidas para cada concepto en el numeral 1 de esta</w:t>
      </w:r>
      <w:r>
        <w:rPr>
          <w:spacing w:val="28"/>
          <w:sz w:val="15"/>
        </w:rPr>
        <w:t> </w:t>
      </w:r>
      <w:r>
        <w:rPr>
          <w:sz w:val="15"/>
        </w:rPr>
        <w:t>fracción.</w:t>
      </w:r>
    </w:p>
    <w:p>
      <w:pPr>
        <w:pStyle w:val="BodyText"/>
        <w:spacing w:before="3"/>
      </w:pPr>
    </w:p>
    <w:p>
      <w:pPr>
        <w:pStyle w:val="ListParagraph"/>
        <w:numPr>
          <w:ilvl w:val="0"/>
          <w:numId w:val="111"/>
        </w:numPr>
        <w:tabs>
          <w:tab w:pos="689" w:val="left" w:leader="none"/>
        </w:tabs>
        <w:spacing w:line="247" w:lineRule="auto" w:before="0" w:after="0"/>
        <w:ind w:left="151" w:right="38" w:firstLine="397"/>
        <w:jc w:val="both"/>
        <w:rPr>
          <w:sz w:val="15"/>
        </w:rPr>
      </w:pPr>
      <w:r>
        <w:rPr>
          <w:sz w:val="15"/>
        </w:rPr>
        <w:t>Los predios al interior de las localidades descritas en la fracción VI, inciso a) y b) del presente artículo, distintas al uso habitacional, al ser incorporadas al servicio de agua potable pagarán por  una  sola  vez por metro cuadrado; en predios de uso habitacional, cuando se realicen en el mismo predio, en pequeña escala, actividades propias del uso comercial con fines de supervivencia</w:t>
      </w:r>
      <w:r>
        <w:rPr>
          <w:spacing w:val="24"/>
          <w:sz w:val="15"/>
        </w:rPr>
        <w:t> </w:t>
      </w:r>
      <w:r>
        <w:rPr>
          <w:sz w:val="15"/>
        </w:rPr>
        <w:t>familiar:$85.00</w:t>
      </w:r>
    </w:p>
    <w:p>
      <w:pPr>
        <w:pStyle w:val="BodyText"/>
        <w:spacing w:before="2"/>
      </w:pPr>
    </w:p>
    <w:p>
      <w:pPr>
        <w:pStyle w:val="ListParagraph"/>
        <w:numPr>
          <w:ilvl w:val="0"/>
          <w:numId w:val="111"/>
        </w:numPr>
        <w:tabs>
          <w:tab w:pos="729" w:val="left" w:leader="none"/>
        </w:tabs>
        <w:spacing w:line="240" w:lineRule="auto" w:before="0" w:after="0"/>
        <w:ind w:left="728" w:right="0" w:hanging="181"/>
        <w:jc w:val="left"/>
        <w:rPr>
          <w:sz w:val="15"/>
        </w:rPr>
      </w:pPr>
      <w:r>
        <w:rPr/>
        <w:pict>
          <v:shape style="position:absolute;margin-left:99.050201pt;margin-top:6.379392pt;width:851.55pt;height:21.8pt;mso-position-horizontal-relative:page;mso-position-vertical-relative:paragraph;z-index:2516992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06"/>
                    <w:gridCol w:w="2277"/>
                    <w:gridCol w:w="3746"/>
                    <w:gridCol w:w="1300"/>
                  </w:tblGrid>
                  <w:tr>
                    <w:trPr>
                      <w:trHeight w:val="225" w:hRule="atLeast"/>
                    </w:trPr>
                    <w:tc>
                      <w:tcPr>
                        <w:tcW w:w="9706" w:type="dxa"/>
                      </w:tcPr>
                      <w:p>
                        <w:pPr>
                          <w:pStyle w:val="TableParagraph"/>
                          <w:spacing w:line="156" w:lineRule="exact" w:before="49"/>
                          <w:ind w:left="50"/>
                          <w:rPr>
                            <w:sz w:val="15"/>
                          </w:rPr>
                        </w:pPr>
                        <w:r>
                          <w:rPr>
                            <w:sz w:val="15"/>
                          </w:rPr>
                          <w:t>distintas al uso habitacional, al ser incorporadas al servicio de alcantarillado pagarán por una sola vez por</w:t>
                        </w:r>
                      </w:p>
                    </w:tc>
                    <w:tc>
                      <w:tcPr>
                        <w:tcW w:w="2277" w:type="dxa"/>
                      </w:tcPr>
                      <w:p>
                        <w:pPr>
                          <w:pStyle w:val="TableParagraph"/>
                          <w:spacing w:line="171" w:lineRule="exact"/>
                          <w:ind w:right="92"/>
                          <w:jc w:val="right"/>
                          <w:rPr>
                            <w:sz w:val="15"/>
                          </w:rPr>
                        </w:pPr>
                        <w:r>
                          <w:rPr>
                            <w:w w:val="102"/>
                            <w:sz w:val="15"/>
                          </w:rPr>
                          <w:t>3</w:t>
                        </w:r>
                      </w:p>
                    </w:tc>
                    <w:tc>
                      <w:tcPr>
                        <w:tcW w:w="3746" w:type="dxa"/>
                      </w:tcPr>
                      <w:p>
                        <w:pPr>
                          <w:pStyle w:val="TableParagraph"/>
                          <w:spacing w:line="171" w:lineRule="exact"/>
                          <w:ind w:left="96"/>
                          <w:rPr>
                            <w:sz w:val="15"/>
                          </w:rPr>
                        </w:pPr>
                        <w:r>
                          <w:rPr>
                            <w:sz w:val="15"/>
                          </w:rPr>
                          <w:t>CERRITO LA HERRADURA (SAN AGUSTIN)</w:t>
                        </w:r>
                      </w:p>
                    </w:tc>
                    <w:tc>
                      <w:tcPr>
                        <w:tcW w:w="1300" w:type="dxa"/>
                      </w:tcPr>
                      <w:p>
                        <w:pPr>
                          <w:pStyle w:val="TableParagraph"/>
                          <w:tabs>
                            <w:tab w:pos="342" w:val="left" w:leader="none"/>
                          </w:tabs>
                          <w:spacing w:line="164" w:lineRule="exact" w:before="41"/>
                          <w:ind w:right="46"/>
                          <w:jc w:val="right"/>
                          <w:rPr>
                            <w:sz w:val="15"/>
                          </w:rPr>
                        </w:pPr>
                        <w:r>
                          <w:rPr>
                            <w:sz w:val="15"/>
                          </w:rPr>
                          <w:t>$</w:t>
                          <w:tab/>
                          <w:t>85.00</w:t>
                        </w:r>
                      </w:p>
                    </w:tc>
                  </w:tr>
                  <w:tr>
                    <w:trPr>
                      <w:trHeight w:val="209" w:hRule="atLeast"/>
                    </w:trPr>
                    <w:tc>
                      <w:tcPr>
                        <w:tcW w:w="9706" w:type="dxa"/>
                      </w:tcPr>
                      <w:p>
                        <w:pPr>
                          <w:pStyle w:val="TableParagraph"/>
                          <w:spacing w:before="1"/>
                          <w:ind w:left="50"/>
                          <w:rPr>
                            <w:sz w:val="15"/>
                          </w:rPr>
                        </w:pPr>
                        <w:r>
                          <w:rPr>
                            <w:sz w:val="15"/>
                          </w:rPr>
                          <w:t>metro cuadrado: en predios de uso habitacional, cuando se realicen en el mismo predio, en pequeña escala,</w:t>
                        </w:r>
                      </w:p>
                    </w:tc>
                    <w:tc>
                      <w:tcPr>
                        <w:tcW w:w="2277" w:type="dxa"/>
                      </w:tcPr>
                      <w:p>
                        <w:pPr>
                          <w:pStyle w:val="TableParagraph"/>
                          <w:spacing w:before="14"/>
                          <w:ind w:right="92"/>
                          <w:jc w:val="right"/>
                          <w:rPr>
                            <w:sz w:val="15"/>
                          </w:rPr>
                        </w:pPr>
                        <w:r>
                          <w:rPr>
                            <w:w w:val="102"/>
                            <w:sz w:val="15"/>
                          </w:rPr>
                          <w:t>4</w:t>
                        </w:r>
                      </w:p>
                    </w:tc>
                    <w:tc>
                      <w:tcPr>
                        <w:tcW w:w="3746" w:type="dxa"/>
                      </w:tcPr>
                      <w:p>
                        <w:pPr>
                          <w:pStyle w:val="TableParagraph"/>
                          <w:spacing w:before="14"/>
                          <w:ind w:left="96"/>
                          <w:rPr>
                            <w:sz w:val="15"/>
                          </w:rPr>
                        </w:pPr>
                        <w:r>
                          <w:rPr>
                            <w:sz w:val="15"/>
                          </w:rPr>
                          <w:t>EJIDO BUENA VISTA</w:t>
                        </w:r>
                      </w:p>
                    </w:tc>
                    <w:tc>
                      <w:tcPr>
                        <w:tcW w:w="1300" w:type="dxa"/>
                      </w:tcPr>
                      <w:p>
                        <w:pPr>
                          <w:pStyle w:val="TableParagraph"/>
                          <w:tabs>
                            <w:tab w:pos="342" w:val="left" w:leader="none"/>
                          </w:tabs>
                          <w:spacing w:line="153" w:lineRule="exact" w:before="36"/>
                          <w:ind w:right="46"/>
                          <w:jc w:val="right"/>
                          <w:rPr>
                            <w:sz w:val="15"/>
                          </w:rPr>
                        </w:pPr>
                        <w:r>
                          <w:rPr>
                            <w:sz w:val="15"/>
                          </w:rPr>
                          <w:t>$</w:t>
                          <w:tab/>
                          <w:t>70.00</w:t>
                        </w:r>
                      </w:p>
                    </w:tc>
                  </w:tr>
                </w:tbl>
                <w:p>
                  <w:pPr>
                    <w:pStyle w:val="BodyText"/>
                  </w:pPr>
                </w:p>
              </w:txbxContent>
            </v:textbox>
            <w10:wrap type="none"/>
          </v:shape>
        </w:pict>
      </w:r>
      <w:r>
        <w:rPr>
          <w:sz w:val="15"/>
        </w:rPr>
        <w:t>Los</w:t>
      </w:r>
      <w:r>
        <w:rPr>
          <w:spacing w:val="8"/>
          <w:sz w:val="15"/>
        </w:rPr>
        <w:t> </w:t>
      </w:r>
      <w:r>
        <w:rPr>
          <w:sz w:val="15"/>
        </w:rPr>
        <w:t>predios</w:t>
      </w:r>
      <w:r>
        <w:rPr>
          <w:spacing w:val="9"/>
          <w:sz w:val="15"/>
        </w:rPr>
        <w:t> </w:t>
      </w:r>
      <w:r>
        <w:rPr>
          <w:sz w:val="15"/>
        </w:rPr>
        <w:t>al</w:t>
      </w:r>
      <w:r>
        <w:rPr>
          <w:spacing w:val="8"/>
          <w:sz w:val="15"/>
        </w:rPr>
        <w:t> </w:t>
      </w:r>
      <w:r>
        <w:rPr>
          <w:sz w:val="15"/>
        </w:rPr>
        <w:t>interior</w:t>
      </w:r>
      <w:r>
        <w:rPr>
          <w:spacing w:val="8"/>
          <w:sz w:val="15"/>
        </w:rPr>
        <w:t> </w:t>
      </w:r>
      <w:r>
        <w:rPr>
          <w:sz w:val="15"/>
        </w:rPr>
        <w:t>de</w:t>
      </w:r>
      <w:r>
        <w:rPr>
          <w:spacing w:val="8"/>
          <w:sz w:val="15"/>
        </w:rPr>
        <w:t> </w:t>
      </w:r>
      <w:r>
        <w:rPr>
          <w:sz w:val="15"/>
        </w:rPr>
        <w:t>las</w:t>
      </w:r>
      <w:r>
        <w:rPr>
          <w:spacing w:val="9"/>
          <w:sz w:val="15"/>
        </w:rPr>
        <w:t> </w:t>
      </w:r>
      <w:r>
        <w:rPr>
          <w:sz w:val="15"/>
        </w:rPr>
        <w:t>localidades</w:t>
      </w:r>
      <w:r>
        <w:rPr>
          <w:spacing w:val="8"/>
          <w:sz w:val="15"/>
        </w:rPr>
        <w:t> </w:t>
      </w:r>
      <w:r>
        <w:rPr>
          <w:sz w:val="15"/>
        </w:rPr>
        <w:t>descritas</w:t>
      </w:r>
      <w:r>
        <w:rPr>
          <w:spacing w:val="9"/>
          <w:sz w:val="15"/>
        </w:rPr>
        <w:t> </w:t>
      </w:r>
      <w:r>
        <w:rPr>
          <w:sz w:val="15"/>
        </w:rPr>
        <w:t>en</w:t>
      </w:r>
      <w:r>
        <w:rPr>
          <w:spacing w:val="8"/>
          <w:sz w:val="15"/>
        </w:rPr>
        <w:t> </w:t>
      </w:r>
      <w:r>
        <w:rPr>
          <w:sz w:val="15"/>
        </w:rPr>
        <w:t>la</w:t>
      </w:r>
      <w:r>
        <w:rPr>
          <w:spacing w:val="9"/>
          <w:sz w:val="15"/>
        </w:rPr>
        <w:t> </w:t>
      </w:r>
      <w:r>
        <w:rPr>
          <w:sz w:val="15"/>
        </w:rPr>
        <w:t>fracción</w:t>
      </w:r>
      <w:r>
        <w:rPr>
          <w:spacing w:val="9"/>
          <w:sz w:val="15"/>
        </w:rPr>
        <w:t> </w:t>
      </w:r>
      <w:r>
        <w:rPr>
          <w:sz w:val="15"/>
        </w:rPr>
        <w:t>VI,</w:t>
      </w:r>
      <w:r>
        <w:rPr>
          <w:spacing w:val="8"/>
          <w:sz w:val="15"/>
        </w:rPr>
        <w:t> </w:t>
      </w:r>
      <w:r>
        <w:rPr>
          <w:sz w:val="15"/>
        </w:rPr>
        <w:t>inciso</w:t>
      </w:r>
      <w:r>
        <w:rPr>
          <w:spacing w:val="9"/>
          <w:sz w:val="15"/>
        </w:rPr>
        <w:t> </w:t>
      </w:r>
      <w:r>
        <w:rPr>
          <w:sz w:val="15"/>
        </w:rPr>
        <w:t>a)</w:t>
      </w:r>
      <w:r>
        <w:rPr>
          <w:spacing w:val="8"/>
          <w:sz w:val="15"/>
        </w:rPr>
        <w:t> </w:t>
      </w:r>
      <w:r>
        <w:rPr>
          <w:sz w:val="15"/>
        </w:rPr>
        <w:t>y</w:t>
      </w:r>
      <w:r>
        <w:rPr>
          <w:spacing w:val="9"/>
          <w:sz w:val="15"/>
        </w:rPr>
        <w:t> </w:t>
      </w:r>
      <w:r>
        <w:rPr>
          <w:sz w:val="15"/>
        </w:rPr>
        <w:t>b)</w:t>
      </w:r>
      <w:r>
        <w:rPr>
          <w:spacing w:val="8"/>
          <w:sz w:val="15"/>
        </w:rPr>
        <w:t> </w:t>
      </w:r>
      <w:r>
        <w:rPr>
          <w:sz w:val="15"/>
        </w:rPr>
        <w:t>del</w:t>
      </w:r>
      <w:r>
        <w:rPr>
          <w:spacing w:val="9"/>
          <w:sz w:val="15"/>
        </w:rPr>
        <w:t> </w:t>
      </w:r>
      <w:r>
        <w:rPr>
          <w:sz w:val="15"/>
        </w:rPr>
        <w:t>presente</w:t>
      </w:r>
      <w:r>
        <w:rPr>
          <w:spacing w:val="7"/>
          <w:sz w:val="15"/>
        </w:rPr>
        <w:t> </w:t>
      </w:r>
      <w:r>
        <w:rPr>
          <w:sz w:val="15"/>
        </w:rPr>
        <w:t>artículo,</w:t>
      </w:r>
    </w:p>
    <w:p>
      <w:pPr>
        <w:pStyle w:val="ListParagraph"/>
        <w:numPr>
          <w:ilvl w:val="0"/>
          <w:numId w:val="113"/>
        </w:numPr>
        <w:tabs>
          <w:tab w:pos="1351" w:val="left" w:leader="none"/>
          <w:tab w:pos="1352" w:val="left" w:leader="none"/>
          <w:tab w:pos="5088" w:val="left" w:leader="none"/>
        </w:tabs>
        <w:spacing w:line="240" w:lineRule="auto" w:before="120" w:after="0"/>
        <w:ind w:left="1351" w:right="0" w:hanging="717"/>
        <w:jc w:val="left"/>
        <w:rPr>
          <w:sz w:val="15"/>
        </w:rPr>
      </w:pPr>
      <w:r>
        <w:rPr>
          <w:w w:val="102"/>
          <w:sz w:val="15"/>
        </w:rPr>
        <w:br w:type="column"/>
      </w:r>
      <w:r>
        <w:rPr>
          <w:sz w:val="15"/>
        </w:rPr>
        <w:t>LA</w:t>
      </w:r>
      <w:r>
        <w:rPr>
          <w:spacing w:val="26"/>
          <w:sz w:val="15"/>
        </w:rPr>
        <w:t> </w:t>
      </w:r>
      <w:r>
        <w:rPr>
          <w:sz w:val="15"/>
        </w:rPr>
        <w:t>COLADERA</w:t>
        <w:tab/>
      </w:r>
      <w:r>
        <w:rPr>
          <w:position w:val="-1"/>
          <w:sz w:val="15"/>
        </w:rPr>
        <w:t>$63.00</w:t>
      </w:r>
    </w:p>
    <w:p>
      <w:pPr>
        <w:pStyle w:val="ListParagraph"/>
        <w:numPr>
          <w:ilvl w:val="0"/>
          <w:numId w:val="113"/>
        </w:numPr>
        <w:tabs>
          <w:tab w:pos="1351" w:val="left" w:leader="none"/>
          <w:tab w:pos="1352" w:val="left" w:leader="none"/>
          <w:tab w:pos="5088" w:val="left" w:leader="none"/>
        </w:tabs>
        <w:spacing w:line="240" w:lineRule="auto" w:before="28" w:after="0"/>
        <w:ind w:left="1351" w:right="0" w:hanging="717"/>
        <w:jc w:val="left"/>
        <w:rPr>
          <w:sz w:val="15"/>
        </w:rPr>
      </w:pPr>
      <w:r>
        <w:rPr>
          <w:sz w:val="15"/>
        </w:rPr>
        <w:t>SAN  JOSE</w:t>
      </w:r>
      <w:r>
        <w:rPr>
          <w:spacing w:val="-15"/>
          <w:sz w:val="15"/>
        </w:rPr>
        <w:t> </w:t>
      </w:r>
      <w:r>
        <w:rPr>
          <w:sz w:val="15"/>
        </w:rPr>
        <w:t>DEL</w:t>
      </w:r>
      <w:r>
        <w:rPr>
          <w:spacing w:val="13"/>
          <w:sz w:val="15"/>
        </w:rPr>
        <w:t> </w:t>
      </w:r>
      <w:r>
        <w:rPr>
          <w:sz w:val="15"/>
        </w:rPr>
        <w:t>VALLE</w:t>
        <w:tab/>
      </w:r>
      <w:r>
        <w:rPr>
          <w:position w:val="-1"/>
          <w:sz w:val="15"/>
        </w:rPr>
        <w:t>$62.00</w:t>
      </w:r>
    </w:p>
    <w:p>
      <w:pPr>
        <w:pStyle w:val="ListParagraph"/>
        <w:numPr>
          <w:ilvl w:val="0"/>
          <w:numId w:val="113"/>
        </w:numPr>
        <w:tabs>
          <w:tab w:pos="1351" w:val="left" w:leader="none"/>
          <w:tab w:pos="1352" w:val="left" w:leader="none"/>
          <w:tab w:pos="5088" w:val="left" w:leader="none"/>
        </w:tabs>
        <w:spacing w:line="240" w:lineRule="auto" w:before="29" w:after="0"/>
        <w:ind w:left="1351" w:right="0" w:hanging="717"/>
        <w:jc w:val="left"/>
        <w:rPr>
          <w:sz w:val="15"/>
        </w:rPr>
      </w:pPr>
      <w:r>
        <w:rPr>
          <w:sz w:val="15"/>
        </w:rPr>
        <w:t>SANTA</w:t>
      </w:r>
      <w:r>
        <w:rPr>
          <w:spacing w:val="26"/>
          <w:sz w:val="15"/>
        </w:rPr>
        <w:t> </w:t>
      </w:r>
      <w:r>
        <w:rPr>
          <w:sz w:val="15"/>
        </w:rPr>
        <w:t>ISABEL</w:t>
        <w:tab/>
      </w:r>
      <w:r>
        <w:rPr>
          <w:position w:val="-1"/>
          <w:sz w:val="15"/>
        </w:rPr>
        <w:t>$57.00</w:t>
      </w:r>
    </w:p>
    <w:p>
      <w:pPr>
        <w:pStyle w:val="ListParagraph"/>
        <w:numPr>
          <w:ilvl w:val="0"/>
          <w:numId w:val="113"/>
        </w:numPr>
        <w:tabs>
          <w:tab w:pos="1351" w:val="left" w:leader="none"/>
          <w:tab w:pos="1352" w:val="left" w:leader="none"/>
          <w:tab w:pos="5088" w:val="left" w:leader="none"/>
        </w:tabs>
        <w:spacing w:line="240" w:lineRule="auto" w:before="27" w:after="0"/>
        <w:ind w:left="1351" w:right="0" w:hanging="717"/>
        <w:jc w:val="left"/>
        <w:rPr>
          <w:sz w:val="15"/>
        </w:rPr>
      </w:pPr>
      <w:r>
        <w:rPr>
          <w:sz w:val="15"/>
        </w:rPr>
        <w:t>UNION</w:t>
      </w:r>
      <w:r>
        <w:rPr>
          <w:spacing w:val="18"/>
          <w:sz w:val="15"/>
        </w:rPr>
        <w:t> </w:t>
      </w:r>
      <w:r>
        <w:rPr>
          <w:sz w:val="15"/>
        </w:rPr>
        <w:t>DEL</w:t>
      </w:r>
      <w:r>
        <w:rPr>
          <w:spacing w:val="19"/>
          <w:sz w:val="15"/>
        </w:rPr>
        <w:t> </w:t>
      </w:r>
      <w:r>
        <w:rPr>
          <w:sz w:val="15"/>
        </w:rPr>
        <w:t>CUATRO</w:t>
        <w:tab/>
      </w:r>
      <w:r>
        <w:rPr>
          <w:position w:val="-1"/>
          <w:sz w:val="15"/>
        </w:rPr>
        <w:t>$51.00</w:t>
      </w:r>
    </w:p>
    <w:p>
      <w:pPr>
        <w:pStyle w:val="BodyText"/>
        <w:spacing w:before="1"/>
        <w:rPr>
          <w:sz w:val="16"/>
        </w:rPr>
      </w:pPr>
    </w:p>
    <w:p>
      <w:pPr>
        <w:pStyle w:val="Heading4"/>
        <w:ind w:left="548" w:right="0"/>
        <w:jc w:val="left"/>
      </w:pPr>
      <w:r>
        <w:rPr/>
        <w:t>ASENTAMIENTO URBANO</w:t>
      </w:r>
    </w:p>
    <w:p>
      <w:pPr>
        <w:pStyle w:val="BodyText"/>
        <w:spacing w:before="7"/>
        <w:rPr>
          <w:b/>
        </w:rPr>
      </w:pPr>
    </w:p>
    <w:p>
      <w:pPr>
        <w:pStyle w:val="BodyText"/>
        <w:spacing w:line="247" w:lineRule="auto" w:before="1"/>
        <w:ind w:left="151" w:right="748" w:firstLine="397"/>
      </w:pPr>
      <w:r>
        <w:rPr/>
        <w:t>b) La cuota fija mínima mensual en cada una de los asentamientos Urbanos del Municipio será  la siguiente:</w:t>
      </w:r>
    </w:p>
    <w:p>
      <w:pPr>
        <w:pStyle w:val="BodyText"/>
        <w:rPr>
          <w:sz w:val="16"/>
        </w:rPr>
      </w:pPr>
    </w:p>
    <w:p>
      <w:pPr>
        <w:pStyle w:val="BodyText"/>
        <w:rPr>
          <w:sz w:val="16"/>
        </w:rPr>
      </w:pPr>
    </w:p>
    <w:p>
      <w:pPr>
        <w:pStyle w:val="BodyText"/>
        <w:spacing w:before="2"/>
        <w:rPr>
          <w:sz w:val="14"/>
        </w:rPr>
      </w:pPr>
    </w:p>
    <w:p>
      <w:pPr>
        <w:pStyle w:val="Heading4"/>
        <w:tabs>
          <w:tab w:pos="4739" w:val="left" w:leader="none"/>
        </w:tabs>
        <w:spacing w:before="1"/>
        <w:ind w:left="201" w:right="0"/>
        <w:jc w:val="left"/>
      </w:pPr>
      <w:r>
        <w:rPr/>
        <w:t>No.  </w:t>
      </w:r>
      <w:r>
        <w:rPr>
          <w:spacing w:val="4"/>
        </w:rPr>
        <w:t> </w:t>
      </w:r>
      <w:r>
        <w:rPr/>
        <w:t>ASENTAMIENTO</w:t>
        <w:tab/>
        <w:t>TARIFA</w:t>
      </w:r>
    </w:p>
    <w:p>
      <w:pPr>
        <w:pStyle w:val="ListParagraph"/>
        <w:numPr>
          <w:ilvl w:val="1"/>
          <w:numId w:val="109"/>
        </w:numPr>
        <w:tabs>
          <w:tab w:pos="559" w:val="left" w:leader="none"/>
          <w:tab w:pos="4731" w:val="left" w:leader="none"/>
          <w:tab w:pos="5074" w:val="left" w:leader="none"/>
        </w:tabs>
        <w:spacing w:line="240" w:lineRule="auto" w:before="24" w:after="0"/>
        <w:ind w:left="558" w:right="0" w:hanging="277"/>
        <w:jc w:val="left"/>
        <w:rPr>
          <w:sz w:val="15"/>
        </w:rPr>
      </w:pPr>
      <w:r>
        <w:rPr>
          <w:sz w:val="15"/>
        </w:rPr>
        <w:t>ACATITLAN</w:t>
      </w:r>
      <w:r>
        <w:rPr>
          <w:spacing w:val="27"/>
          <w:sz w:val="15"/>
        </w:rPr>
        <w:t> </w:t>
      </w:r>
      <w:r>
        <w:rPr>
          <w:sz w:val="15"/>
        </w:rPr>
        <w:t>(LOS</w:t>
      </w:r>
      <w:r>
        <w:rPr>
          <w:spacing w:val="27"/>
          <w:sz w:val="15"/>
        </w:rPr>
        <w:t> </w:t>
      </w:r>
      <w:r>
        <w:rPr>
          <w:sz w:val="15"/>
        </w:rPr>
        <w:t>RANCHITOS)</w:t>
        <w:tab/>
      </w:r>
      <w:r>
        <w:rPr>
          <w:position w:val="-1"/>
          <w:sz w:val="15"/>
        </w:rPr>
        <w:t>$</w:t>
        <w:tab/>
        <w:t>78.00</w:t>
      </w:r>
    </w:p>
    <w:p>
      <w:pPr>
        <w:pStyle w:val="ListParagraph"/>
        <w:numPr>
          <w:ilvl w:val="1"/>
          <w:numId w:val="109"/>
        </w:numPr>
        <w:tabs>
          <w:tab w:pos="559" w:val="left" w:leader="none"/>
          <w:tab w:pos="4731" w:val="left" w:leader="none"/>
          <w:tab w:pos="5074" w:val="left" w:leader="none"/>
        </w:tabs>
        <w:spacing w:line="240" w:lineRule="auto" w:before="29" w:after="0"/>
        <w:ind w:left="558" w:right="0" w:hanging="277"/>
        <w:jc w:val="left"/>
        <w:rPr>
          <w:sz w:val="15"/>
        </w:rPr>
      </w:pPr>
      <w:r>
        <w:rPr>
          <w:sz w:val="15"/>
        </w:rPr>
        <w:t>CERRITO  COLORADO</w:t>
      </w:r>
      <w:r>
        <w:rPr>
          <w:spacing w:val="-6"/>
          <w:sz w:val="15"/>
        </w:rPr>
        <w:t> </w:t>
      </w:r>
      <w:r>
        <w:rPr>
          <w:sz w:val="15"/>
        </w:rPr>
        <w:t>(SAN</w:t>
      </w:r>
      <w:r>
        <w:rPr>
          <w:spacing w:val="19"/>
          <w:sz w:val="15"/>
        </w:rPr>
        <w:t> </w:t>
      </w:r>
      <w:r>
        <w:rPr>
          <w:sz w:val="15"/>
        </w:rPr>
        <w:t>AGUSTIN)</w:t>
        <w:tab/>
      </w:r>
      <w:r>
        <w:rPr>
          <w:position w:val="-1"/>
          <w:sz w:val="15"/>
        </w:rPr>
        <w:t>$</w:t>
        <w:tab/>
        <w:t>85.00</w:t>
      </w:r>
    </w:p>
    <w:p>
      <w:pPr>
        <w:spacing w:after="0" w:line="240" w:lineRule="auto"/>
        <w:jc w:val="left"/>
        <w:rPr>
          <w:sz w:val="15"/>
        </w:rPr>
        <w:sectPr>
          <w:type w:val="continuous"/>
          <w:pgSz w:w="23250" w:h="15310" w:orient="landscape"/>
          <w:pgMar w:top="0" w:bottom="0" w:left="1880" w:right="1520"/>
          <w:cols w:num="2" w:equalWidth="0">
            <w:col w:w="7751" w:space="3871"/>
            <w:col w:w="8228"/>
          </w:cols>
        </w:sectPr>
      </w:pPr>
    </w:p>
    <w:p>
      <w:pPr>
        <w:pStyle w:val="BodyText"/>
        <w:spacing w:before="7"/>
        <w:rPr>
          <w:sz w:val="22"/>
        </w:rPr>
      </w:pPr>
    </w:p>
    <w:p>
      <w:pPr>
        <w:spacing w:after="0"/>
        <w:rPr>
          <w:sz w:val="22"/>
        </w:rPr>
        <w:sectPr>
          <w:type w:val="continuous"/>
          <w:pgSz w:w="23250" w:h="15310" w:orient="landscape"/>
          <w:pgMar w:top="0" w:bottom="0" w:left="1880" w:right="1520"/>
        </w:sectPr>
      </w:pPr>
    </w:p>
    <w:p>
      <w:pPr>
        <w:pStyle w:val="BodyText"/>
        <w:spacing w:before="98"/>
        <w:ind w:left="151"/>
      </w:pPr>
      <w:r>
        <w:rPr/>
        <w:t>actividades propias del uso comercial con fines de supervivencia familiar:$17.00</w:t>
      </w:r>
    </w:p>
    <w:p>
      <w:pPr>
        <w:pStyle w:val="BodyText"/>
        <w:spacing w:before="10"/>
      </w:pPr>
    </w:p>
    <w:p>
      <w:pPr>
        <w:pStyle w:val="BodyText"/>
        <w:ind w:left="548"/>
      </w:pPr>
      <w:r>
        <w:rPr/>
        <w:t>VI. Cuotas determinadas para Poblaciones, Asentamientos Urbanos y Fraccionamientos:</w:t>
      </w:r>
    </w:p>
    <w:p>
      <w:pPr>
        <w:pStyle w:val="BodyText"/>
        <w:spacing w:before="9"/>
      </w:pPr>
    </w:p>
    <w:p>
      <w:pPr>
        <w:pStyle w:val="ListParagraph"/>
        <w:numPr>
          <w:ilvl w:val="0"/>
          <w:numId w:val="114"/>
        </w:numPr>
        <w:tabs>
          <w:tab w:pos="729" w:val="left" w:leader="none"/>
        </w:tabs>
        <w:spacing w:line="240" w:lineRule="auto" w:before="1" w:after="0"/>
        <w:ind w:left="728" w:right="0" w:hanging="181"/>
        <w:jc w:val="left"/>
        <w:rPr>
          <w:sz w:val="15"/>
        </w:rPr>
      </w:pPr>
      <w:r>
        <w:rPr>
          <w:sz w:val="15"/>
        </w:rPr>
        <w:t>La</w:t>
      </w:r>
      <w:r>
        <w:rPr>
          <w:spacing w:val="8"/>
          <w:sz w:val="15"/>
        </w:rPr>
        <w:t> </w:t>
      </w:r>
      <w:r>
        <w:rPr>
          <w:sz w:val="15"/>
        </w:rPr>
        <w:t>cuota</w:t>
      </w:r>
      <w:r>
        <w:rPr>
          <w:spacing w:val="9"/>
          <w:sz w:val="15"/>
        </w:rPr>
        <w:t> </w:t>
      </w:r>
      <w:r>
        <w:rPr>
          <w:sz w:val="15"/>
        </w:rPr>
        <w:t>fija</w:t>
      </w:r>
      <w:r>
        <w:rPr>
          <w:spacing w:val="9"/>
          <w:sz w:val="15"/>
        </w:rPr>
        <w:t> </w:t>
      </w:r>
      <w:r>
        <w:rPr>
          <w:sz w:val="15"/>
        </w:rPr>
        <w:t>mínima</w:t>
      </w:r>
      <w:r>
        <w:rPr>
          <w:spacing w:val="9"/>
          <w:sz w:val="15"/>
        </w:rPr>
        <w:t> </w:t>
      </w:r>
      <w:r>
        <w:rPr>
          <w:sz w:val="15"/>
        </w:rPr>
        <w:t>mensual</w:t>
      </w:r>
      <w:r>
        <w:rPr>
          <w:spacing w:val="9"/>
          <w:sz w:val="15"/>
        </w:rPr>
        <w:t> </w:t>
      </w:r>
      <w:r>
        <w:rPr>
          <w:sz w:val="15"/>
        </w:rPr>
        <w:t>en</w:t>
      </w:r>
      <w:r>
        <w:rPr>
          <w:spacing w:val="9"/>
          <w:sz w:val="15"/>
        </w:rPr>
        <w:t> </w:t>
      </w:r>
      <w:r>
        <w:rPr>
          <w:sz w:val="15"/>
        </w:rPr>
        <w:t>cada</w:t>
      </w:r>
      <w:r>
        <w:rPr>
          <w:spacing w:val="9"/>
          <w:sz w:val="15"/>
        </w:rPr>
        <w:t> </w:t>
      </w:r>
      <w:r>
        <w:rPr>
          <w:sz w:val="15"/>
        </w:rPr>
        <w:t>una</w:t>
      </w:r>
      <w:r>
        <w:rPr>
          <w:spacing w:val="9"/>
          <w:sz w:val="15"/>
        </w:rPr>
        <w:t> </w:t>
      </w:r>
      <w:r>
        <w:rPr>
          <w:sz w:val="15"/>
        </w:rPr>
        <w:t>de</w:t>
      </w:r>
      <w:r>
        <w:rPr>
          <w:spacing w:val="8"/>
          <w:sz w:val="15"/>
        </w:rPr>
        <w:t> </w:t>
      </w:r>
      <w:r>
        <w:rPr>
          <w:sz w:val="15"/>
        </w:rPr>
        <w:t>las</w:t>
      </w:r>
      <w:r>
        <w:rPr>
          <w:spacing w:val="9"/>
          <w:sz w:val="15"/>
        </w:rPr>
        <w:t> </w:t>
      </w:r>
      <w:r>
        <w:rPr>
          <w:sz w:val="15"/>
        </w:rPr>
        <w:t>Poblaciones</w:t>
      </w:r>
      <w:r>
        <w:rPr>
          <w:spacing w:val="9"/>
          <w:sz w:val="15"/>
        </w:rPr>
        <w:t> </w:t>
      </w:r>
      <w:r>
        <w:rPr>
          <w:sz w:val="15"/>
        </w:rPr>
        <w:t>del</w:t>
      </w:r>
      <w:r>
        <w:rPr>
          <w:spacing w:val="9"/>
          <w:sz w:val="15"/>
        </w:rPr>
        <w:t> </w:t>
      </w:r>
      <w:r>
        <w:rPr>
          <w:sz w:val="15"/>
        </w:rPr>
        <w:t>de</w:t>
      </w:r>
      <w:r>
        <w:rPr>
          <w:spacing w:val="8"/>
          <w:sz w:val="15"/>
        </w:rPr>
        <w:t> </w:t>
      </w:r>
      <w:r>
        <w:rPr>
          <w:sz w:val="15"/>
        </w:rPr>
        <w:t>Municipio</w:t>
      </w:r>
      <w:r>
        <w:rPr>
          <w:spacing w:val="9"/>
          <w:sz w:val="15"/>
        </w:rPr>
        <w:t> </w:t>
      </w:r>
      <w:r>
        <w:rPr>
          <w:sz w:val="15"/>
        </w:rPr>
        <w:t>será</w:t>
      </w:r>
      <w:r>
        <w:rPr>
          <w:spacing w:val="9"/>
          <w:sz w:val="15"/>
        </w:rPr>
        <w:t> </w:t>
      </w:r>
      <w:r>
        <w:rPr>
          <w:sz w:val="15"/>
        </w:rPr>
        <w:t>la</w:t>
      </w:r>
      <w:r>
        <w:rPr>
          <w:spacing w:val="9"/>
          <w:sz w:val="15"/>
        </w:rPr>
        <w:t> </w:t>
      </w:r>
      <w:r>
        <w:rPr>
          <w:sz w:val="15"/>
        </w:rPr>
        <w:t>siguiente:</w:t>
      </w:r>
    </w:p>
    <w:p>
      <w:pPr>
        <w:pStyle w:val="BodyText"/>
        <w:spacing w:before="8"/>
        <w:rPr>
          <w:sz w:val="17"/>
        </w:rPr>
      </w:pPr>
    </w:p>
    <w:p>
      <w:pPr>
        <w:pStyle w:val="Heading4"/>
        <w:tabs>
          <w:tab w:pos="1351" w:val="left" w:leader="none"/>
          <w:tab w:pos="4980" w:val="left" w:leader="none"/>
        </w:tabs>
        <w:ind w:left="597" w:right="0"/>
        <w:jc w:val="left"/>
      </w:pPr>
      <w:r>
        <w:rPr/>
        <w:t>No.</w:t>
        <w:tab/>
        <w:t>POBLACION</w:t>
        <w:tab/>
        <w:t>TARIFA</w:t>
      </w:r>
    </w:p>
    <w:p>
      <w:pPr>
        <w:pStyle w:val="ListParagraph"/>
        <w:numPr>
          <w:ilvl w:val="1"/>
          <w:numId w:val="114"/>
        </w:numPr>
        <w:tabs>
          <w:tab w:pos="1351" w:val="left" w:leader="none"/>
          <w:tab w:pos="1352" w:val="left" w:leader="none"/>
          <w:tab w:pos="5088" w:val="left" w:leader="none"/>
        </w:tabs>
        <w:spacing w:line="240" w:lineRule="auto" w:before="47" w:after="0"/>
        <w:ind w:left="1351" w:right="0" w:hanging="674"/>
        <w:jc w:val="left"/>
        <w:rPr>
          <w:sz w:val="15"/>
        </w:rPr>
      </w:pPr>
      <w:r>
        <w:rPr>
          <w:sz w:val="15"/>
        </w:rPr>
        <w:t>BUENAVISTA</w:t>
        <w:tab/>
      </w:r>
      <w:r>
        <w:rPr>
          <w:position w:val="-1"/>
          <w:sz w:val="15"/>
        </w:rPr>
        <w:t>$70.00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674"/>
        <w:jc w:val="left"/>
        <w:rPr>
          <w:sz w:val="15"/>
        </w:rPr>
      </w:pPr>
      <w:r>
        <w:rPr>
          <w:sz w:val="15"/>
        </w:rPr>
        <w:t>CAJITITLAN</w:t>
        <w:tab/>
      </w:r>
      <w:r>
        <w:rPr>
          <w:position w:val="-1"/>
          <w:sz w:val="15"/>
        </w:rPr>
        <w:t>$69.00</w:t>
      </w:r>
    </w:p>
    <w:p>
      <w:pPr>
        <w:pStyle w:val="ListParagraph"/>
        <w:numPr>
          <w:ilvl w:val="1"/>
          <w:numId w:val="114"/>
        </w:numPr>
        <w:tabs>
          <w:tab w:pos="1350" w:val="left" w:leader="none"/>
          <w:tab w:pos="1352" w:val="left" w:leader="none"/>
          <w:tab w:pos="5088" w:val="left" w:leader="none"/>
        </w:tabs>
        <w:spacing w:line="240" w:lineRule="auto" w:before="29" w:after="0"/>
        <w:ind w:left="1351" w:right="0" w:hanging="674"/>
        <w:jc w:val="left"/>
        <w:rPr>
          <w:sz w:val="15"/>
        </w:rPr>
      </w:pPr>
      <w:r>
        <w:rPr>
          <w:sz w:val="15"/>
        </w:rPr>
        <w:t>COFRADIA DE</w:t>
      </w:r>
      <w:r>
        <w:rPr>
          <w:spacing w:val="18"/>
          <w:sz w:val="15"/>
        </w:rPr>
        <w:t> </w:t>
      </w:r>
      <w:r>
        <w:rPr>
          <w:sz w:val="15"/>
        </w:rPr>
        <w:t>LA</w:t>
      </w:r>
      <w:r>
        <w:rPr>
          <w:spacing w:val="9"/>
          <w:sz w:val="15"/>
        </w:rPr>
        <w:t> </w:t>
      </w:r>
      <w:r>
        <w:rPr>
          <w:sz w:val="15"/>
        </w:rPr>
        <w:t>LUZ</w:t>
        <w:tab/>
      </w:r>
      <w:r>
        <w:rPr>
          <w:position w:val="-1"/>
          <w:sz w:val="15"/>
        </w:rPr>
        <w:t>$51.00</w:t>
      </w:r>
    </w:p>
    <w:p>
      <w:pPr>
        <w:pStyle w:val="ListParagraph"/>
        <w:numPr>
          <w:ilvl w:val="1"/>
          <w:numId w:val="114"/>
        </w:numPr>
        <w:tabs>
          <w:tab w:pos="1351" w:val="left" w:leader="none"/>
          <w:tab w:pos="1352" w:val="left" w:leader="none"/>
          <w:tab w:pos="5088" w:val="left" w:leader="none"/>
        </w:tabs>
        <w:spacing w:line="240" w:lineRule="auto" w:before="27" w:after="0"/>
        <w:ind w:left="1351" w:right="0" w:hanging="674"/>
        <w:jc w:val="left"/>
        <w:rPr>
          <w:sz w:val="15"/>
        </w:rPr>
      </w:pPr>
      <w:r>
        <w:rPr>
          <w:sz w:val="15"/>
        </w:rPr>
        <w:t>CONCEPCION</w:t>
      </w:r>
      <w:r>
        <w:rPr>
          <w:spacing w:val="23"/>
          <w:sz w:val="15"/>
        </w:rPr>
        <w:t> </w:t>
      </w:r>
      <w:r>
        <w:rPr>
          <w:sz w:val="15"/>
        </w:rPr>
        <w:t>DEL</w:t>
      </w:r>
      <w:r>
        <w:rPr>
          <w:spacing w:val="23"/>
          <w:sz w:val="15"/>
        </w:rPr>
        <w:t> </w:t>
      </w:r>
      <w:r>
        <w:rPr>
          <w:sz w:val="15"/>
        </w:rPr>
        <w:t>VALLE</w:t>
        <w:tab/>
      </w:r>
      <w:r>
        <w:rPr>
          <w:position w:val="-1"/>
          <w:sz w:val="15"/>
        </w:rPr>
        <w:t>$62.00</w:t>
      </w:r>
    </w:p>
    <w:p>
      <w:pPr>
        <w:pStyle w:val="ListParagraph"/>
        <w:numPr>
          <w:ilvl w:val="1"/>
          <w:numId w:val="114"/>
        </w:numPr>
        <w:tabs>
          <w:tab w:pos="1351" w:val="left" w:leader="none"/>
          <w:tab w:pos="1352" w:val="left" w:leader="none"/>
          <w:tab w:pos="5088" w:val="left" w:leader="none"/>
        </w:tabs>
        <w:spacing w:line="240" w:lineRule="auto" w:before="29" w:after="0"/>
        <w:ind w:left="1351" w:right="0" w:hanging="674"/>
        <w:jc w:val="left"/>
        <w:rPr>
          <w:sz w:val="15"/>
        </w:rPr>
      </w:pPr>
      <w:r>
        <w:rPr>
          <w:sz w:val="15"/>
        </w:rPr>
        <w:t>SOLEDAD  DE</w:t>
      </w:r>
      <w:r>
        <w:rPr>
          <w:spacing w:val="-10"/>
          <w:sz w:val="15"/>
        </w:rPr>
        <w:t> </w:t>
      </w:r>
      <w:r>
        <w:rPr>
          <w:sz w:val="15"/>
        </w:rPr>
        <w:t>CRUZ</w:t>
      </w:r>
      <w:r>
        <w:rPr>
          <w:spacing w:val="15"/>
          <w:sz w:val="15"/>
        </w:rPr>
        <w:t> </w:t>
      </w:r>
      <w:r>
        <w:rPr>
          <w:sz w:val="15"/>
        </w:rPr>
        <w:t>VIEJA</w:t>
        <w:tab/>
      </w:r>
      <w:r>
        <w:rPr>
          <w:position w:val="-1"/>
          <w:sz w:val="15"/>
        </w:rPr>
        <w:t>$62.00</w:t>
      </w:r>
    </w:p>
    <w:p>
      <w:pPr>
        <w:pStyle w:val="ListParagraph"/>
        <w:numPr>
          <w:ilvl w:val="1"/>
          <w:numId w:val="114"/>
        </w:numPr>
        <w:tabs>
          <w:tab w:pos="1351" w:val="left" w:leader="none"/>
          <w:tab w:pos="1352" w:val="left" w:leader="none"/>
          <w:tab w:pos="5088" w:val="left" w:leader="none"/>
        </w:tabs>
        <w:spacing w:line="240" w:lineRule="auto" w:before="27" w:after="0"/>
        <w:ind w:left="1351" w:right="0" w:hanging="674"/>
        <w:jc w:val="left"/>
        <w:rPr>
          <w:sz w:val="15"/>
        </w:rPr>
      </w:pPr>
      <w:r>
        <w:rPr>
          <w:sz w:val="15"/>
        </w:rPr>
        <w:t>CUEXCOMATITLAN</w:t>
        <w:tab/>
      </w:r>
      <w:r>
        <w:rPr>
          <w:position w:val="-1"/>
          <w:sz w:val="15"/>
        </w:rPr>
        <w:t>$63.00</w:t>
      </w:r>
    </w:p>
    <w:p>
      <w:pPr>
        <w:pStyle w:val="ListParagraph"/>
        <w:numPr>
          <w:ilvl w:val="1"/>
          <w:numId w:val="114"/>
        </w:numPr>
        <w:tabs>
          <w:tab w:pos="1351" w:val="left" w:leader="none"/>
          <w:tab w:pos="1352" w:val="left" w:leader="none"/>
          <w:tab w:pos="5088" w:val="left" w:leader="none"/>
        </w:tabs>
        <w:spacing w:line="240" w:lineRule="auto" w:before="29" w:after="0"/>
        <w:ind w:left="1351" w:right="0" w:hanging="674"/>
        <w:jc w:val="left"/>
        <w:rPr>
          <w:sz w:val="15"/>
        </w:rPr>
      </w:pPr>
      <w:r>
        <w:rPr>
          <w:sz w:val="15"/>
        </w:rPr>
        <w:t>EL</w:t>
      </w:r>
      <w:r>
        <w:rPr>
          <w:spacing w:val="21"/>
          <w:sz w:val="15"/>
        </w:rPr>
        <w:t> </w:t>
      </w:r>
      <w:r>
        <w:rPr>
          <w:sz w:val="15"/>
        </w:rPr>
        <w:t>CAPULIN</w:t>
        <w:tab/>
      </w:r>
      <w:r>
        <w:rPr>
          <w:position w:val="-1"/>
          <w:sz w:val="15"/>
        </w:rPr>
        <w:t>$59.00</w:t>
      </w:r>
    </w:p>
    <w:p>
      <w:pPr>
        <w:pStyle w:val="ListParagraph"/>
        <w:numPr>
          <w:ilvl w:val="1"/>
          <w:numId w:val="114"/>
        </w:numPr>
        <w:tabs>
          <w:tab w:pos="1350" w:val="left" w:leader="none"/>
          <w:tab w:pos="1352" w:val="left" w:leader="none"/>
          <w:tab w:pos="5088" w:val="left" w:leader="none"/>
        </w:tabs>
        <w:spacing w:line="240" w:lineRule="auto" w:before="27" w:after="0"/>
        <w:ind w:left="1351" w:right="0" w:hanging="674"/>
        <w:jc w:val="left"/>
        <w:rPr>
          <w:sz w:val="15"/>
        </w:rPr>
      </w:pPr>
      <w:r>
        <w:rPr>
          <w:sz w:val="15"/>
        </w:rPr>
        <w:t>EL</w:t>
      </w:r>
      <w:r>
        <w:rPr>
          <w:spacing w:val="25"/>
          <w:sz w:val="15"/>
        </w:rPr>
        <w:t> </w:t>
      </w:r>
      <w:r>
        <w:rPr>
          <w:sz w:val="15"/>
        </w:rPr>
        <w:t>TECOLOTE</w:t>
        <w:tab/>
      </w:r>
      <w:r>
        <w:rPr>
          <w:position w:val="-1"/>
          <w:sz w:val="15"/>
        </w:rPr>
        <w:t>$63.00</w:t>
      </w:r>
    </w:p>
    <w:p>
      <w:pPr>
        <w:pStyle w:val="ListParagraph"/>
        <w:numPr>
          <w:ilvl w:val="1"/>
          <w:numId w:val="114"/>
        </w:numPr>
        <w:tabs>
          <w:tab w:pos="1350" w:val="left" w:leader="none"/>
          <w:tab w:pos="1352" w:val="left" w:leader="none"/>
          <w:tab w:pos="5088" w:val="left" w:leader="none"/>
        </w:tabs>
        <w:spacing w:line="240" w:lineRule="auto" w:before="29" w:after="0"/>
        <w:ind w:left="1351" w:right="0" w:hanging="674"/>
        <w:jc w:val="left"/>
        <w:rPr>
          <w:sz w:val="15"/>
        </w:rPr>
      </w:pPr>
      <w:r>
        <w:rPr>
          <w:sz w:val="15"/>
        </w:rPr>
        <w:t>EL</w:t>
      </w:r>
      <w:r>
        <w:rPr>
          <w:spacing w:val="20"/>
          <w:sz w:val="15"/>
        </w:rPr>
        <w:t> </w:t>
      </w:r>
      <w:r>
        <w:rPr>
          <w:sz w:val="15"/>
        </w:rPr>
        <w:t>ZAPOTE</w:t>
        <w:tab/>
      </w:r>
      <w:r>
        <w:rPr>
          <w:position w:val="-1"/>
          <w:sz w:val="15"/>
        </w:rPr>
        <w:t>$54.00</w:t>
      </w:r>
    </w:p>
    <w:p>
      <w:pPr>
        <w:pStyle w:val="ListParagraph"/>
        <w:numPr>
          <w:ilvl w:val="1"/>
          <w:numId w:val="114"/>
        </w:numPr>
        <w:tabs>
          <w:tab w:pos="1351" w:val="left" w:leader="none"/>
          <w:tab w:pos="1352" w:val="left" w:leader="none"/>
          <w:tab w:pos="5088" w:val="left" w:leader="none"/>
        </w:tabs>
        <w:spacing w:line="240" w:lineRule="auto" w:before="27" w:after="0"/>
        <w:ind w:left="1351" w:right="0" w:hanging="717"/>
        <w:jc w:val="left"/>
        <w:rPr>
          <w:sz w:val="15"/>
        </w:rPr>
      </w:pPr>
      <w:r>
        <w:rPr>
          <w:sz w:val="15"/>
        </w:rPr>
        <w:t>LA</w:t>
      </w:r>
      <w:r>
        <w:rPr>
          <w:spacing w:val="23"/>
          <w:sz w:val="15"/>
        </w:rPr>
        <w:t> </w:t>
      </w:r>
      <w:r>
        <w:rPr>
          <w:sz w:val="15"/>
        </w:rPr>
        <w:t>ALAMEDA</w:t>
        <w:tab/>
      </w:r>
      <w:r>
        <w:rPr>
          <w:position w:val="-1"/>
          <w:sz w:val="15"/>
        </w:rPr>
        <w:t>$62.00</w:t>
      </w:r>
    </w:p>
    <w:p>
      <w:pPr>
        <w:pStyle w:val="ListParagraph"/>
        <w:numPr>
          <w:ilvl w:val="1"/>
          <w:numId w:val="114"/>
        </w:numPr>
        <w:tabs>
          <w:tab w:pos="1351" w:val="left" w:leader="none"/>
          <w:tab w:pos="1352" w:val="left" w:leader="none"/>
          <w:tab w:pos="5088" w:val="left" w:leader="none"/>
        </w:tabs>
        <w:spacing w:line="240" w:lineRule="auto" w:before="29" w:after="0"/>
        <w:ind w:left="1351" w:right="0" w:hanging="717"/>
        <w:jc w:val="left"/>
        <w:rPr>
          <w:sz w:val="15"/>
        </w:rPr>
      </w:pPr>
      <w:r>
        <w:rPr>
          <w:sz w:val="15"/>
        </w:rPr>
        <w:t>LA</w:t>
      </w:r>
      <w:r>
        <w:rPr>
          <w:spacing w:val="20"/>
          <w:sz w:val="15"/>
        </w:rPr>
        <w:t> </w:t>
      </w:r>
      <w:r>
        <w:rPr>
          <w:sz w:val="15"/>
        </w:rPr>
        <w:t>CALERA</w:t>
        <w:tab/>
      </w:r>
      <w:r>
        <w:rPr>
          <w:position w:val="-1"/>
          <w:sz w:val="15"/>
        </w:rPr>
        <w:t>$70.00</w:t>
      </w:r>
    </w:p>
    <w:p>
      <w:pPr>
        <w:pStyle w:val="ListParagraph"/>
        <w:numPr>
          <w:ilvl w:val="1"/>
          <w:numId w:val="114"/>
        </w:numPr>
        <w:tabs>
          <w:tab w:pos="1351" w:val="left" w:leader="none"/>
          <w:tab w:pos="1352" w:val="left" w:leader="none"/>
          <w:tab w:pos="5088" w:val="left" w:leader="none"/>
        </w:tabs>
        <w:spacing w:line="240" w:lineRule="auto" w:before="27" w:after="0"/>
        <w:ind w:left="1351" w:right="0" w:hanging="717"/>
        <w:jc w:val="left"/>
        <w:rPr>
          <w:sz w:val="15"/>
        </w:rPr>
      </w:pPr>
      <w:r>
        <w:rPr>
          <w:sz w:val="15"/>
        </w:rPr>
        <w:t>LA CIENEGA, LA LAGUNITA </w:t>
      </w:r>
      <w:r>
        <w:rPr>
          <w:spacing w:val="20"/>
          <w:sz w:val="15"/>
        </w:rPr>
        <w:t> </w:t>
      </w:r>
      <w:r>
        <w:rPr>
          <w:sz w:val="15"/>
        </w:rPr>
        <w:t>(SAN</w:t>
      </w:r>
      <w:r>
        <w:rPr>
          <w:spacing w:val="15"/>
          <w:sz w:val="15"/>
        </w:rPr>
        <w:t> </w:t>
      </w:r>
      <w:r>
        <w:rPr>
          <w:sz w:val="15"/>
        </w:rPr>
        <w:t>AGUSTÍN)</w:t>
        <w:tab/>
      </w:r>
      <w:r>
        <w:rPr>
          <w:position w:val="-1"/>
          <w:sz w:val="15"/>
        </w:rPr>
        <w:t>$85.00</w:t>
      </w:r>
    </w:p>
    <w:p>
      <w:pPr>
        <w:pStyle w:val="ListParagraph"/>
        <w:numPr>
          <w:ilvl w:val="1"/>
          <w:numId w:val="114"/>
        </w:numPr>
        <w:tabs>
          <w:tab w:pos="1351" w:val="left" w:leader="none"/>
          <w:tab w:pos="1352" w:val="left" w:leader="none"/>
          <w:tab w:pos="5088" w:val="left" w:leader="none"/>
        </w:tabs>
        <w:spacing w:line="240" w:lineRule="auto" w:before="29" w:after="0"/>
        <w:ind w:left="1351" w:right="0" w:hanging="717"/>
        <w:jc w:val="left"/>
        <w:rPr>
          <w:sz w:val="15"/>
        </w:rPr>
      </w:pPr>
      <w:r>
        <w:rPr>
          <w:sz w:val="15"/>
        </w:rPr>
        <w:t>TULIPANES,</w:t>
      </w:r>
      <w:r>
        <w:rPr>
          <w:spacing w:val="20"/>
          <w:sz w:val="15"/>
        </w:rPr>
        <w:t> </w:t>
      </w:r>
      <w:r>
        <w:rPr>
          <w:sz w:val="15"/>
        </w:rPr>
        <w:t>LA</w:t>
      </w:r>
      <w:r>
        <w:rPr>
          <w:spacing w:val="21"/>
          <w:sz w:val="15"/>
        </w:rPr>
        <w:t> </w:t>
      </w:r>
      <w:r>
        <w:rPr>
          <w:sz w:val="15"/>
        </w:rPr>
        <w:t>TIJERA</w:t>
        <w:tab/>
      </w:r>
      <w:r>
        <w:rPr>
          <w:position w:val="-1"/>
          <w:sz w:val="15"/>
        </w:rPr>
        <w:t>$62.00</w:t>
      </w:r>
    </w:p>
    <w:p>
      <w:pPr>
        <w:pStyle w:val="ListParagraph"/>
        <w:numPr>
          <w:ilvl w:val="1"/>
          <w:numId w:val="114"/>
        </w:numPr>
        <w:tabs>
          <w:tab w:pos="1351" w:val="left" w:leader="none"/>
          <w:tab w:pos="1352" w:val="left" w:leader="none"/>
          <w:tab w:pos="5088" w:val="left" w:leader="none"/>
        </w:tabs>
        <w:spacing w:line="240" w:lineRule="auto" w:before="27" w:after="0"/>
        <w:ind w:left="1351" w:right="0" w:hanging="717"/>
        <w:jc w:val="left"/>
        <w:rPr>
          <w:sz w:val="15"/>
        </w:rPr>
      </w:pPr>
      <w:r>
        <w:rPr>
          <w:sz w:val="15"/>
        </w:rPr>
        <w:t>LOMAS</w:t>
      </w:r>
      <w:r>
        <w:rPr>
          <w:spacing w:val="17"/>
          <w:sz w:val="15"/>
        </w:rPr>
        <w:t> </w:t>
      </w:r>
      <w:r>
        <w:rPr>
          <w:sz w:val="15"/>
        </w:rPr>
        <w:t>DE</w:t>
      </w:r>
      <w:r>
        <w:rPr>
          <w:spacing w:val="18"/>
          <w:sz w:val="15"/>
        </w:rPr>
        <w:t> </w:t>
      </w:r>
      <w:r>
        <w:rPr>
          <w:sz w:val="15"/>
        </w:rPr>
        <w:t>TEJEDA</w:t>
        <w:tab/>
      </w:r>
      <w:r>
        <w:rPr>
          <w:position w:val="-1"/>
          <w:sz w:val="15"/>
        </w:rPr>
        <w:t>$70.00</w:t>
      </w:r>
    </w:p>
    <w:p>
      <w:pPr>
        <w:pStyle w:val="ListParagraph"/>
        <w:numPr>
          <w:ilvl w:val="1"/>
          <w:numId w:val="114"/>
        </w:numPr>
        <w:tabs>
          <w:tab w:pos="1351" w:val="left" w:leader="none"/>
          <w:tab w:pos="1352" w:val="left" w:leader="none"/>
          <w:tab w:pos="5088" w:val="left" w:leader="none"/>
        </w:tabs>
        <w:spacing w:line="240" w:lineRule="auto" w:before="29" w:after="0"/>
        <w:ind w:left="1351" w:right="0" w:hanging="717"/>
        <w:jc w:val="left"/>
        <w:rPr>
          <w:sz w:val="15"/>
        </w:rPr>
      </w:pPr>
      <w:r>
        <w:rPr>
          <w:sz w:val="15"/>
        </w:rPr>
        <w:t>SAN</w:t>
      </w:r>
      <w:r>
        <w:rPr>
          <w:spacing w:val="25"/>
          <w:sz w:val="15"/>
        </w:rPr>
        <w:t> </w:t>
      </w:r>
      <w:r>
        <w:rPr>
          <w:sz w:val="15"/>
        </w:rPr>
        <w:t>AGUSTIN</w:t>
        <w:tab/>
      </w:r>
      <w:r>
        <w:rPr>
          <w:position w:val="-1"/>
          <w:sz w:val="15"/>
        </w:rPr>
        <w:t>$85.00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717"/>
        <w:jc w:val="left"/>
        <w:rPr>
          <w:sz w:val="15"/>
        </w:rPr>
      </w:pPr>
      <w:r>
        <w:rPr>
          <w:sz w:val="15"/>
        </w:rPr>
        <w:t>SAN</w:t>
      </w:r>
      <w:r>
        <w:rPr>
          <w:spacing w:val="22"/>
          <w:sz w:val="15"/>
        </w:rPr>
        <w:t> </w:t>
      </w:r>
      <w:r>
        <w:rPr>
          <w:sz w:val="15"/>
        </w:rPr>
        <w:t>JUAN</w:t>
      </w:r>
      <w:r>
        <w:rPr>
          <w:spacing w:val="24"/>
          <w:sz w:val="15"/>
        </w:rPr>
        <w:t> </w:t>
      </w:r>
      <w:r>
        <w:rPr>
          <w:sz w:val="15"/>
        </w:rPr>
        <w:t>EVANGELISTA</w:t>
        <w:tab/>
      </w:r>
      <w:r>
        <w:rPr>
          <w:position w:val="-1"/>
          <w:sz w:val="15"/>
        </w:rPr>
        <w:t>$49.00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717"/>
        <w:jc w:val="left"/>
        <w:rPr>
          <w:sz w:val="15"/>
        </w:rPr>
      </w:pPr>
      <w:r>
        <w:rPr>
          <w:sz w:val="15"/>
        </w:rPr>
        <w:t>SAN</w:t>
      </w:r>
      <w:r>
        <w:rPr>
          <w:spacing w:val="23"/>
          <w:sz w:val="15"/>
        </w:rPr>
        <w:t> </w:t>
      </w:r>
      <w:r>
        <w:rPr>
          <w:sz w:val="15"/>
        </w:rPr>
        <w:t>LUCAS</w:t>
      </w:r>
      <w:r>
        <w:rPr>
          <w:spacing w:val="24"/>
          <w:sz w:val="15"/>
        </w:rPr>
        <w:t> </w:t>
      </w:r>
      <w:r>
        <w:rPr>
          <w:sz w:val="15"/>
        </w:rPr>
        <w:t>EVANGELISTA</w:t>
        <w:tab/>
      </w:r>
      <w:r>
        <w:rPr>
          <w:position w:val="-1"/>
          <w:sz w:val="15"/>
        </w:rPr>
        <w:t>$51.00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717"/>
        <w:jc w:val="left"/>
        <w:rPr>
          <w:sz w:val="15"/>
        </w:rPr>
      </w:pPr>
      <w:r>
        <w:rPr>
          <w:sz w:val="15"/>
        </w:rPr>
        <w:t>SAN</w:t>
      </w:r>
      <w:r>
        <w:rPr>
          <w:spacing w:val="18"/>
          <w:sz w:val="15"/>
        </w:rPr>
        <w:t> </w:t>
      </w:r>
      <w:r>
        <w:rPr>
          <w:sz w:val="15"/>
        </w:rPr>
        <w:t>MIGUEL</w:t>
      </w:r>
      <w:r>
        <w:rPr>
          <w:spacing w:val="18"/>
          <w:sz w:val="15"/>
        </w:rPr>
        <w:t> </w:t>
      </w:r>
      <w:r>
        <w:rPr>
          <w:sz w:val="15"/>
        </w:rPr>
        <w:t>CUYUTLAN</w:t>
        <w:tab/>
      </w:r>
      <w:r>
        <w:rPr>
          <w:position w:val="-1"/>
          <w:sz w:val="15"/>
        </w:rPr>
        <w:t>$51.00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717"/>
        <w:jc w:val="left"/>
        <w:rPr>
          <w:sz w:val="15"/>
        </w:rPr>
      </w:pPr>
      <w:r>
        <w:rPr>
          <w:sz w:val="15"/>
        </w:rPr>
        <w:t>SAN  SEBASTIAN</w:t>
      </w:r>
      <w:r>
        <w:rPr>
          <w:spacing w:val="-8"/>
          <w:sz w:val="15"/>
        </w:rPr>
        <w:t> </w:t>
      </w:r>
      <w:r>
        <w:rPr>
          <w:sz w:val="15"/>
        </w:rPr>
        <w:t>EL</w:t>
      </w:r>
      <w:r>
        <w:rPr>
          <w:spacing w:val="19"/>
          <w:sz w:val="15"/>
        </w:rPr>
        <w:t> </w:t>
      </w:r>
      <w:r>
        <w:rPr>
          <w:sz w:val="15"/>
        </w:rPr>
        <w:t>GRANDE</w:t>
        <w:tab/>
      </w:r>
      <w:r>
        <w:rPr>
          <w:position w:val="-1"/>
          <w:sz w:val="15"/>
        </w:rPr>
        <w:t>$63.00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717"/>
        <w:jc w:val="left"/>
        <w:rPr>
          <w:sz w:val="15"/>
        </w:rPr>
      </w:pPr>
      <w:r>
        <w:rPr>
          <w:sz w:val="15"/>
        </w:rPr>
        <w:t>SANTA CRUZ DE</w:t>
      </w:r>
      <w:r>
        <w:rPr>
          <w:spacing w:val="34"/>
          <w:sz w:val="15"/>
        </w:rPr>
        <w:t> </w:t>
      </w:r>
      <w:r>
        <w:rPr>
          <w:sz w:val="15"/>
        </w:rPr>
        <w:t>LA</w:t>
      </w:r>
      <w:r>
        <w:rPr>
          <w:spacing w:val="11"/>
          <w:sz w:val="15"/>
        </w:rPr>
        <w:t> </w:t>
      </w:r>
      <w:r>
        <w:rPr>
          <w:sz w:val="15"/>
        </w:rPr>
        <w:t>LOMA</w:t>
        <w:tab/>
      </w:r>
      <w:r>
        <w:rPr>
          <w:position w:val="-1"/>
          <w:sz w:val="15"/>
        </w:rPr>
        <w:t>$51.00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717"/>
        <w:jc w:val="left"/>
        <w:rPr>
          <w:sz w:val="15"/>
        </w:rPr>
      </w:pPr>
      <w:r>
        <w:rPr>
          <w:sz w:val="15"/>
        </w:rPr>
        <w:t>SANTA  CRUZ</w:t>
      </w:r>
      <w:r>
        <w:rPr>
          <w:spacing w:val="-8"/>
          <w:sz w:val="15"/>
        </w:rPr>
        <w:t> </w:t>
      </w:r>
      <w:r>
        <w:rPr>
          <w:sz w:val="15"/>
        </w:rPr>
        <w:t>DELAS</w:t>
      </w:r>
      <w:r>
        <w:rPr>
          <w:spacing w:val="18"/>
          <w:sz w:val="15"/>
        </w:rPr>
        <w:t> </w:t>
      </w:r>
      <w:r>
        <w:rPr>
          <w:sz w:val="15"/>
        </w:rPr>
        <w:t>FLORES</w:t>
        <w:tab/>
      </w:r>
      <w:r>
        <w:rPr>
          <w:position w:val="-1"/>
          <w:sz w:val="15"/>
        </w:rPr>
        <w:t>$54.00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717"/>
        <w:jc w:val="left"/>
        <w:rPr>
          <w:sz w:val="15"/>
        </w:rPr>
      </w:pPr>
      <w:r>
        <w:rPr>
          <w:sz w:val="15"/>
        </w:rPr>
        <w:t>SANTA  CRUZ</w:t>
      </w:r>
      <w:r>
        <w:rPr>
          <w:spacing w:val="-13"/>
          <w:sz w:val="15"/>
        </w:rPr>
        <w:t> </w:t>
      </w:r>
      <w:r>
        <w:rPr>
          <w:sz w:val="15"/>
        </w:rPr>
        <w:t>DEL</w:t>
      </w:r>
      <w:r>
        <w:rPr>
          <w:spacing w:val="14"/>
          <w:sz w:val="15"/>
        </w:rPr>
        <w:t> </w:t>
      </w:r>
      <w:r>
        <w:rPr>
          <w:sz w:val="15"/>
        </w:rPr>
        <w:t>VALLE</w:t>
        <w:tab/>
      </w:r>
      <w:r>
        <w:rPr>
          <w:position w:val="-1"/>
          <w:sz w:val="15"/>
        </w:rPr>
        <w:t>$51.00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717"/>
        <w:jc w:val="left"/>
        <w:rPr>
          <w:sz w:val="15"/>
        </w:rPr>
      </w:pPr>
      <w:r>
        <w:rPr>
          <w:sz w:val="15"/>
        </w:rPr>
        <w:t>TLAJOMULCO</w:t>
        <w:tab/>
      </w:r>
      <w:r>
        <w:rPr>
          <w:position w:val="-1"/>
          <w:sz w:val="15"/>
        </w:rPr>
        <w:t>$78.00</w:t>
      </w:r>
    </w:p>
    <w:p>
      <w:pPr>
        <w:pStyle w:val="ListParagraph"/>
        <w:numPr>
          <w:ilvl w:val="1"/>
          <w:numId w:val="114"/>
        </w:numPr>
        <w:tabs>
          <w:tab w:pos="1351" w:val="left" w:leader="none"/>
          <w:tab w:pos="1352" w:val="left" w:leader="none"/>
          <w:tab w:pos="5088" w:val="left" w:leader="none"/>
        </w:tabs>
        <w:spacing w:line="240" w:lineRule="auto" w:before="28" w:after="0"/>
        <w:ind w:left="1351" w:right="0" w:hanging="717"/>
        <w:jc w:val="left"/>
        <w:rPr>
          <w:sz w:val="15"/>
        </w:rPr>
      </w:pPr>
      <w:r>
        <w:rPr>
          <w:sz w:val="15"/>
        </w:rPr>
        <w:t>EL</w:t>
      </w:r>
      <w:r>
        <w:rPr>
          <w:spacing w:val="22"/>
          <w:sz w:val="15"/>
        </w:rPr>
        <w:t> </w:t>
      </w:r>
      <w:r>
        <w:rPr>
          <w:sz w:val="15"/>
        </w:rPr>
        <w:t>REFUGIO</w:t>
        <w:tab/>
      </w:r>
      <w:r>
        <w:rPr>
          <w:position w:val="-1"/>
          <w:sz w:val="15"/>
        </w:rPr>
        <w:t>$84.00</w:t>
      </w:r>
    </w:p>
    <w:p>
      <w:pPr>
        <w:pStyle w:val="ListParagraph"/>
        <w:numPr>
          <w:ilvl w:val="0"/>
          <w:numId w:val="115"/>
        </w:numPr>
        <w:tabs>
          <w:tab w:pos="559" w:val="left" w:leader="none"/>
          <w:tab w:pos="4731" w:val="left" w:leader="none"/>
          <w:tab w:pos="5074" w:val="left" w:leader="none"/>
        </w:tabs>
        <w:spacing w:line="240" w:lineRule="auto" w:before="156" w:after="0"/>
        <w:ind w:left="558" w:right="0" w:hanging="278"/>
        <w:jc w:val="left"/>
        <w:rPr>
          <w:sz w:val="15"/>
        </w:rPr>
      </w:pPr>
      <w:r>
        <w:rPr>
          <w:w w:val="102"/>
          <w:sz w:val="15"/>
        </w:rPr>
        <w:br w:type="column"/>
      </w:r>
      <w:r>
        <w:rPr>
          <w:sz w:val="15"/>
        </w:rPr>
        <w:t>EJIDO</w:t>
      </w:r>
      <w:r>
        <w:rPr>
          <w:spacing w:val="13"/>
          <w:sz w:val="15"/>
        </w:rPr>
        <w:t> </w:t>
      </w:r>
      <w:r>
        <w:rPr>
          <w:sz w:val="15"/>
        </w:rPr>
        <w:t>DE</w:t>
      </w:r>
      <w:r>
        <w:rPr>
          <w:spacing w:val="15"/>
          <w:sz w:val="15"/>
        </w:rPr>
        <w:t> </w:t>
      </w:r>
      <w:r>
        <w:rPr>
          <w:sz w:val="15"/>
        </w:rPr>
        <w:t>CAJITITLAN</w:t>
        <w:tab/>
      </w:r>
      <w:r>
        <w:rPr>
          <w:position w:val="-1"/>
          <w:sz w:val="15"/>
        </w:rPr>
        <w:t>$</w:t>
        <w:tab/>
        <w:t>69.00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278"/>
        <w:jc w:val="left"/>
        <w:rPr>
          <w:sz w:val="15"/>
        </w:rPr>
      </w:pPr>
      <w:r>
        <w:rPr>
          <w:sz w:val="15"/>
        </w:rPr>
        <w:t>EJIDO</w:t>
      </w:r>
      <w:r>
        <w:rPr>
          <w:spacing w:val="16"/>
          <w:sz w:val="15"/>
        </w:rPr>
        <w:t> </w:t>
      </w:r>
      <w:r>
        <w:rPr>
          <w:sz w:val="15"/>
        </w:rPr>
        <w:t>EL</w:t>
      </w:r>
      <w:r>
        <w:rPr>
          <w:spacing w:val="17"/>
          <w:sz w:val="15"/>
        </w:rPr>
        <w:t> </w:t>
      </w:r>
      <w:r>
        <w:rPr>
          <w:sz w:val="15"/>
        </w:rPr>
        <w:t>CUATRO</w:t>
        <w:tab/>
      </w:r>
      <w:r>
        <w:rPr>
          <w:position w:val="-1"/>
          <w:sz w:val="15"/>
        </w:rPr>
        <w:t>$</w:t>
        <w:tab/>
        <w:t>51.00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278"/>
        <w:jc w:val="left"/>
        <w:rPr>
          <w:sz w:val="15"/>
        </w:rPr>
      </w:pPr>
      <w:r>
        <w:rPr>
          <w:sz w:val="15"/>
        </w:rPr>
        <w:t>EJIDO</w:t>
      </w:r>
      <w:r>
        <w:rPr>
          <w:spacing w:val="16"/>
          <w:sz w:val="15"/>
        </w:rPr>
        <w:t> </w:t>
      </w:r>
      <w:r>
        <w:rPr>
          <w:sz w:val="15"/>
        </w:rPr>
        <w:t>EL</w:t>
      </w:r>
      <w:r>
        <w:rPr>
          <w:spacing w:val="16"/>
          <w:sz w:val="15"/>
        </w:rPr>
        <w:t> </w:t>
      </w:r>
      <w:r>
        <w:rPr>
          <w:sz w:val="15"/>
        </w:rPr>
        <w:t>ZAPOTE</w:t>
        <w:tab/>
      </w:r>
      <w:r>
        <w:rPr>
          <w:position w:val="-1"/>
          <w:sz w:val="15"/>
        </w:rPr>
        <w:t>$</w:t>
        <w:tab/>
        <w:t>54.00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278"/>
        <w:jc w:val="left"/>
        <w:rPr>
          <w:sz w:val="15"/>
        </w:rPr>
      </w:pPr>
      <w:r>
        <w:rPr>
          <w:sz w:val="15"/>
        </w:rPr>
        <w:t>EJIDO</w:t>
      </w:r>
      <w:r>
        <w:rPr>
          <w:spacing w:val="20"/>
          <w:sz w:val="15"/>
        </w:rPr>
        <w:t> </w:t>
      </w:r>
      <w:r>
        <w:rPr>
          <w:sz w:val="15"/>
        </w:rPr>
        <w:t>SAN</w:t>
      </w:r>
      <w:r>
        <w:rPr>
          <w:spacing w:val="22"/>
          <w:sz w:val="15"/>
        </w:rPr>
        <w:t> </w:t>
      </w:r>
      <w:r>
        <w:rPr>
          <w:sz w:val="15"/>
        </w:rPr>
        <w:t>SEBASTIAN</w:t>
        <w:tab/>
      </w:r>
      <w:r>
        <w:rPr>
          <w:position w:val="-1"/>
          <w:sz w:val="15"/>
        </w:rPr>
        <w:t>$</w:t>
        <w:tab/>
        <w:t>63.00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278"/>
        <w:jc w:val="left"/>
        <w:rPr>
          <w:sz w:val="15"/>
        </w:rPr>
      </w:pPr>
      <w:r>
        <w:rPr>
          <w:sz w:val="15"/>
        </w:rPr>
        <w:t>EJIDO</w:t>
      </w:r>
      <w:r>
        <w:rPr>
          <w:spacing w:val="26"/>
          <w:sz w:val="15"/>
        </w:rPr>
        <w:t> </w:t>
      </w:r>
      <w:r>
        <w:rPr>
          <w:sz w:val="15"/>
        </w:rPr>
        <w:t>TOLUQUILLA</w:t>
        <w:tab/>
      </w:r>
      <w:r>
        <w:rPr>
          <w:position w:val="-1"/>
          <w:sz w:val="15"/>
        </w:rPr>
        <w:t>$</w:t>
        <w:tab/>
        <w:t>51.00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EL  ARENAL</w:t>
      </w:r>
      <w:r>
        <w:rPr>
          <w:spacing w:val="-11"/>
          <w:sz w:val="15"/>
        </w:rPr>
        <w:t> </w:t>
      </w:r>
      <w:r>
        <w:rPr>
          <w:sz w:val="15"/>
        </w:rPr>
        <w:t>SANTA</w:t>
      </w:r>
      <w:r>
        <w:rPr>
          <w:spacing w:val="15"/>
          <w:sz w:val="15"/>
        </w:rPr>
        <w:t> </w:t>
      </w:r>
      <w:r>
        <w:rPr>
          <w:sz w:val="15"/>
        </w:rPr>
        <w:t>CRUZ</w:t>
        <w:tab/>
      </w:r>
      <w:r>
        <w:rPr>
          <w:position w:val="-1"/>
          <w:sz w:val="15"/>
        </w:rPr>
        <w:t>$</w:t>
        <w:tab/>
        <w:t>54.00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EL</w:t>
      </w:r>
      <w:r>
        <w:rPr>
          <w:spacing w:val="23"/>
          <w:sz w:val="15"/>
        </w:rPr>
        <w:t> </w:t>
      </w:r>
      <w:r>
        <w:rPr>
          <w:sz w:val="15"/>
        </w:rPr>
        <w:t>MIRADOR</w:t>
        <w:tab/>
      </w:r>
      <w:r>
        <w:rPr>
          <w:position w:val="-1"/>
          <w:sz w:val="15"/>
        </w:rPr>
        <w:t>$</w:t>
        <w:tab/>
        <w:t>70.00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GRANJAS</w:t>
      </w:r>
      <w:r>
        <w:rPr>
          <w:spacing w:val="40"/>
          <w:sz w:val="15"/>
        </w:rPr>
        <w:t> </w:t>
      </w:r>
      <w:r>
        <w:rPr>
          <w:sz w:val="15"/>
        </w:rPr>
        <w:t>PROVIDENCIA</w:t>
        <w:tab/>
      </w:r>
      <w:r>
        <w:rPr>
          <w:position w:val="-1"/>
          <w:sz w:val="15"/>
        </w:rPr>
        <w:t>$</w:t>
        <w:tab/>
        <w:t>59.00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HACIENDA</w:t>
      </w:r>
      <w:r>
        <w:rPr>
          <w:spacing w:val="16"/>
          <w:sz w:val="15"/>
        </w:rPr>
        <w:t> </w:t>
      </w:r>
      <w:r>
        <w:rPr>
          <w:sz w:val="15"/>
        </w:rPr>
        <w:t>SAN</w:t>
      </w:r>
      <w:r>
        <w:rPr>
          <w:spacing w:val="16"/>
          <w:sz w:val="15"/>
        </w:rPr>
        <w:t> </w:t>
      </w:r>
      <w:r>
        <w:rPr>
          <w:sz w:val="15"/>
        </w:rPr>
        <w:t>JOSE</w:t>
        <w:tab/>
      </w:r>
      <w:r>
        <w:rPr>
          <w:position w:val="-1"/>
          <w:sz w:val="15"/>
        </w:rPr>
        <w:t>$</w:t>
        <w:tab/>
        <w:t>51.00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LA</w:t>
      </w:r>
      <w:r>
        <w:rPr>
          <w:spacing w:val="21"/>
          <w:sz w:val="15"/>
        </w:rPr>
        <w:t> </w:t>
      </w:r>
      <w:r>
        <w:rPr>
          <w:sz w:val="15"/>
        </w:rPr>
        <w:t>CAÑADA</w:t>
        <w:tab/>
      </w:r>
      <w:r>
        <w:rPr>
          <w:position w:val="-1"/>
          <w:sz w:val="15"/>
        </w:rPr>
        <w:t>$</w:t>
        <w:tab/>
        <w:t>51.00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LA</w:t>
      </w:r>
      <w:r>
        <w:rPr>
          <w:spacing w:val="28"/>
          <w:sz w:val="15"/>
        </w:rPr>
        <w:t> </w:t>
      </w:r>
      <w:r>
        <w:rPr>
          <w:sz w:val="15"/>
        </w:rPr>
        <w:t>ESPERANZA</w:t>
        <w:tab/>
      </w:r>
      <w:r>
        <w:rPr>
          <w:position w:val="-1"/>
          <w:sz w:val="15"/>
        </w:rPr>
        <w:t>$</w:t>
        <w:tab/>
        <w:t>70.00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LA</w:t>
      </w:r>
      <w:r>
        <w:rPr>
          <w:spacing w:val="27"/>
          <w:sz w:val="15"/>
        </w:rPr>
        <w:t> </w:t>
      </w:r>
      <w:r>
        <w:rPr>
          <w:sz w:val="15"/>
        </w:rPr>
        <w:t>GIGANTERA</w:t>
        <w:tab/>
      </w:r>
      <w:r>
        <w:rPr>
          <w:position w:val="-1"/>
          <w:sz w:val="15"/>
        </w:rPr>
        <w:t>$</w:t>
        <w:tab/>
        <w:t>51.00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LA</w:t>
      </w:r>
      <w:r>
        <w:rPr>
          <w:spacing w:val="22"/>
          <w:sz w:val="15"/>
        </w:rPr>
        <w:t> </w:t>
      </w:r>
      <w:r>
        <w:rPr>
          <w:sz w:val="15"/>
        </w:rPr>
        <w:t>JOYA</w:t>
      </w:r>
      <w:r>
        <w:rPr>
          <w:spacing w:val="22"/>
          <w:sz w:val="15"/>
        </w:rPr>
        <w:t> </w:t>
      </w:r>
      <w:r>
        <w:rPr>
          <w:sz w:val="15"/>
        </w:rPr>
        <w:t>(TLAJOMULCO)</w:t>
        <w:tab/>
      </w:r>
      <w:r>
        <w:rPr>
          <w:position w:val="-1"/>
          <w:sz w:val="15"/>
        </w:rPr>
        <w:t>$</w:t>
        <w:tab/>
        <w:t>78.00</w:t>
      </w:r>
    </w:p>
    <w:p>
      <w:pPr>
        <w:pStyle w:val="ListParagraph"/>
        <w:numPr>
          <w:ilvl w:val="0"/>
          <w:numId w:val="115"/>
        </w:numPr>
        <w:tabs>
          <w:tab w:pos="559" w:val="left" w:leader="none"/>
        </w:tabs>
        <w:spacing w:line="147" w:lineRule="exact" w:before="128" w:after="0"/>
        <w:ind w:left="558" w:right="0" w:hanging="320"/>
        <w:jc w:val="left"/>
        <w:rPr>
          <w:sz w:val="15"/>
        </w:rPr>
      </w:pPr>
      <w:r>
        <w:rPr>
          <w:sz w:val="15"/>
        </w:rPr>
        <w:t>LA NUEVA AURORA (SANTA CRUZ DEL</w:t>
      </w:r>
      <w:r>
        <w:rPr>
          <w:spacing w:val="11"/>
          <w:sz w:val="15"/>
        </w:rPr>
        <w:t> </w:t>
      </w:r>
      <w:r>
        <w:rPr>
          <w:sz w:val="15"/>
        </w:rPr>
        <w:t>VALLE)</w:t>
      </w:r>
    </w:p>
    <w:p>
      <w:pPr>
        <w:pStyle w:val="BodyText"/>
        <w:tabs>
          <w:tab w:pos="2312" w:val="left" w:leader="none"/>
        </w:tabs>
        <w:spacing w:line="147" w:lineRule="exact"/>
        <w:ind w:left="1969"/>
        <w:jc w:val="center"/>
      </w:pPr>
      <w:r>
        <w:rPr/>
        <w:t>$</w:t>
        <w:tab/>
        <w:t>51.00</w:t>
      </w:r>
    </w:p>
    <w:p>
      <w:pPr>
        <w:pStyle w:val="ListParagraph"/>
        <w:numPr>
          <w:ilvl w:val="0"/>
          <w:numId w:val="115"/>
        </w:numPr>
        <w:tabs>
          <w:tab w:pos="559" w:val="left" w:leader="none"/>
          <w:tab w:pos="4731" w:val="left" w:leader="none"/>
          <w:tab w:pos="5074" w:val="left" w:leader="none"/>
        </w:tabs>
        <w:spacing w:line="240" w:lineRule="auto" w:before="26" w:after="0"/>
        <w:ind w:left="558" w:right="0" w:hanging="320"/>
        <w:jc w:val="left"/>
        <w:rPr>
          <w:sz w:val="15"/>
        </w:rPr>
      </w:pPr>
      <w:r>
        <w:rPr>
          <w:sz w:val="15"/>
        </w:rPr>
        <w:t>LA</w:t>
      </w:r>
      <w:r>
        <w:rPr>
          <w:spacing w:val="31"/>
          <w:sz w:val="15"/>
        </w:rPr>
        <w:t> </w:t>
      </w:r>
      <w:r>
        <w:rPr>
          <w:sz w:val="15"/>
        </w:rPr>
        <w:t>PROVIDENCIA</w:t>
        <w:tab/>
      </w:r>
      <w:r>
        <w:rPr>
          <w:position w:val="-1"/>
          <w:sz w:val="15"/>
        </w:rPr>
        <w:t>$</w:t>
        <w:tab/>
        <w:t>78.00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LA</w:t>
      </w:r>
      <w:r>
        <w:rPr>
          <w:spacing w:val="14"/>
          <w:sz w:val="15"/>
        </w:rPr>
        <w:t> </w:t>
      </w:r>
      <w:r>
        <w:rPr>
          <w:sz w:val="15"/>
        </w:rPr>
        <w:t>TEJA</w:t>
        <w:tab/>
      </w:r>
      <w:r>
        <w:rPr>
          <w:position w:val="-1"/>
          <w:sz w:val="15"/>
        </w:rPr>
        <w:t>$</w:t>
        <w:tab/>
        <w:t>78.00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LOS</w:t>
      </w:r>
      <w:r>
        <w:rPr>
          <w:spacing w:val="17"/>
          <w:sz w:val="15"/>
        </w:rPr>
        <w:t> </w:t>
      </w:r>
      <w:r>
        <w:rPr>
          <w:sz w:val="15"/>
        </w:rPr>
        <w:t>TRES</w:t>
      </w:r>
      <w:r>
        <w:rPr>
          <w:spacing w:val="17"/>
          <w:sz w:val="15"/>
        </w:rPr>
        <w:t> </w:t>
      </w:r>
      <w:r>
        <w:rPr>
          <w:sz w:val="15"/>
        </w:rPr>
        <w:t>GALLOS</w:t>
        <w:tab/>
      </w:r>
      <w:r>
        <w:rPr>
          <w:position w:val="-1"/>
          <w:sz w:val="15"/>
        </w:rPr>
        <w:t>$</w:t>
        <w:tab/>
        <w:t>78.00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PLAYA  DE</w:t>
      </w:r>
      <w:r>
        <w:rPr>
          <w:spacing w:val="-14"/>
          <w:sz w:val="15"/>
        </w:rPr>
        <w:t> </w:t>
      </w:r>
      <w:r>
        <w:rPr>
          <w:sz w:val="15"/>
        </w:rPr>
        <w:t>SANTA</w:t>
      </w:r>
      <w:r>
        <w:rPr>
          <w:spacing w:val="14"/>
          <w:sz w:val="15"/>
        </w:rPr>
        <w:t> </w:t>
      </w:r>
      <w:r>
        <w:rPr>
          <w:sz w:val="15"/>
        </w:rPr>
        <w:t>CRUZ</w:t>
        <w:tab/>
      </w:r>
      <w:r>
        <w:rPr>
          <w:position w:val="-1"/>
          <w:sz w:val="15"/>
        </w:rPr>
        <w:t>$</w:t>
        <w:tab/>
        <w:t>54.00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SAN  FRANCISCO</w:t>
      </w:r>
      <w:r>
        <w:rPr>
          <w:spacing w:val="-9"/>
          <w:sz w:val="15"/>
        </w:rPr>
        <w:t> </w:t>
      </w:r>
      <w:r>
        <w:rPr>
          <w:sz w:val="15"/>
        </w:rPr>
        <w:t>EL</w:t>
      </w:r>
      <w:r>
        <w:rPr>
          <w:spacing w:val="17"/>
          <w:sz w:val="15"/>
        </w:rPr>
        <w:t> </w:t>
      </w:r>
      <w:r>
        <w:rPr>
          <w:sz w:val="15"/>
        </w:rPr>
        <w:t>RADAR</w:t>
        <w:tab/>
      </w:r>
      <w:r>
        <w:rPr>
          <w:position w:val="-1"/>
          <w:sz w:val="15"/>
        </w:rPr>
        <w:t>$</w:t>
        <w:tab/>
        <w:t>78.00</w:t>
      </w:r>
    </w:p>
    <w:p>
      <w:pPr>
        <w:pStyle w:val="ListParagraph"/>
        <w:numPr>
          <w:ilvl w:val="0"/>
          <w:numId w:val="115"/>
        </w:numPr>
        <w:tabs>
          <w:tab w:pos="559" w:val="left" w:leader="none"/>
          <w:tab w:pos="4731" w:val="left" w:leader="none"/>
        </w:tabs>
        <w:spacing w:line="240" w:lineRule="auto" w:before="28" w:after="0"/>
        <w:ind w:left="558" w:right="0" w:hanging="320"/>
        <w:jc w:val="left"/>
        <w:rPr>
          <w:sz w:val="15"/>
        </w:rPr>
      </w:pPr>
      <w:r>
        <w:rPr>
          <w:sz w:val="15"/>
        </w:rPr>
        <w:t>CUATRO  CUARTOS</w:t>
      </w:r>
      <w:r>
        <w:rPr>
          <w:spacing w:val="4"/>
          <w:sz w:val="15"/>
        </w:rPr>
        <w:t> </w:t>
      </w:r>
      <w:r>
        <w:rPr>
          <w:sz w:val="15"/>
        </w:rPr>
        <w:t>(PALOMAR/LAS</w:t>
      </w:r>
      <w:r>
        <w:rPr>
          <w:spacing w:val="23"/>
          <w:sz w:val="15"/>
        </w:rPr>
        <w:t> </w:t>
      </w:r>
      <w:r>
        <w:rPr>
          <w:sz w:val="15"/>
        </w:rPr>
        <w:t>VILLAS)</w:t>
        <w:tab/>
      </w:r>
      <w:r>
        <w:rPr>
          <w:position w:val="-1"/>
          <w:sz w:val="15"/>
        </w:rPr>
        <w:t>$   </w:t>
      </w:r>
      <w:r>
        <w:rPr>
          <w:spacing w:val="17"/>
          <w:position w:val="-1"/>
          <w:sz w:val="15"/>
        </w:rPr>
        <w:t> </w:t>
      </w:r>
      <w:r>
        <w:rPr>
          <w:position w:val="-1"/>
          <w:sz w:val="15"/>
        </w:rPr>
        <w:t>238.00</w:t>
      </w:r>
    </w:p>
    <w:p>
      <w:pPr>
        <w:pStyle w:val="ListParagraph"/>
        <w:numPr>
          <w:ilvl w:val="0"/>
          <w:numId w:val="115"/>
        </w:numPr>
        <w:tabs>
          <w:tab w:pos="559" w:val="left" w:leader="none"/>
          <w:tab w:pos="4731" w:val="left" w:leader="none"/>
          <w:tab w:pos="5074" w:val="left" w:leader="none"/>
        </w:tabs>
        <w:spacing w:line="240" w:lineRule="auto" w:before="28" w:after="0"/>
        <w:ind w:left="558" w:right="0" w:hanging="320"/>
        <w:jc w:val="left"/>
        <w:rPr>
          <w:sz w:val="15"/>
        </w:rPr>
      </w:pPr>
      <w:r>
        <w:rPr>
          <w:sz w:val="15"/>
        </w:rPr>
        <w:t>LOS</w:t>
      </w:r>
      <w:r>
        <w:rPr>
          <w:spacing w:val="27"/>
          <w:sz w:val="15"/>
        </w:rPr>
        <w:t> </w:t>
      </w:r>
      <w:r>
        <w:rPr>
          <w:sz w:val="15"/>
        </w:rPr>
        <w:t>CHARCOS</w:t>
        <w:tab/>
      </w:r>
      <w:r>
        <w:rPr>
          <w:position w:val="-1"/>
          <w:sz w:val="15"/>
        </w:rPr>
        <w:t>$</w:t>
        <w:tab/>
        <w:t>77.00</w:t>
      </w:r>
    </w:p>
    <w:p>
      <w:pPr>
        <w:pStyle w:val="BodyText"/>
        <w:rPr>
          <w:sz w:val="16"/>
        </w:rPr>
      </w:pPr>
    </w:p>
    <w:p>
      <w:pPr>
        <w:pStyle w:val="Heading4"/>
        <w:ind w:left="151" w:right="0"/>
        <w:jc w:val="left"/>
      </w:pPr>
      <w:r>
        <w:rPr/>
        <w:t>FRACCIONAMIENTOS</w:t>
      </w:r>
    </w:p>
    <w:p>
      <w:pPr>
        <w:pStyle w:val="BodyText"/>
        <w:spacing w:before="9"/>
        <w:rPr>
          <w:b/>
        </w:rPr>
      </w:pPr>
    </w:p>
    <w:p>
      <w:pPr>
        <w:pStyle w:val="BodyText"/>
        <w:spacing w:line="247" w:lineRule="auto"/>
        <w:ind w:left="151" w:right="748" w:firstLine="397"/>
      </w:pPr>
      <w:r>
        <w:rPr/>
        <w:t>c) La cuota fija mínima mensual en cada uno de los Desarrollos, Fraccionamientos, Condominios y Colonias del Municipio será de acuerdo a la siguiente</w:t>
      </w:r>
      <w:r>
        <w:rPr>
          <w:spacing w:val="17"/>
        </w:rPr>
        <w:t> </w:t>
      </w:r>
      <w:r>
        <w:rPr/>
        <w:t>tabla:</w:t>
      </w:r>
    </w:p>
    <w:p>
      <w:pPr>
        <w:pStyle w:val="BodyText"/>
        <w:spacing w:before="3"/>
      </w:pPr>
    </w:p>
    <w:p>
      <w:pPr>
        <w:pStyle w:val="Heading4"/>
        <w:tabs>
          <w:tab w:pos="4896" w:val="left" w:leader="none"/>
        </w:tabs>
        <w:ind w:left="219" w:right="0"/>
        <w:jc w:val="left"/>
      </w:pPr>
      <w:r>
        <w:rPr/>
        <w:t>No.  </w:t>
      </w:r>
      <w:r>
        <w:rPr>
          <w:spacing w:val="23"/>
        </w:rPr>
        <w:t> </w:t>
      </w:r>
      <w:r>
        <w:rPr/>
        <w:t>FRACCIONAMIENTO</w:t>
        <w:tab/>
      </w:r>
      <w:r>
        <w:rPr>
          <w:position w:val="9"/>
        </w:rPr>
        <w:t>TARIFA</w:t>
      </w:r>
    </w:p>
    <w:p>
      <w:pPr>
        <w:pStyle w:val="BodyText"/>
        <w:tabs>
          <w:tab w:pos="595" w:val="left" w:leader="none"/>
          <w:tab w:pos="4818" w:val="left" w:leader="none"/>
        </w:tabs>
        <w:spacing w:before="114"/>
        <w:ind w:left="300"/>
      </w:pPr>
      <w:r>
        <w:rPr/>
        <w:t>1</w:t>
        <w:tab/>
        <w:t>ACUEDUCTO</w:t>
      </w:r>
      <w:r>
        <w:rPr>
          <w:spacing w:val="11"/>
        </w:rPr>
        <w:t> </w:t>
      </w:r>
      <w:r>
        <w:rPr/>
        <w:t>SAN</w:t>
      </w:r>
      <w:r>
        <w:rPr>
          <w:spacing w:val="14"/>
        </w:rPr>
        <w:t> </w:t>
      </w:r>
      <w:r>
        <w:rPr/>
        <w:t>AGUSTIN</w:t>
        <w:tab/>
      </w:r>
      <w:r>
        <w:rPr>
          <w:position w:val="-1"/>
        </w:rPr>
        <w:t>$ </w:t>
      </w:r>
      <w:r>
        <w:rPr>
          <w:spacing w:val="15"/>
          <w:position w:val="-1"/>
        </w:rPr>
        <w:t> </w:t>
      </w:r>
      <w:r>
        <w:rPr>
          <w:position w:val="-1"/>
        </w:rPr>
        <w:t>166.00</w:t>
      </w:r>
    </w:p>
    <w:p>
      <w:pPr>
        <w:spacing w:after="0"/>
        <w:sectPr>
          <w:type w:val="continuous"/>
          <w:pgSz w:w="23250" w:h="15310" w:orient="landscape"/>
          <w:pgMar w:top="0" w:bottom="0" w:left="1880" w:right="1520"/>
          <w:cols w:num="2" w:equalWidth="0">
            <w:col w:w="7357" w:space="4265"/>
            <w:col w:w="8228"/>
          </w:cols>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tbl>
      <w:tblPr>
        <w:tblW w:w="0" w:type="auto"/>
        <w:jc w:val="left"/>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0"/>
        <w:gridCol w:w="742"/>
        <w:gridCol w:w="6623"/>
        <w:gridCol w:w="2890"/>
        <w:gridCol w:w="2106"/>
      </w:tblGrid>
      <w:tr>
        <w:trPr>
          <w:trHeight w:val="206" w:hRule="atLeast"/>
        </w:trPr>
        <w:tc>
          <w:tcPr>
            <w:tcW w:w="4560" w:type="dxa"/>
          </w:tcPr>
          <w:p>
            <w:pPr>
              <w:pStyle w:val="TableParagraph"/>
              <w:tabs>
                <w:tab w:pos="387" w:val="left" w:leader="none"/>
              </w:tabs>
              <w:spacing w:line="171" w:lineRule="exact"/>
              <w:ind w:left="92"/>
              <w:rPr>
                <w:sz w:val="15"/>
              </w:rPr>
            </w:pPr>
            <w:r>
              <w:rPr>
                <w:sz w:val="15"/>
              </w:rPr>
              <w:t>2</w:t>
              <w:tab/>
              <w:t>ACUEDUCTO SAN</w:t>
            </w:r>
            <w:r>
              <w:rPr>
                <w:spacing w:val="3"/>
                <w:sz w:val="15"/>
              </w:rPr>
              <w:t> </w:t>
            </w:r>
            <w:r>
              <w:rPr>
                <w:sz w:val="15"/>
              </w:rPr>
              <w:t>JAVIER</w:t>
            </w:r>
          </w:p>
        </w:tc>
        <w:tc>
          <w:tcPr>
            <w:tcW w:w="742" w:type="dxa"/>
          </w:tcPr>
          <w:p>
            <w:pPr>
              <w:pStyle w:val="TableParagraph"/>
              <w:spacing w:line="166" w:lineRule="exact" w:before="20"/>
              <w:ind w:right="47"/>
              <w:jc w:val="right"/>
              <w:rPr>
                <w:sz w:val="15"/>
              </w:rPr>
            </w:pPr>
            <w:r>
              <w:rPr>
                <w:sz w:val="15"/>
              </w:rPr>
              <w:t>$ 158.00</w:t>
            </w:r>
          </w:p>
        </w:tc>
        <w:tc>
          <w:tcPr>
            <w:tcW w:w="6623" w:type="dxa"/>
          </w:tcPr>
          <w:p>
            <w:pPr>
              <w:pStyle w:val="TableParagraph"/>
              <w:spacing w:line="171" w:lineRule="exact"/>
              <w:ind w:right="79"/>
              <w:jc w:val="right"/>
              <w:rPr>
                <w:sz w:val="15"/>
              </w:rPr>
            </w:pPr>
            <w:r>
              <w:rPr>
                <w:sz w:val="15"/>
              </w:rPr>
              <w:t>45</w:t>
            </w:r>
          </w:p>
        </w:tc>
        <w:tc>
          <w:tcPr>
            <w:tcW w:w="2890" w:type="dxa"/>
          </w:tcPr>
          <w:p>
            <w:pPr>
              <w:pStyle w:val="TableParagraph"/>
              <w:spacing w:line="171" w:lineRule="exact"/>
              <w:ind w:left="84"/>
              <w:rPr>
                <w:sz w:val="15"/>
              </w:rPr>
            </w:pPr>
            <w:r>
              <w:rPr>
                <w:sz w:val="15"/>
              </w:rPr>
              <w:t>EL CAMICHIN DE SANTA ANITA</w:t>
            </w:r>
          </w:p>
        </w:tc>
        <w:tc>
          <w:tcPr>
            <w:tcW w:w="2106" w:type="dxa"/>
          </w:tcPr>
          <w:p>
            <w:pPr>
              <w:pStyle w:val="TableParagraph"/>
              <w:spacing w:line="167" w:lineRule="exact" w:before="20"/>
              <w:ind w:right="44"/>
              <w:jc w:val="right"/>
              <w:rPr>
                <w:sz w:val="15"/>
              </w:rPr>
            </w:pPr>
            <w:r>
              <w:rPr>
                <w:sz w:val="15"/>
              </w:rPr>
              <w:t>$ 159.00</w:t>
            </w:r>
          </w:p>
        </w:tc>
      </w:tr>
      <w:tr>
        <w:trPr>
          <w:trHeight w:val="220" w:hRule="atLeast"/>
        </w:trPr>
        <w:tc>
          <w:tcPr>
            <w:tcW w:w="4560" w:type="dxa"/>
          </w:tcPr>
          <w:p>
            <w:pPr>
              <w:pStyle w:val="TableParagraph"/>
              <w:tabs>
                <w:tab w:pos="387" w:val="left" w:leader="none"/>
              </w:tabs>
              <w:spacing w:before="12"/>
              <w:ind w:left="92"/>
              <w:rPr>
                <w:sz w:val="15"/>
              </w:rPr>
            </w:pPr>
            <w:r>
              <w:rPr>
                <w:sz w:val="15"/>
              </w:rPr>
              <w:t>3</w:t>
              <w:tab/>
              <w:t>ALTA</w:t>
            </w:r>
            <w:r>
              <w:rPr>
                <w:spacing w:val="1"/>
                <w:sz w:val="15"/>
              </w:rPr>
              <w:t> </w:t>
            </w:r>
            <w:r>
              <w:rPr>
                <w:sz w:val="15"/>
              </w:rPr>
              <w:t>CALIFORNIA</w:t>
            </w:r>
          </w:p>
        </w:tc>
        <w:tc>
          <w:tcPr>
            <w:tcW w:w="742" w:type="dxa"/>
          </w:tcPr>
          <w:p>
            <w:pPr>
              <w:pStyle w:val="TableParagraph"/>
              <w:spacing w:line="167" w:lineRule="exact" w:before="33"/>
              <w:ind w:right="47"/>
              <w:jc w:val="right"/>
              <w:rPr>
                <w:sz w:val="15"/>
              </w:rPr>
            </w:pPr>
            <w:r>
              <w:rPr>
                <w:sz w:val="15"/>
              </w:rPr>
              <w:t>$ 159.00</w:t>
            </w:r>
          </w:p>
        </w:tc>
        <w:tc>
          <w:tcPr>
            <w:tcW w:w="6623" w:type="dxa"/>
          </w:tcPr>
          <w:p>
            <w:pPr>
              <w:pStyle w:val="TableParagraph"/>
              <w:spacing w:before="11"/>
              <w:ind w:right="79"/>
              <w:jc w:val="right"/>
              <w:rPr>
                <w:sz w:val="15"/>
              </w:rPr>
            </w:pPr>
            <w:r>
              <w:rPr>
                <w:sz w:val="15"/>
              </w:rPr>
              <w:t>46</w:t>
            </w:r>
          </w:p>
        </w:tc>
        <w:tc>
          <w:tcPr>
            <w:tcW w:w="2890" w:type="dxa"/>
          </w:tcPr>
          <w:p>
            <w:pPr>
              <w:pStyle w:val="TableParagraph"/>
              <w:spacing w:before="11"/>
              <w:ind w:left="84"/>
              <w:rPr>
                <w:sz w:val="15"/>
              </w:rPr>
            </w:pPr>
            <w:r>
              <w:rPr>
                <w:sz w:val="15"/>
              </w:rPr>
              <w:t>EL CHIRIMOYO</w:t>
            </w:r>
          </w:p>
        </w:tc>
        <w:tc>
          <w:tcPr>
            <w:tcW w:w="2106" w:type="dxa"/>
          </w:tcPr>
          <w:p>
            <w:pPr>
              <w:pStyle w:val="TableParagraph"/>
              <w:spacing w:line="167" w:lineRule="exact" w:before="33"/>
              <w:ind w:right="44"/>
              <w:jc w:val="right"/>
              <w:rPr>
                <w:sz w:val="15"/>
              </w:rPr>
            </w:pPr>
            <w:r>
              <w:rPr>
                <w:sz w:val="15"/>
              </w:rPr>
              <w:t>$ 63.00</w:t>
            </w:r>
          </w:p>
        </w:tc>
      </w:tr>
      <w:tr>
        <w:trPr>
          <w:trHeight w:val="220" w:hRule="atLeast"/>
        </w:trPr>
        <w:tc>
          <w:tcPr>
            <w:tcW w:w="4560" w:type="dxa"/>
          </w:tcPr>
          <w:p>
            <w:pPr>
              <w:pStyle w:val="TableParagraph"/>
              <w:tabs>
                <w:tab w:pos="387" w:val="left" w:leader="none"/>
              </w:tabs>
              <w:spacing w:before="12"/>
              <w:ind w:left="92"/>
              <w:rPr>
                <w:sz w:val="15"/>
              </w:rPr>
            </w:pPr>
            <w:r>
              <w:rPr>
                <w:sz w:val="15"/>
              </w:rPr>
              <w:t>4</w:t>
              <w:tab/>
              <w:t>ALTEA</w:t>
            </w:r>
          </w:p>
        </w:tc>
        <w:tc>
          <w:tcPr>
            <w:tcW w:w="742" w:type="dxa"/>
          </w:tcPr>
          <w:p>
            <w:pPr>
              <w:pStyle w:val="TableParagraph"/>
              <w:spacing w:line="166" w:lineRule="exact" w:before="34"/>
              <w:ind w:right="47"/>
              <w:jc w:val="right"/>
              <w:rPr>
                <w:sz w:val="15"/>
              </w:rPr>
            </w:pPr>
            <w:r>
              <w:rPr>
                <w:sz w:val="15"/>
              </w:rPr>
              <w:t>$ 158.00</w:t>
            </w:r>
          </w:p>
        </w:tc>
        <w:tc>
          <w:tcPr>
            <w:tcW w:w="6623" w:type="dxa"/>
          </w:tcPr>
          <w:p>
            <w:pPr>
              <w:pStyle w:val="TableParagraph"/>
              <w:spacing w:before="12"/>
              <w:ind w:right="79"/>
              <w:jc w:val="right"/>
              <w:rPr>
                <w:sz w:val="15"/>
              </w:rPr>
            </w:pPr>
            <w:r>
              <w:rPr>
                <w:sz w:val="15"/>
              </w:rPr>
              <w:t>47</w:t>
            </w:r>
          </w:p>
        </w:tc>
        <w:tc>
          <w:tcPr>
            <w:tcW w:w="2890" w:type="dxa"/>
          </w:tcPr>
          <w:p>
            <w:pPr>
              <w:pStyle w:val="TableParagraph"/>
              <w:spacing w:before="12"/>
              <w:ind w:left="84"/>
              <w:rPr>
                <w:sz w:val="15"/>
              </w:rPr>
            </w:pPr>
            <w:r>
              <w:rPr>
                <w:sz w:val="15"/>
              </w:rPr>
              <w:t>EL CIELO "PALOMAR"</w:t>
            </w:r>
          </w:p>
        </w:tc>
        <w:tc>
          <w:tcPr>
            <w:tcW w:w="2106" w:type="dxa"/>
          </w:tcPr>
          <w:p>
            <w:pPr>
              <w:pStyle w:val="TableParagraph"/>
              <w:spacing w:line="167" w:lineRule="exact" w:before="34"/>
              <w:ind w:right="44"/>
              <w:jc w:val="right"/>
              <w:rPr>
                <w:sz w:val="15"/>
              </w:rPr>
            </w:pPr>
            <w:r>
              <w:rPr>
                <w:sz w:val="15"/>
              </w:rPr>
              <w:t>$ 238.00</w:t>
            </w:r>
          </w:p>
        </w:tc>
      </w:tr>
      <w:tr>
        <w:trPr>
          <w:trHeight w:val="220" w:hRule="atLeast"/>
        </w:trPr>
        <w:tc>
          <w:tcPr>
            <w:tcW w:w="4560" w:type="dxa"/>
          </w:tcPr>
          <w:p>
            <w:pPr>
              <w:pStyle w:val="TableParagraph"/>
              <w:tabs>
                <w:tab w:pos="387" w:val="left" w:leader="none"/>
              </w:tabs>
              <w:spacing w:before="12"/>
              <w:ind w:left="92"/>
              <w:rPr>
                <w:sz w:val="15"/>
              </w:rPr>
            </w:pPr>
            <w:r>
              <w:rPr>
                <w:sz w:val="15"/>
              </w:rPr>
              <w:t>5</w:t>
              <w:tab/>
              <w:t>ALTUS</w:t>
            </w:r>
            <w:r>
              <w:rPr>
                <w:spacing w:val="1"/>
                <w:sz w:val="15"/>
              </w:rPr>
              <w:t> </w:t>
            </w:r>
            <w:r>
              <w:rPr>
                <w:sz w:val="15"/>
              </w:rPr>
              <w:t>BOSQUES</w:t>
            </w:r>
          </w:p>
        </w:tc>
        <w:tc>
          <w:tcPr>
            <w:tcW w:w="742" w:type="dxa"/>
          </w:tcPr>
          <w:p>
            <w:pPr>
              <w:pStyle w:val="TableParagraph"/>
              <w:spacing w:line="167" w:lineRule="exact" w:before="33"/>
              <w:ind w:right="47"/>
              <w:jc w:val="right"/>
              <w:rPr>
                <w:sz w:val="15"/>
              </w:rPr>
            </w:pPr>
            <w:r>
              <w:rPr>
                <w:sz w:val="15"/>
              </w:rPr>
              <w:t>$ 166.00</w:t>
            </w:r>
          </w:p>
        </w:tc>
        <w:tc>
          <w:tcPr>
            <w:tcW w:w="6623" w:type="dxa"/>
          </w:tcPr>
          <w:p>
            <w:pPr>
              <w:pStyle w:val="TableParagraph"/>
              <w:spacing w:before="11"/>
              <w:ind w:right="80"/>
              <w:jc w:val="right"/>
              <w:rPr>
                <w:sz w:val="15"/>
              </w:rPr>
            </w:pPr>
            <w:r>
              <w:rPr>
                <w:sz w:val="15"/>
              </w:rPr>
              <w:t>48</w:t>
            </w:r>
          </w:p>
        </w:tc>
        <w:tc>
          <w:tcPr>
            <w:tcW w:w="2890" w:type="dxa"/>
          </w:tcPr>
          <w:p>
            <w:pPr>
              <w:pStyle w:val="TableParagraph"/>
              <w:spacing w:before="11"/>
              <w:ind w:left="84"/>
              <w:rPr>
                <w:sz w:val="15"/>
              </w:rPr>
            </w:pPr>
            <w:r>
              <w:rPr>
                <w:sz w:val="15"/>
              </w:rPr>
              <w:t>EL COLIBRI</w:t>
            </w:r>
          </w:p>
        </w:tc>
        <w:tc>
          <w:tcPr>
            <w:tcW w:w="2106" w:type="dxa"/>
          </w:tcPr>
          <w:p>
            <w:pPr>
              <w:pStyle w:val="TableParagraph"/>
              <w:spacing w:line="167" w:lineRule="exact" w:before="33"/>
              <w:ind w:right="44"/>
              <w:jc w:val="right"/>
              <w:rPr>
                <w:sz w:val="15"/>
              </w:rPr>
            </w:pPr>
            <w:r>
              <w:rPr>
                <w:sz w:val="15"/>
              </w:rPr>
              <w:t>$ 74.00</w:t>
            </w:r>
          </w:p>
        </w:tc>
      </w:tr>
      <w:tr>
        <w:trPr>
          <w:trHeight w:val="220" w:hRule="atLeast"/>
        </w:trPr>
        <w:tc>
          <w:tcPr>
            <w:tcW w:w="5302" w:type="dxa"/>
            <w:gridSpan w:val="2"/>
          </w:tcPr>
          <w:p>
            <w:pPr>
              <w:pStyle w:val="TableParagraph"/>
              <w:tabs>
                <w:tab w:pos="387" w:val="left" w:leader="none"/>
              </w:tabs>
              <w:spacing w:line="88" w:lineRule="exact" w:before="98"/>
              <w:ind w:left="92"/>
              <w:rPr>
                <w:sz w:val="15"/>
              </w:rPr>
            </w:pPr>
            <w:r>
              <w:rPr>
                <w:sz w:val="15"/>
              </w:rPr>
              <w:t>6</w:t>
              <w:tab/>
              <w:t>ARBOLADAS BOSQUES DE SANTA</w:t>
            </w:r>
            <w:r>
              <w:rPr>
                <w:spacing w:val="9"/>
                <w:sz w:val="15"/>
              </w:rPr>
              <w:t> </w:t>
            </w:r>
            <w:r>
              <w:rPr>
                <w:sz w:val="15"/>
              </w:rPr>
              <w:t>ANITA</w:t>
            </w:r>
          </w:p>
        </w:tc>
        <w:tc>
          <w:tcPr>
            <w:tcW w:w="6623" w:type="dxa"/>
          </w:tcPr>
          <w:p>
            <w:pPr>
              <w:pStyle w:val="TableParagraph"/>
              <w:spacing w:line="171" w:lineRule="exact"/>
              <w:ind w:right="79"/>
              <w:jc w:val="right"/>
              <w:rPr>
                <w:sz w:val="15"/>
              </w:rPr>
            </w:pPr>
            <w:r>
              <w:rPr>
                <w:sz w:val="15"/>
              </w:rPr>
              <w:t>49</w:t>
            </w:r>
          </w:p>
        </w:tc>
        <w:tc>
          <w:tcPr>
            <w:tcW w:w="2890" w:type="dxa"/>
          </w:tcPr>
          <w:p>
            <w:pPr>
              <w:pStyle w:val="TableParagraph"/>
              <w:spacing w:line="171" w:lineRule="exact"/>
              <w:ind w:left="84"/>
              <w:rPr>
                <w:sz w:val="15"/>
              </w:rPr>
            </w:pPr>
            <w:r>
              <w:rPr>
                <w:sz w:val="15"/>
              </w:rPr>
              <w:t>EL DERRAMADERO</w:t>
            </w:r>
          </w:p>
        </w:tc>
        <w:tc>
          <w:tcPr>
            <w:tcW w:w="2106" w:type="dxa"/>
          </w:tcPr>
          <w:p>
            <w:pPr>
              <w:pStyle w:val="TableParagraph"/>
              <w:spacing w:line="167" w:lineRule="exact" w:before="20"/>
              <w:ind w:right="44"/>
              <w:jc w:val="right"/>
              <w:rPr>
                <w:sz w:val="15"/>
              </w:rPr>
            </w:pPr>
            <w:r>
              <w:rPr>
                <w:sz w:val="15"/>
              </w:rPr>
              <w:t>$ 78.00</w:t>
            </w:r>
          </w:p>
        </w:tc>
      </w:tr>
      <w:tr>
        <w:trPr>
          <w:trHeight w:val="210" w:hRule="atLeast"/>
        </w:trPr>
        <w:tc>
          <w:tcPr>
            <w:tcW w:w="4560" w:type="dxa"/>
          </w:tcPr>
          <w:p>
            <w:pPr>
              <w:pStyle w:val="TableParagraph"/>
              <w:rPr>
                <w:rFonts w:ascii="Times New Roman"/>
                <w:sz w:val="12"/>
              </w:rPr>
            </w:pPr>
          </w:p>
        </w:tc>
        <w:tc>
          <w:tcPr>
            <w:tcW w:w="742" w:type="dxa"/>
          </w:tcPr>
          <w:p>
            <w:pPr>
              <w:pStyle w:val="TableParagraph"/>
              <w:spacing w:line="172" w:lineRule="exact"/>
              <w:ind w:right="47"/>
              <w:jc w:val="right"/>
              <w:rPr>
                <w:sz w:val="15"/>
              </w:rPr>
            </w:pPr>
            <w:r>
              <w:rPr>
                <w:sz w:val="15"/>
              </w:rPr>
              <w:t>$ 166.00</w:t>
            </w:r>
          </w:p>
        </w:tc>
        <w:tc>
          <w:tcPr>
            <w:tcW w:w="6623" w:type="dxa"/>
          </w:tcPr>
          <w:p>
            <w:pPr>
              <w:pStyle w:val="TableParagraph"/>
              <w:spacing w:line="171" w:lineRule="exact"/>
              <w:ind w:right="79"/>
              <w:jc w:val="right"/>
              <w:rPr>
                <w:sz w:val="15"/>
              </w:rPr>
            </w:pPr>
            <w:r>
              <w:rPr>
                <w:sz w:val="15"/>
              </w:rPr>
              <w:t>50</w:t>
            </w:r>
          </w:p>
        </w:tc>
        <w:tc>
          <w:tcPr>
            <w:tcW w:w="2890" w:type="dxa"/>
          </w:tcPr>
          <w:p>
            <w:pPr>
              <w:pStyle w:val="TableParagraph"/>
              <w:spacing w:line="171" w:lineRule="exact"/>
              <w:ind w:left="84"/>
              <w:rPr>
                <w:sz w:val="15"/>
              </w:rPr>
            </w:pPr>
            <w:r>
              <w:rPr>
                <w:sz w:val="15"/>
              </w:rPr>
              <w:t>EL ESQUIVEL</w:t>
            </w:r>
          </w:p>
        </w:tc>
        <w:tc>
          <w:tcPr>
            <w:tcW w:w="2106" w:type="dxa"/>
          </w:tcPr>
          <w:p>
            <w:pPr>
              <w:pStyle w:val="TableParagraph"/>
              <w:spacing w:line="156" w:lineRule="exact" w:before="20"/>
              <w:ind w:right="44"/>
              <w:jc w:val="right"/>
              <w:rPr>
                <w:sz w:val="15"/>
              </w:rPr>
            </w:pPr>
            <w:r>
              <w:rPr>
                <w:sz w:val="15"/>
              </w:rPr>
              <w:t>$ 74.00</w:t>
            </w:r>
          </w:p>
        </w:tc>
      </w:tr>
      <w:tr>
        <w:trPr>
          <w:trHeight w:val="220" w:hRule="atLeast"/>
        </w:trPr>
        <w:tc>
          <w:tcPr>
            <w:tcW w:w="4560" w:type="dxa"/>
          </w:tcPr>
          <w:p>
            <w:pPr>
              <w:pStyle w:val="TableParagraph"/>
              <w:tabs>
                <w:tab w:pos="387" w:val="left" w:leader="none"/>
              </w:tabs>
              <w:spacing w:before="1"/>
              <w:ind w:left="92"/>
              <w:rPr>
                <w:sz w:val="15"/>
              </w:rPr>
            </w:pPr>
            <w:r>
              <w:rPr>
                <w:sz w:val="15"/>
              </w:rPr>
              <w:t>7</w:t>
              <w:tab/>
              <w:t>ARBOLEDAS DE SANTA</w:t>
            </w:r>
            <w:r>
              <w:rPr>
                <w:spacing w:val="5"/>
                <w:sz w:val="15"/>
              </w:rPr>
              <w:t> </w:t>
            </w:r>
            <w:r>
              <w:rPr>
                <w:sz w:val="15"/>
              </w:rPr>
              <w:t>ANITA</w:t>
            </w:r>
          </w:p>
        </w:tc>
        <w:tc>
          <w:tcPr>
            <w:tcW w:w="742" w:type="dxa"/>
          </w:tcPr>
          <w:p>
            <w:pPr>
              <w:pStyle w:val="TableParagraph"/>
              <w:spacing w:before="23"/>
              <w:ind w:right="47"/>
              <w:jc w:val="right"/>
              <w:rPr>
                <w:sz w:val="15"/>
              </w:rPr>
            </w:pPr>
            <w:r>
              <w:rPr>
                <w:sz w:val="15"/>
              </w:rPr>
              <w:t>$ 166.00</w:t>
            </w:r>
          </w:p>
        </w:tc>
        <w:tc>
          <w:tcPr>
            <w:tcW w:w="6623" w:type="dxa"/>
          </w:tcPr>
          <w:p>
            <w:pPr>
              <w:pStyle w:val="TableParagraph"/>
              <w:spacing w:before="22"/>
              <w:ind w:right="79"/>
              <w:jc w:val="right"/>
              <w:rPr>
                <w:sz w:val="15"/>
              </w:rPr>
            </w:pPr>
            <w:r>
              <w:rPr>
                <w:sz w:val="15"/>
              </w:rPr>
              <w:t>51</w:t>
            </w:r>
          </w:p>
        </w:tc>
        <w:tc>
          <w:tcPr>
            <w:tcW w:w="2890" w:type="dxa"/>
          </w:tcPr>
          <w:p>
            <w:pPr>
              <w:pStyle w:val="TableParagraph"/>
              <w:spacing w:before="22"/>
              <w:ind w:left="84"/>
              <w:rPr>
                <w:sz w:val="15"/>
              </w:rPr>
            </w:pPr>
            <w:r>
              <w:rPr>
                <w:sz w:val="15"/>
              </w:rPr>
              <w:t>EL LAGO</w:t>
            </w:r>
          </w:p>
        </w:tc>
        <w:tc>
          <w:tcPr>
            <w:tcW w:w="2106" w:type="dxa"/>
          </w:tcPr>
          <w:p>
            <w:pPr>
              <w:pStyle w:val="TableParagraph"/>
              <w:spacing w:line="156" w:lineRule="exact" w:before="44"/>
              <w:ind w:right="44"/>
              <w:jc w:val="right"/>
              <w:rPr>
                <w:sz w:val="15"/>
              </w:rPr>
            </w:pPr>
            <w:r>
              <w:rPr>
                <w:sz w:val="15"/>
              </w:rPr>
              <w:t>$ 78.00</w:t>
            </w:r>
          </w:p>
        </w:tc>
      </w:tr>
      <w:tr>
        <w:trPr>
          <w:trHeight w:val="220" w:hRule="atLeast"/>
        </w:trPr>
        <w:tc>
          <w:tcPr>
            <w:tcW w:w="4560" w:type="dxa"/>
          </w:tcPr>
          <w:p>
            <w:pPr>
              <w:pStyle w:val="TableParagraph"/>
              <w:tabs>
                <w:tab w:pos="387" w:val="left" w:leader="none"/>
              </w:tabs>
              <w:spacing w:before="1"/>
              <w:ind w:left="92"/>
              <w:rPr>
                <w:sz w:val="15"/>
              </w:rPr>
            </w:pPr>
            <w:r>
              <w:rPr>
                <w:sz w:val="15"/>
              </w:rPr>
              <w:t>8</w:t>
              <w:tab/>
              <w:t>ARCOS DE LA</w:t>
            </w:r>
            <w:r>
              <w:rPr>
                <w:spacing w:val="4"/>
                <w:sz w:val="15"/>
              </w:rPr>
              <w:t> </w:t>
            </w:r>
            <w:r>
              <w:rPr>
                <w:sz w:val="15"/>
              </w:rPr>
              <w:t>CRUZ</w:t>
            </w:r>
          </w:p>
        </w:tc>
        <w:tc>
          <w:tcPr>
            <w:tcW w:w="742" w:type="dxa"/>
          </w:tcPr>
          <w:p>
            <w:pPr>
              <w:pStyle w:val="TableParagraph"/>
              <w:spacing w:before="23"/>
              <w:ind w:right="47"/>
              <w:jc w:val="right"/>
              <w:rPr>
                <w:sz w:val="15"/>
              </w:rPr>
            </w:pPr>
            <w:r>
              <w:rPr>
                <w:sz w:val="15"/>
              </w:rPr>
              <w:t>$ 78.00</w:t>
            </w:r>
          </w:p>
        </w:tc>
        <w:tc>
          <w:tcPr>
            <w:tcW w:w="6623" w:type="dxa"/>
          </w:tcPr>
          <w:p>
            <w:pPr>
              <w:pStyle w:val="TableParagraph"/>
              <w:spacing w:before="22"/>
              <w:ind w:right="79"/>
              <w:jc w:val="right"/>
              <w:rPr>
                <w:sz w:val="15"/>
              </w:rPr>
            </w:pPr>
            <w:r>
              <w:rPr>
                <w:sz w:val="15"/>
              </w:rPr>
              <w:t>52</w:t>
            </w:r>
          </w:p>
        </w:tc>
        <w:tc>
          <w:tcPr>
            <w:tcW w:w="2890" w:type="dxa"/>
          </w:tcPr>
          <w:p>
            <w:pPr>
              <w:pStyle w:val="TableParagraph"/>
              <w:spacing w:before="22"/>
              <w:ind w:left="84"/>
              <w:rPr>
                <w:sz w:val="15"/>
              </w:rPr>
            </w:pPr>
            <w:r>
              <w:rPr>
                <w:sz w:val="15"/>
              </w:rPr>
              <w:t>EL MANANTIAL</w:t>
            </w:r>
          </w:p>
        </w:tc>
        <w:tc>
          <w:tcPr>
            <w:tcW w:w="2106" w:type="dxa"/>
          </w:tcPr>
          <w:p>
            <w:pPr>
              <w:pStyle w:val="TableParagraph"/>
              <w:spacing w:line="156" w:lineRule="exact" w:before="44"/>
              <w:ind w:right="44"/>
              <w:jc w:val="right"/>
              <w:rPr>
                <w:sz w:val="15"/>
              </w:rPr>
            </w:pPr>
            <w:r>
              <w:rPr>
                <w:sz w:val="15"/>
              </w:rPr>
              <w:t>$ 166.00</w:t>
            </w:r>
          </w:p>
        </w:tc>
      </w:tr>
      <w:tr>
        <w:trPr>
          <w:trHeight w:val="220" w:hRule="atLeast"/>
        </w:trPr>
        <w:tc>
          <w:tcPr>
            <w:tcW w:w="4560" w:type="dxa"/>
          </w:tcPr>
          <w:p>
            <w:pPr>
              <w:pStyle w:val="TableParagraph"/>
              <w:tabs>
                <w:tab w:pos="387" w:val="left" w:leader="none"/>
              </w:tabs>
              <w:spacing w:before="1"/>
              <w:ind w:left="92"/>
              <w:rPr>
                <w:sz w:val="15"/>
              </w:rPr>
            </w:pPr>
            <w:r>
              <w:rPr>
                <w:sz w:val="15"/>
              </w:rPr>
              <w:t>9</w:t>
              <w:tab/>
              <w:t>ARCOS DE SAN</w:t>
            </w:r>
            <w:r>
              <w:rPr>
                <w:spacing w:val="5"/>
                <w:sz w:val="15"/>
              </w:rPr>
              <w:t> </w:t>
            </w:r>
            <w:r>
              <w:rPr>
                <w:sz w:val="15"/>
              </w:rPr>
              <w:t>SEBASTIAN</w:t>
            </w:r>
          </w:p>
        </w:tc>
        <w:tc>
          <w:tcPr>
            <w:tcW w:w="742" w:type="dxa"/>
          </w:tcPr>
          <w:p>
            <w:pPr>
              <w:pStyle w:val="TableParagraph"/>
              <w:spacing w:before="23"/>
              <w:ind w:right="47"/>
              <w:jc w:val="right"/>
              <w:rPr>
                <w:sz w:val="15"/>
              </w:rPr>
            </w:pPr>
            <w:r>
              <w:rPr>
                <w:sz w:val="15"/>
              </w:rPr>
              <w:t>$ 63.00</w:t>
            </w:r>
          </w:p>
        </w:tc>
        <w:tc>
          <w:tcPr>
            <w:tcW w:w="6623" w:type="dxa"/>
          </w:tcPr>
          <w:p>
            <w:pPr>
              <w:pStyle w:val="TableParagraph"/>
              <w:spacing w:before="22"/>
              <w:ind w:right="79"/>
              <w:jc w:val="right"/>
              <w:rPr>
                <w:sz w:val="15"/>
              </w:rPr>
            </w:pPr>
            <w:r>
              <w:rPr>
                <w:sz w:val="15"/>
              </w:rPr>
              <w:t>53</w:t>
            </w:r>
          </w:p>
        </w:tc>
        <w:tc>
          <w:tcPr>
            <w:tcW w:w="2890" w:type="dxa"/>
          </w:tcPr>
          <w:p>
            <w:pPr>
              <w:pStyle w:val="TableParagraph"/>
              <w:spacing w:before="22"/>
              <w:ind w:left="84"/>
              <w:rPr>
                <w:sz w:val="15"/>
              </w:rPr>
            </w:pPr>
            <w:r>
              <w:rPr>
                <w:sz w:val="15"/>
              </w:rPr>
              <w:t>EL ORIGEN</w:t>
            </w:r>
          </w:p>
        </w:tc>
        <w:tc>
          <w:tcPr>
            <w:tcW w:w="2106" w:type="dxa"/>
          </w:tcPr>
          <w:p>
            <w:pPr>
              <w:pStyle w:val="TableParagraph"/>
              <w:spacing w:line="156" w:lineRule="exact" w:before="44"/>
              <w:ind w:right="44"/>
              <w:jc w:val="right"/>
              <w:rPr>
                <w:sz w:val="15"/>
              </w:rPr>
            </w:pPr>
            <w:r>
              <w:rPr>
                <w:sz w:val="15"/>
              </w:rPr>
              <w:t>$ 167.00</w:t>
            </w:r>
          </w:p>
        </w:tc>
      </w:tr>
      <w:tr>
        <w:trPr>
          <w:trHeight w:val="220" w:hRule="atLeast"/>
        </w:trPr>
        <w:tc>
          <w:tcPr>
            <w:tcW w:w="4560" w:type="dxa"/>
          </w:tcPr>
          <w:p>
            <w:pPr>
              <w:pStyle w:val="TableParagraph"/>
              <w:spacing w:before="1"/>
              <w:ind w:left="50"/>
              <w:rPr>
                <w:sz w:val="15"/>
              </w:rPr>
            </w:pPr>
            <w:r>
              <w:rPr>
                <w:sz w:val="15"/>
              </w:rPr>
              <w:t>10 ARVENTO</w:t>
            </w:r>
          </w:p>
        </w:tc>
        <w:tc>
          <w:tcPr>
            <w:tcW w:w="742" w:type="dxa"/>
          </w:tcPr>
          <w:p>
            <w:pPr>
              <w:pStyle w:val="TableParagraph"/>
              <w:spacing w:before="23"/>
              <w:ind w:right="47"/>
              <w:jc w:val="right"/>
              <w:rPr>
                <w:sz w:val="15"/>
              </w:rPr>
            </w:pPr>
            <w:r>
              <w:rPr>
                <w:sz w:val="15"/>
              </w:rPr>
              <w:t>$ 74.00</w:t>
            </w:r>
          </w:p>
        </w:tc>
        <w:tc>
          <w:tcPr>
            <w:tcW w:w="6623" w:type="dxa"/>
          </w:tcPr>
          <w:p>
            <w:pPr>
              <w:pStyle w:val="TableParagraph"/>
              <w:spacing w:before="22"/>
              <w:ind w:right="79"/>
              <w:jc w:val="right"/>
              <w:rPr>
                <w:sz w:val="15"/>
              </w:rPr>
            </w:pPr>
            <w:r>
              <w:rPr>
                <w:sz w:val="15"/>
              </w:rPr>
              <w:t>54</w:t>
            </w:r>
          </w:p>
        </w:tc>
        <w:tc>
          <w:tcPr>
            <w:tcW w:w="2890" w:type="dxa"/>
          </w:tcPr>
          <w:p>
            <w:pPr>
              <w:pStyle w:val="TableParagraph"/>
              <w:spacing w:before="22"/>
              <w:ind w:left="84"/>
              <w:rPr>
                <w:sz w:val="15"/>
              </w:rPr>
            </w:pPr>
            <w:r>
              <w:rPr>
                <w:sz w:val="15"/>
              </w:rPr>
              <w:t>EL PALOMAR</w:t>
            </w:r>
          </w:p>
        </w:tc>
        <w:tc>
          <w:tcPr>
            <w:tcW w:w="2106" w:type="dxa"/>
          </w:tcPr>
          <w:p>
            <w:pPr>
              <w:pStyle w:val="TableParagraph"/>
              <w:spacing w:line="156" w:lineRule="exact" w:before="44"/>
              <w:ind w:right="44"/>
              <w:jc w:val="right"/>
              <w:rPr>
                <w:sz w:val="15"/>
              </w:rPr>
            </w:pPr>
            <w:r>
              <w:rPr>
                <w:sz w:val="15"/>
              </w:rPr>
              <w:t>$ 238.00</w:t>
            </w:r>
          </w:p>
        </w:tc>
      </w:tr>
      <w:tr>
        <w:trPr>
          <w:trHeight w:val="220" w:hRule="atLeast"/>
        </w:trPr>
        <w:tc>
          <w:tcPr>
            <w:tcW w:w="4560" w:type="dxa"/>
          </w:tcPr>
          <w:p>
            <w:pPr>
              <w:pStyle w:val="TableParagraph"/>
              <w:spacing w:before="1"/>
              <w:ind w:left="50"/>
              <w:rPr>
                <w:sz w:val="15"/>
              </w:rPr>
            </w:pPr>
            <w:r>
              <w:rPr>
                <w:sz w:val="15"/>
              </w:rPr>
              <w:t>11 BALCONES DE LA CALERA</w:t>
            </w:r>
          </w:p>
        </w:tc>
        <w:tc>
          <w:tcPr>
            <w:tcW w:w="742" w:type="dxa"/>
          </w:tcPr>
          <w:p>
            <w:pPr>
              <w:pStyle w:val="TableParagraph"/>
              <w:spacing w:before="23"/>
              <w:ind w:right="47"/>
              <w:jc w:val="right"/>
              <w:rPr>
                <w:sz w:val="15"/>
              </w:rPr>
            </w:pPr>
            <w:r>
              <w:rPr>
                <w:sz w:val="15"/>
              </w:rPr>
              <w:t>$ 166.00</w:t>
            </w:r>
          </w:p>
        </w:tc>
        <w:tc>
          <w:tcPr>
            <w:tcW w:w="6623" w:type="dxa"/>
          </w:tcPr>
          <w:p>
            <w:pPr>
              <w:pStyle w:val="TableParagraph"/>
              <w:spacing w:before="22"/>
              <w:ind w:right="79"/>
              <w:jc w:val="right"/>
              <w:rPr>
                <w:sz w:val="15"/>
              </w:rPr>
            </w:pPr>
            <w:r>
              <w:rPr>
                <w:sz w:val="15"/>
              </w:rPr>
              <w:t>55</w:t>
            </w:r>
          </w:p>
        </w:tc>
        <w:tc>
          <w:tcPr>
            <w:tcW w:w="2890" w:type="dxa"/>
          </w:tcPr>
          <w:p>
            <w:pPr>
              <w:pStyle w:val="TableParagraph"/>
              <w:spacing w:before="22"/>
              <w:ind w:left="84"/>
              <w:rPr>
                <w:sz w:val="15"/>
              </w:rPr>
            </w:pPr>
            <w:r>
              <w:rPr>
                <w:sz w:val="15"/>
              </w:rPr>
              <w:t>EL PARAISO (SAN JOSE DEL VALLE)</w:t>
            </w:r>
          </w:p>
        </w:tc>
        <w:tc>
          <w:tcPr>
            <w:tcW w:w="2106" w:type="dxa"/>
          </w:tcPr>
          <w:p>
            <w:pPr>
              <w:pStyle w:val="TableParagraph"/>
              <w:spacing w:line="156" w:lineRule="exact" w:before="44"/>
              <w:ind w:right="44"/>
              <w:jc w:val="right"/>
              <w:rPr>
                <w:sz w:val="15"/>
              </w:rPr>
            </w:pPr>
            <w:r>
              <w:rPr>
                <w:sz w:val="15"/>
              </w:rPr>
              <w:t>$ 78.00</w:t>
            </w:r>
          </w:p>
        </w:tc>
      </w:tr>
      <w:tr>
        <w:trPr>
          <w:trHeight w:val="220" w:hRule="atLeast"/>
        </w:trPr>
        <w:tc>
          <w:tcPr>
            <w:tcW w:w="4560" w:type="dxa"/>
          </w:tcPr>
          <w:p>
            <w:pPr>
              <w:pStyle w:val="TableParagraph"/>
              <w:spacing w:before="1"/>
              <w:ind w:left="50"/>
              <w:rPr>
                <w:sz w:val="15"/>
              </w:rPr>
            </w:pPr>
            <w:r>
              <w:rPr>
                <w:sz w:val="15"/>
              </w:rPr>
              <w:t>12 BALCONES DE SANTA ANITA</w:t>
            </w:r>
          </w:p>
        </w:tc>
        <w:tc>
          <w:tcPr>
            <w:tcW w:w="742" w:type="dxa"/>
          </w:tcPr>
          <w:p>
            <w:pPr>
              <w:pStyle w:val="TableParagraph"/>
              <w:spacing w:before="23"/>
              <w:ind w:right="47"/>
              <w:jc w:val="right"/>
              <w:rPr>
                <w:sz w:val="15"/>
              </w:rPr>
            </w:pPr>
            <w:r>
              <w:rPr>
                <w:sz w:val="15"/>
              </w:rPr>
              <w:t>$ 78.00</w:t>
            </w:r>
          </w:p>
        </w:tc>
        <w:tc>
          <w:tcPr>
            <w:tcW w:w="6623" w:type="dxa"/>
          </w:tcPr>
          <w:p>
            <w:pPr>
              <w:pStyle w:val="TableParagraph"/>
              <w:spacing w:before="22"/>
              <w:ind w:right="80"/>
              <w:jc w:val="right"/>
              <w:rPr>
                <w:sz w:val="15"/>
              </w:rPr>
            </w:pPr>
            <w:r>
              <w:rPr>
                <w:sz w:val="15"/>
              </w:rPr>
              <w:t>56</w:t>
            </w:r>
          </w:p>
        </w:tc>
        <w:tc>
          <w:tcPr>
            <w:tcW w:w="2890" w:type="dxa"/>
          </w:tcPr>
          <w:p>
            <w:pPr>
              <w:pStyle w:val="TableParagraph"/>
              <w:spacing w:before="22"/>
              <w:ind w:left="84"/>
              <w:rPr>
                <w:sz w:val="15"/>
              </w:rPr>
            </w:pPr>
            <w:r>
              <w:rPr>
                <w:sz w:val="15"/>
              </w:rPr>
              <w:t>EL PARAISO DE SAN SEBASTIAN</w:t>
            </w:r>
          </w:p>
        </w:tc>
        <w:tc>
          <w:tcPr>
            <w:tcW w:w="2106" w:type="dxa"/>
          </w:tcPr>
          <w:p>
            <w:pPr>
              <w:pStyle w:val="TableParagraph"/>
              <w:spacing w:line="156" w:lineRule="exact" w:before="44"/>
              <w:ind w:right="44"/>
              <w:jc w:val="right"/>
              <w:rPr>
                <w:sz w:val="15"/>
              </w:rPr>
            </w:pPr>
            <w:r>
              <w:rPr>
                <w:sz w:val="15"/>
              </w:rPr>
              <w:t>$ 63.00</w:t>
            </w:r>
          </w:p>
        </w:tc>
      </w:tr>
      <w:tr>
        <w:trPr>
          <w:trHeight w:val="220" w:hRule="atLeast"/>
        </w:trPr>
        <w:tc>
          <w:tcPr>
            <w:tcW w:w="4560" w:type="dxa"/>
          </w:tcPr>
          <w:p>
            <w:pPr>
              <w:pStyle w:val="TableParagraph"/>
              <w:spacing w:before="1"/>
              <w:ind w:left="50"/>
              <w:rPr>
                <w:sz w:val="15"/>
              </w:rPr>
            </w:pPr>
            <w:r>
              <w:rPr>
                <w:sz w:val="15"/>
              </w:rPr>
              <w:t>13 BANUS RESIDENCIAL</w:t>
            </w:r>
          </w:p>
        </w:tc>
        <w:tc>
          <w:tcPr>
            <w:tcW w:w="742" w:type="dxa"/>
          </w:tcPr>
          <w:p>
            <w:pPr>
              <w:pStyle w:val="TableParagraph"/>
              <w:spacing w:before="23"/>
              <w:ind w:right="47"/>
              <w:jc w:val="right"/>
              <w:rPr>
                <w:sz w:val="15"/>
              </w:rPr>
            </w:pPr>
            <w:r>
              <w:rPr>
                <w:sz w:val="15"/>
              </w:rPr>
              <w:t>$ 174.00</w:t>
            </w:r>
          </w:p>
        </w:tc>
        <w:tc>
          <w:tcPr>
            <w:tcW w:w="6623" w:type="dxa"/>
          </w:tcPr>
          <w:p>
            <w:pPr>
              <w:pStyle w:val="TableParagraph"/>
              <w:spacing w:before="22"/>
              <w:ind w:right="79"/>
              <w:jc w:val="right"/>
              <w:rPr>
                <w:sz w:val="15"/>
              </w:rPr>
            </w:pPr>
            <w:r>
              <w:rPr>
                <w:sz w:val="15"/>
              </w:rPr>
              <w:t>57</w:t>
            </w:r>
          </w:p>
        </w:tc>
        <w:tc>
          <w:tcPr>
            <w:tcW w:w="2890" w:type="dxa"/>
          </w:tcPr>
          <w:p>
            <w:pPr>
              <w:pStyle w:val="TableParagraph"/>
              <w:spacing w:before="22"/>
              <w:ind w:left="84"/>
              <w:rPr>
                <w:sz w:val="15"/>
              </w:rPr>
            </w:pPr>
            <w:r>
              <w:rPr>
                <w:sz w:val="15"/>
              </w:rPr>
              <w:t>EL RENACIMIENTO</w:t>
            </w:r>
          </w:p>
        </w:tc>
        <w:tc>
          <w:tcPr>
            <w:tcW w:w="2106" w:type="dxa"/>
          </w:tcPr>
          <w:p>
            <w:pPr>
              <w:pStyle w:val="TableParagraph"/>
              <w:spacing w:line="156" w:lineRule="exact" w:before="44"/>
              <w:ind w:right="44"/>
              <w:jc w:val="right"/>
              <w:rPr>
                <w:sz w:val="15"/>
              </w:rPr>
            </w:pPr>
            <w:r>
              <w:rPr>
                <w:sz w:val="15"/>
              </w:rPr>
              <w:t>$ 85.00</w:t>
            </w:r>
          </w:p>
        </w:tc>
      </w:tr>
      <w:tr>
        <w:trPr>
          <w:trHeight w:val="220" w:hRule="atLeast"/>
        </w:trPr>
        <w:tc>
          <w:tcPr>
            <w:tcW w:w="4560" w:type="dxa"/>
          </w:tcPr>
          <w:p>
            <w:pPr>
              <w:pStyle w:val="TableParagraph"/>
              <w:spacing w:before="1"/>
              <w:ind w:left="50"/>
              <w:rPr>
                <w:sz w:val="15"/>
              </w:rPr>
            </w:pPr>
            <w:r>
              <w:rPr>
                <w:sz w:val="15"/>
              </w:rPr>
              <w:t>14 BELCANTO</w:t>
            </w:r>
          </w:p>
        </w:tc>
        <w:tc>
          <w:tcPr>
            <w:tcW w:w="742" w:type="dxa"/>
          </w:tcPr>
          <w:p>
            <w:pPr>
              <w:pStyle w:val="TableParagraph"/>
              <w:spacing w:before="23"/>
              <w:ind w:right="47"/>
              <w:jc w:val="right"/>
              <w:rPr>
                <w:sz w:val="15"/>
              </w:rPr>
            </w:pPr>
            <w:r>
              <w:rPr>
                <w:sz w:val="15"/>
              </w:rPr>
              <w:t>$ 167.00</w:t>
            </w:r>
          </w:p>
        </w:tc>
        <w:tc>
          <w:tcPr>
            <w:tcW w:w="6623" w:type="dxa"/>
          </w:tcPr>
          <w:p>
            <w:pPr>
              <w:pStyle w:val="TableParagraph"/>
              <w:spacing w:before="22"/>
              <w:ind w:right="79"/>
              <w:jc w:val="right"/>
              <w:rPr>
                <w:sz w:val="15"/>
              </w:rPr>
            </w:pPr>
            <w:r>
              <w:rPr>
                <w:sz w:val="15"/>
              </w:rPr>
              <w:t>58</w:t>
            </w:r>
          </w:p>
        </w:tc>
        <w:tc>
          <w:tcPr>
            <w:tcW w:w="2890" w:type="dxa"/>
          </w:tcPr>
          <w:p>
            <w:pPr>
              <w:pStyle w:val="TableParagraph"/>
              <w:spacing w:before="22"/>
              <w:ind w:left="84"/>
              <w:rPr>
                <w:sz w:val="15"/>
              </w:rPr>
            </w:pPr>
            <w:r>
              <w:rPr>
                <w:sz w:val="15"/>
              </w:rPr>
              <w:t>ELEMENTIA</w:t>
            </w:r>
          </w:p>
        </w:tc>
        <w:tc>
          <w:tcPr>
            <w:tcW w:w="2106" w:type="dxa"/>
          </w:tcPr>
          <w:p>
            <w:pPr>
              <w:pStyle w:val="TableParagraph"/>
              <w:spacing w:line="156" w:lineRule="exact" w:before="44"/>
              <w:ind w:right="44"/>
              <w:jc w:val="right"/>
              <w:rPr>
                <w:sz w:val="15"/>
              </w:rPr>
            </w:pPr>
            <w:r>
              <w:rPr>
                <w:sz w:val="15"/>
              </w:rPr>
              <w:t>$ 166.00</w:t>
            </w:r>
          </w:p>
        </w:tc>
      </w:tr>
      <w:tr>
        <w:trPr>
          <w:trHeight w:val="220" w:hRule="atLeast"/>
        </w:trPr>
        <w:tc>
          <w:tcPr>
            <w:tcW w:w="4560" w:type="dxa"/>
          </w:tcPr>
          <w:p>
            <w:pPr>
              <w:pStyle w:val="TableParagraph"/>
              <w:spacing w:before="1"/>
              <w:ind w:left="50"/>
              <w:rPr>
                <w:sz w:val="15"/>
              </w:rPr>
            </w:pPr>
            <w:r>
              <w:rPr>
                <w:sz w:val="15"/>
              </w:rPr>
              <w:t>15 BELLATERRA</w:t>
            </w:r>
          </w:p>
        </w:tc>
        <w:tc>
          <w:tcPr>
            <w:tcW w:w="742" w:type="dxa"/>
          </w:tcPr>
          <w:p>
            <w:pPr>
              <w:pStyle w:val="TableParagraph"/>
              <w:spacing w:before="23"/>
              <w:ind w:right="47"/>
              <w:jc w:val="right"/>
              <w:rPr>
                <w:sz w:val="15"/>
              </w:rPr>
            </w:pPr>
            <w:r>
              <w:rPr>
                <w:sz w:val="15"/>
              </w:rPr>
              <w:t>$ 158.00</w:t>
            </w:r>
          </w:p>
        </w:tc>
        <w:tc>
          <w:tcPr>
            <w:tcW w:w="6623" w:type="dxa"/>
          </w:tcPr>
          <w:p>
            <w:pPr>
              <w:pStyle w:val="TableParagraph"/>
              <w:spacing w:before="22"/>
              <w:ind w:right="79"/>
              <w:jc w:val="right"/>
              <w:rPr>
                <w:sz w:val="15"/>
              </w:rPr>
            </w:pPr>
            <w:r>
              <w:rPr>
                <w:sz w:val="15"/>
              </w:rPr>
              <w:t>59</w:t>
            </w:r>
          </w:p>
        </w:tc>
        <w:tc>
          <w:tcPr>
            <w:tcW w:w="2890" w:type="dxa"/>
          </w:tcPr>
          <w:p>
            <w:pPr>
              <w:pStyle w:val="TableParagraph"/>
              <w:spacing w:before="22"/>
              <w:ind w:left="84"/>
              <w:rPr>
                <w:sz w:val="15"/>
              </w:rPr>
            </w:pPr>
            <w:r>
              <w:rPr>
                <w:sz w:val="15"/>
              </w:rPr>
              <w:t>FORESTA SANTA ANITA</w:t>
            </w:r>
          </w:p>
        </w:tc>
        <w:tc>
          <w:tcPr>
            <w:tcW w:w="2106" w:type="dxa"/>
          </w:tcPr>
          <w:p>
            <w:pPr>
              <w:pStyle w:val="TableParagraph"/>
              <w:spacing w:line="156" w:lineRule="exact" w:before="44"/>
              <w:ind w:right="44"/>
              <w:jc w:val="right"/>
              <w:rPr>
                <w:sz w:val="15"/>
              </w:rPr>
            </w:pPr>
            <w:r>
              <w:rPr>
                <w:sz w:val="15"/>
              </w:rPr>
              <w:t>$ 167.00</w:t>
            </w:r>
          </w:p>
        </w:tc>
      </w:tr>
      <w:tr>
        <w:trPr>
          <w:trHeight w:val="220" w:hRule="atLeast"/>
        </w:trPr>
        <w:tc>
          <w:tcPr>
            <w:tcW w:w="4560" w:type="dxa"/>
          </w:tcPr>
          <w:p>
            <w:pPr>
              <w:pStyle w:val="TableParagraph"/>
              <w:spacing w:before="1"/>
              <w:ind w:left="50"/>
              <w:rPr>
                <w:sz w:val="15"/>
              </w:rPr>
            </w:pPr>
            <w:r>
              <w:rPr>
                <w:sz w:val="15"/>
              </w:rPr>
              <w:t>16 BONANZA RESIDENCIAL</w:t>
            </w:r>
          </w:p>
        </w:tc>
        <w:tc>
          <w:tcPr>
            <w:tcW w:w="742" w:type="dxa"/>
          </w:tcPr>
          <w:p>
            <w:pPr>
              <w:pStyle w:val="TableParagraph"/>
              <w:spacing w:before="23"/>
              <w:ind w:right="47"/>
              <w:jc w:val="right"/>
              <w:rPr>
                <w:sz w:val="15"/>
              </w:rPr>
            </w:pPr>
            <w:r>
              <w:rPr>
                <w:sz w:val="15"/>
              </w:rPr>
              <w:t>$ 166.00</w:t>
            </w:r>
          </w:p>
        </w:tc>
        <w:tc>
          <w:tcPr>
            <w:tcW w:w="6623" w:type="dxa"/>
          </w:tcPr>
          <w:p>
            <w:pPr>
              <w:pStyle w:val="TableParagraph"/>
              <w:spacing w:before="22"/>
              <w:ind w:right="79"/>
              <w:jc w:val="right"/>
              <w:rPr>
                <w:sz w:val="15"/>
              </w:rPr>
            </w:pPr>
            <w:r>
              <w:rPr>
                <w:sz w:val="15"/>
              </w:rPr>
              <w:t>60</w:t>
            </w:r>
          </w:p>
        </w:tc>
        <w:tc>
          <w:tcPr>
            <w:tcW w:w="2890" w:type="dxa"/>
          </w:tcPr>
          <w:p>
            <w:pPr>
              <w:pStyle w:val="TableParagraph"/>
              <w:spacing w:before="22"/>
              <w:ind w:left="84"/>
              <w:rPr>
                <w:sz w:val="15"/>
              </w:rPr>
            </w:pPr>
            <w:r>
              <w:rPr>
                <w:sz w:val="15"/>
              </w:rPr>
              <w:t>FRACCIONAMIENTO PUEBLO NUEVO</w:t>
            </w:r>
          </w:p>
        </w:tc>
        <w:tc>
          <w:tcPr>
            <w:tcW w:w="2106" w:type="dxa"/>
          </w:tcPr>
          <w:p>
            <w:pPr>
              <w:pStyle w:val="TableParagraph"/>
              <w:spacing w:line="156" w:lineRule="exact" w:before="44"/>
              <w:ind w:right="44"/>
              <w:jc w:val="right"/>
              <w:rPr>
                <w:sz w:val="15"/>
              </w:rPr>
            </w:pPr>
            <w:r>
              <w:rPr>
                <w:sz w:val="15"/>
              </w:rPr>
              <w:t>$ 158.00</w:t>
            </w:r>
          </w:p>
        </w:tc>
      </w:tr>
      <w:tr>
        <w:trPr>
          <w:trHeight w:val="220" w:hRule="atLeast"/>
        </w:trPr>
        <w:tc>
          <w:tcPr>
            <w:tcW w:w="4560" w:type="dxa"/>
          </w:tcPr>
          <w:p>
            <w:pPr>
              <w:pStyle w:val="TableParagraph"/>
              <w:spacing w:before="1"/>
              <w:ind w:left="50"/>
              <w:rPr>
                <w:sz w:val="15"/>
              </w:rPr>
            </w:pPr>
            <w:r>
              <w:rPr>
                <w:sz w:val="15"/>
              </w:rPr>
              <w:t>17 BOSQUE REAL</w:t>
            </w:r>
          </w:p>
        </w:tc>
        <w:tc>
          <w:tcPr>
            <w:tcW w:w="742" w:type="dxa"/>
          </w:tcPr>
          <w:p>
            <w:pPr>
              <w:pStyle w:val="TableParagraph"/>
              <w:spacing w:before="23"/>
              <w:ind w:right="47"/>
              <w:jc w:val="right"/>
              <w:rPr>
                <w:sz w:val="15"/>
              </w:rPr>
            </w:pPr>
            <w:r>
              <w:rPr>
                <w:sz w:val="15"/>
              </w:rPr>
              <w:t>$ 158.00</w:t>
            </w:r>
          </w:p>
        </w:tc>
        <w:tc>
          <w:tcPr>
            <w:tcW w:w="6623" w:type="dxa"/>
          </w:tcPr>
          <w:p>
            <w:pPr>
              <w:pStyle w:val="TableParagraph"/>
              <w:spacing w:before="22"/>
              <w:ind w:right="79"/>
              <w:jc w:val="right"/>
              <w:rPr>
                <w:sz w:val="15"/>
              </w:rPr>
            </w:pPr>
            <w:r>
              <w:rPr>
                <w:sz w:val="15"/>
              </w:rPr>
              <w:t>61</w:t>
            </w:r>
          </w:p>
        </w:tc>
        <w:tc>
          <w:tcPr>
            <w:tcW w:w="2890" w:type="dxa"/>
          </w:tcPr>
          <w:p>
            <w:pPr>
              <w:pStyle w:val="TableParagraph"/>
              <w:spacing w:before="22"/>
              <w:ind w:left="84"/>
              <w:rPr>
                <w:sz w:val="15"/>
              </w:rPr>
            </w:pPr>
            <w:r>
              <w:rPr>
                <w:sz w:val="15"/>
              </w:rPr>
              <w:t>GEOVILLAS LA ARBOLADA</w:t>
            </w:r>
          </w:p>
        </w:tc>
        <w:tc>
          <w:tcPr>
            <w:tcW w:w="2106" w:type="dxa"/>
          </w:tcPr>
          <w:p>
            <w:pPr>
              <w:pStyle w:val="TableParagraph"/>
              <w:spacing w:line="156" w:lineRule="exact" w:before="44"/>
              <w:ind w:right="44"/>
              <w:jc w:val="right"/>
              <w:rPr>
                <w:sz w:val="15"/>
              </w:rPr>
            </w:pPr>
            <w:r>
              <w:rPr>
                <w:sz w:val="15"/>
              </w:rPr>
              <w:t>$ 78.00</w:t>
            </w:r>
          </w:p>
        </w:tc>
      </w:tr>
      <w:tr>
        <w:trPr>
          <w:trHeight w:val="217" w:hRule="atLeast"/>
        </w:trPr>
        <w:tc>
          <w:tcPr>
            <w:tcW w:w="4560" w:type="dxa"/>
          </w:tcPr>
          <w:p>
            <w:pPr>
              <w:pStyle w:val="TableParagraph"/>
              <w:spacing w:before="1"/>
              <w:ind w:left="50"/>
              <w:rPr>
                <w:sz w:val="15"/>
              </w:rPr>
            </w:pPr>
            <w:r>
              <w:rPr>
                <w:sz w:val="15"/>
              </w:rPr>
              <w:t>18 BOSQUES DE LA ESPERANZA</w:t>
            </w:r>
          </w:p>
        </w:tc>
        <w:tc>
          <w:tcPr>
            <w:tcW w:w="742" w:type="dxa"/>
          </w:tcPr>
          <w:p>
            <w:pPr>
              <w:pStyle w:val="TableParagraph"/>
              <w:spacing w:before="23"/>
              <w:ind w:right="47"/>
              <w:jc w:val="right"/>
              <w:rPr>
                <w:sz w:val="15"/>
              </w:rPr>
            </w:pPr>
            <w:r>
              <w:rPr>
                <w:sz w:val="15"/>
              </w:rPr>
              <w:t>$ 74.00</w:t>
            </w:r>
          </w:p>
        </w:tc>
        <w:tc>
          <w:tcPr>
            <w:tcW w:w="6623" w:type="dxa"/>
          </w:tcPr>
          <w:p>
            <w:pPr>
              <w:pStyle w:val="TableParagraph"/>
              <w:spacing w:before="22"/>
              <w:ind w:right="79"/>
              <w:jc w:val="right"/>
              <w:rPr>
                <w:sz w:val="15"/>
              </w:rPr>
            </w:pPr>
            <w:r>
              <w:rPr>
                <w:sz w:val="15"/>
              </w:rPr>
              <w:t>62</w:t>
            </w:r>
          </w:p>
        </w:tc>
        <w:tc>
          <w:tcPr>
            <w:tcW w:w="2890" w:type="dxa"/>
          </w:tcPr>
          <w:p>
            <w:pPr>
              <w:pStyle w:val="TableParagraph"/>
              <w:spacing w:before="22"/>
              <w:ind w:left="84"/>
              <w:rPr>
                <w:sz w:val="15"/>
              </w:rPr>
            </w:pPr>
            <w:r>
              <w:rPr>
                <w:sz w:val="15"/>
              </w:rPr>
              <w:t>GEOVILLAS LA ARBOLADA PLUS</w:t>
            </w:r>
          </w:p>
        </w:tc>
        <w:tc>
          <w:tcPr>
            <w:tcW w:w="2106" w:type="dxa"/>
          </w:tcPr>
          <w:p>
            <w:pPr>
              <w:pStyle w:val="TableParagraph"/>
              <w:spacing w:line="153" w:lineRule="exact" w:before="44"/>
              <w:ind w:right="44"/>
              <w:jc w:val="right"/>
              <w:rPr>
                <w:sz w:val="15"/>
              </w:rPr>
            </w:pPr>
            <w:r>
              <w:rPr>
                <w:sz w:val="15"/>
              </w:rPr>
              <w:t>$ 111.00</w:t>
            </w:r>
          </w:p>
        </w:tc>
      </w:tr>
      <w:tr>
        <w:trPr>
          <w:trHeight w:val="252" w:hRule="atLeast"/>
        </w:trPr>
        <w:tc>
          <w:tcPr>
            <w:tcW w:w="4560" w:type="dxa"/>
          </w:tcPr>
          <w:p>
            <w:pPr>
              <w:pStyle w:val="TableParagraph"/>
              <w:spacing w:line="128" w:lineRule="exact" w:before="104"/>
              <w:ind w:left="50"/>
              <w:rPr>
                <w:sz w:val="15"/>
              </w:rPr>
            </w:pPr>
            <w:r>
              <w:rPr>
                <w:sz w:val="15"/>
              </w:rPr>
              <w:t>19 BOSQUES DE LAS MORAS (LOS MANZANOS)</w:t>
            </w:r>
          </w:p>
        </w:tc>
        <w:tc>
          <w:tcPr>
            <w:tcW w:w="742" w:type="dxa"/>
          </w:tcPr>
          <w:p>
            <w:pPr>
              <w:pStyle w:val="TableParagraph"/>
              <w:rPr>
                <w:rFonts w:ascii="Times New Roman"/>
                <w:sz w:val="14"/>
              </w:rPr>
            </w:pPr>
          </w:p>
        </w:tc>
        <w:tc>
          <w:tcPr>
            <w:tcW w:w="6623" w:type="dxa"/>
          </w:tcPr>
          <w:p>
            <w:pPr>
              <w:pStyle w:val="TableParagraph"/>
              <w:spacing w:before="25"/>
              <w:ind w:right="79"/>
              <w:jc w:val="right"/>
              <w:rPr>
                <w:sz w:val="15"/>
              </w:rPr>
            </w:pPr>
            <w:r>
              <w:rPr>
                <w:sz w:val="15"/>
              </w:rPr>
              <w:t>63</w:t>
            </w:r>
          </w:p>
        </w:tc>
        <w:tc>
          <w:tcPr>
            <w:tcW w:w="2890" w:type="dxa"/>
          </w:tcPr>
          <w:p>
            <w:pPr>
              <w:pStyle w:val="TableParagraph"/>
              <w:spacing w:before="25"/>
              <w:ind w:left="84"/>
              <w:rPr>
                <w:sz w:val="15"/>
              </w:rPr>
            </w:pPr>
            <w:r>
              <w:rPr>
                <w:sz w:val="15"/>
              </w:rPr>
              <w:t>HABITAT ALTIPLANO</w:t>
            </w:r>
          </w:p>
        </w:tc>
        <w:tc>
          <w:tcPr>
            <w:tcW w:w="2106" w:type="dxa"/>
          </w:tcPr>
          <w:p>
            <w:pPr>
              <w:pStyle w:val="TableParagraph"/>
              <w:spacing w:before="47"/>
              <w:ind w:right="44"/>
              <w:jc w:val="right"/>
              <w:rPr>
                <w:sz w:val="15"/>
              </w:rPr>
            </w:pPr>
            <w:r>
              <w:rPr>
                <w:sz w:val="15"/>
              </w:rPr>
              <w:t>$ 78.00</w:t>
            </w:r>
          </w:p>
        </w:tc>
      </w:tr>
      <w:tr>
        <w:trPr>
          <w:trHeight w:val="170" w:hRule="atLeast"/>
        </w:trPr>
        <w:tc>
          <w:tcPr>
            <w:tcW w:w="4560" w:type="dxa"/>
          </w:tcPr>
          <w:p>
            <w:pPr>
              <w:pStyle w:val="TableParagraph"/>
              <w:rPr>
                <w:rFonts w:ascii="Times New Roman"/>
                <w:sz w:val="10"/>
              </w:rPr>
            </w:pPr>
          </w:p>
        </w:tc>
        <w:tc>
          <w:tcPr>
            <w:tcW w:w="742" w:type="dxa"/>
          </w:tcPr>
          <w:p>
            <w:pPr>
              <w:pStyle w:val="TableParagraph"/>
              <w:spacing w:line="146" w:lineRule="exact"/>
              <w:ind w:right="47"/>
              <w:jc w:val="right"/>
              <w:rPr>
                <w:sz w:val="15"/>
              </w:rPr>
            </w:pPr>
            <w:r>
              <w:rPr>
                <w:sz w:val="15"/>
              </w:rPr>
              <w:t>$ 167.00</w:t>
            </w:r>
          </w:p>
        </w:tc>
        <w:tc>
          <w:tcPr>
            <w:tcW w:w="6623" w:type="dxa"/>
          </w:tcPr>
          <w:p>
            <w:pPr>
              <w:pStyle w:val="TableParagraph"/>
              <w:spacing w:line="150" w:lineRule="exact"/>
              <w:ind w:right="79"/>
              <w:jc w:val="right"/>
              <w:rPr>
                <w:sz w:val="15"/>
              </w:rPr>
            </w:pPr>
            <w:r>
              <w:rPr>
                <w:sz w:val="15"/>
              </w:rPr>
              <w:t>64</w:t>
            </w:r>
          </w:p>
        </w:tc>
        <w:tc>
          <w:tcPr>
            <w:tcW w:w="4996" w:type="dxa"/>
            <w:gridSpan w:val="2"/>
          </w:tcPr>
          <w:p>
            <w:pPr>
              <w:pStyle w:val="TableParagraph"/>
              <w:tabs>
                <w:tab w:pos="4307" w:val="left" w:leader="none"/>
              </w:tabs>
              <w:spacing w:line="150" w:lineRule="exact"/>
              <w:ind w:left="84"/>
              <w:rPr>
                <w:sz w:val="15"/>
              </w:rPr>
            </w:pPr>
            <w:r>
              <w:rPr>
                <w:sz w:val="15"/>
              </w:rPr>
              <w:t>HABITAT</w:t>
            </w:r>
            <w:r>
              <w:rPr>
                <w:spacing w:val="9"/>
                <w:sz w:val="15"/>
              </w:rPr>
              <w:t> </w:t>
            </w:r>
            <w:r>
              <w:rPr>
                <w:sz w:val="15"/>
              </w:rPr>
              <w:t>SAN</w:t>
            </w:r>
            <w:r>
              <w:rPr>
                <w:spacing w:val="10"/>
                <w:sz w:val="15"/>
              </w:rPr>
              <w:t> </w:t>
            </w:r>
            <w:r>
              <w:rPr>
                <w:sz w:val="15"/>
              </w:rPr>
              <w:t>MILLAN</w:t>
              <w:tab/>
            </w:r>
            <w:r>
              <w:rPr>
                <w:position w:val="-1"/>
                <w:sz w:val="15"/>
              </w:rPr>
              <w:t>$</w:t>
            </w:r>
            <w:r>
              <w:rPr>
                <w:spacing w:val="10"/>
                <w:position w:val="-1"/>
                <w:sz w:val="15"/>
              </w:rPr>
              <w:t> </w:t>
            </w:r>
            <w:r>
              <w:rPr>
                <w:position w:val="-1"/>
                <w:sz w:val="15"/>
              </w:rPr>
              <w:t>166.00</w:t>
            </w:r>
          </w:p>
        </w:tc>
      </w:tr>
      <w:tr>
        <w:trPr>
          <w:trHeight w:val="220" w:hRule="atLeast"/>
        </w:trPr>
        <w:tc>
          <w:tcPr>
            <w:tcW w:w="4560" w:type="dxa"/>
          </w:tcPr>
          <w:p>
            <w:pPr>
              <w:pStyle w:val="TableParagraph"/>
              <w:spacing w:before="2"/>
              <w:ind w:left="50"/>
              <w:rPr>
                <w:sz w:val="15"/>
              </w:rPr>
            </w:pPr>
            <w:r>
              <w:rPr>
                <w:sz w:val="15"/>
              </w:rPr>
              <w:t>20 BOSQUES DE LOS CEDROS</w:t>
            </w:r>
          </w:p>
        </w:tc>
        <w:tc>
          <w:tcPr>
            <w:tcW w:w="742" w:type="dxa"/>
          </w:tcPr>
          <w:p>
            <w:pPr>
              <w:pStyle w:val="TableParagraph"/>
              <w:spacing w:before="24"/>
              <w:ind w:right="47"/>
              <w:jc w:val="right"/>
              <w:rPr>
                <w:sz w:val="15"/>
              </w:rPr>
            </w:pPr>
            <w:r>
              <w:rPr>
                <w:sz w:val="15"/>
              </w:rPr>
              <w:t>$ 166.00</w:t>
            </w:r>
          </w:p>
        </w:tc>
        <w:tc>
          <w:tcPr>
            <w:tcW w:w="6623" w:type="dxa"/>
          </w:tcPr>
          <w:p>
            <w:pPr>
              <w:pStyle w:val="TableParagraph"/>
              <w:spacing w:line="156" w:lineRule="exact" w:before="44"/>
              <w:ind w:right="79"/>
              <w:jc w:val="right"/>
              <w:rPr>
                <w:sz w:val="15"/>
              </w:rPr>
            </w:pPr>
            <w:r>
              <w:rPr>
                <w:sz w:val="15"/>
              </w:rPr>
              <w:t>65</w:t>
            </w:r>
          </w:p>
        </w:tc>
        <w:tc>
          <w:tcPr>
            <w:tcW w:w="4996" w:type="dxa"/>
            <w:gridSpan w:val="2"/>
          </w:tcPr>
          <w:p>
            <w:pPr>
              <w:pStyle w:val="TableParagraph"/>
              <w:tabs>
                <w:tab w:pos="4307" w:val="left" w:leader="none"/>
              </w:tabs>
              <w:spacing w:line="156" w:lineRule="exact" w:before="44"/>
              <w:ind w:left="84"/>
              <w:rPr>
                <w:sz w:val="15"/>
              </w:rPr>
            </w:pPr>
            <w:r>
              <w:rPr>
                <w:sz w:val="15"/>
              </w:rPr>
              <w:t>HACIENDA DE</w:t>
            </w:r>
            <w:r>
              <w:rPr>
                <w:spacing w:val="23"/>
                <w:sz w:val="15"/>
              </w:rPr>
              <w:t> </w:t>
            </w:r>
            <w:r>
              <w:rPr>
                <w:sz w:val="15"/>
              </w:rPr>
              <w:t>LOS</w:t>
            </w:r>
            <w:r>
              <w:rPr>
                <w:spacing w:val="13"/>
                <w:sz w:val="15"/>
              </w:rPr>
              <w:t> </w:t>
            </w:r>
            <w:r>
              <w:rPr>
                <w:sz w:val="15"/>
              </w:rPr>
              <w:t>EUCALIPTOS</w:t>
              <w:tab/>
            </w:r>
            <w:r>
              <w:rPr>
                <w:position w:val="-1"/>
                <w:sz w:val="15"/>
              </w:rPr>
              <w:t>$</w:t>
            </w:r>
            <w:r>
              <w:rPr>
                <w:spacing w:val="13"/>
                <w:position w:val="-1"/>
                <w:sz w:val="15"/>
              </w:rPr>
              <w:t> </w:t>
            </w:r>
            <w:r>
              <w:rPr>
                <w:position w:val="-1"/>
                <w:sz w:val="15"/>
              </w:rPr>
              <w:t>78.00</w:t>
            </w:r>
          </w:p>
        </w:tc>
      </w:tr>
      <w:tr>
        <w:trPr>
          <w:trHeight w:val="220" w:hRule="atLeast"/>
        </w:trPr>
        <w:tc>
          <w:tcPr>
            <w:tcW w:w="4560" w:type="dxa"/>
          </w:tcPr>
          <w:p>
            <w:pPr>
              <w:pStyle w:val="TableParagraph"/>
              <w:spacing w:before="1"/>
              <w:ind w:left="50"/>
              <w:rPr>
                <w:sz w:val="15"/>
              </w:rPr>
            </w:pPr>
            <w:r>
              <w:rPr>
                <w:sz w:val="15"/>
              </w:rPr>
              <w:t>21 BOSQUES DE SANTA ANITA</w:t>
            </w:r>
          </w:p>
        </w:tc>
        <w:tc>
          <w:tcPr>
            <w:tcW w:w="742" w:type="dxa"/>
          </w:tcPr>
          <w:p>
            <w:pPr>
              <w:pStyle w:val="TableParagraph"/>
              <w:spacing w:before="23"/>
              <w:ind w:right="47"/>
              <w:jc w:val="right"/>
              <w:rPr>
                <w:sz w:val="15"/>
              </w:rPr>
            </w:pPr>
            <w:r>
              <w:rPr>
                <w:sz w:val="15"/>
              </w:rPr>
              <w:t>$ 166.00</w:t>
            </w:r>
          </w:p>
        </w:tc>
        <w:tc>
          <w:tcPr>
            <w:tcW w:w="6623" w:type="dxa"/>
          </w:tcPr>
          <w:p>
            <w:pPr>
              <w:pStyle w:val="TableParagraph"/>
              <w:spacing w:line="157" w:lineRule="exact" w:before="43"/>
              <w:ind w:right="79"/>
              <w:jc w:val="right"/>
              <w:rPr>
                <w:sz w:val="15"/>
              </w:rPr>
            </w:pPr>
            <w:r>
              <w:rPr>
                <w:sz w:val="15"/>
              </w:rPr>
              <w:t>66</w:t>
            </w:r>
          </w:p>
        </w:tc>
        <w:tc>
          <w:tcPr>
            <w:tcW w:w="4996" w:type="dxa"/>
            <w:gridSpan w:val="2"/>
          </w:tcPr>
          <w:p>
            <w:pPr>
              <w:pStyle w:val="TableParagraph"/>
              <w:tabs>
                <w:tab w:pos="4307" w:val="left" w:leader="none"/>
              </w:tabs>
              <w:spacing w:line="157" w:lineRule="exact" w:before="43"/>
              <w:ind w:left="84"/>
              <w:rPr>
                <w:sz w:val="15"/>
              </w:rPr>
            </w:pPr>
            <w:r>
              <w:rPr>
                <w:sz w:val="15"/>
              </w:rPr>
              <w:t>HACIENDA</w:t>
            </w:r>
            <w:r>
              <w:rPr>
                <w:spacing w:val="9"/>
                <w:sz w:val="15"/>
              </w:rPr>
              <w:t> </w:t>
            </w:r>
            <w:r>
              <w:rPr>
                <w:sz w:val="15"/>
              </w:rPr>
              <w:t>DEL</w:t>
            </w:r>
            <w:r>
              <w:rPr>
                <w:spacing w:val="9"/>
                <w:sz w:val="15"/>
              </w:rPr>
              <w:t> </w:t>
            </w:r>
            <w:r>
              <w:rPr>
                <w:sz w:val="15"/>
              </w:rPr>
              <w:t>SUR</w:t>
              <w:tab/>
            </w:r>
            <w:r>
              <w:rPr>
                <w:position w:val="-1"/>
                <w:sz w:val="15"/>
              </w:rPr>
              <w:t>$</w:t>
            </w:r>
            <w:r>
              <w:rPr>
                <w:spacing w:val="13"/>
                <w:position w:val="-1"/>
                <w:sz w:val="15"/>
              </w:rPr>
              <w:t> </w:t>
            </w:r>
            <w:r>
              <w:rPr>
                <w:position w:val="-1"/>
                <w:sz w:val="15"/>
              </w:rPr>
              <w:t>85.00</w:t>
            </w:r>
          </w:p>
        </w:tc>
      </w:tr>
      <w:tr>
        <w:trPr>
          <w:trHeight w:val="220" w:hRule="atLeast"/>
        </w:trPr>
        <w:tc>
          <w:tcPr>
            <w:tcW w:w="4560" w:type="dxa"/>
          </w:tcPr>
          <w:p>
            <w:pPr>
              <w:pStyle w:val="TableParagraph"/>
              <w:spacing w:before="2"/>
              <w:ind w:left="50"/>
              <w:rPr>
                <w:sz w:val="15"/>
              </w:rPr>
            </w:pPr>
            <w:r>
              <w:rPr>
                <w:sz w:val="15"/>
              </w:rPr>
              <w:t>22 CAMPESTRE LAS FLORES</w:t>
            </w:r>
          </w:p>
        </w:tc>
        <w:tc>
          <w:tcPr>
            <w:tcW w:w="742" w:type="dxa"/>
          </w:tcPr>
          <w:p>
            <w:pPr>
              <w:pStyle w:val="TableParagraph"/>
              <w:spacing w:before="24"/>
              <w:ind w:right="47"/>
              <w:jc w:val="right"/>
              <w:rPr>
                <w:sz w:val="15"/>
              </w:rPr>
            </w:pPr>
            <w:r>
              <w:rPr>
                <w:sz w:val="15"/>
              </w:rPr>
              <w:t>$ 78.00</w:t>
            </w:r>
          </w:p>
        </w:tc>
        <w:tc>
          <w:tcPr>
            <w:tcW w:w="6623" w:type="dxa"/>
          </w:tcPr>
          <w:p>
            <w:pPr>
              <w:pStyle w:val="TableParagraph"/>
              <w:spacing w:line="156" w:lineRule="exact" w:before="44"/>
              <w:ind w:right="80"/>
              <w:jc w:val="right"/>
              <w:rPr>
                <w:sz w:val="15"/>
              </w:rPr>
            </w:pPr>
            <w:r>
              <w:rPr>
                <w:sz w:val="15"/>
              </w:rPr>
              <w:t>67</w:t>
            </w:r>
          </w:p>
        </w:tc>
        <w:tc>
          <w:tcPr>
            <w:tcW w:w="4996" w:type="dxa"/>
            <w:gridSpan w:val="2"/>
          </w:tcPr>
          <w:p>
            <w:pPr>
              <w:pStyle w:val="TableParagraph"/>
              <w:tabs>
                <w:tab w:pos="4307" w:val="left" w:leader="none"/>
              </w:tabs>
              <w:spacing w:line="156" w:lineRule="exact" w:before="44"/>
              <w:ind w:left="84"/>
              <w:rPr>
                <w:sz w:val="15"/>
              </w:rPr>
            </w:pPr>
            <w:r>
              <w:rPr>
                <w:sz w:val="15"/>
              </w:rPr>
              <w:t>HACIENDA</w:t>
            </w:r>
            <w:r>
              <w:rPr>
                <w:spacing w:val="8"/>
                <w:sz w:val="15"/>
              </w:rPr>
              <w:t> </w:t>
            </w:r>
            <w:r>
              <w:rPr>
                <w:sz w:val="15"/>
              </w:rPr>
              <w:t>LA</w:t>
            </w:r>
            <w:r>
              <w:rPr>
                <w:spacing w:val="7"/>
                <w:sz w:val="15"/>
              </w:rPr>
              <w:t> </w:t>
            </w:r>
            <w:r>
              <w:rPr>
                <w:sz w:val="15"/>
              </w:rPr>
              <w:t>NORIA</w:t>
              <w:tab/>
            </w:r>
            <w:r>
              <w:rPr>
                <w:position w:val="-1"/>
                <w:sz w:val="15"/>
              </w:rPr>
              <w:t>$</w:t>
            </w:r>
            <w:r>
              <w:rPr>
                <w:spacing w:val="12"/>
                <w:position w:val="-1"/>
                <w:sz w:val="15"/>
              </w:rPr>
              <w:t> </w:t>
            </w:r>
            <w:r>
              <w:rPr>
                <w:position w:val="-1"/>
                <w:sz w:val="15"/>
              </w:rPr>
              <w:t>78.00</w:t>
            </w:r>
          </w:p>
        </w:tc>
      </w:tr>
      <w:tr>
        <w:trPr>
          <w:trHeight w:val="220" w:hRule="atLeast"/>
        </w:trPr>
        <w:tc>
          <w:tcPr>
            <w:tcW w:w="4560" w:type="dxa"/>
          </w:tcPr>
          <w:p>
            <w:pPr>
              <w:pStyle w:val="TableParagraph"/>
              <w:spacing w:before="1"/>
              <w:ind w:left="50"/>
              <w:rPr>
                <w:sz w:val="15"/>
              </w:rPr>
            </w:pPr>
            <w:r>
              <w:rPr>
                <w:sz w:val="15"/>
              </w:rPr>
              <w:t>23 CAMPESTRE SANTA ANITA</w:t>
            </w:r>
          </w:p>
        </w:tc>
        <w:tc>
          <w:tcPr>
            <w:tcW w:w="742" w:type="dxa"/>
          </w:tcPr>
          <w:p>
            <w:pPr>
              <w:pStyle w:val="TableParagraph"/>
              <w:spacing w:before="23"/>
              <w:ind w:right="47"/>
              <w:jc w:val="right"/>
              <w:rPr>
                <w:sz w:val="15"/>
              </w:rPr>
            </w:pPr>
            <w:r>
              <w:rPr>
                <w:sz w:val="15"/>
              </w:rPr>
              <w:t>$ 167.00</w:t>
            </w:r>
          </w:p>
        </w:tc>
        <w:tc>
          <w:tcPr>
            <w:tcW w:w="6623" w:type="dxa"/>
          </w:tcPr>
          <w:p>
            <w:pPr>
              <w:pStyle w:val="TableParagraph"/>
              <w:spacing w:line="157" w:lineRule="exact" w:before="43"/>
              <w:ind w:right="80"/>
              <w:jc w:val="right"/>
              <w:rPr>
                <w:sz w:val="15"/>
              </w:rPr>
            </w:pPr>
            <w:r>
              <w:rPr>
                <w:sz w:val="15"/>
              </w:rPr>
              <w:t>68</w:t>
            </w:r>
          </w:p>
        </w:tc>
        <w:tc>
          <w:tcPr>
            <w:tcW w:w="4996" w:type="dxa"/>
            <w:gridSpan w:val="2"/>
          </w:tcPr>
          <w:p>
            <w:pPr>
              <w:pStyle w:val="TableParagraph"/>
              <w:tabs>
                <w:tab w:pos="4307" w:val="left" w:leader="none"/>
              </w:tabs>
              <w:spacing w:line="157" w:lineRule="exact" w:before="43"/>
              <w:ind w:left="84"/>
              <w:rPr>
                <w:sz w:val="15"/>
              </w:rPr>
            </w:pPr>
            <w:r>
              <w:rPr>
                <w:sz w:val="15"/>
              </w:rPr>
              <w:t>HACIENDA</w:t>
            </w:r>
            <w:r>
              <w:rPr>
                <w:spacing w:val="9"/>
                <w:sz w:val="15"/>
              </w:rPr>
              <w:t> </w:t>
            </w:r>
            <w:r>
              <w:rPr>
                <w:sz w:val="15"/>
              </w:rPr>
              <w:t>LA</w:t>
            </w:r>
            <w:r>
              <w:rPr>
                <w:spacing w:val="8"/>
                <w:sz w:val="15"/>
              </w:rPr>
              <w:t> </w:t>
            </w:r>
            <w:r>
              <w:rPr>
                <w:sz w:val="15"/>
              </w:rPr>
              <w:t>TIJERA</w:t>
              <w:tab/>
            </w:r>
            <w:r>
              <w:rPr>
                <w:position w:val="-1"/>
                <w:sz w:val="15"/>
              </w:rPr>
              <w:t>$</w:t>
            </w:r>
            <w:r>
              <w:rPr>
                <w:spacing w:val="13"/>
                <w:position w:val="-1"/>
                <w:sz w:val="15"/>
              </w:rPr>
              <w:t> </w:t>
            </w:r>
            <w:r>
              <w:rPr>
                <w:position w:val="-1"/>
                <w:sz w:val="15"/>
              </w:rPr>
              <w:t>83.00</w:t>
            </w:r>
          </w:p>
        </w:tc>
      </w:tr>
      <w:tr>
        <w:trPr>
          <w:trHeight w:val="220" w:hRule="atLeast"/>
        </w:trPr>
        <w:tc>
          <w:tcPr>
            <w:tcW w:w="4560" w:type="dxa"/>
          </w:tcPr>
          <w:p>
            <w:pPr>
              <w:pStyle w:val="TableParagraph"/>
              <w:spacing w:before="2"/>
              <w:ind w:left="50"/>
              <w:rPr>
                <w:sz w:val="15"/>
              </w:rPr>
            </w:pPr>
            <w:r>
              <w:rPr>
                <w:sz w:val="15"/>
              </w:rPr>
              <w:t>24 CAMPO NOGAL</w:t>
            </w:r>
          </w:p>
        </w:tc>
        <w:tc>
          <w:tcPr>
            <w:tcW w:w="742" w:type="dxa"/>
          </w:tcPr>
          <w:p>
            <w:pPr>
              <w:pStyle w:val="TableParagraph"/>
              <w:spacing w:before="24"/>
              <w:ind w:right="47"/>
              <w:jc w:val="right"/>
              <w:rPr>
                <w:sz w:val="15"/>
              </w:rPr>
            </w:pPr>
            <w:r>
              <w:rPr>
                <w:sz w:val="15"/>
              </w:rPr>
              <w:t>$ 185.00</w:t>
            </w:r>
          </w:p>
        </w:tc>
        <w:tc>
          <w:tcPr>
            <w:tcW w:w="6623" w:type="dxa"/>
          </w:tcPr>
          <w:p>
            <w:pPr>
              <w:pStyle w:val="TableParagraph"/>
              <w:spacing w:line="156" w:lineRule="exact" w:before="44"/>
              <w:ind w:right="80"/>
              <w:jc w:val="right"/>
              <w:rPr>
                <w:sz w:val="15"/>
              </w:rPr>
            </w:pPr>
            <w:r>
              <w:rPr>
                <w:sz w:val="15"/>
              </w:rPr>
              <w:t>69</w:t>
            </w:r>
          </w:p>
        </w:tc>
        <w:tc>
          <w:tcPr>
            <w:tcW w:w="4996" w:type="dxa"/>
            <w:gridSpan w:val="2"/>
          </w:tcPr>
          <w:p>
            <w:pPr>
              <w:pStyle w:val="TableParagraph"/>
              <w:tabs>
                <w:tab w:pos="4307" w:val="left" w:leader="none"/>
              </w:tabs>
              <w:spacing w:line="156" w:lineRule="exact" w:before="44"/>
              <w:ind w:left="84"/>
              <w:rPr>
                <w:sz w:val="15"/>
              </w:rPr>
            </w:pPr>
            <w:r>
              <w:rPr>
                <w:sz w:val="15"/>
              </w:rPr>
              <w:t>HACIENDA</w:t>
            </w:r>
            <w:r>
              <w:rPr>
                <w:spacing w:val="11"/>
                <w:sz w:val="15"/>
              </w:rPr>
              <w:t> </w:t>
            </w:r>
            <w:r>
              <w:rPr>
                <w:sz w:val="15"/>
              </w:rPr>
              <w:t>LOS</w:t>
            </w:r>
            <w:r>
              <w:rPr>
                <w:spacing w:val="9"/>
                <w:sz w:val="15"/>
              </w:rPr>
              <w:t> </w:t>
            </w:r>
            <w:r>
              <w:rPr>
                <w:sz w:val="15"/>
              </w:rPr>
              <w:t>FRESNOS</w:t>
              <w:tab/>
            </w:r>
            <w:r>
              <w:rPr>
                <w:position w:val="-1"/>
                <w:sz w:val="15"/>
              </w:rPr>
              <w:t>$</w:t>
            </w:r>
            <w:r>
              <w:rPr>
                <w:spacing w:val="13"/>
                <w:position w:val="-1"/>
                <w:sz w:val="15"/>
              </w:rPr>
              <w:t> </w:t>
            </w:r>
            <w:r>
              <w:rPr>
                <w:position w:val="-1"/>
                <w:sz w:val="15"/>
              </w:rPr>
              <w:t>78.00</w:t>
            </w:r>
          </w:p>
        </w:tc>
      </w:tr>
      <w:tr>
        <w:trPr>
          <w:trHeight w:val="220" w:hRule="atLeast"/>
        </w:trPr>
        <w:tc>
          <w:tcPr>
            <w:tcW w:w="4560" w:type="dxa"/>
          </w:tcPr>
          <w:p>
            <w:pPr>
              <w:pStyle w:val="TableParagraph"/>
              <w:spacing w:before="1"/>
              <w:ind w:left="50"/>
              <w:rPr>
                <w:sz w:val="15"/>
              </w:rPr>
            </w:pPr>
            <w:r>
              <w:rPr>
                <w:sz w:val="15"/>
              </w:rPr>
              <w:t>25 CAMPO SUR</w:t>
            </w:r>
          </w:p>
        </w:tc>
        <w:tc>
          <w:tcPr>
            <w:tcW w:w="742" w:type="dxa"/>
          </w:tcPr>
          <w:p>
            <w:pPr>
              <w:pStyle w:val="TableParagraph"/>
              <w:spacing w:before="23"/>
              <w:ind w:right="47"/>
              <w:jc w:val="right"/>
              <w:rPr>
                <w:sz w:val="15"/>
              </w:rPr>
            </w:pPr>
            <w:r>
              <w:rPr>
                <w:sz w:val="15"/>
              </w:rPr>
              <w:t>$ 78.00</w:t>
            </w:r>
          </w:p>
        </w:tc>
        <w:tc>
          <w:tcPr>
            <w:tcW w:w="6623" w:type="dxa"/>
          </w:tcPr>
          <w:p>
            <w:pPr>
              <w:pStyle w:val="TableParagraph"/>
              <w:spacing w:line="157" w:lineRule="exact" w:before="43"/>
              <w:ind w:right="80"/>
              <w:jc w:val="right"/>
              <w:rPr>
                <w:sz w:val="15"/>
              </w:rPr>
            </w:pPr>
            <w:r>
              <w:rPr>
                <w:sz w:val="15"/>
              </w:rPr>
              <w:t>70</w:t>
            </w:r>
          </w:p>
        </w:tc>
        <w:tc>
          <w:tcPr>
            <w:tcW w:w="4996" w:type="dxa"/>
            <w:gridSpan w:val="2"/>
          </w:tcPr>
          <w:p>
            <w:pPr>
              <w:pStyle w:val="TableParagraph"/>
              <w:tabs>
                <w:tab w:pos="4307" w:val="left" w:leader="none"/>
              </w:tabs>
              <w:spacing w:line="157" w:lineRule="exact" w:before="43"/>
              <w:ind w:left="84"/>
              <w:rPr>
                <w:sz w:val="15"/>
              </w:rPr>
            </w:pPr>
            <w:r>
              <w:rPr>
                <w:sz w:val="15"/>
              </w:rPr>
              <w:t>HACIENDA</w:t>
            </w:r>
            <w:r>
              <w:rPr>
                <w:spacing w:val="10"/>
                <w:sz w:val="15"/>
              </w:rPr>
              <w:t> </w:t>
            </w:r>
            <w:r>
              <w:rPr>
                <w:sz w:val="15"/>
              </w:rPr>
              <w:t>MIRAGE</w:t>
              <w:tab/>
            </w:r>
            <w:r>
              <w:rPr>
                <w:position w:val="-1"/>
                <w:sz w:val="15"/>
              </w:rPr>
              <w:t>$</w:t>
            </w:r>
            <w:r>
              <w:rPr>
                <w:spacing w:val="10"/>
                <w:position w:val="-1"/>
                <w:sz w:val="15"/>
              </w:rPr>
              <w:t> </w:t>
            </w:r>
            <w:r>
              <w:rPr>
                <w:position w:val="-1"/>
                <w:sz w:val="15"/>
              </w:rPr>
              <w:t>167.00</w:t>
            </w:r>
          </w:p>
        </w:tc>
      </w:tr>
      <w:tr>
        <w:trPr>
          <w:trHeight w:val="220" w:hRule="atLeast"/>
        </w:trPr>
        <w:tc>
          <w:tcPr>
            <w:tcW w:w="4560" w:type="dxa"/>
          </w:tcPr>
          <w:p>
            <w:pPr>
              <w:pStyle w:val="TableParagraph"/>
              <w:spacing w:before="2"/>
              <w:ind w:left="50"/>
              <w:rPr>
                <w:sz w:val="15"/>
              </w:rPr>
            </w:pPr>
            <w:r>
              <w:rPr>
                <w:sz w:val="15"/>
              </w:rPr>
              <w:t>26 CASA BLANCA</w:t>
            </w:r>
          </w:p>
        </w:tc>
        <w:tc>
          <w:tcPr>
            <w:tcW w:w="742" w:type="dxa"/>
          </w:tcPr>
          <w:p>
            <w:pPr>
              <w:pStyle w:val="TableParagraph"/>
              <w:spacing w:before="24"/>
              <w:ind w:right="47"/>
              <w:jc w:val="right"/>
              <w:rPr>
                <w:sz w:val="15"/>
              </w:rPr>
            </w:pPr>
            <w:r>
              <w:rPr>
                <w:sz w:val="15"/>
              </w:rPr>
              <w:t>$ 63.00</w:t>
            </w:r>
          </w:p>
        </w:tc>
        <w:tc>
          <w:tcPr>
            <w:tcW w:w="6623" w:type="dxa"/>
          </w:tcPr>
          <w:p>
            <w:pPr>
              <w:pStyle w:val="TableParagraph"/>
              <w:spacing w:line="156" w:lineRule="exact" w:before="44"/>
              <w:ind w:right="80"/>
              <w:jc w:val="right"/>
              <w:rPr>
                <w:sz w:val="15"/>
              </w:rPr>
            </w:pPr>
            <w:r>
              <w:rPr>
                <w:sz w:val="15"/>
              </w:rPr>
              <w:t>71</w:t>
            </w:r>
          </w:p>
        </w:tc>
        <w:tc>
          <w:tcPr>
            <w:tcW w:w="4996" w:type="dxa"/>
            <w:gridSpan w:val="2"/>
          </w:tcPr>
          <w:p>
            <w:pPr>
              <w:pStyle w:val="TableParagraph"/>
              <w:tabs>
                <w:tab w:pos="4307" w:val="left" w:leader="none"/>
              </w:tabs>
              <w:spacing w:line="156" w:lineRule="exact" w:before="44"/>
              <w:ind w:left="84"/>
              <w:rPr>
                <w:sz w:val="15"/>
              </w:rPr>
            </w:pPr>
            <w:r>
              <w:rPr>
                <w:sz w:val="15"/>
              </w:rPr>
              <w:t>HACIENDA  REAL</w:t>
            </w:r>
            <w:r>
              <w:rPr>
                <w:spacing w:val="-18"/>
                <w:sz w:val="15"/>
              </w:rPr>
              <w:t> </w:t>
            </w:r>
            <w:r>
              <w:rPr>
                <w:sz w:val="15"/>
              </w:rPr>
              <w:t>(HACIENDA</w:t>
            </w:r>
            <w:r>
              <w:rPr>
                <w:spacing w:val="12"/>
                <w:sz w:val="15"/>
              </w:rPr>
              <w:t> </w:t>
            </w:r>
            <w:r>
              <w:rPr>
                <w:sz w:val="15"/>
              </w:rPr>
              <w:t>AGAVE)</w:t>
              <w:tab/>
            </w:r>
            <w:r>
              <w:rPr>
                <w:position w:val="-1"/>
                <w:sz w:val="15"/>
              </w:rPr>
              <w:t>$</w:t>
            </w:r>
            <w:r>
              <w:rPr>
                <w:spacing w:val="13"/>
                <w:position w:val="-1"/>
                <w:sz w:val="15"/>
              </w:rPr>
              <w:t> </w:t>
            </w:r>
            <w:r>
              <w:rPr>
                <w:position w:val="-1"/>
                <w:sz w:val="15"/>
              </w:rPr>
              <w:t>74.00</w:t>
            </w:r>
          </w:p>
        </w:tc>
      </w:tr>
      <w:tr>
        <w:trPr>
          <w:trHeight w:val="216" w:hRule="atLeast"/>
        </w:trPr>
        <w:tc>
          <w:tcPr>
            <w:tcW w:w="4560" w:type="dxa"/>
          </w:tcPr>
          <w:p>
            <w:pPr>
              <w:pStyle w:val="TableParagraph"/>
              <w:spacing w:before="1"/>
              <w:ind w:left="50"/>
              <w:rPr>
                <w:sz w:val="15"/>
              </w:rPr>
            </w:pPr>
            <w:r>
              <w:rPr>
                <w:sz w:val="15"/>
              </w:rPr>
              <w:t>27 CENTRO MEDICO PUERTA SUR</w:t>
            </w:r>
          </w:p>
        </w:tc>
        <w:tc>
          <w:tcPr>
            <w:tcW w:w="742" w:type="dxa"/>
          </w:tcPr>
          <w:p>
            <w:pPr>
              <w:pStyle w:val="TableParagraph"/>
              <w:spacing w:before="23"/>
              <w:ind w:right="47"/>
              <w:jc w:val="right"/>
              <w:rPr>
                <w:sz w:val="15"/>
              </w:rPr>
            </w:pPr>
            <w:r>
              <w:rPr>
                <w:sz w:val="15"/>
              </w:rPr>
              <w:t>$ 158.00</w:t>
            </w:r>
          </w:p>
        </w:tc>
        <w:tc>
          <w:tcPr>
            <w:tcW w:w="6623" w:type="dxa"/>
          </w:tcPr>
          <w:p>
            <w:pPr>
              <w:pStyle w:val="TableParagraph"/>
              <w:spacing w:line="153" w:lineRule="exact" w:before="43"/>
              <w:ind w:right="80"/>
              <w:jc w:val="right"/>
              <w:rPr>
                <w:sz w:val="15"/>
              </w:rPr>
            </w:pPr>
            <w:r>
              <w:rPr>
                <w:sz w:val="15"/>
              </w:rPr>
              <w:t>72</w:t>
            </w:r>
          </w:p>
        </w:tc>
        <w:tc>
          <w:tcPr>
            <w:tcW w:w="4996" w:type="dxa"/>
            <w:gridSpan w:val="2"/>
          </w:tcPr>
          <w:p>
            <w:pPr>
              <w:pStyle w:val="TableParagraph"/>
              <w:tabs>
                <w:tab w:pos="4307" w:val="left" w:leader="none"/>
              </w:tabs>
              <w:spacing w:line="153" w:lineRule="exact" w:before="43"/>
              <w:ind w:left="84"/>
              <w:rPr>
                <w:sz w:val="15"/>
              </w:rPr>
            </w:pPr>
            <w:r>
              <w:rPr>
                <w:sz w:val="15"/>
              </w:rPr>
              <w:t>HACIENDA REAL</w:t>
            </w:r>
            <w:r>
              <w:rPr>
                <w:spacing w:val="16"/>
                <w:sz w:val="15"/>
              </w:rPr>
              <w:t> </w:t>
            </w:r>
            <w:r>
              <w:rPr>
                <w:sz w:val="15"/>
              </w:rPr>
              <w:t>DE</w:t>
            </w:r>
            <w:r>
              <w:rPr>
                <w:spacing w:val="8"/>
                <w:sz w:val="15"/>
              </w:rPr>
              <w:t> </w:t>
            </w:r>
            <w:r>
              <w:rPr>
                <w:sz w:val="15"/>
              </w:rPr>
              <w:t>COLIMA</w:t>
              <w:tab/>
            </w:r>
            <w:r>
              <w:rPr>
                <w:position w:val="-1"/>
                <w:sz w:val="15"/>
              </w:rPr>
              <w:t>$</w:t>
            </w:r>
            <w:r>
              <w:rPr>
                <w:spacing w:val="13"/>
                <w:position w:val="-1"/>
                <w:sz w:val="15"/>
              </w:rPr>
              <w:t> </w:t>
            </w:r>
            <w:r>
              <w:rPr>
                <w:position w:val="-1"/>
                <w:sz w:val="15"/>
              </w:rPr>
              <w:t>85.00</w:t>
            </w:r>
          </w:p>
        </w:tc>
      </w:tr>
      <w:tr>
        <w:trPr>
          <w:trHeight w:val="213" w:hRule="atLeast"/>
        </w:trPr>
        <w:tc>
          <w:tcPr>
            <w:tcW w:w="4560" w:type="dxa"/>
          </w:tcPr>
          <w:p>
            <w:pPr>
              <w:pStyle w:val="TableParagraph"/>
              <w:spacing w:line="171" w:lineRule="exact"/>
              <w:ind w:left="50"/>
              <w:rPr>
                <w:sz w:val="15"/>
              </w:rPr>
            </w:pPr>
            <w:r>
              <w:rPr>
                <w:sz w:val="15"/>
              </w:rPr>
              <w:t>28 CHULAVISTA</w:t>
            </w:r>
          </w:p>
        </w:tc>
        <w:tc>
          <w:tcPr>
            <w:tcW w:w="12361" w:type="dxa"/>
            <w:gridSpan w:val="4"/>
          </w:tcPr>
          <w:p>
            <w:pPr>
              <w:pStyle w:val="TableParagraph"/>
              <w:spacing w:line="167" w:lineRule="exact" w:before="20"/>
              <w:ind w:left="50"/>
              <w:rPr>
                <w:sz w:val="15"/>
              </w:rPr>
            </w:pPr>
            <w:r>
              <w:rPr>
                <w:sz w:val="15"/>
              </w:rPr>
              <w:t>$ 78.00</w:t>
            </w:r>
          </w:p>
        </w:tc>
      </w:tr>
      <w:tr>
        <w:trPr>
          <w:trHeight w:val="231" w:hRule="atLeast"/>
        </w:trPr>
        <w:tc>
          <w:tcPr>
            <w:tcW w:w="4560" w:type="dxa"/>
          </w:tcPr>
          <w:p>
            <w:pPr>
              <w:pStyle w:val="TableParagraph"/>
              <w:spacing w:line="171" w:lineRule="exact"/>
              <w:ind w:left="50"/>
              <w:rPr>
                <w:sz w:val="15"/>
              </w:rPr>
            </w:pPr>
            <w:r>
              <w:rPr>
                <w:sz w:val="15"/>
              </w:rPr>
              <w:t>29 CIELITO LINDO</w:t>
            </w:r>
          </w:p>
        </w:tc>
        <w:tc>
          <w:tcPr>
            <w:tcW w:w="742" w:type="dxa"/>
          </w:tcPr>
          <w:p>
            <w:pPr>
              <w:pStyle w:val="TableParagraph"/>
              <w:spacing w:before="20"/>
              <w:ind w:right="47"/>
              <w:jc w:val="right"/>
              <w:rPr>
                <w:sz w:val="15"/>
              </w:rPr>
            </w:pPr>
            <w:r>
              <w:rPr>
                <w:sz w:val="15"/>
              </w:rPr>
              <w:t>$ 87.00</w:t>
            </w:r>
          </w:p>
        </w:tc>
        <w:tc>
          <w:tcPr>
            <w:tcW w:w="6623" w:type="dxa"/>
          </w:tcPr>
          <w:p>
            <w:pPr>
              <w:pStyle w:val="TableParagraph"/>
              <w:spacing w:line="93" w:lineRule="exact"/>
              <w:ind w:right="79"/>
              <w:jc w:val="right"/>
              <w:rPr>
                <w:sz w:val="15"/>
              </w:rPr>
            </w:pPr>
            <w:r>
              <w:rPr>
                <w:sz w:val="15"/>
              </w:rPr>
              <w:t>73</w:t>
            </w:r>
          </w:p>
        </w:tc>
        <w:tc>
          <w:tcPr>
            <w:tcW w:w="4996" w:type="dxa"/>
            <w:gridSpan w:val="2"/>
          </w:tcPr>
          <w:p>
            <w:pPr>
              <w:pStyle w:val="TableParagraph"/>
              <w:spacing w:line="67" w:lineRule="exact"/>
              <w:ind w:left="84"/>
              <w:rPr>
                <w:sz w:val="15"/>
              </w:rPr>
            </w:pPr>
            <w:r>
              <w:rPr>
                <w:sz w:val="15"/>
              </w:rPr>
              <w:t>HACIENDA SAN AGUSTIN (PUEBLO BONITO)</w:t>
            </w:r>
          </w:p>
          <w:p>
            <w:pPr>
              <w:pStyle w:val="TableParagraph"/>
              <w:spacing w:line="131" w:lineRule="exact"/>
              <w:ind w:right="44"/>
              <w:jc w:val="right"/>
              <w:rPr>
                <w:sz w:val="15"/>
              </w:rPr>
            </w:pPr>
            <w:r>
              <w:rPr>
                <w:sz w:val="15"/>
              </w:rPr>
              <w:t>$ 82.00</w:t>
            </w:r>
          </w:p>
        </w:tc>
      </w:tr>
      <w:tr>
        <w:trPr>
          <w:trHeight w:val="220" w:hRule="atLeast"/>
        </w:trPr>
        <w:tc>
          <w:tcPr>
            <w:tcW w:w="4560" w:type="dxa"/>
          </w:tcPr>
          <w:p>
            <w:pPr>
              <w:pStyle w:val="TableParagraph"/>
              <w:spacing w:before="1"/>
              <w:ind w:left="50"/>
              <w:rPr>
                <w:sz w:val="15"/>
              </w:rPr>
            </w:pPr>
            <w:r>
              <w:rPr>
                <w:sz w:val="15"/>
              </w:rPr>
              <w:t>30 CIMA DEL SOL</w:t>
            </w:r>
          </w:p>
        </w:tc>
        <w:tc>
          <w:tcPr>
            <w:tcW w:w="742" w:type="dxa"/>
          </w:tcPr>
          <w:p>
            <w:pPr>
              <w:pStyle w:val="TableParagraph"/>
              <w:spacing w:before="23"/>
              <w:ind w:right="47"/>
              <w:jc w:val="right"/>
              <w:rPr>
                <w:sz w:val="15"/>
              </w:rPr>
            </w:pPr>
            <w:r>
              <w:rPr>
                <w:sz w:val="15"/>
              </w:rPr>
              <w:t>$ 78.00</w:t>
            </w:r>
          </w:p>
        </w:tc>
        <w:tc>
          <w:tcPr>
            <w:tcW w:w="6623" w:type="dxa"/>
          </w:tcPr>
          <w:p>
            <w:pPr>
              <w:pStyle w:val="TableParagraph"/>
              <w:spacing w:before="22"/>
              <w:ind w:right="79"/>
              <w:jc w:val="right"/>
              <w:rPr>
                <w:sz w:val="15"/>
              </w:rPr>
            </w:pPr>
            <w:r>
              <w:rPr>
                <w:sz w:val="15"/>
              </w:rPr>
              <w:t>74</w:t>
            </w:r>
          </w:p>
        </w:tc>
        <w:tc>
          <w:tcPr>
            <w:tcW w:w="2890" w:type="dxa"/>
          </w:tcPr>
          <w:p>
            <w:pPr>
              <w:pStyle w:val="TableParagraph"/>
              <w:spacing w:before="22"/>
              <w:ind w:left="84"/>
              <w:rPr>
                <w:sz w:val="15"/>
              </w:rPr>
            </w:pPr>
            <w:r>
              <w:rPr>
                <w:sz w:val="15"/>
              </w:rPr>
              <w:t>HACIENDA SAN MIGUEL</w:t>
            </w:r>
          </w:p>
        </w:tc>
        <w:tc>
          <w:tcPr>
            <w:tcW w:w="2106" w:type="dxa"/>
          </w:tcPr>
          <w:p>
            <w:pPr>
              <w:pStyle w:val="TableParagraph"/>
              <w:spacing w:line="156" w:lineRule="exact" w:before="44"/>
              <w:ind w:right="44"/>
              <w:jc w:val="right"/>
              <w:rPr>
                <w:sz w:val="15"/>
              </w:rPr>
            </w:pPr>
            <w:r>
              <w:rPr>
                <w:sz w:val="15"/>
              </w:rPr>
              <w:t>$ 78.00</w:t>
            </w:r>
          </w:p>
        </w:tc>
      </w:tr>
      <w:tr>
        <w:trPr>
          <w:trHeight w:val="220" w:hRule="atLeast"/>
        </w:trPr>
        <w:tc>
          <w:tcPr>
            <w:tcW w:w="4560" w:type="dxa"/>
          </w:tcPr>
          <w:p>
            <w:pPr>
              <w:pStyle w:val="TableParagraph"/>
              <w:spacing w:before="1"/>
              <w:ind w:left="50"/>
              <w:rPr>
                <w:sz w:val="15"/>
              </w:rPr>
            </w:pPr>
            <w:r>
              <w:rPr>
                <w:sz w:val="15"/>
              </w:rPr>
              <w:t>31 CLUB HIPICO HACIENDA DEL ORO</w:t>
            </w:r>
          </w:p>
        </w:tc>
        <w:tc>
          <w:tcPr>
            <w:tcW w:w="742" w:type="dxa"/>
          </w:tcPr>
          <w:p>
            <w:pPr>
              <w:pStyle w:val="TableParagraph"/>
              <w:spacing w:before="23"/>
              <w:ind w:right="47"/>
              <w:jc w:val="right"/>
              <w:rPr>
                <w:sz w:val="15"/>
              </w:rPr>
            </w:pPr>
            <w:r>
              <w:rPr>
                <w:sz w:val="15"/>
              </w:rPr>
              <w:t>$ 166.00</w:t>
            </w:r>
          </w:p>
        </w:tc>
        <w:tc>
          <w:tcPr>
            <w:tcW w:w="6623" w:type="dxa"/>
          </w:tcPr>
          <w:p>
            <w:pPr>
              <w:pStyle w:val="TableParagraph"/>
              <w:spacing w:before="22"/>
              <w:ind w:right="80"/>
              <w:jc w:val="right"/>
              <w:rPr>
                <w:sz w:val="15"/>
              </w:rPr>
            </w:pPr>
            <w:r>
              <w:rPr>
                <w:sz w:val="15"/>
              </w:rPr>
              <w:t>75</w:t>
            </w:r>
          </w:p>
        </w:tc>
        <w:tc>
          <w:tcPr>
            <w:tcW w:w="2890" w:type="dxa"/>
          </w:tcPr>
          <w:p>
            <w:pPr>
              <w:pStyle w:val="TableParagraph"/>
              <w:spacing w:before="22"/>
              <w:ind w:left="84"/>
              <w:rPr>
                <w:sz w:val="15"/>
              </w:rPr>
            </w:pPr>
            <w:r>
              <w:rPr>
                <w:sz w:val="15"/>
              </w:rPr>
              <w:t>HACIENDA SANTA CRUZ</w:t>
            </w:r>
          </w:p>
        </w:tc>
        <w:tc>
          <w:tcPr>
            <w:tcW w:w="2106" w:type="dxa"/>
          </w:tcPr>
          <w:p>
            <w:pPr>
              <w:pStyle w:val="TableParagraph"/>
              <w:spacing w:line="156" w:lineRule="exact" w:before="44"/>
              <w:ind w:right="44"/>
              <w:jc w:val="right"/>
              <w:rPr>
                <w:sz w:val="15"/>
              </w:rPr>
            </w:pPr>
            <w:r>
              <w:rPr>
                <w:sz w:val="15"/>
              </w:rPr>
              <w:t>$ 51.00</w:t>
            </w:r>
          </w:p>
        </w:tc>
      </w:tr>
      <w:tr>
        <w:trPr>
          <w:trHeight w:val="220" w:hRule="atLeast"/>
        </w:trPr>
        <w:tc>
          <w:tcPr>
            <w:tcW w:w="4560" w:type="dxa"/>
          </w:tcPr>
          <w:p>
            <w:pPr>
              <w:pStyle w:val="TableParagraph"/>
              <w:spacing w:before="1"/>
              <w:ind w:left="50"/>
              <w:rPr>
                <w:sz w:val="15"/>
              </w:rPr>
            </w:pPr>
            <w:r>
              <w:rPr>
                <w:sz w:val="15"/>
              </w:rPr>
              <w:t>32 COLINA REAL</w:t>
            </w:r>
          </w:p>
        </w:tc>
        <w:tc>
          <w:tcPr>
            <w:tcW w:w="742" w:type="dxa"/>
          </w:tcPr>
          <w:p>
            <w:pPr>
              <w:pStyle w:val="TableParagraph"/>
              <w:spacing w:before="23"/>
              <w:ind w:right="47"/>
              <w:jc w:val="right"/>
              <w:rPr>
                <w:sz w:val="15"/>
              </w:rPr>
            </w:pPr>
            <w:r>
              <w:rPr>
                <w:sz w:val="15"/>
              </w:rPr>
              <w:t>$ 78.00</w:t>
            </w:r>
          </w:p>
        </w:tc>
        <w:tc>
          <w:tcPr>
            <w:tcW w:w="6623" w:type="dxa"/>
          </w:tcPr>
          <w:p>
            <w:pPr>
              <w:pStyle w:val="TableParagraph"/>
              <w:spacing w:before="22"/>
              <w:ind w:right="80"/>
              <w:jc w:val="right"/>
              <w:rPr>
                <w:sz w:val="15"/>
              </w:rPr>
            </w:pPr>
            <w:r>
              <w:rPr>
                <w:sz w:val="15"/>
              </w:rPr>
              <w:t>76</w:t>
            </w:r>
          </w:p>
        </w:tc>
        <w:tc>
          <w:tcPr>
            <w:tcW w:w="2890" w:type="dxa"/>
          </w:tcPr>
          <w:p>
            <w:pPr>
              <w:pStyle w:val="TableParagraph"/>
              <w:spacing w:before="22"/>
              <w:ind w:left="84"/>
              <w:rPr>
                <w:sz w:val="15"/>
              </w:rPr>
            </w:pPr>
            <w:r>
              <w:rPr>
                <w:sz w:val="15"/>
              </w:rPr>
              <w:t>HACIENDA SANTA FE</w:t>
            </w:r>
          </w:p>
        </w:tc>
        <w:tc>
          <w:tcPr>
            <w:tcW w:w="2106" w:type="dxa"/>
          </w:tcPr>
          <w:p>
            <w:pPr>
              <w:pStyle w:val="TableParagraph"/>
              <w:spacing w:line="156" w:lineRule="exact" w:before="44"/>
              <w:ind w:right="44"/>
              <w:jc w:val="right"/>
              <w:rPr>
                <w:sz w:val="15"/>
              </w:rPr>
            </w:pPr>
            <w:r>
              <w:rPr>
                <w:sz w:val="15"/>
              </w:rPr>
              <w:t>$ 78.00</w:t>
            </w:r>
          </w:p>
        </w:tc>
      </w:tr>
      <w:tr>
        <w:trPr>
          <w:trHeight w:val="220" w:hRule="atLeast"/>
        </w:trPr>
        <w:tc>
          <w:tcPr>
            <w:tcW w:w="4560" w:type="dxa"/>
          </w:tcPr>
          <w:p>
            <w:pPr>
              <w:pStyle w:val="TableParagraph"/>
              <w:spacing w:before="1"/>
              <w:ind w:left="50"/>
              <w:rPr>
                <w:sz w:val="15"/>
              </w:rPr>
            </w:pPr>
            <w:r>
              <w:rPr>
                <w:sz w:val="15"/>
              </w:rPr>
              <w:t>33 COLINAS DE CAJITITLAN</w:t>
            </w:r>
          </w:p>
        </w:tc>
        <w:tc>
          <w:tcPr>
            <w:tcW w:w="742" w:type="dxa"/>
          </w:tcPr>
          <w:p>
            <w:pPr>
              <w:pStyle w:val="TableParagraph"/>
              <w:spacing w:before="23"/>
              <w:ind w:right="47"/>
              <w:jc w:val="right"/>
              <w:rPr>
                <w:sz w:val="15"/>
              </w:rPr>
            </w:pPr>
            <w:r>
              <w:rPr>
                <w:sz w:val="15"/>
              </w:rPr>
              <w:t>$ 69.00</w:t>
            </w:r>
          </w:p>
        </w:tc>
        <w:tc>
          <w:tcPr>
            <w:tcW w:w="6623" w:type="dxa"/>
          </w:tcPr>
          <w:p>
            <w:pPr>
              <w:pStyle w:val="TableParagraph"/>
              <w:spacing w:before="22"/>
              <w:ind w:right="80"/>
              <w:jc w:val="right"/>
              <w:rPr>
                <w:sz w:val="15"/>
              </w:rPr>
            </w:pPr>
            <w:r>
              <w:rPr>
                <w:sz w:val="15"/>
              </w:rPr>
              <w:t>77</w:t>
            </w:r>
          </w:p>
        </w:tc>
        <w:tc>
          <w:tcPr>
            <w:tcW w:w="2890" w:type="dxa"/>
          </w:tcPr>
          <w:p>
            <w:pPr>
              <w:pStyle w:val="TableParagraph"/>
              <w:spacing w:before="22"/>
              <w:ind w:left="84"/>
              <w:rPr>
                <w:sz w:val="15"/>
              </w:rPr>
            </w:pPr>
            <w:r>
              <w:rPr>
                <w:sz w:val="15"/>
              </w:rPr>
              <w:t>HACIENDAS DEL PARQUE</w:t>
            </w:r>
          </w:p>
        </w:tc>
        <w:tc>
          <w:tcPr>
            <w:tcW w:w="2106" w:type="dxa"/>
          </w:tcPr>
          <w:p>
            <w:pPr>
              <w:pStyle w:val="TableParagraph"/>
              <w:spacing w:line="156" w:lineRule="exact" w:before="44"/>
              <w:ind w:right="44"/>
              <w:jc w:val="right"/>
              <w:rPr>
                <w:sz w:val="15"/>
              </w:rPr>
            </w:pPr>
            <w:r>
              <w:rPr>
                <w:sz w:val="15"/>
              </w:rPr>
              <w:t>$ 74.00</w:t>
            </w:r>
          </w:p>
        </w:tc>
      </w:tr>
      <w:tr>
        <w:trPr>
          <w:trHeight w:val="220" w:hRule="atLeast"/>
        </w:trPr>
        <w:tc>
          <w:tcPr>
            <w:tcW w:w="4560" w:type="dxa"/>
          </w:tcPr>
          <w:p>
            <w:pPr>
              <w:pStyle w:val="TableParagraph"/>
              <w:spacing w:before="1"/>
              <w:ind w:left="50"/>
              <w:rPr>
                <w:sz w:val="15"/>
              </w:rPr>
            </w:pPr>
            <w:r>
              <w:rPr>
                <w:sz w:val="15"/>
              </w:rPr>
              <w:t>34 COLINAS DE LA CRUZ</w:t>
            </w:r>
          </w:p>
        </w:tc>
        <w:tc>
          <w:tcPr>
            <w:tcW w:w="742" w:type="dxa"/>
          </w:tcPr>
          <w:p>
            <w:pPr>
              <w:pStyle w:val="TableParagraph"/>
              <w:spacing w:before="23"/>
              <w:ind w:right="47"/>
              <w:jc w:val="right"/>
              <w:rPr>
                <w:sz w:val="15"/>
              </w:rPr>
            </w:pPr>
            <w:r>
              <w:rPr>
                <w:sz w:val="15"/>
              </w:rPr>
              <w:t>$ 78.00</w:t>
            </w:r>
          </w:p>
        </w:tc>
        <w:tc>
          <w:tcPr>
            <w:tcW w:w="6623" w:type="dxa"/>
          </w:tcPr>
          <w:p>
            <w:pPr>
              <w:pStyle w:val="TableParagraph"/>
              <w:spacing w:before="22"/>
              <w:ind w:right="79"/>
              <w:jc w:val="right"/>
              <w:rPr>
                <w:sz w:val="15"/>
              </w:rPr>
            </w:pPr>
            <w:r>
              <w:rPr>
                <w:sz w:val="15"/>
              </w:rPr>
              <w:t>78</w:t>
            </w:r>
          </w:p>
        </w:tc>
        <w:tc>
          <w:tcPr>
            <w:tcW w:w="2890" w:type="dxa"/>
          </w:tcPr>
          <w:p>
            <w:pPr>
              <w:pStyle w:val="TableParagraph"/>
              <w:spacing w:before="22"/>
              <w:ind w:left="84"/>
              <w:rPr>
                <w:sz w:val="15"/>
              </w:rPr>
            </w:pPr>
            <w:r>
              <w:rPr>
                <w:sz w:val="15"/>
              </w:rPr>
              <w:t>HEROES DE NACOZARI</w:t>
            </w:r>
          </w:p>
        </w:tc>
        <w:tc>
          <w:tcPr>
            <w:tcW w:w="2106" w:type="dxa"/>
          </w:tcPr>
          <w:p>
            <w:pPr>
              <w:pStyle w:val="TableParagraph"/>
              <w:spacing w:line="156" w:lineRule="exact" w:before="44"/>
              <w:ind w:right="44"/>
              <w:jc w:val="right"/>
              <w:rPr>
                <w:sz w:val="15"/>
              </w:rPr>
            </w:pPr>
            <w:r>
              <w:rPr>
                <w:sz w:val="15"/>
              </w:rPr>
              <w:t>$ 78.00</w:t>
            </w:r>
          </w:p>
        </w:tc>
      </w:tr>
      <w:tr>
        <w:trPr>
          <w:trHeight w:val="220" w:hRule="atLeast"/>
        </w:trPr>
        <w:tc>
          <w:tcPr>
            <w:tcW w:w="4560" w:type="dxa"/>
          </w:tcPr>
          <w:p>
            <w:pPr>
              <w:pStyle w:val="TableParagraph"/>
              <w:spacing w:before="1"/>
              <w:ind w:left="50"/>
              <w:rPr>
                <w:sz w:val="15"/>
              </w:rPr>
            </w:pPr>
            <w:r>
              <w:rPr>
                <w:sz w:val="15"/>
              </w:rPr>
              <w:t>35 COLINAS DE SANTA ANITA</w:t>
            </w:r>
          </w:p>
        </w:tc>
        <w:tc>
          <w:tcPr>
            <w:tcW w:w="742" w:type="dxa"/>
          </w:tcPr>
          <w:p>
            <w:pPr>
              <w:pStyle w:val="TableParagraph"/>
              <w:spacing w:before="23"/>
              <w:ind w:right="47"/>
              <w:jc w:val="right"/>
              <w:rPr>
                <w:sz w:val="15"/>
              </w:rPr>
            </w:pPr>
            <w:r>
              <w:rPr>
                <w:sz w:val="15"/>
              </w:rPr>
              <w:t>$ 186.00</w:t>
            </w:r>
          </w:p>
        </w:tc>
        <w:tc>
          <w:tcPr>
            <w:tcW w:w="6623" w:type="dxa"/>
          </w:tcPr>
          <w:p>
            <w:pPr>
              <w:pStyle w:val="TableParagraph"/>
              <w:spacing w:before="22"/>
              <w:ind w:right="80"/>
              <w:jc w:val="right"/>
              <w:rPr>
                <w:sz w:val="15"/>
              </w:rPr>
            </w:pPr>
            <w:r>
              <w:rPr>
                <w:sz w:val="15"/>
              </w:rPr>
              <w:t>79</w:t>
            </w:r>
          </w:p>
        </w:tc>
        <w:tc>
          <w:tcPr>
            <w:tcW w:w="2890" w:type="dxa"/>
          </w:tcPr>
          <w:p>
            <w:pPr>
              <w:pStyle w:val="TableParagraph"/>
              <w:spacing w:before="22"/>
              <w:ind w:left="84"/>
              <w:rPr>
                <w:sz w:val="15"/>
              </w:rPr>
            </w:pPr>
            <w:r>
              <w:rPr>
                <w:sz w:val="15"/>
              </w:rPr>
              <w:t>JARDIN DE LAS MORAS</w:t>
            </w:r>
          </w:p>
        </w:tc>
        <w:tc>
          <w:tcPr>
            <w:tcW w:w="2106" w:type="dxa"/>
          </w:tcPr>
          <w:p>
            <w:pPr>
              <w:pStyle w:val="TableParagraph"/>
              <w:spacing w:line="156" w:lineRule="exact" w:before="44"/>
              <w:ind w:right="44"/>
              <w:jc w:val="right"/>
              <w:rPr>
                <w:sz w:val="15"/>
              </w:rPr>
            </w:pPr>
            <w:r>
              <w:rPr>
                <w:sz w:val="15"/>
              </w:rPr>
              <w:t>$ 78.00</w:t>
            </w:r>
          </w:p>
        </w:tc>
      </w:tr>
      <w:tr>
        <w:trPr>
          <w:trHeight w:val="220" w:hRule="atLeast"/>
        </w:trPr>
        <w:tc>
          <w:tcPr>
            <w:tcW w:w="4560" w:type="dxa"/>
          </w:tcPr>
          <w:p>
            <w:pPr>
              <w:pStyle w:val="TableParagraph"/>
              <w:spacing w:before="1"/>
              <w:ind w:left="50"/>
              <w:rPr>
                <w:sz w:val="15"/>
              </w:rPr>
            </w:pPr>
            <w:r>
              <w:rPr>
                <w:sz w:val="15"/>
              </w:rPr>
              <w:t>36 COLINAS DEL ROBLE</w:t>
            </w:r>
          </w:p>
        </w:tc>
        <w:tc>
          <w:tcPr>
            <w:tcW w:w="742" w:type="dxa"/>
          </w:tcPr>
          <w:p>
            <w:pPr>
              <w:pStyle w:val="TableParagraph"/>
              <w:spacing w:before="23"/>
              <w:ind w:right="47"/>
              <w:jc w:val="right"/>
              <w:rPr>
                <w:sz w:val="15"/>
              </w:rPr>
            </w:pPr>
            <w:r>
              <w:rPr>
                <w:sz w:val="15"/>
              </w:rPr>
              <w:t>$ 86.00</w:t>
            </w:r>
          </w:p>
        </w:tc>
        <w:tc>
          <w:tcPr>
            <w:tcW w:w="6623" w:type="dxa"/>
          </w:tcPr>
          <w:p>
            <w:pPr>
              <w:pStyle w:val="TableParagraph"/>
              <w:spacing w:before="22"/>
              <w:ind w:right="80"/>
              <w:jc w:val="right"/>
              <w:rPr>
                <w:sz w:val="15"/>
              </w:rPr>
            </w:pPr>
            <w:r>
              <w:rPr>
                <w:sz w:val="15"/>
              </w:rPr>
              <w:t>80</w:t>
            </w:r>
          </w:p>
        </w:tc>
        <w:tc>
          <w:tcPr>
            <w:tcW w:w="2890" w:type="dxa"/>
          </w:tcPr>
          <w:p>
            <w:pPr>
              <w:pStyle w:val="TableParagraph"/>
              <w:spacing w:before="22"/>
              <w:ind w:left="84"/>
              <w:rPr>
                <w:sz w:val="15"/>
              </w:rPr>
            </w:pPr>
            <w:r>
              <w:rPr>
                <w:sz w:val="15"/>
              </w:rPr>
              <w:t>JARDINES DE LA CALERA</w:t>
            </w:r>
          </w:p>
        </w:tc>
        <w:tc>
          <w:tcPr>
            <w:tcW w:w="2106" w:type="dxa"/>
          </w:tcPr>
          <w:p>
            <w:pPr>
              <w:pStyle w:val="TableParagraph"/>
              <w:spacing w:line="156" w:lineRule="exact" w:before="44"/>
              <w:ind w:right="44"/>
              <w:jc w:val="right"/>
              <w:rPr>
                <w:sz w:val="15"/>
              </w:rPr>
            </w:pPr>
            <w:r>
              <w:rPr>
                <w:sz w:val="15"/>
              </w:rPr>
              <w:t>$ 70.00</w:t>
            </w:r>
          </w:p>
        </w:tc>
      </w:tr>
      <w:tr>
        <w:trPr>
          <w:trHeight w:val="220" w:hRule="atLeast"/>
        </w:trPr>
        <w:tc>
          <w:tcPr>
            <w:tcW w:w="4560" w:type="dxa"/>
          </w:tcPr>
          <w:p>
            <w:pPr>
              <w:pStyle w:val="TableParagraph"/>
              <w:spacing w:before="1"/>
              <w:ind w:left="50"/>
              <w:rPr>
                <w:sz w:val="15"/>
              </w:rPr>
            </w:pPr>
            <w:r>
              <w:rPr>
                <w:sz w:val="15"/>
              </w:rPr>
              <w:t>37 COLINAS DESARROLLO</w:t>
            </w:r>
          </w:p>
        </w:tc>
        <w:tc>
          <w:tcPr>
            <w:tcW w:w="742" w:type="dxa"/>
          </w:tcPr>
          <w:p>
            <w:pPr>
              <w:pStyle w:val="TableParagraph"/>
              <w:spacing w:before="23"/>
              <w:ind w:right="47"/>
              <w:jc w:val="right"/>
              <w:rPr>
                <w:sz w:val="15"/>
              </w:rPr>
            </w:pPr>
            <w:r>
              <w:rPr>
                <w:sz w:val="15"/>
              </w:rPr>
              <w:t>$ 78.00</w:t>
            </w:r>
          </w:p>
        </w:tc>
        <w:tc>
          <w:tcPr>
            <w:tcW w:w="6623" w:type="dxa"/>
          </w:tcPr>
          <w:p>
            <w:pPr>
              <w:pStyle w:val="TableParagraph"/>
              <w:spacing w:before="22"/>
              <w:ind w:right="80"/>
              <w:jc w:val="right"/>
              <w:rPr>
                <w:sz w:val="15"/>
              </w:rPr>
            </w:pPr>
            <w:r>
              <w:rPr>
                <w:sz w:val="15"/>
              </w:rPr>
              <w:t>81</w:t>
            </w:r>
          </w:p>
        </w:tc>
        <w:tc>
          <w:tcPr>
            <w:tcW w:w="2890" w:type="dxa"/>
          </w:tcPr>
          <w:p>
            <w:pPr>
              <w:pStyle w:val="TableParagraph"/>
              <w:spacing w:before="22"/>
              <w:ind w:left="84"/>
              <w:rPr>
                <w:sz w:val="15"/>
              </w:rPr>
            </w:pPr>
            <w:r>
              <w:rPr>
                <w:sz w:val="15"/>
              </w:rPr>
              <w:t>JARDINES DE LA HACIENDA</w:t>
            </w:r>
          </w:p>
        </w:tc>
        <w:tc>
          <w:tcPr>
            <w:tcW w:w="2106" w:type="dxa"/>
          </w:tcPr>
          <w:p>
            <w:pPr>
              <w:pStyle w:val="TableParagraph"/>
              <w:spacing w:line="156" w:lineRule="exact" w:before="44"/>
              <w:ind w:right="44"/>
              <w:jc w:val="right"/>
              <w:rPr>
                <w:sz w:val="15"/>
              </w:rPr>
            </w:pPr>
            <w:r>
              <w:rPr>
                <w:sz w:val="15"/>
              </w:rPr>
              <w:t>$ 78.00</w:t>
            </w:r>
          </w:p>
        </w:tc>
      </w:tr>
      <w:tr>
        <w:trPr>
          <w:trHeight w:val="220" w:hRule="atLeast"/>
        </w:trPr>
        <w:tc>
          <w:tcPr>
            <w:tcW w:w="4560" w:type="dxa"/>
          </w:tcPr>
          <w:p>
            <w:pPr>
              <w:pStyle w:val="TableParagraph"/>
              <w:spacing w:before="1"/>
              <w:ind w:left="50"/>
              <w:rPr>
                <w:sz w:val="15"/>
              </w:rPr>
            </w:pPr>
            <w:r>
              <w:rPr>
                <w:sz w:val="15"/>
              </w:rPr>
              <w:t>38 CONDOMINIO JADE</w:t>
            </w:r>
          </w:p>
        </w:tc>
        <w:tc>
          <w:tcPr>
            <w:tcW w:w="742" w:type="dxa"/>
          </w:tcPr>
          <w:p>
            <w:pPr>
              <w:pStyle w:val="TableParagraph"/>
              <w:spacing w:before="23"/>
              <w:ind w:right="47"/>
              <w:jc w:val="right"/>
              <w:rPr>
                <w:sz w:val="15"/>
              </w:rPr>
            </w:pPr>
            <w:r>
              <w:rPr>
                <w:sz w:val="15"/>
              </w:rPr>
              <w:t>$ 85.00</w:t>
            </w:r>
          </w:p>
        </w:tc>
        <w:tc>
          <w:tcPr>
            <w:tcW w:w="6623" w:type="dxa"/>
          </w:tcPr>
          <w:p>
            <w:pPr>
              <w:pStyle w:val="TableParagraph"/>
              <w:spacing w:before="22"/>
              <w:ind w:right="80"/>
              <w:jc w:val="right"/>
              <w:rPr>
                <w:sz w:val="15"/>
              </w:rPr>
            </w:pPr>
            <w:r>
              <w:rPr>
                <w:sz w:val="15"/>
              </w:rPr>
              <w:t>82</w:t>
            </w:r>
          </w:p>
        </w:tc>
        <w:tc>
          <w:tcPr>
            <w:tcW w:w="2890" w:type="dxa"/>
          </w:tcPr>
          <w:p>
            <w:pPr>
              <w:pStyle w:val="TableParagraph"/>
              <w:spacing w:before="22"/>
              <w:ind w:left="84"/>
              <w:rPr>
                <w:sz w:val="15"/>
              </w:rPr>
            </w:pPr>
            <w:r>
              <w:rPr>
                <w:sz w:val="15"/>
              </w:rPr>
              <w:t>JARDINES DE PRIMAVERA</w:t>
            </w:r>
          </w:p>
        </w:tc>
        <w:tc>
          <w:tcPr>
            <w:tcW w:w="2106" w:type="dxa"/>
          </w:tcPr>
          <w:p>
            <w:pPr>
              <w:pStyle w:val="TableParagraph"/>
              <w:spacing w:line="156" w:lineRule="exact" w:before="44"/>
              <w:ind w:right="44"/>
              <w:jc w:val="right"/>
              <w:rPr>
                <w:sz w:val="15"/>
              </w:rPr>
            </w:pPr>
            <w:r>
              <w:rPr>
                <w:sz w:val="15"/>
              </w:rPr>
              <w:t>$ 63.00</w:t>
            </w:r>
          </w:p>
        </w:tc>
      </w:tr>
      <w:tr>
        <w:trPr>
          <w:trHeight w:val="220" w:hRule="atLeast"/>
        </w:trPr>
        <w:tc>
          <w:tcPr>
            <w:tcW w:w="4560" w:type="dxa"/>
          </w:tcPr>
          <w:p>
            <w:pPr>
              <w:pStyle w:val="TableParagraph"/>
              <w:spacing w:before="1"/>
              <w:ind w:left="50"/>
              <w:rPr>
                <w:sz w:val="15"/>
              </w:rPr>
            </w:pPr>
            <w:r>
              <w:rPr>
                <w:sz w:val="15"/>
              </w:rPr>
              <w:t>39 CONDOMINIO PARQUE LA TIJERA</w:t>
            </w:r>
          </w:p>
        </w:tc>
        <w:tc>
          <w:tcPr>
            <w:tcW w:w="742" w:type="dxa"/>
          </w:tcPr>
          <w:p>
            <w:pPr>
              <w:pStyle w:val="TableParagraph"/>
              <w:spacing w:before="23"/>
              <w:ind w:right="47"/>
              <w:jc w:val="right"/>
              <w:rPr>
                <w:sz w:val="15"/>
              </w:rPr>
            </w:pPr>
            <w:r>
              <w:rPr>
                <w:sz w:val="15"/>
              </w:rPr>
              <w:t>$ 167.00</w:t>
            </w:r>
          </w:p>
        </w:tc>
        <w:tc>
          <w:tcPr>
            <w:tcW w:w="6623" w:type="dxa"/>
          </w:tcPr>
          <w:p>
            <w:pPr>
              <w:pStyle w:val="TableParagraph"/>
              <w:spacing w:before="22"/>
              <w:ind w:right="79"/>
              <w:jc w:val="right"/>
              <w:rPr>
                <w:sz w:val="15"/>
              </w:rPr>
            </w:pPr>
            <w:r>
              <w:rPr>
                <w:sz w:val="15"/>
              </w:rPr>
              <w:t>83</w:t>
            </w:r>
          </w:p>
        </w:tc>
        <w:tc>
          <w:tcPr>
            <w:tcW w:w="2890" w:type="dxa"/>
          </w:tcPr>
          <w:p>
            <w:pPr>
              <w:pStyle w:val="TableParagraph"/>
              <w:spacing w:before="22"/>
              <w:ind w:left="84"/>
              <w:rPr>
                <w:sz w:val="15"/>
              </w:rPr>
            </w:pPr>
            <w:r>
              <w:rPr>
                <w:sz w:val="15"/>
              </w:rPr>
              <w:t>JARDINES DE SAN SEBASTIAN</w:t>
            </w:r>
          </w:p>
        </w:tc>
        <w:tc>
          <w:tcPr>
            <w:tcW w:w="2106" w:type="dxa"/>
          </w:tcPr>
          <w:p>
            <w:pPr>
              <w:pStyle w:val="TableParagraph"/>
              <w:spacing w:line="156" w:lineRule="exact" w:before="44"/>
              <w:ind w:right="44"/>
              <w:jc w:val="right"/>
              <w:rPr>
                <w:sz w:val="15"/>
              </w:rPr>
            </w:pPr>
            <w:r>
              <w:rPr>
                <w:sz w:val="15"/>
              </w:rPr>
              <w:t>$ 63.00</w:t>
            </w:r>
          </w:p>
        </w:tc>
      </w:tr>
      <w:tr>
        <w:trPr>
          <w:trHeight w:val="220" w:hRule="atLeast"/>
        </w:trPr>
        <w:tc>
          <w:tcPr>
            <w:tcW w:w="4560" w:type="dxa"/>
          </w:tcPr>
          <w:p>
            <w:pPr>
              <w:pStyle w:val="TableParagraph"/>
              <w:spacing w:before="1"/>
              <w:ind w:left="50"/>
              <w:rPr>
                <w:sz w:val="15"/>
              </w:rPr>
            </w:pPr>
            <w:r>
              <w:rPr>
                <w:sz w:val="15"/>
              </w:rPr>
              <w:t>40 CONDOMINIO SANTA ANITA</w:t>
            </w:r>
          </w:p>
        </w:tc>
        <w:tc>
          <w:tcPr>
            <w:tcW w:w="742" w:type="dxa"/>
          </w:tcPr>
          <w:p>
            <w:pPr>
              <w:pStyle w:val="TableParagraph"/>
              <w:spacing w:before="23"/>
              <w:ind w:right="47"/>
              <w:jc w:val="right"/>
              <w:rPr>
                <w:sz w:val="15"/>
              </w:rPr>
            </w:pPr>
            <w:r>
              <w:rPr>
                <w:sz w:val="15"/>
              </w:rPr>
              <w:t>$ 166.00</w:t>
            </w:r>
          </w:p>
        </w:tc>
        <w:tc>
          <w:tcPr>
            <w:tcW w:w="6623" w:type="dxa"/>
          </w:tcPr>
          <w:p>
            <w:pPr>
              <w:pStyle w:val="TableParagraph"/>
              <w:spacing w:before="22"/>
              <w:ind w:right="80"/>
              <w:jc w:val="right"/>
              <w:rPr>
                <w:sz w:val="15"/>
              </w:rPr>
            </w:pPr>
            <w:r>
              <w:rPr>
                <w:sz w:val="15"/>
              </w:rPr>
              <w:t>84</w:t>
            </w:r>
          </w:p>
        </w:tc>
        <w:tc>
          <w:tcPr>
            <w:tcW w:w="2890" w:type="dxa"/>
          </w:tcPr>
          <w:p>
            <w:pPr>
              <w:pStyle w:val="TableParagraph"/>
              <w:spacing w:before="22"/>
              <w:ind w:left="84"/>
              <w:rPr>
                <w:sz w:val="15"/>
              </w:rPr>
            </w:pPr>
            <w:r>
              <w:rPr>
                <w:sz w:val="15"/>
              </w:rPr>
              <w:t>JARDINES DE SANTA ANITA</w:t>
            </w:r>
          </w:p>
        </w:tc>
        <w:tc>
          <w:tcPr>
            <w:tcW w:w="2106" w:type="dxa"/>
          </w:tcPr>
          <w:p>
            <w:pPr>
              <w:pStyle w:val="TableParagraph"/>
              <w:spacing w:line="156" w:lineRule="exact" w:before="44"/>
              <w:ind w:right="44"/>
              <w:jc w:val="right"/>
              <w:rPr>
                <w:sz w:val="15"/>
              </w:rPr>
            </w:pPr>
            <w:r>
              <w:rPr>
                <w:sz w:val="15"/>
              </w:rPr>
              <w:t>$ 166.00</w:t>
            </w:r>
          </w:p>
        </w:tc>
      </w:tr>
      <w:tr>
        <w:trPr>
          <w:trHeight w:val="220" w:hRule="atLeast"/>
        </w:trPr>
        <w:tc>
          <w:tcPr>
            <w:tcW w:w="4560" w:type="dxa"/>
          </w:tcPr>
          <w:p>
            <w:pPr>
              <w:pStyle w:val="TableParagraph"/>
              <w:spacing w:before="1"/>
              <w:ind w:left="50"/>
              <w:rPr>
                <w:sz w:val="15"/>
              </w:rPr>
            </w:pPr>
            <w:r>
              <w:rPr>
                <w:sz w:val="15"/>
              </w:rPr>
              <w:t>41 CORTIJO SAN AGUSTIN</w:t>
            </w:r>
          </w:p>
        </w:tc>
        <w:tc>
          <w:tcPr>
            <w:tcW w:w="742" w:type="dxa"/>
          </w:tcPr>
          <w:p>
            <w:pPr>
              <w:pStyle w:val="TableParagraph"/>
              <w:spacing w:before="23"/>
              <w:ind w:right="47"/>
              <w:jc w:val="right"/>
              <w:rPr>
                <w:sz w:val="15"/>
              </w:rPr>
            </w:pPr>
            <w:r>
              <w:rPr>
                <w:sz w:val="15"/>
              </w:rPr>
              <w:t>$ 159.00</w:t>
            </w:r>
          </w:p>
        </w:tc>
        <w:tc>
          <w:tcPr>
            <w:tcW w:w="6623" w:type="dxa"/>
          </w:tcPr>
          <w:p>
            <w:pPr>
              <w:pStyle w:val="TableParagraph"/>
              <w:spacing w:before="22"/>
              <w:ind w:right="79"/>
              <w:jc w:val="right"/>
              <w:rPr>
                <w:sz w:val="15"/>
              </w:rPr>
            </w:pPr>
            <w:r>
              <w:rPr>
                <w:sz w:val="15"/>
              </w:rPr>
              <w:t>85</w:t>
            </w:r>
          </w:p>
        </w:tc>
        <w:tc>
          <w:tcPr>
            <w:tcW w:w="2890" w:type="dxa"/>
          </w:tcPr>
          <w:p>
            <w:pPr>
              <w:pStyle w:val="TableParagraph"/>
              <w:spacing w:before="22"/>
              <w:ind w:left="84"/>
              <w:rPr>
                <w:sz w:val="15"/>
              </w:rPr>
            </w:pPr>
            <w:r>
              <w:rPr>
                <w:sz w:val="15"/>
              </w:rPr>
              <w:t>JARDINES DE TLAJOMULCO</w:t>
            </w:r>
          </w:p>
        </w:tc>
        <w:tc>
          <w:tcPr>
            <w:tcW w:w="2106" w:type="dxa"/>
          </w:tcPr>
          <w:p>
            <w:pPr>
              <w:pStyle w:val="TableParagraph"/>
              <w:spacing w:line="156" w:lineRule="exact" w:before="44"/>
              <w:ind w:right="44"/>
              <w:jc w:val="right"/>
              <w:rPr>
                <w:sz w:val="15"/>
              </w:rPr>
            </w:pPr>
            <w:r>
              <w:rPr>
                <w:sz w:val="15"/>
              </w:rPr>
              <w:t>$ 158.00</w:t>
            </w:r>
          </w:p>
        </w:tc>
      </w:tr>
      <w:tr>
        <w:trPr>
          <w:trHeight w:val="220" w:hRule="atLeast"/>
        </w:trPr>
        <w:tc>
          <w:tcPr>
            <w:tcW w:w="4560" w:type="dxa"/>
          </w:tcPr>
          <w:p>
            <w:pPr>
              <w:pStyle w:val="TableParagraph"/>
              <w:spacing w:before="1"/>
              <w:ind w:left="50"/>
              <w:rPr>
                <w:sz w:val="15"/>
              </w:rPr>
            </w:pPr>
            <w:r>
              <w:rPr>
                <w:sz w:val="15"/>
              </w:rPr>
              <w:t>42 DE TEJEDA HABITACIONAL</w:t>
            </w:r>
          </w:p>
        </w:tc>
        <w:tc>
          <w:tcPr>
            <w:tcW w:w="742" w:type="dxa"/>
          </w:tcPr>
          <w:p>
            <w:pPr>
              <w:pStyle w:val="TableParagraph"/>
              <w:spacing w:before="23"/>
              <w:ind w:right="47"/>
              <w:jc w:val="right"/>
              <w:rPr>
                <w:sz w:val="15"/>
              </w:rPr>
            </w:pPr>
            <w:r>
              <w:rPr>
                <w:sz w:val="15"/>
              </w:rPr>
              <w:t>$ 78.00</w:t>
            </w:r>
          </w:p>
        </w:tc>
        <w:tc>
          <w:tcPr>
            <w:tcW w:w="6623" w:type="dxa"/>
          </w:tcPr>
          <w:p>
            <w:pPr>
              <w:pStyle w:val="TableParagraph"/>
              <w:spacing w:before="22"/>
              <w:ind w:right="79"/>
              <w:jc w:val="right"/>
              <w:rPr>
                <w:sz w:val="15"/>
              </w:rPr>
            </w:pPr>
            <w:r>
              <w:rPr>
                <w:sz w:val="15"/>
              </w:rPr>
              <w:t>86</w:t>
            </w:r>
          </w:p>
        </w:tc>
        <w:tc>
          <w:tcPr>
            <w:tcW w:w="2890" w:type="dxa"/>
          </w:tcPr>
          <w:p>
            <w:pPr>
              <w:pStyle w:val="TableParagraph"/>
              <w:spacing w:before="22"/>
              <w:ind w:left="84"/>
              <w:rPr>
                <w:sz w:val="15"/>
              </w:rPr>
            </w:pPr>
            <w:r>
              <w:rPr>
                <w:sz w:val="15"/>
              </w:rPr>
              <w:t>JARDINES DE VERANO</w:t>
            </w:r>
          </w:p>
        </w:tc>
        <w:tc>
          <w:tcPr>
            <w:tcW w:w="2106" w:type="dxa"/>
          </w:tcPr>
          <w:p>
            <w:pPr>
              <w:pStyle w:val="TableParagraph"/>
              <w:spacing w:line="156" w:lineRule="exact" w:before="44"/>
              <w:ind w:right="44"/>
              <w:jc w:val="right"/>
              <w:rPr>
                <w:sz w:val="15"/>
              </w:rPr>
            </w:pPr>
            <w:r>
              <w:rPr>
                <w:sz w:val="15"/>
              </w:rPr>
              <w:t>$ 62.00</w:t>
            </w:r>
          </w:p>
        </w:tc>
      </w:tr>
      <w:tr>
        <w:trPr>
          <w:trHeight w:val="220" w:hRule="atLeast"/>
        </w:trPr>
        <w:tc>
          <w:tcPr>
            <w:tcW w:w="4560" w:type="dxa"/>
          </w:tcPr>
          <w:p>
            <w:pPr>
              <w:pStyle w:val="TableParagraph"/>
              <w:spacing w:before="1"/>
              <w:ind w:left="50"/>
              <w:rPr>
                <w:sz w:val="15"/>
              </w:rPr>
            </w:pPr>
            <w:r>
              <w:rPr>
                <w:sz w:val="15"/>
              </w:rPr>
              <w:t>43 DEL PILAR RESIDENCIAL</w:t>
            </w:r>
          </w:p>
        </w:tc>
        <w:tc>
          <w:tcPr>
            <w:tcW w:w="742" w:type="dxa"/>
          </w:tcPr>
          <w:p>
            <w:pPr>
              <w:pStyle w:val="TableParagraph"/>
              <w:spacing w:before="23"/>
              <w:ind w:right="47"/>
              <w:jc w:val="right"/>
              <w:rPr>
                <w:sz w:val="15"/>
              </w:rPr>
            </w:pPr>
            <w:r>
              <w:rPr>
                <w:sz w:val="15"/>
              </w:rPr>
              <w:t>$ 166.00</w:t>
            </w:r>
          </w:p>
        </w:tc>
        <w:tc>
          <w:tcPr>
            <w:tcW w:w="6623" w:type="dxa"/>
          </w:tcPr>
          <w:p>
            <w:pPr>
              <w:pStyle w:val="TableParagraph"/>
              <w:spacing w:before="22"/>
              <w:ind w:right="80"/>
              <w:jc w:val="right"/>
              <w:rPr>
                <w:sz w:val="15"/>
              </w:rPr>
            </w:pPr>
            <w:r>
              <w:rPr>
                <w:sz w:val="15"/>
              </w:rPr>
              <w:t>87</w:t>
            </w:r>
          </w:p>
        </w:tc>
        <w:tc>
          <w:tcPr>
            <w:tcW w:w="2890" w:type="dxa"/>
          </w:tcPr>
          <w:p>
            <w:pPr>
              <w:pStyle w:val="TableParagraph"/>
              <w:spacing w:before="22"/>
              <w:ind w:left="84"/>
              <w:rPr>
                <w:sz w:val="15"/>
              </w:rPr>
            </w:pPr>
            <w:r>
              <w:rPr>
                <w:sz w:val="15"/>
              </w:rPr>
              <w:t>JARDINES EL SANTO</w:t>
            </w:r>
          </w:p>
        </w:tc>
        <w:tc>
          <w:tcPr>
            <w:tcW w:w="2106" w:type="dxa"/>
          </w:tcPr>
          <w:p>
            <w:pPr>
              <w:pStyle w:val="TableParagraph"/>
              <w:spacing w:line="156" w:lineRule="exact" w:before="44"/>
              <w:ind w:right="44"/>
              <w:jc w:val="right"/>
              <w:rPr>
                <w:sz w:val="15"/>
              </w:rPr>
            </w:pPr>
            <w:r>
              <w:rPr>
                <w:sz w:val="15"/>
              </w:rPr>
              <w:t>$ 63.00</w:t>
            </w:r>
          </w:p>
        </w:tc>
      </w:tr>
      <w:tr>
        <w:trPr>
          <w:trHeight w:val="217" w:hRule="atLeast"/>
        </w:trPr>
        <w:tc>
          <w:tcPr>
            <w:tcW w:w="4560" w:type="dxa"/>
          </w:tcPr>
          <w:p>
            <w:pPr>
              <w:pStyle w:val="TableParagraph"/>
              <w:spacing w:before="1"/>
              <w:ind w:left="50"/>
              <w:rPr>
                <w:sz w:val="15"/>
              </w:rPr>
            </w:pPr>
            <w:r>
              <w:rPr>
                <w:sz w:val="15"/>
              </w:rPr>
              <w:t>44 EL ARROYO</w:t>
            </w:r>
          </w:p>
        </w:tc>
        <w:tc>
          <w:tcPr>
            <w:tcW w:w="742" w:type="dxa"/>
          </w:tcPr>
          <w:p>
            <w:pPr>
              <w:pStyle w:val="TableParagraph"/>
              <w:spacing w:before="23"/>
              <w:ind w:right="47"/>
              <w:jc w:val="right"/>
              <w:rPr>
                <w:sz w:val="15"/>
              </w:rPr>
            </w:pPr>
            <w:r>
              <w:rPr>
                <w:sz w:val="15"/>
              </w:rPr>
              <w:t>$ 63.00</w:t>
            </w:r>
          </w:p>
        </w:tc>
        <w:tc>
          <w:tcPr>
            <w:tcW w:w="6623" w:type="dxa"/>
          </w:tcPr>
          <w:p>
            <w:pPr>
              <w:pStyle w:val="TableParagraph"/>
              <w:spacing w:before="22"/>
              <w:ind w:right="79"/>
              <w:jc w:val="right"/>
              <w:rPr>
                <w:sz w:val="15"/>
              </w:rPr>
            </w:pPr>
            <w:r>
              <w:rPr>
                <w:sz w:val="15"/>
              </w:rPr>
              <w:t>88</w:t>
            </w:r>
          </w:p>
        </w:tc>
        <w:tc>
          <w:tcPr>
            <w:tcW w:w="2890" w:type="dxa"/>
          </w:tcPr>
          <w:p>
            <w:pPr>
              <w:pStyle w:val="TableParagraph"/>
              <w:spacing w:before="22"/>
              <w:ind w:left="84"/>
              <w:rPr>
                <w:sz w:val="15"/>
              </w:rPr>
            </w:pPr>
            <w:r>
              <w:rPr>
                <w:sz w:val="15"/>
              </w:rPr>
              <w:t>LA AGUACATERA</w:t>
            </w:r>
          </w:p>
        </w:tc>
        <w:tc>
          <w:tcPr>
            <w:tcW w:w="2106" w:type="dxa"/>
          </w:tcPr>
          <w:p>
            <w:pPr>
              <w:pStyle w:val="TableParagraph"/>
              <w:spacing w:line="153" w:lineRule="exact" w:before="44"/>
              <w:ind w:right="44"/>
              <w:jc w:val="right"/>
              <w:rPr>
                <w:sz w:val="15"/>
              </w:rPr>
            </w:pPr>
            <w:r>
              <w:rPr>
                <w:sz w:val="15"/>
              </w:rPr>
              <w:t>$ 63.00</w:t>
            </w:r>
          </w:p>
        </w:tc>
      </w:tr>
    </w:tbl>
    <w:p>
      <w:pPr>
        <w:spacing w:after="0" w:line="153" w:lineRule="exact"/>
        <w:jc w:val="right"/>
        <w:rPr>
          <w:sz w:val="15"/>
        </w:rPr>
        <w:sectPr>
          <w:headerReference w:type="default" r:id="rId82"/>
          <w:pgSz w:w="23250" w:h="15310" w:orient="landscape"/>
          <w:pgMar w:header="881" w:footer="499" w:top="1920" w:bottom="680" w:left="1880" w:right="1520"/>
        </w:sect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20"/>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7"/>
        <w:gridCol w:w="4256"/>
        <w:gridCol w:w="742"/>
        <w:gridCol w:w="6645"/>
        <w:gridCol w:w="3522"/>
        <w:gridCol w:w="1456"/>
      </w:tblGrid>
      <w:tr>
        <w:trPr>
          <w:trHeight w:val="193" w:hRule="atLeast"/>
        </w:trPr>
        <w:tc>
          <w:tcPr>
            <w:tcW w:w="347" w:type="dxa"/>
          </w:tcPr>
          <w:p>
            <w:pPr>
              <w:pStyle w:val="TableParagraph"/>
              <w:spacing w:line="171" w:lineRule="exact"/>
              <w:ind w:left="92"/>
              <w:rPr>
                <w:sz w:val="15"/>
              </w:rPr>
            </w:pPr>
            <w:r>
              <w:rPr>
                <w:sz w:val="15"/>
              </w:rPr>
              <w:t>89</w:t>
            </w:r>
          </w:p>
        </w:tc>
        <w:tc>
          <w:tcPr>
            <w:tcW w:w="4256" w:type="dxa"/>
          </w:tcPr>
          <w:p>
            <w:pPr>
              <w:pStyle w:val="TableParagraph"/>
              <w:spacing w:line="171" w:lineRule="exact"/>
              <w:ind w:left="83"/>
              <w:rPr>
                <w:sz w:val="15"/>
              </w:rPr>
            </w:pPr>
            <w:r>
              <w:rPr>
                <w:sz w:val="15"/>
              </w:rPr>
              <w:t>LA CIBELA RESIDENCIAL</w:t>
            </w:r>
          </w:p>
        </w:tc>
        <w:tc>
          <w:tcPr>
            <w:tcW w:w="12365" w:type="dxa"/>
            <w:gridSpan w:val="4"/>
          </w:tcPr>
          <w:p>
            <w:pPr>
              <w:pStyle w:val="TableParagraph"/>
              <w:tabs>
                <w:tab w:pos="7069" w:val="left" w:leader="none"/>
              </w:tabs>
              <w:spacing w:line="163" w:lineRule="exact" w:before="10"/>
              <w:ind w:left="50"/>
              <w:rPr>
                <w:sz w:val="15"/>
              </w:rPr>
            </w:pPr>
            <w:r>
              <w:rPr>
                <w:sz w:val="15"/>
              </w:rPr>
              <w:t>$ </w:t>
            </w:r>
            <w:r>
              <w:rPr>
                <w:spacing w:val="7"/>
                <w:sz w:val="15"/>
              </w:rPr>
              <w:t> </w:t>
            </w:r>
            <w:r>
              <w:rPr>
                <w:sz w:val="15"/>
              </w:rPr>
              <w:t>166.00</w:t>
              <w:tab/>
            </w:r>
            <w:r>
              <w:rPr>
                <w:position w:val="-7"/>
                <w:sz w:val="15"/>
              </w:rPr>
              <w:t>133 </w:t>
            </w:r>
            <w:r>
              <w:rPr>
                <w:position w:val="1"/>
                <w:sz w:val="15"/>
              </w:rPr>
              <w:t>LOS LAURELES CONDOMINIO (CAMINO A</w:t>
            </w:r>
            <w:r>
              <w:rPr>
                <w:spacing w:val="26"/>
                <w:position w:val="1"/>
                <w:sz w:val="15"/>
              </w:rPr>
              <w:t> </w:t>
            </w:r>
            <w:r>
              <w:rPr>
                <w:position w:val="1"/>
                <w:sz w:val="15"/>
              </w:rPr>
              <w:t>LAS</w:t>
            </w:r>
          </w:p>
        </w:tc>
      </w:tr>
      <w:tr>
        <w:trPr>
          <w:trHeight w:val="223" w:hRule="atLeast"/>
        </w:trPr>
        <w:tc>
          <w:tcPr>
            <w:tcW w:w="4603" w:type="dxa"/>
            <w:gridSpan w:val="2"/>
          </w:tcPr>
          <w:p>
            <w:pPr>
              <w:pStyle w:val="TableParagraph"/>
              <w:spacing w:before="30"/>
              <w:ind w:left="92"/>
              <w:rPr>
                <w:sz w:val="15"/>
              </w:rPr>
            </w:pPr>
            <w:r>
              <w:rPr>
                <w:sz w:val="15"/>
              </w:rPr>
              <w:t>90 LA CONCHA JARDIN RESIDENCIAL</w:t>
            </w:r>
          </w:p>
        </w:tc>
        <w:tc>
          <w:tcPr>
            <w:tcW w:w="742" w:type="dxa"/>
          </w:tcPr>
          <w:p>
            <w:pPr>
              <w:pStyle w:val="TableParagraph"/>
              <w:spacing w:line="156" w:lineRule="exact" w:before="52"/>
              <w:ind w:right="47"/>
              <w:jc w:val="right"/>
              <w:rPr>
                <w:sz w:val="15"/>
              </w:rPr>
            </w:pPr>
            <w:r>
              <w:rPr>
                <w:sz w:val="15"/>
              </w:rPr>
              <w:t>$ 86.00</w:t>
            </w:r>
          </w:p>
        </w:tc>
        <w:tc>
          <w:tcPr>
            <w:tcW w:w="6645" w:type="dxa"/>
          </w:tcPr>
          <w:p>
            <w:pPr>
              <w:pStyle w:val="TableParagraph"/>
              <w:rPr>
                <w:rFonts w:ascii="Times New Roman"/>
                <w:sz w:val="14"/>
              </w:rPr>
            </w:pPr>
          </w:p>
        </w:tc>
        <w:tc>
          <w:tcPr>
            <w:tcW w:w="3522" w:type="dxa"/>
          </w:tcPr>
          <w:p>
            <w:pPr>
              <w:pStyle w:val="TableParagraph"/>
              <w:spacing w:line="171" w:lineRule="exact"/>
              <w:ind w:left="62"/>
              <w:rPr>
                <w:sz w:val="15"/>
              </w:rPr>
            </w:pPr>
            <w:r>
              <w:rPr>
                <w:sz w:val="15"/>
              </w:rPr>
              <w:t>MORAS)</w:t>
            </w:r>
          </w:p>
        </w:tc>
        <w:tc>
          <w:tcPr>
            <w:tcW w:w="1456" w:type="dxa"/>
          </w:tcPr>
          <w:p>
            <w:pPr>
              <w:pStyle w:val="TableParagraph"/>
              <w:spacing w:before="31"/>
              <w:ind w:right="48"/>
              <w:jc w:val="right"/>
              <w:rPr>
                <w:sz w:val="15"/>
              </w:rPr>
            </w:pPr>
            <w:r>
              <w:rPr>
                <w:sz w:val="15"/>
              </w:rPr>
              <w:t>$ 158.00</w:t>
            </w:r>
          </w:p>
        </w:tc>
      </w:tr>
      <w:tr>
        <w:trPr>
          <w:trHeight w:val="220" w:hRule="atLeast"/>
        </w:trPr>
        <w:tc>
          <w:tcPr>
            <w:tcW w:w="4603" w:type="dxa"/>
            <w:gridSpan w:val="2"/>
          </w:tcPr>
          <w:p>
            <w:pPr>
              <w:pStyle w:val="TableParagraph"/>
              <w:spacing w:before="22"/>
              <w:ind w:left="92"/>
              <w:rPr>
                <w:sz w:val="15"/>
              </w:rPr>
            </w:pPr>
            <w:r>
              <w:rPr>
                <w:sz w:val="15"/>
              </w:rPr>
              <w:t>91 LA FORTUNA</w:t>
            </w:r>
          </w:p>
        </w:tc>
        <w:tc>
          <w:tcPr>
            <w:tcW w:w="742" w:type="dxa"/>
          </w:tcPr>
          <w:p>
            <w:pPr>
              <w:pStyle w:val="TableParagraph"/>
              <w:spacing w:line="156" w:lineRule="exact" w:before="44"/>
              <w:ind w:right="47"/>
              <w:jc w:val="right"/>
              <w:rPr>
                <w:sz w:val="15"/>
              </w:rPr>
            </w:pPr>
            <w:r>
              <w:rPr>
                <w:sz w:val="15"/>
              </w:rPr>
              <w:t>$ 74.00</w:t>
            </w:r>
          </w:p>
        </w:tc>
        <w:tc>
          <w:tcPr>
            <w:tcW w:w="6645" w:type="dxa"/>
          </w:tcPr>
          <w:p>
            <w:pPr>
              <w:pStyle w:val="TableParagraph"/>
              <w:spacing w:before="1"/>
              <w:ind w:right="59"/>
              <w:jc w:val="right"/>
              <w:rPr>
                <w:sz w:val="15"/>
              </w:rPr>
            </w:pPr>
            <w:r>
              <w:rPr>
                <w:sz w:val="15"/>
              </w:rPr>
              <w:t>134</w:t>
            </w:r>
          </w:p>
        </w:tc>
        <w:tc>
          <w:tcPr>
            <w:tcW w:w="3522" w:type="dxa"/>
          </w:tcPr>
          <w:p>
            <w:pPr>
              <w:pStyle w:val="TableParagraph"/>
              <w:spacing w:before="1"/>
              <w:ind w:left="62"/>
              <w:rPr>
                <w:sz w:val="15"/>
              </w:rPr>
            </w:pPr>
            <w:r>
              <w:rPr>
                <w:sz w:val="15"/>
              </w:rPr>
              <w:t>LOS LAURELES SAN AGUSTIN</w:t>
            </w:r>
          </w:p>
        </w:tc>
        <w:tc>
          <w:tcPr>
            <w:tcW w:w="1456" w:type="dxa"/>
          </w:tcPr>
          <w:p>
            <w:pPr>
              <w:pStyle w:val="TableParagraph"/>
              <w:spacing w:before="23"/>
              <w:ind w:right="48"/>
              <w:jc w:val="right"/>
              <w:rPr>
                <w:sz w:val="15"/>
              </w:rPr>
            </w:pPr>
            <w:r>
              <w:rPr>
                <w:sz w:val="15"/>
              </w:rPr>
              <w:t>$ 85.00</w:t>
            </w:r>
          </w:p>
        </w:tc>
      </w:tr>
      <w:tr>
        <w:trPr>
          <w:trHeight w:val="220" w:hRule="atLeast"/>
        </w:trPr>
        <w:tc>
          <w:tcPr>
            <w:tcW w:w="4603" w:type="dxa"/>
            <w:gridSpan w:val="2"/>
          </w:tcPr>
          <w:p>
            <w:pPr>
              <w:pStyle w:val="TableParagraph"/>
              <w:spacing w:before="22"/>
              <w:ind w:left="92"/>
              <w:rPr>
                <w:sz w:val="15"/>
              </w:rPr>
            </w:pPr>
            <w:r>
              <w:rPr>
                <w:sz w:val="15"/>
              </w:rPr>
              <w:t>92 LA FRESNA</w:t>
            </w:r>
          </w:p>
        </w:tc>
        <w:tc>
          <w:tcPr>
            <w:tcW w:w="742" w:type="dxa"/>
          </w:tcPr>
          <w:p>
            <w:pPr>
              <w:pStyle w:val="TableParagraph"/>
              <w:spacing w:line="156" w:lineRule="exact" w:before="44"/>
              <w:ind w:right="47"/>
              <w:jc w:val="right"/>
              <w:rPr>
                <w:sz w:val="15"/>
              </w:rPr>
            </w:pPr>
            <w:r>
              <w:rPr>
                <w:sz w:val="15"/>
              </w:rPr>
              <w:t>$ 158.00</w:t>
            </w:r>
          </w:p>
        </w:tc>
        <w:tc>
          <w:tcPr>
            <w:tcW w:w="6645" w:type="dxa"/>
          </w:tcPr>
          <w:p>
            <w:pPr>
              <w:pStyle w:val="TableParagraph"/>
              <w:spacing w:before="1"/>
              <w:ind w:right="59"/>
              <w:jc w:val="right"/>
              <w:rPr>
                <w:sz w:val="15"/>
              </w:rPr>
            </w:pPr>
            <w:r>
              <w:rPr>
                <w:sz w:val="15"/>
              </w:rPr>
              <w:t>135</w:t>
            </w:r>
          </w:p>
        </w:tc>
        <w:tc>
          <w:tcPr>
            <w:tcW w:w="3522" w:type="dxa"/>
          </w:tcPr>
          <w:p>
            <w:pPr>
              <w:pStyle w:val="TableParagraph"/>
              <w:spacing w:before="1"/>
              <w:ind w:left="62"/>
              <w:rPr>
                <w:sz w:val="15"/>
              </w:rPr>
            </w:pPr>
            <w:r>
              <w:rPr>
                <w:sz w:val="15"/>
              </w:rPr>
              <w:t>LOS MEZQUITEZ (TLAJOMULCO)</w:t>
            </w:r>
          </w:p>
        </w:tc>
        <w:tc>
          <w:tcPr>
            <w:tcW w:w="1456" w:type="dxa"/>
          </w:tcPr>
          <w:p>
            <w:pPr>
              <w:pStyle w:val="TableParagraph"/>
              <w:spacing w:before="23"/>
              <w:ind w:right="48"/>
              <w:jc w:val="right"/>
              <w:rPr>
                <w:sz w:val="15"/>
              </w:rPr>
            </w:pPr>
            <w:r>
              <w:rPr>
                <w:sz w:val="15"/>
              </w:rPr>
              <w:t>$ 78.00</w:t>
            </w:r>
          </w:p>
        </w:tc>
      </w:tr>
      <w:tr>
        <w:trPr>
          <w:trHeight w:val="220" w:hRule="atLeast"/>
        </w:trPr>
        <w:tc>
          <w:tcPr>
            <w:tcW w:w="4603" w:type="dxa"/>
            <w:gridSpan w:val="2"/>
          </w:tcPr>
          <w:p>
            <w:pPr>
              <w:pStyle w:val="TableParagraph"/>
              <w:spacing w:before="22"/>
              <w:ind w:left="92"/>
              <w:rPr>
                <w:sz w:val="15"/>
              </w:rPr>
            </w:pPr>
            <w:r>
              <w:rPr>
                <w:sz w:val="15"/>
              </w:rPr>
              <w:t>93 LA JOLLA (VILLAS CALIFORNIA)</w:t>
            </w:r>
          </w:p>
        </w:tc>
        <w:tc>
          <w:tcPr>
            <w:tcW w:w="742" w:type="dxa"/>
          </w:tcPr>
          <w:p>
            <w:pPr>
              <w:pStyle w:val="TableParagraph"/>
              <w:spacing w:line="156" w:lineRule="exact" w:before="44"/>
              <w:ind w:right="47"/>
              <w:jc w:val="right"/>
              <w:rPr>
                <w:sz w:val="15"/>
              </w:rPr>
            </w:pPr>
            <w:r>
              <w:rPr>
                <w:sz w:val="15"/>
              </w:rPr>
              <w:t>$ 158.00</w:t>
            </w:r>
          </w:p>
        </w:tc>
        <w:tc>
          <w:tcPr>
            <w:tcW w:w="6645" w:type="dxa"/>
          </w:tcPr>
          <w:p>
            <w:pPr>
              <w:pStyle w:val="TableParagraph"/>
              <w:spacing w:before="1"/>
              <w:ind w:right="58"/>
              <w:jc w:val="right"/>
              <w:rPr>
                <w:sz w:val="15"/>
              </w:rPr>
            </w:pPr>
            <w:r>
              <w:rPr>
                <w:sz w:val="15"/>
              </w:rPr>
              <w:t>136</w:t>
            </w:r>
          </w:p>
        </w:tc>
        <w:tc>
          <w:tcPr>
            <w:tcW w:w="3522" w:type="dxa"/>
          </w:tcPr>
          <w:p>
            <w:pPr>
              <w:pStyle w:val="TableParagraph"/>
              <w:spacing w:before="1"/>
              <w:ind w:left="62"/>
              <w:rPr>
                <w:sz w:val="15"/>
              </w:rPr>
            </w:pPr>
            <w:r>
              <w:rPr>
                <w:sz w:val="15"/>
              </w:rPr>
              <w:t>LOS NOGALES</w:t>
            </w:r>
          </w:p>
        </w:tc>
        <w:tc>
          <w:tcPr>
            <w:tcW w:w="1456" w:type="dxa"/>
          </w:tcPr>
          <w:p>
            <w:pPr>
              <w:pStyle w:val="TableParagraph"/>
              <w:spacing w:before="23"/>
              <w:ind w:right="48"/>
              <w:jc w:val="right"/>
              <w:rPr>
                <w:sz w:val="15"/>
              </w:rPr>
            </w:pPr>
            <w:r>
              <w:rPr>
                <w:sz w:val="15"/>
              </w:rPr>
              <w:t>$ 74.00</w:t>
            </w:r>
          </w:p>
        </w:tc>
      </w:tr>
      <w:tr>
        <w:trPr>
          <w:trHeight w:val="220" w:hRule="atLeast"/>
        </w:trPr>
        <w:tc>
          <w:tcPr>
            <w:tcW w:w="4603" w:type="dxa"/>
            <w:gridSpan w:val="2"/>
          </w:tcPr>
          <w:p>
            <w:pPr>
              <w:pStyle w:val="TableParagraph"/>
              <w:spacing w:before="22"/>
              <w:ind w:left="92"/>
              <w:rPr>
                <w:sz w:val="15"/>
              </w:rPr>
            </w:pPr>
            <w:r>
              <w:rPr>
                <w:sz w:val="15"/>
              </w:rPr>
              <w:t>94 LA LOMA 2</w:t>
            </w:r>
          </w:p>
        </w:tc>
        <w:tc>
          <w:tcPr>
            <w:tcW w:w="742" w:type="dxa"/>
          </w:tcPr>
          <w:p>
            <w:pPr>
              <w:pStyle w:val="TableParagraph"/>
              <w:spacing w:line="156" w:lineRule="exact" w:before="44"/>
              <w:ind w:right="47"/>
              <w:jc w:val="right"/>
              <w:rPr>
                <w:sz w:val="15"/>
              </w:rPr>
            </w:pPr>
            <w:r>
              <w:rPr>
                <w:sz w:val="15"/>
              </w:rPr>
              <w:t>$ 158.00</w:t>
            </w:r>
          </w:p>
        </w:tc>
        <w:tc>
          <w:tcPr>
            <w:tcW w:w="6645" w:type="dxa"/>
          </w:tcPr>
          <w:p>
            <w:pPr>
              <w:pStyle w:val="TableParagraph"/>
              <w:spacing w:before="1"/>
              <w:ind w:right="59"/>
              <w:jc w:val="right"/>
              <w:rPr>
                <w:sz w:val="15"/>
              </w:rPr>
            </w:pPr>
            <w:r>
              <w:rPr>
                <w:sz w:val="15"/>
              </w:rPr>
              <w:t>137</w:t>
            </w:r>
          </w:p>
        </w:tc>
        <w:tc>
          <w:tcPr>
            <w:tcW w:w="3522" w:type="dxa"/>
          </w:tcPr>
          <w:p>
            <w:pPr>
              <w:pStyle w:val="TableParagraph"/>
              <w:spacing w:before="1"/>
              <w:ind w:left="62"/>
              <w:rPr>
                <w:sz w:val="15"/>
              </w:rPr>
            </w:pPr>
            <w:r>
              <w:rPr>
                <w:sz w:val="15"/>
              </w:rPr>
              <w:t>LOS OCAMPO</w:t>
            </w:r>
          </w:p>
        </w:tc>
        <w:tc>
          <w:tcPr>
            <w:tcW w:w="1456" w:type="dxa"/>
          </w:tcPr>
          <w:p>
            <w:pPr>
              <w:pStyle w:val="TableParagraph"/>
              <w:spacing w:before="23"/>
              <w:ind w:right="48"/>
              <w:jc w:val="right"/>
              <w:rPr>
                <w:sz w:val="15"/>
              </w:rPr>
            </w:pPr>
            <w:r>
              <w:rPr>
                <w:sz w:val="15"/>
              </w:rPr>
              <w:t>$ 78.00</w:t>
            </w:r>
          </w:p>
        </w:tc>
      </w:tr>
      <w:tr>
        <w:trPr>
          <w:trHeight w:val="220" w:hRule="atLeast"/>
        </w:trPr>
        <w:tc>
          <w:tcPr>
            <w:tcW w:w="4603" w:type="dxa"/>
            <w:gridSpan w:val="2"/>
          </w:tcPr>
          <w:p>
            <w:pPr>
              <w:pStyle w:val="TableParagraph"/>
              <w:spacing w:before="22"/>
              <w:ind w:left="92"/>
              <w:rPr>
                <w:sz w:val="15"/>
              </w:rPr>
            </w:pPr>
            <w:r>
              <w:rPr>
                <w:sz w:val="15"/>
              </w:rPr>
              <w:t>95 LA LOMITA</w:t>
            </w:r>
          </w:p>
        </w:tc>
        <w:tc>
          <w:tcPr>
            <w:tcW w:w="742" w:type="dxa"/>
          </w:tcPr>
          <w:p>
            <w:pPr>
              <w:pStyle w:val="TableParagraph"/>
              <w:spacing w:line="156" w:lineRule="exact" w:before="44"/>
              <w:ind w:right="47"/>
              <w:jc w:val="right"/>
              <w:rPr>
                <w:sz w:val="15"/>
              </w:rPr>
            </w:pPr>
            <w:r>
              <w:rPr>
                <w:sz w:val="15"/>
              </w:rPr>
              <w:t>$ 78.00</w:t>
            </w:r>
          </w:p>
        </w:tc>
        <w:tc>
          <w:tcPr>
            <w:tcW w:w="6645" w:type="dxa"/>
          </w:tcPr>
          <w:p>
            <w:pPr>
              <w:pStyle w:val="TableParagraph"/>
              <w:spacing w:before="1"/>
              <w:ind w:right="59"/>
              <w:jc w:val="right"/>
              <w:rPr>
                <w:sz w:val="15"/>
              </w:rPr>
            </w:pPr>
            <w:r>
              <w:rPr>
                <w:sz w:val="15"/>
              </w:rPr>
              <w:t>138</w:t>
            </w:r>
          </w:p>
        </w:tc>
        <w:tc>
          <w:tcPr>
            <w:tcW w:w="3522" w:type="dxa"/>
          </w:tcPr>
          <w:p>
            <w:pPr>
              <w:pStyle w:val="TableParagraph"/>
              <w:spacing w:before="1"/>
              <w:ind w:left="62"/>
              <w:rPr>
                <w:sz w:val="15"/>
              </w:rPr>
            </w:pPr>
            <w:r>
              <w:rPr>
                <w:sz w:val="15"/>
              </w:rPr>
              <w:t>LOS OLMOS</w:t>
            </w:r>
          </w:p>
        </w:tc>
        <w:tc>
          <w:tcPr>
            <w:tcW w:w="1456" w:type="dxa"/>
          </w:tcPr>
          <w:p>
            <w:pPr>
              <w:pStyle w:val="TableParagraph"/>
              <w:spacing w:before="23"/>
              <w:ind w:right="48"/>
              <w:jc w:val="right"/>
              <w:rPr>
                <w:sz w:val="15"/>
              </w:rPr>
            </w:pPr>
            <w:r>
              <w:rPr>
                <w:sz w:val="15"/>
              </w:rPr>
              <w:t>$ 158.00</w:t>
            </w:r>
          </w:p>
        </w:tc>
      </w:tr>
      <w:tr>
        <w:trPr>
          <w:trHeight w:val="220" w:hRule="atLeast"/>
        </w:trPr>
        <w:tc>
          <w:tcPr>
            <w:tcW w:w="4603" w:type="dxa"/>
            <w:gridSpan w:val="2"/>
          </w:tcPr>
          <w:p>
            <w:pPr>
              <w:pStyle w:val="TableParagraph"/>
              <w:spacing w:before="22"/>
              <w:ind w:left="92"/>
              <w:rPr>
                <w:sz w:val="15"/>
              </w:rPr>
            </w:pPr>
            <w:r>
              <w:rPr>
                <w:sz w:val="15"/>
              </w:rPr>
              <w:t>96 LA NORIA DE LOS REYES</w:t>
            </w:r>
          </w:p>
        </w:tc>
        <w:tc>
          <w:tcPr>
            <w:tcW w:w="742" w:type="dxa"/>
          </w:tcPr>
          <w:p>
            <w:pPr>
              <w:pStyle w:val="TableParagraph"/>
              <w:spacing w:line="156" w:lineRule="exact" w:before="44"/>
              <w:ind w:right="47"/>
              <w:jc w:val="right"/>
              <w:rPr>
                <w:sz w:val="15"/>
              </w:rPr>
            </w:pPr>
            <w:r>
              <w:rPr>
                <w:sz w:val="15"/>
              </w:rPr>
              <w:t>$ 139.00</w:t>
            </w:r>
          </w:p>
        </w:tc>
        <w:tc>
          <w:tcPr>
            <w:tcW w:w="6645" w:type="dxa"/>
          </w:tcPr>
          <w:p>
            <w:pPr>
              <w:pStyle w:val="TableParagraph"/>
              <w:spacing w:before="1"/>
              <w:ind w:right="59"/>
              <w:jc w:val="right"/>
              <w:rPr>
                <w:sz w:val="15"/>
              </w:rPr>
            </w:pPr>
            <w:r>
              <w:rPr>
                <w:sz w:val="15"/>
              </w:rPr>
              <w:t>139</w:t>
            </w:r>
          </w:p>
        </w:tc>
        <w:tc>
          <w:tcPr>
            <w:tcW w:w="3522" w:type="dxa"/>
          </w:tcPr>
          <w:p>
            <w:pPr>
              <w:pStyle w:val="TableParagraph"/>
              <w:spacing w:before="1"/>
              <w:ind w:left="62"/>
              <w:rPr>
                <w:sz w:val="15"/>
              </w:rPr>
            </w:pPr>
            <w:r>
              <w:rPr>
                <w:sz w:val="15"/>
              </w:rPr>
              <w:t>LOS ROBLES</w:t>
            </w:r>
          </w:p>
        </w:tc>
        <w:tc>
          <w:tcPr>
            <w:tcW w:w="1456" w:type="dxa"/>
          </w:tcPr>
          <w:p>
            <w:pPr>
              <w:pStyle w:val="TableParagraph"/>
              <w:spacing w:before="23"/>
              <w:ind w:right="48"/>
              <w:jc w:val="right"/>
              <w:rPr>
                <w:sz w:val="15"/>
              </w:rPr>
            </w:pPr>
            <w:r>
              <w:rPr>
                <w:sz w:val="15"/>
              </w:rPr>
              <w:t>$ 63.00</w:t>
            </w:r>
          </w:p>
        </w:tc>
      </w:tr>
      <w:tr>
        <w:trPr>
          <w:trHeight w:val="220" w:hRule="atLeast"/>
        </w:trPr>
        <w:tc>
          <w:tcPr>
            <w:tcW w:w="4603" w:type="dxa"/>
            <w:gridSpan w:val="2"/>
          </w:tcPr>
          <w:p>
            <w:pPr>
              <w:pStyle w:val="TableParagraph"/>
              <w:spacing w:before="22"/>
              <w:ind w:left="92"/>
              <w:rPr>
                <w:sz w:val="15"/>
              </w:rPr>
            </w:pPr>
            <w:r>
              <w:rPr>
                <w:sz w:val="15"/>
              </w:rPr>
              <w:t>97 LA NUEVA VICTORIA</w:t>
            </w:r>
          </w:p>
        </w:tc>
        <w:tc>
          <w:tcPr>
            <w:tcW w:w="742" w:type="dxa"/>
          </w:tcPr>
          <w:p>
            <w:pPr>
              <w:pStyle w:val="TableParagraph"/>
              <w:spacing w:line="156" w:lineRule="exact" w:before="44"/>
              <w:ind w:right="47"/>
              <w:jc w:val="right"/>
              <w:rPr>
                <w:sz w:val="15"/>
              </w:rPr>
            </w:pPr>
            <w:r>
              <w:rPr>
                <w:sz w:val="15"/>
              </w:rPr>
              <w:t>$ 86.00</w:t>
            </w:r>
          </w:p>
        </w:tc>
        <w:tc>
          <w:tcPr>
            <w:tcW w:w="6645" w:type="dxa"/>
          </w:tcPr>
          <w:p>
            <w:pPr>
              <w:pStyle w:val="TableParagraph"/>
              <w:spacing w:before="1"/>
              <w:ind w:right="59"/>
              <w:jc w:val="right"/>
              <w:rPr>
                <w:sz w:val="15"/>
              </w:rPr>
            </w:pPr>
            <w:r>
              <w:rPr>
                <w:sz w:val="15"/>
              </w:rPr>
              <w:t>140</w:t>
            </w:r>
          </w:p>
        </w:tc>
        <w:tc>
          <w:tcPr>
            <w:tcW w:w="3522" w:type="dxa"/>
          </w:tcPr>
          <w:p>
            <w:pPr>
              <w:pStyle w:val="TableParagraph"/>
              <w:spacing w:before="1"/>
              <w:ind w:left="62"/>
              <w:rPr>
                <w:sz w:val="15"/>
              </w:rPr>
            </w:pPr>
            <w:r>
              <w:rPr>
                <w:sz w:val="15"/>
              </w:rPr>
              <w:t>LOS SAUCES</w:t>
            </w:r>
          </w:p>
        </w:tc>
        <w:tc>
          <w:tcPr>
            <w:tcW w:w="1456" w:type="dxa"/>
          </w:tcPr>
          <w:p>
            <w:pPr>
              <w:pStyle w:val="TableParagraph"/>
              <w:spacing w:before="23"/>
              <w:ind w:right="48"/>
              <w:jc w:val="right"/>
              <w:rPr>
                <w:sz w:val="15"/>
              </w:rPr>
            </w:pPr>
            <w:r>
              <w:rPr>
                <w:sz w:val="15"/>
              </w:rPr>
              <w:t>$ 158.00</w:t>
            </w:r>
          </w:p>
        </w:tc>
      </w:tr>
      <w:tr>
        <w:trPr>
          <w:trHeight w:val="220" w:hRule="atLeast"/>
        </w:trPr>
        <w:tc>
          <w:tcPr>
            <w:tcW w:w="4603" w:type="dxa"/>
            <w:gridSpan w:val="2"/>
          </w:tcPr>
          <w:p>
            <w:pPr>
              <w:pStyle w:val="TableParagraph"/>
              <w:spacing w:before="22"/>
              <w:ind w:left="92"/>
              <w:rPr>
                <w:sz w:val="15"/>
              </w:rPr>
            </w:pPr>
            <w:r>
              <w:rPr>
                <w:sz w:val="15"/>
              </w:rPr>
              <w:t>98 LA PERLITA</w:t>
            </w:r>
          </w:p>
        </w:tc>
        <w:tc>
          <w:tcPr>
            <w:tcW w:w="742" w:type="dxa"/>
          </w:tcPr>
          <w:p>
            <w:pPr>
              <w:pStyle w:val="TableParagraph"/>
              <w:spacing w:line="156" w:lineRule="exact" w:before="44"/>
              <w:ind w:right="47"/>
              <w:jc w:val="right"/>
              <w:rPr>
                <w:sz w:val="15"/>
              </w:rPr>
            </w:pPr>
            <w:r>
              <w:rPr>
                <w:sz w:val="15"/>
              </w:rPr>
              <w:t>$ 86.00</w:t>
            </w:r>
          </w:p>
        </w:tc>
        <w:tc>
          <w:tcPr>
            <w:tcW w:w="6645" w:type="dxa"/>
          </w:tcPr>
          <w:p>
            <w:pPr>
              <w:pStyle w:val="TableParagraph"/>
              <w:spacing w:before="1"/>
              <w:ind w:right="59"/>
              <w:jc w:val="right"/>
              <w:rPr>
                <w:sz w:val="15"/>
              </w:rPr>
            </w:pPr>
            <w:r>
              <w:rPr>
                <w:sz w:val="15"/>
              </w:rPr>
              <w:t>141</w:t>
            </w:r>
          </w:p>
        </w:tc>
        <w:tc>
          <w:tcPr>
            <w:tcW w:w="3522" w:type="dxa"/>
          </w:tcPr>
          <w:p>
            <w:pPr>
              <w:pStyle w:val="TableParagraph"/>
              <w:spacing w:before="1"/>
              <w:ind w:left="62"/>
              <w:rPr>
                <w:sz w:val="15"/>
              </w:rPr>
            </w:pPr>
            <w:r>
              <w:rPr>
                <w:sz w:val="15"/>
              </w:rPr>
              <w:t>MIRADOR DEL VALLE</w:t>
            </w:r>
          </w:p>
        </w:tc>
        <w:tc>
          <w:tcPr>
            <w:tcW w:w="1456" w:type="dxa"/>
          </w:tcPr>
          <w:p>
            <w:pPr>
              <w:pStyle w:val="TableParagraph"/>
              <w:spacing w:before="23"/>
              <w:ind w:right="48"/>
              <w:jc w:val="right"/>
              <w:rPr>
                <w:sz w:val="15"/>
              </w:rPr>
            </w:pPr>
            <w:r>
              <w:rPr>
                <w:sz w:val="15"/>
              </w:rPr>
              <w:t>$ 74.00</w:t>
            </w:r>
          </w:p>
        </w:tc>
      </w:tr>
      <w:tr>
        <w:trPr>
          <w:trHeight w:val="220" w:hRule="atLeast"/>
        </w:trPr>
        <w:tc>
          <w:tcPr>
            <w:tcW w:w="4603" w:type="dxa"/>
            <w:gridSpan w:val="2"/>
          </w:tcPr>
          <w:p>
            <w:pPr>
              <w:pStyle w:val="TableParagraph"/>
              <w:spacing w:before="22"/>
              <w:ind w:left="92"/>
              <w:rPr>
                <w:sz w:val="15"/>
              </w:rPr>
            </w:pPr>
            <w:r>
              <w:rPr>
                <w:sz w:val="15"/>
              </w:rPr>
              <w:t>99 LA PRADA</w:t>
            </w:r>
          </w:p>
        </w:tc>
        <w:tc>
          <w:tcPr>
            <w:tcW w:w="742" w:type="dxa"/>
          </w:tcPr>
          <w:p>
            <w:pPr>
              <w:pStyle w:val="TableParagraph"/>
              <w:spacing w:line="156" w:lineRule="exact" w:before="44"/>
              <w:ind w:right="47"/>
              <w:jc w:val="right"/>
              <w:rPr>
                <w:sz w:val="15"/>
              </w:rPr>
            </w:pPr>
            <w:r>
              <w:rPr>
                <w:sz w:val="15"/>
              </w:rPr>
              <w:t>$ 87.00</w:t>
            </w:r>
          </w:p>
        </w:tc>
        <w:tc>
          <w:tcPr>
            <w:tcW w:w="6645" w:type="dxa"/>
          </w:tcPr>
          <w:p>
            <w:pPr>
              <w:pStyle w:val="TableParagraph"/>
              <w:spacing w:before="1"/>
              <w:ind w:right="59"/>
              <w:jc w:val="right"/>
              <w:rPr>
                <w:sz w:val="15"/>
              </w:rPr>
            </w:pPr>
            <w:r>
              <w:rPr>
                <w:sz w:val="15"/>
              </w:rPr>
              <w:t>142</w:t>
            </w:r>
          </w:p>
        </w:tc>
        <w:tc>
          <w:tcPr>
            <w:tcW w:w="3522" w:type="dxa"/>
          </w:tcPr>
          <w:p>
            <w:pPr>
              <w:pStyle w:val="TableParagraph"/>
              <w:spacing w:before="1"/>
              <w:ind w:left="62"/>
              <w:rPr>
                <w:sz w:val="15"/>
              </w:rPr>
            </w:pPr>
            <w:r>
              <w:rPr>
                <w:sz w:val="15"/>
              </w:rPr>
              <w:t>NATUREZZA</w:t>
            </w:r>
          </w:p>
        </w:tc>
        <w:tc>
          <w:tcPr>
            <w:tcW w:w="1456" w:type="dxa"/>
          </w:tcPr>
          <w:p>
            <w:pPr>
              <w:pStyle w:val="TableParagraph"/>
              <w:spacing w:before="23"/>
              <w:ind w:right="48"/>
              <w:jc w:val="right"/>
              <w:rPr>
                <w:sz w:val="15"/>
              </w:rPr>
            </w:pPr>
            <w:r>
              <w:rPr>
                <w:sz w:val="15"/>
              </w:rPr>
              <w:t>$ 166.00</w:t>
            </w:r>
          </w:p>
        </w:tc>
      </w:tr>
      <w:tr>
        <w:trPr>
          <w:trHeight w:val="220" w:hRule="atLeast"/>
        </w:trPr>
        <w:tc>
          <w:tcPr>
            <w:tcW w:w="4603" w:type="dxa"/>
            <w:gridSpan w:val="2"/>
          </w:tcPr>
          <w:p>
            <w:pPr>
              <w:pStyle w:val="TableParagraph"/>
              <w:spacing w:before="22"/>
              <w:ind w:left="50"/>
              <w:rPr>
                <w:sz w:val="15"/>
              </w:rPr>
            </w:pPr>
            <w:r>
              <w:rPr>
                <w:sz w:val="15"/>
              </w:rPr>
              <w:t>100 LA PURISIMA</w:t>
            </w:r>
          </w:p>
        </w:tc>
        <w:tc>
          <w:tcPr>
            <w:tcW w:w="742" w:type="dxa"/>
          </w:tcPr>
          <w:p>
            <w:pPr>
              <w:pStyle w:val="TableParagraph"/>
              <w:spacing w:line="156" w:lineRule="exact" w:before="44"/>
              <w:ind w:right="47"/>
              <w:jc w:val="right"/>
              <w:rPr>
                <w:sz w:val="15"/>
              </w:rPr>
            </w:pPr>
            <w:r>
              <w:rPr>
                <w:sz w:val="15"/>
              </w:rPr>
              <w:t>$ 74.00</w:t>
            </w:r>
          </w:p>
        </w:tc>
        <w:tc>
          <w:tcPr>
            <w:tcW w:w="6645" w:type="dxa"/>
          </w:tcPr>
          <w:p>
            <w:pPr>
              <w:pStyle w:val="TableParagraph"/>
              <w:spacing w:before="1"/>
              <w:ind w:right="59"/>
              <w:jc w:val="right"/>
              <w:rPr>
                <w:sz w:val="15"/>
              </w:rPr>
            </w:pPr>
            <w:r>
              <w:rPr>
                <w:sz w:val="15"/>
              </w:rPr>
              <w:t>143</w:t>
            </w:r>
          </w:p>
        </w:tc>
        <w:tc>
          <w:tcPr>
            <w:tcW w:w="3522" w:type="dxa"/>
          </w:tcPr>
          <w:p>
            <w:pPr>
              <w:pStyle w:val="TableParagraph"/>
              <w:spacing w:before="1"/>
              <w:ind w:left="62"/>
              <w:rPr>
                <w:sz w:val="15"/>
              </w:rPr>
            </w:pPr>
            <w:r>
              <w:rPr>
                <w:sz w:val="15"/>
              </w:rPr>
              <w:t>NOVATERRA</w:t>
            </w:r>
          </w:p>
        </w:tc>
        <w:tc>
          <w:tcPr>
            <w:tcW w:w="1456" w:type="dxa"/>
          </w:tcPr>
          <w:p>
            <w:pPr>
              <w:pStyle w:val="TableParagraph"/>
              <w:spacing w:before="23"/>
              <w:ind w:right="48"/>
              <w:jc w:val="right"/>
              <w:rPr>
                <w:sz w:val="15"/>
              </w:rPr>
            </w:pPr>
            <w:r>
              <w:rPr>
                <w:sz w:val="15"/>
              </w:rPr>
              <w:t>$ 78.00</w:t>
            </w:r>
          </w:p>
        </w:tc>
      </w:tr>
      <w:tr>
        <w:trPr>
          <w:trHeight w:val="220" w:hRule="atLeast"/>
        </w:trPr>
        <w:tc>
          <w:tcPr>
            <w:tcW w:w="4603" w:type="dxa"/>
            <w:gridSpan w:val="2"/>
          </w:tcPr>
          <w:p>
            <w:pPr>
              <w:pStyle w:val="TableParagraph"/>
              <w:spacing w:before="22"/>
              <w:ind w:left="50"/>
              <w:rPr>
                <w:sz w:val="15"/>
              </w:rPr>
            </w:pPr>
            <w:r>
              <w:rPr>
                <w:sz w:val="15"/>
              </w:rPr>
              <w:t>101 LA RIOJA</w:t>
            </w:r>
          </w:p>
        </w:tc>
        <w:tc>
          <w:tcPr>
            <w:tcW w:w="742" w:type="dxa"/>
          </w:tcPr>
          <w:p>
            <w:pPr>
              <w:pStyle w:val="TableParagraph"/>
              <w:spacing w:line="156" w:lineRule="exact" w:before="44"/>
              <w:ind w:right="47"/>
              <w:jc w:val="right"/>
              <w:rPr>
                <w:sz w:val="15"/>
              </w:rPr>
            </w:pPr>
            <w:r>
              <w:rPr>
                <w:sz w:val="15"/>
              </w:rPr>
              <w:t>$ 186.00</w:t>
            </w:r>
          </w:p>
        </w:tc>
        <w:tc>
          <w:tcPr>
            <w:tcW w:w="6645" w:type="dxa"/>
          </w:tcPr>
          <w:p>
            <w:pPr>
              <w:pStyle w:val="TableParagraph"/>
              <w:spacing w:before="1"/>
              <w:ind w:right="59"/>
              <w:jc w:val="right"/>
              <w:rPr>
                <w:sz w:val="15"/>
              </w:rPr>
            </w:pPr>
            <w:r>
              <w:rPr>
                <w:sz w:val="15"/>
              </w:rPr>
              <w:t>144</w:t>
            </w:r>
          </w:p>
        </w:tc>
        <w:tc>
          <w:tcPr>
            <w:tcW w:w="3522" w:type="dxa"/>
          </w:tcPr>
          <w:p>
            <w:pPr>
              <w:pStyle w:val="TableParagraph"/>
              <w:spacing w:before="1"/>
              <w:ind w:left="62"/>
              <w:rPr>
                <w:sz w:val="15"/>
              </w:rPr>
            </w:pPr>
            <w:r>
              <w:rPr>
                <w:sz w:val="15"/>
              </w:rPr>
              <w:t>NUEVA GALICIA</w:t>
            </w:r>
          </w:p>
        </w:tc>
        <w:tc>
          <w:tcPr>
            <w:tcW w:w="1456" w:type="dxa"/>
          </w:tcPr>
          <w:p>
            <w:pPr>
              <w:pStyle w:val="TableParagraph"/>
              <w:spacing w:before="23"/>
              <w:ind w:right="48"/>
              <w:jc w:val="right"/>
              <w:rPr>
                <w:sz w:val="15"/>
              </w:rPr>
            </w:pPr>
            <w:r>
              <w:rPr>
                <w:sz w:val="15"/>
              </w:rPr>
              <w:t>$ 166.00</w:t>
            </w:r>
          </w:p>
        </w:tc>
      </w:tr>
      <w:tr>
        <w:trPr>
          <w:trHeight w:val="220" w:hRule="atLeast"/>
        </w:trPr>
        <w:tc>
          <w:tcPr>
            <w:tcW w:w="4603" w:type="dxa"/>
            <w:gridSpan w:val="2"/>
          </w:tcPr>
          <w:p>
            <w:pPr>
              <w:pStyle w:val="TableParagraph"/>
              <w:spacing w:before="22"/>
              <w:ind w:left="50"/>
              <w:rPr>
                <w:sz w:val="15"/>
              </w:rPr>
            </w:pPr>
            <w:r>
              <w:rPr>
                <w:sz w:val="15"/>
              </w:rPr>
              <w:t>102 LA ROMANA (PROVENZA)</w:t>
            </w:r>
          </w:p>
        </w:tc>
        <w:tc>
          <w:tcPr>
            <w:tcW w:w="742" w:type="dxa"/>
          </w:tcPr>
          <w:p>
            <w:pPr>
              <w:pStyle w:val="TableParagraph"/>
              <w:spacing w:line="156" w:lineRule="exact" w:before="44"/>
              <w:ind w:right="47"/>
              <w:jc w:val="right"/>
              <w:rPr>
                <w:sz w:val="15"/>
              </w:rPr>
            </w:pPr>
            <w:r>
              <w:rPr>
                <w:sz w:val="15"/>
              </w:rPr>
              <w:t>$ 170.00</w:t>
            </w:r>
          </w:p>
        </w:tc>
        <w:tc>
          <w:tcPr>
            <w:tcW w:w="6645" w:type="dxa"/>
          </w:tcPr>
          <w:p>
            <w:pPr>
              <w:pStyle w:val="TableParagraph"/>
              <w:spacing w:before="1"/>
              <w:ind w:right="59"/>
              <w:jc w:val="right"/>
              <w:rPr>
                <w:sz w:val="15"/>
              </w:rPr>
            </w:pPr>
            <w:r>
              <w:rPr>
                <w:sz w:val="15"/>
              </w:rPr>
              <w:t>145</w:t>
            </w:r>
          </w:p>
        </w:tc>
        <w:tc>
          <w:tcPr>
            <w:tcW w:w="3522" w:type="dxa"/>
          </w:tcPr>
          <w:p>
            <w:pPr>
              <w:pStyle w:val="TableParagraph"/>
              <w:spacing w:before="1"/>
              <w:ind w:left="62"/>
              <w:rPr>
                <w:sz w:val="15"/>
              </w:rPr>
            </w:pPr>
            <w:r>
              <w:rPr>
                <w:sz w:val="15"/>
              </w:rPr>
              <w:t>NUEVO COFRADIA</w:t>
            </w:r>
          </w:p>
        </w:tc>
        <w:tc>
          <w:tcPr>
            <w:tcW w:w="1456" w:type="dxa"/>
          </w:tcPr>
          <w:p>
            <w:pPr>
              <w:pStyle w:val="TableParagraph"/>
              <w:spacing w:before="23"/>
              <w:ind w:right="48"/>
              <w:jc w:val="right"/>
              <w:rPr>
                <w:sz w:val="15"/>
              </w:rPr>
            </w:pPr>
            <w:r>
              <w:rPr>
                <w:sz w:val="15"/>
              </w:rPr>
              <w:t>$ 78.00</w:t>
            </w:r>
          </w:p>
        </w:tc>
      </w:tr>
      <w:tr>
        <w:trPr>
          <w:trHeight w:val="220" w:hRule="atLeast"/>
        </w:trPr>
        <w:tc>
          <w:tcPr>
            <w:tcW w:w="4603" w:type="dxa"/>
            <w:gridSpan w:val="2"/>
          </w:tcPr>
          <w:p>
            <w:pPr>
              <w:pStyle w:val="TableParagraph"/>
              <w:spacing w:before="22"/>
              <w:ind w:left="50"/>
              <w:rPr>
                <w:sz w:val="15"/>
              </w:rPr>
            </w:pPr>
            <w:r>
              <w:rPr>
                <w:sz w:val="15"/>
              </w:rPr>
              <w:t>103 LA RUA</w:t>
            </w:r>
          </w:p>
        </w:tc>
        <w:tc>
          <w:tcPr>
            <w:tcW w:w="742" w:type="dxa"/>
          </w:tcPr>
          <w:p>
            <w:pPr>
              <w:pStyle w:val="TableParagraph"/>
              <w:spacing w:line="156" w:lineRule="exact" w:before="44"/>
              <w:ind w:right="47"/>
              <w:jc w:val="right"/>
              <w:rPr>
                <w:sz w:val="15"/>
              </w:rPr>
            </w:pPr>
            <w:r>
              <w:rPr>
                <w:sz w:val="15"/>
              </w:rPr>
              <w:t>$ 166.00</w:t>
            </w:r>
          </w:p>
        </w:tc>
        <w:tc>
          <w:tcPr>
            <w:tcW w:w="6645" w:type="dxa"/>
          </w:tcPr>
          <w:p>
            <w:pPr>
              <w:pStyle w:val="TableParagraph"/>
              <w:spacing w:before="1"/>
              <w:ind w:right="59"/>
              <w:jc w:val="right"/>
              <w:rPr>
                <w:sz w:val="15"/>
              </w:rPr>
            </w:pPr>
            <w:r>
              <w:rPr>
                <w:sz w:val="15"/>
              </w:rPr>
              <w:t>146</w:t>
            </w:r>
          </w:p>
        </w:tc>
        <w:tc>
          <w:tcPr>
            <w:tcW w:w="3522" w:type="dxa"/>
          </w:tcPr>
          <w:p>
            <w:pPr>
              <w:pStyle w:val="TableParagraph"/>
              <w:spacing w:before="1"/>
              <w:ind w:left="61"/>
              <w:rPr>
                <w:sz w:val="15"/>
              </w:rPr>
            </w:pPr>
            <w:r>
              <w:rPr>
                <w:sz w:val="15"/>
              </w:rPr>
              <w:t>NUEVO SAN MIGUEL</w:t>
            </w:r>
          </w:p>
        </w:tc>
        <w:tc>
          <w:tcPr>
            <w:tcW w:w="1456" w:type="dxa"/>
          </w:tcPr>
          <w:p>
            <w:pPr>
              <w:pStyle w:val="TableParagraph"/>
              <w:spacing w:before="23"/>
              <w:ind w:right="48"/>
              <w:jc w:val="right"/>
              <w:rPr>
                <w:sz w:val="15"/>
              </w:rPr>
            </w:pPr>
            <w:r>
              <w:rPr>
                <w:sz w:val="15"/>
              </w:rPr>
              <w:t>$ 74.00</w:t>
            </w:r>
          </w:p>
        </w:tc>
      </w:tr>
      <w:tr>
        <w:trPr>
          <w:trHeight w:val="220" w:hRule="atLeast"/>
        </w:trPr>
        <w:tc>
          <w:tcPr>
            <w:tcW w:w="4603" w:type="dxa"/>
            <w:gridSpan w:val="2"/>
          </w:tcPr>
          <w:p>
            <w:pPr>
              <w:pStyle w:val="TableParagraph"/>
              <w:spacing w:before="22"/>
              <w:ind w:left="50"/>
              <w:rPr>
                <w:sz w:val="15"/>
              </w:rPr>
            </w:pPr>
            <w:r>
              <w:rPr>
                <w:sz w:val="15"/>
              </w:rPr>
              <w:t>104 LA VICTORIA</w:t>
            </w:r>
          </w:p>
        </w:tc>
        <w:tc>
          <w:tcPr>
            <w:tcW w:w="742" w:type="dxa"/>
          </w:tcPr>
          <w:p>
            <w:pPr>
              <w:pStyle w:val="TableParagraph"/>
              <w:spacing w:line="156" w:lineRule="exact" w:before="44"/>
              <w:ind w:right="47"/>
              <w:jc w:val="right"/>
              <w:rPr>
                <w:sz w:val="15"/>
              </w:rPr>
            </w:pPr>
            <w:r>
              <w:rPr>
                <w:sz w:val="15"/>
              </w:rPr>
              <w:t>$ 86.00</w:t>
            </w:r>
          </w:p>
        </w:tc>
        <w:tc>
          <w:tcPr>
            <w:tcW w:w="6645" w:type="dxa"/>
          </w:tcPr>
          <w:p>
            <w:pPr>
              <w:pStyle w:val="TableParagraph"/>
              <w:spacing w:before="1"/>
              <w:ind w:right="59"/>
              <w:jc w:val="right"/>
              <w:rPr>
                <w:sz w:val="15"/>
              </w:rPr>
            </w:pPr>
            <w:r>
              <w:rPr>
                <w:sz w:val="15"/>
              </w:rPr>
              <w:t>147</w:t>
            </w:r>
          </w:p>
        </w:tc>
        <w:tc>
          <w:tcPr>
            <w:tcW w:w="3522" w:type="dxa"/>
          </w:tcPr>
          <w:p>
            <w:pPr>
              <w:pStyle w:val="TableParagraph"/>
              <w:spacing w:before="1"/>
              <w:ind w:left="62"/>
              <w:rPr>
                <w:sz w:val="15"/>
              </w:rPr>
            </w:pPr>
            <w:r>
              <w:rPr>
                <w:sz w:val="15"/>
              </w:rPr>
              <w:t>NUEVO TLAJOMULCO</w:t>
            </w:r>
          </w:p>
        </w:tc>
        <w:tc>
          <w:tcPr>
            <w:tcW w:w="1456" w:type="dxa"/>
          </w:tcPr>
          <w:p>
            <w:pPr>
              <w:pStyle w:val="TableParagraph"/>
              <w:spacing w:before="23"/>
              <w:ind w:right="48"/>
              <w:jc w:val="right"/>
              <w:rPr>
                <w:sz w:val="15"/>
              </w:rPr>
            </w:pPr>
            <w:r>
              <w:rPr>
                <w:sz w:val="15"/>
              </w:rPr>
              <w:t>$ 78.00</w:t>
            </w:r>
          </w:p>
        </w:tc>
      </w:tr>
      <w:tr>
        <w:trPr>
          <w:trHeight w:val="220" w:hRule="atLeast"/>
        </w:trPr>
        <w:tc>
          <w:tcPr>
            <w:tcW w:w="4603" w:type="dxa"/>
            <w:gridSpan w:val="2"/>
          </w:tcPr>
          <w:p>
            <w:pPr>
              <w:pStyle w:val="TableParagraph"/>
              <w:spacing w:before="22"/>
              <w:ind w:left="50"/>
              <w:rPr>
                <w:sz w:val="15"/>
              </w:rPr>
            </w:pPr>
            <w:r>
              <w:rPr>
                <w:sz w:val="15"/>
              </w:rPr>
              <w:t>105 LAGO NOGAL</w:t>
            </w:r>
          </w:p>
        </w:tc>
        <w:tc>
          <w:tcPr>
            <w:tcW w:w="742" w:type="dxa"/>
          </w:tcPr>
          <w:p>
            <w:pPr>
              <w:pStyle w:val="TableParagraph"/>
              <w:spacing w:line="156" w:lineRule="exact" w:before="44"/>
              <w:ind w:right="47"/>
              <w:jc w:val="right"/>
              <w:rPr>
                <w:sz w:val="15"/>
              </w:rPr>
            </w:pPr>
            <w:r>
              <w:rPr>
                <w:sz w:val="15"/>
              </w:rPr>
              <w:t>$ 166.00</w:t>
            </w:r>
          </w:p>
        </w:tc>
        <w:tc>
          <w:tcPr>
            <w:tcW w:w="6645" w:type="dxa"/>
          </w:tcPr>
          <w:p>
            <w:pPr>
              <w:pStyle w:val="TableParagraph"/>
              <w:spacing w:before="1"/>
              <w:ind w:right="59"/>
              <w:jc w:val="right"/>
              <w:rPr>
                <w:sz w:val="15"/>
              </w:rPr>
            </w:pPr>
            <w:r>
              <w:rPr>
                <w:sz w:val="15"/>
              </w:rPr>
              <w:t>148</w:t>
            </w:r>
          </w:p>
        </w:tc>
        <w:tc>
          <w:tcPr>
            <w:tcW w:w="3522" w:type="dxa"/>
          </w:tcPr>
          <w:p>
            <w:pPr>
              <w:pStyle w:val="TableParagraph"/>
              <w:spacing w:before="1"/>
              <w:ind w:left="62"/>
              <w:rPr>
                <w:sz w:val="15"/>
              </w:rPr>
            </w:pPr>
            <w:r>
              <w:rPr>
                <w:sz w:val="15"/>
              </w:rPr>
              <w:t>OJO DE AGUA</w:t>
            </w:r>
          </w:p>
        </w:tc>
        <w:tc>
          <w:tcPr>
            <w:tcW w:w="1456" w:type="dxa"/>
          </w:tcPr>
          <w:p>
            <w:pPr>
              <w:pStyle w:val="TableParagraph"/>
              <w:spacing w:before="23"/>
              <w:ind w:right="48"/>
              <w:jc w:val="right"/>
              <w:rPr>
                <w:sz w:val="15"/>
              </w:rPr>
            </w:pPr>
            <w:r>
              <w:rPr>
                <w:sz w:val="15"/>
              </w:rPr>
              <w:t>$ 63.00</w:t>
            </w:r>
          </w:p>
        </w:tc>
      </w:tr>
      <w:tr>
        <w:trPr>
          <w:trHeight w:val="217" w:hRule="atLeast"/>
        </w:trPr>
        <w:tc>
          <w:tcPr>
            <w:tcW w:w="4603" w:type="dxa"/>
            <w:gridSpan w:val="2"/>
          </w:tcPr>
          <w:p>
            <w:pPr>
              <w:pStyle w:val="TableParagraph"/>
              <w:spacing w:before="22"/>
              <w:ind w:left="50"/>
              <w:rPr>
                <w:sz w:val="15"/>
              </w:rPr>
            </w:pPr>
            <w:r>
              <w:rPr>
                <w:sz w:val="15"/>
              </w:rPr>
              <w:t>106 LAS CASAS DE SAN SEBASTIAN</w:t>
            </w:r>
          </w:p>
        </w:tc>
        <w:tc>
          <w:tcPr>
            <w:tcW w:w="742" w:type="dxa"/>
          </w:tcPr>
          <w:p>
            <w:pPr>
              <w:pStyle w:val="TableParagraph"/>
              <w:spacing w:line="153" w:lineRule="exact" w:before="44"/>
              <w:ind w:right="47"/>
              <w:jc w:val="right"/>
              <w:rPr>
                <w:sz w:val="15"/>
              </w:rPr>
            </w:pPr>
            <w:r>
              <w:rPr>
                <w:sz w:val="15"/>
              </w:rPr>
              <w:t>$ 63.00</w:t>
            </w:r>
          </w:p>
        </w:tc>
        <w:tc>
          <w:tcPr>
            <w:tcW w:w="6645" w:type="dxa"/>
          </w:tcPr>
          <w:p>
            <w:pPr>
              <w:pStyle w:val="TableParagraph"/>
              <w:spacing w:before="1"/>
              <w:ind w:right="59"/>
              <w:jc w:val="right"/>
              <w:rPr>
                <w:sz w:val="15"/>
              </w:rPr>
            </w:pPr>
            <w:r>
              <w:rPr>
                <w:sz w:val="15"/>
              </w:rPr>
              <w:t>149</w:t>
            </w:r>
          </w:p>
        </w:tc>
        <w:tc>
          <w:tcPr>
            <w:tcW w:w="3522" w:type="dxa"/>
          </w:tcPr>
          <w:p>
            <w:pPr>
              <w:pStyle w:val="TableParagraph"/>
              <w:spacing w:before="1"/>
              <w:ind w:left="62"/>
              <w:rPr>
                <w:sz w:val="15"/>
              </w:rPr>
            </w:pPr>
            <w:r>
              <w:rPr>
                <w:sz w:val="15"/>
              </w:rPr>
              <w:t>PARQUE INDUSTRIAL BUGAMBILIAS</w:t>
            </w:r>
          </w:p>
        </w:tc>
        <w:tc>
          <w:tcPr>
            <w:tcW w:w="1456" w:type="dxa"/>
          </w:tcPr>
          <w:p>
            <w:pPr>
              <w:pStyle w:val="TableParagraph"/>
              <w:spacing w:before="23"/>
              <w:ind w:right="48"/>
              <w:jc w:val="right"/>
              <w:rPr>
                <w:sz w:val="15"/>
              </w:rPr>
            </w:pPr>
            <w:r>
              <w:rPr>
                <w:sz w:val="15"/>
              </w:rPr>
              <w:t>$ 166.00</w:t>
            </w:r>
          </w:p>
        </w:tc>
      </w:tr>
      <w:tr>
        <w:trPr>
          <w:trHeight w:val="213" w:hRule="atLeast"/>
        </w:trPr>
        <w:tc>
          <w:tcPr>
            <w:tcW w:w="5345" w:type="dxa"/>
            <w:gridSpan w:val="3"/>
          </w:tcPr>
          <w:p>
            <w:pPr>
              <w:pStyle w:val="TableParagraph"/>
              <w:spacing w:line="68" w:lineRule="exact" w:before="119"/>
              <w:ind w:left="50"/>
              <w:rPr>
                <w:sz w:val="15"/>
              </w:rPr>
            </w:pPr>
            <w:r>
              <w:rPr>
                <w:sz w:val="15"/>
              </w:rPr>
              <w:t>107 LAS FLORES (INFONAVIT TLAJOMULCO)</w:t>
            </w:r>
          </w:p>
        </w:tc>
        <w:tc>
          <w:tcPr>
            <w:tcW w:w="6645" w:type="dxa"/>
          </w:tcPr>
          <w:p>
            <w:pPr>
              <w:pStyle w:val="TableParagraph"/>
              <w:spacing w:line="171" w:lineRule="exact"/>
              <w:ind w:right="59"/>
              <w:jc w:val="right"/>
              <w:rPr>
                <w:sz w:val="15"/>
              </w:rPr>
            </w:pPr>
            <w:r>
              <w:rPr>
                <w:sz w:val="15"/>
              </w:rPr>
              <w:t>150</w:t>
            </w:r>
          </w:p>
        </w:tc>
        <w:tc>
          <w:tcPr>
            <w:tcW w:w="3522" w:type="dxa"/>
          </w:tcPr>
          <w:p>
            <w:pPr>
              <w:pStyle w:val="TableParagraph"/>
              <w:spacing w:line="171" w:lineRule="exact"/>
              <w:ind w:left="62"/>
              <w:rPr>
                <w:sz w:val="15"/>
              </w:rPr>
            </w:pPr>
            <w:r>
              <w:rPr>
                <w:sz w:val="15"/>
              </w:rPr>
              <w:t>PASEO DE LAS AVES</w:t>
            </w:r>
          </w:p>
        </w:tc>
        <w:tc>
          <w:tcPr>
            <w:tcW w:w="1456" w:type="dxa"/>
          </w:tcPr>
          <w:p>
            <w:pPr>
              <w:pStyle w:val="TableParagraph"/>
              <w:spacing w:line="167" w:lineRule="exact" w:before="20"/>
              <w:ind w:right="48"/>
              <w:jc w:val="right"/>
              <w:rPr>
                <w:sz w:val="15"/>
              </w:rPr>
            </w:pPr>
            <w:r>
              <w:rPr>
                <w:sz w:val="15"/>
              </w:rPr>
              <w:t>$ 63.00</w:t>
            </w:r>
          </w:p>
        </w:tc>
      </w:tr>
      <w:tr>
        <w:trPr>
          <w:trHeight w:val="220" w:hRule="atLeast"/>
        </w:trPr>
        <w:tc>
          <w:tcPr>
            <w:tcW w:w="4603" w:type="dxa"/>
            <w:gridSpan w:val="2"/>
          </w:tcPr>
          <w:p>
            <w:pPr>
              <w:pStyle w:val="TableParagraph"/>
              <w:rPr>
                <w:rFonts w:ascii="Times New Roman"/>
                <w:sz w:val="14"/>
              </w:rPr>
            </w:pPr>
          </w:p>
        </w:tc>
        <w:tc>
          <w:tcPr>
            <w:tcW w:w="742" w:type="dxa"/>
          </w:tcPr>
          <w:p>
            <w:pPr>
              <w:pStyle w:val="TableParagraph"/>
              <w:spacing w:line="167" w:lineRule="exact" w:before="20"/>
              <w:ind w:right="47"/>
              <w:jc w:val="right"/>
              <w:rPr>
                <w:sz w:val="15"/>
              </w:rPr>
            </w:pPr>
            <w:r>
              <w:rPr>
                <w:sz w:val="15"/>
              </w:rPr>
              <w:t>$ 78.00</w:t>
            </w:r>
          </w:p>
        </w:tc>
        <w:tc>
          <w:tcPr>
            <w:tcW w:w="6645" w:type="dxa"/>
          </w:tcPr>
          <w:p>
            <w:pPr>
              <w:pStyle w:val="TableParagraph"/>
              <w:spacing w:line="171" w:lineRule="exact"/>
              <w:ind w:right="59"/>
              <w:jc w:val="right"/>
              <w:rPr>
                <w:sz w:val="15"/>
              </w:rPr>
            </w:pPr>
            <w:r>
              <w:rPr>
                <w:sz w:val="15"/>
              </w:rPr>
              <w:t>151</w:t>
            </w:r>
          </w:p>
        </w:tc>
        <w:tc>
          <w:tcPr>
            <w:tcW w:w="3522" w:type="dxa"/>
          </w:tcPr>
          <w:p>
            <w:pPr>
              <w:pStyle w:val="TableParagraph"/>
              <w:spacing w:line="171" w:lineRule="exact"/>
              <w:ind w:left="62"/>
              <w:rPr>
                <w:sz w:val="15"/>
              </w:rPr>
            </w:pPr>
            <w:r>
              <w:rPr>
                <w:sz w:val="15"/>
              </w:rPr>
              <w:t>PASEO DE LOS AGAVES</w:t>
            </w:r>
          </w:p>
        </w:tc>
        <w:tc>
          <w:tcPr>
            <w:tcW w:w="1456" w:type="dxa"/>
          </w:tcPr>
          <w:p>
            <w:pPr>
              <w:pStyle w:val="TableParagraph"/>
              <w:spacing w:line="167" w:lineRule="exact" w:before="20"/>
              <w:ind w:right="48"/>
              <w:jc w:val="right"/>
              <w:rPr>
                <w:sz w:val="15"/>
              </w:rPr>
            </w:pPr>
            <w:r>
              <w:rPr>
                <w:sz w:val="15"/>
              </w:rPr>
              <w:t>$ 70.00</w:t>
            </w:r>
          </w:p>
        </w:tc>
      </w:tr>
      <w:tr>
        <w:trPr>
          <w:trHeight w:val="220" w:hRule="atLeast"/>
        </w:trPr>
        <w:tc>
          <w:tcPr>
            <w:tcW w:w="4603" w:type="dxa"/>
            <w:gridSpan w:val="2"/>
          </w:tcPr>
          <w:p>
            <w:pPr>
              <w:pStyle w:val="TableParagraph"/>
              <w:spacing w:before="12"/>
              <w:ind w:left="50"/>
              <w:rPr>
                <w:sz w:val="15"/>
              </w:rPr>
            </w:pPr>
            <w:r>
              <w:rPr>
                <w:sz w:val="15"/>
              </w:rPr>
              <w:t>108 LAS FLORES DE SAN AGUSTIN</w:t>
            </w:r>
          </w:p>
        </w:tc>
        <w:tc>
          <w:tcPr>
            <w:tcW w:w="742" w:type="dxa"/>
          </w:tcPr>
          <w:p>
            <w:pPr>
              <w:pStyle w:val="TableParagraph"/>
              <w:spacing w:line="167" w:lineRule="exact" w:before="34"/>
              <w:ind w:right="47"/>
              <w:jc w:val="right"/>
              <w:rPr>
                <w:sz w:val="15"/>
              </w:rPr>
            </w:pPr>
            <w:r>
              <w:rPr>
                <w:sz w:val="15"/>
              </w:rPr>
              <w:t>$ 85.00</w:t>
            </w:r>
          </w:p>
        </w:tc>
        <w:tc>
          <w:tcPr>
            <w:tcW w:w="6645" w:type="dxa"/>
          </w:tcPr>
          <w:p>
            <w:pPr>
              <w:pStyle w:val="TableParagraph"/>
              <w:spacing w:before="12"/>
              <w:ind w:right="59"/>
              <w:jc w:val="right"/>
              <w:rPr>
                <w:sz w:val="15"/>
              </w:rPr>
            </w:pPr>
            <w:r>
              <w:rPr>
                <w:sz w:val="15"/>
              </w:rPr>
              <w:t>152</w:t>
            </w:r>
          </w:p>
        </w:tc>
        <w:tc>
          <w:tcPr>
            <w:tcW w:w="3522" w:type="dxa"/>
          </w:tcPr>
          <w:p>
            <w:pPr>
              <w:pStyle w:val="TableParagraph"/>
              <w:spacing w:before="12"/>
              <w:ind w:left="62"/>
              <w:rPr>
                <w:sz w:val="15"/>
              </w:rPr>
            </w:pPr>
            <w:r>
              <w:rPr>
                <w:sz w:val="15"/>
              </w:rPr>
              <w:t>PASEOS DEL VALLE</w:t>
            </w:r>
          </w:p>
        </w:tc>
        <w:tc>
          <w:tcPr>
            <w:tcW w:w="1456" w:type="dxa"/>
          </w:tcPr>
          <w:p>
            <w:pPr>
              <w:pStyle w:val="TableParagraph"/>
              <w:spacing w:line="166" w:lineRule="exact" w:before="34"/>
              <w:ind w:right="48"/>
              <w:jc w:val="right"/>
              <w:rPr>
                <w:sz w:val="15"/>
              </w:rPr>
            </w:pPr>
            <w:r>
              <w:rPr>
                <w:sz w:val="15"/>
              </w:rPr>
              <w:t>$ 78.00</w:t>
            </w:r>
          </w:p>
        </w:tc>
      </w:tr>
      <w:tr>
        <w:trPr>
          <w:trHeight w:val="220" w:hRule="atLeast"/>
        </w:trPr>
        <w:tc>
          <w:tcPr>
            <w:tcW w:w="4603" w:type="dxa"/>
            <w:gridSpan w:val="2"/>
          </w:tcPr>
          <w:p>
            <w:pPr>
              <w:pStyle w:val="TableParagraph"/>
              <w:spacing w:before="11"/>
              <w:ind w:left="50"/>
              <w:rPr>
                <w:sz w:val="15"/>
              </w:rPr>
            </w:pPr>
            <w:r>
              <w:rPr>
                <w:sz w:val="15"/>
              </w:rPr>
              <w:t>109 LAS GALEANAS</w:t>
            </w:r>
          </w:p>
        </w:tc>
        <w:tc>
          <w:tcPr>
            <w:tcW w:w="742" w:type="dxa"/>
          </w:tcPr>
          <w:p>
            <w:pPr>
              <w:pStyle w:val="TableParagraph"/>
              <w:spacing w:line="167" w:lineRule="exact" w:before="33"/>
              <w:ind w:right="47"/>
              <w:jc w:val="right"/>
              <w:rPr>
                <w:sz w:val="15"/>
              </w:rPr>
            </w:pPr>
            <w:r>
              <w:rPr>
                <w:sz w:val="15"/>
              </w:rPr>
              <w:t>$ 86.00</w:t>
            </w:r>
          </w:p>
        </w:tc>
        <w:tc>
          <w:tcPr>
            <w:tcW w:w="6645" w:type="dxa"/>
          </w:tcPr>
          <w:p>
            <w:pPr>
              <w:pStyle w:val="TableParagraph"/>
              <w:spacing w:before="12"/>
              <w:ind w:right="59"/>
              <w:jc w:val="right"/>
              <w:rPr>
                <w:sz w:val="15"/>
              </w:rPr>
            </w:pPr>
            <w:r>
              <w:rPr>
                <w:sz w:val="15"/>
              </w:rPr>
              <w:t>153</w:t>
            </w:r>
          </w:p>
        </w:tc>
        <w:tc>
          <w:tcPr>
            <w:tcW w:w="3522" w:type="dxa"/>
          </w:tcPr>
          <w:p>
            <w:pPr>
              <w:pStyle w:val="TableParagraph"/>
              <w:spacing w:before="12"/>
              <w:ind w:left="62"/>
              <w:rPr>
                <w:sz w:val="15"/>
              </w:rPr>
            </w:pPr>
            <w:r>
              <w:rPr>
                <w:sz w:val="15"/>
              </w:rPr>
              <w:t>PLAYAS DE CAJITITLAN</w:t>
            </w:r>
          </w:p>
        </w:tc>
        <w:tc>
          <w:tcPr>
            <w:tcW w:w="1456" w:type="dxa"/>
          </w:tcPr>
          <w:p>
            <w:pPr>
              <w:pStyle w:val="TableParagraph"/>
              <w:spacing w:line="167" w:lineRule="exact" w:before="33"/>
              <w:ind w:right="48"/>
              <w:jc w:val="right"/>
              <w:rPr>
                <w:sz w:val="15"/>
              </w:rPr>
            </w:pPr>
            <w:r>
              <w:rPr>
                <w:sz w:val="15"/>
              </w:rPr>
              <w:t>$ 132.00</w:t>
            </w:r>
          </w:p>
        </w:tc>
      </w:tr>
      <w:tr>
        <w:trPr>
          <w:trHeight w:val="220" w:hRule="atLeast"/>
        </w:trPr>
        <w:tc>
          <w:tcPr>
            <w:tcW w:w="4603" w:type="dxa"/>
            <w:gridSpan w:val="2"/>
          </w:tcPr>
          <w:p>
            <w:pPr>
              <w:pStyle w:val="TableParagraph"/>
              <w:spacing w:before="12"/>
              <w:ind w:left="50"/>
              <w:rPr>
                <w:sz w:val="15"/>
              </w:rPr>
            </w:pPr>
            <w:r>
              <w:rPr>
                <w:sz w:val="15"/>
              </w:rPr>
              <w:t>110 LAS GAVIOTAS</w:t>
            </w:r>
          </w:p>
        </w:tc>
        <w:tc>
          <w:tcPr>
            <w:tcW w:w="742" w:type="dxa"/>
          </w:tcPr>
          <w:p>
            <w:pPr>
              <w:pStyle w:val="TableParagraph"/>
              <w:spacing w:line="167" w:lineRule="exact" w:before="34"/>
              <w:ind w:right="47"/>
              <w:jc w:val="right"/>
              <w:rPr>
                <w:sz w:val="15"/>
              </w:rPr>
            </w:pPr>
            <w:r>
              <w:rPr>
                <w:sz w:val="15"/>
              </w:rPr>
              <w:t>$ 86.00</w:t>
            </w:r>
          </w:p>
        </w:tc>
        <w:tc>
          <w:tcPr>
            <w:tcW w:w="6645" w:type="dxa"/>
          </w:tcPr>
          <w:p>
            <w:pPr>
              <w:pStyle w:val="TableParagraph"/>
              <w:spacing w:before="12"/>
              <w:ind w:right="59"/>
              <w:jc w:val="right"/>
              <w:rPr>
                <w:sz w:val="15"/>
              </w:rPr>
            </w:pPr>
            <w:r>
              <w:rPr>
                <w:sz w:val="15"/>
              </w:rPr>
              <w:t>154</w:t>
            </w:r>
          </w:p>
        </w:tc>
        <w:tc>
          <w:tcPr>
            <w:tcW w:w="3522" w:type="dxa"/>
          </w:tcPr>
          <w:p>
            <w:pPr>
              <w:pStyle w:val="TableParagraph"/>
              <w:spacing w:before="12"/>
              <w:ind w:left="61"/>
              <w:rPr>
                <w:sz w:val="15"/>
              </w:rPr>
            </w:pPr>
            <w:r>
              <w:rPr>
                <w:sz w:val="15"/>
              </w:rPr>
              <w:t>PONTEVEDRA</w:t>
            </w:r>
          </w:p>
        </w:tc>
        <w:tc>
          <w:tcPr>
            <w:tcW w:w="1456" w:type="dxa"/>
          </w:tcPr>
          <w:p>
            <w:pPr>
              <w:pStyle w:val="TableParagraph"/>
              <w:spacing w:line="166" w:lineRule="exact" w:before="34"/>
              <w:ind w:right="48"/>
              <w:jc w:val="right"/>
              <w:rPr>
                <w:sz w:val="15"/>
              </w:rPr>
            </w:pPr>
            <w:r>
              <w:rPr>
                <w:sz w:val="15"/>
              </w:rPr>
              <w:t>$ 166.00</w:t>
            </w:r>
          </w:p>
        </w:tc>
      </w:tr>
      <w:tr>
        <w:trPr>
          <w:trHeight w:val="220" w:hRule="atLeast"/>
        </w:trPr>
        <w:tc>
          <w:tcPr>
            <w:tcW w:w="4603" w:type="dxa"/>
            <w:gridSpan w:val="2"/>
          </w:tcPr>
          <w:p>
            <w:pPr>
              <w:pStyle w:val="TableParagraph"/>
              <w:spacing w:before="11"/>
              <w:ind w:left="50"/>
              <w:rPr>
                <w:sz w:val="15"/>
              </w:rPr>
            </w:pPr>
            <w:r>
              <w:rPr>
                <w:sz w:val="15"/>
              </w:rPr>
              <w:t>111 LAS GRULLAS</w:t>
            </w:r>
          </w:p>
        </w:tc>
        <w:tc>
          <w:tcPr>
            <w:tcW w:w="742" w:type="dxa"/>
          </w:tcPr>
          <w:p>
            <w:pPr>
              <w:pStyle w:val="TableParagraph"/>
              <w:spacing w:line="167" w:lineRule="exact" w:before="33"/>
              <w:ind w:right="47"/>
              <w:jc w:val="right"/>
              <w:rPr>
                <w:sz w:val="15"/>
              </w:rPr>
            </w:pPr>
            <w:r>
              <w:rPr>
                <w:sz w:val="15"/>
              </w:rPr>
              <w:t>$ 158.00</w:t>
            </w:r>
          </w:p>
        </w:tc>
        <w:tc>
          <w:tcPr>
            <w:tcW w:w="6645" w:type="dxa"/>
          </w:tcPr>
          <w:p>
            <w:pPr>
              <w:pStyle w:val="TableParagraph"/>
              <w:spacing w:before="12"/>
              <w:ind w:right="59"/>
              <w:jc w:val="right"/>
              <w:rPr>
                <w:sz w:val="15"/>
              </w:rPr>
            </w:pPr>
            <w:r>
              <w:rPr>
                <w:sz w:val="15"/>
              </w:rPr>
              <w:t>155</w:t>
            </w:r>
          </w:p>
        </w:tc>
        <w:tc>
          <w:tcPr>
            <w:tcW w:w="3522" w:type="dxa"/>
          </w:tcPr>
          <w:p>
            <w:pPr>
              <w:pStyle w:val="TableParagraph"/>
              <w:spacing w:before="12"/>
              <w:ind w:left="62"/>
              <w:rPr>
                <w:sz w:val="15"/>
              </w:rPr>
            </w:pPr>
            <w:r>
              <w:rPr>
                <w:sz w:val="15"/>
              </w:rPr>
              <w:t>PRADERAS DE LA ALAMEDA</w:t>
            </w:r>
          </w:p>
        </w:tc>
        <w:tc>
          <w:tcPr>
            <w:tcW w:w="1456" w:type="dxa"/>
          </w:tcPr>
          <w:p>
            <w:pPr>
              <w:pStyle w:val="TableParagraph"/>
              <w:spacing w:line="167" w:lineRule="exact" w:before="33"/>
              <w:ind w:right="48"/>
              <w:jc w:val="right"/>
              <w:rPr>
                <w:sz w:val="15"/>
              </w:rPr>
            </w:pPr>
            <w:r>
              <w:rPr>
                <w:sz w:val="15"/>
              </w:rPr>
              <w:t>$ 78.00</w:t>
            </w:r>
          </w:p>
        </w:tc>
      </w:tr>
      <w:tr>
        <w:trPr>
          <w:trHeight w:val="220" w:hRule="atLeast"/>
        </w:trPr>
        <w:tc>
          <w:tcPr>
            <w:tcW w:w="4603" w:type="dxa"/>
            <w:gridSpan w:val="2"/>
          </w:tcPr>
          <w:p>
            <w:pPr>
              <w:pStyle w:val="TableParagraph"/>
              <w:spacing w:before="12"/>
              <w:ind w:left="50"/>
              <w:rPr>
                <w:sz w:val="15"/>
              </w:rPr>
            </w:pPr>
            <w:r>
              <w:rPr>
                <w:sz w:val="15"/>
              </w:rPr>
              <w:t>112 LAS LUCES</w:t>
            </w:r>
          </w:p>
        </w:tc>
        <w:tc>
          <w:tcPr>
            <w:tcW w:w="742" w:type="dxa"/>
          </w:tcPr>
          <w:p>
            <w:pPr>
              <w:pStyle w:val="TableParagraph"/>
              <w:spacing w:line="167" w:lineRule="exact" w:before="34"/>
              <w:ind w:right="47"/>
              <w:jc w:val="right"/>
              <w:rPr>
                <w:sz w:val="15"/>
              </w:rPr>
            </w:pPr>
            <w:r>
              <w:rPr>
                <w:sz w:val="15"/>
              </w:rPr>
              <w:t>$ 74.00</w:t>
            </w:r>
          </w:p>
        </w:tc>
        <w:tc>
          <w:tcPr>
            <w:tcW w:w="6645" w:type="dxa"/>
          </w:tcPr>
          <w:p>
            <w:pPr>
              <w:pStyle w:val="TableParagraph"/>
              <w:spacing w:before="12"/>
              <w:ind w:right="59"/>
              <w:jc w:val="right"/>
              <w:rPr>
                <w:sz w:val="15"/>
              </w:rPr>
            </w:pPr>
            <w:r>
              <w:rPr>
                <w:sz w:val="15"/>
              </w:rPr>
              <w:t>156</w:t>
            </w:r>
          </w:p>
        </w:tc>
        <w:tc>
          <w:tcPr>
            <w:tcW w:w="3522" w:type="dxa"/>
          </w:tcPr>
          <w:p>
            <w:pPr>
              <w:pStyle w:val="TableParagraph"/>
              <w:spacing w:before="12"/>
              <w:ind w:left="62"/>
              <w:rPr>
                <w:sz w:val="15"/>
              </w:rPr>
            </w:pPr>
            <w:r>
              <w:rPr>
                <w:sz w:val="15"/>
              </w:rPr>
              <w:t>PRADOS DE LA HIGUERA</w:t>
            </w:r>
          </w:p>
        </w:tc>
        <w:tc>
          <w:tcPr>
            <w:tcW w:w="1456" w:type="dxa"/>
          </w:tcPr>
          <w:p>
            <w:pPr>
              <w:pStyle w:val="TableParagraph"/>
              <w:spacing w:line="166" w:lineRule="exact" w:before="34"/>
              <w:ind w:right="48"/>
              <w:jc w:val="right"/>
              <w:rPr>
                <w:sz w:val="15"/>
              </w:rPr>
            </w:pPr>
            <w:r>
              <w:rPr>
                <w:sz w:val="15"/>
              </w:rPr>
              <w:t>$ 74.00</w:t>
            </w:r>
          </w:p>
        </w:tc>
      </w:tr>
      <w:tr>
        <w:trPr>
          <w:trHeight w:val="220" w:hRule="atLeast"/>
        </w:trPr>
        <w:tc>
          <w:tcPr>
            <w:tcW w:w="4603" w:type="dxa"/>
            <w:gridSpan w:val="2"/>
          </w:tcPr>
          <w:p>
            <w:pPr>
              <w:pStyle w:val="TableParagraph"/>
              <w:spacing w:before="11"/>
              <w:ind w:left="50"/>
              <w:rPr>
                <w:sz w:val="15"/>
              </w:rPr>
            </w:pPr>
            <w:r>
              <w:rPr>
                <w:sz w:val="15"/>
              </w:rPr>
              <w:t>113 LAS TROJES</w:t>
            </w:r>
          </w:p>
        </w:tc>
        <w:tc>
          <w:tcPr>
            <w:tcW w:w="742" w:type="dxa"/>
          </w:tcPr>
          <w:p>
            <w:pPr>
              <w:pStyle w:val="TableParagraph"/>
              <w:spacing w:line="167" w:lineRule="exact" w:before="33"/>
              <w:ind w:right="47"/>
              <w:jc w:val="right"/>
              <w:rPr>
                <w:sz w:val="15"/>
              </w:rPr>
            </w:pPr>
            <w:r>
              <w:rPr>
                <w:sz w:val="15"/>
              </w:rPr>
              <w:t>$ 78.00</w:t>
            </w:r>
          </w:p>
        </w:tc>
        <w:tc>
          <w:tcPr>
            <w:tcW w:w="6645" w:type="dxa"/>
          </w:tcPr>
          <w:p>
            <w:pPr>
              <w:pStyle w:val="TableParagraph"/>
              <w:spacing w:before="12"/>
              <w:ind w:right="59"/>
              <w:jc w:val="right"/>
              <w:rPr>
                <w:sz w:val="15"/>
              </w:rPr>
            </w:pPr>
            <w:r>
              <w:rPr>
                <w:sz w:val="15"/>
              </w:rPr>
              <w:t>157</w:t>
            </w:r>
          </w:p>
        </w:tc>
        <w:tc>
          <w:tcPr>
            <w:tcW w:w="3522" w:type="dxa"/>
          </w:tcPr>
          <w:p>
            <w:pPr>
              <w:pStyle w:val="TableParagraph"/>
              <w:spacing w:before="12"/>
              <w:ind w:left="62"/>
              <w:rPr>
                <w:sz w:val="15"/>
              </w:rPr>
            </w:pPr>
            <w:r>
              <w:rPr>
                <w:sz w:val="15"/>
              </w:rPr>
              <w:t>PRAVIA</w:t>
            </w:r>
          </w:p>
        </w:tc>
        <w:tc>
          <w:tcPr>
            <w:tcW w:w="1456" w:type="dxa"/>
          </w:tcPr>
          <w:p>
            <w:pPr>
              <w:pStyle w:val="TableParagraph"/>
              <w:spacing w:line="167" w:lineRule="exact" w:before="33"/>
              <w:ind w:right="48"/>
              <w:jc w:val="right"/>
              <w:rPr>
                <w:sz w:val="15"/>
              </w:rPr>
            </w:pPr>
            <w:r>
              <w:rPr>
                <w:sz w:val="15"/>
              </w:rPr>
              <w:t>$ 167.00</w:t>
            </w:r>
          </w:p>
        </w:tc>
      </w:tr>
      <w:tr>
        <w:trPr>
          <w:trHeight w:val="220" w:hRule="atLeast"/>
        </w:trPr>
        <w:tc>
          <w:tcPr>
            <w:tcW w:w="4603" w:type="dxa"/>
            <w:gridSpan w:val="2"/>
          </w:tcPr>
          <w:p>
            <w:pPr>
              <w:pStyle w:val="TableParagraph"/>
              <w:spacing w:before="12"/>
              <w:ind w:left="50"/>
              <w:rPr>
                <w:sz w:val="15"/>
              </w:rPr>
            </w:pPr>
            <w:r>
              <w:rPr>
                <w:sz w:val="15"/>
              </w:rPr>
              <w:t>114 LAS VILLAS G Y G</w:t>
            </w:r>
          </w:p>
        </w:tc>
        <w:tc>
          <w:tcPr>
            <w:tcW w:w="742" w:type="dxa"/>
          </w:tcPr>
          <w:p>
            <w:pPr>
              <w:pStyle w:val="TableParagraph"/>
              <w:spacing w:line="167" w:lineRule="exact" w:before="34"/>
              <w:ind w:right="47"/>
              <w:jc w:val="right"/>
              <w:rPr>
                <w:sz w:val="15"/>
              </w:rPr>
            </w:pPr>
            <w:r>
              <w:rPr>
                <w:sz w:val="15"/>
              </w:rPr>
              <w:t>$ 51.00</w:t>
            </w:r>
          </w:p>
        </w:tc>
        <w:tc>
          <w:tcPr>
            <w:tcW w:w="6645" w:type="dxa"/>
          </w:tcPr>
          <w:p>
            <w:pPr>
              <w:pStyle w:val="TableParagraph"/>
              <w:spacing w:before="12"/>
              <w:ind w:right="59"/>
              <w:jc w:val="right"/>
              <w:rPr>
                <w:sz w:val="15"/>
              </w:rPr>
            </w:pPr>
            <w:r>
              <w:rPr>
                <w:sz w:val="15"/>
              </w:rPr>
              <w:t>158</w:t>
            </w:r>
          </w:p>
        </w:tc>
        <w:tc>
          <w:tcPr>
            <w:tcW w:w="3522" w:type="dxa"/>
          </w:tcPr>
          <w:p>
            <w:pPr>
              <w:pStyle w:val="TableParagraph"/>
              <w:spacing w:before="12"/>
              <w:ind w:left="61"/>
              <w:rPr>
                <w:sz w:val="15"/>
              </w:rPr>
            </w:pPr>
            <w:r>
              <w:rPr>
                <w:sz w:val="15"/>
              </w:rPr>
              <w:t>PRIVANZA CAMINO REAL</w:t>
            </w:r>
          </w:p>
        </w:tc>
        <w:tc>
          <w:tcPr>
            <w:tcW w:w="1456" w:type="dxa"/>
          </w:tcPr>
          <w:p>
            <w:pPr>
              <w:pStyle w:val="TableParagraph"/>
              <w:spacing w:line="166" w:lineRule="exact" w:before="34"/>
              <w:ind w:right="48"/>
              <w:jc w:val="right"/>
              <w:rPr>
                <w:sz w:val="15"/>
              </w:rPr>
            </w:pPr>
            <w:r>
              <w:rPr>
                <w:sz w:val="15"/>
              </w:rPr>
              <w:t>$ 167.00</w:t>
            </w:r>
          </w:p>
        </w:tc>
      </w:tr>
      <w:tr>
        <w:trPr>
          <w:trHeight w:val="220" w:hRule="atLeast"/>
        </w:trPr>
        <w:tc>
          <w:tcPr>
            <w:tcW w:w="4603" w:type="dxa"/>
            <w:gridSpan w:val="2"/>
          </w:tcPr>
          <w:p>
            <w:pPr>
              <w:pStyle w:val="TableParagraph"/>
              <w:spacing w:before="11"/>
              <w:ind w:left="50"/>
              <w:rPr>
                <w:sz w:val="15"/>
              </w:rPr>
            </w:pPr>
            <w:r>
              <w:rPr>
                <w:sz w:val="15"/>
              </w:rPr>
              <w:t>115 LOMAS DE SAN AGUSTIN</w:t>
            </w:r>
          </w:p>
        </w:tc>
        <w:tc>
          <w:tcPr>
            <w:tcW w:w="742" w:type="dxa"/>
          </w:tcPr>
          <w:p>
            <w:pPr>
              <w:pStyle w:val="TableParagraph"/>
              <w:spacing w:line="167" w:lineRule="exact" w:before="33"/>
              <w:ind w:right="47"/>
              <w:jc w:val="right"/>
              <w:rPr>
                <w:sz w:val="15"/>
              </w:rPr>
            </w:pPr>
            <w:r>
              <w:rPr>
                <w:sz w:val="15"/>
              </w:rPr>
              <w:t>$ 90.00</w:t>
            </w:r>
          </w:p>
        </w:tc>
        <w:tc>
          <w:tcPr>
            <w:tcW w:w="6645" w:type="dxa"/>
          </w:tcPr>
          <w:p>
            <w:pPr>
              <w:pStyle w:val="TableParagraph"/>
              <w:spacing w:before="12"/>
              <w:ind w:right="59"/>
              <w:jc w:val="right"/>
              <w:rPr>
                <w:sz w:val="15"/>
              </w:rPr>
            </w:pPr>
            <w:r>
              <w:rPr>
                <w:sz w:val="15"/>
              </w:rPr>
              <w:t>159</w:t>
            </w:r>
          </w:p>
        </w:tc>
        <w:tc>
          <w:tcPr>
            <w:tcW w:w="3522" w:type="dxa"/>
          </w:tcPr>
          <w:p>
            <w:pPr>
              <w:pStyle w:val="TableParagraph"/>
              <w:spacing w:before="12"/>
              <w:ind w:left="61"/>
              <w:rPr>
                <w:sz w:val="15"/>
              </w:rPr>
            </w:pPr>
            <w:r>
              <w:rPr>
                <w:sz w:val="15"/>
              </w:rPr>
              <w:t>PUERTA REAL</w:t>
            </w:r>
          </w:p>
        </w:tc>
        <w:tc>
          <w:tcPr>
            <w:tcW w:w="1456" w:type="dxa"/>
          </w:tcPr>
          <w:p>
            <w:pPr>
              <w:pStyle w:val="TableParagraph"/>
              <w:spacing w:line="167" w:lineRule="exact" w:before="33"/>
              <w:ind w:right="48"/>
              <w:jc w:val="right"/>
              <w:rPr>
                <w:sz w:val="15"/>
              </w:rPr>
            </w:pPr>
            <w:r>
              <w:rPr>
                <w:sz w:val="15"/>
              </w:rPr>
              <w:t>$ 74.00</w:t>
            </w:r>
          </w:p>
        </w:tc>
      </w:tr>
      <w:tr>
        <w:trPr>
          <w:trHeight w:val="220" w:hRule="atLeast"/>
        </w:trPr>
        <w:tc>
          <w:tcPr>
            <w:tcW w:w="4603" w:type="dxa"/>
            <w:gridSpan w:val="2"/>
          </w:tcPr>
          <w:p>
            <w:pPr>
              <w:pStyle w:val="TableParagraph"/>
              <w:spacing w:before="12"/>
              <w:ind w:left="50"/>
              <w:rPr>
                <w:sz w:val="15"/>
              </w:rPr>
            </w:pPr>
            <w:r>
              <w:rPr>
                <w:sz w:val="15"/>
              </w:rPr>
              <w:t>116 LOMAS DE SAN DIEGO</w:t>
            </w:r>
          </w:p>
        </w:tc>
        <w:tc>
          <w:tcPr>
            <w:tcW w:w="742" w:type="dxa"/>
          </w:tcPr>
          <w:p>
            <w:pPr>
              <w:pStyle w:val="TableParagraph"/>
              <w:spacing w:line="167" w:lineRule="exact" w:before="34"/>
              <w:ind w:right="47"/>
              <w:jc w:val="right"/>
              <w:rPr>
                <w:sz w:val="15"/>
              </w:rPr>
            </w:pPr>
            <w:r>
              <w:rPr>
                <w:sz w:val="15"/>
              </w:rPr>
              <w:t>$ 132.00</w:t>
            </w:r>
          </w:p>
        </w:tc>
        <w:tc>
          <w:tcPr>
            <w:tcW w:w="6645" w:type="dxa"/>
          </w:tcPr>
          <w:p>
            <w:pPr>
              <w:pStyle w:val="TableParagraph"/>
              <w:spacing w:before="12"/>
              <w:ind w:right="59"/>
              <w:jc w:val="right"/>
              <w:rPr>
                <w:sz w:val="15"/>
              </w:rPr>
            </w:pPr>
            <w:r>
              <w:rPr>
                <w:sz w:val="15"/>
              </w:rPr>
              <w:t>160</w:t>
            </w:r>
          </w:p>
        </w:tc>
        <w:tc>
          <w:tcPr>
            <w:tcW w:w="3522" w:type="dxa"/>
          </w:tcPr>
          <w:p>
            <w:pPr>
              <w:pStyle w:val="TableParagraph"/>
              <w:spacing w:before="12"/>
              <w:ind w:left="61"/>
              <w:rPr>
                <w:sz w:val="15"/>
              </w:rPr>
            </w:pPr>
            <w:r>
              <w:rPr>
                <w:sz w:val="15"/>
              </w:rPr>
              <w:t>PUERTAS DEL ANGEL</w:t>
            </w:r>
          </w:p>
        </w:tc>
        <w:tc>
          <w:tcPr>
            <w:tcW w:w="1456" w:type="dxa"/>
          </w:tcPr>
          <w:p>
            <w:pPr>
              <w:pStyle w:val="TableParagraph"/>
              <w:spacing w:line="166" w:lineRule="exact" w:before="34"/>
              <w:ind w:right="48"/>
              <w:jc w:val="right"/>
              <w:rPr>
                <w:sz w:val="15"/>
              </w:rPr>
            </w:pPr>
            <w:r>
              <w:rPr>
                <w:sz w:val="15"/>
              </w:rPr>
              <w:t>$ 78.00</w:t>
            </w:r>
          </w:p>
        </w:tc>
      </w:tr>
      <w:tr>
        <w:trPr>
          <w:trHeight w:val="220" w:hRule="atLeast"/>
        </w:trPr>
        <w:tc>
          <w:tcPr>
            <w:tcW w:w="4603" w:type="dxa"/>
            <w:gridSpan w:val="2"/>
          </w:tcPr>
          <w:p>
            <w:pPr>
              <w:pStyle w:val="TableParagraph"/>
              <w:spacing w:before="11"/>
              <w:ind w:left="50"/>
              <w:rPr>
                <w:sz w:val="15"/>
              </w:rPr>
            </w:pPr>
            <w:r>
              <w:rPr>
                <w:sz w:val="15"/>
              </w:rPr>
              <w:t>117 LOMAS DE SANTA ANITA</w:t>
            </w:r>
          </w:p>
        </w:tc>
        <w:tc>
          <w:tcPr>
            <w:tcW w:w="742" w:type="dxa"/>
          </w:tcPr>
          <w:p>
            <w:pPr>
              <w:pStyle w:val="TableParagraph"/>
              <w:spacing w:line="167" w:lineRule="exact" w:before="33"/>
              <w:ind w:right="47"/>
              <w:jc w:val="right"/>
              <w:rPr>
                <w:sz w:val="15"/>
              </w:rPr>
            </w:pPr>
            <w:r>
              <w:rPr>
                <w:sz w:val="15"/>
              </w:rPr>
              <w:t>$ 186.00</w:t>
            </w:r>
          </w:p>
        </w:tc>
        <w:tc>
          <w:tcPr>
            <w:tcW w:w="6645" w:type="dxa"/>
          </w:tcPr>
          <w:p>
            <w:pPr>
              <w:pStyle w:val="TableParagraph"/>
              <w:spacing w:before="12"/>
              <w:ind w:right="59"/>
              <w:jc w:val="right"/>
              <w:rPr>
                <w:sz w:val="15"/>
              </w:rPr>
            </w:pPr>
            <w:r>
              <w:rPr>
                <w:sz w:val="15"/>
              </w:rPr>
              <w:t>161</w:t>
            </w:r>
          </w:p>
        </w:tc>
        <w:tc>
          <w:tcPr>
            <w:tcW w:w="3522" w:type="dxa"/>
          </w:tcPr>
          <w:p>
            <w:pPr>
              <w:pStyle w:val="TableParagraph"/>
              <w:spacing w:before="12"/>
              <w:ind w:left="62"/>
              <w:rPr>
                <w:sz w:val="15"/>
              </w:rPr>
            </w:pPr>
            <w:r>
              <w:rPr>
                <w:sz w:val="15"/>
              </w:rPr>
              <w:t>PUNTA CORAL AQUA</w:t>
            </w:r>
          </w:p>
        </w:tc>
        <w:tc>
          <w:tcPr>
            <w:tcW w:w="1456" w:type="dxa"/>
          </w:tcPr>
          <w:p>
            <w:pPr>
              <w:pStyle w:val="TableParagraph"/>
              <w:spacing w:line="167" w:lineRule="exact" w:before="33"/>
              <w:ind w:right="48"/>
              <w:jc w:val="right"/>
              <w:rPr>
                <w:sz w:val="15"/>
              </w:rPr>
            </w:pPr>
            <w:r>
              <w:rPr>
                <w:sz w:val="15"/>
              </w:rPr>
              <w:t>$ 78.00</w:t>
            </w:r>
          </w:p>
        </w:tc>
      </w:tr>
      <w:tr>
        <w:trPr>
          <w:trHeight w:val="220" w:hRule="atLeast"/>
        </w:trPr>
        <w:tc>
          <w:tcPr>
            <w:tcW w:w="4603" w:type="dxa"/>
            <w:gridSpan w:val="2"/>
          </w:tcPr>
          <w:p>
            <w:pPr>
              <w:pStyle w:val="TableParagraph"/>
              <w:spacing w:before="12"/>
              <w:ind w:left="50"/>
              <w:rPr>
                <w:sz w:val="15"/>
              </w:rPr>
            </w:pPr>
            <w:r>
              <w:rPr>
                <w:sz w:val="15"/>
              </w:rPr>
              <w:t>118 LOMAS DE TEJEDA CONDOMINIO</w:t>
            </w:r>
          </w:p>
        </w:tc>
        <w:tc>
          <w:tcPr>
            <w:tcW w:w="742" w:type="dxa"/>
          </w:tcPr>
          <w:p>
            <w:pPr>
              <w:pStyle w:val="TableParagraph"/>
              <w:spacing w:line="167" w:lineRule="exact" w:before="34"/>
              <w:ind w:right="47"/>
              <w:jc w:val="right"/>
              <w:rPr>
                <w:sz w:val="15"/>
              </w:rPr>
            </w:pPr>
            <w:r>
              <w:rPr>
                <w:sz w:val="15"/>
              </w:rPr>
              <w:t>$ 78.00</w:t>
            </w:r>
          </w:p>
        </w:tc>
        <w:tc>
          <w:tcPr>
            <w:tcW w:w="6645" w:type="dxa"/>
          </w:tcPr>
          <w:p>
            <w:pPr>
              <w:pStyle w:val="TableParagraph"/>
              <w:spacing w:before="12"/>
              <w:ind w:right="59"/>
              <w:jc w:val="right"/>
              <w:rPr>
                <w:sz w:val="15"/>
              </w:rPr>
            </w:pPr>
            <w:r>
              <w:rPr>
                <w:sz w:val="15"/>
              </w:rPr>
              <w:t>162</w:t>
            </w:r>
          </w:p>
        </w:tc>
        <w:tc>
          <w:tcPr>
            <w:tcW w:w="3522" w:type="dxa"/>
          </w:tcPr>
          <w:p>
            <w:pPr>
              <w:pStyle w:val="TableParagraph"/>
              <w:spacing w:before="12"/>
              <w:ind w:left="61"/>
              <w:rPr>
                <w:sz w:val="15"/>
              </w:rPr>
            </w:pPr>
            <w:r>
              <w:rPr>
                <w:sz w:val="15"/>
              </w:rPr>
              <w:t>PUNTO SUR</w:t>
            </w:r>
          </w:p>
        </w:tc>
        <w:tc>
          <w:tcPr>
            <w:tcW w:w="1456" w:type="dxa"/>
          </w:tcPr>
          <w:p>
            <w:pPr>
              <w:pStyle w:val="TableParagraph"/>
              <w:spacing w:line="166" w:lineRule="exact" w:before="34"/>
              <w:ind w:right="48"/>
              <w:jc w:val="right"/>
              <w:rPr>
                <w:sz w:val="15"/>
              </w:rPr>
            </w:pPr>
            <w:r>
              <w:rPr>
                <w:sz w:val="15"/>
              </w:rPr>
              <w:t>$ 166.00</w:t>
            </w:r>
          </w:p>
        </w:tc>
      </w:tr>
      <w:tr>
        <w:trPr>
          <w:trHeight w:val="220" w:hRule="atLeast"/>
        </w:trPr>
        <w:tc>
          <w:tcPr>
            <w:tcW w:w="4603" w:type="dxa"/>
            <w:gridSpan w:val="2"/>
          </w:tcPr>
          <w:p>
            <w:pPr>
              <w:pStyle w:val="TableParagraph"/>
              <w:spacing w:before="11"/>
              <w:ind w:left="50"/>
              <w:rPr>
                <w:sz w:val="15"/>
              </w:rPr>
            </w:pPr>
            <w:r>
              <w:rPr>
                <w:sz w:val="15"/>
              </w:rPr>
              <w:t>119 LOMAS DEL CARMEN</w:t>
            </w:r>
          </w:p>
        </w:tc>
        <w:tc>
          <w:tcPr>
            <w:tcW w:w="742" w:type="dxa"/>
          </w:tcPr>
          <w:p>
            <w:pPr>
              <w:pStyle w:val="TableParagraph"/>
              <w:spacing w:line="167" w:lineRule="exact" w:before="33"/>
              <w:ind w:right="47"/>
              <w:jc w:val="right"/>
              <w:rPr>
                <w:sz w:val="15"/>
              </w:rPr>
            </w:pPr>
            <w:r>
              <w:rPr>
                <w:sz w:val="15"/>
              </w:rPr>
              <w:t>$ 86.00</w:t>
            </w:r>
          </w:p>
        </w:tc>
        <w:tc>
          <w:tcPr>
            <w:tcW w:w="6645" w:type="dxa"/>
          </w:tcPr>
          <w:p>
            <w:pPr>
              <w:pStyle w:val="TableParagraph"/>
              <w:spacing w:before="12"/>
              <w:ind w:right="59"/>
              <w:jc w:val="right"/>
              <w:rPr>
                <w:sz w:val="15"/>
              </w:rPr>
            </w:pPr>
            <w:r>
              <w:rPr>
                <w:sz w:val="15"/>
              </w:rPr>
              <w:t>163</w:t>
            </w:r>
          </w:p>
        </w:tc>
        <w:tc>
          <w:tcPr>
            <w:tcW w:w="3522" w:type="dxa"/>
          </w:tcPr>
          <w:p>
            <w:pPr>
              <w:pStyle w:val="TableParagraph"/>
              <w:spacing w:before="12"/>
              <w:ind w:left="62"/>
              <w:rPr>
                <w:sz w:val="15"/>
              </w:rPr>
            </w:pPr>
            <w:r>
              <w:rPr>
                <w:sz w:val="15"/>
              </w:rPr>
              <w:t>QUINTA JACARANDAS</w:t>
            </w:r>
          </w:p>
        </w:tc>
        <w:tc>
          <w:tcPr>
            <w:tcW w:w="1456" w:type="dxa"/>
          </w:tcPr>
          <w:p>
            <w:pPr>
              <w:pStyle w:val="TableParagraph"/>
              <w:spacing w:line="167" w:lineRule="exact" w:before="33"/>
              <w:ind w:right="48"/>
              <w:jc w:val="right"/>
              <w:rPr>
                <w:sz w:val="15"/>
              </w:rPr>
            </w:pPr>
            <w:r>
              <w:rPr>
                <w:sz w:val="15"/>
              </w:rPr>
              <w:t>$ 158.00</w:t>
            </w:r>
          </w:p>
        </w:tc>
      </w:tr>
      <w:tr>
        <w:trPr>
          <w:trHeight w:val="220" w:hRule="atLeast"/>
        </w:trPr>
        <w:tc>
          <w:tcPr>
            <w:tcW w:w="4603" w:type="dxa"/>
            <w:gridSpan w:val="2"/>
          </w:tcPr>
          <w:p>
            <w:pPr>
              <w:pStyle w:val="TableParagraph"/>
              <w:spacing w:before="12"/>
              <w:ind w:left="50"/>
              <w:rPr>
                <w:sz w:val="15"/>
              </w:rPr>
            </w:pPr>
            <w:r>
              <w:rPr>
                <w:sz w:val="15"/>
              </w:rPr>
              <w:t>120 LOMAS DEL MIRADOR</w:t>
            </w:r>
          </w:p>
        </w:tc>
        <w:tc>
          <w:tcPr>
            <w:tcW w:w="742" w:type="dxa"/>
          </w:tcPr>
          <w:p>
            <w:pPr>
              <w:pStyle w:val="TableParagraph"/>
              <w:spacing w:line="167" w:lineRule="exact" w:before="34"/>
              <w:ind w:right="47"/>
              <w:jc w:val="right"/>
              <w:rPr>
                <w:sz w:val="15"/>
              </w:rPr>
            </w:pPr>
            <w:r>
              <w:rPr>
                <w:sz w:val="15"/>
              </w:rPr>
              <w:t>$ 78.00</w:t>
            </w:r>
          </w:p>
        </w:tc>
        <w:tc>
          <w:tcPr>
            <w:tcW w:w="6645" w:type="dxa"/>
          </w:tcPr>
          <w:p>
            <w:pPr>
              <w:pStyle w:val="TableParagraph"/>
              <w:spacing w:before="12"/>
              <w:ind w:right="59"/>
              <w:jc w:val="right"/>
              <w:rPr>
                <w:sz w:val="15"/>
              </w:rPr>
            </w:pPr>
            <w:r>
              <w:rPr>
                <w:sz w:val="15"/>
              </w:rPr>
              <w:t>164</w:t>
            </w:r>
          </w:p>
        </w:tc>
        <w:tc>
          <w:tcPr>
            <w:tcW w:w="3522" w:type="dxa"/>
          </w:tcPr>
          <w:p>
            <w:pPr>
              <w:pStyle w:val="TableParagraph"/>
              <w:spacing w:before="12"/>
              <w:ind w:left="62"/>
              <w:rPr>
                <w:sz w:val="15"/>
              </w:rPr>
            </w:pPr>
            <w:r>
              <w:rPr>
                <w:sz w:val="15"/>
              </w:rPr>
              <w:t>QUINTA SANTA ANITA</w:t>
            </w:r>
          </w:p>
        </w:tc>
        <w:tc>
          <w:tcPr>
            <w:tcW w:w="1456" w:type="dxa"/>
          </w:tcPr>
          <w:p>
            <w:pPr>
              <w:pStyle w:val="TableParagraph"/>
              <w:spacing w:line="166" w:lineRule="exact" w:before="34"/>
              <w:ind w:right="48"/>
              <w:jc w:val="right"/>
              <w:rPr>
                <w:sz w:val="15"/>
              </w:rPr>
            </w:pPr>
            <w:r>
              <w:rPr>
                <w:sz w:val="15"/>
              </w:rPr>
              <w:t>$ 167.00</w:t>
            </w:r>
          </w:p>
        </w:tc>
      </w:tr>
      <w:tr>
        <w:trPr>
          <w:trHeight w:val="220" w:hRule="atLeast"/>
        </w:trPr>
        <w:tc>
          <w:tcPr>
            <w:tcW w:w="4603" w:type="dxa"/>
            <w:gridSpan w:val="2"/>
          </w:tcPr>
          <w:p>
            <w:pPr>
              <w:pStyle w:val="TableParagraph"/>
              <w:spacing w:before="11"/>
              <w:ind w:left="50"/>
              <w:rPr>
                <w:sz w:val="15"/>
              </w:rPr>
            </w:pPr>
            <w:r>
              <w:rPr>
                <w:sz w:val="15"/>
              </w:rPr>
              <w:t>121 LOMAS DEL SUR</w:t>
            </w:r>
          </w:p>
        </w:tc>
        <w:tc>
          <w:tcPr>
            <w:tcW w:w="742" w:type="dxa"/>
          </w:tcPr>
          <w:p>
            <w:pPr>
              <w:pStyle w:val="TableParagraph"/>
              <w:spacing w:line="167" w:lineRule="exact" w:before="33"/>
              <w:ind w:right="47"/>
              <w:jc w:val="right"/>
              <w:rPr>
                <w:sz w:val="15"/>
              </w:rPr>
            </w:pPr>
            <w:r>
              <w:rPr>
                <w:sz w:val="15"/>
              </w:rPr>
              <w:t>$ 78.00</w:t>
            </w:r>
          </w:p>
        </w:tc>
        <w:tc>
          <w:tcPr>
            <w:tcW w:w="6645" w:type="dxa"/>
          </w:tcPr>
          <w:p>
            <w:pPr>
              <w:pStyle w:val="TableParagraph"/>
              <w:spacing w:before="12"/>
              <w:ind w:right="59"/>
              <w:jc w:val="right"/>
              <w:rPr>
                <w:sz w:val="15"/>
              </w:rPr>
            </w:pPr>
            <w:r>
              <w:rPr>
                <w:sz w:val="15"/>
              </w:rPr>
              <w:t>165</w:t>
            </w:r>
          </w:p>
        </w:tc>
        <w:tc>
          <w:tcPr>
            <w:tcW w:w="3522" w:type="dxa"/>
          </w:tcPr>
          <w:p>
            <w:pPr>
              <w:pStyle w:val="TableParagraph"/>
              <w:spacing w:before="12"/>
              <w:ind w:left="62"/>
              <w:rPr>
                <w:sz w:val="15"/>
              </w:rPr>
            </w:pPr>
            <w:r>
              <w:rPr>
                <w:sz w:val="15"/>
              </w:rPr>
              <w:t>QUINTAS DEL VALLE</w:t>
            </w:r>
          </w:p>
        </w:tc>
        <w:tc>
          <w:tcPr>
            <w:tcW w:w="1456" w:type="dxa"/>
          </w:tcPr>
          <w:p>
            <w:pPr>
              <w:pStyle w:val="TableParagraph"/>
              <w:spacing w:line="167" w:lineRule="exact" w:before="33"/>
              <w:ind w:right="48"/>
              <w:jc w:val="right"/>
              <w:rPr>
                <w:sz w:val="15"/>
              </w:rPr>
            </w:pPr>
            <w:r>
              <w:rPr>
                <w:sz w:val="15"/>
              </w:rPr>
              <w:t>$ 78.00</w:t>
            </w:r>
          </w:p>
        </w:tc>
      </w:tr>
      <w:tr>
        <w:trPr>
          <w:trHeight w:val="220" w:hRule="atLeast"/>
        </w:trPr>
        <w:tc>
          <w:tcPr>
            <w:tcW w:w="4603" w:type="dxa"/>
            <w:gridSpan w:val="2"/>
          </w:tcPr>
          <w:p>
            <w:pPr>
              <w:pStyle w:val="TableParagraph"/>
              <w:spacing w:before="12"/>
              <w:ind w:left="50"/>
              <w:rPr>
                <w:sz w:val="15"/>
              </w:rPr>
            </w:pPr>
            <w:r>
              <w:rPr>
                <w:sz w:val="15"/>
              </w:rPr>
              <w:t>122 LOMAS HABITACIONAL</w:t>
            </w:r>
          </w:p>
        </w:tc>
        <w:tc>
          <w:tcPr>
            <w:tcW w:w="742" w:type="dxa"/>
          </w:tcPr>
          <w:p>
            <w:pPr>
              <w:pStyle w:val="TableParagraph"/>
              <w:spacing w:line="167" w:lineRule="exact" w:before="34"/>
              <w:ind w:right="47"/>
              <w:jc w:val="right"/>
              <w:rPr>
                <w:sz w:val="15"/>
              </w:rPr>
            </w:pPr>
            <w:r>
              <w:rPr>
                <w:sz w:val="15"/>
              </w:rPr>
              <w:t>$ 78.00</w:t>
            </w:r>
          </w:p>
        </w:tc>
        <w:tc>
          <w:tcPr>
            <w:tcW w:w="6645" w:type="dxa"/>
          </w:tcPr>
          <w:p>
            <w:pPr>
              <w:pStyle w:val="TableParagraph"/>
              <w:spacing w:before="12"/>
              <w:ind w:right="59"/>
              <w:jc w:val="right"/>
              <w:rPr>
                <w:sz w:val="15"/>
              </w:rPr>
            </w:pPr>
            <w:r>
              <w:rPr>
                <w:sz w:val="15"/>
              </w:rPr>
              <w:t>166</w:t>
            </w:r>
          </w:p>
        </w:tc>
        <w:tc>
          <w:tcPr>
            <w:tcW w:w="3522" w:type="dxa"/>
          </w:tcPr>
          <w:p>
            <w:pPr>
              <w:pStyle w:val="TableParagraph"/>
              <w:spacing w:before="12"/>
              <w:ind w:left="62"/>
              <w:rPr>
                <w:sz w:val="15"/>
              </w:rPr>
            </w:pPr>
            <w:r>
              <w:rPr>
                <w:sz w:val="15"/>
              </w:rPr>
              <w:t>RANCHO ALEGRE</w:t>
            </w:r>
          </w:p>
        </w:tc>
        <w:tc>
          <w:tcPr>
            <w:tcW w:w="1456" w:type="dxa"/>
          </w:tcPr>
          <w:p>
            <w:pPr>
              <w:pStyle w:val="TableParagraph"/>
              <w:spacing w:line="166" w:lineRule="exact" w:before="34"/>
              <w:ind w:right="48"/>
              <w:jc w:val="right"/>
              <w:rPr>
                <w:sz w:val="15"/>
              </w:rPr>
            </w:pPr>
            <w:r>
              <w:rPr>
                <w:sz w:val="15"/>
              </w:rPr>
              <w:t>$ 70.00</w:t>
            </w:r>
          </w:p>
        </w:tc>
      </w:tr>
      <w:tr>
        <w:trPr>
          <w:trHeight w:val="220" w:hRule="atLeast"/>
        </w:trPr>
        <w:tc>
          <w:tcPr>
            <w:tcW w:w="4603" w:type="dxa"/>
            <w:gridSpan w:val="2"/>
          </w:tcPr>
          <w:p>
            <w:pPr>
              <w:pStyle w:val="TableParagraph"/>
              <w:spacing w:before="11"/>
              <w:ind w:left="50"/>
              <w:rPr>
                <w:sz w:val="15"/>
              </w:rPr>
            </w:pPr>
            <w:r>
              <w:rPr>
                <w:sz w:val="15"/>
              </w:rPr>
              <w:t>123 LOS ABEDULES</w:t>
            </w:r>
          </w:p>
        </w:tc>
        <w:tc>
          <w:tcPr>
            <w:tcW w:w="742" w:type="dxa"/>
          </w:tcPr>
          <w:p>
            <w:pPr>
              <w:pStyle w:val="TableParagraph"/>
              <w:spacing w:line="167" w:lineRule="exact" w:before="33"/>
              <w:ind w:right="47"/>
              <w:jc w:val="right"/>
              <w:rPr>
                <w:sz w:val="15"/>
              </w:rPr>
            </w:pPr>
            <w:r>
              <w:rPr>
                <w:sz w:val="15"/>
              </w:rPr>
              <w:t>$ 78.00</w:t>
            </w:r>
          </w:p>
        </w:tc>
        <w:tc>
          <w:tcPr>
            <w:tcW w:w="6645" w:type="dxa"/>
          </w:tcPr>
          <w:p>
            <w:pPr>
              <w:pStyle w:val="TableParagraph"/>
              <w:spacing w:before="12"/>
              <w:ind w:right="59"/>
              <w:jc w:val="right"/>
              <w:rPr>
                <w:sz w:val="15"/>
              </w:rPr>
            </w:pPr>
            <w:r>
              <w:rPr>
                <w:sz w:val="15"/>
              </w:rPr>
              <w:t>167</w:t>
            </w:r>
          </w:p>
        </w:tc>
        <w:tc>
          <w:tcPr>
            <w:tcW w:w="3522" w:type="dxa"/>
          </w:tcPr>
          <w:p>
            <w:pPr>
              <w:pStyle w:val="TableParagraph"/>
              <w:spacing w:before="12"/>
              <w:ind w:left="62"/>
              <w:rPr>
                <w:sz w:val="15"/>
              </w:rPr>
            </w:pPr>
            <w:r>
              <w:rPr>
                <w:sz w:val="15"/>
              </w:rPr>
              <w:t>RANCHO GRANDE</w:t>
            </w:r>
          </w:p>
        </w:tc>
        <w:tc>
          <w:tcPr>
            <w:tcW w:w="1456" w:type="dxa"/>
          </w:tcPr>
          <w:p>
            <w:pPr>
              <w:pStyle w:val="TableParagraph"/>
              <w:spacing w:line="167" w:lineRule="exact" w:before="33"/>
              <w:ind w:right="48"/>
              <w:jc w:val="right"/>
              <w:rPr>
                <w:sz w:val="15"/>
              </w:rPr>
            </w:pPr>
            <w:r>
              <w:rPr>
                <w:sz w:val="15"/>
              </w:rPr>
              <w:t>$ 105.00</w:t>
            </w:r>
          </w:p>
        </w:tc>
      </w:tr>
      <w:tr>
        <w:trPr>
          <w:trHeight w:val="220" w:hRule="atLeast"/>
        </w:trPr>
        <w:tc>
          <w:tcPr>
            <w:tcW w:w="4603" w:type="dxa"/>
            <w:gridSpan w:val="2"/>
          </w:tcPr>
          <w:p>
            <w:pPr>
              <w:pStyle w:val="TableParagraph"/>
              <w:spacing w:before="12"/>
              <w:ind w:left="50"/>
              <w:rPr>
                <w:sz w:val="15"/>
              </w:rPr>
            </w:pPr>
            <w:r>
              <w:rPr>
                <w:sz w:val="15"/>
              </w:rPr>
              <w:t>124 LOS AGUSTINOS</w:t>
            </w:r>
          </w:p>
        </w:tc>
        <w:tc>
          <w:tcPr>
            <w:tcW w:w="742" w:type="dxa"/>
          </w:tcPr>
          <w:p>
            <w:pPr>
              <w:pStyle w:val="TableParagraph"/>
              <w:spacing w:line="167" w:lineRule="exact" w:before="34"/>
              <w:ind w:right="47"/>
              <w:jc w:val="right"/>
              <w:rPr>
                <w:sz w:val="15"/>
              </w:rPr>
            </w:pPr>
            <w:r>
              <w:rPr>
                <w:sz w:val="15"/>
              </w:rPr>
              <w:t>$ 85.00</w:t>
            </w:r>
          </w:p>
        </w:tc>
        <w:tc>
          <w:tcPr>
            <w:tcW w:w="6645" w:type="dxa"/>
          </w:tcPr>
          <w:p>
            <w:pPr>
              <w:pStyle w:val="TableParagraph"/>
              <w:spacing w:before="12"/>
              <w:ind w:right="59"/>
              <w:jc w:val="right"/>
              <w:rPr>
                <w:sz w:val="15"/>
              </w:rPr>
            </w:pPr>
            <w:r>
              <w:rPr>
                <w:sz w:val="15"/>
              </w:rPr>
              <w:t>168</w:t>
            </w:r>
          </w:p>
        </w:tc>
        <w:tc>
          <w:tcPr>
            <w:tcW w:w="3522" w:type="dxa"/>
          </w:tcPr>
          <w:p>
            <w:pPr>
              <w:pStyle w:val="TableParagraph"/>
              <w:spacing w:before="12"/>
              <w:ind w:left="62"/>
              <w:rPr>
                <w:sz w:val="15"/>
              </w:rPr>
            </w:pPr>
            <w:r>
              <w:rPr>
                <w:sz w:val="15"/>
              </w:rPr>
              <w:t>RANCHO SAN JOSE DEL TAJO</w:t>
            </w:r>
          </w:p>
        </w:tc>
        <w:tc>
          <w:tcPr>
            <w:tcW w:w="1456" w:type="dxa"/>
          </w:tcPr>
          <w:p>
            <w:pPr>
              <w:pStyle w:val="TableParagraph"/>
              <w:spacing w:line="166" w:lineRule="exact" w:before="34"/>
              <w:ind w:right="48"/>
              <w:jc w:val="right"/>
              <w:rPr>
                <w:sz w:val="15"/>
              </w:rPr>
            </w:pPr>
            <w:r>
              <w:rPr>
                <w:sz w:val="15"/>
              </w:rPr>
              <w:t>$ 166.00</w:t>
            </w:r>
          </w:p>
        </w:tc>
      </w:tr>
      <w:tr>
        <w:trPr>
          <w:trHeight w:val="220" w:hRule="atLeast"/>
        </w:trPr>
        <w:tc>
          <w:tcPr>
            <w:tcW w:w="4603" w:type="dxa"/>
            <w:gridSpan w:val="2"/>
          </w:tcPr>
          <w:p>
            <w:pPr>
              <w:pStyle w:val="TableParagraph"/>
              <w:spacing w:before="11"/>
              <w:ind w:left="50"/>
              <w:rPr>
                <w:sz w:val="15"/>
              </w:rPr>
            </w:pPr>
            <w:r>
              <w:rPr>
                <w:sz w:val="15"/>
              </w:rPr>
              <w:t>125 LOS ALAMOS</w:t>
            </w:r>
          </w:p>
        </w:tc>
        <w:tc>
          <w:tcPr>
            <w:tcW w:w="742" w:type="dxa"/>
          </w:tcPr>
          <w:p>
            <w:pPr>
              <w:pStyle w:val="TableParagraph"/>
              <w:spacing w:line="167" w:lineRule="exact" w:before="33"/>
              <w:ind w:right="47"/>
              <w:jc w:val="right"/>
              <w:rPr>
                <w:sz w:val="15"/>
              </w:rPr>
            </w:pPr>
            <w:r>
              <w:rPr>
                <w:sz w:val="15"/>
              </w:rPr>
              <w:t>$ 78.00</w:t>
            </w:r>
          </w:p>
        </w:tc>
        <w:tc>
          <w:tcPr>
            <w:tcW w:w="6645" w:type="dxa"/>
          </w:tcPr>
          <w:p>
            <w:pPr>
              <w:pStyle w:val="TableParagraph"/>
              <w:spacing w:before="12"/>
              <w:ind w:right="59"/>
              <w:jc w:val="right"/>
              <w:rPr>
                <w:sz w:val="15"/>
              </w:rPr>
            </w:pPr>
            <w:r>
              <w:rPr>
                <w:sz w:val="15"/>
              </w:rPr>
              <w:t>169</w:t>
            </w:r>
          </w:p>
        </w:tc>
        <w:tc>
          <w:tcPr>
            <w:tcW w:w="3522" w:type="dxa"/>
          </w:tcPr>
          <w:p>
            <w:pPr>
              <w:pStyle w:val="TableParagraph"/>
              <w:spacing w:before="12"/>
              <w:ind w:left="62"/>
              <w:rPr>
                <w:sz w:val="15"/>
              </w:rPr>
            </w:pPr>
            <w:r>
              <w:rPr>
                <w:sz w:val="15"/>
              </w:rPr>
              <w:t>REAL BANUS</w:t>
            </w:r>
          </w:p>
        </w:tc>
        <w:tc>
          <w:tcPr>
            <w:tcW w:w="1456" w:type="dxa"/>
          </w:tcPr>
          <w:p>
            <w:pPr>
              <w:pStyle w:val="TableParagraph"/>
              <w:spacing w:line="167" w:lineRule="exact" w:before="33"/>
              <w:ind w:right="48"/>
              <w:jc w:val="right"/>
              <w:rPr>
                <w:sz w:val="15"/>
              </w:rPr>
            </w:pPr>
            <w:r>
              <w:rPr>
                <w:sz w:val="15"/>
              </w:rPr>
              <w:t>$ 174.00</w:t>
            </w:r>
          </w:p>
        </w:tc>
      </w:tr>
      <w:tr>
        <w:trPr>
          <w:trHeight w:val="220" w:hRule="atLeast"/>
        </w:trPr>
        <w:tc>
          <w:tcPr>
            <w:tcW w:w="4603" w:type="dxa"/>
            <w:gridSpan w:val="2"/>
          </w:tcPr>
          <w:p>
            <w:pPr>
              <w:pStyle w:val="TableParagraph"/>
              <w:spacing w:before="12"/>
              <w:ind w:left="50"/>
              <w:rPr>
                <w:sz w:val="15"/>
              </w:rPr>
            </w:pPr>
            <w:r>
              <w:rPr>
                <w:sz w:val="15"/>
              </w:rPr>
              <w:t>126 LOS ALCATRACES</w:t>
            </w:r>
          </w:p>
        </w:tc>
        <w:tc>
          <w:tcPr>
            <w:tcW w:w="742" w:type="dxa"/>
          </w:tcPr>
          <w:p>
            <w:pPr>
              <w:pStyle w:val="TableParagraph"/>
              <w:spacing w:line="167" w:lineRule="exact" w:before="34"/>
              <w:ind w:right="47"/>
              <w:jc w:val="right"/>
              <w:rPr>
                <w:sz w:val="15"/>
              </w:rPr>
            </w:pPr>
            <w:r>
              <w:rPr>
                <w:sz w:val="15"/>
              </w:rPr>
              <w:t>$ 78.00</w:t>
            </w:r>
          </w:p>
        </w:tc>
        <w:tc>
          <w:tcPr>
            <w:tcW w:w="6645" w:type="dxa"/>
          </w:tcPr>
          <w:p>
            <w:pPr>
              <w:pStyle w:val="TableParagraph"/>
              <w:spacing w:before="12"/>
              <w:ind w:right="59"/>
              <w:jc w:val="right"/>
              <w:rPr>
                <w:sz w:val="15"/>
              </w:rPr>
            </w:pPr>
            <w:r>
              <w:rPr>
                <w:sz w:val="15"/>
              </w:rPr>
              <w:t>170</w:t>
            </w:r>
          </w:p>
        </w:tc>
        <w:tc>
          <w:tcPr>
            <w:tcW w:w="3522" w:type="dxa"/>
          </w:tcPr>
          <w:p>
            <w:pPr>
              <w:pStyle w:val="TableParagraph"/>
              <w:spacing w:before="12"/>
              <w:ind w:left="62"/>
              <w:rPr>
                <w:sz w:val="15"/>
              </w:rPr>
            </w:pPr>
            <w:r>
              <w:rPr>
                <w:sz w:val="15"/>
              </w:rPr>
              <w:t>REAL DE SAN SEBASTIAN</w:t>
            </w:r>
          </w:p>
        </w:tc>
        <w:tc>
          <w:tcPr>
            <w:tcW w:w="1456" w:type="dxa"/>
          </w:tcPr>
          <w:p>
            <w:pPr>
              <w:pStyle w:val="TableParagraph"/>
              <w:spacing w:line="166" w:lineRule="exact" w:before="34"/>
              <w:ind w:right="48"/>
              <w:jc w:val="right"/>
              <w:rPr>
                <w:sz w:val="15"/>
              </w:rPr>
            </w:pPr>
            <w:r>
              <w:rPr>
                <w:sz w:val="15"/>
              </w:rPr>
              <w:t>$ 63.00</w:t>
            </w:r>
          </w:p>
        </w:tc>
      </w:tr>
      <w:tr>
        <w:trPr>
          <w:trHeight w:val="220" w:hRule="atLeast"/>
        </w:trPr>
        <w:tc>
          <w:tcPr>
            <w:tcW w:w="4603" w:type="dxa"/>
            <w:gridSpan w:val="2"/>
          </w:tcPr>
          <w:p>
            <w:pPr>
              <w:pStyle w:val="TableParagraph"/>
              <w:spacing w:before="11"/>
              <w:ind w:left="50"/>
              <w:rPr>
                <w:sz w:val="15"/>
              </w:rPr>
            </w:pPr>
            <w:r>
              <w:rPr>
                <w:sz w:val="15"/>
              </w:rPr>
              <w:t>127 LOS CANTAROS</w:t>
            </w:r>
          </w:p>
        </w:tc>
        <w:tc>
          <w:tcPr>
            <w:tcW w:w="742" w:type="dxa"/>
          </w:tcPr>
          <w:p>
            <w:pPr>
              <w:pStyle w:val="TableParagraph"/>
              <w:spacing w:line="167" w:lineRule="exact" w:before="33"/>
              <w:ind w:right="47"/>
              <w:jc w:val="right"/>
              <w:rPr>
                <w:sz w:val="15"/>
              </w:rPr>
            </w:pPr>
            <w:r>
              <w:rPr>
                <w:sz w:val="15"/>
              </w:rPr>
              <w:t>$ 78.00</w:t>
            </w:r>
          </w:p>
        </w:tc>
        <w:tc>
          <w:tcPr>
            <w:tcW w:w="6645" w:type="dxa"/>
          </w:tcPr>
          <w:p>
            <w:pPr>
              <w:pStyle w:val="TableParagraph"/>
              <w:spacing w:before="12"/>
              <w:ind w:right="59"/>
              <w:jc w:val="right"/>
              <w:rPr>
                <w:sz w:val="15"/>
              </w:rPr>
            </w:pPr>
            <w:r>
              <w:rPr>
                <w:sz w:val="15"/>
              </w:rPr>
              <w:t>171</w:t>
            </w:r>
          </w:p>
        </w:tc>
        <w:tc>
          <w:tcPr>
            <w:tcW w:w="3522" w:type="dxa"/>
          </w:tcPr>
          <w:p>
            <w:pPr>
              <w:pStyle w:val="TableParagraph"/>
              <w:spacing w:before="12"/>
              <w:ind w:left="62"/>
              <w:rPr>
                <w:sz w:val="15"/>
              </w:rPr>
            </w:pPr>
            <w:r>
              <w:rPr>
                <w:sz w:val="15"/>
              </w:rPr>
              <w:t>REAL DE SANTA ANITA</w:t>
            </w:r>
          </w:p>
        </w:tc>
        <w:tc>
          <w:tcPr>
            <w:tcW w:w="1456" w:type="dxa"/>
          </w:tcPr>
          <w:p>
            <w:pPr>
              <w:pStyle w:val="TableParagraph"/>
              <w:spacing w:line="167" w:lineRule="exact" w:before="33"/>
              <w:ind w:right="48"/>
              <w:jc w:val="right"/>
              <w:rPr>
                <w:sz w:val="15"/>
              </w:rPr>
            </w:pPr>
            <w:r>
              <w:rPr>
                <w:sz w:val="15"/>
              </w:rPr>
              <w:t>$ 78.00</w:t>
            </w:r>
          </w:p>
        </w:tc>
      </w:tr>
      <w:tr>
        <w:trPr>
          <w:trHeight w:val="220" w:hRule="atLeast"/>
        </w:trPr>
        <w:tc>
          <w:tcPr>
            <w:tcW w:w="4603" w:type="dxa"/>
            <w:gridSpan w:val="2"/>
          </w:tcPr>
          <w:p>
            <w:pPr>
              <w:pStyle w:val="TableParagraph"/>
              <w:spacing w:before="12"/>
              <w:ind w:left="50"/>
              <w:rPr>
                <w:sz w:val="15"/>
              </w:rPr>
            </w:pPr>
            <w:r>
              <w:rPr>
                <w:sz w:val="15"/>
              </w:rPr>
              <w:t>128 LOS CIRUELOS</w:t>
            </w:r>
          </w:p>
        </w:tc>
        <w:tc>
          <w:tcPr>
            <w:tcW w:w="742" w:type="dxa"/>
          </w:tcPr>
          <w:p>
            <w:pPr>
              <w:pStyle w:val="TableParagraph"/>
              <w:spacing w:line="167" w:lineRule="exact" w:before="34"/>
              <w:ind w:right="47"/>
              <w:jc w:val="right"/>
              <w:rPr>
                <w:sz w:val="15"/>
              </w:rPr>
            </w:pPr>
            <w:r>
              <w:rPr>
                <w:sz w:val="15"/>
              </w:rPr>
              <w:t>$ 78.00</w:t>
            </w:r>
          </w:p>
        </w:tc>
        <w:tc>
          <w:tcPr>
            <w:tcW w:w="6645" w:type="dxa"/>
          </w:tcPr>
          <w:p>
            <w:pPr>
              <w:pStyle w:val="TableParagraph"/>
              <w:spacing w:before="12"/>
              <w:ind w:right="59"/>
              <w:jc w:val="right"/>
              <w:rPr>
                <w:sz w:val="15"/>
              </w:rPr>
            </w:pPr>
            <w:r>
              <w:rPr>
                <w:sz w:val="15"/>
              </w:rPr>
              <w:t>172</w:t>
            </w:r>
          </w:p>
        </w:tc>
        <w:tc>
          <w:tcPr>
            <w:tcW w:w="3522" w:type="dxa"/>
          </w:tcPr>
          <w:p>
            <w:pPr>
              <w:pStyle w:val="TableParagraph"/>
              <w:spacing w:before="12"/>
              <w:ind w:left="62"/>
              <w:rPr>
                <w:sz w:val="15"/>
              </w:rPr>
            </w:pPr>
            <w:r>
              <w:rPr>
                <w:sz w:val="15"/>
              </w:rPr>
              <w:t>REAL DE SANTA ANITA I Y II</w:t>
            </w:r>
          </w:p>
        </w:tc>
        <w:tc>
          <w:tcPr>
            <w:tcW w:w="1456" w:type="dxa"/>
          </w:tcPr>
          <w:p>
            <w:pPr>
              <w:pStyle w:val="TableParagraph"/>
              <w:spacing w:line="166" w:lineRule="exact" w:before="34"/>
              <w:ind w:right="48"/>
              <w:jc w:val="right"/>
              <w:rPr>
                <w:sz w:val="15"/>
              </w:rPr>
            </w:pPr>
            <w:r>
              <w:rPr>
                <w:sz w:val="15"/>
              </w:rPr>
              <w:t>$ 167.00</w:t>
            </w:r>
          </w:p>
        </w:tc>
      </w:tr>
      <w:tr>
        <w:trPr>
          <w:trHeight w:val="220" w:hRule="atLeast"/>
        </w:trPr>
        <w:tc>
          <w:tcPr>
            <w:tcW w:w="4603" w:type="dxa"/>
            <w:gridSpan w:val="2"/>
          </w:tcPr>
          <w:p>
            <w:pPr>
              <w:pStyle w:val="TableParagraph"/>
              <w:spacing w:before="11"/>
              <w:ind w:left="50"/>
              <w:rPr>
                <w:sz w:val="15"/>
              </w:rPr>
            </w:pPr>
            <w:r>
              <w:rPr>
                <w:sz w:val="15"/>
              </w:rPr>
              <w:t>129 LOS ENCINOS</w:t>
            </w:r>
          </w:p>
        </w:tc>
        <w:tc>
          <w:tcPr>
            <w:tcW w:w="742" w:type="dxa"/>
          </w:tcPr>
          <w:p>
            <w:pPr>
              <w:pStyle w:val="TableParagraph"/>
              <w:spacing w:line="167" w:lineRule="exact" w:before="33"/>
              <w:ind w:right="47"/>
              <w:jc w:val="right"/>
              <w:rPr>
                <w:sz w:val="15"/>
              </w:rPr>
            </w:pPr>
            <w:r>
              <w:rPr>
                <w:sz w:val="15"/>
              </w:rPr>
              <w:t>$ 78.00</w:t>
            </w:r>
          </w:p>
        </w:tc>
        <w:tc>
          <w:tcPr>
            <w:tcW w:w="6645" w:type="dxa"/>
          </w:tcPr>
          <w:p>
            <w:pPr>
              <w:pStyle w:val="TableParagraph"/>
              <w:spacing w:before="12"/>
              <w:ind w:right="59"/>
              <w:jc w:val="right"/>
              <w:rPr>
                <w:sz w:val="15"/>
              </w:rPr>
            </w:pPr>
            <w:r>
              <w:rPr>
                <w:sz w:val="15"/>
              </w:rPr>
              <w:t>173</w:t>
            </w:r>
          </w:p>
        </w:tc>
        <w:tc>
          <w:tcPr>
            <w:tcW w:w="3522" w:type="dxa"/>
          </w:tcPr>
          <w:p>
            <w:pPr>
              <w:pStyle w:val="TableParagraph"/>
              <w:spacing w:before="12"/>
              <w:ind w:left="62"/>
              <w:rPr>
                <w:sz w:val="15"/>
              </w:rPr>
            </w:pPr>
            <w:r>
              <w:rPr>
                <w:sz w:val="15"/>
              </w:rPr>
              <w:t>REAL DEL MONTE</w:t>
            </w:r>
          </w:p>
        </w:tc>
        <w:tc>
          <w:tcPr>
            <w:tcW w:w="1456" w:type="dxa"/>
          </w:tcPr>
          <w:p>
            <w:pPr>
              <w:pStyle w:val="TableParagraph"/>
              <w:spacing w:line="167" w:lineRule="exact" w:before="33"/>
              <w:ind w:right="48"/>
              <w:jc w:val="right"/>
              <w:rPr>
                <w:sz w:val="15"/>
              </w:rPr>
            </w:pPr>
            <w:r>
              <w:rPr>
                <w:sz w:val="15"/>
              </w:rPr>
              <w:t>$ 78.00</w:t>
            </w:r>
          </w:p>
        </w:tc>
      </w:tr>
      <w:tr>
        <w:trPr>
          <w:trHeight w:val="220" w:hRule="atLeast"/>
        </w:trPr>
        <w:tc>
          <w:tcPr>
            <w:tcW w:w="4603" w:type="dxa"/>
            <w:gridSpan w:val="2"/>
          </w:tcPr>
          <w:p>
            <w:pPr>
              <w:pStyle w:val="TableParagraph"/>
              <w:spacing w:before="12"/>
              <w:ind w:left="50"/>
              <w:rPr>
                <w:sz w:val="15"/>
              </w:rPr>
            </w:pPr>
            <w:r>
              <w:rPr>
                <w:sz w:val="15"/>
              </w:rPr>
              <w:t>130 LOS GAVILANES ORIENTE</w:t>
            </w:r>
          </w:p>
        </w:tc>
        <w:tc>
          <w:tcPr>
            <w:tcW w:w="742" w:type="dxa"/>
          </w:tcPr>
          <w:p>
            <w:pPr>
              <w:pStyle w:val="TableParagraph"/>
              <w:spacing w:line="167" w:lineRule="exact" w:before="34"/>
              <w:ind w:right="47"/>
              <w:jc w:val="right"/>
              <w:rPr>
                <w:sz w:val="15"/>
              </w:rPr>
            </w:pPr>
            <w:r>
              <w:rPr>
                <w:sz w:val="15"/>
              </w:rPr>
              <w:t>$ 166.00</w:t>
            </w:r>
          </w:p>
        </w:tc>
        <w:tc>
          <w:tcPr>
            <w:tcW w:w="6645" w:type="dxa"/>
          </w:tcPr>
          <w:p>
            <w:pPr>
              <w:pStyle w:val="TableParagraph"/>
              <w:spacing w:before="12"/>
              <w:ind w:right="59"/>
              <w:jc w:val="right"/>
              <w:rPr>
                <w:sz w:val="15"/>
              </w:rPr>
            </w:pPr>
            <w:r>
              <w:rPr>
                <w:sz w:val="15"/>
              </w:rPr>
              <w:t>174</w:t>
            </w:r>
          </w:p>
        </w:tc>
        <w:tc>
          <w:tcPr>
            <w:tcW w:w="3522" w:type="dxa"/>
          </w:tcPr>
          <w:p>
            <w:pPr>
              <w:pStyle w:val="TableParagraph"/>
              <w:spacing w:before="12"/>
              <w:ind w:left="62"/>
              <w:rPr>
                <w:sz w:val="15"/>
              </w:rPr>
            </w:pPr>
            <w:r>
              <w:rPr>
                <w:sz w:val="15"/>
              </w:rPr>
              <w:t>REAL DEL PARQUE</w:t>
            </w:r>
          </w:p>
        </w:tc>
        <w:tc>
          <w:tcPr>
            <w:tcW w:w="1456" w:type="dxa"/>
          </w:tcPr>
          <w:p>
            <w:pPr>
              <w:pStyle w:val="TableParagraph"/>
              <w:spacing w:line="166" w:lineRule="exact" w:before="34"/>
              <w:ind w:right="48"/>
              <w:jc w:val="right"/>
              <w:rPr>
                <w:sz w:val="15"/>
              </w:rPr>
            </w:pPr>
            <w:r>
              <w:rPr>
                <w:sz w:val="15"/>
              </w:rPr>
              <w:t>$ 63.00</w:t>
            </w:r>
          </w:p>
        </w:tc>
      </w:tr>
      <w:tr>
        <w:trPr>
          <w:trHeight w:val="220" w:hRule="atLeast"/>
        </w:trPr>
        <w:tc>
          <w:tcPr>
            <w:tcW w:w="4603" w:type="dxa"/>
            <w:gridSpan w:val="2"/>
          </w:tcPr>
          <w:p>
            <w:pPr>
              <w:pStyle w:val="TableParagraph"/>
              <w:spacing w:before="11"/>
              <w:ind w:left="50"/>
              <w:rPr>
                <w:sz w:val="15"/>
              </w:rPr>
            </w:pPr>
            <w:r>
              <w:rPr>
                <w:sz w:val="15"/>
              </w:rPr>
              <w:t>131 LOS GAVILANES PONIENTE</w:t>
            </w:r>
          </w:p>
        </w:tc>
        <w:tc>
          <w:tcPr>
            <w:tcW w:w="742" w:type="dxa"/>
          </w:tcPr>
          <w:p>
            <w:pPr>
              <w:pStyle w:val="TableParagraph"/>
              <w:spacing w:line="167" w:lineRule="exact" w:before="33"/>
              <w:ind w:right="47"/>
              <w:jc w:val="right"/>
              <w:rPr>
                <w:sz w:val="15"/>
              </w:rPr>
            </w:pPr>
            <w:r>
              <w:rPr>
                <w:sz w:val="15"/>
              </w:rPr>
              <w:t>$ 166.00</w:t>
            </w:r>
          </w:p>
        </w:tc>
        <w:tc>
          <w:tcPr>
            <w:tcW w:w="6645" w:type="dxa"/>
          </w:tcPr>
          <w:p>
            <w:pPr>
              <w:pStyle w:val="TableParagraph"/>
              <w:spacing w:before="12"/>
              <w:ind w:right="59"/>
              <w:jc w:val="right"/>
              <w:rPr>
                <w:sz w:val="15"/>
              </w:rPr>
            </w:pPr>
            <w:r>
              <w:rPr>
                <w:sz w:val="15"/>
              </w:rPr>
              <w:t>175</w:t>
            </w:r>
          </w:p>
        </w:tc>
        <w:tc>
          <w:tcPr>
            <w:tcW w:w="3522" w:type="dxa"/>
          </w:tcPr>
          <w:p>
            <w:pPr>
              <w:pStyle w:val="TableParagraph"/>
              <w:spacing w:before="12"/>
              <w:ind w:left="61"/>
              <w:rPr>
                <w:sz w:val="15"/>
              </w:rPr>
            </w:pPr>
            <w:r>
              <w:rPr>
                <w:sz w:val="15"/>
              </w:rPr>
              <w:t>REAL DEL SOL</w:t>
            </w:r>
          </w:p>
        </w:tc>
        <w:tc>
          <w:tcPr>
            <w:tcW w:w="1456" w:type="dxa"/>
          </w:tcPr>
          <w:p>
            <w:pPr>
              <w:pStyle w:val="TableParagraph"/>
              <w:spacing w:line="167" w:lineRule="exact" w:before="33"/>
              <w:ind w:right="48"/>
              <w:jc w:val="right"/>
              <w:rPr>
                <w:sz w:val="15"/>
              </w:rPr>
            </w:pPr>
            <w:r>
              <w:rPr>
                <w:sz w:val="15"/>
              </w:rPr>
              <w:t>$ 74.00</w:t>
            </w:r>
          </w:p>
        </w:tc>
      </w:tr>
      <w:tr>
        <w:trPr>
          <w:trHeight w:val="207" w:hRule="atLeast"/>
        </w:trPr>
        <w:tc>
          <w:tcPr>
            <w:tcW w:w="4603" w:type="dxa"/>
            <w:gridSpan w:val="2"/>
          </w:tcPr>
          <w:p>
            <w:pPr>
              <w:pStyle w:val="TableParagraph"/>
              <w:spacing w:before="12"/>
              <w:ind w:left="50"/>
              <w:rPr>
                <w:sz w:val="15"/>
              </w:rPr>
            </w:pPr>
            <w:r>
              <w:rPr>
                <w:sz w:val="15"/>
              </w:rPr>
              <w:t>132 LOS LARIOS</w:t>
            </w:r>
          </w:p>
        </w:tc>
        <w:tc>
          <w:tcPr>
            <w:tcW w:w="742" w:type="dxa"/>
          </w:tcPr>
          <w:p>
            <w:pPr>
              <w:pStyle w:val="TableParagraph"/>
              <w:spacing w:line="153" w:lineRule="exact" w:before="34"/>
              <w:ind w:right="47"/>
              <w:jc w:val="right"/>
              <w:rPr>
                <w:sz w:val="15"/>
              </w:rPr>
            </w:pPr>
            <w:r>
              <w:rPr>
                <w:sz w:val="15"/>
              </w:rPr>
              <w:t>$ 78.00</w:t>
            </w:r>
          </w:p>
        </w:tc>
        <w:tc>
          <w:tcPr>
            <w:tcW w:w="6645" w:type="dxa"/>
          </w:tcPr>
          <w:p>
            <w:pPr>
              <w:pStyle w:val="TableParagraph"/>
              <w:spacing w:before="12"/>
              <w:ind w:right="59"/>
              <w:jc w:val="right"/>
              <w:rPr>
                <w:sz w:val="15"/>
              </w:rPr>
            </w:pPr>
            <w:r>
              <w:rPr>
                <w:sz w:val="15"/>
              </w:rPr>
              <w:t>176</w:t>
            </w:r>
          </w:p>
        </w:tc>
        <w:tc>
          <w:tcPr>
            <w:tcW w:w="3522" w:type="dxa"/>
          </w:tcPr>
          <w:p>
            <w:pPr>
              <w:pStyle w:val="TableParagraph"/>
              <w:spacing w:before="12"/>
              <w:ind w:left="62"/>
              <w:rPr>
                <w:sz w:val="15"/>
              </w:rPr>
            </w:pPr>
            <w:r>
              <w:rPr>
                <w:sz w:val="15"/>
              </w:rPr>
              <w:t>REAL SAN IGNACIO</w:t>
            </w:r>
          </w:p>
        </w:tc>
        <w:tc>
          <w:tcPr>
            <w:tcW w:w="1456" w:type="dxa"/>
          </w:tcPr>
          <w:p>
            <w:pPr>
              <w:pStyle w:val="TableParagraph"/>
              <w:spacing w:line="153" w:lineRule="exact" w:before="34"/>
              <w:ind w:right="48"/>
              <w:jc w:val="right"/>
              <w:rPr>
                <w:sz w:val="15"/>
              </w:rPr>
            </w:pPr>
            <w:r>
              <w:rPr>
                <w:sz w:val="15"/>
              </w:rPr>
              <w:t>$ 166.00</w:t>
            </w:r>
          </w:p>
        </w:tc>
      </w:tr>
    </w:tbl>
    <w:p>
      <w:pPr>
        <w:spacing w:after="0" w:line="153" w:lineRule="exact"/>
        <w:jc w:val="right"/>
        <w:rPr>
          <w:sz w:val="15"/>
        </w:rPr>
        <w:sectPr>
          <w:headerReference w:type="default" r:id="rId83"/>
          <w:pgSz w:w="23250" w:h="15310" w:orient="landscape"/>
          <w:pgMar w:header="881" w:footer="499" w:top="1920" w:bottom="680" w:left="1880" w:right="1520"/>
        </w:sect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20"/>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
        <w:gridCol w:w="4235"/>
        <w:gridCol w:w="3881"/>
        <w:gridCol w:w="3507"/>
        <w:gridCol w:w="3538"/>
        <w:gridCol w:w="1440"/>
      </w:tblGrid>
      <w:tr>
        <w:trPr>
          <w:trHeight w:val="206" w:hRule="atLeast"/>
        </w:trPr>
        <w:tc>
          <w:tcPr>
            <w:tcW w:w="4604" w:type="dxa"/>
            <w:gridSpan w:val="2"/>
          </w:tcPr>
          <w:p>
            <w:pPr>
              <w:pStyle w:val="TableParagraph"/>
              <w:spacing w:line="171" w:lineRule="exact"/>
              <w:ind w:left="50"/>
              <w:rPr>
                <w:sz w:val="15"/>
              </w:rPr>
            </w:pPr>
            <w:r>
              <w:rPr>
                <w:sz w:val="15"/>
              </w:rPr>
              <w:t>177 RENACERES</w:t>
            </w:r>
          </w:p>
        </w:tc>
        <w:tc>
          <w:tcPr>
            <w:tcW w:w="3881" w:type="dxa"/>
          </w:tcPr>
          <w:p>
            <w:pPr>
              <w:pStyle w:val="TableParagraph"/>
              <w:spacing w:line="167" w:lineRule="exact" w:before="20"/>
              <w:ind w:left="49"/>
              <w:rPr>
                <w:sz w:val="15"/>
              </w:rPr>
            </w:pPr>
            <w:r>
              <w:rPr>
                <w:sz w:val="15"/>
              </w:rPr>
              <w:t>$ 78.00</w:t>
            </w:r>
          </w:p>
        </w:tc>
        <w:tc>
          <w:tcPr>
            <w:tcW w:w="3507" w:type="dxa"/>
          </w:tcPr>
          <w:p>
            <w:pPr>
              <w:pStyle w:val="TableParagraph"/>
              <w:spacing w:line="171" w:lineRule="exact"/>
              <w:ind w:right="61"/>
              <w:jc w:val="right"/>
              <w:rPr>
                <w:sz w:val="15"/>
              </w:rPr>
            </w:pPr>
            <w:r>
              <w:rPr>
                <w:sz w:val="15"/>
              </w:rPr>
              <w:t>220</w:t>
            </w:r>
          </w:p>
        </w:tc>
        <w:tc>
          <w:tcPr>
            <w:tcW w:w="3538" w:type="dxa"/>
          </w:tcPr>
          <w:p>
            <w:pPr>
              <w:pStyle w:val="TableParagraph"/>
              <w:spacing w:line="171" w:lineRule="exact"/>
              <w:ind w:left="60"/>
              <w:rPr>
                <w:sz w:val="15"/>
              </w:rPr>
            </w:pPr>
            <w:r>
              <w:rPr>
                <w:sz w:val="15"/>
              </w:rPr>
              <w:t>VILLA FONTANA AQUA</w:t>
            </w:r>
          </w:p>
        </w:tc>
        <w:tc>
          <w:tcPr>
            <w:tcW w:w="1440" w:type="dxa"/>
          </w:tcPr>
          <w:p>
            <w:pPr>
              <w:pStyle w:val="TableParagraph"/>
              <w:spacing w:line="167" w:lineRule="exact" w:before="20"/>
              <w:ind w:right="50"/>
              <w:jc w:val="right"/>
              <w:rPr>
                <w:sz w:val="15"/>
              </w:rPr>
            </w:pPr>
            <w:r>
              <w:rPr>
                <w:sz w:val="15"/>
              </w:rPr>
              <w:t>$ 78.00</w:t>
            </w:r>
          </w:p>
        </w:tc>
      </w:tr>
      <w:tr>
        <w:trPr>
          <w:trHeight w:val="220" w:hRule="atLeast"/>
        </w:trPr>
        <w:tc>
          <w:tcPr>
            <w:tcW w:w="4604" w:type="dxa"/>
            <w:gridSpan w:val="2"/>
          </w:tcPr>
          <w:p>
            <w:pPr>
              <w:pStyle w:val="TableParagraph"/>
              <w:spacing w:before="11"/>
              <w:ind w:left="50"/>
              <w:rPr>
                <w:sz w:val="15"/>
              </w:rPr>
            </w:pPr>
            <w:r>
              <w:rPr>
                <w:sz w:val="15"/>
              </w:rPr>
              <w:t>178 RESIDENCIAL BAMBU</w:t>
            </w:r>
          </w:p>
        </w:tc>
        <w:tc>
          <w:tcPr>
            <w:tcW w:w="3881" w:type="dxa"/>
          </w:tcPr>
          <w:p>
            <w:pPr>
              <w:pStyle w:val="TableParagraph"/>
              <w:spacing w:line="167" w:lineRule="exact" w:before="33"/>
              <w:ind w:left="49"/>
              <w:rPr>
                <w:sz w:val="15"/>
              </w:rPr>
            </w:pPr>
            <w:r>
              <w:rPr>
                <w:sz w:val="15"/>
              </w:rPr>
              <w:t>$ 167.00</w:t>
            </w:r>
          </w:p>
        </w:tc>
        <w:tc>
          <w:tcPr>
            <w:tcW w:w="3507" w:type="dxa"/>
          </w:tcPr>
          <w:p>
            <w:pPr>
              <w:pStyle w:val="TableParagraph"/>
              <w:spacing w:before="11"/>
              <w:ind w:right="61"/>
              <w:jc w:val="right"/>
              <w:rPr>
                <w:sz w:val="15"/>
              </w:rPr>
            </w:pPr>
            <w:r>
              <w:rPr>
                <w:sz w:val="15"/>
              </w:rPr>
              <w:t>221</w:t>
            </w:r>
          </w:p>
        </w:tc>
        <w:tc>
          <w:tcPr>
            <w:tcW w:w="3538" w:type="dxa"/>
          </w:tcPr>
          <w:p>
            <w:pPr>
              <w:pStyle w:val="TableParagraph"/>
              <w:spacing w:before="11"/>
              <w:ind w:left="60"/>
              <w:rPr>
                <w:sz w:val="15"/>
              </w:rPr>
            </w:pPr>
            <w:r>
              <w:rPr>
                <w:sz w:val="15"/>
              </w:rPr>
              <w:t>VILLA GALICIA</w:t>
            </w:r>
          </w:p>
        </w:tc>
        <w:tc>
          <w:tcPr>
            <w:tcW w:w="1440" w:type="dxa"/>
          </w:tcPr>
          <w:p>
            <w:pPr>
              <w:pStyle w:val="TableParagraph"/>
              <w:spacing w:line="167" w:lineRule="exact" w:before="33"/>
              <w:ind w:right="50"/>
              <w:jc w:val="right"/>
              <w:rPr>
                <w:sz w:val="15"/>
              </w:rPr>
            </w:pPr>
            <w:r>
              <w:rPr>
                <w:sz w:val="15"/>
              </w:rPr>
              <w:t>$ 74.00</w:t>
            </w:r>
          </w:p>
        </w:tc>
      </w:tr>
      <w:tr>
        <w:trPr>
          <w:trHeight w:val="220" w:hRule="atLeast"/>
        </w:trPr>
        <w:tc>
          <w:tcPr>
            <w:tcW w:w="4604" w:type="dxa"/>
            <w:gridSpan w:val="2"/>
          </w:tcPr>
          <w:p>
            <w:pPr>
              <w:pStyle w:val="TableParagraph"/>
              <w:spacing w:before="12"/>
              <w:ind w:left="50"/>
              <w:rPr>
                <w:sz w:val="15"/>
              </w:rPr>
            </w:pPr>
            <w:r>
              <w:rPr>
                <w:sz w:val="15"/>
              </w:rPr>
              <w:t>179 RESIDENCIAL JARDIN DEL EDEN</w:t>
            </w:r>
          </w:p>
        </w:tc>
        <w:tc>
          <w:tcPr>
            <w:tcW w:w="3881" w:type="dxa"/>
          </w:tcPr>
          <w:p>
            <w:pPr>
              <w:pStyle w:val="TableParagraph"/>
              <w:spacing w:line="167" w:lineRule="exact" w:before="34"/>
              <w:ind w:left="49"/>
              <w:rPr>
                <w:sz w:val="15"/>
              </w:rPr>
            </w:pPr>
            <w:r>
              <w:rPr>
                <w:sz w:val="15"/>
              </w:rPr>
              <w:t>$ 63.00</w:t>
            </w:r>
          </w:p>
        </w:tc>
        <w:tc>
          <w:tcPr>
            <w:tcW w:w="3507" w:type="dxa"/>
          </w:tcPr>
          <w:p>
            <w:pPr>
              <w:pStyle w:val="TableParagraph"/>
              <w:spacing w:before="12"/>
              <w:ind w:right="61"/>
              <w:jc w:val="right"/>
              <w:rPr>
                <w:sz w:val="15"/>
              </w:rPr>
            </w:pPr>
            <w:r>
              <w:rPr>
                <w:sz w:val="15"/>
              </w:rPr>
              <w:t>222</w:t>
            </w:r>
          </w:p>
        </w:tc>
        <w:tc>
          <w:tcPr>
            <w:tcW w:w="3538" w:type="dxa"/>
          </w:tcPr>
          <w:p>
            <w:pPr>
              <w:pStyle w:val="TableParagraph"/>
              <w:spacing w:before="12"/>
              <w:ind w:left="60"/>
              <w:rPr>
                <w:sz w:val="15"/>
              </w:rPr>
            </w:pPr>
            <w:r>
              <w:rPr>
                <w:sz w:val="15"/>
              </w:rPr>
              <w:t>VILLA QUINTANA</w:t>
            </w:r>
          </w:p>
        </w:tc>
        <w:tc>
          <w:tcPr>
            <w:tcW w:w="1440" w:type="dxa"/>
          </w:tcPr>
          <w:p>
            <w:pPr>
              <w:pStyle w:val="TableParagraph"/>
              <w:spacing w:line="167" w:lineRule="exact" w:before="34"/>
              <w:ind w:right="50"/>
              <w:jc w:val="right"/>
              <w:rPr>
                <w:sz w:val="15"/>
              </w:rPr>
            </w:pPr>
            <w:r>
              <w:rPr>
                <w:sz w:val="15"/>
              </w:rPr>
              <w:t>$ 81.00</w:t>
            </w:r>
          </w:p>
        </w:tc>
      </w:tr>
      <w:tr>
        <w:trPr>
          <w:trHeight w:val="220" w:hRule="atLeast"/>
        </w:trPr>
        <w:tc>
          <w:tcPr>
            <w:tcW w:w="4604" w:type="dxa"/>
            <w:gridSpan w:val="2"/>
          </w:tcPr>
          <w:p>
            <w:pPr>
              <w:pStyle w:val="TableParagraph"/>
              <w:spacing w:before="11"/>
              <w:ind w:left="50"/>
              <w:rPr>
                <w:sz w:val="15"/>
              </w:rPr>
            </w:pPr>
            <w:r>
              <w:rPr>
                <w:sz w:val="15"/>
              </w:rPr>
              <w:t>180 RESIDENCIAL LA MORA</w:t>
            </w:r>
          </w:p>
        </w:tc>
        <w:tc>
          <w:tcPr>
            <w:tcW w:w="3881" w:type="dxa"/>
          </w:tcPr>
          <w:p>
            <w:pPr>
              <w:pStyle w:val="TableParagraph"/>
              <w:spacing w:line="167" w:lineRule="exact" w:before="33"/>
              <w:ind w:left="49"/>
              <w:rPr>
                <w:sz w:val="15"/>
              </w:rPr>
            </w:pPr>
            <w:r>
              <w:rPr>
                <w:sz w:val="15"/>
              </w:rPr>
              <w:t>$ 166.00</w:t>
            </w:r>
          </w:p>
        </w:tc>
        <w:tc>
          <w:tcPr>
            <w:tcW w:w="3507" w:type="dxa"/>
          </w:tcPr>
          <w:p>
            <w:pPr>
              <w:pStyle w:val="TableParagraph"/>
              <w:spacing w:before="11"/>
              <w:ind w:right="61"/>
              <w:jc w:val="right"/>
              <w:rPr>
                <w:sz w:val="15"/>
              </w:rPr>
            </w:pPr>
            <w:r>
              <w:rPr>
                <w:sz w:val="15"/>
              </w:rPr>
              <w:t>223</w:t>
            </w:r>
          </w:p>
        </w:tc>
        <w:tc>
          <w:tcPr>
            <w:tcW w:w="3538" w:type="dxa"/>
          </w:tcPr>
          <w:p>
            <w:pPr>
              <w:pStyle w:val="TableParagraph"/>
              <w:spacing w:before="11"/>
              <w:ind w:left="60"/>
              <w:rPr>
                <w:sz w:val="15"/>
              </w:rPr>
            </w:pPr>
            <w:r>
              <w:rPr>
                <w:sz w:val="15"/>
              </w:rPr>
              <w:t>VILLANOVA</w:t>
            </w:r>
          </w:p>
        </w:tc>
        <w:tc>
          <w:tcPr>
            <w:tcW w:w="1440" w:type="dxa"/>
          </w:tcPr>
          <w:p>
            <w:pPr>
              <w:pStyle w:val="TableParagraph"/>
              <w:spacing w:line="167" w:lineRule="exact" w:before="33"/>
              <w:ind w:right="50"/>
              <w:jc w:val="right"/>
              <w:rPr>
                <w:sz w:val="15"/>
              </w:rPr>
            </w:pPr>
            <w:r>
              <w:rPr>
                <w:sz w:val="15"/>
              </w:rPr>
              <w:t>$ 78.00</w:t>
            </w:r>
          </w:p>
        </w:tc>
      </w:tr>
      <w:tr>
        <w:trPr>
          <w:trHeight w:val="220" w:hRule="atLeast"/>
        </w:trPr>
        <w:tc>
          <w:tcPr>
            <w:tcW w:w="4604" w:type="dxa"/>
            <w:gridSpan w:val="2"/>
          </w:tcPr>
          <w:p>
            <w:pPr>
              <w:pStyle w:val="TableParagraph"/>
              <w:spacing w:before="12"/>
              <w:ind w:left="50"/>
              <w:rPr>
                <w:sz w:val="15"/>
              </w:rPr>
            </w:pPr>
            <w:r>
              <w:rPr>
                <w:sz w:val="15"/>
              </w:rPr>
              <w:t>181 RESIDENCIAL LAS MORAS</w:t>
            </w:r>
          </w:p>
        </w:tc>
        <w:tc>
          <w:tcPr>
            <w:tcW w:w="3881" w:type="dxa"/>
          </w:tcPr>
          <w:p>
            <w:pPr>
              <w:pStyle w:val="TableParagraph"/>
              <w:spacing w:line="167" w:lineRule="exact" w:before="34"/>
              <w:ind w:left="49"/>
              <w:rPr>
                <w:sz w:val="15"/>
              </w:rPr>
            </w:pPr>
            <w:r>
              <w:rPr>
                <w:sz w:val="15"/>
              </w:rPr>
              <w:t>$ 166.00</w:t>
            </w:r>
          </w:p>
        </w:tc>
        <w:tc>
          <w:tcPr>
            <w:tcW w:w="3507" w:type="dxa"/>
          </w:tcPr>
          <w:p>
            <w:pPr>
              <w:pStyle w:val="TableParagraph"/>
              <w:spacing w:before="12"/>
              <w:ind w:right="61"/>
              <w:jc w:val="right"/>
              <w:rPr>
                <w:sz w:val="15"/>
              </w:rPr>
            </w:pPr>
            <w:r>
              <w:rPr>
                <w:sz w:val="15"/>
              </w:rPr>
              <w:t>224</w:t>
            </w:r>
          </w:p>
        </w:tc>
        <w:tc>
          <w:tcPr>
            <w:tcW w:w="3538" w:type="dxa"/>
          </w:tcPr>
          <w:p>
            <w:pPr>
              <w:pStyle w:val="TableParagraph"/>
              <w:spacing w:before="12"/>
              <w:ind w:left="60"/>
              <w:rPr>
                <w:sz w:val="15"/>
              </w:rPr>
            </w:pPr>
            <w:r>
              <w:rPr>
                <w:sz w:val="15"/>
              </w:rPr>
              <w:t>VILLAS CALIFORNIA</w:t>
            </w:r>
          </w:p>
        </w:tc>
        <w:tc>
          <w:tcPr>
            <w:tcW w:w="1440" w:type="dxa"/>
          </w:tcPr>
          <w:p>
            <w:pPr>
              <w:pStyle w:val="TableParagraph"/>
              <w:spacing w:line="167" w:lineRule="exact" w:before="34"/>
              <w:ind w:right="50"/>
              <w:jc w:val="right"/>
              <w:rPr>
                <w:sz w:val="15"/>
              </w:rPr>
            </w:pPr>
            <w:r>
              <w:rPr>
                <w:sz w:val="15"/>
              </w:rPr>
              <w:t>$ 158.00</w:t>
            </w:r>
          </w:p>
        </w:tc>
      </w:tr>
      <w:tr>
        <w:trPr>
          <w:trHeight w:val="220" w:hRule="atLeast"/>
        </w:trPr>
        <w:tc>
          <w:tcPr>
            <w:tcW w:w="4604" w:type="dxa"/>
            <w:gridSpan w:val="2"/>
          </w:tcPr>
          <w:p>
            <w:pPr>
              <w:pStyle w:val="TableParagraph"/>
              <w:spacing w:before="11"/>
              <w:ind w:left="50"/>
              <w:rPr>
                <w:sz w:val="15"/>
              </w:rPr>
            </w:pPr>
            <w:r>
              <w:rPr>
                <w:sz w:val="15"/>
              </w:rPr>
              <w:t>182 RESIDENCIAL LOS PINOS</w:t>
            </w:r>
          </w:p>
        </w:tc>
        <w:tc>
          <w:tcPr>
            <w:tcW w:w="3881" w:type="dxa"/>
          </w:tcPr>
          <w:p>
            <w:pPr>
              <w:pStyle w:val="TableParagraph"/>
              <w:spacing w:line="167" w:lineRule="exact" w:before="33"/>
              <w:ind w:left="49"/>
              <w:rPr>
                <w:sz w:val="15"/>
              </w:rPr>
            </w:pPr>
            <w:r>
              <w:rPr>
                <w:sz w:val="15"/>
              </w:rPr>
              <w:t>$ 78.00</w:t>
            </w:r>
          </w:p>
        </w:tc>
        <w:tc>
          <w:tcPr>
            <w:tcW w:w="3507" w:type="dxa"/>
          </w:tcPr>
          <w:p>
            <w:pPr>
              <w:pStyle w:val="TableParagraph"/>
              <w:spacing w:before="11"/>
              <w:ind w:right="61"/>
              <w:jc w:val="right"/>
              <w:rPr>
                <w:sz w:val="15"/>
              </w:rPr>
            </w:pPr>
            <w:r>
              <w:rPr>
                <w:sz w:val="15"/>
              </w:rPr>
              <w:t>225</w:t>
            </w:r>
          </w:p>
        </w:tc>
        <w:tc>
          <w:tcPr>
            <w:tcW w:w="3538" w:type="dxa"/>
          </w:tcPr>
          <w:p>
            <w:pPr>
              <w:pStyle w:val="TableParagraph"/>
              <w:spacing w:before="11"/>
              <w:ind w:left="60"/>
              <w:rPr>
                <w:sz w:val="15"/>
              </w:rPr>
            </w:pPr>
            <w:r>
              <w:rPr>
                <w:sz w:val="15"/>
              </w:rPr>
              <w:t>VILLAS DE LA ALAMEDA</w:t>
            </w:r>
          </w:p>
        </w:tc>
        <w:tc>
          <w:tcPr>
            <w:tcW w:w="1440" w:type="dxa"/>
          </w:tcPr>
          <w:p>
            <w:pPr>
              <w:pStyle w:val="TableParagraph"/>
              <w:spacing w:line="167" w:lineRule="exact" w:before="33"/>
              <w:ind w:right="50"/>
              <w:jc w:val="right"/>
              <w:rPr>
                <w:sz w:val="15"/>
              </w:rPr>
            </w:pPr>
            <w:r>
              <w:rPr>
                <w:sz w:val="15"/>
              </w:rPr>
              <w:t>$ 66.00</w:t>
            </w:r>
          </w:p>
        </w:tc>
      </w:tr>
      <w:tr>
        <w:trPr>
          <w:trHeight w:val="220" w:hRule="atLeast"/>
        </w:trPr>
        <w:tc>
          <w:tcPr>
            <w:tcW w:w="4604" w:type="dxa"/>
            <w:gridSpan w:val="2"/>
          </w:tcPr>
          <w:p>
            <w:pPr>
              <w:pStyle w:val="TableParagraph"/>
              <w:spacing w:before="12"/>
              <w:ind w:left="50"/>
              <w:rPr>
                <w:sz w:val="15"/>
              </w:rPr>
            </w:pPr>
            <w:r>
              <w:rPr>
                <w:sz w:val="15"/>
              </w:rPr>
              <w:t>183 RESIDENCIAL SAN ANTONIO</w:t>
            </w:r>
          </w:p>
        </w:tc>
        <w:tc>
          <w:tcPr>
            <w:tcW w:w="3881" w:type="dxa"/>
          </w:tcPr>
          <w:p>
            <w:pPr>
              <w:pStyle w:val="TableParagraph"/>
              <w:spacing w:line="167" w:lineRule="exact" w:before="34"/>
              <w:ind w:left="49"/>
              <w:rPr>
                <w:sz w:val="15"/>
              </w:rPr>
            </w:pPr>
            <w:r>
              <w:rPr>
                <w:sz w:val="15"/>
              </w:rPr>
              <w:t>$ 74.00</w:t>
            </w:r>
          </w:p>
        </w:tc>
        <w:tc>
          <w:tcPr>
            <w:tcW w:w="3507" w:type="dxa"/>
          </w:tcPr>
          <w:p>
            <w:pPr>
              <w:pStyle w:val="TableParagraph"/>
              <w:spacing w:before="12"/>
              <w:ind w:right="61"/>
              <w:jc w:val="right"/>
              <w:rPr>
                <w:sz w:val="15"/>
              </w:rPr>
            </w:pPr>
            <w:r>
              <w:rPr>
                <w:sz w:val="15"/>
              </w:rPr>
              <w:t>226</w:t>
            </w:r>
          </w:p>
        </w:tc>
        <w:tc>
          <w:tcPr>
            <w:tcW w:w="3538" w:type="dxa"/>
          </w:tcPr>
          <w:p>
            <w:pPr>
              <w:pStyle w:val="TableParagraph"/>
              <w:spacing w:before="12"/>
              <w:ind w:left="60"/>
              <w:rPr>
                <w:sz w:val="15"/>
              </w:rPr>
            </w:pPr>
            <w:r>
              <w:rPr>
                <w:sz w:val="15"/>
              </w:rPr>
              <w:t>VILLAS DE LA HACIENDA</w:t>
            </w:r>
          </w:p>
        </w:tc>
        <w:tc>
          <w:tcPr>
            <w:tcW w:w="1440" w:type="dxa"/>
          </w:tcPr>
          <w:p>
            <w:pPr>
              <w:pStyle w:val="TableParagraph"/>
              <w:spacing w:line="167" w:lineRule="exact" w:before="34"/>
              <w:ind w:right="50"/>
              <w:jc w:val="right"/>
              <w:rPr>
                <w:sz w:val="15"/>
              </w:rPr>
            </w:pPr>
            <w:r>
              <w:rPr>
                <w:sz w:val="15"/>
              </w:rPr>
              <w:t>$ 63.00</w:t>
            </w:r>
          </w:p>
        </w:tc>
      </w:tr>
      <w:tr>
        <w:trPr>
          <w:trHeight w:val="220" w:hRule="atLeast"/>
        </w:trPr>
        <w:tc>
          <w:tcPr>
            <w:tcW w:w="4604" w:type="dxa"/>
            <w:gridSpan w:val="2"/>
          </w:tcPr>
          <w:p>
            <w:pPr>
              <w:pStyle w:val="TableParagraph"/>
              <w:spacing w:before="11"/>
              <w:ind w:left="50"/>
              <w:rPr>
                <w:sz w:val="15"/>
              </w:rPr>
            </w:pPr>
            <w:r>
              <w:rPr>
                <w:sz w:val="15"/>
              </w:rPr>
              <w:t>184 RESIDENCIAL SAN DIEGO</w:t>
            </w:r>
          </w:p>
        </w:tc>
        <w:tc>
          <w:tcPr>
            <w:tcW w:w="3881" w:type="dxa"/>
          </w:tcPr>
          <w:p>
            <w:pPr>
              <w:pStyle w:val="TableParagraph"/>
              <w:spacing w:line="167" w:lineRule="exact" w:before="33"/>
              <w:ind w:left="49"/>
              <w:rPr>
                <w:sz w:val="15"/>
              </w:rPr>
            </w:pPr>
            <w:r>
              <w:rPr>
                <w:sz w:val="15"/>
              </w:rPr>
              <w:t>$ 132.00</w:t>
            </w:r>
          </w:p>
        </w:tc>
        <w:tc>
          <w:tcPr>
            <w:tcW w:w="3507" w:type="dxa"/>
          </w:tcPr>
          <w:p>
            <w:pPr>
              <w:pStyle w:val="TableParagraph"/>
              <w:spacing w:before="11"/>
              <w:ind w:right="61"/>
              <w:jc w:val="right"/>
              <w:rPr>
                <w:sz w:val="15"/>
              </w:rPr>
            </w:pPr>
            <w:r>
              <w:rPr>
                <w:sz w:val="15"/>
              </w:rPr>
              <w:t>227</w:t>
            </w:r>
          </w:p>
        </w:tc>
        <w:tc>
          <w:tcPr>
            <w:tcW w:w="3538" w:type="dxa"/>
          </w:tcPr>
          <w:p>
            <w:pPr>
              <w:pStyle w:val="TableParagraph"/>
              <w:spacing w:before="11"/>
              <w:ind w:left="60"/>
              <w:rPr>
                <w:sz w:val="15"/>
              </w:rPr>
            </w:pPr>
            <w:r>
              <w:rPr>
                <w:sz w:val="15"/>
              </w:rPr>
              <w:t>VILLAS DE LA TIJERA</w:t>
            </w:r>
          </w:p>
        </w:tc>
        <w:tc>
          <w:tcPr>
            <w:tcW w:w="1440" w:type="dxa"/>
          </w:tcPr>
          <w:p>
            <w:pPr>
              <w:pStyle w:val="TableParagraph"/>
              <w:spacing w:line="167" w:lineRule="exact" w:before="33"/>
              <w:ind w:right="50"/>
              <w:jc w:val="right"/>
              <w:rPr>
                <w:sz w:val="15"/>
              </w:rPr>
            </w:pPr>
            <w:r>
              <w:rPr>
                <w:sz w:val="15"/>
              </w:rPr>
              <w:t>$ 78.00</w:t>
            </w:r>
          </w:p>
        </w:tc>
      </w:tr>
      <w:tr>
        <w:trPr>
          <w:trHeight w:val="220" w:hRule="atLeast"/>
        </w:trPr>
        <w:tc>
          <w:tcPr>
            <w:tcW w:w="4604" w:type="dxa"/>
            <w:gridSpan w:val="2"/>
          </w:tcPr>
          <w:p>
            <w:pPr>
              <w:pStyle w:val="TableParagraph"/>
              <w:spacing w:before="12"/>
              <w:ind w:left="50"/>
              <w:rPr>
                <w:sz w:val="15"/>
              </w:rPr>
            </w:pPr>
            <w:r>
              <w:rPr>
                <w:sz w:val="15"/>
              </w:rPr>
              <w:t>185 RESIDENCIAL SAN JOSE</w:t>
            </w:r>
          </w:p>
        </w:tc>
        <w:tc>
          <w:tcPr>
            <w:tcW w:w="3881" w:type="dxa"/>
          </w:tcPr>
          <w:p>
            <w:pPr>
              <w:pStyle w:val="TableParagraph"/>
              <w:spacing w:line="167" w:lineRule="exact" w:before="34"/>
              <w:ind w:left="49"/>
              <w:rPr>
                <w:sz w:val="15"/>
              </w:rPr>
            </w:pPr>
            <w:r>
              <w:rPr>
                <w:sz w:val="15"/>
              </w:rPr>
              <w:t>$ 78.00</w:t>
            </w:r>
          </w:p>
        </w:tc>
        <w:tc>
          <w:tcPr>
            <w:tcW w:w="3507" w:type="dxa"/>
          </w:tcPr>
          <w:p>
            <w:pPr>
              <w:pStyle w:val="TableParagraph"/>
              <w:spacing w:before="12"/>
              <w:ind w:right="61"/>
              <w:jc w:val="right"/>
              <w:rPr>
                <w:sz w:val="15"/>
              </w:rPr>
            </w:pPr>
            <w:r>
              <w:rPr>
                <w:sz w:val="15"/>
              </w:rPr>
              <w:t>228</w:t>
            </w:r>
          </w:p>
        </w:tc>
        <w:tc>
          <w:tcPr>
            <w:tcW w:w="3538" w:type="dxa"/>
          </w:tcPr>
          <w:p>
            <w:pPr>
              <w:pStyle w:val="TableParagraph"/>
              <w:spacing w:before="12"/>
              <w:ind w:left="60"/>
              <w:rPr>
                <w:sz w:val="15"/>
              </w:rPr>
            </w:pPr>
            <w:r>
              <w:rPr>
                <w:sz w:val="15"/>
              </w:rPr>
              <w:t>VILLAS DE SAN AGUSTIN</w:t>
            </w:r>
          </w:p>
        </w:tc>
        <w:tc>
          <w:tcPr>
            <w:tcW w:w="1440" w:type="dxa"/>
          </w:tcPr>
          <w:p>
            <w:pPr>
              <w:pStyle w:val="TableParagraph"/>
              <w:spacing w:line="167" w:lineRule="exact" w:before="34"/>
              <w:ind w:right="50"/>
              <w:jc w:val="right"/>
              <w:rPr>
                <w:sz w:val="15"/>
              </w:rPr>
            </w:pPr>
            <w:r>
              <w:rPr>
                <w:sz w:val="15"/>
              </w:rPr>
              <w:t>$ 82.00</w:t>
            </w:r>
          </w:p>
        </w:tc>
      </w:tr>
      <w:tr>
        <w:trPr>
          <w:trHeight w:val="220" w:hRule="atLeast"/>
        </w:trPr>
        <w:tc>
          <w:tcPr>
            <w:tcW w:w="4604" w:type="dxa"/>
            <w:gridSpan w:val="2"/>
          </w:tcPr>
          <w:p>
            <w:pPr>
              <w:pStyle w:val="TableParagraph"/>
              <w:spacing w:before="11"/>
              <w:ind w:left="50"/>
              <w:rPr>
                <w:sz w:val="15"/>
              </w:rPr>
            </w:pPr>
            <w:r>
              <w:rPr>
                <w:sz w:val="15"/>
              </w:rPr>
              <w:t>186 RESIDENCIAL SAN MIGUEL</w:t>
            </w:r>
          </w:p>
        </w:tc>
        <w:tc>
          <w:tcPr>
            <w:tcW w:w="3881" w:type="dxa"/>
          </w:tcPr>
          <w:p>
            <w:pPr>
              <w:pStyle w:val="TableParagraph"/>
              <w:spacing w:line="167" w:lineRule="exact" w:before="33"/>
              <w:ind w:left="49"/>
              <w:rPr>
                <w:sz w:val="15"/>
              </w:rPr>
            </w:pPr>
            <w:r>
              <w:rPr>
                <w:sz w:val="15"/>
              </w:rPr>
              <w:t>$ 95.00</w:t>
            </w:r>
          </w:p>
        </w:tc>
        <w:tc>
          <w:tcPr>
            <w:tcW w:w="3507" w:type="dxa"/>
          </w:tcPr>
          <w:p>
            <w:pPr>
              <w:pStyle w:val="TableParagraph"/>
              <w:spacing w:before="11"/>
              <w:ind w:right="61"/>
              <w:jc w:val="right"/>
              <w:rPr>
                <w:sz w:val="15"/>
              </w:rPr>
            </w:pPr>
            <w:r>
              <w:rPr>
                <w:sz w:val="15"/>
              </w:rPr>
              <w:t>229</w:t>
            </w:r>
          </w:p>
        </w:tc>
        <w:tc>
          <w:tcPr>
            <w:tcW w:w="3538" w:type="dxa"/>
          </w:tcPr>
          <w:p>
            <w:pPr>
              <w:pStyle w:val="TableParagraph"/>
              <w:spacing w:before="11"/>
              <w:ind w:left="60"/>
              <w:rPr>
                <w:sz w:val="15"/>
              </w:rPr>
            </w:pPr>
            <w:r>
              <w:rPr>
                <w:sz w:val="15"/>
              </w:rPr>
              <w:t>VILLAS DE SAN GILBERTO I</w:t>
            </w:r>
          </w:p>
        </w:tc>
        <w:tc>
          <w:tcPr>
            <w:tcW w:w="1440" w:type="dxa"/>
          </w:tcPr>
          <w:p>
            <w:pPr>
              <w:pStyle w:val="TableParagraph"/>
              <w:spacing w:line="167" w:lineRule="exact" w:before="33"/>
              <w:ind w:right="50"/>
              <w:jc w:val="right"/>
              <w:rPr>
                <w:sz w:val="15"/>
              </w:rPr>
            </w:pPr>
            <w:r>
              <w:rPr>
                <w:sz w:val="15"/>
              </w:rPr>
              <w:t>$ 92.00</w:t>
            </w:r>
          </w:p>
        </w:tc>
      </w:tr>
      <w:tr>
        <w:trPr>
          <w:trHeight w:val="220" w:hRule="atLeast"/>
        </w:trPr>
        <w:tc>
          <w:tcPr>
            <w:tcW w:w="4604" w:type="dxa"/>
            <w:gridSpan w:val="2"/>
          </w:tcPr>
          <w:p>
            <w:pPr>
              <w:pStyle w:val="TableParagraph"/>
              <w:spacing w:before="12"/>
              <w:ind w:left="50"/>
              <w:rPr>
                <w:sz w:val="15"/>
              </w:rPr>
            </w:pPr>
            <w:r>
              <w:rPr>
                <w:sz w:val="15"/>
              </w:rPr>
              <w:t>187 RESIDENCIAL SAN PABLO</w:t>
            </w:r>
          </w:p>
        </w:tc>
        <w:tc>
          <w:tcPr>
            <w:tcW w:w="3881" w:type="dxa"/>
          </w:tcPr>
          <w:p>
            <w:pPr>
              <w:pStyle w:val="TableParagraph"/>
              <w:spacing w:line="167" w:lineRule="exact" w:before="34"/>
              <w:ind w:left="49"/>
              <w:rPr>
                <w:sz w:val="15"/>
              </w:rPr>
            </w:pPr>
            <w:r>
              <w:rPr>
                <w:sz w:val="15"/>
              </w:rPr>
              <w:t>$ 78.00</w:t>
            </w:r>
          </w:p>
        </w:tc>
        <w:tc>
          <w:tcPr>
            <w:tcW w:w="3507" w:type="dxa"/>
          </w:tcPr>
          <w:p>
            <w:pPr>
              <w:pStyle w:val="TableParagraph"/>
              <w:spacing w:before="12"/>
              <w:ind w:right="61"/>
              <w:jc w:val="right"/>
              <w:rPr>
                <w:sz w:val="15"/>
              </w:rPr>
            </w:pPr>
            <w:r>
              <w:rPr>
                <w:sz w:val="15"/>
              </w:rPr>
              <w:t>230</w:t>
            </w:r>
          </w:p>
        </w:tc>
        <w:tc>
          <w:tcPr>
            <w:tcW w:w="3538" w:type="dxa"/>
          </w:tcPr>
          <w:p>
            <w:pPr>
              <w:pStyle w:val="TableParagraph"/>
              <w:spacing w:before="12"/>
              <w:ind w:left="60"/>
              <w:rPr>
                <w:sz w:val="15"/>
              </w:rPr>
            </w:pPr>
            <w:r>
              <w:rPr>
                <w:sz w:val="15"/>
              </w:rPr>
              <w:t>VILLAS DE SAN MARTIN</w:t>
            </w:r>
          </w:p>
        </w:tc>
        <w:tc>
          <w:tcPr>
            <w:tcW w:w="1440" w:type="dxa"/>
          </w:tcPr>
          <w:p>
            <w:pPr>
              <w:pStyle w:val="TableParagraph"/>
              <w:spacing w:line="167" w:lineRule="exact" w:before="34"/>
              <w:ind w:right="50"/>
              <w:jc w:val="right"/>
              <w:rPr>
                <w:sz w:val="15"/>
              </w:rPr>
            </w:pPr>
            <w:r>
              <w:rPr>
                <w:sz w:val="15"/>
              </w:rPr>
              <w:t>$ 78.00</w:t>
            </w:r>
          </w:p>
        </w:tc>
      </w:tr>
      <w:tr>
        <w:trPr>
          <w:trHeight w:val="220" w:hRule="atLeast"/>
        </w:trPr>
        <w:tc>
          <w:tcPr>
            <w:tcW w:w="4604" w:type="dxa"/>
            <w:gridSpan w:val="2"/>
          </w:tcPr>
          <w:p>
            <w:pPr>
              <w:pStyle w:val="TableParagraph"/>
              <w:spacing w:before="11"/>
              <w:ind w:left="50"/>
              <w:rPr>
                <w:sz w:val="15"/>
              </w:rPr>
            </w:pPr>
            <w:r>
              <w:rPr>
                <w:sz w:val="15"/>
              </w:rPr>
              <w:t>188 RESIDENCIAL SAN SEBASTIAN</w:t>
            </w:r>
          </w:p>
        </w:tc>
        <w:tc>
          <w:tcPr>
            <w:tcW w:w="3881" w:type="dxa"/>
          </w:tcPr>
          <w:p>
            <w:pPr>
              <w:pStyle w:val="TableParagraph"/>
              <w:spacing w:line="167" w:lineRule="exact" w:before="33"/>
              <w:ind w:left="49"/>
              <w:rPr>
                <w:sz w:val="15"/>
              </w:rPr>
            </w:pPr>
            <w:r>
              <w:rPr>
                <w:sz w:val="15"/>
              </w:rPr>
              <w:t>$ 74.00</w:t>
            </w:r>
          </w:p>
        </w:tc>
        <w:tc>
          <w:tcPr>
            <w:tcW w:w="3507" w:type="dxa"/>
          </w:tcPr>
          <w:p>
            <w:pPr>
              <w:pStyle w:val="TableParagraph"/>
              <w:spacing w:before="11"/>
              <w:ind w:right="61"/>
              <w:jc w:val="right"/>
              <w:rPr>
                <w:sz w:val="15"/>
              </w:rPr>
            </w:pPr>
            <w:r>
              <w:rPr>
                <w:sz w:val="15"/>
              </w:rPr>
              <w:t>231</w:t>
            </w:r>
          </w:p>
        </w:tc>
        <w:tc>
          <w:tcPr>
            <w:tcW w:w="3538" w:type="dxa"/>
          </w:tcPr>
          <w:p>
            <w:pPr>
              <w:pStyle w:val="TableParagraph"/>
              <w:spacing w:before="11"/>
              <w:ind w:left="60"/>
              <w:rPr>
                <w:sz w:val="15"/>
              </w:rPr>
            </w:pPr>
            <w:r>
              <w:rPr>
                <w:sz w:val="15"/>
              </w:rPr>
              <w:t>VILLAS DE SAN SEBASTIAN G Y G</w:t>
            </w:r>
          </w:p>
        </w:tc>
        <w:tc>
          <w:tcPr>
            <w:tcW w:w="1440" w:type="dxa"/>
          </w:tcPr>
          <w:p>
            <w:pPr>
              <w:pStyle w:val="TableParagraph"/>
              <w:spacing w:line="167" w:lineRule="exact" w:before="33"/>
              <w:ind w:right="50"/>
              <w:jc w:val="right"/>
              <w:rPr>
                <w:sz w:val="15"/>
              </w:rPr>
            </w:pPr>
            <w:r>
              <w:rPr>
                <w:sz w:val="15"/>
              </w:rPr>
              <w:t>$ 63.00</w:t>
            </w:r>
          </w:p>
        </w:tc>
      </w:tr>
      <w:tr>
        <w:trPr>
          <w:trHeight w:val="220" w:hRule="atLeast"/>
        </w:trPr>
        <w:tc>
          <w:tcPr>
            <w:tcW w:w="4604" w:type="dxa"/>
            <w:gridSpan w:val="2"/>
          </w:tcPr>
          <w:p>
            <w:pPr>
              <w:pStyle w:val="TableParagraph"/>
              <w:spacing w:before="12"/>
              <w:ind w:left="50"/>
              <w:rPr>
                <w:sz w:val="15"/>
              </w:rPr>
            </w:pPr>
            <w:r>
              <w:rPr>
                <w:sz w:val="15"/>
              </w:rPr>
              <w:t>189 RESIDENCIAL VILLALTA</w:t>
            </w:r>
          </w:p>
        </w:tc>
        <w:tc>
          <w:tcPr>
            <w:tcW w:w="3881" w:type="dxa"/>
          </w:tcPr>
          <w:p>
            <w:pPr>
              <w:pStyle w:val="TableParagraph"/>
              <w:spacing w:line="167" w:lineRule="exact" w:before="34"/>
              <w:ind w:left="49"/>
              <w:rPr>
                <w:sz w:val="15"/>
              </w:rPr>
            </w:pPr>
            <w:r>
              <w:rPr>
                <w:sz w:val="15"/>
              </w:rPr>
              <w:t>$ 78.00</w:t>
            </w:r>
          </w:p>
        </w:tc>
        <w:tc>
          <w:tcPr>
            <w:tcW w:w="3507" w:type="dxa"/>
          </w:tcPr>
          <w:p>
            <w:pPr>
              <w:pStyle w:val="TableParagraph"/>
              <w:spacing w:before="12"/>
              <w:ind w:right="61"/>
              <w:jc w:val="right"/>
              <w:rPr>
                <w:sz w:val="15"/>
              </w:rPr>
            </w:pPr>
            <w:r>
              <w:rPr>
                <w:sz w:val="15"/>
              </w:rPr>
              <w:t>232</w:t>
            </w:r>
          </w:p>
        </w:tc>
        <w:tc>
          <w:tcPr>
            <w:tcW w:w="3538" w:type="dxa"/>
          </w:tcPr>
          <w:p>
            <w:pPr>
              <w:pStyle w:val="TableParagraph"/>
              <w:spacing w:before="12"/>
              <w:ind w:left="60"/>
              <w:rPr>
                <w:sz w:val="15"/>
              </w:rPr>
            </w:pPr>
            <w:r>
              <w:rPr>
                <w:sz w:val="15"/>
              </w:rPr>
              <w:t>VILLAS DE ZAPOTEPEC</w:t>
            </w:r>
          </w:p>
        </w:tc>
        <w:tc>
          <w:tcPr>
            <w:tcW w:w="1440" w:type="dxa"/>
          </w:tcPr>
          <w:p>
            <w:pPr>
              <w:pStyle w:val="TableParagraph"/>
              <w:spacing w:line="167" w:lineRule="exact" w:before="34"/>
              <w:ind w:right="50"/>
              <w:jc w:val="right"/>
              <w:rPr>
                <w:sz w:val="15"/>
              </w:rPr>
            </w:pPr>
            <w:r>
              <w:rPr>
                <w:sz w:val="15"/>
              </w:rPr>
              <w:t>$ 63.00</w:t>
            </w:r>
          </w:p>
        </w:tc>
      </w:tr>
      <w:tr>
        <w:trPr>
          <w:trHeight w:val="220" w:hRule="atLeast"/>
        </w:trPr>
        <w:tc>
          <w:tcPr>
            <w:tcW w:w="4604" w:type="dxa"/>
            <w:gridSpan w:val="2"/>
          </w:tcPr>
          <w:p>
            <w:pPr>
              <w:pStyle w:val="TableParagraph"/>
              <w:spacing w:before="11"/>
              <w:ind w:left="50"/>
              <w:rPr>
                <w:sz w:val="15"/>
              </w:rPr>
            </w:pPr>
            <w:r>
              <w:rPr>
                <w:sz w:val="15"/>
              </w:rPr>
              <w:t>190 RINCONADA COFRADIA</w:t>
            </w:r>
          </w:p>
        </w:tc>
        <w:tc>
          <w:tcPr>
            <w:tcW w:w="3881" w:type="dxa"/>
          </w:tcPr>
          <w:p>
            <w:pPr>
              <w:pStyle w:val="TableParagraph"/>
              <w:spacing w:line="167" w:lineRule="exact" w:before="33"/>
              <w:ind w:left="49"/>
              <w:rPr>
                <w:sz w:val="15"/>
              </w:rPr>
            </w:pPr>
            <w:r>
              <w:rPr>
                <w:sz w:val="15"/>
              </w:rPr>
              <w:t>$ 60.00</w:t>
            </w:r>
          </w:p>
        </w:tc>
        <w:tc>
          <w:tcPr>
            <w:tcW w:w="3507" w:type="dxa"/>
          </w:tcPr>
          <w:p>
            <w:pPr>
              <w:pStyle w:val="TableParagraph"/>
              <w:spacing w:before="11"/>
              <w:ind w:right="61"/>
              <w:jc w:val="right"/>
              <w:rPr>
                <w:sz w:val="15"/>
              </w:rPr>
            </w:pPr>
            <w:r>
              <w:rPr>
                <w:sz w:val="15"/>
              </w:rPr>
              <w:t>233</w:t>
            </w:r>
          </w:p>
        </w:tc>
        <w:tc>
          <w:tcPr>
            <w:tcW w:w="3538" w:type="dxa"/>
          </w:tcPr>
          <w:p>
            <w:pPr>
              <w:pStyle w:val="TableParagraph"/>
              <w:spacing w:before="11"/>
              <w:ind w:left="60"/>
              <w:rPr>
                <w:sz w:val="15"/>
              </w:rPr>
            </w:pPr>
            <w:r>
              <w:rPr>
                <w:sz w:val="15"/>
              </w:rPr>
              <w:t>VILLAS DEL NAYAR</w:t>
            </w:r>
          </w:p>
        </w:tc>
        <w:tc>
          <w:tcPr>
            <w:tcW w:w="1440" w:type="dxa"/>
          </w:tcPr>
          <w:p>
            <w:pPr>
              <w:pStyle w:val="TableParagraph"/>
              <w:spacing w:line="167" w:lineRule="exact" w:before="33"/>
              <w:ind w:right="50"/>
              <w:jc w:val="right"/>
              <w:rPr>
                <w:sz w:val="15"/>
              </w:rPr>
            </w:pPr>
            <w:r>
              <w:rPr>
                <w:sz w:val="15"/>
              </w:rPr>
              <w:t>$ 86.00</w:t>
            </w:r>
          </w:p>
        </w:tc>
      </w:tr>
      <w:tr>
        <w:trPr>
          <w:trHeight w:val="220" w:hRule="atLeast"/>
        </w:trPr>
        <w:tc>
          <w:tcPr>
            <w:tcW w:w="4604" w:type="dxa"/>
            <w:gridSpan w:val="2"/>
          </w:tcPr>
          <w:p>
            <w:pPr>
              <w:pStyle w:val="TableParagraph"/>
              <w:spacing w:before="12"/>
              <w:ind w:left="50"/>
              <w:rPr>
                <w:sz w:val="15"/>
              </w:rPr>
            </w:pPr>
            <w:r>
              <w:rPr>
                <w:sz w:val="15"/>
              </w:rPr>
              <w:t>191 RINCONADA DE LA CRUZ</w:t>
            </w:r>
          </w:p>
        </w:tc>
        <w:tc>
          <w:tcPr>
            <w:tcW w:w="3881" w:type="dxa"/>
          </w:tcPr>
          <w:p>
            <w:pPr>
              <w:pStyle w:val="TableParagraph"/>
              <w:spacing w:line="167" w:lineRule="exact" w:before="34"/>
              <w:ind w:left="49"/>
              <w:rPr>
                <w:sz w:val="15"/>
              </w:rPr>
            </w:pPr>
            <w:r>
              <w:rPr>
                <w:sz w:val="15"/>
              </w:rPr>
              <w:t>$ 78.00</w:t>
            </w:r>
          </w:p>
        </w:tc>
        <w:tc>
          <w:tcPr>
            <w:tcW w:w="3507" w:type="dxa"/>
          </w:tcPr>
          <w:p>
            <w:pPr>
              <w:pStyle w:val="TableParagraph"/>
              <w:spacing w:before="12"/>
              <w:ind w:right="61"/>
              <w:jc w:val="right"/>
              <w:rPr>
                <w:sz w:val="15"/>
              </w:rPr>
            </w:pPr>
            <w:r>
              <w:rPr>
                <w:sz w:val="15"/>
              </w:rPr>
              <w:t>234</w:t>
            </w:r>
          </w:p>
        </w:tc>
        <w:tc>
          <w:tcPr>
            <w:tcW w:w="3538" w:type="dxa"/>
          </w:tcPr>
          <w:p>
            <w:pPr>
              <w:pStyle w:val="TableParagraph"/>
              <w:spacing w:before="12"/>
              <w:ind w:left="60"/>
              <w:rPr>
                <w:sz w:val="15"/>
              </w:rPr>
            </w:pPr>
            <w:r>
              <w:rPr>
                <w:sz w:val="15"/>
              </w:rPr>
              <w:t>VILLAS SAN AGUSTIN CONDOMINIO</w:t>
            </w:r>
          </w:p>
        </w:tc>
        <w:tc>
          <w:tcPr>
            <w:tcW w:w="1440" w:type="dxa"/>
          </w:tcPr>
          <w:p>
            <w:pPr>
              <w:pStyle w:val="TableParagraph"/>
              <w:spacing w:line="167" w:lineRule="exact" w:before="34"/>
              <w:ind w:right="50"/>
              <w:jc w:val="right"/>
              <w:rPr>
                <w:sz w:val="15"/>
              </w:rPr>
            </w:pPr>
            <w:r>
              <w:rPr>
                <w:sz w:val="15"/>
              </w:rPr>
              <w:t>$ 82.00</w:t>
            </w:r>
          </w:p>
        </w:tc>
      </w:tr>
      <w:tr>
        <w:trPr>
          <w:trHeight w:val="220" w:hRule="atLeast"/>
        </w:trPr>
        <w:tc>
          <w:tcPr>
            <w:tcW w:w="4604" w:type="dxa"/>
            <w:gridSpan w:val="2"/>
          </w:tcPr>
          <w:p>
            <w:pPr>
              <w:pStyle w:val="TableParagraph"/>
              <w:spacing w:before="11"/>
              <w:ind w:left="50"/>
              <w:rPr>
                <w:sz w:val="15"/>
              </w:rPr>
            </w:pPr>
            <w:r>
              <w:rPr>
                <w:sz w:val="15"/>
              </w:rPr>
              <w:t>192 RINCONADA DE LAS AURORAS</w:t>
            </w:r>
          </w:p>
        </w:tc>
        <w:tc>
          <w:tcPr>
            <w:tcW w:w="3881" w:type="dxa"/>
          </w:tcPr>
          <w:p>
            <w:pPr>
              <w:pStyle w:val="TableParagraph"/>
              <w:spacing w:line="167" w:lineRule="exact" w:before="33"/>
              <w:ind w:left="49"/>
              <w:rPr>
                <w:sz w:val="15"/>
              </w:rPr>
            </w:pPr>
            <w:r>
              <w:rPr>
                <w:sz w:val="15"/>
              </w:rPr>
              <w:t>$ 78.00</w:t>
            </w:r>
          </w:p>
        </w:tc>
        <w:tc>
          <w:tcPr>
            <w:tcW w:w="3507" w:type="dxa"/>
          </w:tcPr>
          <w:p>
            <w:pPr>
              <w:pStyle w:val="TableParagraph"/>
              <w:spacing w:before="11"/>
              <w:ind w:right="61"/>
              <w:jc w:val="right"/>
              <w:rPr>
                <w:sz w:val="15"/>
              </w:rPr>
            </w:pPr>
            <w:r>
              <w:rPr>
                <w:sz w:val="15"/>
              </w:rPr>
              <w:t>235</w:t>
            </w:r>
          </w:p>
        </w:tc>
        <w:tc>
          <w:tcPr>
            <w:tcW w:w="3538" w:type="dxa"/>
          </w:tcPr>
          <w:p>
            <w:pPr>
              <w:pStyle w:val="TableParagraph"/>
              <w:spacing w:before="11"/>
              <w:ind w:left="60"/>
              <w:rPr>
                <w:sz w:val="15"/>
              </w:rPr>
            </w:pPr>
            <w:r>
              <w:rPr>
                <w:sz w:val="15"/>
              </w:rPr>
              <w:t>VILLAS SANTA ANITA</w:t>
            </w:r>
          </w:p>
        </w:tc>
        <w:tc>
          <w:tcPr>
            <w:tcW w:w="1440" w:type="dxa"/>
          </w:tcPr>
          <w:p>
            <w:pPr>
              <w:pStyle w:val="TableParagraph"/>
              <w:spacing w:line="167" w:lineRule="exact" w:before="33"/>
              <w:ind w:right="50"/>
              <w:jc w:val="right"/>
              <w:rPr>
                <w:sz w:val="15"/>
              </w:rPr>
            </w:pPr>
            <w:r>
              <w:rPr>
                <w:sz w:val="15"/>
              </w:rPr>
              <w:t>$ 167.00</w:t>
            </w:r>
          </w:p>
        </w:tc>
      </w:tr>
      <w:tr>
        <w:trPr>
          <w:trHeight w:val="220" w:hRule="atLeast"/>
        </w:trPr>
        <w:tc>
          <w:tcPr>
            <w:tcW w:w="4604" w:type="dxa"/>
            <w:gridSpan w:val="2"/>
          </w:tcPr>
          <w:p>
            <w:pPr>
              <w:pStyle w:val="TableParagraph"/>
              <w:spacing w:before="12"/>
              <w:ind w:left="50"/>
              <w:rPr>
                <w:sz w:val="15"/>
              </w:rPr>
            </w:pPr>
            <w:r>
              <w:rPr>
                <w:sz w:val="15"/>
              </w:rPr>
              <w:t>193 RINCONADA DE LOS GAVILANES</w:t>
            </w:r>
          </w:p>
        </w:tc>
        <w:tc>
          <w:tcPr>
            <w:tcW w:w="3881" w:type="dxa"/>
          </w:tcPr>
          <w:p>
            <w:pPr>
              <w:pStyle w:val="TableParagraph"/>
              <w:spacing w:line="167" w:lineRule="exact" w:before="34"/>
              <w:ind w:left="49"/>
              <w:rPr>
                <w:sz w:val="15"/>
              </w:rPr>
            </w:pPr>
            <w:r>
              <w:rPr>
                <w:sz w:val="15"/>
              </w:rPr>
              <w:t>$ 185.00</w:t>
            </w:r>
          </w:p>
        </w:tc>
        <w:tc>
          <w:tcPr>
            <w:tcW w:w="3507" w:type="dxa"/>
          </w:tcPr>
          <w:p>
            <w:pPr>
              <w:pStyle w:val="TableParagraph"/>
              <w:spacing w:before="12"/>
              <w:ind w:right="61"/>
              <w:jc w:val="right"/>
              <w:rPr>
                <w:sz w:val="15"/>
              </w:rPr>
            </w:pPr>
            <w:r>
              <w:rPr>
                <w:sz w:val="15"/>
              </w:rPr>
              <w:t>236</w:t>
            </w:r>
          </w:p>
        </w:tc>
        <w:tc>
          <w:tcPr>
            <w:tcW w:w="3538" w:type="dxa"/>
          </w:tcPr>
          <w:p>
            <w:pPr>
              <w:pStyle w:val="TableParagraph"/>
              <w:spacing w:before="12"/>
              <w:ind w:left="60"/>
              <w:rPr>
                <w:sz w:val="15"/>
              </w:rPr>
            </w:pPr>
            <w:r>
              <w:rPr>
                <w:sz w:val="15"/>
              </w:rPr>
              <w:t>VILLAS TERRANOVA</w:t>
            </w:r>
          </w:p>
        </w:tc>
        <w:tc>
          <w:tcPr>
            <w:tcW w:w="1440" w:type="dxa"/>
          </w:tcPr>
          <w:p>
            <w:pPr>
              <w:pStyle w:val="TableParagraph"/>
              <w:spacing w:line="167" w:lineRule="exact" w:before="34"/>
              <w:ind w:right="50"/>
              <w:jc w:val="right"/>
              <w:rPr>
                <w:sz w:val="15"/>
              </w:rPr>
            </w:pPr>
            <w:r>
              <w:rPr>
                <w:sz w:val="15"/>
              </w:rPr>
              <w:t>$ 86.00</w:t>
            </w:r>
          </w:p>
        </w:tc>
      </w:tr>
      <w:tr>
        <w:trPr>
          <w:trHeight w:val="220" w:hRule="atLeast"/>
        </w:trPr>
        <w:tc>
          <w:tcPr>
            <w:tcW w:w="4604" w:type="dxa"/>
            <w:gridSpan w:val="2"/>
          </w:tcPr>
          <w:p>
            <w:pPr>
              <w:pStyle w:val="TableParagraph"/>
              <w:spacing w:before="11"/>
              <w:ind w:left="50"/>
              <w:rPr>
                <w:sz w:val="15"/>
              </w:rPr>
            </w:pPr>
            <w:r>
              <w:rPr>
                <w:sz w:val="15"/>
              </w:rPr>
              <w:t>194 RINCONADA DE LOS NOGALES</w:t>
            </w:r>
          </w:p>
        </w:tc>
        <w:tc>
          <w:tcPr>
            <w:tcW w:w="3881" w:type="dxa"/>
          </w:tcPr>
          <w:p>
            <w:pPr>
              <w:pStyle w:val="TableParagraph"/>
              <w:spacing w:line="167" w:lineRule="exact" w:before="33"/>
              <w:ind w:left="49"/>
              <w:rPr>
                <w:sz w:val="15"/>
              </w:rPr>
            </w:pPr>
            <w:r>
              <w:rPr>
                <w:sz w:val="15"/>
              </w:rPr>
              <w:t>$ 74.00</w:t>
            </w:r>
          </w:p>
        </w:tc>
        <w:tc>
          <w:tcPr>
            <w:tcW w:w="3507" w:type="dxa"/>
          </w:tcPr>
          <w:p>
            <w:pPr>
              <w:pStyle w:val="TableParagraph"/>
              <w:spacing w:before="11"/>
              <w:ind w:right="61"/>
              <w:jc w:val="right"/>
              <w:rPr>
                <w:sz w:val="15"/>
              </w:rPr>
            </w:pPr>
            <w:r>
              <w:rPr>
                <w:sz w:val="15"/>
              </w:rPr>
              <w:t>237</w:t>
            </w:r>
          </w:p>
        </w:tc>
        <w:tc>
          <w:tcPr>
            <w:tcW w:w="3538" w:type="dxa"/>
          </w:tcPr>
          <w:p>
            <w:pPr>
              <w:pStyle w:val="TableParagraph"/>
              <w:spacing w:before="11"/>
              <w:ind w:left="60"/>
              <w:rPr>
                <w:sz w:val="15"/>
              </w:rPr>
            </w:pPr>
            <w:r>
              <w:rPr>
                <w:sz w:val="15"/>
              </w:rPr>
              <w:t>VISTA SUR</w:t>
            </w:r>
          </w:p>
        </w:tc>
        <w:tc>
          <w:tcPr>
            <w:tcW w:w="1440" w:type="dxa"/>
          </w:tcPr>
          <w:p>
            <w:pPr>
              <w:pStyle w:val="TableParagraph"/>
              <w:spacing w:line="167" w:lineRule="exact" w:before="33"/>
              <w:ind w:right="50"/>
              <w:jc w:val="right"/>
              <w:rPr>
                <w:sz w:val="15"/>
              </w:rPr>
            </w:pPr>
            <w:r>
              <w:rPr>
                <w:sz w:val="15"/>
              </w:rPr>
              <w:t>$ 158.00</w:t>
            </w:r>
          </w:p>
        </w:tc>
      </w:tr>
      <w:tr>
        <w:trPr>
          <w:trHeight w:val="220" w:hRule="atLeast"/>
        </w:trPr>
        <w:tc>
          <w:tcPr>
            <w:tcW w:w="4604" w:type="dxa"/>
            <w:gridSpan w:val="2"/>
          </w:tcPr>
          <w:p>
            <w:pPr>
              <w:pStyle w:val="TableParagraph"/>
              <w:spacing w:before="12"/>
              <w:ind w:left="50"/>
              <w:rPr>
                <w:sz w:val="15"/>
              </w:rPr>
            </w:pPr>
            <w:r>
              <w:rPr>
                <w:sz w:val="15"/>
              </w:rPr>
              <w:t>195 RINCONADA DE SAN SEBASTIAN</w:t>
            </w:r>
          </w:p>
        </w:tc>
        <w:tc>
          <w:tcPr>
            <w:tcW w:w="3881" w:type="dxa"/>
          </w:tcPr>
          <w:p>
            <w:pPr>
              <w:pStyle w:val="TableParagraph"/>
              <w:spacing w:line="167" w:lineRule="exact" w:before="34"/>
              <w:ind w:left="49"/>
              <w:rPr>
                <w:sz w:val="15"/>
              </w:rPr>
            </w:pPr>
            <w:r>
              <w:rPr>
                <w:sz w:val="15"/>
              </w:rPr>
              <w:t>$ 63.00</w:t>
            </w:r>
          </w:p>
        </w:tc>
        <w:tc>
          <w:tcPr>
            <w:tcW w:w="3507" w:type="dxa"/>
          </w:tcPr>
          <w:p>
            <w:pPr>
              <w:pStyle w:val="TableParagraph"/>
              <w:spacing w:before="12"/>
              <w:ind w:right="61"/>
              <w:jc w:val="right"/>
              <w:rPr>
                <w:sz w:val="15"/>
              </w:rPr>
            </w:pPr>
            <w:r>
              <w:rPr>
                <w:sz w:val="15"/>
              </w:rPr>
              <w:t>238</w:t>
            </w:r>
          </w:p>
        </w:tc>
        <w:tc>
          <w:tcPr>
            <w:tcW w:w="3538" w:type="dxa"/>
          </w:tcPr>
          <w:p>
            <w:pPr>
              <w:pStyle w:val="TableParagraph"/>
              <w:spacing w:before="12"/>
              <w:ind w:left="60"/>
              <w:rPr>
                <w:sz w:val="15"/>
              </w:rPr>
            </w:pPr>
            <w:r>
              <w:rPr>
                <w:sz w:val="15"/>
              </w:rPr>
              <w:t>VISTAS DE SAN AGUSTIN</w:t>
            </w:r>
          </w:p>
        </w:tc>
        <w:tc>
          <w:tcPr>
            <w:tcW w:w="1440" w:type="dxa"/>
          </w:tcPr>
          <w:p>
            <w:pPr>
              <w:pStyle w:val="TableParagraph"/>
              <w:spacing w:line="167" w:lineRule="exact" w:before="34"/>
              <w:ind w:right="50"/>
              <w:jc w:val="right"/>
              <w:rPr>
                <w:sz w:val="15"/>
              </w:rPr>
            </w:pPr>
            <w:r>
              <w:rPr>
                <w:sz w:val="15"/>
              </w:rPr>
              <w:t>$ 95.00</w:t>
            </w:r>
          </w:p>
        </w:tc>
      </w:tr>
      <w:tr>
        <w:trPr>
          <w:trHeight w:val="220" w:hRule="atLeast"/>
        </w:trPr>
        <w:tc>
          <w:tcPr>
            <w:tcW w:w="4604" w:type="dxa"/>
            <w:gridSpan w:val="2"/>
          </w:tcPr>
          <w:p>
            <w:pPr>
              <w:pStyle w:val="TableParagraph"/>
              <w:spacing w:before="11"/>
              <w:ind w:left="50"/>
              <w:rPr>
                <w:sz w:val="15"/>
              </w:rPr>
            </w:pPr>
            <w:r>
              <w:rPr>
                <w:sz w:val="15"/>
              </w:rPr>
              <w:t>196 RINCONADA DE SANTA ANITA</w:t>
            </w:r>
          </w:p>
        </w:tc>
        <w:tc>
          <w:tcPr>
            <w:tcW w:w="3881" w:type="dxa"/>
          </w:tcPr>
          <w:p>
            <w:pPr>
              <w:pStyle w:val="TableParagraph"/>
              <w:spacing w:line="167" w:lineRule="exact" w:before="33"/>
              <w:ind w:left="49"/>
              <w:rPr>
                <w:sz w:val="15"/>
              </w:rPr>
            </w:pPr>
            <w:r>
              <w:rPr>
                <w:sz w:val="15"/>
              </w:rPr>
              <w:t>$ 167.00</w:t>
            </w:r>
          </w:p>
        </w:tc>
        <w:tc>
          <w:tcPr>
            <w:tcW w:w="3507" w:type="dxa"/>
          </w:tcPr>
          <w:p>
            <w:pPr>
              <w:pStyle w:val="TableParagraph"/>
              <w:spacing w:before="11"/>
              <w:ind w:right="61"/>
              <w:jc w:val="right"/>
              <w:rPr>
                <w:sz w:val="15"/>
              </w:rPr>
            </w:pPr>
            <w:r>
              <w:rPr>
                <w:sz w:val="15"/>
              </w:rPr>
              <w:t>239</w:t>
            </w:r>
          </w:p>
        </w:tc>
        <w:tc>
          <w:tcPr>
            <w:tcW w:w="3538" w:type="dxa"/>
          </w:tcPr>
          <w:p>
            <w:pPr>
              <w:pStyle w:val="TableParagraph"/>
              <w:spacing w:before="11"/>
              <w:ind w:left="60"/>
              <w:rPr>
                <w:sz w:val="15"/>
              </w:rPr>
            </w:pPr>
            <w:r>
              <w:rPr>
                <w:sz w:val="15"/>
              </w:rPr>
              <w:t>VISTAS DEL VALLE</w:t>
            </w:r>
          </w:p>
        </w:tc>
        <w:tc>
          <w:tcPr>
            <w:tcW w:w="1440" w:type="dxa"/>
          </w:tcPr>
          <w:p>
            <w:pPr>
              <w:pStyle w:val="TableParagraph"/>
              <w:spacing w:line="167" w:lineRule="exact" w:before="33"/>
              <w:ind w:right="50"/>
              <w:jc w:val="right"/>
              <w:rPr>
                <w:sz w:val="15"/>
              </w:rPr>
            </w:pPr>
            <w:r>
              <w:rPr>
                <w:sz w:val="15"/>
              </w:rPr>
              <w:t>$ 78.00</w:t>
            </w:r>
          </w:p>
        </w:tc>
      </w:tr>
      <w:tr>
        <w:trPr>
          <w:trHeight w:val="220" w:hRule="atLeast"/>
        </w:trPr>
        <w:tc>
          <w:tcPr>
            <w:tcW w:w="4604" w:type="dxa"/>
            <w:gridSpan w:val="2"/>
          </w:tcPr>
          <w:p>
            <w:pPr>
              <w:pStyle w:val="TableParagraph"/>
              <w:spacing w:before="12"/>
              <w:ind w:left="50"/>
              <w:rPr>
                <w:sz w:val="15"/>
              </w:rPr>
            </w:pPr>
            <w:r>
              <w:rPr>
                <w:sz w:val="15"/>
              </w:rPr>
              <w:t>197 RINCONADA DEL SOL</w:t>
            </w:r>
          </w:p>
        </w:tc>
        <w:tc>
          <w:tcPr>
            <w:tcW w:w="3881" w:type="dxa"/>
          </w:tcPr>
          <w:p>
            <w:pPr>
              <w:pStyle w:val="TableParagraph"/>
              <w:spacing w:line="167" w:lineRule="exact" w:before="34"/>
              <w:ind w:left="49"/>
              <w:rPr>
                <w:sz w:val="15"/>
              </w:rPr>
            </w:pPr>
            <w:r>
              <w:rPr>
                <w:sz w:val="15"/>
              </w:rPr>
              <w:t>$ 78.00</w:t>
            </w:r>
          </w:p>
        </w:tc>
        <w:tc>
          <w:tcPr>
            <w:tcW w:w="3507" w:type="dxa"/>
          </w:tcPr>
          <w:p>
            <w:pPr>
              <w:pStyle w:val="TableParagraph"/>
              <w:spacing w:before="12"/>
              <w:ind w:right="61"/>
              <w:jc w:val="right"/>
              <w:rPr>
                <w:sz w:val="15"/>
              </w:rPr>
            </w:pPr>
            <w:r>
              <w:rPr>
                <w:sz w:val="15"/>
              </w:rPr>
              <w:t>240</w:t>
            </w:r>
          </w:p>
        </w:tc>
        <w:tc>
          <w:tcPr>
            <w:tcW w:w="3538" w:type="dxa"/>
          </w:tcPr>
          <w:p>
            <w:pPr>
              <w:pStyle w:val="TableParagraph"/>
              <w:spacing w:before="12"/>
              <w:ind w:left="60"/>
              <w:rPr>
                <w:sz w:val="15"/>
              </w:rPr>
            </w:pPr>
            <w:r>
              <w:rPr>
                <w:sz w:val="15"/>
              </w:rPr>
              <w:t>VIVEROS DEL REAL</w:t>
            </w:r>
          </w:p>
        </w:tc>
        <w:tc>
          <w:tcPr>
            <w:tcW w:w="1440" w:type="dxa"/>
          </w:tcPr>
          <w:p>
            <w:pPr>
              <w:pStyle w:val="TableParagraph"/>
              <w:spacing w:line="167" w:lineRule="exact" w:before="34"/>
              <w:ind w:right="50"/>
              <w:jc w:val="right"/>
              <w:rPr>
                <w:sz w:val="15"/>
              </w:rPr>
            </w:pPr>
            <w:r>
              <w:rPr>
                <w:sz w:val="15"/>
              </w:rPr>
              <w:t>$ 78.00</w:t>
            </w:r>
          </w:p>
        </w:tc>
      </w:tr>
      <w:tr>
        <w:trPr>
          <w:trHeight w:val="220" w:hRule="atLeast"/>
        </w:trPr>
        <w:tc>
          <w:tcPr>
            <w:tcW w:w="4604" w:type="dxa"/>
            <w:gridSpan w:val="2"/>
          </w:tcPr>
          <w:p>
            <w:pPr>
              <w:pStyle w:val="TableParagraph"/>
              <w:spacing w:before="11"/>
              <w:ind w:left="50"/>
              <w:rPr>
                <w:sz w:val="15"/>
              </w:rPr>
            </w:pPr>
            <w:r>
              <w:rPr>
                <w:sz w:val="15"/>
              </w:rPr>
              <w:t>198 RINCONADA DEL VALLE</w:t>
            </w:r>
          </w:p>
        </w:tc>
        <w:tc>
          <w:tcPr>
            <w:tcW w:w="3881" w:type="dxa"/>
          </w:tcPr>
          <w:p>
            <w:pPr>
              <w:pStyle w:val="TableParagraph"/>
              <w:spacing w:line="167" w:lineRule="exact" w:before="33"/>
              <w:ind w:left="49"/>
              <w:rPr>
                <w:sz w:val="15"/>
              </w:rPr>
            </w:pPr>
            <w:r>
              <w:rPr>
                <w:sz w:val="15"/>
              </w:rPr>
              <w:t>$ 74.00</w:t>
            </w:r>
          </w:p>
        </w:tc>
        <w:tc>
          <w:tcPr>
            <w:tcW w:w="3507" w:type="dxa"/>
          </w:tcPr>
          <w:p>
            <w:pPr>
              <w:pStyle w:val="TableParagraph"/>
              <w:spacing w:before="11"/>
              <w:ind w:right="61"/>
              <w:jc w:val="right"/>
              <w:rPr>
                <w:sz w:val="15"/>
              </w:rPr>
            </w:pPr>
            <w:r>
              <w:rPr>
                <w:sz w:val="15"/>
              </w:rPr>
              <w:t>241</w:t>
            </w:r>
          </w:p>
        </w:tc>
        <w:tc>
          <w:tcPr>
            <w:tcW w:w="3538" w:type="dxa"/>
          </w:tcPr>
          <w:p>
            <w:pPr>
              <w:pStyle w:val="TableParagraph"/>
              <w:spacing w:before="11"/>
              <w:ind w:left="60"/>
              <w:rPr>
                <w:sz w:val="15"/>
              </w:rPr>
            </w:pPr>
            <w:r>
              <w:rPr>
                <w:sz w:val="15"/>
              </w:rPr>
              <w:t>ALTARA</w:t>
            </w:r>
          </w:p>
        </w:tc>
        <w:tc>
          <w:tcPr>
            <w:tcW w:w="1440" w:type="dxa"/>
          </w:tcPr>
          <w:p>
            <w:pPr>
              <w:pStyle w:val="TableParagraph"/>
              <w:spacing w:line="167" w:lineRule="exact" w:before="33"/>
              <w:ind w:right="50"/>
              <w:jc w:val="right"/>
              <w:rPr>
                <w:sz w:val="15"/>
              </w:rPr>
            </w:pPr>
            <w:r>
              <w:rPr>
                <w:sz w:val="15"/>
              </w:rPr>
              <w:t>$ 167.00</w:t>
            </w:r>
          </w:p>
        </w:tc>
      </w:tr>
      <w:tr>
        <w:trPr>
          <w:trHeight w:val="220" w:hRule="atLeast"/>
        </w:trPr>
        <w:tc>
          <w:tcPr>
            <w:tcW w:w="4604" w:type="dxa"/>
            <w:gridSpan w:val="2"/>
          </w:tcPr>
          <w:p>
            <w:pPr>
              <w:pStyle w:val="TableParagraph"/>
              <w:spacing w:before="12"/>
              <w:ind w:left="50"/>
              <w:rPr>
                <w:sz w:val="15"/>
              </w:rPr>
            </w:pPr>
            <w:r>
              <w:rPr>
                <w:sz w:val="15"/>
              </w:rPr>
              <w:t>199 RINCONADA SAN PATRICIO</w:t>
            </w:r>
          </w:p>
        </w:tc>
        <w:tc>
          <w:tcPr>
            <w:tcW w:w="3881" w:type="dxa"/>
          </w:tcPr>
          <w:p>
            <w:pPr>
              <w:pStyle w:val="TableParagraph"/>
              <w:spacing w:line="167" w:lineRule="exact" w:before="34"/>
              <w:ind w:left="49"/>
              <w:rPr>
                <w:sz w:val="15"/>
              </w:rPr>
            </w:pPr>
            <w:r>
              <w:rPr>
                <w:sz w:val="15"/>
              </w:rPr>
              <w:t>$ 85.00</w:t>
            </w:r>
          </w:p>
        </w:tc>
        <w:tc>
          <w:tcPr>
            <w:tcW w:w="3507" w:type="dxa"/>
          </w:tcPr>
          <w:p>
            <w:pPr>
              <w:pStyle w:val="TableParagraph"/>
              <w:spacing w:before="12"/>
              <w:ind w:right="61"/>
              <w:jc w:val="right"/>
              <w:rPr>
                <w:sz w:val="15"/>
              </w:rPr>
            </w:pPr>
            <w:r>
              <w:rPr>
                <w:sz w:val="15"/>
              </w:rPr>
              <w:t>242</w:t>
            </w:r>
          </w:p>
        </w:tc>
        <w:tc>
          <w:tcPr>
            <w:tcW w:w="3538" w:type="dxa"/>
          </w:tcPr>
          <w:p>
            <w:pPr>
              <w:pStyle w:val="TableParagraph"/>
              <w:spacing w:before="12"/>
              <w:ind w:left="60"/>
              <w:rPr>
                <w:sz w:val="15"/>
              </w:rPr>
            </w:pPr>
            <w:r>
              <w:rPr>
                <w:sz w:val="15"/>
              </w:rPr>
              <w:t>BOSKIA SUR RESIDENCIAL</w:t>
            </w:r>
          </w:p>
        </w:tc>
        <w:tc>
          <w:tcPr>
            <w:tcW w:w="1440" w:type="dxa"/>
          </w:tcPr>
          <w:p>
            <w:pPr>
              <w:pStyle w:val="TableParagraph"/>
              <w:spacing w:line="167" w:lineRule="exact" w:before="34"/>
              <w:ind w:right="50"/>
              <w:jc w:val="right"/>
              <w:rPr>
                <w:sz w:val="15"/>
              </w:rPr>
            </w:pPr>
            <w:r>
              <w:rPr>
                <w:sz w:val="15"/>
              </w:rPr>
              <w:t>$ 158.00</w:t>
            </w:r>
          </w:p>
        </w:tc>
      </w:tr>
      <w:tr>
        <w:trPr>
          <w:trHeight w:val="220" w:hRule="atLeast"/>
        </w:trPr>
        <w:tc>
          <w:tcPr>
            <w:tcW w:w="8485" w:type="dxa"/>
            <w:gridSpan w:val="3"/>
          </w:tcPr>
          <w:p>
            <w:pPr>
              <w:pStyle w:val="TableParagraph"/>
              <w:spacing w:line="89" w:lineRule="exact" w:before="98"/>
              <w:ind w:left="50"/>
              <w:rPr>
                <w:sz w:val="15"/>
              </w:rPr>
            </w:pPr>
            <w:r>
              <w:rPr>
                <w:sz w:val="15"/>
              </w:rPr>
              <w:t>200 REAL DEL VALLE (SAN JOSE DEL VALLE)</w:t>
            </w:r>
          </w:p>
        </w:tc>
        <w:tc>
          <w:tcPr>
            <w:tcW w:w="3507" w:type="dxa"/>
          </w:tcPr>
          <w:p>
            <w:pPr>
              <w:pStyle w:val="TableParagraph"/>
              <w:spacing w:line="171" w:lineRule="exact"/>
              <w:ind w:right="61"/>
              <w:jc w:val="right"/>
              <w:rPr>
                <w:sz w:val="15"/>
              </w:rPr>
            </w:pPr>
            <w:r>
              <w:rPr>
                <w:sz w:val="15"/>
              </w:rPr>
              <w:t>243</w:t>
            </w:r>
          </w:p>
        </w:tc>
        <w:tc>
          <w:tcPr>
            <w:tcW w:w="3538" w:type="dxa"/>
          </w:tcPr>
          <w:p>
            <w:pPr>
              <w:pStyle w:val="TableParagraph"/>
              <w:spacing w:line="171" w:lineRule="exact"/>
              <w:ind w:left="60"/>
              <w:rPr>
                <w:sz w:val="15"/>
              </w:rPr>
            </w:pPr>
            <w:r>
              <w:rPr>
                <w:sz w:val="15"/>
              </w:rPr>
              <w:t>HACIENDA CASA FUERTE</w:t>
            </w:r>
          </w:p>
        </w:tc>
        <w:tc>
          <w:tcPr>
            <w:tcW w:w="1440" w:type="dxa"/>
          </w:tcPr>
          <w:p>
            <w:pPr>
              <w:pStyle w:val="TableParagraph"/>
              <w:spacing w:line="167" w:lineRule="exact" w:before="20"/>
              <w:ind w:right="50"/>
              <w:jc w:val="right"/>
              <w:rPr>
                <w:sz w:val="15"/>
              </w:rPr>
            </w:pPr>
            <w:r>
              <w:rPr>
                <w:sz w:val="15"/>
              </w:rPr>
              <w:t>$ 174.00</w:t>
            </w:r>
          </w:p>
        </w:tc>
      </w:tr>
      <w:tr>
        <w:trPr>
          <w:trHeight w:val="209" w:hRule="atLeast"/>
        </w:trPr>
        <w:tc>
          <w:tcPr>
            <w:tcW w:w="4604" w:type="dxa"/>
            <w:gridSpan w:val="2"/>
          </w:tcPr>
          <w:p>
            <w:pPr>
              <w:pStyle w:val="TableParagraph"/>
              <w:rPr>
                <w:rFonts w:ascii="Times New Roman"/>
                <w:sz w:val="12"/>
              </w:rPr>
            </w:pPr>
          </w:p>
        </w:tc>
        <w:tc>
          <w:tcPr>
            <w:tcW w:w="3881" w:type="dxa"/>
          </w:tcPr>
          <w:p>
            <w:pPr>
              <w:pStyle w:val="TableParagraph"/>
              <w:spacing w:line="172" w:lineRule="exact"/>
              <w:ind w:left="49"/>
              <w:rPr>
                <w:sz w:val="15"/>
              </w:rPr>
            </w:pPr>
            <w:r>
              <w:rPr>
                <w:sz w:val="15"/>
              </w:rPr>
              <w:t>$ 78.00</w:t>
            </w:r>
          </w:p>
        </w:tc>
        <w:tc>
          <w:tcPr>
            <w:tcW w:w="3507" w:type="dxa"/>
          </w:tcPr>
          <w:p>
            <w:pPr>
              <w:pStyle w:val="TableParagraph"/>
              <w:spacing w:line="171" w:lineRule="exact"/>
              <w:ind w:right="61"/>
              <w:jc w:val="right"/>
              <w:rPr>
                <w:sz w:val="15"/>
              </w:rPr>
            </w:pPr>
            <w:r>
              <w:rPr>
                <w:sz w:val="15"/>
              </w:rPr>
              <w:t>244</w:t>
            </w:r>
          </w:p>
        </w:tc>
        <w:tc>
          <w:tcPr>
            <w:tcW w:w="3538" w:type="dxa"/>
          </w:tcPr>
          <w:p>
            <w:pPr>
              <w:pStyle w:val="TableParagraph"/>
              <w:spacing w:line="171" w:lineRule="exact"/>
              <w:ind w:left="60"/>
              <w:rPr>
                <w:sz w:val="15"/>
              </w:rPr>
            </w:pPr>
            <w:r>
              <w:rPr>
                <w:sz w:val="15"/>
              </w:rPr>
              <w:t>JARDINES DE LA ALAMEDA</w:t>
            </w:r>
          </w:p>
        </w:tc>
        <w:tc>
          <w:tcPr>
            <w:tcW w:w="1440" w:type="dxa"/>
          </w:tcPr>
          <w:p>
            <w:pPr>
              <w:pStyle w:val="TableParagraph"/>
              <w:spacing w:line="156" w:lineRule="exact" w:before="20"/>
              <w:ind w:right="50"/>
              <w:jc w:val="right"/>
              <w:rPr>
                <w:sz w:val="15"/>
              </w:rPr>
            </w:pPr>
            <w:r>
              <w:rPr>
                <w:sz w:val="15"/>
              </w:rPr>
              <w:t>$ 78.00</w:t>
            </w:r>
          </w:p>
        </w:tc>
      </w:tr>
      <w:tr>
        <w:trPr>
          <w:trHeight w:val="220" w:hRule="atLeast"/>
        </w:trPr>
        <w:tc>
          <w:tcPr>
            <w:tcW w:w="4604" w:type="dxa"/>
            <w:gridSpan w:val="2"/>
          </w:tcPr>
          <w:p>
            <w:pPr>
              <w:pStyle w:val="TableParagraph"/>
              <w:spacing w:before="1"/>
              <w:ind w:left="50"/>
              <w:rPr>
                <w:sz w:val="15"/>
              </w:rPr>
            </w:pPr>
            <w:r>
              <w:rPr>
                <w:sz w:val="15"/>
              </w:rPr>
              <w:t>201 SAN MARTIN DE TAJO</w:t>
            </w:r>
          </w:p>
        </w:tc>
        <w:tc>
          <w:tcPr>
            <w:tcW w:w="3881" w:type="dxa"/>
          </w:tcPr>
          <w:p>
            <w:pPr>
              <w:pStyle w:val="TableParagraph"/>
              <w:spacing w:before="23"/>
              <w:ind w:left="49"/>
              <w:rPr>
                <w:sz w:val="15"/>
              </w:rPr>
            </w:pPr>
            <w:r>
              <w:rPr>
                <w:sz w:val="15"/>
              </w:rPr>
              <w:t>$ 166.00</w:t>
            </w:r>
          </w:p>
        </w:tc>
        <w:tc>
          <w:tcPr>
            <w:tcW w:w="3507" w:type="dxa"/>
          </w:tcPr>
          <w:p>
            <w:pPr>
              <w:pStyle w:val="TableParagraph"/>
              <w:spacing w:before="22"/>
              <w:ind w:right="61"/>
              <w:jc w:val="right"/>
              <w:rPr>
                <w:sz w:val="15"/>
              </w:rPr>
            </w:pPr>
            <w:r>
              <w:rPr>
                <w:sz w:val="15"/>
              </w:rPr>
              <w:t>245</w:t>
            </w:r>
          </w:p>
        </w:tc>
        <w:tc>
          <w:tcPr>
            <w:tcW w:w="3538" w:type="dxa"/>
          </w:tcPr>
          <w:p>
            <w:pPr>
              <w:pStyle w:val="TableParagraph"/>
              <w:spacing w:before="22"/>
              <w:ind w:left="60"/>
              <w:rPr>
                <w:sz w:val="15"/>
              </w:rPr>
            </w:pPr>
            <w:r>
              <w:rPr>
                <w:sz w:val="15"/>
              </w:rPr>
              <w:t>LAS PALMAS</w:t>
            </w:r>
          </w:p>
        </w:tc>
        <w:tc>
          <w:tcPr>
            <w:tcW w:w="1440" w:type="dxa"/>
          </w:tcPr>
          <w:p>
            <w:pPr>
              <w:pStyle w:val="TableParagraph"/>
              <w:spacing w:line="156" w:lineRule="exact" w:before="44"/>
              <w:ind w:right="50"/>
              <w:jc w:val="right"/>
              <w:rPr>
                <w:sz w:val="15"/>
              </w:rPr>
            </w:pPr>
            <w:r>
              <w:rPr>
                <w:sz w:val="15"/>
              </w:rPr>
              <w:t>$ 78.00</w:t>
            </w:r>
          </w:p>
        </w:tc>
      </w:tr>
      <w:tr>
        <w:trPr>
          <w:trHeight w:val="220" w:hRule="atLeast"/>
        </w:trPr>
        <w:tc>
          <w:tcPr>
            <w:tcW w:w="4604" w:type="dxa"/>
            <w:gridSpan w:val="2"/>
          </w:tcPr>
          <w:p>
            <w:pPr>
              <w:pStyle w:val="TableParagraph"/>
              <w:spacing w:before="1"/>
              <w:ind w:left="50"/>
              <w:rPr>
                <w:sz w:val="15"/>
              </w:rPr>
            </w:pPr>
            <w:r>
              <w:rPr>
                <w:sz w:val="15"/>
              </w:rPr>
              <w:t>202 SANTA ANITA COUNTRY</w:t>
            </w:r>
          </w:p>
        </w:tc>
        <w:tc>
          <w:tcPr>
            <w:tcW w:w="3881" w:type="dxa"/>
          </w:tcPr>
          <w:p>
            <w:pPr>
              <w:pStyle w:val="TableParagraph"/>
              <w:spacing w:before="23"/>
              <w:ind w:left="49"/>
              <w:rPr>
                <w:sz w:val="15"/>
              </w:rPr>
            </w:pPr>
            <w:r>
              <w:rPr>
                <w:sz w:val="15"/>
              </w:rPr>
              <w:t>$ 167.00</w:t>
            </w:r>
          </w:p>
        </w:tc>
        <w:tc>
          <w:tcPr>
            <w:tcW w:w="3507" w:type="dxa"/>
          </w:tcPr>
          <w:p>
            <w:pPr>
              <w:pStyle w:val="TableParagraph"/>
              <w:spacing w:before="22"/>
              <w:ind w:right="61"/>
              <w:jc w:val="right"/>
              <w:rPr>
                <w:sz w:val="15"/>
              </w:rPr>
            </w:pPr>
            <w:r>
              <w:rPr>
                <w:sz w:val="15"/>
              </w:rPr>
              <w:t>246</w:t>
            </w:r>
          </w:p>
        </w:tc>
        <w:tc>
          <w:tcPr>
            <w:tcW w:w="3538" w:type="dxa"/>
          </w:tcPr>
          <w:p>
            <w:pPr>
              <w:pStyle w:val="TableParagraph"/>
              <w:spacing w:before="22"/>
              <w:ind w:left="60"/>
              <w:rPr>
                <w:sz w:val="15"/>
              </w:rPr>
            </w:pPr>
            <w:r>
              <w:rPr>
                <w:sz w:val="15"/>
              </w:rPr>
              <w:t>TRES REYES DE CAJITITLAN</w:t>
            </w:r>
          </w:p>
        </w:tc>
        <w:tc>
          <w:tcPr>
            <w:tcW w:w="1440" w:type="dxa"/>
          </w:tcPr>
          <w:p>
            <w:pPr>
              <w:pStyle w:val="TableParagraph"/>
              <w:spacing w:line="156" w:lineRule="exact" w:before="44"/>
              <w:ind w:right="50"/>
              <w:jc w:val="right"/>
              <w:rPr>
                <w:sz w:val="15"/>
              </w:rPr>
            </w:pPr>
            <w:r>
              <w:rPr>
                <w:sz w:val="15"/>
              </w:rPr>
              <w:t>$ 174.00</w:t>
            </w:r>
          </w:p>
        </w:tc>
      </w:tr>
      <w:tr>
        <w:trPr>
          <w:trHeight w:val="220" w:hRule="atLeast"/>
        </w:trPr>
        <w:tc>
          <w:tcPr>
            <w:tcW w:w="4604" w:type="dxa"/>
            <w:gridSpan w:val="2"/>
          </w:tcPr>
          <w:p>
            <w:pPr>
              <w:pStyle w:val="TableParagraph"/>
              <w:spacing w:before="1"/>
              <w:ind w:left="50"/>
              <w:rPr>
                <w:sz w:val="15"/>
              </w:rPr>
            </w:pPr>
            <w:r>
              <w:rPr>
                <w:sz w:val="15"/>
              </w:rPr>
              <w:t>203 SECCIÓN JARDINES</w:t>
            </w:r>
          </w:p>
        </w:tc>
        <w:tc>
          <w:tcPr>
            <w:tcW w:w="3881" w:type="dxa"/>
          </w:tcPr>
          <w:p>
            <w:pPr>
              <w:pStyle w:val="TableParagraph"/>
              <w:spacing w:before="23"/>
              <w:ind w:left="49"/>
              <w:rPr>
                <w:sz w:val="15"/>
              </w:rPr>
            </w:pPr>
            <w:r>
              <w:rPr>
                <w:sz w:val="15"/>
              </w:rPr>
              <w:t>$ 166.00</w:t>
            </w:r>
          </w:p>
        </w:tc>
        <w:tc>
          <w:tcPr>
            <w:tcW w:w="3507" w:type="dxa"/>
          </w:tcPr>
          <w:p>
            <w:pPr>
              <w:pStyle w:val="TableParagraph"/>
              <w:spacing w:before="22"/>
              <w:ind w:right="61"/>
              <w:jc w:val="right"/>
              <w:rPr>
                <w:sz w:val="15"/>
              </w:rPr>
            </w:pPr>
            <w:r>
              <w:rPr>
                <w:sz w:val="15"/>
              </w:rPr>
              <w:t>247</w:t>
            </w:r>
          </w:p>
        </w:tc>
        <w:tc>
          <w:tcPr>
            <w:tcW w:w="3538" w:type="dxa"/>
          </w:tcPr>
          <w:p>
            <w:pPr>
              <w:pStyle w:val="TableParagraph"/>
              <w:spacing w:before="22"/>
              <w:ind w:left="60"/>
              <w:rPr>
                <w:sz w:val="15"/>
              </w:rPr>
            </w:pPr>
            <w:r>
              <w:rPr>
                <w:sz w:val="15"/>
              </w:rPr>
              <w:t>ORBARA HABITAT</w:t>
            </w:r>
          </w:p>
        </w:tc>
        <w:tc>
          <w:tcPr>
            <w:tcW w:w="1440" w:type="dxa"/>
          </w:tcPr>
          <w:p>
            <w:pPr>
              <w:pStyle w:val="TableParagraph"/>
              <w:spacing w:line="156" w:lineRule="exact" w:before="44"/>
              <w:ind w:right="50"/>
              <w:jc w:val="right"/>
              <w:rPr>
                <w:sz w:val="15"/>
              </w:rPr>
            </w:pPr>
            <w:r>
              <w:rPr>
                <w:sz w:val="15"/>
              </w:rPr>
              <w:t>$ 158.00</w:t>
            </w:r>
          </w:p>
        </w:tc>
      </w:tr>
      <w:tr>
        <w:trPr>
          <w:trHeight w:val="220" w:hRule="atLeast"/>
        </w:trPr>
        <w:tc>
          <w:tcPr>
            <w:tcW w:w="4604" w:type="dxa"/>
            <w:gridSpan w:val="2"/>
          </w:tcPr>
          <w:p>
            <w:pPr>
              <w:pStyle w:val="TableParagraph"/>
              <w:spacing w:before="1"/>
              <w:ind w:left="50"/>
              <w:rPr>
                <w:sz w:val="15"/>
              </w:rPr>
            </w:pPr>
            <w:r>
              <w:rPr>
                <w:sz w:val="15"/>
              </w:rPr>
              <w:t>204 SENDERO DE MONTEVERDE</w:t>
            </w:r>
          </w:p>
        </w:tc>
        <w:tc>
          <w:tcPr>
            <w:tcW w:w="3881" w:type="dxa"/>
          </w:tcPr>
          <w:p>
            <w:pPr>
              <w:pStyle w:val="TableParagraph"/>
              <w:spacing w:before="23"/>
              <w:ind w:left="49"/>
              <w:rPr>
                <w:sz w:val="15"/>
              </w:rPr>
            </w:pPr>
            <w:r>
              <w:rPr>
                <w:sz w:val="15"/>
              </w:rPr>
              <w:t>$ 186.00</w:t>
            </w:r>
          </w:p>
        </w:tc>
        <w:tc>
          <w:tcPr>
            <w:tcW w:w="3507" w:type="dxa"/>
          </w:tcPr>
          <w:p>
            <w:pPr>
              <w:pStyle w:val="TableParagraph"/>
              <w:spacing w:before="22"/>
              <w:ind w:right="61"/>
              <w:jc w:val="right"/>
              <w:rPr>
                <w:sz w:val="15"/>
              </w:rPr>
            </w:pPr>
            <w:r>
              <w:rPr>
                <w:sz w:val="15"/>
              </w:rPr>
              <w:t>248</w:t>
            </w:r>
          </w:p>
        </w:tc>
        <w:tc>
          <w:tcPr>
            <w:tcW w:w="3538" w:type="dxa"/>
          </w:tcPr>
          <w:p>
            <w:pPr>
              <w:pStyle w:val="TableParagraph"/>
              <w:spacing w:before="22"/>
              <w:ind w:left="60"/>
              <w:rPr>
                <w:sz w:val="15"/>
              </w:rPr>
            </w:pPr>
            <w:r>
              <w:rPr>
                <w:sz w:val="15"/>
              </w:rPr>
              <w:t>PEDREGAL DE SAN MIGUEL</w:t>
            </w:r>
          </w:p>
        </w:tc>
        <w:tc>
          <w:tcPr>
            <w:tcW w:w="1440" w:type="dxa"/>
          </w:tcPr>
          <w:p>
            <w:pPr>
              <w:pStyle w:val="TableParagraph"/>
              <w:spacing w:line="156" w:lineRule="exact" w:before="44"/>
              <w:ind w:right="50"/>
              <w:jc w:val="right"/>
              <w:rPr>
                <w:sz w:val="15"/>
              </w:rPr>
            </w:pPr>
            <w:r>
              <w:rPr>
                <w:sz w:val="15"/>
              </w:rPr>
              <w:t>$ 174.00</w:t>
            </w:r>
          </w:p>
        </w:tc>
      </w:tr>
      <w:tr>
        <w:trPr>
          <w:trHeight w:val="220" w:hRule="atLeast"/>
        </w:trPr>
        <w:tc>
          <w:tcPr>
            <w:tcW w:w="4604" w:type="dxa"/>
            <w:gridSpan w:val="2"/>
          </w:tcPr>
          <w:p>
            <w:pPr>
              <w:pStyle w:val="TableParagraph"/>
              <w:spacing w:before="1"/>
              <w:ind w:left="50"/>
              <w:rPr>
                <w:sz w:val="15"/>
              </w:rPr>
            </w:pPr>
            <w:r>
              <w:rPr>
                <w:sz w:val="15"/>
              </w:rPr>
              <w:t>205 SENDERO REAL</w:t>
            </w:r>
          </w:p>
        </w:tc>
        <w:tc>
          <w:tcPr>
            <w:tcW w:w="3881" w:type="dxa"/>
          </w:tcPr>
          <w:p>
            <w:pPr>
              <w:pStyle w:val="TableParagraph"/>
              <w:spacing w:before="23"/>
              <w:ind w:left="49"/>
              <w:rPr>
                <w:sz w:val="15"/>
              </w:rPr>
            </w:pPr>
            <w:r>
              <w:rPr>
                <w:sz w:val="15"/>
              </w:rPr>
              <w:t>$ 78.00</w:t>
            </w:r>
          </w:p>
        </w:tc>
        <w:tc>
          <w:tcPr>
            <w:tcW w:w="3507" w:type="dxa"/>
          </w:tcPr>
          <w:p>
            <w:pPr>
              <w:pStyle w:val="TableParagraph"/>
              <w:spacing w:before="22"/>
              <w:ind w:right="61"/>
              <w:jc w:val="right"/>
              <w:rPr>
                <w:sz w:val="15"/>
              </w:rPr>
            </w:pPr>
            <w:r>
              <w:rPr>
                <w:sz w:val="15"/>
              </w:rPr>
              <w:t>249</w:t>
            </w:r>
          </w:p>
        </w:tc>
        <w:tc>
          <w:tcPr>
            <w:tcW w:w="3538" w:type="dxa"/>
          </w:tcPr>
          <w:p>
            <w:pPr>
              <w:pStyle w:val="TableParagraph"/>
              <w:spacing w:before="22"/>
              <w:ind w:left="60"/>
              <w:rPr>
                <w:sz w:val="15"/>
              </w:rPr>
            </w:pPr>
            <w:r>
              <w:rPr>
                <w:sz w:val="15"/>
              </w:rPr>
              <w:t>PUESTA DEL SOL</w:t>
            </w:r>
          </w:p>
        </w:tc>
        <w:tc>
          <w:tcPr>
            <w:tcW w:w="1440" w:type="dxa"/>
          </w:tcPr>
          <w:p>
            <w:pPr>
              <w:pStyle w:val="TableParagraph"/>
              <w:spacing w:line="156" w:lineRule="exact" w:before="44"/>
              <w:ind w:right="50"/>
              <w:jc w:val="right"/>
              <w:rPr>
                <w:sz w:val="15"/>
              </w:rPr>
            </w:pPr>
            <w:r>
              <w:rPr>
                <w:sz w:val="15"/>
              </w:rPr>
              <w:t>$ 78.00</w:t>
            </w:r>
          </w:p>
        </w:tc>
      </w:tr>
      <w:tr>
        <w:trPr>
          <w:trHeight w:val="220" w:hRule="atLeast"/>
        </w:trPr>
        <w:tc>
          <w:tcPr>
            <w:tcW w:w="4604" w:type="dxa"/>
            <w:gridSpan w:val="2"/>
          </w:tcPr>
          <w:p>
            <w:pPr>
              <w:pStyle w:val="TableParagraph"/>
              <w:spacing w:before="1"/>
              <w:ind w:left="50"/>
              <w:rPr>
                <w:sz w:val="15"/>
              </w:rPr>
            </w:pPr>
            <w:r>
              <w:rPr>
                <w:sz w:val="15"/>
              </w:rPr>
              <w:t>206 SENDEROS DEL VALLE</w:t>
            </w:r>
          </w:p>
        </w:tc>
        <w:tc>
          <w:tcPr>
            <w:tcW w:w="3881" w:type="dxa"/>
          </w:tcPr>
          <w:p>
            <w:pPr>
              <w:pStyle w:val="TableParagraph"/>
              <w:spacing w:before="23"/>
              <w:ind w:left="49"/>
              <w:rPr>
                <w:sz w:val="15"/>
              </w:rPr>
            </w:pPr>
            <w:r>
              <w:rPr>
                <w:sz w:val="15"/>
              </w:rPr>
              <w:t>$ 74.00</w:t>
            </w:r>
          </w:p>
        </w:tc>
        <w:tc>
          <w:tcPr>
            <w:tcW w:w="3507" w:type="dxa"/>
          </w:tcPr>
          <w:p>
            <w:pPr>
              <w:pStyle w:val="TableParagraph"/>
              <w:spacing w:before="22"/>
              <w:ind w:right="61"/>
              <w:jc w:val="right"/>
              <w:rPr>
                <w:sz w:val="15"/>
              </w:rPr>
            </w:pPr>
            <w:r>
              <w:rPr>
                <w:sz w:val="15"/>
              </w:rPr>
              <w:t>250</w:t>
            </w:r>
          </w:p>
        </w:tc>
        <w:tc>
          <w:tcPr>
            <w:tcW w:w="3538" w:type="dxa"/>
          </w:tcPr>
          <w:p>
            <w:pPr>
              <w:pStyle w:val="TableParagraph"/>
              <w:spacing w:before="22"/>
              <w:ind w:left="60"/>
              <w:rPr>
                <w:sz w:val="15"/>
              </w:rPr>
            </w:pPr>
            <w:r>
              <w:rPr>
                <w:sz w:val="15"/>
              </w:rPr>
              <w:t>RINCONADA DE LOS NARANJOS</w:t>
            </w:r>
          </w:p>
        </w:tc>
        <w:tc>
          <w:tcPr>
            <w:tcW w:w="1440" w:type="dxa"/>
          </w:tcPr>
          <w:p>
            <w:pPr>
              <w:pStyle w:val="TableParagraph"/>
              <w:spacing w:line="156" w:lineRule="exact" w:before="44"/>
              <w:ind w:right="50"/>
              <w:jc w:val="right"/>
              <w:rPr>
                <w:sz w:val="15"/>
              </w:rPr>
            </w:pPr>
            <w:r>
              <w:rPr>
                <w:sz w:val="15"/>
              </w:rPr>
              <w:t>$ 158.00</w:t>
            </w:r>
          </w:p>
        </w:tc>
      </w:tr>
      <w:tr>
        <w:trPr>
          <w:trHeight w:val="220" w:hRule="atLeast"/>
        </w:trPr>
        <w:tc>
          <w:tcPr>
            <w:tcW w:w="4604" w:type="dxa"/>
            <w:gridSpan w:val="2"/>
          </w:tcPr>
          <w:p>
            <w:pPr>
              <w:pStyle w:val="TableParagraph"/>
              <w:spacing w:before="1"/>
              <w:ind w:left="50"/>
              <w:rPr>
                <w:sz w:val="15"/>
              </w:rPr>
            </w:pPr>
            <w:r>
              <w:rPr>
                <w:sz w:val="15"/>
              </w:rPr>
              <w:t>207 SENDEROS LAS MORAS</w:t>
            </w:r>
          </w:p>
        </w:tc>
        <w:tc>
          <w:tcPr>
            <w:tcW w:w="3881" w:type="dxa"/>
          </w:tcPr>
          <w:p>
            <w:pPr>
              <w:pStyle w:val="TableParagraph"/>
              <w:spacing w:before="23"/>
              <w:ind w:left="49"/>
              <w:rPr>
                <w:sz w:val="15"/>
              </w:rPr>
            </w:pPr>
            <w:r>
              <w:rPr>
                <w:sz w:val="15"/>
              </w:rPr>
              <w:t>$ 166.00</w:t>
            </w:r>
          </w:p>
        </w:tc>
        <w:tc>
          <w:tcPr>
            <w:tcW w:w="3507" w:type="dxa"/>
          </w:tcPr>
          <w:p>
            <w:pPr>
              <w:pStyle w:val="TableParagraph"/>
              <w:spacing w:before="22"/>
              <w:ind w:right="61"/>
              <w:jc w:val="right"/>
              <w:rPr>
                <w:sz w:val="15"/>
              </w:rPr>
            </w:pPr>
            <w:r>
              <w:rPr>
                <w:sz w:val="15"/>
              </w:rPr>
              <w:t>251</w:t>
            </w:r>
          </w:p>
        </w:tc>
        <w:tc>
          <w:tcPr>
            <w:tcW w:w="3538" w:type="dxa"/>
          </w:tcPr>
          <w:p>
            <w:pPr>
              <w:pStyle w:val="TableParagraph"/>
              <w:spacing w:before="22"/>
              <w:ind w:left="60"/>
              <w:rPr>
                <w:sz w:val="15"/>
              </w:rPr>
            </w:pPr>
            <w:r>
              <w:rPr>
                <w:sz w:val="15"/>
              </w:rPr>
              <w:t>FRACCIONAMIENTO SANTA FE</w:t>
            </w:r>
          </w:p>
        </w:tc>
        <w:tc>
          <w:tcPr>
            <w:tcW w:w="1440" w:type="dxa"/>
          </w:tcPr>
          <w:p>
            <w:pPr>
              <w:pStyle w:val="TableParagraph"/>
              <w:spacing w:line="156" w:lineRule="exact" w:before="44"/>
              <w:ind w:right="50"/>
              <w:jc w:val="right"/>
              <w:rPr>
                <w:sz w:val="15"/>
              </w:rPr>
            </w:pPr>
            <w:r>
              <w:rPr>
                <w:sz w:val="15"/>
              </w:rPr>
              <w:t>$ 78.00</w:t>
            </w:r>
          </w:p>
        </w:tc>
      </w:tr>
      <w:tr>
        <w:trPr>
          <w:trHeight w:val="220" w:hRule="atLeast"/>
        </w:trPr>
        <w:tc>
          <w:tcPr>
            <w:tcW w:w="4604" w:type="dxa"/>
            <w:gridSpan w:val="2"/>
          </w:tcPr>
          <w:p>
            <w:pPr>
              <w:pStyle w:val="TableParagraph"/>
              <w:spacing w:before="1"/>
              <w:ind w:left="50"/>
              <w:rPr>
                <w:sz w:val="15"/>
              </w:rPr>
            </w:pPr>
            <w:r>
              <w:rPr>
                <w:sz w:val="15"/>
              </w:rPr>
              <w:t>208 SILOS</w:t>
            </w:r>
          </w:p>
        </w:tc>
        <w:tc>
          <w:tcPr>
            <w:tcW w:w="3881" w:type="dxa"/>
          </w:tcPr>
          <w:p>
            <w:pPr>
              <w:pStyle w:val="TableParagraph"/>
              <w:spacing w:before="23"/>
              <w:ind w:left="49"/>
              <w:rPr>
                <w:sz w:val="15"/>
              </w:rPr>
            </w:pPr>
            <w:r>
              <w:rPr>
                <w:sz w:val="15"/>
              </w:rPr>
              <w:t>$ 70.00</w:t>
            </w:r>
          </w:p>
        </w:tc>
        <w:tc>
          <w:tcPr>
            <w:tcW w:w="3507" w:type="dxa"/>
          </w:tcPr>
          <w:p>
            <w:pPr>
              <w:pStyle w:val="TableParagraph"/>
              <w:spacing w:before="22"/>
              <w:ind w:right="61"/>
              <w:jc w:val="right"/>
              <w:rPr>
                <w:sz w:val="15"/>
              </w:rPr>
            </w:pPr>
            <w:r>
              <w:rPr>
                <w:sz w:val="15"/>
              </w:rPr>
              <w:t>252</w:t>
            </w:r>
          </w:p>
        </w:tc>
        <w:tc>
          <w:tcPr>
            <w:tcW w:w="3538" w:type="dxa"/>
          </w:tcPr>
          <w:p>
            <w:pPr>
              <w:pStyle w:val="TableParagraph"/>
              <w:spacing w:before="22"/>
              <w:ind w:left="60"/>
              <w:rPr>
                <w:sz w:val="15"/>
              </w:rPr>
            </w:pPr>
            <w:r>
              <w:rPr>
                <w:sz w:val="15"/>
              </w:rPr>
              <w:t>VILLA SAN JOSE</w:t>
            </w:r>
          </w:p>
        </w:tc>
        <w:tc>
          <w:tcPr>
            <w:tcW w:w="1440" w:type="dxa"/>
          </w:tcPr>
          <w:p>
            <w:pPr>
              <w:pStyle w:val="TableParagraph"/>
              <w:spacing w:line="156" w:lineRule="exact" w:before="44"/>
              <w:ind w:right="50"/>
              <w:jc w:val="right"/>
              <w:rPr>
                <w:sz w:val="15"/>
              </w:rPr>
            </w:pPr>
            <w:r>
              <w:rPr>
                <w:sz w:val="15"/>
              </w:rPr>
              <w:t>$ 78.00</w:t>
            </w:r>
          </w:p>
        </w:tc>
      </w:tr>
      <w:tr>
        <w:trPr>
          <w:trHeight w:val="220" w:hRule="atLeast"/>
        </w:trPr>
        <w:tc>
          <w:tcPr>
            <w:tcW w:w="4604" w:type="dxa"/>
            <w:gridSpan w:val="2"/>
          </w:tcPr>
          <w:p>
            <w:pPr>
              <w:pStyle w:val="TableParagraph"/>
              <w:spacing w:before="1"/>
              <w:ind w:left="50"/>
              <w:rPr>
                <w:sz w:val="15"/>
              </w:rPr>
            </w:pPr>
            <w:r>
              <w:rPr>
                <w:sz w:val="15"/>
              </w:rPr>
              <w:t>209 SORRENTO</w:t>
            </w:r>
          </w:p>
        </w:tc>
        <w:tc>
          <w:tcPr>
            <w:tcW w:w="3881" w:type="dxa"/>
          </w:tcPr>
          <w:p>
            <w:pPr>
              <w:pStyle w:val="TableParagraph"/>
              <w:spacing w:before="23"/>
              <w:ind w:left="49"/>
              <w:rPr>
                <w:sz w:val="15"/>
              </w:rPr>
            </w:pPr>
            <w:r>
              <w:rPr>
                <w:sz w:val="15"/>
              </w:rPr>
              <w:t>$ 167.00</w:t>
            </w:r>
          </w:p>
        </w:tc>
        <w:tc>
          <w:tcPr>
            <w:tcW w:w="3507" w:type="dxa"/>
          </w:tcPr>
          <w:p>
            <w:pPr>
              <w:pStyle w:val="TableParagraph"/>
              <w:spacing w:before="22"/>
              <w:ind w:right="61"/>
              <w:jc w:val="right"/>
              <w:rPr>
                <w:sz w:val="15"/>
              </w:rPr>
            </w:pPr>
            <w:r>
              <w:rPr>
                <w:sz w:val="15"/>
              </w:rPr>
              <w:t>253</w:t>
            </w:r>
          </w:p>
        </w:tc>
        <w:tc>
          <w:tcPr>
            <w:tcW w:w="3538" w:type="dxa"/>
          </w:tcPr>
          <w:p>
            <w:pPr>
              <w:pStyle w:val="TableParagraph"/>
              <w:spacing w:before="22"/>
              <w:ind w:left="60"/>
              <w:rPr>
                <w:sz w:val="15"/>
              </w:rPr>
            </w:pPr>
            <w:r>
              <w:rPr>
                <w:sz w:val="15"/>
              </w:rPr>
              <w:t>JARDINES DE SANTA MARIA</w:t>
            </w:r>
          </w:p>
        </w:tc>
        <w:tc>
          <w:tcPr>
            <w:tcW w:w="1440" w:type="dxa"/>
          </w:tcPr>
          <w:p>
            <w:pPr>
              <w:pStyle w:val="TableParagraph"/>
              <w:spacing w:line="156" w:lineRule="exact" w:before="44"/>
              <w:ind w:right="50"/>
              <w:jc w:val="right"/>
              <w:rPr>
                <w:sz w:val="15"/>
              </w:rPr>
            </w:pPr>
            <w:r>
              <w:rPr>
                <w:sz w:val="15"/>
              </w:rPr>
              <w:t>$ 167.00</w:t>
            </w:r>
          </w:p>
        </w:tc>
      </w:tr>
      <w:tr>
        <w:trPr>
          <w:trHeight w:val="220" w:hRule="atLeast"/>
        </w:trPr>
        <w:tc>
          <w:tcPr>
            <w:tcW w:w="4604" w:type="dxa"/>
            <w:gridSpan w:val="2"/>
          </w:tcPr>
          <w:p>
            <w:pPr>
              <w:pStyle w:val="TableParagraph"/>
              <w:spacing w:before="1"/>
              <w:ind w:left="50"/>
              <w:rPr>
                <w:sz w:val="15"/>
              </w:rPr>
            </w:pPr>
            <w:r>
              <w:rPr>
                <w:sz w:val="15"/>
              </w:rPr>
              <w:t>210 TIERRA Y ESPERANZA</w:t>
            </w:r>
          </w:p>
        </w:tc>
        <w:tc>
          <w:tcPr>
            <w:tcW w:w="3881" w:type="dxa"/>
          </w:tcPr>
          <w:p>
            <w:pPr>
              <w:pStyle w:val="TableParagraph"/>
              <w:spacing w:before="23"/>
              <w:ind w:left="49"/>
              <w:rPr>
                <w:sz w:val="15"/>
              </w:rPr>
            </w:pPr>
            <w:r>
              <w:rPr>
                <w:sz w:val="15"/>
              </w:rPr>
              <w:t>$ 78.00</w:t>
            </w:r>
          </w:p>
        </w:tc>
        <w:tc>
          <w:tcPr>
            <w:tcW w:w="3507" w:type="dxa"/>
          </w:tcPr>
          <w:p>
            <w:pPr>
              <w:pStyle w:val="TableParagraph"/>
              <w:spacing w:before="22"/>
              <w:ind w:right="61"/>
              <w:jc w:val="right"/>
              <w:rPr>
                <w:sz w:val="15"/>
              </w:rPr>
            </w:pPr>
            <w:r>
              <w:rPr>
                <w:sz w:val="15"/>
              </w:rPr>
              <w:t>254</w:t>
            </w:r>
          </w:p>
        </w:tc>
        <w:tc>
          <w:tcPr>
            <w:tcW w:w="3538" w:type="dxa"/>
          </w:tcPr>
          <w:p>
            <w:pPr>
              <w:pStyle w:val="TableParagraph"/>
              <w:spacing w:before="22"/>
              <w:ind w:left="60"/>
              <w:rPr>
                <w:sz w:val="15"/>
              </w:rPr>
            </w:pPr>
            <w:r>
              <w:rPr>
                <w:sz w:val="15"/>
              </w:rPr>
              <w:t>OPORTO RESIDENCIAL</w:t>
            </w:r>
          </w:p>
        </w:tc>
        <w:tc>
          <w:tcPr>
            <w:tcW w:w="1440" w:type="dxa"/>
          </w:tcPr>
          <w:p>
            <w:pPr>
              <w:pStyle w:val="TableParagraph"/>
              <w:spacing w:line="156" w:lineRule="exact" w:before="44"/>
              <w:ind w:right="50"/>
              <w:jc w:val="right"/>
              <w:rPr>
                <w:sz w:val="15"/>
              </w:rPr>
            </w:pPr>
            <w:r>
              <w:rPr>
                <w:sz w:val="15"/>
              </w:rPr>
              <w:t>$ 95.00</w:t>
            </w:r>
          </w:p>
        </w:tc>
      </w:tr>
      <w:tr>
        <w:trPr>
          <w:trHeight w:val="220" w:hRule="atLeast"/>
        </w:trPr>
        <w:tc>
          <w:tcPr>
            <w:tcW w:w="4604" w:type="dxa"/>
            <w:gridSpan w:val="2"/>
          </w:tcPr>
          <w:p>
            <w:pPr>
              <w:pStyle w:val="TableParagraph"/>
              <w:spacing w:before="1"/>
              <w:ind w:left="50"/>
              <w:rPr>
                <w:sz w:val="15"/>
              </w:rPr>
            </w:pPr>
            <w:r>
              <w:rPr>
                <w:sz w:val="15"/>
              </w:rPr>
              <w:t>211 VALLE DE LAS FLORES</w:t>
            </w:r>
          </w:p>
        </w:tc>
        <w:tc>
          <w:tcPr>
            <w:tcW w:w="3881" w:type="dxa"/>
          </w:tcPr>
          <w:p>
            <w:pPr>
              <w:pStyle w:val="TableParagraph"/>
              <w:spacing w:before="23"/>
              <w:ind w:left="49"/>
              <w:rPr>
                <w:sz w:val="15"/>
              </w:rPr>
            </w:pPr>
            <w:r>
              <w:rPr>
                <w:sz w:val="15"/>
              </w:rPr>
              <w:t>$ 166.00</w:t>
            </w:r>
          </w:p>
        </w:tc>
        <w:tc>
          <w:tcPr>
            <w:tcW w:w="3507" w:type="dxa"/>
          </w:tcPr>
          <w:p>
            <w:pPr>
              <w:pStyle w:val="TableParagraph"/>
              <w:spacing w:before="22"/>
              <w:ind w:right="61"/>
              <w:jc w:val="right"/>
              <w:rPr>
                <w:sz w:val="15"/>
              </w:rPr>
            </w:pPr>
            <w:r>
              <w:rPr>
                <w:sz w:val="15"/>
              </w:rPr>
              <w:t>255</w:t>
            </w:r>
          </w:p>
        </w:tc>
        <w:tc>
          <w:tcPr>
            <w:tcW w:w="3538" w:type="dxa"/>
          </w:tcPr>
          <w:p>
            <w:pPr>
              <w:pStyle w:val="TableParagraph"/>
              <w:spacing w:before="22"/>
              <w:ind w:left="60"/>
              <w:rPr>
                <w:sz w:val="15"/>
              </w:rPr>
            </w:pPr>
            <w:r>
              <w:rPr>
                <w:sz w:val="15"/>
              </w:rPr>
              <w:t>REAL DEL BOSQUE</w:t>
            </w:r>
          </w:p>
        </w:tc>
        <w:tc>
          <w:tcPr>
            <w:tcW w:w="1440" w:type="dxa"/>
          </w:tcPr>
          <w:p>
            <w:pPr>
              <w:pStyle w:val="TableParagraph"/>
              <w:spacing w:line="156" w:lineRule="exact" w:before="44"/>
              <w:ind w:right="50"/>
              <w:jc w:val="right"/>
              <w:rPr>
                <w:sz w:val="15"/>
              </w:rPr>
            </w:pPr>
            <w:r>
              <w:rPr>
                <w:sz w:val="15"/>
              </w:rPr>
              <w:t>$ 166.00</w:t>
            </w:r>
          </w:p>
        </w:tc>
      </w:tr>
      <w:tr>
        <w:trPr>
          <w:trHeight w:val="220" w:hRule="atLeast"/>
        </w:trPr>
        <w:tc>
          <w:tcPr>
            <w:tcW w:w="4604" w:type="dxa"/>
            <w:gridSpan w:val="2"/>
          </w:tcPr>
          <w:p>
            <w:pPr>
              <w:pStyle w:val="TableParagraph"/>
              <w:spacing w:before="1"/>
              <w:ind w:left="50"/>
              <w:rPr>
                <w:sz w:val="15"/>
              </w:rPr>
            </w:pPr>
            <w:r>
              <w:rPr>
                <w:sz w:val="15"/>
              </w:rPr>
              <w:t>212 VALLE DE LOS EMPERADORES</w:t>
            </w:r>
          </w:p>
        </w:tc>
        <w:tc>
          <w:tcPr>
            <w:tcW w:w="3881" w:type="dxa"/>
          </w:tcPr>
          <w:p>
            <w:pPr>
              <w:pStyle w:val="TableParagraph"/>
              <w:spacing w:before="23"/>
              <w:ind w:left="49"/>
              <w:rPr>
                <w:sz w:val="15"/>
              </w:rPr>
            </w:pPr>
            <w:r>
              <w:rPr>
                <w:sz w:val="15"/>
              </w:rPr>
              <w:t>$ 74.00</w:t>
            </w:r>
          </w:p>
        </w:tc>
        <w:tc>
          <w:tcPr>
            <w:tcW w:w="3507" w:type="dxa"/>
          </w:tcPr>
          <w:p>
            <w:pPr>
              <w:pStyle w:val="TableParagraph"/>
              <w:spacing w:before="22"/>
              <w:ind w:right="61"/>
              <w:jc w:val="right"/>
              <w:rPr>
                <w:sz w:val="15"/>
              </w:rPr>
            </w:pPr>
            <w:r>
              <w:rPr>
                <w:sz w:val="15"/>
              </w:rPr>
              <w:t>256</w:t>
            </w:r>
          </w:p>
        </w:tc>
        <w:tc>
          <w:tcPr>
            <w:tcW w:w="3538" w:type="dxa"/>
          </w:tcPr>
          <w:p>
            <w:pPr>
              <w:pStyle w:val="TableParagraph"/>
              <w:spacing w:before="22"/>
              <w:ind w:left="60"/>
              <w:rPr>
                <w:sz w:val="15"/>
              </w:rPr>
            </w:pPr>
            <w:r>
              <w:rPr>
                <w:sz w:val="15"/>
              </w:rPr>
              <w:t>RINCONADA LAS VILLAS</w:t>
            </w:r>
          </w:p>
        </w:tc>
        <w:tc>
          <w:tcPr>
            <w:tcW w:w="1440" w:type="dxa"/>
          </w:tcPr>
          <w:p>
            <w:pPr>
              <w:pStyle w:val="TableParagraph"/>
              <w:spacing w:line="156" w:lineRule="exact" w:before="44"/>
              <w:ind w:right="50"/>
              <w:jc w:val="right"/>
              <w:rPr>
                <w:sz w:val="15"/>
              </w:rPr>
            </w:pPr>
            <w:r>
              <w:rPr>
                <w:sz w:val="15"/>
              </w:rPr>
              <w:t>$ 158.00</w:t>
            </w:r>
          </w:p>
        </w:tc>
      </w:tr>
      <w:tr>
        <w:trPr>
          <w:trHeight w:val="220" w:hRule="atLeast"/>
        </w:trPr>
        <w:tc>
          <w:tcPr>
            <w:tcW w:w="4604" w:type="dxa"/>
            <w:gridSpan w:val="2"/>
          </w:tcPr>
          <w:p>
            <w:pPr>
              <w:pStyle w:val="TableParagraph"/>
              <w:spacing w:before="1"/>
              <w:ind w:left="50"/>
              <w:rPr>
                <w:sz w:val="15"/>
              </w:rPr>
            </w:pPr>
            <w:r>
              <w:rPr>
                <w:sz w:val="15"/>
              </w:rPr>
              <w:t>213 VALLE DE LOS ENCINOS</w:t>
            </w:r>
          </w:p>
        </w:tc>
        <w:tc>
          <w:tcPr>
            <w:tcW w:w="3881" w:type="dxa"/>
          </w:tcPr>
          <w:p>
            <w:pPr>
              <w:pStyle w:val="TableParagraph"/>
              <w:spacing w:before="23"/>
              <w:ind w:left="49"/>
              <w:rPr>
                <w:sz w:val="15"/>
              </w:rPr>
            </w:pPr>
            <w:r>
              <w:rPr>
                <w:sz w:val="15"/>
              </w:rPr>
              <w:t>$ 78.00</w:t>
            </w:r>
          </w:p>
        </w:tc>
        <w:tc>
          <w:tcPr>
            <w:tcW w:w="3507" w:type="dxa"/>
          </w:tcPr>
          <w:p>
            <w:pPr>
              <w:pStyle w:val="TableParagraph"/>
              <w:spacing w:before="22"/>
              <w:ind w:right="61"/>
              <w:jc w:val="right"/>
              <w:rPr>
                <w:sz w:val="15"/>
              </w:rPr>
            </w:pPr>
            <w:r>
              <w:rPr>
                <w:sz w:val="15"/>
              </w:rPr>
              <w:t>257</w:t>
            </w:r>
          </w:p>
        </w:tc>
        <w:tc>
          <w:tcPr>
            <w:tcW w:w="3538" w:type="dxa"/>
          </w:tcPr>
          <w:p>
            <w:pPr>
              <w:pStyle w:val="TableParagraph"/>
              <w:spacing w:before="22"/>
              <w:ind w:left="60"/>
              <w:rPr>
                <w:sz w:val="15"/>
              </w:rPr>
            </w:pPr>
            <w:r>
              <w:rPr>
                <w:sz w:val="15"/>
              </w:rPr>
              <w:t>SAN REMO</w:t>
            </w:r>
          </w:p>
        </w:tc>
        <w:tc>
          <w:tcPr>
            <w:tcW w:w="1440" w:type="dxa"/>
          </w:tcPr>
          <w:p>
            <w:pPr>
              <w:pStyle w:val="TableParagraph"/>
              <w:spacing w:line="156" w:lineRule="exact" w:before="44"/>
              <w:ind w:right="50"/>
              <w:jc w:val="right"/>
              <w:rPr>
                <w:sz w:val="15"/>
              </w:rPr>
            </w:pPr>
            <w:r>
              <w:rPr>
                <w:sz w:val="15"/>
              </w:rPr>
              <w:t>$ 78.00</w:t>
            </w:r>
          </w:p>
        </w:tc>
      </w:tr>
      <w:tr>
        <w:trPr>
          <w:trHeight w:val="220" w:hRule="atLeast"/>
        </w:trPr>
        <w:tc>
          <w:tcPr>
            <w:tcW w:w="4604" w:type="dxa"/>
            <w:gridSpan w:val="2"/>
          </w:tcPr>
          <w:p>
            <w:pPr>
              <w:pStyle w:val="TableParagraph"/>
              <w:spacing w:before="1"/>
              <w:ind w:left="50"/>
              <w:rPr>
                <w:sz w:val="15"/>
              </w:rPr>
            </w:pPr>
            <w:r>
              <w:rPr>
                <w:sz w:val="15"/>
              </w:rPr>
              <w:t>214 VALLE DE SAN SEBASTIAN</w:t>
            </w:r>
          </w:p>
        </w:tc>
        <w:tc>
          <w:tcPr>
            <w:tcW w:w="3881" w:type="dxa"/>
          </w:tcPr>
          <w:p>
            <w:pPr>
              <w:pStyle w:val="TableParagraph"/>
              <w:spacing w:before="23"/>
              <w:ind w:left="49"/>
              <w:rPr>
                <w:sz w:val="15"/>
              </w:rPr>
            </w:pPr>
            <w:r>
              <w:rPr>
                <w:sz w:val="15"/>
              </w:rPr>
              <w:t>$ 63.00</w:t>
            </w:r>
          </w:p>
        </w:tc>
        <w:tc>
          <w:tcPr>
            <w:tcW w:w="3507" w:type="dxa"/>
          </w:tcPr>
          <w:p>
            <w:pPr>
              <w:pStyle w:val="TableParagraph"/>
              <w:spacing w:before="22"/>
              <w:ind w:right="61"/>
              <w:jc w:val="right"/>
              <w:rPr>
                <w:sz w:val="15"/>
              </w:rPr>
            </w:pPr>
            <w:r>
              <w:rPr>
                <w:sz w:val="15"/>
              </w:rPr>
              <w:t>258</w:t>
            </w:r>
          </w:p>
        </w:tc>
        <w:tc>
          <w:tcPr>
            <w:tcW w:w="3538" w:type="dxa"/>
          </w:tcPr>
          <w:p>
            <w:pPr>
              <w:pStyle w:val="TableParagraph"/>
              <w:spacing w:before="22"/>
              <w:ind w:left="60"/>
              <w:rPr>
                <w:sz w:val="15"/>
              </w:rPr>
            </w:pPr>
            <w:r>
              <w:rPr>
                <w:sz w:val="15"/>
              </w:rPr>
              <w:t>TRIVENTI RESIDENCIAL</w:t>
            </w:r>
          </w:p>
        </w:tc>
        <w:tc>
          <w:tcPr>
            <w:tcW w:w="1440" w:type="dxa"/>
          </w:tcPr>
          <w:p>
            <w:pPr>
              <w:pStyle w:val="TableParagraph"/>
              <w:spacing w:line="156" w:lineRule="exact" w:before="44"/>
              <w:ind w:right="50"/>
              <w:jc w:val="right"/>
              <w:rPr>
                <w:sz w:val="15"/>
              </w:rPr>
            </w:pPr>
            <w:r>
              <w:rPr>
                <w:sz w:val="15"/>
              </w:rPr>
              <w:t>$ 166.00</w:t>
            </w:r>
          </w:p>
        </w:tc>
      </w:tr>
      <w:tr>
        <w:trPr>
          <w:trHeight w:val="220" w:hRule="atLeast"/>
        </w:trPr>
        <w:tc>
          <w:tcPr>
            <w:tcW w:w="4604" w:type="dxa"/>
            <w:gridSpan w:val="2"/>
          </w:tcPr>
          <w:p>
            <w:pPr>
              <w:pStyle w:val="TableParagraph"/>
              <w:spacing w:before="1"/>
              <w:ind w:left="50"/>
              <w:rPr>
                <w:sz w:val="15"/>
              </w:rPr>
            </w:pPr>
            <w:r>
              <w:rPr>
                <w:sz w:val="15"/>
              </w:rPr>
              <w:t>215 VALLE DE TEJEDA</w:t>
            </w:r>
          </w:p>
        </w:tc>
        <w:tc>
          <w:tcPr>
            <w:tcW w:w="3881" w:type="dxa"/>
          </w:tcPr>
          <w:p>
            <w:pPr>
              <w:pStyle w:val="TableParagraph"/>
              <w:spacing w:before="23"/>
              <w:ind w:left="49"/>
              <w:rPr>
                <w:sz w:val="15"/>
              </w:rPr>
            </w:pPr>
            <w:r>
              <w:rPr>
                <w:sz w:val="15"/>
              </w:rPr>
              <w:t>$ 78.00</w:t>
            </w:r>
          </w:p>
        </w:tc>
        <w:tc>
          <w:tcPr>
            <w:tcW w:w="3507" w:type="dxa"/>
          </w:tcPr>
          <w:p>
            <w:pPr>
              <w:pStyle w:val="TableParagraph"/>
              <w:spacing w:before="22"/>
              <w:ind w:right="61"/>
              <w:jc w:val="right"/>
              <w:rPr>
                <w:sz w:val="15"/>
              </w:rPr>
            </w:pPr>
            <w:r>
              <w:rPr>
                <w:sz w:val="15"/>
              </w:rPr>
              <w:t>259</w:t>
            </w:r>
          </w:p>
        </w:tc>
        <w:tc>
          <w:tcPr>
            <w:tcW w:w="3538" w:type="dxa"/>
          </w:tcPr>
          <w:p>
            <w:pPr>
              <w:pStyle w:val="TableParagraph"/>
              <w:spacing w:before="22"/>
              <w:ind w:left="60"/>
              <w:rPr>
                <w:sz w:val="15"/>
              </w:rPr>
            </w:pPr>
            <w:r>
              <w:rPr>
                <w:sz w:val="15"/>
              </w:rPr>
              <w:t>FRACCIONAMIENTO NIÑOS HEROES</w:t>
            </w:r>
          </w:p>
        </w:tc>
        <w:tc>
          <w:tcPr>
            <w:tcW w:w="1440" w:type="dxa"/>
          </w:tcPr>
          <w:p>
            <w:pPr>
              <w:pStyle w:val="TableParagraph"/>
              <w:spacing w:line="156" w:lineRule="exact" w:before="44"/>
              <w:ind w:right="50"/>
              <w:jc w:val="right"/>
              <w:rPr>
                <w:sz w:val="15"/>
              </w:rPr>
            </w:pPr>
            <w:r>
              <w:rPr>
                <w:sz w:val="15"/>
              </w:rPr>
              <w:t>$ 86.00</w:t>
            </w:r>
          </w:p>
        </w:tc>
      </w:tr>
      <w:tr>
        <w:trPr>
          <w:trHeight w:val="220" w:hRule="atLeast"/>
        </w:trPr>
        <w:tc>
          <w:tcPr>
            <w:tcW w:w="4604" w:type="dxa"/>
            <w:gridSpan w:val="2"/>
          </w:tcPr>
          <w:p>
            <w:pPr>
              <w:pStyle w:val="TableParagraph"/>
              <w:spacing w:before="1"/>
              <w:ind w:left="50"/>
              <w:rPr>
                <w:sz w:val="15"/>
              </w:rPr>
            </w:pPr>
            <w:r>
              <w:rPr>
                <w:sz w:val="15"/>
              </w:rPr>
              <w:t>216 VALLE DE TLAJOMULCO</w:t>
            </w:r>
          </w:p>
        </w:tc>
        <w:tc>
          <w:tcPr>
            <w:tcW w:w="3881" w:type="dxa"/>
          </w:tcPr>
          <w:p>
            <w:pPr>
              <w:pStyle w:val="TableParagraph"/>
              <w:spacing w:before="23"/>
              <w:ind w:left="49"/>
              <w:rPr>
                <w:sz w:val="15"/>
              </w:rPr>
            </w:pPr>
            <w:r>
              <w:rPr>
                <w:sz w:val="15"/>
              </w:rPr>
              <w:t>$ 78.00</w:t>
            </w:r>
          </w:p>
        </w:tc>
        <w:tc>
          <w:tcPr>
            <w:tcW w:w="3507" w:type="dxa"/>
          </w:tcPr>
          <w:p>
            <w:pPr>
              <w:pStyle w:val="TableParagraph"/>
              <w:spacing w:before="22"/>
              <w:ind w:right="61"/>
              <w:jc w:val="right"/>
              <w:rPr>
                <w:sz w:val="15"/>
              </w:rPr>
            </w:pPr>
            <w:r>
              <w:rPr>
                <w:sz w:val="15"/>
              </w:rPr>
              <w:t>260</w:t>
            </w:r>
          </w:p>
        </w:tc>
        <w:tc>
          <w:tcPr>
            <w:tcW w:w="3538" w:type="dxa"/>
          </w:tcPr>
          <w:p>
            <w:pPr>
              <w:pStyle w:val="TableParagraph"/>
              <w:spacing w:before="22"/>
              <w:ind w:left="60"/>
              <w:rPr>
                <w:sz w:val="15"/>
              </w:rPr>
            </w:pPr>
            <w:r>
              <w:rPr>
                <w:sz w:val="15"/>
              </w:rPr>
              <w:t>LOS CUATRO CAMICHINES</w:t>
            </w:r>
          </w:p>
        </w:tc>
        <w:tc>
          <w:tcPr>
            <w:tcW w:w="1440" w:type="dxa"/>
          </w:tcPr>
          <w:p>
            <w:pPr>
              <w:pStyle w:val="TableParagraph"/>
              <w:spacing w:line="156" w:lineRule="exact" w:before="44"/>
              <w:ind w:right="50"/>
              <w:jc w:val="right"/>
              <w:rPr>
                <w:sz w:val="15"/>
              </w:rPr>
            </w:pPr>
            <w:r>
              <w:rPr>
                <w:sz w:val="15"/>
              </w:rPr>
              <w:t>$ 158.00</w:t>
            </w:r>
          </w:p>
        </w:tc>
      </w:tr>
      <w:tr>
        <w:trPr>
          <w:trHeight w:val="231" w:hRule="atLeast"/>
        </w:trPr>
        <w:tc>
          <w:tcPr>
            <w:tcW w:w="4604" w:type="dxa"/>
            <w:gridSpan w:val="2"/>
          </w:tcPr>
          <w:p>
            <w:pPr>
              <w:pStyle w:val="TableParagraph"/>
              <w:spacing w:before="1"/>
              <w:ind w:left="50"/>
              <w:rPr>
                <w:sz w:val="15"/>
              </w:rPr>
            </w:pPr>
            <w:r>
              <w:rPr>
                <w:sz w:val="15"/>
              </w:rPr>
              <w:t>217 VALLE DORADO</w:t>
            </w:r>
          </w:p>
        </w:tc>
        <w:tc>
          <w:tcPr>
            <w:tcW w:w="3881" w:type="dxa"/>
          </w:tcPr>
          <w:p>
            <w:pPr>
              <w:pStyle w:val="TableParagraph"/>
              <w:spacing w:before="23"/>
              <w:ind w:left="49"/>
              <w:rPr>
                <w:sz w:val="15"/>
              </w:rPr>
            </w:pPr>
            <w:r>
              <w:rPr>
                <w:sz w:val="15"/>
              </w:rPr>
              <w:t>$ 78.00</w:t>
            </w:r>
          </w:p>
        </w:tc>
        <w:tc>
          <w:tcPr>
            <w:tcW w:w="3507" w:type="dxa"/>
          </w:tcPr>
          <w:p>
            <w:pPr>
              <w:pStyle w:val="TableParagraph"/>
              <w:spacing w:before="22"/>
              <w:ind w:right="61"/>
              <w:jc w:val="right"/>
              <w:rPr>
                <w:sz w:val="15"/>
              </w:rPr>
            </w:pPr>
            <w:r>
              <w:rPr>
                <w:sz w:val="15"/>
              </w:rPr>
              <w:t>261</w:t>
            </w:r>
          </w:p>
        </w:tc>
        <w:tc>
          <w:tcPr>
            <w:tcW w:w="3538" w:type="dxa"/>
          </w:tcPr>
          <w:p>
            <w:pPr>
              <w:pStyle w:val="TableParagraph"/>
              <w:spacing w:before="22"/>
              <w:ind w:left="60"/>
              <w:rPr>
                <w:sz w:val="15"/>
              </w:rPr>
            </w:pPr>
            <w:r>
              <w:rPr>
                <w:sz w:val="15"/>
              </w:rPr>
              <w:t>SAN MIGUEL SEGUNDO</w:t>
            </w:r>
          </w:p>
        </w:tc>
        <w:tc>
          <w:tcPr>
            <w:tcW w:w="1440" w:type="dxa"/>
          </w:tcPr>
          <w:p>
            <w:pPr>
              <w:pStyle w:val="TableParagraph"/>
              <w:spacing w:line="167" w:lineRule="exact" w:before="44"/>
              <w:ind w:right="50"/>
              <w:jc w:val="right"/>
              <w:rPr>
                <w:sz w:val="15"/>
              </w:rPr>
            </w:pPr>
            <w:r>
              <w:rPr>
                <w:sz w:val="15"/>
              </w:rPr>
              <w:t>$ 78.00</w:t>
            </w:r>
          </w:p>
        </w:tc>
      </w:tr>
      <w:tr>
        <w:trPr>
          <w:trHeight w:val="207" w:hRule="atLeast"/>
        </w:trPr>
        <w:tc>
          <w:tcPr>
            <w:tcW w:w="8485" w:type="dxa"/>
            <w:gridSpan w:val="3"/>
          </w:tcPr>
          <w:p>
            <w:pPr>
              <w:pStyle w:val="TableParagraph"/>
              <w:spacing w:line="96" w:lineRule="exact" w:before="77"/>
              <w:ind w:left="50"/>
              <w:rPr>
                <w:sz w:val="15"/>
              </w:rPr>
            </w:pPr>
            <w:r>
              <w:rPr>
                <w:sz w:val="15"/>
              </w:rPr>
              <w:t>218 VALLE DORADO CUATRO ESTACIONES</w:t>
            </w:r>
          </w:p>
        </w:tc>
        <w:tc>
          <w:tcPr>
            <w:tcW w:w="3507" w:type="dxa"/>
          </w:tcPr>
          <w:p>
            <w:pPr>
              <w:pStyle w:val="TableParagraph"/>
              <w:spacing w:line="171" w:lineRule="exact"/>
              <w:ind w:right="61"/>
              <w:jc w:val="right"/>
              <w:rPr>
                <w:sz w:val="15"/>
              </w:rPr>
            </w:pPr>
            <w:r>
              <w:rPr>
                <w:sz w:val="15"/>
              </w:rPr>
              <w:t>262</w:t>
            </w:r>
          </w:p>
        </w:tc>
        <w:tc>
          <w:tcPr>
            <w:tcW w:w="3538" w:type="dxa"/>
          </w:tcPr>
          <w:p>
            <w:pPr>
              <w:pStyle w:val="TableParagraph"/>
              <w:spacing w:line="171" w:lineRule="exact"/>
              <w:ind w:left="60"/>
              <w:rPr>
                <w:sz w:val="15"/>
              </w:rPr>
            </w:pPr>
            <w:r>
              <w:rPr>
                <w:sz w:val="15"/>
              </w:rPr>
              <w:t>RINCONADA DEL ROBLE</w:t>
            </w:r>
          </w:p>
        </w:tc>
        <w:tc>
          <w:tcPr>
            <w:tcW w:w="1440" w:type="dxa"/>
          </w:tcPr>
          <w:p>
            <w:pPr>
              <w:pStyle w:val="TableParagraph"/>
              <w:spacing w:line="153" w:lineRule="exact" w:before="20"/>
              <w:ind w:right="50"/>
              <w:jc w:val="right"/>
              <w:rPr>
                <w:sz w:val="15"/>
              </w:rPr>
            </w:pPr>
            <w:r>
              <w:rPr>
                <w:sz w:val="15"/>
              </w:rPr>
              <w:t>$ 74.00</w:t>
            </w:r>
          </w:p>
        </w:tc>
      </w:tr>
      <w:tr>
        <w:trPr>
          <w:trHeight w:val="201" w:hRule="atLeast"/>
        </w:trPr>
        <w:tc>
          <w:tcPr>
            <w:tcW w:w="369" w:type="dxa"/>
          </w:tcPr>
          <w:p>
            <w:pPr>
              <w:pStyle w:val="TableParagraph"/>
              <w:rPr>
                <w:rFonts w:ascii="Times New Roman"/>
                <w:sz w:val="12"/>
              </w:rPr>
            </w:pPr>
          </w:p>
        </w:tc>
        <w:tc>
          <w:tcPr>
            <w:tcW w:w="4235" w:type="dxa"/>
          </w:tcPr>
          <w:p>
            <w:pPr>
              <w:pStyle w:val="TableParagraph"/>
              <w:rPr>
                <w:rFonts w:ascii="Times New Roman"/>
                <w:sz w:val="12"/>
              </w:rPr>
            </w:pPr>
          </w:p>
        </w:tc>
        <w:tc>
          <w:tcPr>
            <w:tcW w:w="3881" w:type="dxa"/>
          </w:tcPr>
          <w:p>
            <w:pPr>
              <w:pStyle w:val="TableParagraph"/>
              <w:spacing w:line="171" w:lineRule="exact"/>
              <w:ind w:left="49"/>
              <w:rPr>
                <w:sz w:val="15"/>
              </w:rPr>
            </w:pPr>
            <w:r>
              <w:rPr>
                <w:sz w:val="15"/>
              </w:rPr>
              <w:t>$ 78.00</w:t>
            </w:r>
          </w:p>
        </w:tc>
        <w:tc>
          <w:tcPr>
            <w:tcW w:w="3507" w:type="dxa"/>
          </w:tcPr>
          <w:p>
            <w:pPr>
              <w:pStyle w:val="TableParagraph"/>
              <w:spacing w:line="157" w:lineRule="exact" w:before="18"/>
              <w:ind w:right="61"/>
              <w:jc w:val="right"/>
              <w:rPr>
                <w:sz w:val="15"/>
              </w:rPr>
            </w:pPr>
            <w:r>
              <w:rPr>
                <w:sz w:val="15"/>
              </w:rPr>
              <w:t>263</w:t>
            </w:r>
          </w:p>
        </w:tc>
        <w:tc>
          <w:tcPr>
            <w:tcW w:w="4978" w:type="dxa"/>
            <w:gridSpan w:val="2"/>
          </w:tcPr>
          <w:p>
            <w:pPr>
              <w:pStyle w:val="TableParagraph"/>
              <w:tabs>
                <w:tab w:pos="4283" w:val="left" w:leader="none"/>
              </w:tabs>
              <w:spacing w:line="157" w:lineRule="exact" w:before="18"/>
              <w:ind w:left="60"/>
              <w:rPr>
                <w:sz w:val="15"/>
              </w:rPr>
            </w:pPr>
            <w:r>
              <w:rPr>
                <w:sz w:val="15"/>
              </w:rPr>
              <w:t>NUEVA</w:t>
            </w:r>
            <w:r>
              <w:rPr>
                <w:spacing w:val="10"/>
                <w:sz w:val="15"/>
              </w:rPr>
              <w:t> </w:t>
            </w:r>
            <w:r>
              <w:rPr>
                <w:sz w:val="15"/>
              </w:rPr>
              <w:t>ALAMEDA</w:t>
              <w:tab/>
            </w:r>
            <w:r>
              <w:rPr>
                <w:position w:val="-1"/>
                <w:sz w:val="15"/>
              </w:rPr>
              <w:t>$</w:t>
            </w:r>
            <w:r>
              <w:rPr>
                <w:spacing w:val="13"/>
                <w:position w:val="-1"/>
                <w:sz w:val="15"/>
              </w:rPr>
              <w:t> </w:t>
            </w:r>
            <w:r>
              <w:rPr>
                <w:position w:val="-1"/>
                <w:sz w:val="15"/>
              </w:rPr>
              <w:t>61.00</w:t>
            </w:r>
          </w:p>
        </w:tc>
      </w:tr>
      <w:tr>
        <w:trPr>
          <w:trHeight w:val="217" w:hRule="atLeast"/>
        </w:trPr>
        <w:tc>
          <w:tcPr>
            <w:tcW w:w="369" w:type="dxa"/>
          </w:tcPr>
          <w:p>
            <w:pPr>
              <w:pStyle w:val="TableParagraph"/>
              <w:spacing w:before="2"/>
              <w:ind w:left="50"/>
              <w:rPr>
                <w:sz w:val="15"/>
              </w:rPr>
            </w:pPr>
            <w:r>
              <w:rPr>
                <w:sz w:val="15"/>
              </w:rPr>
              <w:t>219</w:t>
            </w:r>
          </w:p>
        </w:tc>
        <w:tc>
          <w:tcPr>
            <w:tcW w:w="4235" w:type="dxa"/>
          </w:tcPr>
          <w:p>
            <w:pPr>
              <w:pStyle w:val="TableParagraph"/>
              <w:spacing w:before="2"/>
              <w:ind w:left="61"/>
              <w:rPr>
                <w:sz w:val="15"/>
              </w:rPr>
            </w:pPr>
            <w:r>
              <w:rPr>
                <w:sz w:val="15"/>
              </w:rPr>
              <w:t>VILLA ESMERALDA</w:t>
            </w:r>
          </w:p>
        </w:tc>
        <w:tc>
          <w:tcPr>
            <w:tcW w:w="3881" w:type="dxa"/>
          </w:tcPr>
          <w:p>
            <w:pPr>
              <w:pStyle w:val="TableParagraph"/>
              <w:spacing w:before="24"/>
              <w:ind w:left="49"/>
              <w:rPr>
                <w:sz w:val="15"/>
              </w:rPr>
            </w:pPr>
            <w:r>
              <w:rPr>
                <w:sz w:val="15"/>
              </w:rPr>
              <w:t>$ 78.00</w:t>
            </w:r>
          </w:p>
        </w:tc>
        <w:tc>
          <w:tcPr>
            <w:tcW w:w="3507" w:type="dxa"/>
          </w:tcPr>
          <w:p>
            <w:pPr>
              <w:pStyle w:val="TableParagraph"/>
              <w:spacing w:line="153" w:lineRule="exact" w:before="44"/>
              <w:ind w:right="61"/>
              <w:jc w:val="right"/>
              <w:rPr>
                <w:sz w:val="15"/>
              </w:rPr>
            </w:pPr>
            <w:r>
              <w:rPr>
                <w:sz w:val="15"/>
              </w:rPr>
              <w:t>264</w:t>
            </w:r>
          </w:p>
        </w:tc>
        <w:tc>
          <w:tcPr>
            <w:tcW w:w="4978" w:type="dxa"/>
            <w:gridSpan w:val="2"/>
          </w:tcPr>
          <w:p>
            <w:pPr>
              <w:pStyle w:val="TableParagraph"/>
              <w:tabs>
                <w:tab w:pos="4283" w:val="left" w:leader="none"/>
              </w:tabs>
              <w:spacing w:line="153" w:lineRule="exact" w:before="44"/>
              <w:ind w:left="60"/>
              <w:rPr>
                <w:sz w:val="15"/>
              </w:rPr>
            </w:pPr>
            <w:r>
              <w:rPr>
                <w:sz w:val="15"/>
              </w:rPr>
              <w:t>NUEVO SAN</w:t>
            </w:r>
            <w:r>
              <w:rPr>
                <w:spacing w:val="22"/>
                <w:sz w:val="15"/>
              </w:rPr>
              <w:t> </w:t>
            </w:r>
            <w:r>
              <w:rPr>
                <w:sz w:val="15"/>
              </w:rPr>
              <w:t>MIGUEL</w:t>
            </w:r>
            <w:r>
              <w:rPr>
                <w:spacing w:val="12"/>
                <w:sz w:val="15"/>
              </w:rPr>
              <w:t> </w:t>
            </w:r>
            <w:r>
              <w:rPr>
                <w:sz w:val="15"/>
              </w:rPr>
              <w:t>CUYUTLAN</w:t>
              <w:tab/>
            </w:r>
            <w:r>
              <w:rPr>
                <w:position w:val="-1"/>
                <w:sz w:val="15"/>
              </w:rPr>
              <w:t>$</w:t>
            </w:r>
            <w:r>
              <w:rPr>
                <w:spacing w:val="13"/>
                <w:position w:val="-1"/>
                <w:sz w:val="15"/>
              </w:rPr>
              <w:t> </w:t>
            </w:r>
            <w:r>
              <w:rPr>
                <w:position w:val="-1"/>
                <w:sz w:val="15"/>
              </w:rPr>
              <w:t>78.00</w:t>
            </w:r>
          </w:p>
        </w:tc>
      </w:tr>
    </w:tbl>
    <w:p>
      <w:pPr>
        <w:spacing w:after="0" w:line="153" w:lineRule="exact"/>
        <w:rPr>
          <w:sz w:val="15"/>
        </w:rPr>
        <w:sectPr>
          <w:headerReference w:type="default" r:id="rId84"/>
          <w:pgSz w:w="23250" w:h="15310" w:orient="landscape"/>
          <w:pgMar w:header="881" w:footer="499" w:top="1920" w:bottom="680" w:left="1880" w:right="1520"/>
        </w:sect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18"/>
        </w:rPr>
      </w:pPr>
    </w:p>
    <w:tbl>
      <w:tblPr>
        <w:tblW w:w="0" w:type="auto"/>
        <w:jc w:val="lef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8"/>
        <w:gridCol w:w="4525"/>
        <w:gridCol w:w="3506"/>
        <w:gridCol w:w="3285"/>
        <w:gridCol w:w="1692"/>
      </w:tblGrid>
      <w:tr>
        <w:trPr>
          <w:trHeight w:val="206" w:hRule="atLeast"/>
        </w:trPr>
        <w:tc>
          <w:tcPr>
            <w:tcW w:w="3958" w:type="dxa"/>
          </w:tcPr>
          <w:p>
            <w:pPr>
              <w:pStyle w:val="TableParagraph"/>
              <w:spacing w:line="172" w:lineRule="exact" w:before="15"/>
              <w:ind w:left="50"/>
              <w:rPr>
                <w:sz w:val="15"/>
              </w:rPr>
            </w:pPr>
            <w:r>
              <w:rPr>
                <w:sz w:val="15"/>
              </w:rPr>
              <w:t>265 EL PALOMAR JOCKEY CLUB</w:t>
            </w:r>
          </w:p>
        </w:tc>
        <w:tc>
          <w:tcPr>
            <w:tcW w:w="4525" w:type="dxa"/>
          </w:tcPr>
          <w:p>
            <w:pPr>
              <w:pStyle w:val="TableParagraph"/>
              <w:spacing w:line="150" w:lineRule="exact" w:before="37"/>
              <w:ind w:left="695"/>
              <w:rPr>
                <w:sz w:val="15"/>
              </w:rPr>
            </w:pPr>
            <w:r>
              <w:rPr>
                <w:sz w:val="15"/>
              </w:rPr>
              <w:t>$ 238.00</w:t>
            </w:r>
          </w:p>
        </w:tc>
        <w:tc>
          <w:tcPr>
            <w:tcW w:w="3506" w:type="dxa"/>
          </w:tcPr>
          <w:p>
            <w:pPr>
              <w:pStyle w:val="TableParagraph"/>
              <w:spacing w:line="172" w:lineRule="exact" w:before="15"/>
              <w:ind w:right="58"/>
              <w:jc w:val="right"/>
              <w:rPr>
                <w:sz w:val="15"/>
              </w:rPr>
            </w:pPr>
            <w:r>
              <w:rPr>
                <w:sz w:val="15"/>
              </w:rPr>
              <w:t>306</w:t>
            </w:r>
          </w:p>
        </w:tc>
        <w:tc>
          <w:tcPr>
            <w:tcW w:w="3285" w:type="dxa"/>
          </w:tcPr>
          <w:p>
            <w:pPr>
              <w:pStyle w:val="TableParagraph"/>
              <w:spacing w:line="172" w:lineRule="exact" w:before="15"/>
              <w:ind w:left="63"/>
              <w:rPr>
                <w:sz w:val="15"/>
              </w:rPr>
            </w:pPr>
            <w:r>
              <w:rPr>
                <w:sz w:val="15"/>
              </w:rPr>
              <w:t>PLAZAS OUTLET</w:t>
            </w:r>
          </w:p>
        </w:tc>
        <w:tc>
          <w:tcPr>
            <w:tcW w:w="1692" w:type="dxa"/>
          </w:tcPr>
          <w:p>
            <w:pPr>
              <w:pStyle w:val="TableParagraph"/>
              <w:spacing w:line="150" w:lineRule="exact" w:before="37"/>
              <w:ind w:right="46"/>
              <w:jc w:val="right"/>
              <w:rPr>
                <w:sz w:val="15"/>
              </w:rPr>
            </w:pPr>
            <w:r>
              <w:rPr>
                <w:sz w:val="15"/>
              </w:rPr>
              <w:t>$ 158.00</w:t>
            </w:r>
          </w:p>
        </w:tc>
      </w:tr>
      <w:tr>
        <w:trPr>
          <w:trHeight w:val="220" w:hRule="atLeast"/>
        </w:trPr>
        <w:tc>
          <w:tcPr>
            <w:tcW w:w="3958" w:type="dxa"/>
          </w:tcPr>
          <w:p>
            <w:pPr>
              <w:pStyle w:val="TableParagraph"/>
              <w:spacing w:line="172" w:lineRule="exact" w:before="28"/>
              <w:ind w:left="50"/>
              <w:rPr>
                <w:sz w:val="15"/>
              </w:rPr>
            </w:pPr>
            <w:r>
              <w:rPr>
                <w:sz w:val="15"/>
              </w:rPr>
              <w:t>266 LA PERLA</w:t>
            </w:r>
          </w:p>
        </w:tc>
        <w:tc>
          <w:tcPr>
            <w:tcW w:w="4525" w:type="dxa"/>
          </w:tcPr>
          <w:p>
            <w:pPr>
              <w:pStyle w:val="TableParagraph"/>
              <w:spacing w:line="150" w:lineRule="exact" w:before="50"/>
              <w:ind w:left="695"/>
              <w:rPr>
                <w:sz w:val="15"/>
              </w:rPr>
            </w:pPr>
            <w:r>
              <w:rPr>
                <w:sz w:val="15"/>
              </w:rPr>
              <w:t>$ 74.00</w:t>
            </w:r>
          </w:p>
        </w:tc>
        <w:tc>
          <w:tcPr>
            <w:tcW w:w="3506" w:type="dxa"/>
          </w:tcPr>
          <w:p>
            <w:pPr>
              <w:pStyle w:val="TableParagraph"/>
              <w:spacing w:before="28"/>
              <w:ind w:right="58"/>
              <w:jc w:val="right"/>
              <w:rPr>
                <w:sz w:val="15"/>
              </w:rPr>
            </w:pPr>
            <w:r>
              <w:rPr>
                <w:sz w:val="15"/>
              </w:rPr>
              <w:t>307</w:t>
            </w:r>
          </w:p>
        </w:tc>
        <w:tc>
          <w:tcPr>
            <w:tcW w:w="3285" w:type="dxa"/>
          </w:tcPr>
          <w:p>
            <w:pPr>
              <w:pStyle w:val="TableParagraph"/>
              <w:spacing w:before="28"/>
              <w:ind w:left="63"/>
              <w:rPr>
                <w:sz w:val="15"/>
              </w:rPr>
            </w:pPr>
            <w:r>
              <w:rPr>
                <w:sz w:val="15"/>
              </w:rPr>
              <w:t>ADAMAR</w:t>
            </w:r>
          </w:p>
        </w:tc>
        <w:tc>
          <w:tcPr>
            <w:tcW w:w="1692" w:type="dxa"/>
          </w:tcPr>
          <w:p>
            <w:pPr>
              <w:pStyle w:val="TableParagraph"/>
              <w:spacing w:line="150" w:lineRule="exact" w:before="50"/>
              <w:ind w:right="46"/>
              <w:jc w:val="right"/>
              <w:rPr>
                <w:sz w:val="15"/>
              </w:rPr>
            </w:pPr>
            <w:r>
              <w:rPr>
                <w:sz w:val="15"/>
              </w:rPr>
              <w:t>$ 186.00</w:t>
            </w:r>
          </w:p>
        </w:tc>
      </w:tr>
      <w:tr>
        <w:trPr>
          <w:trHeight w:val="220" w:hRule="atLeast"/>
        </w:trPr>
        <w:tc>
          <w:tcPr>
            <w:tcW w:w="3958" w:type="dxa"/>
          </w:tcPr>
          <w:p>
            <w:pPr>
              <w:pStyle w:val="TableParagraph"/>
              <w:spacing w:line="172" w:lineRule="exact" w:before="29"/>
              <w:ind w:left="50"/>
              <w:rPr>
                <w:sz w:val="15"/>
              </w:rPr>
            </w:pPr>
            <w:r>
              <w:rPr>
                <w:sz w:val="15"/>
              </w:rPr>
              <w:t>267 VILLA TURQUESA</w:t>
            </w:r>
          </w:p>
        </w:tc>
        <w:tc>
          <w:tcPr>
            <w:tcW w:w="4525" w:type="dxa"/>
          </w:tcPr>
          <w:p>
            <w:pPr>
              <w:pStyle w:val="TableParagraph"/>
              <w:spacing w:line="150" w:lineRule="exact" w:before="50"/>
              <w:ind w:left="695"/>
              <w:rPr>
                <w:sz w:val="15"/>
              </w:rPr>
            </w:pPr>
            <w:r>
              <w:rPr>
                <w:sz w:val="15"/>
              </w:rPr>
              <w:t>$ 158.00</w:t>
            </w:r>
          </w:p>
        </w:tc>
        <w:tc>
          <w:tcPr>
            <w:tcW w:w="3506" w:type="dxa"/>
          </w:tcPr>
          <w:p>
            <w:pPr>
              <w:pStyle w:val="TableParagraph"/>
              <w:spacing w:line="172" w:lineRule="exact" w:before="28"/>
              <w:ind w:right="58"/>
              <w:jc w:val="right"/>
              <w:rPr>
                <w:sz w:val="15"/>
              </w:rPr>
            </w:pPr>
            <w:r>
              <w:rPr>
                <w:sz w:val="15"/>
              </w:rPr>
              <w:t>308</w:t>
            </w:r>
          </w:p>
        </w:tc>
        <w:tc>
          <w:tcPr>
            <w:tcW w:w="3285" w:type="dxa"/>
          </w:tcPr>
          <w:p>
            <w:pPr>
              <w:pStyle w:val="TableParagraph"/>
              <w:spacing w:line="172" w:lineRule="exact" w:before="28"/>
              <w:ind w:left="63"/>
              <w:rPr>
                <w:sz w:val="15"/>
              </w:rPr>
            </w:pPr>
            <w:r>
              <w:rPr>
                <w:sz w:val="15"/>
              </w:rPr>
              <w:t>LIBERTY HOME</w:t>
            </w:r>
          </w:p>
        </w:tc>
        <w:tc>
          <w:tcPr>
            <w:tcW w:w="1692" w:type="dxa"/>
          </w:tcPr>
          <w:p>
            <w:pPr>
              <w:pStyle w:val="TableParagraph"/>
              <w:spacing w:line="150" w:lineRule="exact" w:before="50"/>
              <w:ind w:right="46"/>
              <w:jc w:val="right"/>
              <w:rPr>
                <w:sz w:val="15"/>
              </w:rPr>
            </w:pPr>
            <w:r>
              <w:rPr>
                <w:sz w:val="15"/>
              </w:rPr>
              <w:t>$ 88.00</w:t>
            </w:r>
          </w:p>
        </w:tc>
      </w:tr>
      <w:tr>
        <w:trPr>
          <w:trHeight w:val="220" w:hRule="atLeast"/>
        </w:trPr>
        <w:tc>
          <w:tcPr>
            <w:tcW w:w="3958" w:type="dxa"/>
          </w:tcPr>
          <w:p>
            <w:pPr>
              <w:pStyle w:val="TableParagraph"/>
              <w:spacing w:line="172" w:lineRule="exact" w:before="28"/>
              <w:ind w:left="50"/>
              <w:rPr>
                <w:sz w:val="15"/>
              </w:rPr>
            </w:pPr>
            <w:r>
              <w:rPr>
                <w:sz w:val="15"/>
              </w:rPr>
              <w:t>268 CAMICHINES LA TIJERA CONDOMINIO</w:t>
            </w:r>
          </w:p>
        </w:tc>
        <w:tc>
          <w:tcPr>
            <w:tcW w:w="4525" w:type="dxa"/>
          </w:tcPr>
          <w:p>
            <w:pPr>
              <w:pStyle w:val="TableParagraph"/>
              <w:spacing w:line="150" w:lineRule="exact" w:before="50"/>
              <w:ind w:left="695"/>
              <w:rPr>
                <w:sz w:val="15"/>
              </w:rPr>
            </w:pPr>
            <w:r>
              <w:rPr>
                <w:sz w:val="15"/>
              </w:rPr>
              <w:t>$ 165.00</w:t>
            </w:r>
          </w:p>
        </w:tc>
        <w:tc>
          <w:tcPr>
            <w:tcW w:w="3506" w:type="dxa"/>
          </w:tcPr>
          <w:p>
            <w:pPr>
              <w:pStyle w:val="TableParagraph"/>
              <w:spacing w:before="28"/>
              <w:ind w:right="58"/>
              <w:jc w:val="right"/>
              <w:rPr>
                <w:sz w:val="15"/>
              </w:rPr>
            </w:pPr>
            <w:r>
              <w:rPr>
                <w:sz w:val="15"/>
              </w:rPr>
              <w:t>309</w:t>
            </w:r>
          </w:p>
        </w:tc>
        <w:tc>
          <w:tcPr>
            <w:tcW w:w="3285" w:type="dxa"/>
          </w:tcPr>
          <w:p>
            <w:pPr>
              <w:pStyle w:val="TableParagraph"/>
              <w:spacing w:before="28"/>
              <w:ind w:left="63"/>
              <w:rPr>
                <w:sz w:val="15"/>
              </w:rPr>
            </w:pPr>
            <w:r>
              <w:rPr>
                <w:sz w:val="15"/>
              </w:rPr>
              <w:t>REAL DE NAVARRA</w:t>
            </w:r>
          </w:p>
        </w:tc>
        <w:tc>
          <w:tcPr>
            <w:tcW w:w="1692" w:type="dxa"/>
          </w:tcPr>
          <w:p>
            <w:pPr>
              <w:pStyle w:val="TableParagraph"/>
              <w:spacing w:line="150" w:lineRule="exact" w:before="50"/>
              <w:ind w:right="46"/>
              <w:jc w:val="right"/>
              <w:rPr>
                <w:sz w:val="15"/>
              </w:rPr>
            </w:pPr>
            <w:r>
              <w:rPr>
                <w:sz w:val="15"/>
              </w:rPr>
              <w:t>$ 88.00</w:t>
            </w:r>
          </w:p>
        </w:tc>
      </w:tr>
      <w:tr>
        <w:trPr>
          <w:trHeight w:val="220" w:hRule="atLeast"/>
        </w:trPr>
        <w:tc>
          <w:tcPr>
            <w:tcW w:w="3958" w:type="dxa"/>
          </w:tcPr>
          <w:p>
            <w:pPr>
              <w:pStyle w:val="TableParagraph"/>
              <w:spacing w:line="172" w:lineRule="exact" w:before="29"/>
              <w:ind w:left="50"/>
              <w:rPr>
                <w:sz w:val="15"/>
              </w:rPr>
            </w:pPr>
            <w:r>
              <w:rPr>
                <w:sz w:val="15"/>
              </w:rPr>
              <w:t>269 CONDOMINIO LOS TULIPANES</w:t>
            </w:r>
          </w:p>
        </w:tc>
        <w:tc>
          <w:tcPr>
            <w:tcW w:w="4525" w:type="dxa"/>
          </w:tcPr>
          <w:p>
            <w:pPr>
              <w:pStyle w:val="TableParagraph"/>
              <w:spacing w:line="150" w:lineRule="exact" w:before="50"/>
              <w:ind w:left="695"/>
              <w:rPr>
                <w:sz w:val="15"/>
              </w:rPr>
            </w:pPr>
            <w:r>
              <w:rPr>
                <w:sz w:val="15"/>
              </w:rPr>
              <w:t>$ 88.00</w:t>
            </w:r>
          </w:p>
        </w:tc>
        <w:tc>
          <w:tcPr>
            <w:tcW w:w="3506" w:type="dxa"/>
          </w:tcPr>
          <w:p>
            <w:pPr>
              <w:pStyle w:val="TableParagraph"/>
              <w:spacing w:line="172" w:lineRule="exact" w:before="28"/>
              <w:ind w:right="58"/>
              <w:jc w:val="right"/>
              <w:rPr>
                <w:sz w:val="15"/>
              </w:rPr>
            </w:pPr>
            <w:r>
              <w:rPr>
                <w:sz w:val="15"/>
              </w:rPr>
              <w:t>310</w:t>
            </w:r>
          </w:p>
        </w:tc>
        <w:tc>
          <w:tcPr>
            <w:tcW w:w="3285" w:type="dxa"/>
          </w:tcPr>
          <w:p>
            <w:pPr>
              <w:pStyle w:val="TableParagraph"/>
              <w:spacing w:line="172" w:lineRule="exact" w:before="28"/>
              <w:ind w:left="63"/>
              <w:rPr>
                <w:sz w:val="15"/>
              </w:rPr>
            </w:pPr>
            <w:r>
              <w:rPr>
                <w:sz w:val="15"/>
              </w:rPr>
              <w:t>CONDOMINIO ATMOSFERA</w:t>
            </w:r>
          </w:p>
        </w:tc>
        <w:tc>
          <w:tcPr>
            <w:tcW w:w="1692" w:type="dxa"/>
          </w:tcPr>
          <w:p>
            <w:pPr>
              <w:pStyle w:val="TableParagraph"/>
              <w:spacing w:line="150" w:lineRule="exact" w:before="50"/>
              <w:ind w:right="46"/>
              <w:jc w:val="right"/>
              <w:rPr>
                <w:sz w:val="15"/>
              </w:rPr>
            </w:pPr>
            <w:r>
              <w:rPr>
                <w:sz w:val="15"/>
              </w:rPr>
              <w:t>$ 185.00</w:t>
            </w:r>
          </w:p>
        </w:tc>
      </w:tr>
      <w:tr>
        <w:trPr>
          <w:trHeight w:val="330" w:hRule="atLeast"/>
        </w:trPr>
        <w:tc>
          <w:tcPr>
            <w:tcW w:w="3958" w:type="dxa"/>
          </w:tcPr>
          <w:p>
            <w:pPr>
              <w:pStyle w:val="TableParagraph"/>
              <w:spacing w:before="28"/>
              <w:ind w:left="50"/>
              <w:rPr>
                <w:sz w:val="15"/>
              </w:rPr>
            </w:pPr>
            <w:r>
              <w:rPr>
                <w:sz w:val="15"/>
              </w:rPr>
              <w:t>270 CONDOMINIO TULIPANES</w:t>
            </w:r>
          </w:p>
        </w:tc>
        <w:tc>
          <w:tcPr>
            <w:tcW w:w="4525" w:type="dxa"/>
          </w:tcPr>
          <w:p>
            <w:pPr>
              <w:pStyle w:val="TableParagraph"/>
              <w:spacing w:before="50"/>
              <w:ind w:left="695"/>
              <w:rPr>
                <w:sz w:val="15"/>
              </w:rPr>
            </w:pPr>
            <w:r>
              <w:rPr>
                <w:sz w:val="15"/>
              </w:rPr>
              <w:t>$ 88.00</w:t>
            </w:r>
          </w:p>
        </w:tc>
        <w:tc>
          <w:tcPr>
            <w:tcW w:w="3506" w:type="dxa"/>
          </w:tcPr>
          <w:p>
            <w:pPr>
              <w:pStyle w:val="TableParagraph"/>
              <w:spacing w:before="28"/>
              <w:ind w:right="58"/>
              <w:jc w:val="right"/>
              <w:rPr>
                <w:sz w:val="15"/>
              </w:rPr>
            </w:pPr>
            <w:r>
              <w:rPr>
                <w:sz w:val="15"/>
              </w:rPr>
              <w:t>311</w:t>
            </w:r>
          </w:p>
        </w:tc>
        <w:tc>
          <w:tcPr>
            <w:tcW w:w="3285" w:type="dxa"/>
          </w:tcPr>
          <w:p>
            <w:pPr>
              <w:pStyle w:val="TableParagraph"/>
              <w:spacing w:before="28"/>
              <w:ind w:left="63"/>
              <w:rPr>
                <w:sz w:val="15"/>
              </w:rPr>
            </w:pPr>
            <w:r>
              <w:rPr>
                <w:sz w:val="15"/>
              </w:rPr>
              <w:t>SAN JUAN DEL RIO</w:t>
            </w:r>
          </w:p>
        </w:tc>
        <w:tc>
          <w:tcPr>
            <w:tcW w:w="1692" w:type="dxa"/>
          </w:tcPr>
          <w:p>
            <w:pPr>
              <w:pStyle w:val="TableParagraph"/>
              <w:spacing w:before="50"/>
              <w:ind w:right="46"/>
              <w:jc w:val="right"/>
              <w:rPr>
                <w:sz w:val="15"/>
              </w:rPr>
            </w:pPr>
            <w:r>
              <w:rPr>
                <w:sz w:val="15"/>
              </w:rPr>
              <w:t>$ 81.00</w:t>
            </w:r>
          </w:p>
        </w:tc>
      </w:tr>
      <w:tr>
        <w:trPr>
          <w:trHeight w:val="309" w:hRule="atLeast"/>
        </w:trPr>
        <w:tc>
          <w:tcPr>
            <w:tcW w:w="3958" w:type="dxa"/>
          </w:tcPr>
          <w:p>
            <w:pPr>
              <w:pStyle w:val="TableParagraph"/>
              <w:spacing w:before="18"/>
              <w:ind w:left="50"/>
              <w:rPr>
                <w:sz w:val="15"/>
              </w:rPr>
            </w:pPr>
            <w:r>
              <w:rPr>
                <w:sz w:val="15"/>
              </w:rPr>
              <w:t>271 COTO DEL VALLE (SAN MIGUEL CUYUTLAN)</w:t>
            </w:r>
          </w:p>
        </w:tc>
        <w:tc>
          <w:tcPr>
            <w:tcW w:w="4525" w:type="dxa"/>
          </w:tcPr>
          <w:p>
            <w:pPr>
              <w:pStyle w:val="TableParagraph"/>
              <w:spacing w:line="150" w:lineRule="exact" w:before="139"/>
              <w:ind w:left="695"/>
              <w:rPr>
                <w:sz w:val="15"/>
              </w:rPr>
            </w:pPr>
            <w:r>
              <w:rPr>
                <w:sz w:val="15"/>
              </w:rPr>
              <w:t>$ 74.00</w:t>
            </w:r>
          </w:p>
        </w:tc>
        <w:tc>
          <w:tcPr>
            <w:tcW w:w="3506" w:type="dxa"/>
          </w:tcPr>
          <w:p>
            <w:pPr>
              <w:pStyle w:val="TableParagraph"/>
              <w:spacing w:before="18"/>
              <w:ind w:right="58"/>
              <w:jc w:val="right"/>
              <w:rPr>
                <w:sz w:val="15"/>
              </w:rPr>
            </w:pPr>
            <w:r>
              <w:rPr>
                <w:sz w:val="15"/>
              </w:rPr>
              <w:t>312</w:t>
            </w:r>
          </w:p>
        </w:tc>
        <w:tc>
          <w:tcPr>
            <w:tcW w:w="4977" w:type="dxa"/>
            <w:gridSpan w:val="2"/>
          </w:tcPr>
          <w:p>
            <w:pPr>
              <w:pStyle w:val="TableParagraph"/>
              <w:spacing w:line="147" w:lineRule="exact" w:before="18"/>
              <w:ind w:left="63"/>
              <w:rPr>
                <w:sz w:val="15"/>
              </w:rPr>
            </w:pPr>
            <w:r>
              <w:rPr>
                <w:sz w:val="15"/>
              </w:rPr>
              <w:t>PARQUE INDUSTRIAL SANTA ANITA (FLEXIMATIC)</w:t>
            </w:r>
          </w:p>
          <w:p>
            <w:pPr>
              <w:pStyle w:val="TableParagraph"/>
              <w:spacing w:line="125" w:lineRule="exact"/>
              <w:ind w:right="46"/>
              <w:jc w:val="right"/>
              <w:rPr>
                <w:sz w:val="15"/>
              </w:rPr>
            </w:pPr>
            <w:r>
              <w:rPr>
                <w:sz w:val="15"/>
              </w:rPr>
              <w:t>$ 158.00</w:t>
            </w:r>
          </w:p>
        </w:tc>
      </w:tr>
      <w:tr>
        <w:trPr>
          <w:trHeight w:val="220" w:hRule="atLeast"/>
        </w:trPr>
        <w:tc>
          <w:tcPr>
            <w:tcW w:w="3958" w:type="dxa"/>
          </w:tcPr>
          <w:p>
            <w:pPr>
              <w:pStyle w:val="TableParagraph"/>
              <w:spacing w:line="172" w:lineRule="exact" w:before="29"/>
              <w:ind w:left="50"/>
              <w:rPr>
                <w:sz w:val="15"/>
              </w:rPr>
            </w:pPr>
            <w:r>
              <w:rPr>
                <w:sz w:val="15"/>
              </w:rPr>
              <w:t>272 FRACCIONAMIENTO SAN MIGUEL</w:t>
            </w:r>
          </w:p>
        </w:tc>
        <w:tc>
          <w:tcPr>
            <w:tcW w:w="4525" w:type="dxa"/>
          </w:tcPr>
          <w:p>
            <w:pPr>
              <w:pStyle w:val="TableParagraph"/>
              <w:spacing w:line="150" w:lineRule="exact" w:before="50"/>
              <w:ind w:left="695"/>
              <w:rPr>
                <w:sz w:val="15"/>
              </w:rPr>
            </w:pPr>
            <w:r>
              <w:rPr>
                <w:sz w:val="15"/>
              </w:rPr>
              <w:t>$ 51.00</w:t>
            </w:r>
          </w:p>
        </w:tc>
        <w:tc>
          <w:tcPr>
            <w:tcW w:w="3506" w:type="dxa"/>
          </w:tcPr>
          <w:p>
            <w:pPr>
              <w:pStyle w:val="TableParagraph"/>
              <w:spacing w:line="172" w:lineRule="exact" w:before="28"/>
              <w:ind w:right="58"/>
              <w:jc w:val="right"/>
              <w:rPr>
                <w:sz w:val="15"/>
              </w:rPr>
            </w:pPr>
            <w:r>
              <w:rPr>
                <w:sz w:val="15"/>
              </w:rPr>
              <w:t>313</w:t>
            </w:r>
          </w:p>
        </w:tc>
        <w:tc>
          <w:tcPr>
            <w:tcW w:w="3285" w:type="dxa"/>
          </w:tcPr>
          <w:p>
            <w:pPr>
              <w:pStyle w:val="TableParagraph"/>
              <w:spacing w:line="172" w:lineRule="exact" w:before="28"/>
              <w:ind w:left="63"/>
              <w:rPr>
                <w:sz w:val="15"/>
              </w:rPr>
            </w:pPr>
            <w:r>
              <w:rPr>
                <w:sz w:val="15"/>
              </w:rPr>
              <w:t>PLAZA LA RIOJA</w:t>
            </w:r>
          </w:p>
        </w:tc>
        <w:tc>
          <w:tcPr>
            <w:tcW w:w="1692" w:type="dxa"/>
          </w:tcPr>
          <w:p>
            <w:pPr>
              <w:pStyle w:val="TableParagraph"/>
              <w:spacing w:line="150" w:lineRule="exact" w:before="50"/>
              <w:ind w:right="46"/>
              <w:jc w:val="right"/>
              <w:rPr>
                <w:sz w:val="15"/>
              </w:rPr>
            </w:pPr>
            <w:r>
              <w:rPr>
                <w:sz w:val="15"/>
              </w:rPr>
              <w:t>$ 186.00</w:t>
            </w:r>
          </w:p>
        </w:tc>
      </w:tr>
      <w:tr>
        <w:trPr>
          <w:trHeight w:val="206" w:hRule="atLeast"/>
        </w:trPr>
        <w:tc>
          <w:tcPr>
            <w:tcW w:w="3958" w:type="dxa"/>
          </w:tcPr>
          <w:p>
            <w:pPr>
              <w:pStyle w:val="TableParagraph"/>
              <w:spacing w:line="158" w:lineRule="exact" w:before="28"/>
              <w:ind w:left="50"/>
              <w:rPr>
                <w:sz w:val="15"/>
              </w:rPr>
            </w:pPr>
            <w:r>
              <w:rPr>
                <w:sz w:val="15"/>
              </w:rPr>
              <w:t>273 HACIENDA LA PURISIMA</w:t>
            </w:r>
          </w:p>
        </w:tc>
        <w:tc>
          <w:tcPr>
            <w:tcW w:w="4525" w:type="dxa"/>
          </w:tcPr>
          <w:p>
            <w:pPr>
              <w:pStyle w:val="TableParagraph"/>
              <w:spacing w:line="137" w:lineRule="exact" w:before="50"/>
              <w:ind w:left="695"/>
              <w:rPr>
                <w:sz w:val="15"/>
              </w:rPr>
            </w:pPr>
            <w:r>
              <w:rPr>
                <w:sz w:val="15"/>
              </w:rPr>
              <w:t>$ 77.00</w:t>
            </w:r>
          </w:p>
        </w:tc>
        <w:tc>
          <w:tcPr>
            <w:tcW w:w="3506" w:type="dxa"/>
          </w:tcPr>
          <w:p>
            <w:pPr>
              <w:pStyle w:val="TableParagraph"/>
              <w:spacing w:line="159" w:lineRule="exact" w:before="28"/>
              <w:ind w:right="58"/>
              <w:jc w:val="right"/>
              <w:rPr>
                <w:sz w:val="15"/>
              </w:rPr>
            </w:pPr>
            <w:r>
              <w:rPr>
                <w:sz w:val="15"/>
              </w:rPr>
              <w:t>314</w:t>
            </w:r>
          </w:p>
        </w:tc>
        <w:tc>
          <w:tcPr>
            <w:tcW w:w="3285" w:type="dxa"/>
          </w:tcPr>
          <w:p>
            <w:pPr>
              <w:pStyle w:val="TableParagraph"/>
              <w:spacing w:line="159" w:lineRule="exact" w:before="28"/>
              <w:ind w:left="63"/>
              <w:rPr>
                <w:sz w:val="15"/>
              </w:rPr>
            </w:pPr>
            <w:r>
              <w:rPr>
                <w:sz w:val="15"/>
              </w:rPr>
              <w:t>PLAZA GAVILANES</w:t>
            </w:r>
          </w:p>
        </w:tc>
        <w:tc>
          <w:tcPr>
            <w:tcW w:w="1692" w:type="dxa"/>
          </w:tcPr>
          <w:p>
            <w:pPr>
              <w:pStyle w:val="TableParagraph"/>
              <w:spacing w:line="137" w:lineRule="exact" w:before="50"/>
              <w:ind w:right="46"/>
              <w:jc w:val="right"/>
              <w:rPr>
                <w:sz w:val="15"/>
              </w:rPr>
            </w:pPr>
            <w:r>
              <w:rPr>
                <w:sz w:val="15"/>
              </w:rPr>
              <w:t>$ 185.00</w:t>
            </w:r>
          </w:p>
        </w:tc>
      </w:tr>
      <w:tr>
        <w:trPr>
          <w:trHeight w:val="653" w:hRule="atLeast"/>
        </w:trPr>
        <w:tc>
          <w:tcPr>
            <w:tcW w:w="3958" w:type="dxa"/>
          </w:tcPr>
          <w:p>
            <w:pPr>
              <w:pStyle w:val="TableParagraph"/>
              <w:numPr>
                <w:ilvl w:val="0"/>
                <w:numId w:val="116"/>
              </w:numPr>
              <w:tabs>
                <w:tab w:pos="431" w:val="left" w:leader="none"/>
              </w:tabs>
              <w:spacing w:line="240" w:lineRule="auto" w:before="142" w:after="0"/>
              <w:ind w:left="430" w:right="0" w:hanging="381"/>
              <w:jc w:val="left"/>
              <w:rPr>
                <w:sz w:val="15"/>
              </w:rPr>
            </w:pPr>
            <w:r>
              <w:rPr>
                <w:sz w:val="15"/>
              </w:rPr>
              <w:t>HACIENDA LOS LAURELES (SAN</w:t>
            </w:r>
            <w:r>
              <w:rPr>
                <w:spacing w:val="29"/>
                <w:sz w:val="15"/>
              </w:rPr>
              <w:t> </w:t>
            </w:r>
            <w:r>
              <w:rPr>
                <w:sz w:val="15"/>
              </w:rPr>
              <w:t>AGUSTIN)</w:t>
            </w:r>
          </w:p>
          <w:p>
            <w:pPr>
              <w:pStyle w:val="TableParagraph"/>
              <w:spacing w:before="9"/>
              <w:rPr>
                <w:rFonts w:ascii="Times New Roman"/>
                <w:sz w:val="12"/>
              </w:rPr>
            </w:pPr>
          </w:p>
          <w:p>
            <w:pPr>
              <w:pStyle w:val="TableParagraph"/>
              <w:numPr>
                <w:ilvl w:val="0"/>
                <w:numId w:val="116"/>
              </w:numPr>
              <w:tabs>
                <w:tab w:pos="431" w:val="left" w:leader="none"/>
              </w:tabs>
              <w:spacing w:line="172" w:lineRule="exact" w:before="1" w:after="0"/>
              <w:ind w:left="430" w:right="0" w:hanging="381"/>
              <w:jc w:val="left"/>
              <w:rPr>
                <w:sz w:val="15"/>
              </w:rPr>
            </w:pPr>
            <w:r>
              <w:rPr>
                <w:sz w:val="15"/>
              </w:rPr>
              <w:t>HUERTA MARIA</w:t>
            </w:r>
            <w:r>
              <w:rPr>
                <w:spacing w:val="3"/>
                <w:sz w:val="15"/>
              </w:rPr>
              <w:t> </w:t>
            </w:r>
            <w:r>
              <w:rPr>
                <w:sz w:val="15"/>
              </w:rPr>
              <w:t>LUISA</w:t>
            </w:r>
          </w:p>
        </w:tc>
        <w:tc>
          <w:tcPr>
            <w:tcW w:w="4525" w:type="dxa"/>
          </w:tcPr>
          <w:p>
            <w:pPr>
              <w:pStyle w:val="TableParagraph"/>
              <w:spacing w:before="10"/>
              <w:rPr>
                <w:rFonts w:ascii="Times New Roman"/>
                <w:sz w:val="22"/>
              </w:rPr>
            </w:pPr>
          </w:p>
          <w:p>
            <w:pPr>
              <w:pStyle w:val="TableParagraph"/>
              <w:ind w:left="695"/>
              <w:rPr>
                <w:sz w:val="15"/>
              </w:rPr>
            </w:pPr>
            <w:r>
              <w:rPr>
                <w:sz w:val="15"/>
              </w:rPr>
              <w:t>$ </w:t>
            </w:r>
            <w:r>
              <w:rPr>
                <w:spacing w:val="15"/>
                <w:sz w:val="15"/>
              </w:rPr>
              <w:t> </w:t>
            </w:r>
            <w:r>
              <w:rPr>
                <w:sz w:val="15"/>
              </w:rPr>
              <w:t>158.00</w:t>
            </w:r>
          </w:p>
          <w:p>
            <w:pPr>
              <w:pStyle w:val="TableParagraph"/>
              <w:spacing w:line="150" w:lineRule="exact" w:before="48"/>
              <w:ind w:left="695"/>
              <w:rPr>
                <w:sz w:val="15"/>
              </w:rPr>
            </w:pPr>
            <w:r>
              <w:rPr>
                <w:sz w:val="15"/>
              </w:rPr>
              <w:t>$   </w:t>
            </w:r>
            <w:r>
              <w:rPr>
                <w:spacing w:val="15"/>
                <w:sz w:val="15"/>
              </w:rPr>
              <w:t> </w:t>
            </w:r>
            <w:r>
              <w:rPr>
                <w:sz w:val="15"/>
              </w:rPr>
              <w:t>81.00</w:t>
            </w:r>
          </w:p>
        </w:tc>
        <w:tc>
          <w:tcPr>
            <w:tcW w:w="3506" w:type="dxa"/>
          </w:tcPr>
          <w:p>
            <w:pPr>
              <w:pStyle w:val="TableParagraph"/>
              <w:spacing w:before="42"/>
              <w:ind w:right="58"/>
              <w:jc w:val="right"/>
              <w:rPr>
                <w:sz w:val="15"/>
              </w:rPr>
            </w:pPr>
            <w:r>
              <w:rPr>
                <w:sz w:val="15"/>
              </w:rPr>
              <w:t>315</w:t>
            </w:r>
          </w:p>
          <w:p>
            <w:pPr>
              <w:pStyle w:val="TableParagraph"/>
              <w:spacing w:before="9"/>
              <w:rPr>
                <w:rFonts w:ascii="Times New Roman"/>
                <w:sz w:val="12"/>
              </w:rPr>
            </w:pPr>
          </w:p>
          <w:p>
            <w:pPr>
              <w:pStyle w:val="TableParagraph"/>
              <w:ind w:right="58"/>
              <w:jc w:val="right"/>
              <w:rPr>
                <w:sz w:val="15"/>
              </w:rPr>
            </w:pPr>
            <w:r>
              <w:rPr>
                <w:sz w:val="15"/>
              </w:rPr>
              <w:t>316</w:t>
            </w:r>
          </w:p>
        </w:tc>
        <w:tc>
          <w:tcPr>
            <w:tcW w:w="4977" w:type="dxa"/>
            <w:gridSpan w:val="2"/>
          </w:tcPr>
          <w:p>
            <w:pPr>
              <w:pStyle w:val="TableParagraph"/>
              <w:tabs>
                <w:tab w:pos="4286" w:val="left" w:leader="none"/>
              </w:tabs>
              <w:spacing w:before="42"/>
              <w:ind w:left="63"/>
              <w:rPr>
                <w:sz w:val="15"/>
              </w:rPr>
            </w:pPr>
            <w:r>
              <w:rPr>
                <w:sz w:val="15"/>
              </w:rPr>
              <w:t>LAS</w:t>
            </w:r>
            <w:r>
              <w:rPr>
                <w:spacing w:val="9"/>
                <w:sz w:val="15"/>
              </w:rPr>
              <w:t> </w:t>
            </w:r>
            <w:r>
              <w:rPr>
                <w:sz w:val="15"/>
              </w:rPr>
              <w:t>PALOMAS</w:t>
              <w:tab/>
            </w:r>
            <w:r>
              <w:rPr>
                <w:position w:val="-1"/>
                <w:sz w:val="15"/>
              </w:rPr>
              <w:t>$</w:t>
            </w:r>
            <w:r>
              <w:rPr>
                <w:spacing w:val="10"/>
                <w:position w:val="-1"/>
                <w:sz w:val="15"/>
              </w:rPr>
              <w:t> </w:t>
            </w:r>
            <w:r>
              <w:rPr>
                <w:position w:val="-1"/>
                <w:sz w:val="15"/>
              </w:rPr>
              <w:t>185.00</w:t>
            </w:r>
          </w:p>
          <w:p>
            <w:pPr>
              <w:pStyle w:val="TableParagraph"/>
              <w:spacing w:before="39"/>
              <w:ind w:left="63"/>
              <w:rPr>
                <w:sz w:val="15"/>
              </w:rPr>
            </w:pPr>
            <w:r>
              <w:rPr>
                <w:sz w:val="15"/>
              </w:rPr>
              <w:t>CONDOMINIO RINCONADA DEL SUR (PUERTA DEL</w:t>
            </w:r>
          </w:p>
          <w:p>
            <w:pPr>
              <w:pStyle w:val="TableParagraph"/>
              <w:tabs>
                <w:tab w:pos="4286" w:val="left" w:leader="none"/>
              </w:tabs>
              <w:spacing w:line="180" w:lineRule="exact" w:before="8"/>
              <w:ind w:left="63"/>
              <w:rPr>
                <w:sz w:val="15"/>
              </w:rPr>
            </w:pPr>
            <w:r>
              <w:rPr>
                <w:position w:val="3"/>
                <w:sz w:val="15"/>
              </w:rPr>
              <w:t>SUR)</w:t>
              <w:tab/>
            </w:r>
            <w:r>
              <w:rPr>
                <w:sz w:val="15"/>
              </w:rPr>
              <w:t>$</w:t>
            </w:r>
            <w:r>
              <w:rPr>
                <w:spacing w:val="10"/>
                <w:sz w:val="15"/>
              </w:rPr>
              <w:t> </w:t>
            </w:r>
            <w:r>
              <w:rPr>
                <w:sz w:val="15"/>
              </w:rPr>
              <w:t>185.00</w:t>
            </w:r>
          </w:p>
        </w:tc>
      </w:tr>
      <w:tr>
        <w:trPr>
          <w:trHeight w:val="220" w:hRule="atLeast"/>
        </w:trPr>
        <w:tc>
          <w:tcPr>
            <w:tcW w:w="3958" w:type="dxa"/>
          </w:tcPr>
          <w:p>
            <w:pPr>
              <w:pStyle w:val="TableParagraph"/>
              <w:spacing w:line="172" w:lineRule="exact" w:before="28"/>
              <w:ind w:left="50"/>
              <w:rPr>
                <w:sz w:val="15"/>
              </w:rPr>
            </w:pPr>
            <w:r>
              <w:rPr>
                <w:sz w:val="15"/>
              </w:rPr>
              <w:t>276 LA CRUZ (TLAJOMULCO)</w:t>
            </w:r>
          </w:p>
        </w:tc>
        <w:tc>
          <w:tcPr>
            <w:tcW w:w="4525" w:type="dxa"/>
          </w:tcPr>
          <w:p>
            <w:pPr>
              <w:pStyle w:val="TableParagraph"/>
              <w:spacing w:line="150" w:lineRule="exact" w:before="50"/>
              <w:ind w:left="695"/>
              <w:rPr>
                <w:sz w:val="15"/>
              </w:rPr>
            </w:pPr>
            <w:r>
              <w:rPr>
                <w:sz w:val="15"/>
              </w:rPr>
              <w:t>$ 77.00</w:t>
            </w:r>
          </w:p>
        </w:tc>
        <w:tc>
          <w:tcPr>
            <w:tcW w:w="3506" w:type="dxa"/>
          </w:tcPr>
          <w:p>
            <w:pPr>
              <w:pStyle w:val="TableParagraph"/>
              <w:spacing w:before="28"/>
              <w:ind w:right="58"/>
              <w:jc w:val="right"/>
              <w:rPr>
                <w:sz w:val="15"/>
              </w:rPr>
            </w:pPr>
            <w:r>
              <w:rPr>
                <w:sz w:val="15"/>
              </w:rPr>
              <w:t>317</w:t>
            </w:r>
          </w:p>
        </w:tc>
        <w:tc>
          <w:tcPr>
            <w:tcW w:w="3285" w:type="dxa"/>
          </w:tcPr>
          <w:p>
            <w:pPr>
              <w:pStyle w:val="TableParagraph"/>
              <w:spacing w:before="28"/>
              <w:ind w:left="63"/>
              <w:rPr>
                <w:sz w:val="15"/>
              </w:rPr>
            </w:pPr>
            <w:r>
              <w:rPr>
                <w:sz w:val="15"/>
              </w:rPr>
              <w:t>RANCHO GAVILANES</w:t>
            </w:r>
          </w:p>
        </w:tc>
        <w:tc>
          <w:tcPr>
            <w:tcW w:w="1692" w:type="dxa"/>
          </w:tcPr>
          <w:p>
            <w:pPr>
              <w:pStyle w:val="TableParagraph"/>
              <w:spacing w:line="150" w:lineRule="exact" w:before="50"/>
              <w:ind w:right="46"/>
              <w:jc w:val="right"/>
              <w:rPr>
                <w:sz w:val="15"/>
              </w:rPr>
            </w:pPr>
            <w:r>
              <w:rPr>
                <w:sz w:val="15"/>
              </w:rPr>
              <w:t>$ 185.00</w:t>
            </w:r>
          </w:p>
        </w:tc>
      </w:tr>
      <w:tr>
        <w:trPr>
          <w:trHeight w:val="220" w:hRule="atLeast"/>
        </w:trPr>
        <w:tc>
          <w:tcPr>
            <w:tcW w:w="3958" w:type="dxa"/>
          </w:tcPr>
          <w:p>
            <w:pPr>
              <w:pStyle w:val="TableParagraph"/>
              <w:spacing w:line="172" w:lineRule="exact" w:before="29"/>
              <w:ind w:left="50"/>
              <w:rPr>
                <w:sz w:val="15"/>
              </w:rPr>
            </w:pPr>
            <w:r>
              <w:rPr>
                <w:sz w:val="15"/>
              </w:rPr>
              <w:t>277 LOS ROBLES II</w:t>
            </w:r>
          </w:p>
        </w:tc>
        <w:tc>
          <w:tcPr>
            <w:tcW w:w="4525" w:type="dxa"/>
          </w:tcPr>
          <w:p>
            <w:pPr>
              <w:pStyle w:val="TableParagraph"/>
              <w:spacing w:line="150" w:lineRule="exact" w:before="50"/>
              <w:ind w:left="695"/>
              <w:rPr>
                <w:sz w:val="15"/>
              </w:rPr>
            </w:pPr>
            <w:r>
              <w:rPr>
                <w:sz w:val="15"/>
              </w:rPr>
              <w:t>$ 63.00</w:t>
            </w:r>
          </w:p>
        </w:tc>
        <w:tc>
          <w:tcPr>
            <w:tcW w:w="3506" w:type="dxa"/>
          </w:tcPr>
          <w:p>
            <w:pPr>
              <w:pStyle w:val="TableParagraph"/>
              <w:spacing w:line="172" w:lineRule="exact" w:before="28"/>
              <w:ind w:right="58"/>
              <w:jc w:val="right"/>
              <w:rPr>
                <w:sz w:val="15"/>
              </w:rPr>
            </w:pPr>
            <w:r>
              <w:rPr>
                <w:sz w:val="15"/>
              </w:rPr>
              <w:t>318</w:t>
            </w:r>
          </w:p>
        </w:tc>
        <w:tc>
          <w:tcPr>
            <w:tcW w:w="3285" w:type="dxa"/>
          </w:tcPr>
          <w:p>
            <w:pPr>
              <w:pStyle w:val="TableParagraph"/>
              <w:spacing w:line="172" w:lineRule="exact" w:before="28"/>
              <w:ind w:left="63"/>
              <w:rPr>
                <w:sz w:val="15"/>
              </w:rPr>
            </w:pPr>
            <w:r>
              <w:rPr>
                <w:sz w:val="15"/>
              </w:rPr>
              <w:t>RINCONADA LA FLORESTA</w:t>
            </w:r>
          </w:p>
        </w:tc>
        <w:tc>
          <w:tcPr>
            <w:tcW w:w="1692" w:type="dxa"/>
          </w:tcPr>
          <w:p>
            <w:pPr>
              <w:pStyle w:val="TableParagraph"/>
              <w:spacing w:line="150" w:lineRule="exact" w:before="50"/>
              <w:ind w:right="46"/>
              <w:jc w:val="right"/>
              <w:rPr>
                <w:sz w:val="15"/>
              </w:rPr>
            </w:pPr>
            <w:r>
              <w:rPr>
                <w:sz w:val="15"/>
              </w:rPr>
              <w:t>$ 185.00</w:t>
            </w:r>
          </w:p>
        </w:tc>
      </w:tr>
      <w:tr>
        <w:trPr>
          <w:trHeight w:val="220" w:hRule="atLeast"/>
        </w:trPr>
        <w:tc>
          <w:tcPr>
            <w:tcW w:w="3958" w:type="dxa"/>
          </w:tcPr>
          <w:p>
            <w:pPr>
              <w:pStyle w:val="TableParagraph"/>
              <w:spacing w:line="172" w:lineRule="exact" w:before="28"/>
              <w:ind w:left="50"/>
              <w:rPr>
                <w:sz w:val="15"/>
              </w:rPr>
            </w:pPr>
            <w:r>
              <w:rPr>
                <w:sz w:val="15"/>
              </w:rPr>
              <w:t>278 PUERTA EL CORTIJO COND.</w:t>
            </w:r>
          </w:p>
        </w:tc>
        <w:tc>
          <w:tcPr>
            <w:tcW w:w="4525" w:type="dxa"/>
          </w:tcPr>
          <w:p>
            <w:pPr>
              <w:pStyle w:val="TableParagraph"/>
              <w:spacing w:line="150" w:lineRule="exact" w:before="50"/>
              <w:ind w:left="695"/>
              <w:rPr>
                <w:sz w:val="15"/>
              </w:rPr>
            </w:pPr>
            <w:r>
              <w:rPr>
                <w:sz w:val="15"/>
              </w:rPr>
              <w:t>$ 85.00</w:t>
            </w:r>
          </w:p>
        </w:tc>
        <w:tc>
          <w:tcPr>
            <w:tcW w:w="3506" w:type="dxa"/>
          </w:tcPr>
          <w:p>
            <w:pPr>
              <w:pStyle w:val="TableParagraph"/>
              <w:spacing w:before="28"/>
              <w:ind w:right="58"/>
              <w:jc w:val="right"/>
              <w:rPr>
                <w:sz w:val="15"/>
              </w:rPr>
            </w:pPr>
            <w:r>
              <w:rPr>
                <w:sz w:val="15"/>
              </w:rPr>
              <w:t>319</w:t>
            </w:r>
          </w:p>
        </w:tc>
        <w:tc>
          <w:tcPr>
            <w:tcW w:w="3285" w:type="dxa"/>
          </w:tcPr>
          <w:p>
            <w:pPr>
              <w:pStyle w:val="TableParagraph"/>
              <w:spacing w:before="28"/>
              <w:ind w:left="63"/>
              <w:rPr>
                <w:sz w:val="15"/>
              </w:rPr>
            </w:pPr>
            <w:r>
              <w:rPr>
                <w:sz w:val="15"/>
              </w:rPr>
              <w:t>RINCONADA DE SAN ANDRES</w:t>
            </w:r>
          </w:p>
        </w:tc>
        <w:tc>
          <w:tcPr>
            <w:tcW w:w="1692" w:type="dxa"/>
          </w:tcPr>
          <w:p>
            <w:pPr>
              <w:pStyle w:val="TableParagraph"/>
              <w:spacing w:line="150" w:lineRule="exact" w:before="50"/>
              <w:ind w:right="46"/>
              <w:jc w:val="right"/>
              <w:rPr>
                <w:sz w:val="15"/>
              </w:rPr>
            </w:pPr>
            <w:r>
              <w:rPr>
                <w:sz w:val="15"/>
              </w:rPr>
              <w:t>$ 185.00</w:t>
            </w:r>
          </w:p>
        </w:tc>
      </w:tr>
      <w:tr>
        <w:trPr>
          <w:trHeight w:val="220" w:hRule="atLeast"/>
        </w:trPr>
        <w:tc>
          <w:tcPr>
            <w:tcW w:w="3958" w:type="dxa"/>
          </w:tcPr>
          <w:p>
            <w:pPr>
              <w:pStyle w:val="TableParagraph"/>
              <w:spacing w:line="172" w:lineRule="exact" w:before="29"/>
              <w:ind w:left="50"/>
              <w:rPr>
                <w:sz w:val="15"/>
              </w:rPr>
            </w:pPr>
            <w:r>
              <w:rPr>
                <w:sz w:val="15"/>
              </w:rPr>
              <w:t>279 RESIDENCIAL PROVIDENCIA</w:t>
            </w:r>
          </w:p>
        </w:tc>
        <w:tc>
          <w:tcPr>
            <w:tcW w:w="4525" w:type="dxa"/>
          </w:tcPr>
          <w:p>
            <w:pPr>
              <w:pStyle w:val="TableParagraph"/>
              <w:spacing w:line="150" w:lineRule="exact" w:before="50"/>
              <w:ind w:left="695"/>
              <w:rPr>
                <w:sz w:val="15"/>
              </w:rPr>
            </w:pPr>
            <w:r>
              <w:rPr>
                <w:sz w:val="15"/>
              </w:rPr>
              <w:t>$ 77.00</w:t>
            </w:r>
          </w:p>
        </w:tc>
        <w:tc>
          <w:tcPr>
            <w:tcW w:w="3506" w:type="dxa"/>
          </w:tcPr>
          <w:p>
            <w:pPr>
              <w:pStyle w:val="TableParagraph"/>
              <w:spacing w:line="172" w:lineRule="exact" w:before="28"/>
              <w:ind w:right="58"/>
              <w:jc w:val="right"/>
              <w:rPr>
                <w:sz w:val="15"/>
              </w:rPr>
            </w:pPr>
            <w:r>
              <w:rPr>
                <w:sz w:val="15"/>
              </w:rPr>
              <w:t>320</w:t>
            </w:r>
          </w:p>
        </w:tc>
        <w:tc>
          <w:tcPr>
            <w:tcW w:w="3285" w:type="dxa"/>
          </w:tcPr>
          <w:p>
            <w:pPr>
              <w:pStyle w:val="TableParagraph"/>
              <w:spacing w:line="172" w:lineRule="exact" w:before="28"/>
              <w:ind w:left="63"/>
              <w:rPr>
                <w:sz w:val="15"/>
              </w:rPr>
            </w:pPr>
            <w:r>
              <w:rPr>
                <w:sz w:val="15"/>
              </w:rPr>
              <w:t>PALMA REAL CONDOMINIO</w:t>
            </w:r>
          </w:p>
        </w:tc>
        <w:tc>
          <w:tcPr>
            <w:tcW w:w="1692" w:type="dxa"/>
          </w:tcPr>
          <w:p>
            <w:pPr>
              <w:pStyle w:val="TableParagraph"/>
              <w:spacing w:line="150" w:lineRule="exact" w:before="50"/>
              <w:ind w:right="46"/>
              <w:jc w:val="right"/>
              <w:rPr>
                <w:sz w:val="15"/>
              </w:rPr>
            </w:pPr>
            <w:r>
              <w:rPr>
                <w:sz w:val="15"/>
              </w:rPr>
              <w:t>$ 185.00</w:t>
            </w:r>
          </w:p>
        </w:tc>
      </w:tr>
      <w:tr>
        <w:trPr>
          <w:trHeight w:val="220" w:hRule="atLeast"/>
        </w:trPr>
        <w:tc>
          <w:tcPr>
            <w:tcW w:w="3958" w:type="dxa"/>
          </w:tcPr>
          <w:p>
            <w:pPr>
              <w:pStyle w:val="TableParagraph"/>
              <w:spacing w:line="172" w:lineRule="exact" w:before="28"/>
              <w:ind w:left="50"/>
              <w:rPr>
                <w:sz w:val="15"/>
              </w:rPr>
            </w:pPr>
            <w:r>
              <w:rPr>
                <w:sz w:val="15"/>
              </w:rPr>
              <w:t>280 RESIDENCIAL SAN NICOLAS</w:t>
            </w:r>
          </w:p>
        </w:tc>
        <w:tc>
          <w:tcPr>
            <w:tcW w:w="4525" w:type="dxa"/>
          </w:tcPr>
          <w:p>
            <w:pPr>
              <w:pStyle w:val="TableParagraph"/>
              <w:spacing w:line="150" w:lineRule="exact" w:before="50"/>
              <w:ind w:left="695"/>
              <w:rPr>
                <w:sz w:val="15"/>
              </w:rPr>
            </w:pPr>
            <w:r>
              <w:rPr>
                <w:sz w:val="15"/>
              </w:rPr>
              <w:t>$ 77.00</w:t>
            </w:r>
          </w:p>
        </w:tc>
        <w:tc>
          <w:tcPr>
            <w:tcW w:w="3506" w:type="dxa"/>
          </w:tcPr>
          <w:p>
            <w:pPr>
              <w:pStyle w:val="TableParagraph"/>
              <w:spacing w:before="28"/>
              <w:ind w:right="58"/>
              <w:jc w:val="right"/>
              <w:rPr>
                <w:sz w:val="15"/>
              </w:rPr>
            </w:pPr>
            <w:r>
              <w:rPr>
                <w:sz w:val="15"/>
              </w:rPr>
              <w:t>321</w:t>
            </w:r>
          </w:p>
        </w:tc>
        <w:tc>
          <w:tcPr>
            <w:tcW w:w="3285" w:type="dxa"/>
          </w:tcPr>
          <w:p>
            <w:pPr>
              <w:pStyle w:val="TableParagraph"/>
              <w:spacing w:before="28"/>
              <w:ind w:left="63"/>
              <w:rPr>
                <w:sz w:val="15"/>
              </w:rPr>
            </w:pPr>
            <w:r>
              <w:rPr>
                <w:sz w:val="15"/>
              </w:rPr>
              <w:t>PRIVADA SANTA ANITA</w:t>
            </w:r>
          </w:p>
        </w:tc>
        <w:tc>
          <w:tcPr>
            <w:tcW w:w="1692" w:type="dxa"/>
          </w:tcPr>
          <w:p>
            <w:pPr>
              <w:pStyle w:val="TableParagraph"/>
              <w:spacing w:line="150" w:lineRule="exact" w:before="50"/>
              <w:ind w:right="46"/>
              <w:jc w:val="right"/>
              <w:rPr>
                <w:sz w:val="15"/>
              </w:rPr>
            </w:pPr>
            <w:r>
              <w:rPr>
                <w:sz w:val="15"/>
              </w:rPr>
              <w:t>$ 158.00</w:t>
            </w:r>
          </w:p>
        </w:tc>
      </w:tr>
      <w:tr>
        <w:trPr>
          <w:trHeight w:val="220" w:hRule="atLeast"/>
        </w:trPr>
        <w:tc>
          <w:tcPr>
            <w:tcW w:w="3958" w:type="dxa"/>
          </w:tcPr>
          <w:p>
            <w:pPr>
              <w:pStyle w:val="TableParagraph"/>
              <w:spacing w:line="172" w:lineRule="exact" w:before="29"/>
              <w:ind w:left="50"/>
              <w:rPr>
                <w:sz w:val="15"/>
              </w:rPr>
            </w:pPr>
            <w:r>
              <w:rPr>
                <w:sz w:val="15"/>
              </w:rPr>
              <w:t>281 RESIDENCIAL TACOMOLCA</w:t>
            </w:r>
          </w:p>
        </w:tc>
        <w:tc>
          <w:tcPr>
            <w:tcW w:w="4525" w:type="dxa"/>
          </w:tcPr>
          <w:p>
            <w:pPr>
              <w:pStyle w:val="TableParagraph"/>
              <w:spacing w:line="150" w:lineRule="exact" w:before="50"/>
              <w:ind w:left="695"/>
              <w:rPr>
                <w:sz w:val="15"/>
              </w:rPr>
            </w:pPr>
            <w:r>
              <w:rPr>
                <w:sz w:val="15"/>
              </w:rPr>
              <w:t>$ 51.00</w:t>
            </w:r>
          </w:p>
        </w:tc>
        <w:tc>
          <w:tcPr>
            <w:tcW w:w="3506" w:type="dxa"/>
          </w:tcPr>
          <w:p>
            <w:pPr>
              <w:pStyle w:val="TableParagraph"/>
              <w:spacing w:line="172" w:lineRule="exact" w:before="28"/>
              <w:ind w:right="58"/>
              <w:jc w:val="right"/>
              <w:rPr>
                <w:sz w:val="15"/>
              </w:rPr>
            </w:pPr>
            <w:r>
              <w:rPr>
                <w:sz w:val="15"/>
              </w:rPr>
              <w:t>322</w:t>
            </w:r>
          </w:p>
        </w:tc>
        <w:tc>
          <w:tcPr>
            <w:tcW w:w="3285" w:type="dxa"/>
          </w:tcPr>
          <w:p>
            <w:pPr>
              <w:pStyle w:val="TableParagraph"/>
              <w:spacing w:line="172" w:lineRule="exact" w:before="28"/>
              <w:ind w:left="63"/>
              <w:rPr>
                <w:sz w:val="15"/>
              </w:rPr>
            </w:pPr>
            <w:r>
              <w:rPr>
                <w:sz w:val="15"/>
              </w:rPr>
              <w:t>EL NOPAL CONDOMINIO</w:t>
            </w:r>
          </w:p>
        </w:tc>
        <w:tc>
          <w:tcPr>
            <w:tcW w:w="1692" w:type="dxa"/>
          </w:tcPr>
          <w:p>
            <w:pPr>
              <w:pStyle w:val="TableParagraph"/>
              <w:spacing w:line="150" w:lineRule="exact" w:before="50"/>
              <w:ind w:right="46"/>
              <w:jc w:val="right"/>
              <w:rPr>
                <w:sz w:val="15"/>
              </w:rPr>
            </w:pPr>
            <w:r>
              <w:rPr>
                <w:sz w:val="15"/>
              </w:rPr>
              <w:t>$ 158.00</w:t>
            </w:r>
          </w:p>
        </w:tc>
      </w:tr>
      <w:tr>
        <w:trPr>
          <w:trHeight w:val="220" w:hRule="atLeast"/>
        </w:trPr>
        <w:tc>
          <w:tcPr>
            <w:tcW w:w="3958" w:type="dxa"/>
          </w:tcPr>
          <w:p>
            <w:pPr>
              <w:pStyle w:val="TableParagraph"/>
              <w:spacing w:line="172" w:lineRule="exact" w:before="28"/>
              <w:ind w:left="50"/>
              <w:rPr>
                <w:sz w:val="15"/>
              </w:rPr>
            </w:pPr>
            <w:r>
              <w:rPr>
                <w:sz w:val="15"/>
              </w:rPr>
              <w:t>282 RESIDENCIAL TULIPANES</w:t>
            </w:r>
          </w:p>
        </w:tc>
        <w:tc>
          <w:tcPr>
            <w:tcW w:w="4525" w:type="dxa"/>
          </w:tcPr>
          <w:p>
            <w:pPr>
              <w:pStyle w:val="TableParagraph"/>
              <w:spacing w:line="150" w:lineRule="exact" w:before="50"/>
              <w:ind w:left="695"/>
              <w:rPr>
                <w:sz w:val="15"/>
              </w:rPr>
            </w:pPr>
            <w:r>
              <w:rPr>
                <w:sz w:val="15"/>
              </w:rPr>
              <w:t>$ 62.00</w:t>
            </w:r>
          </w:p>
        </w:tc>
        <w:tc>
          <w:tcPr>
            <w:tcW w:w="3506" w:type="dxa"/>
          </w:tcPr>
          <w:p>
            <w:pPr>
              <w:pStyle w:val="TableParagraph"/>
              <w:spacing w:before="28"/>
              <w:ind w:right="58"/>
              <w:jc w:val="right"/>
              <w:rPr>
                <w:sz w:val="15"/>
              </w:rPr>
            </w:pPr>
            <w:r>
              <w:rPr>
                <w:sz w:val="15"/>
              </w:rPr>
              <w:t>323</w:t>
            </w:r>
          </w:p>
        </w:tc>
        <w:tc>
          <w:tcPr>
            <w:tcW w:w="3285" w:type="dxa"/>
          </w:tcPr>
          <w:p>
            <w:pPr>
              <w:pStyle w:val="TableParagraph"/>
              <w:spacing w:before="28"/>
              <w:ind w:left="63"/>
              <w:rPr>
                <w:sz w:val="15"/>
              </w:rPr>
            </w:pPr>
            <w:r>
              <w:rPr>
                <w:sz w:val="15"/>
              </w:rPr>
              <w:t>VILLAS TULIPANES</w:t>
            </w:r>
          </w:p>
        </w:tc>
        <w:tc>
          <w:tcPr>
            <w:tcW w:w="1692" w:type="dxa"/>
          </w:tcPr>
          <w:p>
            <w:pPr>
              <w:pStyle w:val="TableParagraph"/>
              <w:spacing w:line="151" w:lineRule="exact" w:before="50"/>
              <w:ind w:right="46"/>
              <w:jc w:val="right"/>
              <w:rPr>
                <w:sz w:val="15"/>
              </w:rPr>
            </w:pPr>
            <w:r>
              <w:rPr>
                <w:sz w:val="15"/>
              </w:rPr>
              <w:t>$ 88.00</w:t>
            </w:r>
          </w:p>
        </w:tc>
      </w:tr>
      <w:tr>
        <w:trPr>
          <w:trHeight w:val="185" w:hRule="atLeast"/>
        </w:trPr>
        <w:tc>
          <w:tcPr>
            <w:tcW w:w="3958" w:type="dxa"/>
          </w:tcPr>
          <w:p>
            <w:pPr>
              <w:pStyle w:val="TableParagraph"/>
              <w:spacing w:line="137" w:lineRule="exact" w:before="28"/>
              <w:ind w:left="50"/>
              <w:rPr>
                <w:sz w:val="15"/>
              </w:rPr>
            </w:pPr>
            <w:r>
              <w:rPr>
                <w:sz w:val="15"/>
              </w:rPr>
              <w:t>283 RINCONADA SANTIAGO</w:t>
            </w:r>
          </w:p>
        </w:tc>
        <w:tc>
          <w:tcPr>
            <w:tcW w:w="4525" w:type="dxa"/>
          </w:tcPr>
          <w:p>
            <w:pPr>
              <w:pStyle w:val="TableParagraph"/>
              <w:spacing w:line="115" w:lineRule="exact" w:before="50"/>
              <w:ind w:left="695"/>
              <w:rPr>
                <w:sz w:val="15"/>
              </w:rPr>
            </w:pPr>
            <w:r>
              <w:rPr>
                <w:sz w:val="15"/>
              </w:rPr>
              <w:t>$ 165.00</w:t>
            </w:r>
          </w:p>
        </w:tc>
        <w:tc>
          <w:tcPr>
            <w:tcW w:w="3506" w:type="dxa"/>
          </w:tcPr>
          <w:p>
            <w:pPr>
              <w:pStyle w:val="TableParagraph"/>
              <w:rPr>
                <w:rFonts w:ascii="Times New Roman"/>
                <w:sz w:val="12"/>
              </w:rPr>
            </w:pPr>
          </w:p>
        </w:tc>
        <w:tc>
          <w:tcPr>
            <w:tcW w:w="3285" w:type="dxa"/>
          </w:tcPr>
          <w:p>
            <w:pPr>
              <w:pStyle w:val="TableParagraph"/>
              <w:rPr>
                <w:rFonts w:ascii="Times New Roman"/>
                <w:sz w:val="12"/>
              </w:rPr>
            </w:pPr>
          </w:p>
        </w:tc>
        <w:tc>
          <w:tcPr>
            <w:tcW w:w="1692" w:type="dxa"/>
          </w:tcPr>
          <w:p>
            <w:pPr>
              <w:pStyle w:val="TableParagraph"/>
              <w:rPr>
                <w:rFonts w:ascii="Times New Roman"/>
                <w:sz w:val="12"/>
              </w:rPr>
            </w:pPr>
          </w:p>
        </w:tc>
      </w:tr>
    </w:tbl>
    <w:p>
      <w:pPr>
        <w:spacing w:after="0"/>
        <w:rPr>
          <w:rFonts w:ascii="Times New Roman"/>
          <w:sz w:val="12"/>
        </w:rPr>
        <w:sectPr>
          <w:headerReference w:type="default" r:id="rId85"/>
          <w:pgSz w:w="23250" w:h="15310" w:orient="landscape"/>
          <w:pgMar w:header="881" w:footer="499" w:top="1920" w:bottom="680" w:left="1880" w:right="1520"/>
        </w:sectPr>
      </w:pPr>
    </w:p>
    <w:p>
      <w:pPr>
        <w:pStyle w:val="ListParagraph"/>
        <w:numPr>
          <w:ilvl w:val="0"/>
          <w:numId w:val="117"/>
        </w:numPr>
        <w:tabs>
          <w:tab w:pos="596" w:val="left" w:leader="none"/>
          <w:tab w:pos="4818" w:val="left" w:leader="none"/>
        </w:tabs>
        <w:spacing w:line="240" w:lineRule="auto" w:before="63" w:after="0"/>
        <w:ind w:left="595" w:right="0" w:hanging="382"/>
        <w:jc w:val="left"/>
        <w:rPr>
          <w:sz w:val="15"/>
        </w:rPr>
      </w:pPr>
      <w:r>
        <w:rPr>
          <w:sz w:val="15"/>
        </w:rPr>
        <w:t>SAN JUAN</w:t>
      </w:r>
      <w:r>
        <w:rPr>
          <w:spacing w:val="23"/>
          <w:sz w:val="15"/>
        </w:rPr>
        <w:t> </w:t>
      </w:r>
      <w:r>
        <w:rPr>
          <w:sz w:val="15"/>
        </w:rPr>
        <w:t>DEL</w:t>
      </w:r>
      <w:r>
        <w:rPr>
          <w:spacing w:val="12"/>
          <w:sz w:val="15"/>
        </w:rPr>
        <w:t> </w:t>
      </w:r>
      <w:r>
        <w:rPr>
          <w:sz w:val="15"/>
        </w:rPr>
        <w:t>RÍO</w:t>
        <w:tab/>
      </w:r>
      <w:r>
        <w:rPr>
          <w:position w:val="-1"/>
          <w:sz w:val="15"/>
        </w:rPr>
        <w:t>$   </w:t>
      </w:r>
      <w:r>
        <w:rPr>
          <w:spacing w:val="15"/>
          <w:position w:val="-1"/>
          <w:sz w:val="15"/>
        </w:rPr>
        <w:t> </w:t>
      </w:r>
      <w:r>
        <w:rPr>
          <w:position w:val="-1"/>
          <w:sz w:val="15"/>
        </w:rPr>
        <w:t>85.00</w:t>
      </w:r>
    </w:p>
    <w:p>
      <w:pPr>
        <w:pStyle w:val="ListParagraph"/>
        <w:numPr>
          <w:ilvl w:val="0"/>
          <w:numId w:val="117"/>
        </w:numPr>
        <w:tabs>
          <w:tab w:pos="596" w:val="left" w:leader="none"/>
          <w:tab w:pos="4818" w:val="left" w:leader="none"/>
        </w:tabs>
        <w:spacing w:line="240" w:lineRule="auto" w:before="29" w:after="0"/>
        <w:ind w:left="595" w:right="0" w:hanging="382"/>
        <w:jc w:val="left"/>
        <w:rPr>
          <w:sz w:val="15"/>
        </w:rPr>
      </w:pPr>
      <w:r>
        <w:rPr>
          <w:sz w:val="15"/>
        </w:rPr>
        <w:t>SANTA</w:t>
      </w:r>
      <w:r>
        <w:rPr>
          <w:spacing w:val="19"/>
          <w:sz w:val="15"/>
        </w:rPr>
        <w:t> </w:t>
      </w:r>
      <w:r>
        <w:rPr>
          <w:sz w:val="15"/>
        </w:rPr>
        <w:t>FE</w:t>
      </w:r>
      <w:r>
        <w:rPr>
          <w:spacing w:val="20"/>
          <w:sz w:val="15"/>
        </w:rPr>
        <w:t> </w:t>
      </w:r>
      <w:r>
        <w:rPr>
          <w:sz w:val="15"/>
        </w:rPr>
        <w:t>(TLAJOMULCO)</w:t>
        <w:tab/>
      </w:r>
      <w:r>
        <w:rPr>
          <w:position w:val="-1"/>
          <w:sz w:val="15"/>
        </w:rPr>
        <w:t>$   </w:t>
      </w:r>
      <w:r>
        <w:rPr>
          <w:spacing w:val="16"/>
          <w:position w:val="-1"/>
          <w:sz w:val="15"/>
        </w:rPr>
        <w:t> </w:t>
      </w:r>
      <w:r>
        <w:rPr>
          <w:position w:val="-1"/>
          <w:sz w:val="15"/>
        </w:rPr>
        <w:t>77.00</w:t>
      </w:r>
    </w:p>
    <w:p>
      <w:pPr>
        <w:pStyle w:val="ListParagraph"/>
        <w:numPr>
          <w:ilvl w:val="0"/>
          <w:numId w:val="117"/>
        </w:numPr>
        <w:tabs>
          <w:tab w:pos="596" w:val="left" w:leader="none"/>
          <w:tab w:pos="4818" w:val="left" w:leader="none"/>
        </w:tabs>
        <w:spacing w:line="240" w:lineRule="auto" w:before="27" w:after="0"/>
        <w:ind w:left="595" w:right="0" w:hanging="382"/>
        <w:jc w:val="left"/>
        <w:rPr>
          <w:sz w:val="15"/>
        </w:rPr>
      </w:pPr>
      <w:r>
        <w:rPr>
          <w:sz w:val="15"/>
        </w:rPr>
        <w:t>VILLAS</w:t>
      </w:r>
      <w:r>
        <w:rPr>
          <w:spacing w:val="20"/>
          <w:sz w:val="15"/>
        </w:rPr>
        <w:t> </w:t>
      </w:r>
      <w:r>
        <w:rPr>
          <w:sz w:val="15"/>
        </w:rPr>
        <w:t>SANTA</w:t>
      </w:r>
      <w:r>
        <w:rPr>
          <w:spacing w:val="20"/>
          <w:sz w:val="15"/>
        </w:rPr>
        <w:t> </w:t>
      </w:r>
      <w:r>
        <w:rPr>
          <w:sz w:val="15"/>
        </w:rPr>
        <w:t>ISABEL</w:t>
        <w:tab/>
      </w:r>
      <w:r>
        <w:rPr>
          <w:position w:val="-1"/>
          <w:sz w:val="15"/>
        </w:rPr>
        <w:t>$ </w:t>
      </w:r>
      <w:r>
        <w:rPr>
          <w:spacing w:val="15"/>
          <w:position w:val="-1"/>
          <w:sz w:val="15"/>
        </w:rPr>
        <w:t> </w:t>
      </w:r>
      <w:r>
        <w:rPr>
          <w:position w:val="-1"/>
          <w:sz w:val="15"/>
        </w:rPr>
        <w:t>158.00</w:t>
      </w:r>
    </w:p>
    <w:p>
      <w:pPr>
        <w:pStyle w:val="ListParagraph"/>
        <w:numPr>
          <w:ilvl w:val="0"/>
          <w:numId w:val="117"/>
        </w:numPr>
        <w:tabs>
          <w:tab w:pos="596" w:val="left" w:leader="none"/>
        </w:tabs>
        <w:spacing w:line="240" w:lineRule="auto" w:before="129" w:after="0"/>
        <w:ind w:left="595" w:right="0" w:hanging="382"/>
        <w:jc w:val="left"/>
        <w:rPr>
          <w:sz w:val="15"/>
        </w:rPr>
      </w:pPr>
      <w:r>
        <w:rPr/>
        <w:pict>
          <v:shape style="position:absolute;margin-left:102.242203pt;margin-top:12.575858pt;width:267.3pt;height:206pt;mso-position-horizontal-relative:page;mso-position-vertical-relative:paragraph;z-index:2517002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3"/>
                    <w:gridCol w:w="1443"/>
                  </w:tblGrid>
                  <w:tr>
                    <w:trPr>
                      <w:trHeight w:val="185" w:hRule="atLeast"/>
                    </w:trPr>
                    <w:tc>
                      <w:tcPr>
                        <w:tcW w:w="3903" w:type="dxa"/>
                      </w:tcPr>
                      <w:p>
                        <w:pPr>
                          <w:pStyle w:val="TableParagraph"/>
                          <w:rPr>
                            <w:rFonts w:ascii="Times New Roman"/>
                            <w:sz w:val="12"/>
                          </w:rPr>
                        </w:pPr>
                      </w:p>
                    </w:tc>
                    <w:tc>
                      <w:tcPr>
                        <w:tcW w:w="1443" w:type="dxa"/>
                      </w:tcPr>
                      <w:p>
                        <w:pPr>
                          <w:pStyle w:val="TableParagraph"/>
                          <w:spacing w:line="165" w:lineRule="exact"/>
                          <w:ind w:right="48"/>
                          <w:jc w:val="right"/>
                          <w:rPr>
                            <w:sz w:val="15"/>
                          </w:rPr>
                        </w:pPr>
                        <w:r>
                          <w:rPr>
                            <w:sz w:val="15"/>
                          </w:rPr>
                          <w:t>$ 158.00</w:t>
                        </w:r>
                      </w:p>
                    </w:tc>
                  </w:tr>
                  <w:tr>
                    <w:trPr>
                      <w:trHeight w:val="220" w:hRule="atLeast"/>
                    </w:trPr>
                    <w:tc>
                      <w:tcPr>
                        <w:tcW w:w="3903" w:type="dxa"/>
                      </w:tcPr>
                      <w:p>
                        <w:pPr>
                          <w:pStyle w:val="TableParagraph"/>
                          <w:spacing w:before="12"/>
                          <w:ind w:left="50"/>
                          <w:rPr>
                            <w:sz w:val="15"/>
                          </w:rPr>
                        </w:pPr>
                        <w:r>
                          <w:rPr>
                            <w:sz w:val="15"/>
                          </w:rPr>
                          <w:t>288 EL GALLO</w:t>
                        </w:r>
                      </w:p>
                    </w:tc>
                    <w:tc>
                      <w:tcPr>
                        <w:tcW w:w="1443" w:type="dxa"/>
                      </w:tcPr>
                      <w:p>
                        <w:pPr>
                          <w:pStyle w:val="TableParagraph"/>
                          <w:spacing w:line="167" w:lineRule="exact" w:before="34"/>
                          <w:ind w:right="48"/>
                          <w:jc w:val="right"/>
                          <w:rPr>
                            <w:sz w:val="15"/>
                          </w:rPr>
                        </w:pPr>
                        <w:r>
                          <w:rPr>
                            <w:sz w:val="15"/>
                          </w:rPr>
                          <w:t>$ 158.00</w:t>
                        </w:r>
                      </w:p>
                    </w:tc>
                  </w:tr>
                  <w:tr>
                    <w:trPr>
                      <w:trHeight w:val="220" w:hRule="atLeast"/>
                    </w:trPr>
                    <w:tc>
                      <w:tcPr>
                        <w:tcW w:w="3903" w:type="dxa"/>
                      </w:tcPr>
                      <w:p>
                        <w:pPr>
                          <w:pStyle w:val="TableParagraph"/>
                          <w:spacing w:before="11"/>
                          <w:ind w:left="50"/>
                          <w:rPr>
                            <w:sz w:val="15"/>
                          </w:rPr>
                        </w:pPr>
                        <w:r>
                          <w:rPr>
                            <w:sz w:val="15"/>
                          </w:rPr>
                          <w:t>289 LAS LAJAS (PALOMAR)</w:t>
                        </w:r>
                      </w:p>
                    </w:tc>
                    <w:tc>
                      <w:tcPr>
                        <w:tcW w:w="1443" w:type="dxa"/>
                      </w:tcPr>
                      <w:p>
                        <w:pPr>
                          <w:pStyle w:val="TableParagraph"/>
                          <w:spacing w:line="167" w:lineRule="exact" w:before="33"/>
                          <w:ind w:right="48"/>
                          <w:jc w:val="right"/>
                          <w:rPr>
                            <w:sz w:val="15"/>
                          </w:rPr>
                        </w:pPr>
                        <w:r>
                          <w:rPr>
                            <w:sz w:val="15"/>
                          </w:rPr>
                          <w:t>$ 158.00</w:t>
                        </w:r>
                      </w:p>
                    </w:tc>
                  </w:tr>
                  <w:tr>
                    <w:trPr>
                      <w:trHeight w:val="220" w:hRule="atLeast"/>
                    </w:trPr>
                    <w:tc>
                      <w:tcPr>
                        <w:tcW w:w="3903" w:type="dxa"/>
                      </w:tcPr>
                      <w:p>
                        <w:pPr>
                          <w:pStyle w:val="TableParagraph"/>
                          <w:spacing w:before="12"/>
                          <w:ind w:left="50"/>
                          <w:rPr>
                            <w:sz w:val="15"/>
                          </w:rPr>
                        </w:pPr>
                        <w:r>
                          <w:rPr>
                            <w:sz w:val="15"/>
                          </w:rPr>
                          <w:t>290 RINCONADA LAS VILLAS (PALOMAR)</w:t>
                        </w:r>
                      </w:p>
                    </w:tc>
                    <w:tc>
                      <w:tcPr>
                        <w:tcW w:w="1443" w:type="dxa"/>
                      </w:tcPr>
                      <w:p>
                        <w:pPr>
                          <w:pStyle w:val="TableParagraph"/>
                          <w:spacing w:line="167" w:lineRule="exact" w:before="34"/>
                          <w:ind w:right="48"/>
                          <w:jc w:val="right"/>
                          <w:rPr>
                            <w:sz w:val="15"/>
                          </w:rPr>
                        </w:pPr>
                        <w:r>
                          <w:rPr>
                            <w:sz w:val="15"/>
                          </w:rPr>
                          <w:t>$ 158.00</w:t>
                        </w:r>
                      </w:p>
                    </w:tc>
                  </w:tr>
                  <w:tr>
                    <w:trPr>
                      <w:trHeight w:val="220" w:hRule="atLeast"/>
                    </w:trPr>
                    <w:tc>
                      <w:tcPr>
                        <w:tcW w:w="3903" w:type="dxa"/>
                      </w:tcPr>
                      <w:p>
                        <w:pPr>
                          <w:pStyle w:val="TableParagraph"/>
                          <w:spacing w:before="11"/>
                          <w:ind w:left="50"/>
                          <w:rPr>
                            <w:sz w:val="15"/>
                          </w:rPr>
                        </w:pPr>
                        <w:r>
                          <w:rPr>
                            <w:sz w:val="15"/>
                          </w:rPr>
                          <w:t>291 RINCONADA SANTA ISABEL</w:t>
                        </w:r>
                      </w:p>
                    </w:tc>
                    <w:tc>
                      <w:tcPr>
                        <w:tcW w:w="1443" w:type="dxa"/>
                      </w:tcPr>
                      <w:p>
                        <w:pPr>
                          <w:pStyle w:val="TableParagraph"/>
                          <w:spacing w:line="167" w:lineRule="exact" w:before="33"/>
                          <w:ind w:right="48"/>
                          <w:jc w:val="right"/>
                          <w:rPr>
                            <w:sz w:val="15"/>
                          </w:rPr>
                        </w:pPr>
                        <w:r>
                          <w:rPr>
                            <w:sz w:val="15"/>
                          </w:rPr>
                          <w:t>$ 158.00</w:t>
                        </w:r>
                      </w:p>
                    </w:tc>
                  </w:tr>
                  <w:tr>
                    <w:trPr>
                      <w:trHeight w:val="220" w:hRule="atLeast"/>
                    </w:trPr>
                    <w:tc>
                      <w:tcPr>
                        <w:tcW w:w="3903" w:type="dxa"/>
                      </w:tcPr>
                      <w:p>
                        <w:pPr>
                          <w:pStyle w:val="TableParagraph"/>
                          <w:spacing w:before="12"/>
                          <w:ind w:left="50"/>
                          <w:rPr>
                            <w:sz w:val="15"/>
                          </w:rPr>
                        </w:pPr>
                        <w:r>
                          <w:rPr>
                            <w:sz w:val="15"/>
                          </w:rPr>
                          <w:t>292 LA HERRADURA</w:t>
                        </w:r>
                      </w:p>
                    </w:tc>
                    <w:tc>
                      <w:tcPr>
                        <w:tcW w:w="1443" w:type="dxa"/>
                      </w:tcPr>
                      <w:p>
                        <w:pPr>
                          <w:pStyle w:val="TableParagraph"/>
                          <w:spacing w:line="167" w:lineRule="exact" w:before="34"/>
                          <w:ind w:right="48"/>
                          <w:jc w:val="right"/>
                          <w:rPr>
                            <w:sz w:val="15"/>
                          </w:rPr>
                        </w:pPr>
                        <w:r>
                          <w:rPr>
                            <w:sz w:val="15"/>
                          </w:rPr>
                          <w:t>$ 185.00</w:t>
                        </w:r>
                      </w:p>
                    </w:tc>
                  </w:tr>
                  <w:tr>
                    <w:trPr>
                      <w:trHeight w:val="206" w:hRule="atLeast"/>
                    </w:trPr>
                    <w:tc>
                      <w:tcPr>
                        <w:tcW w:w="3903" w:type="dxa"/>
                      </w:tcPr>
                      <w:p>
                        <w:pPr>
                          <w:pStyle w:val="TableParagraph"/>
                          <w:spacing w:before="11"/>
                          <w:ind w:left="50"/>
                          <w:rPr>
                            <w:sz w:val="15"/>
                          </w:rPr>
                        </w:pPr>
                        <w:r>
                          <w:rPr>
                            <w:sz w:val="15"/>
                          </w:rPr>
                          <w:t>293 PUERTA GALICIA</w:t>
                        </w:r>
                      </w:p>
                    </w:tc>
                    <w:tc>
                      <w:tcPr>
                        <w:tcW w:w="1443" w:type="dxa"/>
                      </w:tcPr>
                      <w:p>
                        <w:pPr>
                          <w:pStyle w:val="TableParagraph"/>
                          <w:spacing w:line="153" w:lineRule="exact" w:before="33"/>
                          <w:ind w:right="48"/>
                          <w:jc w:val="right"/>
                          <w:rPr>
                            <w:sz w:val="15"/>
                          </w:rPr>
                        </w:pPr>
                        <w:r>
                          <w:rPr>
                            <w:sz w:val="15"/>
                          </w:rPr>
                          <w:t>$ 185.00</w:t>
                        </w:r>
                      </w:p>
                    </w:tc>
                  </w:tr>
                  <w:tr>
                    <w:trPr>
                      <w:trHeight w:val="433" w:hRule="atLeast"/>
                    </w:trPr>
                    <w:tc>
                      <w:tcPr>
                        <w:tcW w:w="3903" w:type="dxa"/>
                      </w:tcPr>
                      <w:p>
                        <w:pPr>
                          <w:pStyle w:val="TableParagraph"/>
                          <w:spacing w:before="125"/>
                          <w:ind w:left="50"/>
                          <w:rPr>
                            <w:sz w:val="15"/>
                          </w:rPr>
                        </w:pPr>
                        <w:r>
                          <w:rPr>
                            <w:sz w:val="15"/>
                          </w:rPr>
                          <w:t>294 PLAZA LA GOURMETERIA (PALOMAR)</w:t>
                        </w:r>
                      </w:p>
                    </w:tc>
                    <w:tc>
                      <w:tcPr>
                        <w:tcW w:w="1443" w:type="dxa"/>
                      </w:tcPr>
                      <w:p>
                        <w:pPr>
                          <w:pStyle w:val="TableParagraph"/>
                          <w:spacing w:before="5"/>
                          <w:rPr>
                            <w:sz w:val="21"/>
                          </w:rPr>
                        </w:pPr>
                      </w:p>
                      <w:p>
                        <w:pPr>
                          <w:pStyle w:val="TableParagraph"/>
                          <w:spacing w:line="167" w:lineRule="exact"/>
                          <w:ind w:right="48"/>
                          <w:jc w:val="right"/>
                          <w:rPr>
                            <w:sz w:val="15"/>
                          </w:rPr>
                        </w:pPr>
                        <w:r>
                          <w:rPr>
                            <w:sz w:val="15"/>
                          </w:rPr>
                          <w:t>$ 227.00</w:t>
                        </w:r>
                      </w:p>
                    </w:tc>
                  </w:tr>
                  <w:tr>
                    <w:trPr>
                      <w:trHeight w:val="220" w:hRule="atLeast"/>
                    </w:trPr>
                    <w:tc>
                      <w:tcPr>
                        <w:tcW w:w="3903" w:type="dxa"/>
                      </w:tcPr>
                      <w:p>
                        <w:pPr>
                          <w:pStyle w:val="TableParagraph"/>
                          <w:spacing w:before="12"/>
                          <w:ind w:left="50"/>
                          <w:rPr>
                            <w:sz w:val="15"/>
                          </w:rPr>
                        </w:pPr>
                        <w:r>
                          <w:rPr>
                            <w:sz w:val="15"/>
                          </w:rPr>
                          <w:t>295 PLAZA LAS VILLAS (PALOMAR)</w:t>
                        </w:r>
                      </w:p>
                    </w:tc>
                    <w:tc>
                      <w:tcPr>
                        <w:tcW w:w="1443" w:type="dxa"/>
                      </w:tcPr>
                      <w:p>
                        <w:pPr>
                          <w:pStyle w:val="TableParagraph"/>
                          <w:spacing w:line="167" w:lineRule="exact" w:before="34"/>
                          <w:ind w:right="48"/>
                          <w:jc w:val="right"/>
                          <w:rPr>
                            <w:sz w:val="15"/>
                          </w:rPr>
                        </w:pPr>
                        <w:r>
                          <w:rPr>
                            <w:sz w:val="15"/>
                          </w:rPr>
                          <w:t>$ 227.00</w:t>
                        </w:r>
                      </w:p>
                    </w:tc>
                  </w:tr>
                  <w:tr>
                    <w:trPr>
                      <w:trHeight w:val="220" w:hRule="atLeast"/>
                    </w:trPr>
                    <w:tc>
                      <w:tcPr>
                        <w:tcW w:w="3903" w:type="dxa"/>
                      </w:tcPr>
                      <w:p>
                        <w:pPr>
                          <w:pStyle w:val="TableParagraph"/>
                          <w:spacing w:before="11"/>
                          <w:ind w:left="50"/>
                          <w:rPr>
                            <w:sz w:val="15"/>
                          </w:rPr>
                        </w:pPr>
                        <w:r>
                          <w:rPr>
                            <w:sz w:val="15"/>
                          </w:rPr>
                          <w:t>296 CONDOMINIO TESCALAME</w:t>
                        </w:r>
                      </w:p>
                    </w:tc>
                    <w:tc>
                      <w:tcPr>
                        <w:tcW w:w="1443" w:type="dxa"/>
                      </w:tcPr>
                      <w:p>
                        <w:pPr>
                          <w:pStyle w:val="TableParagraph"/>
                          <w:spacing w:line="167" w:lineRule="exact" w:before="33"/>
                          <w:ind w:right="48"/>
                          <w:jc w:val="right"/>
                          <w:rPr>
                            <w:sz w:val="15"/>
                          </w:rPr>
                        </w:pPr>
                        <w:r>
                          <w:rPr>
                            <w:sz w:val="15"/>
                          </w:rPr>
                          <w:t>$ 158.00</w:t>
                        </w:r>
                      </w:p>
                    </w:tc>
                  </w:tr>
                  <w:tr>
                    <w:trPr>
                      <w:trHeight w:val="220" w:hRule="atLeast"/>
                    </w:trPr>
                    <w:tc>
                      <w:tcPr>
                        <w:tcW w:w="3903" w:type="dxa"/>
                      </w:tcPr>
                      <w:p>
                        <w:pPr>
                          <w:pStyle w:val="TableParagraph"/>
                          <w:spacing w:before="12"/>
                          <w:ind w:left="50"/>
                          <w:rPr>
                            <w:sz w:val="15"/>
                          </w:rPr>
                        </w:pPr>
                        <w:r>
                          <w:rPr>
                            <w:sz w:val="15"/>
                          </w:rPr>
                          <w:t>297 CENTRO UNIVERSITARIO UNE</w:t>
                        </w:r>
                      </w:p>
                    </w:tc>
                    <w:tc>
                      <w:tcPr>
                        <w:tcW w:w="1443" w:type="dxa"/>
                      </w:tcPr>
                      <w:p>
                        <w:pPr>
                          <w:pStyle w:val="TableParagraph"/>
                          <w:spacing w:line="167" w:lineRule="exact" w:before="34"/>
                          <w:ind w:right="48"/>
                          <w:jc w:val="right"/>
                          <w:rPr>
                            <w:sz w:val="15"/>
                          </w:rPr>
                        </w:pPr>
                        <w:r>
                          <w:rPr>
                            <w:sz w:val="15"/>
                          </w:rPr>
                          <w:t>$ 158.00</w:t>
                        </w:r>
                      </w:p>
                    </w:tc>
                  </w:tr>
                  <w:tr>
                    <w:trPr>
                      <w:trHeight w:val="220" w:hRule="atLeast"/>
                    </w:trPr>
                    <w:tc>
                      <w:tcPr>
                        <w:tcW w:w="3903" w:type="dxa"/>
                      </w:tcPr>
                      <w:p>
                        <w:pPr>
                          <w:pStyle w:val="TableParagraph"/>
                          <w:spacing w:before="11"/>
                          <w:ind w:left="50"/>
                          <w:rPr>
                            <w:sz w:val="15"/>
                          </w:rPr>
                        </w:pPr>
                        <w:r>
                          <w:rPr>
                            <w:sz w:val="15"/>
                          </w:rPr>
                          <w:t>298 PLAZA SAN MIGUEL</w:t>
                        </w:r>
                      </w:p>
                    </w:tc>
                    <w:tc>
                      <w:tcPr>
                        <w:tcW w:w="1443" w:type="dxa"/>
                      </w:tcPr>
                      <w:p>
                        <w:pPr>
                          <w:pStyle w:val="TableParagraph"/>
                          <w:spacing w:line="167" w:lineRule="exact" w:before="33"/>
                          <w:ind w:right="48"/>
                          <w:jc w:val="right"/>
                          <w:rPr>
                            <w:sz w:val="15"/>
                          </w:rPr>
                        </w:pPr>
                        <w:r>
                          <w:rPr>
                            <w:sz w:val="15"/>
                          </w:rPr>
                          <w:t>$ 158.00</w:t>
                        </w:r>
                      </w:p>
                    </w:tc>
                  </w:tr>
                  <w:tr>
                    <w:trPr>
                      <w:trHeight w:val="220" w:hRule="atLeast"/>
                    </w:trPr>
                    <w:tc>
                      <w:tcPr>
                        <w:tcW w:w="3903" w:type="dxa"/>
                      </w:tcPr>
                      <w:p>
                        <w:pPr>
                          <w:pStyle w:val="TableParagraph"/>
                          <w:spacing w:before="12"/>
                          <w:ind w:left="50"/>
                          <w:rPr>
                            <w:sz w:val="15"/>
                          </w:rPr>
                        </w:pPr>
                        <w:r>
                          <w:rPr>
                            <w:sz w:val="15"/>
                          </w:rPr>
                          <w:t>299 EL CONICO</w:t>
                        </w:r>
                      </w:p>
                    </w:tc>
                    <w:tc>
                      <w:tcPr>
                        <w:tcW w:w="1443" w:type="dxa"/>
                      </w:tcPr>
                      <w:p>
                        <w:pPr>
                          <w:pStyle w:val="TableParagraph"/>
                          <w:spacing w:line="167" w:lineRule="exact" w:before="34"/>
                          <w:ind w:right="48"/>
                          <w:jc w:val="right"/>
                          <w:rPr>
                            <w:sz w:val="15"/>
                          </w:rPr>
                        </w:pPr>
                        <w:r>
                          <w:rPr>
                            <w:sz w:val="15"/>
                          </w:rPr>
                          <w:t>$ 158.00</w:t>
                        </w:r>
                      </w:p>
                    </w:tc>
                  </w:tr>
                  <w:tr>
                    <w:trPr>
                      <w:trHeight w:val="220" w:hRule="atLeast"/>
                    </w:trPr>
                    <w:tc>
                      <w:tcPr>
                        <w:tcW w:w="3903" w:type="dxa"/>
                      </w:tcPr>
                      <w:p>
                        <w:pPr>
                          <w:pStyle w:val="TableParagraph"/>
                          <w:spacing w:before="11"/>
                          <w:ind w:left="50"/>
                          <w:rPr>
                            <w:sz w:val="15"/>
                          </w:rPr>
                        </w:pPr>
                        <w:r>
                          <w:rPr>
                            <w:sz w:val="15"/>
                          </w:rPr>
                          <w:t>300 BOSQUES DE LOS CAMICHINES</w:t>
                        </w:r>
                      </w:p>
                    </w:tc>
                    <w:tc>
                      <w:tcPr>
                        <w:tcW w:w="1443" w:type="dxa"/>
                      </w:tcPr>
                      <w:p>
                        <w:pPr>
                          <w:pStyle w:val="TableParagraph"/>
                          <w:spacing w:line="167" w:lineRule="exact" w:before="33"/>
                          <w:ind w:right="48"/>
                          <w:jc w:val="right"/>
                          <w:rPr>
                            <w:sz w:val="15"/>
                          </w:rPr>
                        </w:pPr>
                        <w:r>
                          <w:rPr>
                            <w:sz w:val="15"/>
                          </w:rPr>
                          <w:t>$ 158.00</w:t>
                        </w:r>
                      </w:p>
                    </w:tc>
                  </w:tr>
                  <w:tr>
                    <w:trPr>
                      <w:trHeight w:val="220" w:hRule="atLeast"/>
                    </w:trPr>
                    <w:tc>
                      <w:tcPr>
                        <w:tcW w:w="3903" w:type="dxa"/>
                      </w:tcPr>
                      <w:p>
                        <w:pPr>
                          <w:pStyle w:val="TableParagraph"/>
                          <w:spacing w:before="12"/>
                          <w:ind w:left="50"/>
                          <w:rPr>
                            <w:sz w:val="15"/>
                          </w:rPr>
                        </w:pPr>
                        <w:r>
                          <w:rPr>
                            <w:sz w:val="15"/>
                          </w:rPr>
                          <w:t>301 RESIDENCIAL TAMARINDOS</w:t>
                        </w:r>
                      </w:p>
                    </w:tc>
                    <w:tc>
                      <w:tcPr>
                        <w:tcW w:w="1443" w:type="dxa"/>
                      </w:tcPr>
                      <w:p>
                        <w:pPr>
                          <w:pStyle w:val="TableParagraph"/>
                          <w:spacing w:line="167" w:lineRule="exact" w:before="34"/>
                          <w:ind w:right="48"/>
                          <w:jc w:val="right"/>
                          <w:rPr>
                            <w:sz w:val="15"/>
                          </w:rPr>
                        </w:pPr>
                        <w:r>
                          <w:rPr>
                            <w:sz w:val="15"/>
                          </w:rPr>
                          <w:t>$ 158.00</w:t>
                        </w:r>
                      </w:p>
                    </w:tc>
                  </w:tr>
                  <w:tr>
                    <w:trPr>
                      <w:trHeight w:val="220" w:hRule="atLeast"/>
                    </w:trPr>
                    <w:tc>
                      <w:tcPr>
                        <w:tcW w:w="3903" w:type="dxa"/>
                      </w:tcPr>
                      <w:p>
                        <w:pPr>
                          <w:pStyle w:val="TableParagraph"/>
                          <w:spacing w:before="11"/>
                          <w:ind w:left="50"/>
                          <w:rPr>
                            <w:sz w:val="15"/>
                          </w:rPr>
                        </w:pPr>
                        <w:r>
                          <w:rPr>
                            <w:sz w:val="15"/>
                          </w:rPr>
                          <w:t>302 ZOI SUR RESIDENCIAL</w:t>
                        </w:r>
                      </w:p>
                    </w:tc>
                    <w:tc>
                      <w:tcPr>
                        <w:tcW w:w="1443" w:type="dxa"/>
                      </w:tcPr>
                      <w:p>
                        <w:pPr>
                          <w:pStyle w:val="TableParagraph"/>
                          <w:spacing w:line="167" w:lineRule="exact" w:before="33"/>
                          <w:ind w:right="48"/>
                          <w:jc w:val="right"/>
                          <w:rPr>
                            <w:sz w:val="15"/>
                          </w:rPr>
                        </w:pPr>
                        <w:r>
                          <w:rPr>
                            <w:sz w:val="15"/>
                          </w:rPr>
                          <w:t>$ 158.00</w:t>
                        </w:r>
                      </w:p>
                    </w:tc>
                  </w:tr>
                  <w:tr>
                    <w:trPr>
                      <w:trHeight w:val="220" w:hRule="atLeast"/>
                    </w:trPr>
                    <w:tc>
                      <w:tcPr>
                        <w:tcW w:w="3903" w:type="dxa"/>
                      </w:tcPr>
                      <w:p>
                        <w:pPr>
                          <w:pStyle w:val="TableParagraph"/>
                          <w:spacing w:before="12"/>
                          <w:ind w:left="50"/>
                          <w:rPr>
                            <w:sz w:val="15"/>
                          </w:rPr>
                        </w:pPr>
                        <w:r>
                          <w:rPr>
                            <w:sz w:val="15"/>
                          </w:rPr>
                          <w:t>303 RINCON DE LOS COPALES</w:t>
                        </w:r>
                      </w:p>
                    </w:tc>
                    <w:tc>
                      <w:tcPr>
                        <w:tcW w:w="1443" w:type="dxa"/>
                      </w:tcPr>
                      <w:p>
                        <w:pPr>
                          <w:pStyle w:val="TableParagraph"/>
                          <w:spacing w:line="167" w:lineRule="exact" w:before="34"/>
                          <w:ind w:right="48"/>
                          <w:jc w:val="right"/>
                          <w:rPr>
                            <w:sz w:val="15"/>
                          </w:rPr>
                        </w:pPr>
                        <w:r>
                          <w:rPr>
                            <w:sz w:val="15"/>
                          </w:rPr>
                          <w:t>$ 158.00</w:t>
                        </w:r>
                      </w:p>
                    </w:tc>
                  </w:tr>
                  <w:tr>
                    <w:trPr>
                      <w:trHeight w:val="206" w:hRule="atLeast"/>
                    </w:trPr>
                    <w:tc>
                      <w:tcPr>
                        <w:tcW w:w="3903" w:type="dxa"/>
                      </w:tcPr>
                      <w:p>
                        <w:pPr>
                          <w:pStyle w:val="TableParagraph"/>
                          <w:spacing w:before="11"/>
                          <w:ind w:left="50"/>
                          <w:rPr>
                            <w:sz w:val="15"/>
                          </w:rPr>
                        </w:pPr>
                        <w:r>
                          <w:rPr>
                            <w:sz w:val="15"/>
                          </w:rPr>
                          <w:t>304 LA COMPUERTA, CONDOMINIO</w:t>
                        </w:r>
                      </w:p>
                    </w:tc>
                    <w:tc>
                      <w:tcPr>
                        <w:tcW w:w="1443" w:type="dxa"/>
                      </w:tcPr>
                      <w:p>
                        <w:pPr>
                          <w:pStyle w:val="TableParagraph"/>
                          <w:spacing w:line="153" w:lineRule="exact" w:before="33"/>
                          <w:ind w:right="48"/>
                          <w:jc w:val="right"/>
                          <w:rPr>
                            <w:sz w:val="15"/>
                          </w:rPr>
                        </w:pPr>
                        <w:r>
                          <w:rPr>
                            <w:sz w:val="15"/>
                          </w:rPr>
                          <w:t>$ 81.00</w:t>
                        </w:r>
                      </w:p>
                    </w:tc>
                  </w:tr>
                </w:tbl>
                <w:p>
                  <w:pPr>
                    <w:pStyle w:val="BodyText"/>
                  </w:pPr>
                </w:p>
              </w:txbxContent>
            </v:textbox>
            <w10:wrap type="none"/>
          </v:shape>
        </w:pict>
      </w:r>
      <w:r>
        <w:rPr>
          <w:sz w:val="15"/>
        </w:rPr>
        <w:t>CONDOMINIO EL DERRAMADERO (SAN</w:t>
      </w:r>
      <w:r>
        <w:rPr>
          <w:spacing w:val="14"/>
          <w:sz w:val="15"/>
        </w:rPr>
        <w:t> </w:t>
      </w:r>
      <w:r>
        <w:rPr>
          <w:sz w:val="15"/>
        </w:rPr>
        <w:t>AGUSTIN)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2"/>
        </w:rPr>
      </w:pPr>
    </w:p>
    <w:p>
      <w:pPr>
        <w:pStyle w:val="BodyText"/>
        <w:spacing w:line="118" w:lineRule="exact" w:before="1"/>
        <w:ind w:left="214"/>
      </w:pPr>
      <w:r>
        <w:rPr/>
        <w:t>305 CONDOMINIO AMANECER DE LOS OCOTES</w:t>
      </w:r>
    </w:p>
    <w:p>
      <w:pPr>
        <w:pStyle w:val="BodyText"/>
        <w:spacing w:line="247" w:lineRule="auto"/>
        <w:ind w:left="214" w:right="511" w:firstLine="397"/>
        <w:jc w:val="both"/>
      </w:pPr>
      <w:r>
        <w:rPr/>
        <w:br w:type="column"/>
      </w:r>
      <w:r>
        <w:rPr/>
        <w:t>En el caso de los fraccionamientos que sean incorporados a la Administración Municipal y no estén contemplados en las tarifas anteriores, el Municipio de Tlajomulco de Zúñiga, Jalisco, por conducto de la Dirección Comercial dependiente de la Dirección General de Agua Potable y Saneamiento del IMHAB podrá determinar mediante el dictamen correspondiente la tarifa más adecuada siempre y cuando ésta quede comprendida entre los mínimos y máximos contemplados en esta</w:t>
      </w:r>
      <w:r>
        <w:rPr>
          <w:spacing w:val="23"/>
        </w:rPr>
        <w:t> </w:t>
      </w:r>
      <w:r>
        <w:rPr/>
        <w:t>fracción.</w:t>
      </w:r>
    </w:p>
    <w:p>
      <w:pPr>
        <w:pStyle w:val="BodyText"/>
      </w:pPr>
    </w:p>
    <w:p>
      <w:pPr>
        <w:pStyle w:val="BodyText"/>
        <w:spacing w:line="247" w:lineRule="auto"/>
        <w:ind w:left="214" w:right="508"/>
        <w:jc w:val="both"/>
      </w:pPr>
      <w:r>
        <w:rPr/>
        <w:t>Las tarifas establecidas para las Poblaciones, Asentamientos Urbanos, Fraccionamientos, Condominios, Colonias o Conjuntos Habitacionales irregulares, son determinadas en función de  las  características  y  densidad poblacional de que se trate, las mismas podrán ser modificadas por el Municipio de Tlajomulco de Zúñiga, Jalisco, por conducto de la Dirección Comercial dependiente de la Dirección General de Agua Potable    y Saneamiento del IMHAB, una vez realizadas las verificaciones  que demuestren la infraestructura existente y   la prestación de los servicios, estableciendo la tarifa más adecuada siempre y  cuando  ésta  quede  comprendida entre los mínimos y máximos contemplados en esta</w:t>
      </w:r>
      <w:r>
        <w:rPr>
          <w:spacing w:val="23"/>
        </w:rPr>
        <w:t> </w:t>
      </w:r>
      <w:r>
        <w:rPr/>
        <w:t>fracción.</w:t>
      </w:r>
    </w:p>
    <w:p>
      <w:pPr>
        <w:pStyle w:val="BodyText"/>
      </w:pPr>
    </w:p>
    <w:p>
      <w:pPr>
        <w:pStyle w:val="BodyText"/>
        <w:spacing w:line="247" w:lineRule="auto"/>
        <w:ind w:left="214" w:right="510"/>
        <w:jc w:val="both"/>
      </w:pPr>
      <w:r>
        <w:rPr/>
        <w:t>Los fraccionamientos u organismos de cualquier tipo que les haya sido o les sea concesionado el servicio de agua potable y alcantarillado, no contemplados en las fracciones anteriores, les será aplicada a los usuarios y urbanizadores la cuota fija de acuerdo al dictamen que emita la Dirección General de Agua Potable y Saneamiento del IMHAB, en función de las características y densidad poblacional que se trate</w:t>
      </w:r>
    </w:p>
    <w:p>
      <w:pPr>
        <w:pStyle w:val="BodyText"/>
        <w:spacing w:before="2"/>
      </w:pPr>
    </w:p>
    <w:p>
      <w:pPr>
        <w:pStyle w:val="BodyText"/>
        <w:spacing w:line="247" w:lineRule="auto"/>
        <w:ind w:left="214" w:right="509"/>
        <w:jc w:val="both"/>
      </w:pPr>
      <w:r>
        <w:rPr/>
        <w:t>Para el caso de los fraccionamientos que el servicio de agua potable y alcantarillado sea operado por  organismos concesionados por el municipio, se aumentara en la tarifa determinada  en  las  fracciones  anteriores un 5% más; dicho porcentaje será enterado por el concesionario al municipio por concepto de los gastos operativos derivado de las supervisiones e inspecciones que realice la autoridad competente; esto será independientemente del cobro contemplado en el Artículo 107 Fracción XIX referente al concepto colectores   que corresponde al</w:t>
      </w:r>
      <w:r>
        <w:rPr>
          <w:spacing w:val="3"/>
        </w:rPr>
        <w:t> </w:t>
      </w:r>
      <w:r>
        <w:rPr/>
        <w:t>3%.</w:t>
      </w:r>
    </w:p>
    <w:p>
      <w:pPr>
        <w:pStyle w:val="BodyText"/>
        <w:spacing w:before="1"/>
      </w:pPr>
    </w:p>
    <w:p>
      <w:pPr>
        <w:pStyle w:val="BodyText"/>
        <w:spacing w:line="247" w:lineRule="auto"/>
        <w:ind w:left="214" w:right="508" w:firstLine="397"/>
        <w:jc w:val="both"/>
      </w:pPr>
      <w:r>
        <w:rPr>
          <w:b/>
        </w:rPr>
        <w:t>Artículo 105.- </w:t>
      </w:r>
      <w:r>
        <w:rPr/>
        <w:t>Derecho por conexión al servicio: Cuando los usuarios soliciten la conexión de su predio    ya urbanizado con los servicios de agua potable y/o alcantarillado, deberán pagar, aparte de la mano de obra      y materiales necesarios para su instalación, las</w:t>
      </w:r>
      <w:r>
        <w:rPr>
          <w:spacing w:val="11"/>
        </w:rPr>
        <w:t> </w:t>
      </w:r>
      <w:r>
        <w:rPr/>
        <w:t>siguientes:</w:t>
      </w:r>
    </w:p>
    <w:p>
      <w:pPr>
        <w:spacing w:after="0" w:line="247" w:lineRule="auto"/>
        <w:jc w:val="both"/>
        <w:sectPr>
          <w:type w:val="continuous"/>
          <w:pgSz w:w="23250" w:h="15310" w:orient="landscape"/>
          <w:pgMar w:top="0" w:bottom="0" w:left="1880" w:right="1520"/>
          <w:cols w:num="2" w:equalWidth="0">
            <w:col w:w="5501" w:space="6057"/>
            <w:col w:w="8292"/>
          </w:cols>
        </w:sectPr>
      </w:pPr>
    </w:p>
    <w:p>
      <w:pPr>
        <w:pStyle w:val="BodyText"/>
        <w:tabs>
          <w:tab w:pos="17529" w:val="left" w:leader="none"/>
        </w:tabs>
        <w:spacing w:before="2"/>
        <w:ind w:left="4817"/>
      </w:pPr>
      <w:r>
        <w:rPr/>
        <w:t>$   </w:t>
      </w:r>
      <w:r>
        <w:rPr>
          <w:spacing w:val="11"/>
        </w:rPr>
        <w:t> </w:t>
      </w:r>
      <w:r>
        <w:rPr/>
        <w:t>81.00</w:t>
        <w:tab/>
      </w:r>
      <w:r>
        <w:rPr>
          <w:spacing w:val="-4"/>
        </w:rPr>
        <w:t>TARIFAS</w:t>
      </w:r>
    </w:p>
    <w:p>
      <w:pPr>
        <w:spacing w:after="0"/>
        <w:sectPr>
          <w:type w:val="continuous"/>
          <w:pgSz w:w="23250" w:h="15310" w:orient="landscape"/>
          <w:pgMar w:top="0" w:bottom="0" w:left="1880" w:right="1520"/>
        </w:sectPr>
      </w:pPr>
    </w:p>
    <w:p>
      <w:pPr>
        <w:pStyle w:val="BodyText"/>
        <w:rPr>
          <w:sz w:val="20"/>
        </w:rPr>
      </w:pPr>
    </w:p>
    <w:p>
      <w:pPr>
        <w:pStyle w:val="BodyText"/>
        <w:spacing w:before="6"/>
        <w:rPr>
          <w:sz w:val="29"/>
        </w:rPr>
      </w:pPr>
    </w:p>
    <w:p>
      <w:pPr>
        <w:spacing w:after="0"/>
        <w:rPr>
          <w:sz w:val="29"/>
        </w:rPr>
        <w:sectPr>
          <w:headerReference w:type="default" r:id="rId86"/>
          <w:pgSz w:w="23250" w:h="15310" w:orient="landscape"/>
          <w:pgMar w:header="881" w:footer="499" w:top="1920" w:bottom="680" w:left="1880" w:right="1520"/>
        </w:sectPr>
      </w:pPr>
    </w:p>
    <w:p>
      <w:pPr>
        <w:pStyle w:val="ListParagraph"/>
        <w:numPr>
          <w:ilvl w:val="0"/>
          <w:numId w:val="118"/>
        </w:numPr>
        <w:tabs>
          <w:tab w:pos="675" w:val="left" w:leader="none"/>
        </w:tabs>
        <w:spacing w:line="240" w:lineRule="auto" w:before="100" w:after="0"/>
        <w:ind w:left="674" w:right="0" w:hanging="127"/>
        <w:jc w:val="left"/>
        <w:rPr>
          <w:sz w:val="15"/>
        </w:rPr>
      </w:pPr>
      <w:r>
        <w:rPr>
          <w:spacing w:val="-5"/>
          <w:sz w:val="15"/>
        </w:rPr>
        <w:t>Toma </w:t>
      </w:r>
      <w:r>
        <w:rPr>
          <w:sz w:val="15"/>
        </w:rPr>
        <w:t>de ½</w:t>
      </w:r>
      <w:r>
        <w:rPr>
          <w:spacing w:val="9"/>
          <w:sz w:val="15"/>
        </w:rPr>
        <w:t> </w:t>
      </w:r>
      <w:r>
        <w:rPr>
          <w:sz w:val="15"/>
        </w:rPr>
        <w:t>pulgada:</w:t>
      </w:r>
    </w:p>
    <w:p>
      <w:pPr>
        <w:pStyle w:val="BodyText"/>
        <w:spacing w:before="7"/>
        <w:rPr>
          <w:sz w:val="18"/>
        </w:rPr>
      </w:pPr>
    </w:p>
    <w:p>
      <w:pPr>
        <w:pStyle w:val="ListParagraph"/>
        <w:numPr>
          <w:ilvl w:val="0"/>
          <w:numId w:val="119"/>
        </w:numPr>
        <w:tabs>
          <w:tab w:pos="729" w:val="left" w:leader="none"/>
          <w:tab w:pos="5148" w:val="left" w:leader="none"/>
        </w:tabs>
        <w:spacing w:line="240" w:lineRule="auto" w:before="0" w:after="0"/>
        <w:ind w:left="728" w:right="0" w:hanging="181"/>
        <w:jc w:val="left"/>
        <w:rPr>
          <w:sz w:val="15"/>
        </w:rPr>
      </w:pPr>
      <w:r>
        <w:rPr>
          <w:sz w:val="15"/>
        </w:rPr>
        <w:t>De hasta 6</w:t>
      </w:r>
      <w:r>
        <w:rPr>
          <w:spacing w:val="30"/>
          <w:sz w:val="15"/>
        </w:rPr>
        <w:t> </w:t>
      </w:r>
      <w:r>
        <w:rPr>
          <w:sz w:val="15"/>
        </w:rPr>
        <w:t>metros</w:t>
      </w:r>
      <w:r>
        <w:rPr>
          <w:spacing w:val="11"/>
          <w:sz w:val="15"/>
        </w:rPr>
        <w:t> </w:t>
      </w:r>
      <w:r>
        <w:rPr>
          <w:sz w:val="15"/>
        </w:rPr>
        <w:t>lineales:</w:t>
        <w:tab/>
        <w:t>$287.00</w:t>
      </w:r>
    </w:p>
    <w:p>
      <w:pPr>
        <w:pStyle w:val="ListParagraph"/>
        <w:numPr>
          <w:ilvl w:val="0"/>
          <w:numId w:val="119"/>
        </w:numPr>
        <w:tabs>
          <w:tab w:pos="729" w:val="left" w:leader="none"/>
          <w:tab w:pos="5148" w:val="left" w:leader="none"/>
        </w:tabs>
        <w:spacing w:line="388" w:lineRule="exact" w:before="12" w:after="0"/>
        <w:ind w:left="548" w:right="38" w:firstLine="0"/>
        <w:jc w:val="left"/>
        <w:rPr>
          <w:sz w:val="15"/>
        </w:rPr>
      </w:pPr>
      <w:r>
        <w:rPr>
          <w:sz w:val="15"/>
        </w:rPr>
        <w:t>De hasta 12</w:t>
      </w:r>
      <w:r>
        <w:rPr>
          <w:spacing w:val="32"/>
          <w:sz w:val="15"/>
        </w:rPr>
        <w:t> </w:t>
      </w:r>
      <w:r>
        <w:rPr>
          <w:sz w:val="15"/>
        </w:rPr>
        <w:t>metros</w:t>
      </w:r>
      <w:r>
        <w:rPr>
          <w:spacing w:val="11"/>
          <w:sz w:val="15"/>
        </w:rPr>
        <w:t> </w:t>
      </w:r>
      <w:r>
        <w:rPr>
          <w:sz w:val="15"/>
        </w:rPr>
        <w:t>lineales:</w:t>
        <w:tab/>
      </w:r>
      <w:r>
        <w:rPr>
          <w:spacing w:val="-3"/>
          <w:sz w:val="15"/>
        </w:rPr>
        <w:t>$573.00 </w:t>
      </w:r>
      <w:r>
        <w:rPr>
          <w:sz w:val="15"/>
        </w:rPr>
        <w:t>Las</w:t>
      </w:r>
      <w:r>
        <w:rPr>
          <w:spacing w:val="23"/>
          <w:sz w:val="15"/>
        </w:rPr>
        <w:t> </w:t>
      </w:r>
      <w:r>
        <w:rPr>
          <w:sz w:val="15"/>
        </w:rPr>
        <w:t>tomas</w:t>
      </w:r>
      <w:r>
        <w:rPr>
          <w:spacing w:val="23"/>
          <w:sz w:val="15"/>
        </w:rPr>
        <w:t> </w:t>
      </w:r>
      <w:r>
        <w:rPr>
          <w:sz w:val="15"/>
        </w:rPr>
        <w:t>no</w:t>
      </w:r>
      <w:r>
        <w:rPr>
          <w:spacing w:val="23"/>
          <w:sz w:val="15"/>
        </w:rPr>
        <w:t> </w:t>
      </w:r>
      <w:r>
        <w:rPr>
          <w:sz w:val="15"/>
        </w:rPr>
        <w:t>domésticas</w:t>
      </w:r>
      <w:r>
        <w:rPr>
          <w:spacing w:val="24"/>
          <w:sz w:val="15"/>
        </w:rPr>
        <w:t> </w:t>
      </w:r>
      <w:r>
        <w:rPr>
          <w:sz w:val="15"/>
        </w:rPr>
        <w:t>sólo</w:t>
      </w:r>
      <w:r>
        <w:rPr>
          <w:spacing w:val="22"/>
          <w:sz w:val="15"/>
        </w:rPr>
        <w:t> </w:t>
      </w:r>
      <w:r>
        <w:rPr>
          <w:sz w:val="15"/>
        </w:rPr>
        <w:t>serán</w:t>
      </w:r>
      <w:r>
        <w:rPr>
          <w:spacing w:val="24"/>
          <w:sz w:val="15"/>
        </w:rPr>
        <w:t> </w:t>
      </w:r>
      <w:r>
        <w:rPr>
          <w:sz w:val="15"/>
        </w:rPr>
        <w:t>autorizadas</w:t>
      </w:r>
      <w:r>
        <w:rPr>
          <w:spacing w:val="24"/>
          <w:sz w:val="15"/>
        </w:rPr>
        <w:t> </w:t>
      </w:r>
      <w:r>
        <w:rPr>
          <w:sz w:val="15"/>
        </w:rPr>
        <w:t>por</w:t>
      </w:r>
      <w:r>
        <w:rPr>
          <w:spacing w:val="23"/>
          <w:sz w:val="15"/>
        </w:rPr>
        <w:t> </w:t>
      </w:r>
      <w:r>
        <w:rPr>
          <w:sz w:val="15"/>
        </w:rPr>
        <w:t>la</w:t>
      </w:r>
      <w:r>
        <w:rPr>
          <w:spacing w:val="24"/>
          <w:sz w:val="15"/>
        </w:rPr>
        <w:t> </w:t>
      </w:r>
      <w:r>
        <w:rPr>
          <w:sz w:val="15"/>
        </w:rPr>
        <w:t>Dirección</w:t>
      </w:r>
      <w:r>
        <w:rPr>
          <w:spacing w:val="26"/>
          <w:sz w:val="15"/>
        </w:rPr>
        <w:t> </w:t>
      </w:r>
      <w:r>
        <w:rPr>
          <w:sz w:val="15"/>
        </w:rPr>
        <w:t>General</w:t>
      </w:r>
    </w:p>
    <w:p>
      <w:pPr>
        <w:pStyle w:val="BodyText"/>
        <w:spacing w:line="131" w:lineRule="exact"/>
        <w:ind w:left="150"/>
      </w:pPr>
      <w:r>
        <w:rPr/>
        <w:t>de</w:t>
      </w:r>
      <w:r>
        <w:rPr>
          <w:spacing w:val="5"/>
        </w:rPr>
        <w:t> </w:t>
      </w:r>
      <w:r>
        <w:rPr/>
        <w:t>Agua</w:t>
      </w:r>
      <w:r>
        <w:rPr>
          <w:spacing w:val="15"/>
        </w:rPr>
        <w:t> </w:t>
      </w:r>
      <w:r>
        <w:rPr/>
        <w:t>Potable</w:t>
      </w:r>
      <w:r>
        <w:rPr>
          <w:spacing w:val="16"/>
        </w:rPr>
        <w:t> </w:t>
      </w:r>
      <w:r>
        <w:rPr/>
        <w:t>y</w:t>
      </w:r>
      <w:r>
        <w:rPr>
          <w:spacing w:val="16"/>
        </w:rPr>
        <w:t> </w:t>
      </w:r>
      <w:r>
        <w:rPr/>
        <w:t>Saneamiento</w:t>
      </w:r>
      <w:r>
        <w:rPr>
          <w:spacing w:val="15"/>
        </w:rPr>
        <w:t> </w:t>
      </w:r>
      <w:r>
        <w:rPr/>
        <w:t>del   </w:t>
      </w:r>
      <w:r>
        <w:rPr>
          <w:spacing w:val="6"/>
        </w:rPr>
        <w:t> </w:t>
      </w:r>
      <w:r>
        <w:rPr/>
        <w:t>IMHAB,</w:t>
      </w:r>
      <w:r>
        <w:rPr>
          <w:spacing w:val="16"/>
        </w:rPr>
        <w:t> </w:t>
      </w:r>
      <w:r>
        <w:rPr/>
        <w:t>encargada</w:t>
      </w:r>
      <w:r>
        <w:rPr>
          <w:spacing w:val="16"/>
        </w:rPr>
        <w:t> </w:t>
      </w:r>
      <w:r>
        <w:rPr/>
        <w:t>de</w:t>
      </w:r>
      <w:r>
        <w:rPr>
          <w:spacing w:val="15"/>
        </w:rPr>
        <w:t> </w:t>
      </w:r>
      <w:r>
        <w:rPr/>
        <w:t>la</w:t>
      </w:r>
      <w:r>
        <w:rPr>
          <w:spacing w:val="16"/>
        </w:rPr>
        <w:t> </w:t>
      </w:r>
      <w:r>
        <w:rPr/>
        <w:t>prestación</w:t>
      </w:r>
      <w:r>
        <w:rPr>
          <w:spacing w:val="16"/>
        </w:rPr>
        <w:t> </w:t>
      </w:r>
      <w:r>
        <w:rPr/>
        <w:t>de</w:t>
      </w:r>
      <w:r>
        <w:rPr>
          <w:spacing w:val="15"/>
        </w:rPr>
        <w:t> </w:t>
      </w:r>
      <w:r>
        <w:rPr/>
        <w:t>los</w:t>
      </w:r>
    </w:p>
    <w:p>
      <w:pPr>
        <w:pStyle w:val="BodyText"/>
        <w:spacing w:before="4"/>
        <w:ind w:left="150"/>
      </w:pPr>
      <w:r>
        <w:rPr/>
        <w:t>servicios, y las solicitudes respectivas, serán turnadas a ésta</w:t>
      </w:r>
    </w:p>
    <w:p>
      <w:pPr>
        <w:pStyle w:val="BodyText"/>
        <w:spacing w:before="10"/>
      </w:pPr>
    </w:p>
    <w:p>
      <w:pPr>
        <w:pStyle w:val="ListParagraph"/>
        <w:numPr>
          <w:ilvl w:val="0"/>
          <w:numId w:val="118"/>
        </w:numPr>
        <w:tabs>
          <w:tab w:pos="718" w:val="left" w:leader="none"/>
        </w:tabs>
        <w:spacing w:line="240" w:lineRule="auto" w:before="0" w:after="0"/>
        <w:ind w:left="717" w:right="0" w:hanging="170"/>
        <w:jc w:val="left"/>
        <w:rPr>
          <w:sz w:val="15"/>
        </w:rPr>
      </w:pPr>
      <w:r>
        <w:rPr>
          <w:spacing w:val="-5"/>
          <w:sz w:val="15"/>
        </w:rPr>
        <w:t>Toma </w:t>
      </w:r>
      <w:r>
        <w:rPr>
          <w:sz w:val="15"/>
        </w:rPr>
        <w:t>de ¾</w:t>
      </w:r>
      <w:r>
        <w:rPr>
          <w:spacing w:val="8"/>
          <w:sz w:val="15"/>
        </w:rPr>
        <w:t> </w:t>
      </w:r>
      <w:r>
        <w:rPr>
          <w:sz w:val="15"/>
        </w:rPr>
        <w:t>pulgada:</w:t>
      </w:r>
    </w:p>
    <w:p>
      <w:pPr>
        <w:pStyle w:val="BodyText"/>
        <w:spacing w:before="99"/>
        <w:ind w:left="150"/>
      </w:pPr>
      <w:r>
        <w:rPr/>
        <w:br w:type="column"/>
      </w:r>
      <w:r>
        <w:rPr/>
        <w:t>plazo establecido, se generaran los accesorios correspondientes.</w:t>
      </w:r>
    </w:p>
    <w:p>
      <w:pPr>
        <w:pStyle w:val="BodyText"/>
        <w:spacing w:before="9"/>
      </w:pPr>
    </w:p>
    <w:p>
      <w:pPr>
        <w:pStyle w:val="BodyText"/>
        <w:spacing w:line="247" w:lineRule="auto" w:before="1"/>
        <w:ind w:left="150" w:right="508" w:firstLine="495"/>
        <w:jc w:val="both"/>
      </w:pPr>
      <w:r>
        <w:rPr/>
        <w:t>En los casos en que la Dirección General de Agua Potable y Saneamiento del IMHAB, determinen la utilización del régimen de servicio medido, el costo de medidor será con cargo al usuario y se estará a lo siguiente:</w:t>
      </w:r>
    </w:p>
    <w:p>
      <w:pPr>
        <w:pStyle w:val="BodyText"/>
        <w:spacing w:before="2"/>
      </w:pPr>
    </w:p>
    <w:p>
      <w:pPr>
        <w:pStyle w:val="ListParagraph"/>
        <w:numPr>
          <w:ilvl w:val="0"/>
          <w:numId w:val="120"/>
        </w:numPr>
        <w:tabs>
          <w:tab w:pos="689" w:val="left" w:leader="none"/>
        </w:tabs>
        <w:spacing w:line="247" w:lineRule="auto" w:before="0" w:after="0"/>
        <w:ind w:left="151" w:right="510" w:firstLine="397"/>
        <w:jc w:val="left"/>
        <w:rPr>
          <w:sz w:val="15"/>
        </w:rPr>
      </w:pPr>
      <w:r>
        <w:rPr>
          <w:sz w:val="15"/>
        </w:rPr>
        <w:t>Cuando el consumo mensual no rebase los 13 metros cúbicos que se estima como normal para una  casa</w:t>
      </w:r>
      <w:r>
        <w:rPr>
          <w:spacing w:val="5"/>
          <w:sz w:val="15"/>
        </w:rPr>
        <w:t> </w:t>
      </w:r>
      <w:r>
        <w:rPr>
          <w:sz w:val="15"/>
        </w:rPr>
        <w:t>habitación,</w:t>
      </w:r>
      <w:r>
        <w:rPr>
          <w:spacing w:val="5"/>
          <w:sz w:val="15"/>
        </w:rPr>
        <w:t> </w:t>
      </w:r>
      <w:r>
        <w:rPr>
          <w:sz w:val="15"/>
        </w:rPr>
        <w:t>para</w:t>
      </w:r>
      <w:r>
        <w:rPr>
          <w:spacing w:val="5"/>
          <w:sz w:val="15"/>
        </w:rPr>
        <w:t> </w:t>
      </w:r>
      <w:r>
        <w:rPr>
          <w:sz w:val="15"/>
        </w:rPr>
        <w:t>cuatro</w:t>
      </w:r>
      <w:r>
        <w:rPr>
          <w:spacing w:val="6"/>
          <w:sz w:val="15"/>
        </w:rPr>
        <w:t> </w:t>
      </w:r>
      <w:r>
        <w:rPr>
          <w:sz w:val="15"/>
        </w:rPr>
        <w:t>integrantes;</w:t>
      </w:r>
      <w:r>
        <w:rPr>
          <w:spacing w:val="5"/>
          <w:sz w:val="15"/>
        </w:rPr>
        <w:t> </w:t>
      </w:r>
      <w:r>
        <w:rPr>
          <w:sz w:val="15"/>
        </w:rPr>
        <w:t>deberá</w:t>
      </w:r>
      <w:r>
        <w:rPr>
          <w:spacing w:val="5"/>
          <w:sz w:val="15"/>
        </w:rPr>
        <w:t> </w:t>
      </w:r>
      <w:r>
        <w:rPr>
          <w:sz w:val="15"/>
        </w:rPr>
        <w:t>el</w:t>
      </w:r>
      <w:r>
        <w:rPr>
          <w:spacing w:val="5"/>
          <w:sz w:val="15"/>
        </w:rPr>
        <w:t> </w:t>
      </w:r>
      <w:r>
        <w:rPr>
          <w:sz w:val="15"/>
        </w:rPr>
        <w:t>usuario</w:t>
      </w:r>
      <w:r>
        <w:rPr>
          <w:spacing w:val="4"/>
          <w:sz w:val="15"/>
        </w:rPr>
        <w:t> </w:t>
      </w:r>
      <w:r>
        <w:rPr>
          <w:sz w:val="15"/>
        </w:rPr>
        <w:t>de</w:t>
      </w:r>
      <w:r>
        <w:rPr>
          <w:spacing w:val="9"/>
          <w:sz w:val="15"/>
        </w:rPr>
        <w:t> </w:t>
      </w:r>
      <w:r>
        <w:rPr>
          <w:sz w:val="15"/>
        </w:rPr>
        <w:t>cubrir</w:t>
      </w:r>
      <w:r>
        <w:rPr>
          <w:spacing w:val="5"/>
          <w:sz w:val="15"/>
        </w:rPr>
        <w:t> </w:t>
      </w:r>
      <w:r>
        <w:rPr>
          <w:sz w:val="15"/>
        </w:rPr>
        <w:t>una</w:t>
      </w:r>
      <w:r>
        <w:rPr>
          <w:spacing w:val="6"/>
          <w:sz w:val="15"/>
        </w:rPr>
        <w:t> </w:t>
      </w:r>
      <w:r>
        <w:rPr>
          <w:sz w:val="15"/>
        </w:rPr>
        <w:t>cuota</w:t>
      </w:r>
      <w:r>
        <w:rPr>
          <w:spacing w:val="5"/>
          <w:sz w:val="15"/>
        </w:rPr>
        <w:t> </w:t>
      </w:r>
      <w:r>
        <w:rPr>
          <w:sz w:val="15"/>
        </w:rPr>
        <w:t>mínima</w:t>
      </w:r>
      <w:r>
        <w:rPr>
          <w:spacing w:val="5"/>
          <w:sz w:val="15"/>
        </w:rPr>
        <w:t> </w:t>
      </w:r>
      <w:r>
        <w:rPr>
          <w:sz w:val="15"/>
        </w:rPr>
        <w:t>mensual</w:t>
      </w:r>
      <w:r>
        <w:rPr>
          <w:spacing w:val="6"/>
          <w:sz w:val="15"/>
        </w:rPr>
        <w:t> </w:t>
      </w:r>
      <w:r>
        <w:rPr>
          <w:sz w:val="15"/>
        </w:rPr>
        <w:t>de:</w:t>
      </w:r>
    </w:p>
    <w:p>
      <w:pPr>
        <w:pStyle w:val="BodyText"/>
        <w:spacing w:line="172" w:lineRule="exact"/>
        <w:ind w:left="5993"/>
      </w:pPr>
      <w:r>
        <w:rPr/>
        <w:t>$78.00</w:t>
      </w:r>
    </w:p>
    <w:p>
      <w:pPr>
        <w:pStyle w:val="BodyText"/>
        <w:spacing w:before="9"/>
      </w:pPr>
    </w:p>
    <w:p>
      <w:pPr>
        <w:pStyle w:val="BodyText"/>
        <w:spacing w:line="247" w:lineRule="auto"/>
        <w:ind w:left="151" w:right="510" w:firstLine="397"/>
        <w:jc w:val="both"/>
      </w:pPr>
      <w:r>
        <w:rPr/>
        <w:t>Adicionalmente a la cuota anteriormente mencionada, por cada metro cúbico excedente de acuerdo a la siguiente tabla:</w:t>
      </w:r>
    </w:p>
    <w:p>
      <w:pPr>
        <w:spacing w:after="0" w:line="247" w:lineRule="auto"/>
        <w:jc w:val="both"/>
        <w:sectPr>
          <w:type w:val="continuous"/>
          <w:pgSz w:w="23250" w:h="15310" w:orient="landscape"/>
          <w:pgMar w:top="0" w:bottom="0" w:left="1880" w:right="1520"/>
          <w:cols w:num="2" w:equalWidth="0">
            <w:col w:w="5746" w:space="5876"/>
            <w:col w:w="8228"/>
          </w:cols>
        </w:sectPr>
      </w:pPr>
    </w:p>
    <w:p>
      <w:pPr>
        <w:pStyle w:val="BodyText"/>
        <w:tabs>
          <w:tab w:pos="5148" w:val="left" w:leader="none"/>
        </w:tabs>
        <w:spacing w:before="98"/>
        <w:ind w:left="548"/>
      </w:pPr>
      <w:r>
        <w:rPr/>
        <w:t>a) De hasta 6</w:t>
      </w:r>
      <w:r>
        <w:rPr>
          <w:spacing w:val="27"/>
        </w:rPr>
        <w:t> </w:t>
      </w:r>
      <w:r>
        <w:rPr/>
        <w:t>metros</w:t>
      </w:r>
      <w:r>
        <w:rPr>
          <w:spacing w:val="7"/>
        </w:rPr>
        <w:t> </w:t>
      </w:r>
      <w:r>
        <w:rPr/>
        <w:t>lineales:</w:t>
        <w:tab/>
        <w:t>$458.00</w:t>
      </w:r>
    </w:p>
    <w:p>
      <w:pPr>
        <w:pStyle w:val="BodyText"/>
        <w:spacing w:before="4"/>
      </w:pPr>
      <w:r>
        <w:rPr/>
        <w:br w:type="column"/>
      </w:r>
      <w:r>
        <w:rPr/>
      </w:r>
    </w:p>
    <w:p>
      <w:pPr>
        <w:pStyle w:val="BodyText"/>
        <w:tabs>
          <w:tab w:pos="5318" w:val="left" w:leader="none"/>
        </w:tabs>
        <w:ind w:left="548"/>
      </w:pPr>
      <w:r>
        <w:rPr/>
        <w:t>a)    De 14 a 26</w:t>
      </w:r>
      <w:r>
        <w:rPr>
          <w:spacing w:val="18"/>
        </w:rPr>
        <w:t> </w:t>
      </w:r>
      <w:r>
        <w:rPr/>
        <w:t>metros</w:t>
      </w:r>
      <w:r>
        <w:rPr>
          <w:spacing w:val="5"/>
        </w:rPr>
        <w:t> </w:t>
      </w:r>
      <w:r>
        <w:rPr/>
        <w:t>cúbicos:</w:t>
        <w:tab/>
      </w:r>
      <w:r>
        <w:rPr>
          <w:spacing w:val="-4"/>
        </w:rPr>
        <w:t>$7.00</w:t>
      </w:r>
    </w:p>
    <w:p>
      <w:pPr>
        <w:pStyle w:val="BodyText"/>
        <w:spacing w:line="172" w:lineRule="exact"/>
        <w:ind w:left="241"/>
      </w:pPr>
      <w:r>
        <w:rPr/>
        <w:br w:type="column"/>
      </w:r>
      <w:r>
        <w:rPr/>
        <w:t>TARIFAS</w:t>
      </w:r>
    </w:p>
    <w:p>
      <w:pPr>
        <w:spacing w:after="0" w:line="172" w:lineRule="exact"/>
        <w:sectPr>
          <w:type w:val="continuous"/>
          <w:pgSz w:w="23250" w:h="15310" w:orient="landscape"/>
          <w:pgMar w:top="0" w:bottom="0" w:left="1880" w:right="1520"/>
          <w:cols w:num="3" w:equalWidth="0">
            <w:col w:w="5746" w:space="5905"/>
            <w:col w:w="5704" w:space="39"/>
            <w:col w:w="2456"/>
          </w:cols>
        </w:sectPr>
      </w:pPr>
    </w:p>
    <w:p>
      <w:pPr>
        <w:pStyle w:val="BodyText"/>
        <w:spacing w:before="10"/>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6"/>
        <w:gridCol w:w="4008"/>
        <w:gridCol w:w="6923"/>
        <w:gridCol w:w="1529"/>
      </w:tblGrid>
      <w:tr>
        <w:trPr>
          <w:trHeight w:val="240" w:hRule="atLeast"/>
        </w:trPr>
        <w:tc>
          <w:tcPr>
            <w:tcW w:w="4446" w:type="dxa"/>
          </w:tcPr>
          <w:p>
            <w:pPr>
              <w:pStyle w:val="TableParagraph"/>
              <w:spacing w:line="93" w:lineRule="exact"/>
              <w:ind w:left="50"/>
              <w:rPr>
                <w:sz w:val="15"/>
              </w:rPr>
            </w:pPr>
            <w:r>
              <w:rPr>
                <w:sz w:val="15"/>
              </w:rPr>
              <w:t>b) De hasta 12 metros lineales:</w:t>
            </w:r>
          </w:p>
        </w:tc>
        <w:tc>
          <w:tcPr>
            <w:tcW w:w="4008" w:type="dxa"/>
          </w:tcPr>
          <w:p>
            <w:pPr>
              <w:pStyle w:val="TableParagraph"/>
              <w:spacing w:line="93" w:lineRule="exact"/>
              <w:ind w:left="204"/>
              <w:rPr>
                <w:sz w:val="15"/>
              </w:rPr>
            </w:pPr>
            <w:r>
              <w:rPr>
                <w:sz w:val="15"/>
              </w:rPr>
              <w:t>$916.00</w:t>
            </w:r>
          </w:p>
        </w:tc>
        <w:tc>
          <w:tcPr>
            <w:tcW w:w="6923" w:type="dxa"/>
          </w:tcPr>
          <w:p>
            <w:pPr>
              <w:pStyle w:val="TableParagraph"/>
              <w:spacing w:line="171" w:lineRule="exact"/>
              <w:ind w:left="3247"/>
              <w:rPr>
                <w:sz w:val="15"/>
              </w:rPr>
            </w:pPr>
            <w:r>
              <w:rPr>
                <w:sz w:val="15"/>
              </w:rPr>
              <w:t>b) De 27 a 39 metros cúbicos:</w:t>
            </w:r>
          </w:p>
        </w:tc>
        <w:tc>
          <w:tcPr>
            <w:tcW w:w="1529" w:type="dxa"/>
          </w:tcPr>
          <w:p>
            <w:pPr>
              <w:pStyle w:val="TableParagraph"/>
              <w:spacing w:line="171" w:lineRule="exact"/>
              <w:ind w:right="48"/>
              <w:jc w:val="right"/>
              <w:rPr>
                <w:sz w:val="15"/>
              </w:rPr>
            </w:pPr>
            <w:r>
              <w:rPr>
                <w:sz w:val="15"/>
              </w:rPr>
              <w:t>$8.00</w:t>
            </w:r>
          </w:p>
        </w:tc>
      </w:tr>
      <w:tr>
        <w:trPr>
          <w:trHeight w:val="354" w:hRule="atLeast"/>
        </w:trPr>
        <w:tc>
          <w:tcPr>
            <w:tcW w:w="4446" w:type="dxa"/>
          </w:tcPr>
          <w:p>
            <w:pPr>
              <w:pStyle w:val="TableParagraph"/>
              <w:spacing w:before="67"/>
              <w:ind w:left="50"/>
              <w:rPr>
                <w:sz w:val="15"/>
              </w:rPr>
            </w:pPr>
            <w:r>
              <w:rPr>
                <w:sz w:val="15"/>
              </w:rPr>
              <w:t>III. Descarga de drenaje:</w:t>
            </w:r>
          </w:p>
        </w:tc>
        <w:tc>
          <w:tcPr>
            <w:tcW w:w="4008" w:type="dxa"/>
          </w:tcPr>
          <w:p>
            <w:pPr>
              <w:pStyle w:val="TableParagraph"/>
              <w:rPr>
                <w:rFonts w:ascii="Times New Roman"/>
                <w:sz w:val="14"/>
              </w:rPr>
            </w:pPr>
          </w:p>
        </w:tc>
        <w:tc>
          <w:tcPr>
            <w:tcW w:w="6923" w:type="dxa"/>
          </w:tcPr>
          <w:p>
            <w:pPr>
              <w:pStyle w:val="TableParagraph"/>
              <w:spacing w:before="112"/>
              <w:ind w:left="3255"/>
              <w:rPr>
                <w:sz w:val="15"/>
              </w:rPr>
            </w:pPr>
            <w:r>
              <w:rPr>
                <w:sz w:val="15"/>
              </w:rPr>
              <w:t>c) De 40 a 52 metros cúbicos:</w:t>
            </w:r>
          </w:p>
        </w:tc>
        <w:tc>
          <w:tcPr>
            <w:tcW w:w="1529" w:type="dxa"/>
          </w:tcPr>
          <w:p>
            <w:pPr>
              <w:pStyle w:val="TableParagraph"/>
              <w:spacing w:before="112"/>
              <w:ind w:right="47"/>
              <w:jc w:val="right"/>
              <w:rPr>
                <w:sz w:val="15"/>
              </w:rPr>
            </w:pPr>
            <w:r>
              <w:rPr>
                <w:sz w:val="15"/>
              </w:rPr>
              <w:t>$9.00</w:t>
            </w:r>
          </w:p>
        </w:tc>
      </w:tr>
      <w:tr>
        <w:trPr>
          <w:trHeight w:val="370" w:hRule="atLeast"/>
        </w:trPr>
        <w:tc>
          <w:tcPr>
            <w:tcW w:w="4446" w:type="dxa"/>
          </w:tcPr>
          <w:p>
            <w:pPr>
              <w:pStyle w:val="TableParagraph"/>
              <w:spacing w:before="67"/>
              <w:ind w:left="50"/>
              <w:rPr>
                <w:sz w:val="15"/>
              </w:rPr>
            </w:pPr>
            <w:r>
              <w:rPr>
                <w:sz w:val="15"/>
              </w:rPr>
              <w:t>a) Longitud de 6 metros, descarga de 6 pulgadas:</w:t>
            </w:r>
          </w:p>
        </w:tc>
        <w:tc>
          <w:tcPr>
            <w:tcW w:w="4008" w:type="dxa"/>
          </w:tcPr>
          <w:p>
            <w:pPr>
              <w:pStyle w:val="TableParagraph"/>
              <w:spacing w:before="67"/>
              <w:ind w:left="204"/>
              <w:rPr>
                <w:sz w:val="15"/>
              </w:rPr>
            </w:pPr>
            <w:r>
              <w:rPr>
                <w:sz w:val="15"/>
              </w:rPr>
              <w:t>$312.00</w:t>
            </w:r>
          </w:p>
        </w:tc>
        <w:tc>
          <w:tcPr>
            <w:tcW w:w="6923" w:type="dxa"/>
          </w:tcPr>
          <w:p>
            <w:pPr>
              <w:pStyle w:val="TableParagraph"/>
              <w:spacing w:before="111"/>
              <w:ind w:left="3247"/>
              <w:rPr>
                <w:sz w:val="15"/>
              </w:rPr>
            </w:pPr>
            <w:r>
              <w:rPr>
                <w:sz w:val="15"/>
              </w:rPr>
              <w:t>d) De 53 a 65 metros cúbicos:</w:t>
            </w:r>
          </w:p>
        </w:tc>
        <w:tc>
          <w:tcPr>
            <w:tcW w:w="1529" w:type="dxa"/>
          </w:tcPr>
          <w:p>
            <w:pPr>
              <w:pStyle w:val="TableParagraph"/>
              <w:spacing w:before="111"/>
              <w:ind w:right="48"/>
              <w:jc w:val="right"/>
              <w:rPr>
                <w:sz w:val="15"/>
              </w:rPr>
            </w:pPr>
            <w:r>
              <w:rPr>
                <w:sz w:val="15"/>
              </w:rPr>
              <w:t>$10.00</w:t>
            </w:r>
          </w:p>
        </w:tc>
      </w:tr>
      <w:tr>
        <w:trPr>
          <w:trHeight w:val="360" w:hRule="atLeast"/>
        </w:trPr>
        <w:tc>
          <w:tcPr>
            <w:tcW w:w="4446" w:type="dxa"/>
          </w:tcPr>
          <w:p>
            <w:pPr>
              <w:pStyle w:val="TableParagraph"/>
              <w:spacing w:before="84"/>
              <w:ind w:left="50"/>
              <w:rPr>
                <w:sz w:val="15"/>
              </w:rPr>
            </w:pPr>
            <w:r>
              <w:rPr>
                <w:sz w:val="15"/>
              </w:rPr>
              <w:t>b) Longitud de 12 metros, descarga de 6 pulgadas:</w:t>
            </w:r>
          </w:p>
        </w:tc>
        <w:tc>
          <w:tcPr>
            <w:tcW w:w="4008" w:type="dxa"/>
          </w:tcPr>
          <w:p>
            <w:pPr>
              <w:pStyle w:val="TableParagraph"/>
              <w:spacing w:before="84"/>
              <w:ind w:left="204"/>
              <w:rPr>
                <w:sz w:val="15"/>
              </w:rPr>
            </w:pPr>
            <w:r>
              <w:rPr>
                <w:sz w:val="15"/>
              </w:rPr>
              <w:t>$624.00</w:t>
            </w:r>
          </w:p>
        </w:tc>
        <w:tc>
          <w:tcPr>
            <w:tcW w:w="6923" w:type="dxa"/>
          </w:tcPr>
          <w:p>
            <w:pPr>
              <w:pStyle w:val="TableParagraph"/>
              <w:spacing w:before="96"/>
              <w:ind w:left="3246"/>
              <w:rPr>
                <w:sz w:val="15"/>
              </w:rPr>
            </w:pPr>
            <w:r>
              <w:rPr>
                <w:sz w:val="15"/>
              </w:rPr>
              <w:t>e) De 66 a 78 metros cúbicos:</w:t>
            </w:r>
          </w:p>
        </w:tc>
        <w:tc>
          <w:tcPr>
            <w:tcW w:w="1529" w:type="dxa"/>
          </w:tcPr>
          <w:p>
            <w:pPr>
              <w:pStyle w:val="TableParagraph"/>
              <w:spacing w:before="96"/>
              <w:ind w:right="48"/>
              <w:jc w:val="right"/>
              <w:rPr>
                <w:sz w:val="15"/>
              </w:rPr>
            </w:pPr>
            <w:r>
              <w:rPr>
                <w:sz w:val="15"/>
              </w:rPr>
              <w:t>$11.00</w:t>
            </w:r>
          </w:p>
        </w:tc>
      </w:tr>
      <w:tr>
        <w:trPr>
          <w:trHeight w:val="283" w:hRule="atLeast"/>
        </w:trPr>
        <w:tc>
          <w:tcPr>
            <w:tcW w:w="4446" w:type="dxa"/>
          </w:tcPr>
          <w:p>
            <w:pPr>
              <w:pStyle w:val="TableParagraph"/>
              <w:spacing w:line="153" w:lineRule="exact" w:before="110"/>
              <w:ind w:left="50"/>
              <w:rPr>
                <w:sz w:val="15"/>
              </w:rPr>
            </w:pPr>
            <w:r>
              <w:rPr>
                <w:sz w:val="15"/>
              </w:rPr>
              <w:t>IV. Instalación de toma de agua potable (Incluye medidor de</w:t>
            </w:r>
          </w:p>
        </w:tc>
        <w:tc>
          <w:tcPr>
            <w:tcW w:w="4008" w:type="dxa"/>
          </w:tcPr>
          <w:p>
            <w:pPr>
              <w:pStyle w:val="TableParagraph"/>
              <w:rPr>
                <w:rFonts w:ascii="Times New Roman"/>
                <w:sz w:val="14"/>
              </w:rPr>
            </w:pPr>
          </w:p>
        </w:tc>
        <w:tc>
          <w:tcPr>
            <w:tcW w:w="6923" w:type="dxa"/>
          </w:tcPr>
          <w:p>
            <w:pPr>
              <w:pStyle w:val="TableParagraph"/>
              <w:spacing w:before="90"/>
              <w:ind w:left="3289"/>
              <w:rPr>
                <w:sz w:val="15"/>
              </w:rPr>
            </w:pPr>
            <w:r>
              <w:rPr>
                <w:sz w:val="15"/>
              </w:rPr>
              <w:t>f) De 79 metros cúbicos en adelante:</w:t>
            </w:r>
          </w:p>
        </w:tc>
        <w:tc>
          <w:tcPr>
            <w:tcW w:w="1529" w:type="dxa"/>
          </w:tcPr>
          <w:p>
            <w:pPr>
              <w:pStyle w:val="TableParagraph"/>
              <w:spacing w:before="90"/>
              <w:ind w:right="48"/>
              <w:jc w:val="right"/>
              <w:rPr>
                <w:sz w:val="15"/>
              </w:rPr>
            </w:pPr>
            <w:r>
              <w:rPr>
                <w:sz w:val="15"/>
              </w:rPr>
              <w:t>$12.00</w:t>
            </w:r>
          </w:p>
        </w:tc>
      </w:tr>
    </w:tbl>
    <w:p>
      <w:pPr>
        <w:spacing w:after="0"/>
        <w:jc w:val="right"/>
        <w:rPr>
          <w:sz w:val="15"/>
        </w:rPr>
        <w:sectPr>
          <w:type w:val="continuous"/>
          <w:pgSz w:w="23250" w:h="15310" w:orient="landscape"/>
          <w:pgMar w:top="0" w:bottom="0" w:left="1880" w:right="1520"/>
        </w:sectPr>
      </w:pPr>
    </w:p>
    <w:p>
      <w:pPr>
        <w:pStyle w:val="BodyText"/>
        <w:spacing w:before="4"/>
        <w:ind w:left="150"/>
      </w:pPr>
      <w:r>
        <w:rPr/>
        <w:t>Flujo) y descarga sanitaria:</w:t>
      </w:r>
    </w:p>
    <w:p>
      <w:pPr>
        <w:pStyle w:val="BodyText"/>
        <w:spacing w:before="8"/>
      </w:pPr>
    </w:p>
    <w:p>
      <w:pPr>
        <w:pStyle w:val="BodyText"/>
        <w:tabs>
          <w:tab w:pos="5020" w:val="left" w:leader="none"/>
        </w:tabs>
        <w:ind w:left="548"/>
      </w:pPr>
      <w:r>
        <w:rPr/>
        <w:t>a) De hasta 6</w:t>
      </w:r>
      <w:r>
        <w:rPr>
          <w:spacing w:val="27"/>
        </w:rPr>
        <w:t> </w:t>
      </w:r>
      <w:r>
        <w:rPr/>
        <w:t>metros</w:t>
      </w:r>
      <w:r>
        <w:rPr>
          <w:spacing w:val="7"/>
        </w:rPr>
        <w:t> </w:t>
      </w:r>
      <w:r>
        <w:rPr/>
        <w:t>lineales:</w:t>
        <w:tab/>
        <w:t>$3,970.00</w:t>
      </w:r>
    </w:p>
    <w:p>
      <w:pPr>
        <w:pStyle w:val="BodyText"/>
        <w:spacing w:before="10"/>
        <w:rPr>
          <w:sz w:val="13"/>
        </w:rPr>
      </w:pPr>
      <w:r>
        <w:rPr/>
        <w:br w:type="column"/>
      </w:r>
      <w:r>
        <w:rPr>
          <w:sz w:val="13"/>
        </w:rPr>
      </w:r>
    </w:p>
    <w:p>
      <w:pPr>
        <w:pStyle w:val="ListParagraph"/>
        <w:numPr>
          <w:ilvl w:val="0"/>
          <w:numId w:val="120"/>
        </w:numPr>
        <w:tabs>
          <w:tab w:pos="725" w:val="left" w:leader="none"/>
        </w:tabs>
        <w:spacing w:line="247" w:lineRule="auto" w:before="0" w:after="0"/>
        <w:ind w:left="150" w:right="509" w:firstLine="397"/>
        <w:jc w:val="left"/>
        <w:rPr>
          <w:sz w:val="15"/>
        </w:rPr>
      </w:pPr>
      <w:r>
        <w:rPr>
          <w:sz w:val="15"/>
        </w:rPr>
        <w:t>Cuando el consumo mensual no rebase los 15 metros cúbicos que para uso no doméstico mínimo se estima,</w:t>
      </w:r>
      <w:r>
        <w:rPr>
          <w:spacing w:val="4"/>
          <w:sz w:val="15"/>
        </w:rPr>
        <w:t> </w:t>
      </w:r>
      <w:r>
        <w:rPr>
          <w:sz w:val="15"/>
        </w:rPr>
        <w:t>exceptuando</w:t>
      </w:r>
      <w:r>
        <w:rPr>
          <w:spacing w:val="5"/>
          <w:sz w:val="15"/>
        </w:rPr>
        <w:t> </w:t>
      </w:r>
      <w:r>
        <w:rPr>
          <w:sz w:val="15"/>
        </w:rPr>
        <w:t>el</w:t>
      </w:r>
      <w:r>
        <w:rPr>
          <w:spacing w:val="4"/>
          <w:sz w:val="15"/>
        </w:rPr>
        <w:t> </w:t>
      </w:r>
      <w:r>
        <w:rPr>
          <w:sz w:val="15"/>
        </w:rPr>
        <w:t>uso</w:t>
      </w:r>
      <w:r>
        <w:rPr>
          <w:spacing w:val="5"/>
          <w:sz w:val="15"/>
        </w:rPr>
        <w:t> </w:t>
      </w:r>
      <w:r>
        <w:rPr>
          <w:sz w:val="15"/>
        </w:rPr>
        <w:t>industrial,</w:t>
      </w:r>
      <w:r>
        <w:rPr>
          <w:spacing w:val="4"/>
          <w:sz w:val="15"/>
        </w:rPr>
        <w:t> </w:t>
      </w:r>
      <w:r>
        <w:rPr>
          <w:sz w:val="15"/>
        </w:rPr>
        <w:t>deberá</w:t>
      </w:r>
      <w:r>
        <w:rPr>
          <w:spacing w:val="5"/>
          <w:sz w:val="15"/>
        </w:rPr>
        <w:t> </w:t>
      </w:r>
      <w:r>
        <w:rPr>
          <w:sz w:val="15"/>
        </w:rPr>
        <w:t>el</w:t>
      </w:r>
      <w:r>
        <w:rPr>
          <w:spacing w:val="5"/>
          <w:sz w:val="15"/>
        </w:rPr>
        <w:t> </w:t>
      </w:r>
      <w:r>
        <w:rPr>
          <w:sz w:val="15"/>
        </w:rPr>
        <w:t>usuario</w:t>
      </w:r>
      <w:r>
        <w:rPr>
          <w:spacing w:val="5"/>
          <w:sz w:val="15"/>
        </w:rPr>
        <w:t> </w:t>
      </w:r>
      <w:r>
        <w:rPr>
          <w:sz w:val="15"/>
        </w:rPr>
        <w:t>de</w:t>
      </w:r>
      <w:r>
        <w:rPr>
          <w:spacing w:val="3"/>
          <w:sz w:val="15"/>
        </w:rPr>
        <w:t> </w:t>
      </w:r>
      <w:r>
        <w:rPr>
          <w:sz w:val="15"/>
        </w:rPr>
        <w:t>cubrir</w:t>
      </w:r>
      <w:r>
        <w:rPr>
          <w:spacing w:val="5"/>
          <w:sz w:val="15"/>
        </w:rPr>
        <w:t> </w:t>
      </w:r>
      <w:r>
        <w:rPr>
          <w:sz w:val="15"/>
        </w:rPr>
        <w:t>una</w:t>
      </w:r>
      <w:r>
        <w:rPr>
          <w:spacing w:val="5"/>
          <w:sz w:val="15"/>
        </w:rPr>
        <w:t> </w:t>
      </w:r>
      <w:r>
        <w:rPr>
          <w:sz w:val="15"/>
        </w:rPr>
        <w:t>cuota</w:t>
      </w:r>
      <w:r>
        <w:rPr>
          <w:spacing w:val="5"/>
          <w:sz w:val="15"/>
        </w:rPr>
        <w:t> </w:t>
      </w:r>
      <w:r>
        <w:rPr>
          <w:sz w:val="15"/>
        </w:rPr>
        <w:t>mínima</w:t>
      </w:r>
      <w:r>
        <w:rPr>
          <w:spacing w:val="5"/>
          <w:sz w:val="15"/>
        </w:rPr>
        <w:t> </w:t>
      </w:r>
      <w:r>
        <w:rPr>
          <w:sz w:val="15"/>
        </w:rPr>
        <w:t>mensual</w:t>
      </w:r>
      <w:r>
        <w:rPr>
          <w:spacing w:val="5"/>
          <w:sz w:val="15"/>
        </w:rPr>
        <w:t> </w:t>
      </w:r>
      <w:r>
        <w:rPr>
          <w:sz w:val="15"/>
        </w:rPr>
        <w:t>de:</w:t>
      </w:r>
    </w:p>
    <w:p>
      <w:pPr>
        <w:pStyle w:val="BodyText"/>
        <w:spacing w:line="172" w:lineRule="exact"/>
        <w:ind w:left="5907"/>
      </w:pPr>
      <w:r>
        <w:rPr/>
        <w:t>$139.00</w:t>
      </w:r>
    </w:p>
    <w:p>
      <w:pPr>
        <w:spacing w:after="0" w:line="172" w:lineRule="exact"/>
        <w:sectPr>
          <w:type w:val="continuous"/>
          <w:pgSz w:w="23250" w:h="15310" w:orient="landscape"/>
          <w:pgMar w:top="0" w:bottom="0" w:left="1880" w:right="1520"/>
          <w:cols w:num="2" w:equalWidth="0">
            <w:col w:w="5746" w:space="5877"/>
            <w:col w:w="8227"/>
          </w:cols>
        </w:sectPr>
      </w:pPr>
    </w:p>
    <w:p>
      <w:pPr>
        <w:pStyle w:val="BodyText"/>
        <w:spacing w:before="4"/>
        <w:rPr>
          <w:sz w:val="2"/>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79"/>
        <w:gridCol w:w="4059"/>
        <w:gridCol w:w="6839"/>
        <w:gridCol w:w="1460"/>
        <w:gridCol w:w="2144"/>
      </w:tblGrid>
      <w:tr>
        <w:trPr>
          <w:trHeight w:val="328" w:hRule="atLeast"/>
        </w:trPr>
        <w:tc>
          <w:tcPr>
            <w:tcW w:w="4779" w:type="dxa"/>
          </w:tcPr>
          <w:p>
            <w:pPr>
              <w:pStyle w:val="TableParagraph"/>
              <w:spacing w:line="171" w:lineRule="exact"/>
              <w:ind w:left="447"/>
              <w:rPr>
                <w:sz w:val="15"/>
              </w:rPr>
            </w:pPr>
            <w:r>
              <w:rPr>
                <w:sz w:val="15"/>
              </w:rPr>
              <w:t>b) De hasta 12 metros lineales:</w:t>
            </w:r>
          </w:p>
        </w:tc>
        <w:tc>
          <w:tcPr>
            <w:tcW w:w="4059" w:type="dxa"/>
          </w:tcPr>
          <w:p>
            <w:pPr>
              <w:pStyle w:val="TableParagraph"/>
              <w:spacing w:line="171" w:lineRule="exact"/>
              <w:ind w:left="140"/>
              <w:rPr>
                <w:sz w:val="15"/>
              </w:rPr>
            </w:pPr>
            <w:r>
              <w:rPr>
                <w:sz w:val="15"/>
              </w:rPr>
              <w:t>$5,026.00</w:t>
            </w:r>
          </w:p>
        </w:tc>
        <w:tc>
          <w:tcPr>
            <w:tcW w:w="10443" w:type="dxa"/>
            <w:gridSpan w:val="3"/>
          </w:tcPr>
          <w:p>
            <w:pPr>
              <w:pStyle w:val="TableParagraph"/>
              <w:spacing w:before="5"/>
              <w:rPr>
                <w:sz w:val="13"/>
              </w:rPr>
            </w:pPr>
          </w:p>
          <w:p>
            <w:pPr>
              <w:pStyle w:val="TableParagraph"/>
              <w:spacing w:line="153" w:lineRule="exact"/>
              <w:ind w:left="3231"/>
              <w:rPr>
                <w:sz w:val="15"/>
              </w:rPr>
            </w:pPr>
            <w:r>
              <w:rPr>
                <w:sz w:val="15"/>
              </w:rPr>
              <w:t>Adicionalmente a la cuota anteriormente mencionada, por cada metro cúbico excedente de acuerdo a la</w:t>
            </w:r>
          </w:p>
        </w:tc>
      </w:tr>
      <w:tr>
        <w:trPr>
          <w:trHeight w:val="383" w:hRule="atLeast"/>
        </w:trPr>
        <w:tc>
          <w:tcPr>
            <w:tcW w:w="19281" w:type="dxa"/>
            <w:gridSpan w:val="5"/>
          </w:tcPr>
          <w:p>
            <w:pPr>
              <w:pStyle w:val="TableParagraph"/>
              <w:tabs>
                <w:tab w:pos="11672" w:val="left" w:leader="none"/>
              </w:tabs>
              <w:spacing w:before="7"/>
              <w:ind w:left="447"/>
              <w:rPr>
                <w:sz w:val="15"/>
              </w:rPr>
            </w:pPr>
            <w:r>
              <w:rPr>
                <w:spacing w:val="-8"/>
                <w:sz w:val="15"/>
              </w:rPr>
              <w:t>V.</w:t>
            </w:r>
            <w:r>
              <w:rPr>
                <w:spacing w:val="24"/>
                <w:sz w:val="15"/>
              </w:rPr>
              <w:t> </w:t>
            </w:r>
            <w:r>
              <w:rPr>
                <w:sz w:val="15"/>
              </w:rPr>
              <w:t>Instalación</w:t>
            </w:r>
            <w:r>
              <w:rPr>
                <w:spacing w:val="24"/>
                <w:sz w:val="15"/>
              </w:rPr>
              <w:t> </w:t>
            </w:r>
            <w:r>
              <w:rPr>
                <w:sz w:val="15"/>
              </w:rPr>
              <w:t>de</w:t>
            </w:r>
            <w:r>
              <w:rPr>
                <w:spacing w:val="25"/>
                <w:sz w:val="15"/>
              </w:rPr>
              <w:t> </w:t>
            </w:r>
            <w:r>
              <w:rPr>
                <w:sz w:val="15"/>
              </w:rPr>
              <w:t>toma</w:t>
            </w:r>
            <w:r>
              <w:rPr>
                <w:spacing w:val="24"/>
                <w:sz w:val="15"/>
              </w:rPr>
              <w:t> </w:t>
            </w:r>
            <w:r>
              <w:rPr>
                <w:sz w:val="15"/>
              </w:rPr>
              <w:t>de</w:t>
            </w:r>
            <w:r>
              <w:rPr>
                <w:spacing w:val="24"/>
                <w:sz w:val="15"/>
              </w:rPr>
              <w:t> </w:t>
            </w:r>
            <w:r>
              <w:rPr>
                <w:sz w:val="15"/>
              </w:rPr>
              <w:t>agua</w:t>
            </w:r>
            <w:r>
              <w:rPr>
                <w:spacing w:val="25"/>
                <w:sz w:val="15"/>
              </w:rPr>
              <w:t> </w:t>
            </w:r>
            <w:r>
              <w:rPr>
                <w:sz w:val="15"/>
              </w:rPr>
              <w:t>potable</w:t>
            </w:r>
            <w:r>
              <w:rPr>
                <w:spacing w:val="24"/>
                <w:sz w:val="15"/>
              </w:rPr>
              <w:t> </w:t>
            </w:r>
            <w:r>
              <w:rPr>
                <w:sz w:val="15"/>
              </w:rPr>
              <w:t>(Incluye</w:t>
            </w:r>
            <w:r>
              <w:rPr>
                <w:spacing w:val="24"/>
                <w:sz w:val="15"/>
              </w:rPr>
              <w:t> </w:t>
            </w:r>
            <w:r>
              <w:rPr>
                <w:sz w:val="15"/>
              </w:rPr>
              <w:t>medidor</w:t>
            </w:r>
            <w:r>
              <w:rPr>
                <w:spacing w:val="25"/>
                <w:sz w:val="15"/>
              </w:rPr>
              <w:t> </w:t>
            </w:r>
            <w:r>
              <w:rPr>
                <w:sz w:val="15"/>
              </w:rPr>
              <w:t>de</w:t>
              <w:tab/>
            </w:r>
            <w:r>
              <w:rPr>
                <w:position w:val="5"/>
                <w:sz w:val="15"/>
              </w:rPr>
              <w:t>siguiente</w:t>
            </w:r>
            <w:r>
              <w:rPr>
                <w:spacing w:val="1"/>
                <w:position w:val="5"/>
                <w:sz w:val="15"/>
              </w:rPr>
              <w:t> </w:t>
            </w:r>
            <w:r>
              <w:rPr>
                <w:position w:val="5"/>
                <w:sz w:val="15"/>
              </w:rPr>
              <w:t>tabla:</w:t>
            </w:r>
          </w:p>
          <w:p>
            <w:pPr>
              <w:pStyle w:val="TableParagraph"/>
              <w:spacing w:line="129" w:lineRule="exact" w:before="5"/>
              <w:ind w:left="50"/>
              <w:rPr>
                <w:sz w:val="15"/>
              </w:rPr>
            </w:pPr>
            <w:r>
              <w:rPr>
                <w:sz w:val="15"/>
              </w:rPr>
              <w:t>Flujo):</w:t>
            </w:r>
          </w:p>
        </w:tc>
      </w:tr>
      <w:tr>
        <w:trPr>
          <w:trHeight w:val="150" w:hRule="atLeast"/>
        </w:trPr>
        <w:tc>
          <w:tcPr>
            <w:tcW w:w="4779" w:type="dxa"/>
          </w:tcPr>
          <w:p>
            <w:pPr>
              <w:pStyle w:val="TableParagraph"/>
              <w:rPr>
                <w:rFonts w:ascii="Times New Roman"/>
                <w:sz w:val="8"/>
              </w:rPr>
            </w:pPr>
          </w:p>
        </w:tc>
        <w:tc>
          <w:tcPr>
            <w:tcW w:w="4059" w:type="dxa"/>
          </w:tcPr>
          <w:p>
            <w:pPr>
              <w:pStyle w:val="TableParagraph"/>
              <w:rPr>
                <w:rFonts w:ascii="Times New Roman"/>
                <w:sz w:val="8"/>
              </w:rPr>
            </w:pPr>
          </w:p>
        </w:tc>
        <w:tc>
          <w:tcPr>
            <w:tcW w:w="6839" w:type="dxa"/>
          </w:tcPr>
          <w:p>
            <w:pPr>
              <w:pStyle w:val="TableParagraph"/>
              <w:rPr>
                <w:rFonts w:ascii="Times New Roman"/>
                <w:sz w:val="8"/>
              </w:rPr>
            </w:pPr>
          </w:p>
        </w:tc>
        <w:tc>
          <w:tcPr>
            <w:tcW w:w="1460" w:type="dxa"/>
          </w:tcPr>
          <w:p>
            <w:pPr>
              <w:pStyle w:val="TableParagraph"/>
              <w:rPr>
                <w:rFonts w:ascii="Times New Roman"/>
                <w:sz w:val="8"/>
              </w:rPr>
            </w:pPr>
          </w:p>
        </w:tc>
        <w:tc>
          <w:tcPr>
            <w:tcW w:w="2144" w:type="dxa"/>
          </w:tcPr>
          <w:p>
            <w:pPr>
              <w:pStyle w:val="TableParagraph"/>
              <w:spacing w:line="130" w:lineRule="exact"/>
              <w:ind w:left="139"/>
              <w:rPr>
                <w:sz w:val="15"/>
              </w:rPr>
            </w:pPr>
            <w:r>
              <w:rPr>
                <w:sz w:val="15"/>
              </w:rPr>
              <w:t>TARIFAS</w:t>
            </w:r>
          </w:p>
        </w:tc>
      </w:tr>
      <w:tr>
        <w:trPr>
          <w:trHeight w:val="309" w:hRule="atLeast"/>
        </w:trPr>
        <w:tc>
          <w:tcPr>
            <w:tcW w:w="4779" w:type="dxa"/>
          </w:tcPr>
          <w:p>
            <w:pPr>
              <w:pStyle w:val="TableParagraph"/>
              <w:spacing w:before="54"/>
              <w:ind w:left="447"/>
              <w:rPr>
                <w:sz w:val="15"/>
              </w:rPr>
            </w:pPr>
            <w:r>
              <w:rPr>
                <w:sz w:val="15"/>
              </w:rPr>
              <w:t>a) De hasta 6 metros lineales:</w:t>
            </w:r>
          </w:p>
        </w:tc>
        <w:tc>
          <w:tcPr>
            <w:tcW w:w="4059" w:type="dxa"/>
          </w:tcPr>
          <w:p>
            <w:pPr>
              <w:pStyle w:val="TableParagraph"/>
              <w:spacing w:before="54"/>
              <w:ind w:left="140"/>
              <w:rPr>
                <w:sz w:val="15"/>
              </w:rPr>
            </w:pPr>
            <w:r>
              <w:rPr>
                <w:sz w:val="15"/>
              </w:rPr>
              <w:t>$2,594.00</w:t>
            </w:r>
          </w:p>
        </w:tc>
        <w:tc>
          <w:tcPr>
            <w:tcW w:w="6839" w:type="dxa"/>
          </w:tcPr>
          <w:p>
            <w:pPr>
              <w:pStyle w:val="TableParagraph"/>
              <w:spacing w:before="1"/>
              <w:ind w:left="3350"/>
              <w:rPr>
                <w:sz w:val="15"/>
              </w:rPr>
            </w:pPr>
            <w:r>
              <w:rPr>
                <w:sz w:val="15"/>
              </w:rPr>
              <w:t>a) De 16 a 30 metros cúbicos:</w:t>
            </w:r>
          </w:p>
        </w:tc>
        <w:tc>
          <w:tcPr>
            <w:tcW w:w="1460" w:type="dxa"/>
          </w:tcPr>
          <w:p>
            <w:pPr>
              <w:pStyle w:val="TableParagraph"/>
              <w:spacing w:before="1"/>
              <w:ind w:right="140"/>
              <w:jc w:val="right"/>
              <w:rPr>
                <w:sz w:val="15"/>
              </w:rPr>
            </w:pPr>
            <w:r>
              <w:rPr>
                <w:sz w:val="15"/>
              </w:rPr>
              <w:t>$10.00</w:t>
            </w:r>
          </w:p>
        </w:tc>
        <w:tc>
          <w:tcPr>
            <w:tcW w:w="2144" w:type="dxa"/>
          </w:tcPr>
          <w:p>
            <w:pPr>
              <w:pStyle w:val="TableParagraph"/>
              <w:rPr>
                <w:rFonts w:ascii="Times New Roman"/>
                <w:sz w:val="14"/>
              </w:rPr>
            </w:pPr>
          </w:p>
        </w:tc>
      </w:tr>
      <w:tr>
        <w:trPr>
          <w:trHeight w:val="377" w:hRule="atLeast"/>
        </w:trPr>
        <w:tc>
          <w:tcPr>
            <w:tcW w:w="4779" w:type="dxa"/>
          </w:tcPr>
          <w:p>
            <w:pPr>
              <w:pStyle w:val="TableParagraph"/>
              <w:spacing w:before="99"/>
              <w:ind w:left="447"/>
              <w:rPr>
                <w:sz w:val="15"/>
              </w:rPr>
            </w:pPr>
            <w:r>
              <w:rPr>
                <w:sz w:val="15"/>
              </w:rPr>
              <w:t>b) De hasta 12 metros lineales:</w:t>
            </w:r>
          </w:p>
        </w:tc>
        <w:tc>
          <w:tcPr>
            <w:tcW w:w="4059" w:type="dxa"/>
          </w:tcPr>
          <w:p>
            <w:pPr>
              <w:pStyle w:val="TableParagraph"/>
              <w:spacing w:before="99"/>
              <w:ind w:left="140"/>
              <w:rPr>
                <w:sz w:val="15"/>
              </w:rPr>
            </w:pPr>
            <w:r>
              <w:rPr>
                <w:sz w:val="15"/>
              </w:rPr>
              <w:t>$2,880.00</w:t>
            </w:r>
          </w:p>
        </w:tc>
        <w:tc>
          <w:tcPr>
            <w:tcW w:w="6839" w:type="dxa"/>
          </w:tcPr>
          <w:p>
            <w:pPr>
              <w:pStyle w:val="TableParagraph"/>
              <w:spacing w:before="80"/>
              <w:ind w:left="3350"/>
              <w:rPr>
                <w:sz w:val="15"/>
              </w:rPr>
            </w:pPr>
            <w:r>
              <w:rPr>
                <w:sz w:val="15"/>
              </w:rPr>
              <w:t>b) De 31 a 45 metros cúbicos:</w:t>
            </w:r>
          </w:p>
        </w:tc>
        <w:tc>
          <w:tcPr>
            <w:tcW w:w="1460" w:type="dxa"/>
          </w:tcPr>
          <w:p>
            <w:pPr>
              <w:pStyle w:val="TableParagraph"/>
              <w:spacing w:before="80"/>
              <w:ind w:right="140"/>
              <w:jc w:val="right"/>
              <w:rPr>
                <w:sz w:val="15"/>
              </w:rPr>
            </w:pPr>
            <w:r>
              <w:rPr>
                <w:sz w:val="15"/>
              </w:rPr>
              <w:t>$11.00</w:t>
            </w:r>
          </w:p>
        </w:tc>
        <w:tc>
          <w:tcPr>
            <w:tcW w:w="2144" w:type="dxa"/>
          </w:tcPr>
          <w:p>
            <w:pPr>
              <w:pStyle w:val="TableParagraph"/>
              <w:rPr>
                <w:rFonts w:ascii="Times New Roman"/>
                <w:sz w:val="14"/>
              </w:rPr>
            </w:pPr>
          </w:p>
        </w:tc>
      </w:tr>
      <w:tr>
        <w:trPr>
          <w:trHeight w:val="393" w:hRule="atLeast"/>
        </w:trPr>
        <w:tc>
          <w:tcPr>
            <w:tcW w:w="4779" w:type="dxa"/>
          </w:tcPr>
          <w:p>
            <w:pPr>
              <w:pStyle w:val="TableParagraph"/>
              <w:spacing w:before="109"/>
              <w:ind w:left="447"/>
              <w:rPr>
                <w:sz w:val="15"/>
              </w:rPr>
            </w:pPr>
            <w:r>
              <w:rPr>
                <w:sz w:val="15"/>
              </w:rPr>
              <w:t>VI. Instalación de medidor de flujo:</w:t>
            </w:r>
          </w:p>
        </w:tc>
        <w:tc>
          <w:tcPr>
            <w:tcW w:w="4059" w:type="dxa"/>
          </w:tcPr>
          <w:p>
            <w:pPr>
              <w:pStyle w:val="TableParagraph"/>
              <w:spacing w:before="109"/>
              <w:ind w:left="153"/>
              <w:rPr>
                <w:sz w:val="15"/>
              </w:rPr>
            </w:pPr>
            <w:r>
              <w:rPr>
                <w:sz w:val="15"/>
              </w:rPr>
              <w:t>$2,118.00</w:t>
            </w:r>
          </w:p>
        </w:tc>
        <w:tc>
          <w:tcPr>
            <w:tcW w:w="6839" w:type="dxa"/>
          </w:tcPr>
          <w:p>
            <w:pPr>
              <w:pStyle w:val="TableParagraph"/>
              <w:spacing w:before="103"/>
              <w:ind w:left="3358"/>
              <w:rPr>
                <w:sz w:val="15"/>
              </w:rPr>
            </w:pPr>
            <w:r>
              <w:rPr>
                <w:sz w:val="15"/>
              </w:rPr>
              <w:t>c) De 46 a 60 metros cúbicos:</w:t>
            </w:r>
          </w:p>
        </w:tc>
        <w:tc>
          <w:tcPr>
            <w:tcW w:w="1460" w:type="dxa"/>
          </w:tcPr>
          <w:p>
            <w:pPr>
              <w:pStyle w:val="TableParagraph"/>
              <w:spacing w:before="103"/>
              <w:ind w:right="140"/>
              <w:jc w:val="right"/>
              <w:rPr>
                <w:sz w:val="15"/>
              </w:rPr>
            </w:pPr>
            <w:r>
              <w:rPr>
                <w:sz w:val="15"/>
              </w:rPr>
              <w:t>$12.00</w:t>
            </w:r>
          </w:p>
        </w:tc>
        <w:tc>
          <w:tcPr>
            <w:tcW w:w="2144" w:type="dxa"/>
          </w:tcPr>
          <w:p>
            <w:pPr>
              <w:pStyle w:val="TableParagraph"/>
              <w:rPr>
                <w:rFonts w:ascii="Times New Roman"/>
                <w:sz w:val="14"/>
              </w:rPr>
            </w:pPr>
          </w:p>
        </w:tc>
      </w:tr>
      <w:tr>
        <w:trPr>
          <w:trHeight w:val="310" w:hRule="atLeast"/>
        </w:trPr>
        <w:tc>
          <w:tcPr>
            <w:tcW w:w="4779" w:type="dxa"/>
          </w:tcPr>
          <w:p>
            <w:pPr>
              <w:pStyle w:val="TableParagraph"/>
              <w:spacing w:line="156" w:lineRule="exact" w:before="135"/>
              <w:ind w:left="447"/>
              <w:rPr>
                <w:sz w:val="15"/>
              </w:rPr>
            </w:pPr>
            <w:r>
              <w:rPr>
                <w:sz w:val="15"/>
              </w:rPr>
              <w:t>VII. Instalación de módulo de radiofrecuencia para lectura</w:t>
            </w:r>
          </w:p>
        </w:tc>
        <w:tc>
          <w:tcPr>
            <w:tcW w:w="4059" w:type="dxa"/>
          </w:tcPr>
          <w:p>
            <w:pPr>
              <w:pStyle w:val="TableParagraph"/>
              <w:rPr>
                <w:rFonts w:ascii="Times New Roman"/>
                <w:sz w:val="14"/>
              </w:rPr>
            </w:pPr>
          </w:p>
        </w:tc>
        <w:tc>
          <w:tcPr>
            <w:tcW w:w="6839" w:type="dxa"/>
          </w:tcPr>
          <w:p>
            <w:pPr>
              <w:pStyle w:val="TableParagraph"/>
              <w:spacing w:before="110"/>
              <w:ind w:left="3350"/>
              <w:rPr>
                <w:sz w:val="15"/>
              </w:rPr>
            </w:pPr>
            <w:r>
              <w:rPr>
                <w:sz w:val="15"/>
              </w:rPr>
              <w:t>d) De 61 a 75 metros cúbicos:</w:t>
            </w:r>
          </w:p>
        </w:tc>
        <w:tc>
          <w:tcPr>
            <w:tcW w:w="1460" w:type="dxa"/>
          </w:tcPr>
          <w:p>
            <w:pPr>
              <w:pStyle w:val="TableParagraph"/>
              <w:spacing w:before="110"/>
              <w:ind w:right="140"/>
              <w:jc w:val="right"/>
              <w:rPr>
                <w:sz w:val="15"/>
              </w:rPr>
            </w:pPr>
            <w:r>
              <w:rPr>
                <w:sz w:val="15"/>
              </w:rPr>
              <w:t>$13.00</w:t>
            </w:r>
          </w:p>
        </w:tc>
        <w:tc>
          <w:tcPr>
            <w:tcW w:w="2144" w:type="dxa"/>
          </w:tcPr>
          <w:p>
            <w:pPr>
              <w:pStyle w:val="TableParagraph"/>
              <w:rPr>
                <w:rFonts w:ascii="Times New Roman"/>
                <w:sz w:val="14"/>
              </w:rPr>
            </w:pPr>
          </w:p>
        </w:tc>
      </w:tr>
      <w:tr>
        <w:trPr>
          <w:trHeight w:val="187" w:hRule="atLeast"/>
        </w:trPr>
        <w:tc>
          <w:tcPr>
            <w:tcW w:w="4779" w:type="dxa"/>
          </w:tcPr>
          <w:p>
            <w:pPr>
              <w:pStyle w:val="TableParagraph"/>
              <w:spacing w:line="166" w:lineRule="exact" w:before="1"/>
              <w:ind w:left="50"/>
              <w:rPr>
                <w:sz w:val="15"/>
              </w:rPr>
            </w:pPr>
            <w:r>
              <w:rPr>
                <w:sz w:val="15"/>
              </w:rPr>
              <w:t>remota:</w:t>
            </w:r>
          </w:p>
        </w:tc>
        <w:tc>
          <w:tcPr>
            <w:tcW w:w="4059" w:type="dxa"/>
          </w:tcPr>
          <w:p>
            <w:pPr>
              <w:pStyle w:val="TableParagraph"/>
              <w:spacing w:line="166" w:lineRule="exact" w:before="1"/>
              <w:ind w:left="140"/>
              <w:rPr>
                <w:sz w:val="15"/>
              </w:rPr>
            </w:pPr>
            <w:r>
              <w:rPr>
                <w:sz w:val="15"/>
              </w:rPr>
              <w:t>$1,544.00</w:t>
            </w:r>
          </w:p>
        </w:tc>
        <w:tc>
          <w:tcPr>
            <w:tcW w:w="6839" w:type="dxa"/>
          </w:tcPr>
          <w:p>
            <w:pPr>
              <w:pStyle w:val="TableParagraph"/>
              <w:rPr>
                <w:rFonts w:ascii="Times New Roman"/>
                <w:sz w:val="12"/>
              </w:rPr>
            </w:pPr>
          </w:p>
        </w:tc>
        <w:tc>
          <w:tcPr>
            <w:tcW w:w="1460" w:type="dxa"/>
          </w:tcPr>
          <w:p>
            <w:pPr>
              <w:pStyle w:val="TableParagraph"/>
              <w:rPr>
                <w:rFonts w:ascii="Times New Roman"/>
                <w:sz w:val="12"/>
              </w:rPr>
            </w:pPr>
          </w:p>
        </w:tc>
        <w:tc>
          <w:tcPr>
            <w:tcW w:w="2144" w:type="dxa"/>
          </w:tcPr>
          <w:p>
            <w:pPr>
              <w:pStyle w:val="TableParagraph"/>
              <w:rPr>
                <w:rFonts w:ascii="Times New Roman"/>
                <w:sz w:val="12"/>
              </w:rPr>
            </w:pPr>
          </w:p>
        </w:tc>
      </w:tr>
      <w:tr>
        <w:trPr>
          <w:trHeight w:val="193" w:hRule="atLeast"/>
        </w:trPr>
        <w:tc>
          <w:tcPr>
            <w:tcW w:w="4779" w:type="dxa"/>
          </w:tcPr>
          <w:p>
            <w:pPr>
              <w:pStyle w:val="TableParagraph"/>
              <w:rPr>
                <w:rFonts w:ascii="Times New Roman"/>
                <w:sz w:val="12"/>
              </w:rPr>
            </w:pPr>
          </w:p>
        </w:tc>
        <w:tc>
          <w:tcPr>
            <w:tcW w:w="4059" w:type="dxa"/>
          </w:tcPr>
          <w:p>
            <w:pPr>
              <w:pStyle w:val="TableParagraph"/>
              <w:rPr>
                <w:rFonts w:ascii="Times New Roman"/>
                <w:sz w:val="12"/>
              </w:rPr>
            </w:pPr>
          </w:p>
        </w:tc>
        <w:tc>
          <w:tcPr>
            <w:tcW w:w="6839" w:type="dxa"/>
          </w:tcPr>
          <w:p>
            <w:pPr>
              <w:pStyle w:val="TableParagraph"/>
              <w:spacing w:line="162" w:lineRule="exact" w:before="11"/>
              <w:ind w:left="3350"/>
              <w:rPr>
                <w:sz w:val="15"/>
              </w:rPr>
            </w:pPr>
            <w:r>
              <w:rPr>
                <w:sz w:val="15"/>
              </w:rPr>
              <w:t>e) De 76 a 99 metros cúbicos:</w:t>
            </w:r>
          </w:p>
        </w:tc>
        <w:tc>
          <w:tcPr>
            <w:tcW w:w="1460" w:type="dxa"/>
          </w:tcPr>
          <w:p>
            <w:pPr>
              <w:pStyle w:val="TableParagraph"/>
              <w:spacing w:line="162" w:lineRule="exact" w:before="11"/>
              <w:ind w:right="140"/>
              <w:jc w:val="right"/>
              <w:rPr>
                <w:sz w:val="15"/>
              </w:rPr>
            </w:pPr>
            <w:r>
              <w:rPr>
                <w:sz w:val="15"/>
              </w:rPr>
              <w:t>$14.00</w:t>
            </w:r>
          </w:p>
        </w:tc>
        <w:tc>
          <w:tcPr>
            <w:tcW w:w="2144" w:type="dxa"/>
          </w:tcPr>
          <w:p>
            <w:pPr>
              <w:pStyle w:val="TableParagraph"/>
              <w:rPr>
                <w:rFonts w:ascii="Times New Roman"/>
                <w:sz w:val="12"/>
              </w:rPr>
            </w:pPr>
          </w:p>
        </w:tc>
      </w:tr>
      <w:tr>
        <w:trPr>
          <w:trHeight w:val="200" w:hRule="atLeast"/>
        </w:trPr>
        <w:tc>
          <w:tcPr>
            <w:tcW w:w="4779" w:type="dxa"/>
          </w:tcPr>
          <w:p>
            <w:pPr>
              <w:pStyle w:val="TableParagraph"/>
              <w:spacing w:before="7"/>
              <w:ind w:left="447"/>
              <w:rPr>
                <w:sz w:val="15"/>
              </w:rPr>
            </w:pPr>
            <w:r>
              <w:rPr>
                <w:sz w:val="15"/>
              </w:rPr>
              <w:t>VIII. Instalación de descarga de drenaje sanitario:</w:t>
            </w:r>
          </w:p>
        </w:tc>
        <w:tc>
          <w:tcPr>
            <w:tcW w:w="4059" w:type="dxa"/>
          </w:tcPr>
          <w:p>
            <w:pPr>
              <w:pStyle w:val="TableParagraph"/>
              <w:rPr>
                <w:rFonts w:ascii="Times New Roman"/>
                <w:sz w:val="12"/>
              </w:rPr>
            </w:pPr>
          </w:p>
        </w:tc>
        <w:tc>
          <w:tcPr>
            <w:tcW w:w="6839" w:type="dxa"/>
          </w:tcPr>
          <w:p>
            <w:pPr>
              <w:pStyle w:val="TableParagraph"/>
              <w:rPr>
                <w:rFonts w:ascii="Times New Roman"/>
                <w:sz w:val="12"/>
              </w:rPr>
            </w:pPr>
          </w:p>
        </w:tc>
        <w:tc>
          <w:tcPr>
            <w:tcW w:w="1460" w:type="dxa"/>
          </w:tcPr>
          <w:p>
            <w:pPr>
              <w:pStyle w:val="TableParagraph"/>
              <w:rPr>
                <w:rFonts w:ascii="Times New Roman"/>
                <w:sz w:val="12"/>
              </w:rPr>
            </w:pPr>
          </w:p>
        </w:tc>
        <w:tc>
          <w:tcPr>
            <w:tcW w:w="2144" w:type="dxa"/>
          </w:tcPr>
          <w:p>
            <w:pPr>
              <w:pStyle w:val="TableParagraph"/>
              <w:rPr>
                <w:rFonts w:ascii="Times New Roman"/>
                <w:sz w:val="12"/>
              </w:rPr>
            </w:pPr>
          </w:p>
        </w:tc>
      </w:tr>
      <w:tr>
        <w:trPr>
          <w:trHeight w:val="192" w:hRule="atLeast"/>
        </w:trPr>
        <w:tc>
          <w:tcPr>
            <w:tcW w:w="4779" w:type="dxa"/>
          </w:tcPr>
          <w:p>
            <w:pPr>
              <w:pStyle w:val="TableParagraph"/>
              <w:rPr>
                <w:rFonts w:ascii="Times New Roman"/>
                <w:sz w:val="12"/>
              </w:rPr>
            </w:pPr>
          </w:p>
        </w:tc>
        <w:tc>
          <w:tcPr>
            <w:tcW w:w="4059" w:type="dxa"/>
          </w:tcPr>
          <w:p>
            <w:pPr>
              <w:pStyle w:val="TableParagraph"/>
              <w:rPr>
                <w:rFonts w:ascii="Times New Roman"/>
                <w:sz w:val="12"/>
              </w:rPr>
            </w:pPr>
          </w:p>
        </w:tc>
        <w:tc>
          <w:tcPr>
            <w:tcW w:w="6839" w:type="dxa"/>
          </w:tcPr>
          <w:p>
            <w:pPr>
              <w:pStyle w:val="TableParagraph"/>
              <w:spacing w:line="153" w:lineRule="exact" w:before="18"/>
              <w:ind w:left="3392"/>
              <w:rPr>
                <w:sz w:val="15"/>
              </w:rPr>
            </w:pPr>
            <w:r>
              <w:rPr>
                <w:sz w:val="15"/>
              </w:rPr>
              <w:t>f) De 100 metros cúbicos en adelante:</w:t>
            </w:r>
          </w:p>
        </w:tc>
        <w:tc>
          <w:tcPr>
            <w:tcW w:w="1460" w:type="dxa"/>
          </w:tcPr>
          <w:p>
            <w:pPr>
              <w:pStyle w:val="TableParagraph"/>
              <w:spacing w:line="153" w:lineRule="exact" w:before="18"/>
              <w:ind w:right="140"/>
              <w:jc w:val="right"/>
              <w:rPr>
                <w:sz w:val="15"/>
              </w:rPr>
            </w:pPr>
            <w:r>
              <w:rPr>
                <w:sz w:val="15"/>
              </w:rPr>
              <w:t>$15.00</w:t>
            </w:r>
          </w:p>
        </w:tc>
        <w:tc>
          <w:tcPr>
            <w:tcW w:w="2144" w:type="dxa"/>
          </w:tcPr>
          <w:p>
            <w:pPr>
              <w:pStyle w:val="TableParagraph"/>
              <w:rPr>
                <w:rFonts w:ascii="Times New Roman"/>
                <w:sz w:val="12"/>
              </w:rPr>
            </w:pPr>
          </w:p>
        </w:tc>
      </w:tr>
    </w:tbl>
    <w:p>
      <w:pPr>
        <w:spacing w:after="0"/>
        <w:rPr>
          <w:rFonts w:ascii="Times New Roman"/>
          <w:sz w:val="12"/>
        </w:rPr>
        <w:sectPr>
          <w:type w:val="continuous"/>
          <w:pgSz w:w="23250" w:h="15310" w:orient="landscape"/>
          <w:pgMar w:top="0" w:bottom="0" w:left="1880" w:right="1520"/>
        </w:sectPr>
      </w:pPr>
    </w:p>
    <w:p>
      <w:pPr>
        <w:pStyle w:val="ListParagraph"/>
        <w:numPr>
          <w:ilvl w:val="0"/>
          <w:numId w:val="121"/>
        </w:numPr>
        <w:tabs>
          <w:tab w:pos="729" w:val="left" w:leader="none"/>
          <w:tab w:pos="5020" w:val="left" w:leader="none"/>
        </w:tabs>
        <w:spacing w:line="240" w:lineRule="auto" w:before="1" w:after="0"/>
        <w:ind w:left="728" w:right="0" w:hanging="181"/>
        <w:jc w:val="left"/>
        <w:rPr>
          <w:sz w:val="15"/>
        </w:rPr>
      </w:pPr>
      <w:r>
        <w:rPr>
          <w:sz w:val="15"/>
        </w:rPr>
        <w:t>De hasta 6</w:t>
      </w:r>
      <w:r>
        <w:rPr>
          <w:spacing w:val="30"/>
          <w:sz w:val="15"/>
        </w:rPr>
        <w:t> </w:t>
      </w:r>
      <w:r>
        <w:rPr>
          <w:sz w:val="15"/>
        </w:rPr>
        <w:t>metros</w:t>
      </w:r>
      <w:r>
        <w:rPr>
          <w:spacing w:val="11"/>
          <w:sz w:val="15"/>
        </w:rPr>
        <w:t> </w:t>
      </w:r>
      <w:r>
        <w:rPr>
          <w:sz w:val="15"/>
        </w:rPr>
        <w:t>lineales:</w:t>
        <w:tab/>
        <w:t>$1,377.00</w:t>
      </w:r>
    </w:p>
    <w:p>
      <w:pPr>
        <w:pStyle w:val="BodyText"/>
        <w:spacing w:before="10"/>
      </w:pPr>
    </w:p>
    <w:p>
      <w:pPr>
        <w:pStyle w:val="ListParagraph"/>
        <w:numPr>
          <w:ilvl w:val="0"/>
          <w:numId w:val="121"/>
        </w:numPr>
        <w:tabs>
          <w:tab w:pos="729" w:val="left" w:leader="none"/>
          <w:tab w:pos="5020" w:val="left" w:leader="none"/>
        </w:tabs>
        <w:spacing w:line="240" w:lineRule="auto" w:before="0" w:after="0"/>
        <w:ind w:left="728" w:right="0" w:hanging="181"/>
        <w:jc w:val="left"/>
        <w:rPr>
          <w:sz w:val="15"/>
        </w:rPr>
      </w:pPr>
      <w:r>
        <w:rPr>
          <w:sz w:val="15"/>
        </w:rPr>
        <w:t>De hasta 12</w:t>
      </w:r>
      <w:r>
        <w:rPr>
          <w:spacing w:val="32"/>
          <w:sz w:val="15"/>
        </w:rPr>
        <w:t> </w:t>
      </w:r>
      <w:r>
        <w:rPr>
          <w:sz w:val="15"/>
        </w:rPr>
        <w:t>metros</w:t>
      </w:r>
      <w:r>
        <w:rPr>
          <w:spacing w:val="11"/>
          <w:sz w:val="15"/>
        </w:rPr>
        <w:t> </w:t>
      </w:r>
      <w:r>
        <w:rPr>
          <w:sz w:val="15"/>
        </w:rPr>
        <w:t>lineales:</w:t>
        <w:tab/>
        <w:t>$2,146.00</w:t>
      </w:r>
    </w:p>
    <w:p>
      <w:pPr>
        <w:pStyle w:val="BodyText"/>
        <w:spacing w:before="2"/>
        <w:rPr>
          <w:sz w:val="17"/>
        </w:rPr>
      </w:pPr>
      <w:r>
        <w:rPr/>
        <w:br w:type="column"/>
      </w:r>
      <w:r>
        <w:rPr>
          <w:sz w:val="17"/>
        </w:rPr>
      </w:r>
    </w:p>
    <w:p>
      <w:pPr>
        <w:pStyle w:val="ListParagraph"/>
        <w:numPr>
          <w:ilvl w:val="0"/>
          <w:numId w:val="120"/>
        </w:numPr>
        <w:tabs>
          <w:tab w:pos="1183" w:val="left" w:leader="none"/>
        </w:tabs>
        <w:spacing w:line="247" w:lineRule="auto" w:before="0" w:after="0"/>
        <w:ind w:left="548" w:right="510" w:firstLine="397"/>
        <w:jc w:val="left"/>
        <w:rPr>
          <w:sz w:val="15"/>
        </w:rPr>
      </w:pPr>
      <w:r>
        <w:rPr>
          <w:sz w:val="15"/>
        </w:rPr>
        <w:t>Cuando el consumo mensual no rebase los 15 metros cúbicos que para uso industrial mínimo se estima, deberá el usuario de cubrir una cuota mínima mensual</w:t>
      </w:r>
      <w:r>
        <w:rPr>
          <w:spacing w:val="21"/>
          <w:sz w:val="15"/>
        </w:rPr>
        <w:t> </w:t>
      </w:r>
      <w:r>
        <w:rPr>
          <w:sz w:val="15"/>
        </w:rPr>
        <w:t>de:</w:t>
      </w:r>
    </w:p>
    <w:p>
      <w:pPr>
        <w:spacing w:after="0" w:line="247" w:lineRule="auto"/>
        <w:jc w:val="left"/>
        <w:rPr>
          <w:sz w:val="15"/>
        </w:rPr>
        <w:sectPr>
          <w:type w:val="continuous"/>
          <w:pgSz w:w="23250" w:h="15310" w:orient="landscape"/>
          <w:pgMar w:top="0" w:bottom="0" w:left="1880" w:right="1520"/>
          <w:cols w:num="2" w:equalWidth="0">
            <w:col w:w="5746" w:space="5479"/>
            <w:col w:w="8625"/>
          </w:cols>
        </w:sectPr>
      </w:pPr>
    </w:p>
    <w:p>
      <w:pPr>
        <w:pStyle w:val="BodyText"/>
        <w:spacing w:before="8"/>
        <w:rPr>
          <w:sz w:val="13"/>
        </w:rPr>
      </w:pPr>
    </w:p>
    <w:p>
      <w:pPr>
        <w:pStyle w:val="BodyText"/>
        <w:spacing w:line="247" w:lineRule="auto"/>
        <w:ind w:left="151" w:right="38" w:firstLine="397"/>
        <w:jc w:val="both"/>
      </w:pPr>
      <w:r>
        <w:rPr/>
        <w:t>Cuando se solicite la contratación o reposición de tomas o descargas de diámetros mayores a los especificados anteriormente, los servicios se proporcionarán de conformidad con los convenios a los que se llegue, tomando en cuenta las dificultades técnicas que se deban superar y el costo de las instalaciones y los equipos que para tales efectos se requieren.</w:t>
      </w:r>
    </w:p>
    <w:p>
      <w:pPr>
        <w:pStyle w:val="BodyText"/>
        <w:spacing w:before="2"/>
      </w:pPr>
    </w:p>
    <w:p>
      <w:pPr>
        <w:pStyle w:val="BodyText"/>
        <w:spacing w:line="244" w:lineRule="auto"/>
        <w:ind w:left="151" w:right="38" w:firstLine="397"/>
        <w:jc w:val="both"/>
      </w:pPr>
      <w:r>
        <w:rPr>
          <w:b/>
        </w:rPr>
        <w:t>Artículo 106.-</w:t>
      </w:r>
      <w:r>
        <w:rPr/>
        <w:t>Servicio medido: los usuarios que estén bajo este régimen, deberán  efectuar  su</w:t>
      </w:r>
      <w:r>
        <w:rPr>
          <w:spacing w:val="13"/>
        </w:rPr>
        <w:t> </w:t>
      </w:r>
      <w:r>
        <w:rPr/>
        <w:t>pago dentro</w:t>
      </w:r>
      <w:r>
        <w:rPr>
          <w:spacing w:val="29"/>
        </w:rPr>
        <w:t> </w:t>
      </w:r>
      <w:r>
        <w:rPr/>
        <w:t>de</w:t>
      </w:r>
      <w:r>
        <w:rPr>
          <w:spacing w:val="30"/>
        </w:rPr>
        <w:t> </w:t>
      </w:r>
      <w:r>
        <w:rPr/>
        <w:t>los</w:t>
      </w:r>
      <w:r>
        <w:rPr>
          <w:spacing w:val="29"/>
        </w:rPr>
        <w:t> </w:t>
      </w:r>
      <w:r>
        <w:rPr/>
        <w:t>primeros</w:t>
      </w:r>
      <w:r>
        <w:rPr>
          <w:spacing w:val="30"/>
        </w:rPr>
        <w:t> </w:t>
      </w:r>
      <w:r>
        <w:rPr/>
        <w:t>15</w:t>
      </w:r>
      <w:r>
        <w:rPr>
          <w:spacing w:val="29"/>
        </w:rPr>
        <w:t> </w:t>
      </w:r>
      <w:r>
        <w:rPr/>
        <w:t>días</w:t>
      </w:r>
      <w:r>
        <w:rPr>
          <w:spacing w:val="30"/>
        </w:rPr>
        <w:t> </w:t>
      </w:r>
      <w:r>
        <w:rPr/>
        <w:t>posteriores</w:t>
      </w:r>
      <w:r>
        <w:rPr>
          <w:spacing w:val="29"/>
        </w:rPr>
        <w:t> </w:t>
      </w:r>
      <w:r>
        <w:rPr/>
        <w:t>al</w:t>
      </w:r>
      <w:r>
        <w:rPr>
          <w:spacing w:val="29"/>
        </w:rPr>
        <w:t> </w:t>
      </w:r>
      <w:r>
        <w:rPr/>
        <w:t>mes</w:t>
      </w:r>
      <w:r>
        <w:rPr>
          <w:spacing w:val="29"/>
        </w:rPr>
        <w:t> </w:t>
      </w:r>
      <w:r>
        <w:rPr/>
        <w:t>que</w:t>
      </w:r>
      <w:r>
        <w:rPr>
          <w:spacing w:val="30"/>
        </w:rPr>
        <w:t> </w:t>
      </w:r>
      <w:r>
        <w:rPr/>
        <w:t>realizó</w:t>
      </w:r>
      <w:r>
        <w:rPr>
          <w:spacing w:val="30"/>
        </w:rPr>
        <w:t> </w:t>
      </w:r>
      <w:r>
        <w:rPr/>
        <w:t>el</w:t>
      </w:r>
      <w:r>
        <w:rPr>
          <w:spacing w:val="29"/>
        </w:rPr>
        <w:t> </w:t>
      </w:r>
      <w:r>
        <w:rPr/>
        <w:t>consumo,</w:t>
      </w:r>
      <w:r>
        <w:rPr>
          <w:spacing w:val="30"/>
        </w:rPr>
        <w:t> </w:t>
      </w:r>
      <w:r>
        <w:rPr/>
        <w:t>en</w:t>
      </w:r>
      <w:r>
        <w:rPr>
          <w:spacing w:val="29"/>
        </w:rPr>
        <w:t> </w:t>
      </w:r>
      <w:r>
        <w:rPr/>
        <w:t>caso</w:t>
      </w:r>
      <w:r>
        <w:rPr>
          <w:spacing w:val="30"/>
        </w:rPr>
        <w:t> </w:t>
      </w:r>
      <w:r>
        <w:rPr/>
        <w:t>de</w:t>
      </w:r>
      <w:r>
        <w:rPr>
          <w:spacing w:val="29"/>
        </w:rPr>
        <w:t> </w:t>
      </w:r>
      <w:r>
        <w:rPr/>
        <w:t>no</w:t>
      </w:r>
      <w:r>
        <w:rPr>
          <w:spacing w:val="30"/>
        </w:rPr>
        <w:t> </w:t>
      </w:r>
      <w:r>
        <w:rPr/>
        <w:t>efectuarlo</w:t>
      </w:r>
      <w:r>
        <w:rPr>
          <w:spacing w:val="30"/>
        </w:rPr>
        <w:t> </w:t>
      </w:r>
      <w:r>
        <w:rPr/>
        <w:t>en</w:t>
      </w:r>
      <w:r>
        <w:rPr>
          <w:spacing w:val="29"/>
        </w:rPr>
        <w:t> </w:t>
      </w:r>
      <w:r>
        <w:rPr/>
        <w:t>el</w:t>
      </w:r>
    </w:p>
    <w:p>
      <w:pPr>
        <w:pStyle w:val="BodyText"/>
        <w:spacing w:line="172" w:lineRule="exact"/>
        <w:ind w:left="5735"/>
      </w:pPr>
      <w:r>
        <w:rPr/>
        <w:br w:type="column"/>
      </w:r>
      <w:r>
        <w:rPr/>
        <w:t>$291.00</w:t>
      </w:r>
    </w:p>
    <w:p>
      <w:pPr>
        <w:pStyle w:val="BodyText"/>
        <w:spacing w:before="9"/>
      </w:pPr>
    </w:p>
    <w:p>
      <w:pPr>
        <w:pStyle w:val="BodyText"/>
        <w:spacing w:line="244" w:lineRule="auto"/>
        <w:ind w:left="151" w:right="178" w:firstLine="397"/>
      </w:pPr>
      <w:r>
        <w:rPr/>
        <w:t>Adicionalmente a la cuota anteriormente mencionada, por cada metro cúbico excedente de acuerdo a la siguiente tabla:</w:t>
      </w:r>
    </w:p>
    <w:p>
      <w:pPr>
        <w:pStyle w:val="BodyText"/>
        <w:spacing w:before="2"/>
        <w:ind w:left="5822"/>
      </w:pPr>
      <w:r>
        <w:rPr/>
        <w:t>TARIFAS</w:t>
      </w:r>
    </w:p>
    <w:p>
      <w:pPr>
        <w:pStyle w:val="ListParagraph"/>
        <w:numPr>
          <w:ilvl w:val="1"/>
          <w:numId w:val="121"/>
        </w:numPr>
        <w:tabs>
          <w:tab w:pos="860" w:val="left" w:leader="none"/>
          <w:tab w:pos="5080" w:val="left" w:leader="none"/>
        </w:tabs>
        <w:spacing w:line="240" w:lineRule="auto" w:before="5" w:after="0"/>
        <w:ind w:left="859" w:right="0" w:hanging="178"/>
        <w:jc w:val="left"/>
        <w:rPr>
          <w:sz w:val="15"/>
        </w:rPr>
      </w:pPr>
      <w:r>
        <w:rPr>
          <w:sz w:val="15"/>
        </w:rPr>
        <w:t>De 16 a 30</w:t>
      </w:r>
      <w:r>
        <w:rPr>
          <w:spacing w:val="35"/>
          <w:sz w:val="15"/>
        </w:rPr>
        <w:t> </w:t>
      </w:r>
      <w:r>
        <w:rPr>
          <w:sz w:val="15"/>
        </w:rPr>
        <w:t>metros</w:t>
      </w:r>
      <w:r>
        <w:rPr>
          <w:spacing w:val="8"/>
          <w:sz w:val="15"/>
        </w:rPr>
        <w:t> </w:t>
      </w:r>
      <w:r>
        <w:rPr>
          <w:sz w:val="15"/>
        </w:rPr>
        <w:t>cúbicos:</w:t>
        <w:tab/>
        <w:t>$10.00</w:t>
      </w:r>
    </w:p>
    <w:p>
      <w:pPr>
        <w:spacing w:after="0" w:line="240" w:lineRule="auto"/>
        <w:jc w:val="left"/>
        <w:rPr>
          <w:sz w:val="15"/>
        </w:rPr>
        <w:sectPr>
          <w:type w:val="continuous"/>
          <w:pgSz w:w="23250" w:h="15310" w:orient="landscape"/>
          <w:pgMar w:top="0" w:bottom="0" w:left="1880" w:right="1520"/>
          <w:cols w:num="2" w:equalWidth="0">
            <w:col w:w="7751" w:space="3871"/>
            <w:col w:w="8228"/>
          </w:cols>
        </w:sectPr>
      </w:pPr>
    </w:p>
    <w:p>
      <w:pPr>
        <w:pStyle w:val="BodyText"/>
        <w:rPr>
          <w:sz w:val="20"/>
        </w:rPr>
      </w:pPr>
    </w:p>
    <w:p>
      <w:pPr>
        <w:pStyle w:val="BodyText"/>
        <w:spacing w:before="7"/>
        <w:rPr>
          <w:sz w:val="29"/>
        </w:rPr>
      </w:pPr>
    </w:p>
    <w:p>
      <w:pPr>
        <w:spacing w:after="0"/>
        <w:rPr>
          <w:sz w:val="29"/>
        </w:rPr>
        <w:sectPr>
          <w:headerReference w:type="default" r:id="rId87"/>
          <w:pgSz w:w="23250" w:h="15310" w:orient="landscape"/>
          <w:pgMar w:header="881" w:footer="499" w:top="1920" w:bottom="680" w:left="1880" w:right="1520"/>
        </w:sectPr>
      </w:pPr>
    </w:p>
    <w:p>
      <w:pPr>
        <w:pStyle w:val="ListParagraph"/>
        <w:numPr>
          <w:ilvl w:val="1"/>
          <w:numId w:val="121"/>
        </w:numPr>
        <w:tabs>
          <w:tab w:pos="860" w:val="left" w:leader="none"/>
          <w:tab w:pos="5091" w:val="left" w:leader="none"/>
        </w:tabs>
        <w:spacing w:line="240" w:lineRule="auto" w:before="99" w:after="0"/>
        <w:ind w:left="859" w:right="0" w:hanging="178"/>
        <w:jc w:val="left"/>
        <w:rPr>
          <w:sz w:val="15"/>
        </w:rPr>
      </w:pPr>
      <w:r>
        <w:rPr>
          <w:sz w:val="15"/>
        </w:rPr>
        <w:t>De 31 a 45</w:t>
      </w:r>
      <w:r>
        <w:rPr>
          <w:spacing w:val="35"/>
          <w:sz w:val="15"/>
        </w:rPr>
        <w:t> </w:t>
      </w:r>
      <w:r>
        <w:rPr>
          <w:sz w:val="15"/>
        </w:rPr>
        <w:t>metros</w:t>
      </w:r>
      <w:r>
        <w:rPr>
          <w:spacing w:val="8"/>
          <w:sz w:val="15"/>
        </w:rPr>
        <w:t> </w:t>
      </w:r>
      <w:r>
        <w:rPr>
          <w:sz w:val="15"/>
        </w:rPr>
        <w:t>cúbicos:</w:t>
        <w:tab/>
        <w:t>$11.00</w:t>
      </w:r>
    </w:p>
    <w:p>
      <w:pPr>
        <w:pStyle w:val="BodyText"/>
        <w:spacing w:before="11"/>
        <w:rPr>
          <w:sz w:val="18"/>
        </w:rPr>
      </w:pPr>
    </w:p>
    <w:p>
      <w:pPr>
        <w:pStyle w:val="ListParagraph"/>
        <w:numPr>
          <w:ilvl w:val="1"/>
          <w:numId w:val="121"/>
        </w:numPr>
        <w:tabs>
          <w:tab w:pos="859" w:val="left" w:leader="none"/>
          <w:tab w:pos="5079" w:val="left" w:leader="none"/>
        </w:tabs>
        <w:spacing w:line="240" w:lineRule="auto" w:before="0" w:after="0"/>
        <w:ind w:left="858" w:right="0" w:hanging="168"/>
        <w:jc w:val="left"/>
        <w:rPr>
          <w:sz w:val="15"/>
        </w:rPr>
      </w:pPr>
      <w:r>
        <w:rPr>
          <w:sz w:val="15"/>
        </w:rPr>
        <w:t>De 46 a 60</w:t>
      </w:r>
      <w:r>
        <w:rPr>
          <w:spacing w:val="36"/>
          <w:sz w:val="15"/>
        </w:rPr>
        <w:t> </w:t>
      </w:r>
      <w:r>
        <w:rPr>
          <w:sz w:val="15"/>
        </w:rPr>
        <w:t>metros</w:t>
      </w:r>
      <w:r>
        <w:rPr>
          <w:spacing w:val="9"/>
          <w:sz w:val="15"/>
        </w:rPr>
        <w:t> </w:t>
      </w:r>
      <w:r>
        <w:rPr>
          <w:sz w:val="15"/>
        </w:rPr>
        <w:t>cúbicos:</w:t>
        <w:tab/>
        <w:t>$12.00</w:t>
      </w:r>
    </w:p>
    <w:p>
      <w:pPr>
        <w:pStyle w:val="BodyText"/>
        <w:spacing w:before="11"/>
        <w:rPr>
          <w:sz w:val="18"/>
        </w:rPr>
      </w:pPr>
    </w:p>
    <w:p>
      <w:pPr>
        <w:pStyle w:val="ListParagraph"/>
        <w:numPr>
          <w:ilvl w:val="1"/>
          <w:numId w:val="121"/>
        </w:numPr>
        <w:tabs>
          <w:tab w:pos="860" w:val="left" w:leader="none"/>
          <w:tab w:pos="5080" w:val="left" w:leader="none"/>
        </w:tabs>
        <w:spacing w:line="240" w:lineRule="auto" w:before="0" w:after="0"/>
        <w:ind w:left="859" w:right="0" w:hanging="178"/>
        <w:jc w:val="left"/>
        <w:rPr>
          <w:sz w:val="15"/>
        </w:rPr>
      </w:pPr>
      <w:r>
        <w:rPr>
          <w:sz w:val="15"/>
        </w:rPr>
        <w:t>De 61 a 75</w:t>
      </w:r>
      <w:r>
        <w:rPr>
          <w:spacing w:val="35"/>
          <w:sz w:val="15"/>
        </w:rPr>
        <w:t> </w:t>
      </w:r>
      <w:r>
        <w:rPr>
          <w:sz w:val="15"/>
        </w:rPr>
        <w:t>metros</w:t>
      </w:r>
      <w:r>
        <w:rPr>
          <w:spacing w:val="8"/>
          <w:sz w:val="15"/>
        </w:rPr>
        <w:t> </w:t>
      </w:r>
      <w:r>
        <w:rPr>
          <w:sz w:val="15"/>
        </w:rPr>
        <w:t>cúbicos:</w:t>
        <w:tab/>
        <w:t>$13.00</w:t>
      </w:r>
    </w:p>
    <w:p>
      <w:pPr>
        <w:pStyle w:val="BodyText"/>
        <w:rPr>
          <w:sz w:val="18"/>
        </w:rPr>
      </w:pPr>
    </w:p>
    <w:p>
      <w:pPr>
        <w:pStyle w:val="ListParagraph"/>
        <w:numPr>
          <w:ilvl w:val="1"/>
          <w:numId w:val="121"/>
        </w:numPr>
        <w:tabs>
          <w:tab w:pos="860" w:val="left" w:leader="none"/>
          <w:tab w:pos="5080" w:val="left" w:leader="none"/>
        </w:tabs>
        <w:spacing w:line="240" w:lineRule="auto" w:before="0" w:after="0"/>
        <w:ind w:left="859" w:right="0" w:hanging="178"/>
        <w:jc w:val="left"/>
        <w:rPr>
          <w:sz w:val="15"/>
        </w:rPr>
      </w:pPr>
      <w:r>
        <w:rPr>
          <w:sz w:val="15"/>
        </w:rPr>
        <w:t>De 76 a 99</w:t>
      </w:r>
      <w:r>
        <w:rPr>
          <w:spacing w:val="35"/>
          <w:sz w:val="15"/>
        </w:rPr>
        <w:t> </w:t>
      </w:r>
      <w:r>
        <w:rPr>
          <w:sz w:val="15"/>
        </w:rPr>
        <w:t>metros</w:t>
      </w:r>
      <w:r>
        <w:rPr>
          <w:spacing w:val="8"/>
          <w:sz w:val="15"/>
        </w:rPr>
        <w:t> </w:t>
      </w:r>
      <w:r>
        <w:rPr>
          <w:sz w:val="15"/>
        </w:rPr>
        <w:t>cúbicos:</w:t>
        <w:tab/>
        <w:t>$14.00</w:t>
      </w:r>
    </w:p>
    <w:p>
      <w:pPr>
        <w:pStyle w:val="BodyText"/>
        <w:rPr>
          <w:sz w:val="19"/>
        </w:rPr>
      </w:pPr>
    </w:p>
    <w:p>
      <w:pPr>
        <w:pStyle w:val="ListParagraph"/>
        <w:numPr>
          <w:ilvl w:val="1"/>
          <w:numId w:val="121"/>
        </w:numPr>
        <w:tabs>
          <w:tab w:pos="860" w:val="left" w:leader="none"/>
          <w:tab w:pos="5079" w:val="left" w:leader="none"/>
        </w:tabs>
        <w:spacing w:line="240" w:lineRule="auto" w:before="0" w:after="0"/>
        <w:ind w:left="859" w:right="0" w:hanging="135"/>
        <w:jc w:val="left"/>
        <w:rPr>
          <w:sz w:val="15"/>
        </w:rPr>
      </w:pPr>
      <w:r>
        <w:rPr>
          <w:sz w:val="15"/>
        </w:rPr>
        <w:t>De 100 metros cúbicos </w:t>
      </w:r>
      <w:r>
        <w:rPr>
          <w:spacing w:val="3"/>
          <w:sz w:val="15"/>
        </w:rPr>
        <w:t> </w:t>
      </w:r>
      <w:r>
        <w:rPr>
          <w:sz w:val="15"/>
        </w:rPr>
        <w:t>en</w:t>
      </w:r>
      <w:r>
        <w:rPr>
          <w:spacing w:val="12"/>
          <w:sz w:val="15"/>
        </w:rPr>
        <w:t> </w:t>
      </w:r>
      <w:r>
        <w:rPr>
          <w:sz w:val="15"/>
        </w:rPr>
        <w:t>adelante:</w:t>
        <w:tab/>
        <w:t>$15.00</w:t>
      </w:r>
    </w:p>
    <w:p>
      <w:pPr>
        <w:pStyle w:val="BodyText"/>
        <w:spacing w:before="10"/>
        <w:rPr>
          <w:sz w:val="17"/>
        </w:rPr>
      </w:pPr>
    </w:p>
    <w:p>
      <w:pPr>
        <w:pStyle w:val="ListParagraph"/>
        <w:numPr>
          <w:ilvl w:val="0"/>
          <w:numId w:val="120"/>
        </w:numPr>
        <w:tabs>
          <w:tab w:pos="827" w:val="left" w:leader="none"/>
        </w:tabs>
        <w:spacing w:line="247" w:lineRule="auto" w:before="0" w:after="0"/>
        <w:ind w:left="170" w:right="830" w:firstLine="377"/>
        <w:jc w:val="both"/>
        <w:rPr>
          <w:sz w:val="15"/>
        </w:rPr>
      </w:pPr>
      <w:r>
        <w:rPr>
          <w:sz w:val="15"/>
        </w:rPr>
        <w:t>Por el uso de equipo de distribución que realice el Municipio en el domicilio del solicitante para llevar a cabo el suministro de agua potable y se le otorgue a petición del mismo, se realizará siempre y cuando exista la disponibilidad de los equipos y se cobrará por cada servicio de hasta 10 metros cúbicos. Cuando   se presente alguna falla en el servicio de suministro de  agua  potable que el Municipio presta a los usuarios del padrón de agua,  no</w:t>
      </w:r>
      <w:r>
        <w:rPr>
          <w:spacing w:val="12"/>
          <w:sz w:val="15"/>
        </w:rPr>
        <w:t> </w:t>
      </w:r>
      <w:r>
        <w:rPr>
          <w:sz w:val="15"/>
        </w:rPr>
        <w:t>aplicará</w:t>
      </w:r>
      <w:r>
        <w:rPr>
          <w:spacing w:val="12"/>
          <w:sz w:val="15"/>
        </w:rPr>
        <w:t> </w:t>
      </w:r>
      <w:r>
        <w:rPr>
          <w:sz w:val="15"/>
        </w:rPr>
        <w:t>la</w:t>
      </w:r>
      <w:r>
        <w:rPr>
          <w:spacing w:val="12"/>
          <w:sz w:val="15"/>
        </w:rPr>
        <w:t> </w:t>
      </w:r>
      <w:r>
        <w:rPr>
          <w:sz w:val="15"/>
        </w:rPr>
        <w:t>presente</w:t>
      </w:r>
      <w:r>
        <w:rPr>
          <w:spacing w:val="12"/>
          <w:sz w:val="15"/>
        </w:rPr>
        <w:t> </w:t>
      </w:r>
      <w:r>
        <w:rPr>
          <w:sz w:val="15"/>
        </w:rPr>
        <w:t>tarifa</w:t>
      </w:r>
      <w:r>
        <w:rPr>
          <w:spacing w:val="12"/>
          <w:sz w:val="15"/>
        </w:rPr>
        <w:t> </w:t>
      </w:r>
      <w:r>
        <w:rPr>
          <w:sz w:val="15"/>
        </w:rPr>
        <w:t>por</w:t>
      </w:r>
      <w:r>
        <w:rPr>
          <w:spacing w:val="13"/>
          <w:sz w:val="15"/>
        </w:rPr>
        <w:t> </w:t>
      </w:r>
      <w:r>
        <w:rPr>
          <w:sz w:val="15"/>
        </w:rPr>
        <w:t>considerarse</w:t>
      </w:r>
      <w:r>
        <w:rPr>
          <w:spacing w:val="12"/>
          <w:sz w:val="15"/>
        </w:rPr>
        <w:t> </w:t>
      </w:r>
      <w:r>
        <w:rPr>
          <w:sz w:val="15"/>
        </w:rPr>
        <w:t>de</w:t>
      </w:r>
      <w:r>
        <w:rPr>
          <w:spacing w:val="12"/>
          <w:sz w:val="15"/>
        </w:rPr>
        <w:t> </w:t>
      </w:r>
      <w:r>
        <w:rPr>
          <w:sz w:val="15"/>
        </w:rPr>
        <w:t>carácter</w:t>
      </w:r>
    </w:p>
    <w:p>
      <w:pPr>
        <w:pStyle w:val="BodyText"/>
        <w:tabs>
          <w:tab w:pos="5032" w:val="left" w:leader="none"/>
        </w:tabs>
        <w:spacing w:line="167" w:lineRule="exact"/>
        <w:ind w:left="170"/>
        <w:jc w:val="both"/>
      </w:pPr>
      <w:r>
        <w:rPr/>
        <w:t>emergente, se aplicará la</w:t>
      </w:r>
      <w:r>
        <w:rPr>
          <w:spacing w:val="30"/>
        </w:rPr>
        <w:t> </w:t>
      </w:r>
      <w:r>
        <w:rPr/>
        <w:t>tarifa</w:t>
      </w:r>
      <w:r>
        <w:rPr>
          <w:spacing w:val="8"/>
        </w:rPr>
        <w:t> </w:t>
      </w:r>
      <w:r>
        <w:rPr/>
        <w:t>de:</w:t>
        <w:tab/>
        <w:t>$324.00</w:t>
      </w:r>
    </w:p>
    <w:p>
      <w:pPr>
        <w:pStyle w:val="BodyText"/>
        <w:spacing w:before="9"/>
      </w:pPr>
    </w:p>
    <w:p>
      <w:pPr>
        <w:pStyle w:val="ListParagraph"/>
        <w:numPr>
          <w:ilvl w:val="0"/>
          <w:numId w:val="120"/>
        </w:numPr>
        <w:tabs>
          <w:tab w:pos="761" w:val="left" w:leader="none"/>
        </w:tabs>
        <w:spacing w:line="247" w:lineRule="auto" w:before="0" w:after="0"/>
        <w:ind w:left="170" w:right="831" w:firstLine="377"/>
        <w:jc w:val="both"/>
        <w:rPr>
          <w:sz w:val="15"/>
        </w:rPr>
      </w:pPr>
      <w:r>
        <w:rPr>
          <w:sz w:val="15"/>
        </w:rPr>
        <w:t>Por el uso de equipo de saneamiento por succión que realice el Municipio en el domicilio del solicitante y se le otorgue a petición del mismo, se realizará siempre y cuando exista la disponibilidad de los equipos. Cuando se presente alguna falla  en   el servicio de desazolve que el Municipio presta a los usuarios del padrón de agua, no aplicará la presente tarifa por considerarse de carácter emergente, se aplicará por cada</w:t>
      </w:r>
      <w:r>
        <w:rPr>
          <w:spacing w:val="17"/>
          <w:sz w:val="15"/>
        </w:rPr>
        <w:t> </w:t>
      </w:r>
      <w:r>
        <w:rPr>
          <w:sz w:val="15"/>
        </w:rPr>
        <w:t>servicio:</w:t>
      </w:r>
    </w:p>
    <w:p>
      <w:pPr>
        <w:pStyle w:val="BodyText"/>
        <w:spacing w:line="169" w:lineRule="exact"/>
        <w:ind w:right="38"/>
        <w:jc w:val="right"/>
      </w:pPr>
      <w:r>
        <w:rPr/>
        <w:t>$1,854.00</w:t>
      </w:r>
    </w:p>
    <w:p>
      <w:pPr>
        <w:pStyle w:val="ListParagraph"/>
        <w:numPr>
          <w:ilvl w:val="0"/>
          <w:numId w:val="122"/>
        </w:numPr>
        <w:tabs>
          <w:tab w:pos="767" w:val="left" w:leader="none"/>
        </w:tabs>
        <w:spacing w:line="247" w:lineRule="auto" w:before="98" w:after="0"/>
        <w:ind w:left="170" w:right="511" w:firstLine="397"/>
        <w:jc w:val="both"/>
        <w:rPr>
          <w:sz w:val="15"/>
        </w:rPr>
      </w:pPr>
      <w:r>
        <w:rPr>
          <w:w w:val="102"/>
          <w:sz w:val="15"/>
        </w:rPr>
        <w:br w:type="column"/>
      </w:r>
      <w:r>
        <w:rPr>
          <w:sz w:val="15"/>
        </w:rPr>
        <w:t>En ningún caso el propietario o poseedor de un inmueble podrá conectarse a las redes de agua  potable, alcantarillado y drenaje propiedad del Municipio, sin la previa autorización por escrito de la Dirección General de Agua Potable y Saneamiento del IMHAB; para el  caso  de  incumplimiento  el  propietario  o poseedor de ese inmueble se hará acreedor a las sanciones administrativas y penales señaladas en el Reglamento.</w:t>
      </w:r>
    </w:p>
    <w:p>
      <w:pPr>
        <w:pStyle w:val="BodyText"/>
        <w:spacing w:before="2"/>
      </w:pPr>
    </w:p>
    <w:p>
      <w:pPr>
        <w:pStyle w:val="BodyText"/>
        <w:spacing w:line="247" w:lineRule="auto"/>
        <w:ind w:left="170" w:right="287" w:firstLine="397"/>
      </w:pPr>
      <w:r>
        <w:rPr/>
        <w:t>Todo usuario deberá estar comprendido en alguno de los renglones tarifarios que este instrumento legal señala;</w:t>
      </w:r>
    </w:p>
    <w:p>
      <w:pPr>
        <w:pStyle w:val="BodyText"/>
        <w:spacing w:before="3"/>
      </w:pPr>
    </w:p>
    <w:p>
      <w:pPr>
        <w:pStyle w:val="ListParagraph"/>
        <w:numPr>
          <w:ilvl w:val="0"/>
          <w:numId w:val="122"/>
        </w:numPr>
        <w:tabs>
          <w:tab w:pos="815" w:val="left" w:leader="none"/>
        </w:tabs>
        <w:spacing w:line="247" w:lineRule="auto" w:before="0" w:after="0"/>
        <w:ind w:left="170" w:right="509" w:firstLine="397"/>
        <w:jc w:val="both"/>
        <w:rPr>
          <w:sz w:val="15"/>
        </w:rPr>
      </w:pPr>
      <w:r>
        <w:rPr>
          <w:sz w:val="15"/>
        </w:rPr>
        <w:t>Las personas físicas o jurídicas, propietarias o poseedoras de inmuebles ubicados dentro de la circunscripción territorial del Municipio, que se beneficien con los servicios de agua potable, alcantarillado, drenaje o saneamiento que proporciona el Municipio, deberán darse de alta en el Padrón de Usuarios de este Municipio, presentando para tal efecto los documentos que acrediten la propiedad o posesión, como pueden   ser: la escritura pública respectiva; el comprobante actualizado del pago del impuesto predial; el contrato de arrendamiento o comodato o cualquier otro a juicio de la Dirección Comercial dependiente de la Dirección General de Agua Potable y Saneamiento del</w:t>
      </w:r>
      <w:r>
        <w:rPr>
          <w:spacing w:val="6"/>
          <w:sz w:val="15"/>
        </w:rPr>
        <w:t> </w:t>
      </w:r>
      <w:r>
        <w:rPr>
          <w:sz w:val="15"/>
        </w:rPr>
        <w:t>IMHAB.</w:t>
      </w:r>
    </w:p>
    <w:p>
      <w:pPr>
        <w:pStyle w:val="BodyText"/>
        <w:spacing w:before="1"/>
      </w:pPr>
    </w:p>
    <w:p>
      <w:pPr>
        <w:pStyle w:val="ListParagraph"/>
        <w:numPr>
          <w:ilvl w:val="0"/>
          <w:numId w:val="122"/>
        </w:numPr>
        <w:tabs>
          <w:tab w:pos="835" w:val="left" w:leader="none"/>
        </w:tabs>
        <w:spacing w:line="244" w:lineRule="auto" w:before="0" w:after="0"/>
        <w:ind w:left="170" w:right="508" w:firstLine="397"/>
        <w:jc w:val="both"/>
        <w:rPr>
          <w:sz w:val="15"/>
        </w:rPr>
      </w:pPr>
      <w:r>
        <w:rPr>
          <w:sz w:val="15"/>
        </w:rPr>
        <w:t>Los Predios de los Fraccionamientos, Colonias y Desarrollos en condominio en proceso de actualización no registrados en el Padrón de Usuarios se darán de alta en el  mismo  con  base  en  la información que disponga el Municipio o con base en cualquiera</w:t>
      </w:r>
      <w:r>
        <w:rPr>
          <w:spacing w:val="10"/>
          <w:sz w:val="15"/>
        </w:rPr>
        <w:t> </w:t>
      </w:r>
      <w:r>
        <w:rPr>
          <w:sz w:val="15"/>
        </w:rPr>
        <w:t>de los siguientes datos:</w:t>
      </w:r>
    </w:p>
    <w:p>
      <w:pPr>
        <w:pStyle w:val="BodyText"/>
        <w:spacing w:before="9"/>
      </w:pPr>
    </w:p>
    <w:p>
      <w:pPr>
        <w:pStyle w:val="ListParagraph"/>
        <w:numPr>
          <w:ilvl w:val="0"/>
          <w:numId w:val="123"/>
        </w:numPr>
        <w:tabs>
          <w:tab w:pos="862" w:val="left" w:leader="none"/>
        </w:tabs>
        <w:spacing w:line="240" w:lineRule="auto" w:before="0" w:after="0"/>
        <w:ind w:left="861" w:right="0" w:hanging="253"/>
        <w:jc w:val="left"/>
        <w:rPr>
          <w:sz w:val="15"/>
        </w:rPr>
      </w:pPr>
      <w:r>
        <w:rPr>
          <w:sz w:val="15"/>
        </w:rPr>
        <w:t>La fecha de Recepción del</w:t>
      </w:r>
      <w:r>
        <w:rPr>
          <w:spacing w:val="7"/>
          <w:sz w:val="15"/>
        </w:rPr>
        <w:t> </w:t>
      </w:r>
      <w:r>
        <w:rPr>
          <w:sz w:val="15"/>
        </w:rPr>
        <w:t>Fraccionamiento;</w:t>
      </w:r>
    </w:p>
    <w:p>
      <w:pPr>
        <w:pStyle w:val="ListParagraph"/>
        <w:numPr>
          <w:ilvl w:val="0"/>
          <w:numId w:val="123"/>
        </w:numPr>
        <w:tabs>
          <w:tab w:pos="862" w:val="left" w:leader="none"/>
        </w:tabs>
        <w:spacing w:line="240" w:lineRule="auto" w:before="93" w:after="0"/>
        <w:ind w:left="861" w:right="0" w:hanging="253"/>
        <w:jc w:val="left"/>
        <w:rPr>
          <w:sz w:val="15"/>
        </w:rPr>
      </w:pPr>
      <w:r>
        <w:rPr>
          <w:sz w:val="15"/>
        </w:rPr>
        <w:t>La fecha de la Habitabilidad emitida por el</w:t>
      </w:r>
      <w:r>
        <w:rPr>
          <w:spacing w:val="13"/>
          <w:sz w:val="15"/>
        </w:rPr>
        <w:t> </w:t>
      </w:r>
      <w:r>
        <w:rPr>
          <w:sz w:val="15"/>
        </w:rPr>
        <w:t>Municipio;</w:t>
      </w:r>
    </w:p>
    <w:p>
      <w:pPr>
        <w:pStyle w:val="ListParagraph"/>
        <w:numPr>
          <w:ilvl w:val="0"/>
          <w:numId w:val="123"/>
        </w:numPr>
        <w:tabs>
          <w:tab w:pos="862" w:val="left" w:leader="none"/>
        </w:tabs>
        <w:spacing w:line="240" w:lineRule="auto" w:before="93" w:after="0"/>
        <w:ind w:left="861" w:right="0" w:hanging="253"/>
        <w:jc w:val="left"/>
        <w:rPr>
          <w:sz w:val="15"/>
        </w:rPr>
      </w:pPr>
      <w:r>
        <w:rPr>
          <w:sz w:val="15"/>
        </w:rPr>
        <w:t>La fecha de la escritura de cada</w:t>
      </w:r>
      <w:r>
        <w:rPr>
          <w:spacing w:val="8"/>
          <w:sz w:val="15"/>
        </w:rPr>
        <w:t> </w:t>
      </w:r>
      <w:r>
        <w:rPr>
          <w:sz w:val="15"/>
        </w:rPr>
        <w:t>predio;</w:t>
      </w:r>
    </w:p>
    <w:p>
      <w:pPr>
        <w:pStyle w:val="ListParagraph"/>
        <w:numPr>
          <w:ilvl w:val="0"/>
          <w:numId w:val="123"/>
        </w:numPr>
        <w:tabs>
          <w:tab w:pos="862" w:val="left" w:leader="none"/>
        </w:tabs>
        <w:spacing w:line="240" w:lineRule="auto" w:before="93" w:after="0"/>
        <w:ind w:left="861" w:right="0" w:hanging="253"/>
        <w:jc w:val="left"/>
        <w:rPr>
          <w:sz w:val="15"/>
        </w:rPr>
      </w:pPr>
      <w:r>
        <w:rPr>
          <w:sz w:val="15"/>
        </w:rPr>
        <w:t>La fecha acordada en convenios celebrados con el</w:t>
      </w:r>
      <w:r>
        <w:rPr>
          <w:spacing w:val="15"/>
          <w:sz w:val="15"/>
        </w:rPr>
        <w:t> </w:t>
      </w:r>
      <w:r>
        <w:rPr>
          <w:sz w:val="15"/>
        </w:rPr>
        <w:t>Municipio;</w:t>
      </w:r>
    </w:p>
    <w:p>
      <w:pPr>
        <w:pStyle w:val="ListParagraph"/>
        <w:numPr>
          <w:ilvl w:val="0"/>
          <w:numId w:val="123"/>
        </w:numPr>
        <w:tabs>
          <w:tab w:pos="862" w:val="left" w:leader="none"/>
        </w:tabs>
        <w:spacing w:line="240" w:lineRule="auto" w:before="93" w:after="0"/>
        <w:ind w:left="861" w:right="0" w:hanging="253"/>
        <w:jc w:val="left"/>
        <w:rPr>
          <w:sz w:val="15"/>
        </w:rPr>
      </w:pPr>
      <w:r>
        <w:rPr>
          <w:sz w:val="15"/>
        </w:rPr>
        <w:t>La fecha de Alta del predio en Catastro;</w:t>
      </w:r>
      <w:r>
        <w:rPr>
          <w:spacing w:val="11"/>
          <w:sz w:val="15"/>
        </w:rPr>
        <w:t> </w:t>
      </w:r>
      <w:r>
        <w:rPr>
          <w:sz w:val="15"/>
        </w:rPr>
        <w:t>y,</w:t>
      </w:r>
    </w:p>
    <w:p>
      <w:pPr>
        <w:pStyle w:val="ListParagraph"/>
        <w:numPr>
          <w:ilvl w:val="0"/>
          <w:numId w:val="123"/>
        </w:numPr>
        <w:tabs>
          <w:tab w:pos="834" w:val="left" w:leader="none"/>
        </w:tabs>
        <w:spacing w:line="240" w:lineRule="auto" w:before="93" w:after="0"/>
        <w:ind w:left="833" w:right="0" w:hanging="181"/>
        <w:jc w:val="left"/>
        <w:rPr>
          <w:sz w:val="15"/>
        </w:rPr>
      </w:pPr>
      <w:r>
        <w:rPr>
          <w:sz w:val="15"/>
        </w:rPr>
        <w:t>La fecha de Trasmisión Patrimonial registrada en</w:t>
      </w:r>
      <w:r>
        <w:rPr>
          <w:spacing w:val="9"/>
          <w:sz w:val="15"/>
        </w:rPr>
        <w:t> </w:t>
      </w:r>
      <w:r>
        <w:rPr>
          <w:sz w:val="15"/>
        </w:rPr>
        <w:t>Catastro.</w:t>
      </w:r>
    </w:p>
    <w:p>
      <w:pPr>
        <w:spacing w:after="0" w:line="240" w:lineRule="auto"/>
        <w:jc w:val="left"/>
        <w:rPr>
          <w:sz w:val="15"/>
        </w:rPr>
        <w:sectPr>
          <w:type w:val="continuous"/>
          <w:pgSz w:w="23250" w:h="15310" w:orient="landscape"/>
          <w:pgMar w:top="0" w:bottom="0" w:left="1880" w:right="1520"/>
          <w:cols w:num="2" w:equalWidth="0">
            <w:col w:w="5629" w:space="5974"/>
            <w:col w:w="8247"/>
          </w:cols>
        </w:sectPr>
      </w:pPr>
    </w:p>
    <w:p>
      <w:pPr>
        <w:pStyle w:val="ListParagraph"/>
        <w:numPr>
          <w:ilvl w:val="0"/>
          <w:numId w:val="124"/>
        </w:numPr>
        <w:tabs>
          <w:tab w:pos="815" w:val="left" w:leader="none"/>
        </w:tabs>
        <w:spacing w:line="247" w:lineRule="auto" w:before="74" w:after="0"/>
        <w:ind w:left="170" w:right="2953" w:firstLine="377"/>
        <w:jc w:val="both"/>
        <w:rPr>
          <w:sz w:val="15"/>
        </w:rPr>
      </w:pPr>
      <w:r>
        <w:rPr>
          <w:sz w:val="15"/>
        </w:rPr>
        <w:t>Por el uso de plantas de tratamiento de propiedad del Municipio de Tlajomulco de Zúñiga, Jalisco, para  recibir  los servicios sépticos domésticos provenientes de casas  habitación  o de actividades comerciales, no de procesos industriales</w:t>
      </w:r>
      <w:r>
        <w:rPr>
          <w:spacing w:val="-16"/>
          <w:sz w:val="15"/>
        </w:rPr>
        <w:t> </w:t>
      </w:r>
      <w:r>
        <w:rPr>
          <w:sz w:val="15"/>
        </w:rPr>
        <w:t>se cobrará</w:t>
      </w:r>
    </w:p>
    <w:p>
      <w:pPr>
        <w:pStyle w:val="BodyText"/>
        <w:tabs>
          <w:tab w:pos="5117" w:val="left" w:leader="none"/>
        </w:tabs>
        <w:spacing w:line="170" w:lineRule="exact"/>
        <w:ind w:left="170"/>
        <w:jc w:val="both"/>
      </w:pPr>
      <w:r>
        <w:rPr/>
        <w:t>por cada</w:t>
      </w:r>
      <w:r>
        <w:rPr>
          <w:spacing w:val="15"/>
        </w:rPr>
        <w:t> </w:t>
      </w:r>
      <w:r>
        <w:rPr/>
        <w:t>metro</w:t>
      </w:r>
      <w:r>
        <w:rPr>
          <w:spacing w:val="8"/>
        </w:rPr>
        <w:t> </w:t>
      </w:r>
      <w:r>
        <w:rPr/>
        <w:t>cúbico:</w:t>
        <w:tab/>
        <w:t>$62.00</w:t>
      </w:r>
    </w:p>
    <w:p>
      <w:pPr>
        <w:pStyle w:val="BodyText"/>
        <w:spacing w:before="10"/>
      </w:pPr>
    </w:p>
    <w:p>
      <w:pPr>
        <w:pStyle w:val="ListParagraph"/>
        <w:numPr>
          <w:ilvl w:val="0"/>
          <w:numId w:val="124"/>
        </w:numPr>
        <w:tabs>
          <w:tab w:pos="903" w:val="left" w:leader="none"/>
        </w:tabs>
        <w:spacing w:line="247" w:lineRule="auto" w:before="0" w:after="0"/>
        <w:ind w:left="170" w:right="2954" w:firstLine="377"/>
        <w:jc w:val="both"/>
        <w:rPr>
          <w:sz w:val="15"/>
        </w:rPr>
      </w:pPr>
      <w:r>
        <w:rPr>
          <w:sz w:val="15"/>
        </w:rPr>
        <w:t>Por el abasto de agua producto de procesos de potabilización mediante suministro en planta, se aplicará la</w:t>
      </w:r>
      <w:r>
        <w:rPr>
          <w:spacing w:val="24"/>
          <w:sz w:val="15"/>
        </w:rPr>
        <w:t> </w:t>
      </w:r>
      <w:r>
        <w:rPr>
          <w:sz w:val="15"/>
        </w:rPr>
        <w:t>tarifa</w:t>
      </w:r>
    </w:p>
    <w:p>
      <w:pPr>
        <w:pStyle w:val="BodyText"/>
        <w:tabs>
          <w:tab w:pos="5117" w:val="left" w:leader="none"/>
        </w:tabs>
        <w:spacing w:line="172" w:lineRule="exact"/>
        <w:ind w:left="170"/>
        <w:jc w:val="both"/>
      </w:pPr>
      <w:r>
        <w:rPr/>
        <w:t>por cada metro</w:t>
      </w:r>
      <w:r>
        <w:rPr>
          <w:spacing w:val="21"/>
        </w:rPr>
        <w:t> </w:t>
      </w:r>
      <w:r>
        <w:rPr/>
        <w:t>cúbico</w:t>
      </w:r>
      <w:r>
        <w:rPr>
          <w:spacing w:val="8"/>
        </w:rPr>
        <w:t> </w:t>
      </w:r>
      <w:r>
        <w:rPr/>
        <w:t>de:</w:t>
        <w:tab/>
        <w:t>$13.00</w:t>
      </w:r>
    </w:p>
    <w:p>
      <w:pPr>
        <w:pStyle w:val="BodyText"/>
        <w:spacing w:before="8"/>
      </w:pPr>
    </w:p>
    <w:p>
      <w:pPr>
        <w:pStyle w:val="ListParagraph"/>
        <w:numPr>
          <w:ilvl w:val="0"/>
          <w:numId w:val="124"/>
        </w:numPr>
        <w:tabs>
          <w:tab w:pos="942" w:val="left" w:leader="none"/>
        </w:tabs>
        <w:spacing w:line="247" w:lineRule="auto" w:before="0" w:after="0"/>
        <w:ind w:left="170" w:right="2954" w:firstLine="377"/>
        <w:jc w:val="both"/>
        <w:rPr>
          <w:sz w:val="15"/>
        </w:rPr>
      </w:pPr>
      <w:r>
        <w:rPr>
          <w:sz w:val="15"/>
        </w:rPr>
        <w:t>Por el abasto de agua producto de procesos de tratamiento</w:t>
      </w:r>
      <w:r>
        <w:rPr>
          <w:spacing w:val="23"/>
          <w:sz w:val="15"/>
        </w:rPr>
        <w:t> </w:t>
      </w:r>
      <w:r>
        <w:rPr>
          <w:sz w:val="15"/>
        </w:rPr>
        <w:t>mediante</w:t>
      </w:r>
      <w:r>
        <w:rPr>
          <w:spacing w:val="24"/>
          <w:sz w:val="15"/>
        </w:rPr>
        <w:t> </w:t>
      </w:r>
      <w:r>
        <w:rPr>
          <w:sz w:val="15"/>
        </w:rPr>
        <w:t>suministro</w:t>
      </w:r>
      <w:r>
        <w:rPr>
          <w:spacing w:val="24"/>
          <w:sz w:val="15"/>
        </w:rPr>
        <w:t> </w:t>
      </w:r>
      <w:r>
        <w:rPr>
          <w:sz w:val="15"/>
        </w:rPr>
        <w:t>en</w:t>
      </w:r>
      <w:r>
        <w:rPr>
          <w:spacing w:val="22"/>
          <w:sz w:val="15"/>
        </w:rPr>
        <w:t> </w:t>
      </w:r>
      <w:r>
        <w:rPr>
          <w:sz w:val="15"/>
        </w:rPr>
        <w:t>planta,</w:t>
      </w:r>
      <w:r>
        <w:rPr>
          <w:spacing w:val="24"/>
          <w:sz w:val="15"/>
        </w:rPr>
        <w:t> </w:t>
      </w:r>
      <w:r>
        <w:rPr>
          <w:sz w:val="15"/>
        </w:rPr>
        <w:t>se</w:t>
      </w:r>
      <w:r>
        <w:rPr>
          <w:spacing w:val="24"/>
          <w:sz w:val="15"/>
        </w:rPr>
        <w:t> </w:t>
      </w:r>
      <w:r>
        <w:rPr>
          <w:sz w:val="15"/>
        </w:rPr>
        <w:t>aplicará</w:t>
      </w:r>
      <w:r>
        <w:rPr>
          <w:spacing w:val="23"/>
          <w:sz w:val="15"/>
        </w:rPr>
        <w:t> </w:t>
      </w:r>
      <w:r>
        <w:rPr>
          <w:sz w:val="15"/>
        </w:rPr>
        <w:t>la</w:t>
      </w:r>
      <w:r>
        <w:rPr>
          <w:spacing w:val="24"/>
          <w:sz w:val="15"/>
        </w:rPr>
        <w:t> </w:t>
      </w:r>
      <w:r>
        <w:rPr>
          <w:sz w:val="15"/>
        </w:rPr>
        <w:t>tarifa</w:t>
      </w:r>
      <w:r>
        <w:rPr>
          <w:spacing w:val="24"/>
          <w:sz w:val="15"/>
        </w:rPr>
        <w:t> </w:t>
      </w:r>
      <w:r>
        <w:rPr>
          <w:sz w:val="15"/>
        </w:rPr>
        <w:t>por</w:t>
      </w:r>
    </w:p>
    <w:p>
      <w:pPr>
        <w:pStyle w:val="BodyText"/>
        <w:tabs>
          <w:tab w:pos="5119" w:val="left" w:leader="none"/>
        </w:tabs>
        <w:spacing w:line="172" w:lineRule="exact"/>
        <w:ind w:left="170"/>
        <w:jc w:val="both"/>
      </w:pPr>
      <w:r>
        <w:rPr/>
        <w:t>cada metro</w:t>
      </w:r>
      <w:r>
        <w:rPr>
          <w:spacing w:val="15"/>
        </w:rPr>
        <w:t> </w:t>
      </w:r>
      <w:r>
        <w:rPr/>
        <w:t>cúbico</w:t>
      </w:r>
      <w:r>
        <w:rPr>
          <w:spacing w:val="8"/>
        </w:rPr>
        <w:t> </w:t>
      </w:r>
      <w:r>
        <w:rPr/>
        <w:t>de:</w:t>
        <w:tab/>
        <w:t>$10.00</w:t>
      </w:r>
    </w:p>
    <w:p>
      <w:pPr>
        <w:pStyle w:val="BodyText"/>
        <w:spacing w:before="10"/>
      </w:pPr>
    </w:p>
    <w:p>
      <w:pPr>
        <w:pStyle w:val="BodyText"/>
        <w:spacing w:line="244" w:lineRule="auto"/>
        <w:ind w:left="151" w:right="40" w:firstLine="397"/>
        <w:jc w:val="both"/>
      </w:pPr>
      <w:r>
        <w:rPr>
          <w:b/>
        </w:rPr>
        <w:t>Artículo 107.- </w:t>
      </w:r>
      <w:r>
        <w:rPr/>
        <w:t>Se aplicarán, exclusivamente, al renglón de agua, drenaje y alcantarillado, las siguientes disposiciones generales:</w:t>
      </w:r>
    </w:p>
    <w:p>
      <w:pPr>
        <w:pStyle w:val="BodyText"/>
        <w:spacing w:before="6"/>
      </w:pPr>
    </w:p>
    <w:p>
      <w:pPr>
        <w:pStyle w:val="BodyText"/>
        <w:spacing w:line="247" w:lineRule="auto"/>
        <w:ind w:left="151" w:right="38" w:firstLine="397"/>
        <w:jc w:val="both"/>
      </w:pPr>
      <w:r>
        <w:rPr/>
        <w:t>I. La Tesorería Municipal recaudará y administrará, con el carácter de autoridad  fiscal,  según  lo  dispuesto en la Ley de Hacienda Municipal del Estado de Jalisco, los derechos derivados de la prestación de    los servicios públicos de agua potable, alcantarillado, drenaje, saneamiento y disposición de aguas residuales, con base en las tarifas, cuotas y tasas establecidas en la presente Ley así como en base a lo dispuesto en la  Ley del Agua del Estado de</w:t>
      </w:r>
      <w:r>
        <w:rPr>
          <w:spacing w:val="-1"/>
        </w:rPr>
        <w:t> </w:t>
      </w:r>
      <w:r>
        <w:rPr/>
        <w:t>Jalisco.</w:t>
      </w:r>
    </w:p>
    <w:p>
      <w:pPr>
        <w:pStyle w:val="BodyText"/>
        <w:spacing w:before="2"/>
      </w:pPr>
    </w:p>
    <w:p>
      <w:pPr>
        <w:pStyle w:val="BodyText"/>
        <w:spacing w:line="247" w:lineRule="auto"/>
        <w:ind w:left="151" w:right="38" w:firstLine="397"/>
        <w:jc w:val="both"/>
      </w:pPr>
      <w:r>
        <w:rPr/>
        <w:t>Las cuotas y tarifas mencionadas en el párrafo que antecede serán determinadas por la Dirección Comercial dependiente de la Dirección General de Agua Potable y  Saneamiento del    IMHAB y autorizadas    por el</w:t>
      </w:r>
      <w:r>
        <w:rPr>
          <w:spacing w:val="-7"/>
        </w:rPr>
        <w:t> </w:t>
      </w:r>
      <w:r>
        <w:rPr/>
        <w:t>Ayuntamiento.</w:t>
      </w:r>
    </w:p>
    <w:p>
      <w:pPr>
        <w:pStyle w:val="BodyText"/>
        <w:spacing w:before="5"/>
        <w:rPr>
          <w:sz w:val="23"/>
        </w:rPr>
      </w:pPr>
      <w:r>
        <w:rPr/>
        <w:br w:type="column"/>
      </w:r>
      <w:r>
        <w:rPr>
          <w:sz w:val="23"/>
        </w:rPr>
      </w:r>
    </w:p>
    <w:p>
      <w:pPr>
        <w:pStyle w:val="ListParagraph"/>
        <w:numPr>
          <w:ilvl w:val="0"/>
          <w:numId w:val="125"/>
        </w:numPr>
        <w:tabs>
          <w:tab w:pos="735" w:val="left" w:leader="none"/>
        </w:tabs>
        <w:spacing w:line="247" w:lineRule="auto" w:before="0" w:after="0"/>
        <w:ind w:left="151" w:right="510" w:firstLine="397"/>
        <w:jc w:val="both"/>
        <w:rPr>
          <w:sz w:val="15"/>
        </w:rPr>
      </w:pPr>
      <w:r>
        <w:rPr>
          <w:sz w:val="15"/>
        </w:rPr>
        <w:t>El usuario que se beneficie con los servicios de agua potable, alcantarillado, drenaje o saneamiento serán sujetos obligados al pago de cuotas y tarifas derivados de la prestación  de  los  servicios  de  agua potable, drenaje, alcantarillado, tratamiento y disposición de  sus aguas residuales, conforme a  lo establecido   en el artículo 88 de la Ley del Agua para el Estado de Jalisco  y sus Municipios; debiendo pagar al Municipio    los</w:t>
      </w:r>
      <w:r>
        <w:rPr>
          <w:spacing w:val="5"/>
          <w:sz w:val="15"/>
        </w:rPr>
        <w:t> </w:t>
      </w:r>
      <w:r>
        <w:rPr>
          <w:sz w:val="15"/>
        </w:rPr>
        <w:t>derechos</w:t>
      </w:r>
      <w:r>
        <w:rPr>
          <w:spacing w:val="5"/>
          <w:sz w:val="15"/>
        </w:rPr>
        <w:t> </w:t>
      </w:r>
      <w:r>
        <w:rPr>
          <w:sz w:val="15"/>
        </w:rPr>
        <w:t>correspondientes,</w:t>
      </w:r>
      <w:r>
        <w:rPr>
          <w:spacing w:val="5"/>
          <w:sz w:val="15"/>
        </w:rPr>
        <w:t> </w:t>
      </w:r>
      <w:r>
        <w:rPr>
          <w:sz w:val="15"/>
        </w:rPr>
        <w:t>con</w:t>
      </w:r>
      <w:r>
        <w:rPr>
          <w:spacing w:val="4"/>
          <w:sz w:val="15"/>
        </w:rPr>
        <w:t> </w:t>
      </w:r>
      <w:r>
        <w:rPr>
          <w:sz w:val="15"/>
        </w:rPr>
        <w:t>base</w:t>
      </w:r>
      <w:r>
        <w:rPr>
          <w:spacing w:val="6"/>
          <w:sz w:val="15"/>
        </w:rPr>
        <w:t> </w:t>
      </w:r>
      <w:r>
        <w:rPr>
          <w:sz w:val="15"/>
        </w:rPr>
        <w:t>en</w:t>
      </w:r>
      <w:r>
        <w:rPr>
          <w:spacing w:val="5"/>
          <w:sz w:val="15"/>
        </w:rPr>
        <w:t> </w:t>
      </w:r>
      <w:r>
        <w:rPr>
          <w:sz w:val="15"/>
        </w:rPr>
        <w:t>las</w:t>
      </w:r>
      <w:r>
        <w:rPr>
          <w:spacing w:val="5"/>
          <w:sz w:val="15"/>
        </w:rPr>
        <w:t> </w:t>
      </w:r>
      <w:r>
        <w:rPr>
          <w:sz w:val="15"/>
        </w:rPr>
        <w:t>tarifas</w:t>
      </w:r>
      <w:r>
        <w:rPr>
          <w:spacing w:val="5"/>
          <w:sz w:val="15"/>
        </w:rPr>
        <w:t> </w:t>
      </w:r>
      <w:r>
        <w:rPr>
          <w:sz w:val="15"/>
        </w:rPr>
        <w:t>generales</w:t>
      </w:r>
      <w:r>
        <w:rPr>
          <w:spacing w:val="6"/>
          <w:sz w:val="15"/>
        </w:rPr>
        <w:t> </w:t>
      </w:r>
      <w:r>
        <w:rPr>
          <w:sz w:val="15"/>
        </w:rPr>
        <w:t>establecidas</w:t>
      </w:r>
      <w:r>
        <w:rPr>
          <w:spacing w:val="5"/>
          <w:sz w:val="15"/>
        </w:rPr>
        <w:t> </w:t>
      </w:r>
      <w:r>
        <w:rPr>
          <w:sz w:val="15"/>
        </w:rPr>
        <w:t>en</w:t>
      </w:r>
      <w:r>
        <w:rPr>
          <w:spacing w:val="4"/>
          <w:sz w:val="15"/>
        </w:rPr>
        <w:t> </w:t>
      </w:r>
      <w:r>
        <w:rPr>
          <w:sz w:val="15"/>
        </w:rPr>
        <w:t>la</w:t>
      </w:r>
      <w:r>
        <w:rPr>
          <w:spacing w:val="4"/>
          <w:sz w:val="15"/>
        </w:rPr>
        <w:t> </w:t>
      </w:r>
      <w:r>
        <w:rPr>
          <w:sz w:val="15"/>
        </w:rPr>
        <w:t>presente</w:t>
      </w:r>
      <w:r>
        <w:rPr>
          <w:spacing w:val="5"/>
          <w:sz w:val="15"/>
        </w:rPr>
        <w:t> </w:t>
      </w:r>
      <w:r>
        <w:rPr>
          <w:spacing w:val="-4"/>
          <w:sz w:val="15"/>
        </w:rPr>
        <w:t>Ley.</w:t>
      </w:r>
    </w:p>
    <w:p>
      <w:pPr>
        <w:pStyle w:val="BodyText"/>
        <w:spacing w:before="2"/>
      </w:pPr>
    </w:p>
    <w:p>
      <w:pPr>
        <w:pStyle w:val="ListParagraph"/>
        <w:numPr>
          <w:ilvl w:val="0"/>
          <w:numId w:val="125"/>
        </w:numPr>
        <w:tabs>
          <w:tab w:pos="795" w:val="left" w:leader="none"/>
        </w:tabs>
        <w:spacing w:line="247" w:lineRule="auto" w:before="0" w:after="0"/>
        <w:ind w:left="151" w:right="510" w:firstLine="397"/>
        <w:jc w:val="both"/>
        <w:rPr>
          <w:sz w:val="15"/>
        </w:rPr>
      </w:pPr>
      <w:r>
        <w:rPr>
          <w:sz w:val="15"/>
        </w:rPr>
        <w:t>Para cada predio, giro o establecimiento, deberá instalarse una toma y medidor independiente, así como una descarga de aguas residuales por separado, salvo los casos en que a juicio de la Dirección General  de Agua Potable y Saneamiento del IMHAB no exista inconveniente en autorizar su</w:t>
      </w:r>
      <w:r>
        <w:rPr>
          <w:spacing w:val="14"/>
          <w:sz w:val="15"/>
        </w:rPr>
        <w:t> </w:t>
      </w:r>
      <w:r>
        <w:rPr>
          <w:sz w:val="15"/>
        </w:rPr>
        <w:t>derivación</w:t>
      </w:r>
    </w:p>
    <w:p>
      <w:pPr>
        <w:pStyle w:val="BodyText"/>
        <w:spacing w:before="2"/>
      </w:pPr>
    </w:p>
    <w:p>
      <w:pPr>
        <w:pStyle w:val="BodyText"/>
        <w:spacing w:line="247" w:lineRule="auto" w:before="1"/>
        <w:ind w:left="151" w:right="508" w:firstLine="397"/>
        <w:jc w:val="both"/>
      </w:pPr>
      <w:r>
        <w:rPr/>
        <w:t>Cuando se trate de tomas solicitadas para giros comerciales, industriales o establecimientos ubicados      de forma temporal, en donde se requieran los servicios, deberán contratar los mismos, mediante dictamen que emita la Dirección General de Agua Potable y Saneamiento del</w:t>
      </w:r>
      <w:r>
        <w:rPr>
          <w:spacing w:val="15"/>
        </w:rPr>
        <w:t> </w:t>
      </w:r>
      <w:r>
        <w:rPr/>
        <w:t>IMHAB.</w:t>
      </w:r>
    </w:p>
    <w:p>
      <w:pPr>
        <w:pStyle w:val="BodyText"/>
        <w:spacing w:before="3"/>
      </w:pPr>
    </w:p>
    <w:p>
      <w:pPr>
        <w:pStyle w:val="ListParagraph"/>
        <w:numPr>
          <w:ilvl w:val="0"/>
          <w:numId w:val="125"/>
        </w:numPr>
        <w:tabs>
          <w:tab w:pos="854" w:val="left" w:leader="none"/>
        </w:tabs>
        <w:spacing w:line="247" w:lineRule="auto" w:before="0" w:after="0"/>
        <w:ind w:left="151" w:right="509" w:firstLine="397"/>
        <w:jc w:val="both"/>
        <w:rPr>
          <w:sz w:val="15"/>
        </w:rPr>
      </w:pPr>
      <w:r>
        <w:rPr>
          <w:sz w:val="15"/>
        </w:rPr>
        <w:t>En el caso de que el usuario disponga únicamente del servicio de  agua  potable  del  Municipio, pagará el 70% de la cuota aplicable por servicio de Agua Potable y</w:t>
      </w:r>
      <w:r>
        <w:rPr>
          <w:spacing w:val="15"/>
          <w:sz w:val="15"/>
        </w:rPr>
        <w:t> </w:t>
      </w:r>
      <w:r>
        <w:rPr>
          <w:sz w:val="15"/>
        </w:rPr>
        <w:t>Alcantarillado.</w:t>
      </w:r>
    </w:p>
    <w:p>
      <w:pPr>
        <w:pStyle w:val="BodyText"/>
        <w:spacing w:before="3"/>
      </w:pPr>
    </w:p>
    <w:p>
      <w:pPr>
        <w:pStyle w:val="BodyText"/>
        <w:spacing w:line="247" w:lineRule="auto"/>
        <w:ind w:left="151" w:right="509" w:firstLine="397"/>
        <w:jc w:val="both"/>
      </w:pPr>
      <w:r>
        <w:rPr/>
        <w:t>El usuario que disponga únicamente del servicio de drenaje y alcantarillado del Municipio pagará el 30%  de las cuotas por el servicio de Agua Potable y</w:t>
      </w:r>
      <w:r>
        <w:rPr>
          <w:spacing w:val="-1"/>
        </w:rPr>
        <w:t> </w:t>
      </w:r>
      <w:r>
        <w:rPr/>
        <w:t>Alcantarillado.</w:t>
      </w:r>
    </w:p>
    <w:p>
      <w:pPr>
        <w:pStyle w:val="BodyText"/>
        <w:spacing w:before="4"/>
      </w:pPr>
    </w:p>
    <w:p>
      <w:pPr>
        <w:pStyle w:val="ListParagraph"/>
        <w:numPr>
          <w:ilvl w:val="0"/>
          <w:numId w:val="125"/>
        </w:numPr>
        <w:tabs>
          <w:tab w:pos="900" w:val="left" w:leader="none"/>
        </w:tabs>
        <w:spacing w:line="247" w:lineRule="auto" w:before="0" w:after="0"/>
        <w:ind w:left="151" w:right="509" w:firstLine="397"/>
        <w:jc w:val="both"/>
        <w:rPr>
          <w:sz w:val="15"/>
        </w:rPr>
      </w:pPr>
      <w:r>
        <w:rPr>
          <w:sz w:val="15"/>
        </w:rPr>
        <w:t>La Autoridad Municipal respectiva no otorgará permisos para nuevas construcciones o para la reconstrucciones de inmuebles sin que previamente hubiese acreditado el interesado que, en su caso, es  factible dotar de los servicios que presta el Municipio a dicho inmueble mediante la factibilidad respectiva y la constancia de no adeudo con que acredite que éste se encuentra al corriente en el pago de los derechos correspondientes,</w:t>
      </w:r>
      <w:r>
        <w:rPr>
          <w:spacing w:val="22"/>
          <w:sz w:val="15"/>
        </w:rPr>
        <w:t> </w:t>
      </w:r>
      <w:r>
        <w:rPr>
          <w:sz w:val="15"/>
        </w:rPr>
        <w:t>esto</w:t>
      </w:r>
      <w:r>
        <w:rPr>
          <w:spacing w:val="21"/>
          <w:sz w:val="15"/>
        </w:rPr>
        <w:t> </w:t>
      </w:r>
      <w:r>
        <w:rPr>
          <w:sz w:val="15"/>
        </w:rPr>
        <w:t>con</w:t>
      </w:r>
      <w:r>
        <w:rPr>
          <w:spacing w:val="22"/>
          <w:sz w:val="15"/>
        </w:rPr>
        <w:t> </w:t>
      </w:r>
      <w:r>
        <w:rPr>
          <w:sz w:val="15"/>
        </w:rPr>
        <w:t>la</w:t>
      </w:r>
      <w:r>
        <w:rPr>
          <w:spacing w:val="21"/>
          <w:sz w:val="15"/>
        </w:rPr>
        <w:t> </w:t>
      </w:r>
      <w:r>
        <w:rPr>
          <w:sz w:val="15"/>
        </w:rPr>
        <w:t>finalidad</w:t>
      </w:r>
      <w:r>
        <w:rPr>
          <w:spacing w:val="22"/>
          <w:sz w:val="15"/>
        </w:rPr>
        <w:t> </w:t>
      </w:r>
      <w:r>
        <w:rPr>
          <w:sz w:val="15"/>
        </w:rPr>
        <w:t>de</w:t>
      </w:r>
      <w:r>
        <w:rPr>
          <w:spacing w:val="22"/>
          <w:sz w:val="15"/>
        </w:rPr>
        <w:t> </w:t>
      </w:r>
      <w:r>
        <w:rPr>
          <w:sz w:val="15"/>
        </w:rPr>
        <w:t>garantizar</w:t>
      </w:r>
      <w:r>
        <w:rPr>
          <w:spacing w:val="22"/>
          <w:sz w:val="15"/>
        </w:rPr>
        <w:t> </w:t>
      </w:r>
      <w:r>
        <w:rPr>
          <w:sz w:val="15"/>
        </w:rPr>
        <w:t>la</w:t>
      </w:r>
      <w:r>
        <w:rPr>
          <w:spacing w:val="21"/>
          <w:sz w:val="15"/>
        </w:rPr>
        <w:t> </w:t>
      </w:r>
      <w:r>
        <w:rPr>
          <w:sz w:val="15"/>
        </w:rPr>
        <w:t>prestación</w:t>
      </w:r>
      <w:r>
        <w:rPr>
          <w:spacing w:val="22"/>
          <w:sz w:val="15"/>
        </w:rPr>
        <w:t> </w:t>
      </w:r>
      <w:r>
        <w:rPr>
          <w:sz w:val="15"/>
        </w:rPr>
        <w:t>de</w:t>
      </w:r>
      <w:r>
        <w:rPr>
          <w:spacing w:val="21"/>
          <w:sz w:val="15"/>
        </w:rPr>
        <w:t> </w:t>
      </w:r>
      <w:r>
        <w:rPr>
          <w:sz w:val="15"/>
        </w:rPr>
        <w:t>los</w:t>
      </w:r>
      <w:r>
        <w:rPr>
          <w:spacing w:val="22"/>
          <w:sz w:val="15"/>
        </w:rPr>
        <w:t> </w:t>
      </w:r>
      <w:r>
        <w:rPr>
          <w:sz w:val="15"/>
        </w:rPr>
        <w:t>servicios</w:t>
      </w:r>
      <w:r>
        <w:rPr>
          <w:spacing w:val="21"/>
          <w:sz w:val="15"/>
        </w:rPr>
        <w:t> </w:t>
      </w:r>
      <w:r>
        <w:rPr>
          <w:sz w:val="15"/>
        </w:rPr>
        <w:t>y</w:t>
      </w:r>
      <w:r>
        <w:rPr>
          <w:spacing w:val="21"/>
          <w:sz w:val="15"/>
        </w:rPr>
        <w:t> </w:t>
      </w:r>
      <w:r>
        <w:rPr>
          <w:sz w:val="15"/>
        </w:rPr>
        <w:t>la</w:t>
      </w:r>
      <w:r>
        <w:rPr>
          <w:spacing w:val="22"/>
          <w:sz w:val="15"/>
        </w:rPr>
        <w:t> </w:t>
      </w:r>
      <w:r>
        <w:rPr>
          <w:sz w:val="15"/>
        </w:rPr>
        <w:t>certeza</w:t>
      </w:r>
      <w:r>
        <w:rPr>
          <w:spacing w:val="22"/>
          <w:sz w:val="15"/>
        </w:rPr>
        <w:t> </w:t>
      </w:r>
      <w:r>
        <w:rPr>
          <w:sz w:val="15"/>
        </w:rPr>
        <w:t>del</w:t>
      </w:r>
      <w:r>
        <w:rPr>
          <w:spacing w:val="22"/>
          <w:sz w:val="15"/>
        </w:rPr>
        <w:t> </w:t>
      </w:r>
      <w:r>
        <w:rPr>
          <w:sz w:val="15"/>
        </w:rPr>
        <w:t>adecuado</w:t>
      </w:r>
    </w:p>
    <w:p>
      <w:pPr>
        <w:spacing w:after="0" w:line="247" w:lineRule="auto"/>
        <w:jc w:val="both"/>
        <w:rPr>
          <w:sz w:val="15"/>
        </w:rPr>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spacing w:before="7"/>
        <w:rPr>
          <w:sz w:val="29"/>
        </w:rPr>
      </w:pPr>
    </w:p>
    <w:p>
      <w:pPr>
        <w:spacing w:after="0"/>
        <w:rPr>
          <w:sz w:val="29"/>
        </w:rPr>
        <w:sectPr>
          <w:headerReference w:type="default" r:id="rId88"/>
          <w:pgSz w:w="23250" w:h="15310" w:orient="landscape"/>
          <w:pgMar w:header="881" w:footer="499" w:top="1920" w:bottom="680" w:left="1880" w:right="1520"/>
        </w:sectPr>
      </w:pPr>
    </w:p>
    <w:p>
      <w:pPr>
        <w:pStyle w:val="BodyText"/>
        <w:spacing w:line="247" w:lineRule="auto" w:before="99"/>
        <w:ind w:left="151" w:right="114"/>
      </w:pPr>
      <w:r>
        <w:rPr/>
        <w:t>abastecimiento; lo anterior de conformidad a lo  establecido  en  el Código Urbano del Estado de Jalisco y  demás ordenamientos</w:t>
      </w:r>
      <w:r>
        <w:rPr>
          <w:spacing w:val="2"/>
        </w:rPr>
        <w:t> </w:t>
      </w:r>
      <w:r>
        <w:rPr/>
        <w:t>aplicables.</w:t>
      </w:r>
    </w:p>
    <w:p>
      <w:pPr>
        <w:pStyle w:val="BodyText"/>
        <w:spacing w:before="3"/>
      </w:pPr>
    </w:p>
    <w:p>
      <w:pPr>
        <w:pStyle w:val="ListParagraph"/>
        <w:numPr>
          <w:ilvl w:val="0"/>
          <w:numId w:val="125"/>
        </w:numPr>
        <w:tabs>
          <w:tab w:pos="809" w:val="left" w:leader="none"/>
        </w:tabs>
        <w:spacing w:line="247" w:lineRule="auto" w:before="0" w:after="0"/>
        <w:ind w:left="151" w:right="40" w:firstLine="397"/>
        <w:jc w:val="both"/>
        <w:rPr>
          <w:sz w:val="15"/>
        </w:rPr>
      </w:pPr>
      <w:r>
        <w:rPr>
          <w:sz w:val="15"/>
        </w:rPr>
        <w:t>La transmisión de los lotes del urbanizador al usuario de los servicios, ampara  la  disponibilidad técnica del servicio para casa habitación unifamiliar, a menos que se haya especificado con el organismo operador municipal encargado de su prestación, de otra manera, por lo que en caso de edificio de departamentos, condominios y unidades de tipo comercial o industrial, deberá ser contratado el servicio conforme la demanda requerida en metros cúbicos por día, sobre la base del costo de $4,702.00 pesos por metro cúbico por día, además del costo de instalaciones complementarias a que hubiera lugar en el momento   de la contratación de su regularización al ser</w:t>
      </w:r>
      <w:r>
        <w:rPr>
          <w:spacing w:val="13"/>
          <w:sz w:val="15"/>
        </w:rPr>
        <w:t> </w:t>
      </w:r>
      <w:r>
        <w:rPr>
          <w:sz w:val="15"/>
        </w:rPr>
        <w:t>detectado;</w:t>
      </w:r>
    </w:p>
    <w:p>
      <w:pPr>
        <w:pStyle w:val="BodyText"/>
      </w:pPr>
    </w:p>
    <w:p>
      <w:pPr>
        <w:pStyle w:val="ListParagraph"/>
        <w:numPr>
          <w:ilvl w:val="0"/>
          <w:numId w:val="125"/>
        </w:numPr>
        <w:tabs>
          <w:tab w:pos="746" w:val="left" w:leader="none"/>
        </w:tabs>
        <w:spacing w:line="247" w:lineRule="auto" w:before="1" w:after="0"/>
        <w:ind w:left="151" w:right="38" w:firstLine="397"/>
        <w:jc w:val="both"/>
        <w:rPr>
          <w:sz w:val="15"/>
        </w:rPr>
      </w:pPr>
      <w:r>
        <w:rPr>
          <w:spacing w:val="-5"/>
          <w:sz w:val="15"/>
        </w:rPr>
        <w:t>Todo  </w:t>
      </w:r>
      <w:r>
        <w:rPr>
          <w:sz w:val="15"/>
        </w:rPr>
        <w:t>urbanizador o constructor deberá equipar el inmueble con el aparato de medición de consumo    de agua potable, de acuerdo a las especificaciones que la Dirección General de Agua Potable y Saneamiento  del IMHAB, mediante la expedición del dictamen de factibilidad del</w:t>
      </w:r>
      <w:r>
        <w:rPr>
          <w:spacing w:val="31"/>
          <w:sz w:val="15"/>
        </w:rPr>
        <w:t> </w:t>
      </w:r>
      <w:r>
        <w:rPr>
          <w:sz w:val="15"/>
        </w:rPr>
        <w:t>servicio.</w:t>
      </w:r>
    </w:p>
    <w:p>
      <w:pPr>
        <w:pStyle w:val="BodyText"/>
        <w:spacing w:before="2"/>
      </w:pPr>
    </w:p>
    <w:p>
      <w:pPr>
        <w:pStyle w:val="ListParagraph"/>
        <w:numPr>
          <w:ilvl w:val="0"/>
          <w:numId w:val="125"/>
        </w:numPr>
        <w:tabs>
          <w:tab w:pos="789" w:val="left" w:leader="none"/>
        </w:tabs>
        <w:spacing w:line="247" w:lineRule="auto" w:before="0" w:after="0"/>
        <w:ind w:left="151" w:right="40" w:firstLine="397"/>
        <w:jc w:val="both"/>
        <w:rPr>
          <w:sz w:val="15"/>
        </w:rPr>
      </w:pPr>
      <w:r>
        <w:rPr>
          <w:sz w:val="15"/>
        </w:rPr>
        <w:t>En los predios sujetos a cuota fija cuando, a través de información proporcionada por el usuario y/o    de las inspecciones domiciliarias; se encuentren características diferentes a las que estén registradas en el padrón,</w:t>
      </w:r>
      <w:r>
        <w:rPr>
          <w:spacing w:val="7"/>
          <w:sz w:val="15"/>
        </w:rPr>
        <w:t> </w:t>
      </w:r>
      <w:r>
        <w:rPr>
          <w:sz w:val="15"/>
        </w:rPr>
        <w:t>el</w:t>
      </w:r>
      <w:r>
        <w:rPr>
          <w:spacing w:val="8"/>
          <w:sz w:val="15"/>
        </w:rPr>
        <w:t> </w:t>
      </w:r>
      <w:r>
        <w:rPr>
          <w:sz w:val="15"/>
        </w:rPr>
        <w:t>usuario</w:t>
      </w:r>
      <w:r>
        <w:rPr>
          <w:spacing w:val="8"/>
          <w:sz w:val="15"/>
        </w:rPr>
        <w:t> </w:t>
      </w:r>
      <w:r>
        <w:rPr>
          <w:sz w:val="15"/>
        </w:rPr>
        <w:t>pagará</w:t>
      </w:r>
      <w:r>
        <w:rPr>
          <w:spacing w:val="8"/>
          <w:sz w:val="15"/>
        </w:rPr>
        <w:t> </w:t>
      </w:r>
      <w:r>
        <w:rPr>
          <w:sz w:val="15"/>
        </w:rPr>
        <w:t>las</w:t>
      </w:r>
      <w:r>
        <w:rPr>
          <w:spacing w:val="8"/>
          <w:sz w:val="15"/>
        </w:rPr>
        <w:t> </w:t>
      </w:r>
      <w:r>
        <w:rPr>
          <w:sz w:val="15"/>
        </w:rPr>
        <w:t>diferencias</w:t>
      </w:r>
      <w:r>
        <w:rPr>
          <w:spacing w:val="7"/>
          <w:sz w:val="15"/>
        </w:rPr>
        <w:t> </w:t>
      </w:r>
      <w:r>
        <w:rPr>
          <w:sz w:val="15"/>
        </w:rPr>
        <w:t>que</w:t>
      </w:r>
      <w:r>
        <w:rPr>
          <w:spacing w:val="8"/>
          <w:sz w:val="15"/>
        </w:rPr>
        <w:t> </w:t>
      </w:r>
      <w:r>
        <w:rPr>
          <w:sz w:val="15"/>
        </w:rPr>
        <w:t>resulten</w:t>
      </w:r>
      <w:r>
        <w:rPr>
          <w:spacing w:val="8"/>
          <w:sz w:val="15"/>
        </w:rPr>
        <w:t> </w:t>
      </w:r>
      <w:r>
        <w:rPr>
          <w:sz w:val="15"/>
        </w:rPr>
        <w:t>además</w:t>
      </w:r>
      <w:r>
        <w:rPr>
          <w:spacing w:val="8"/>
          <w:sz w:val="15"/>
        </w:rPr>
        <w:t> </w:t>
      </w:r>
      <w:r>
        <w:rPr>
          <w:sz w:val="15"/>
        </w:rPr>
        <w:t>de</w:t>
      </w:r>
      <w:r>
        <w:rPr>
          <w:spacing w:val="8"/>
          <w:sz w:val="15"/>
        </w:rPr>
        <w:t> </w:t>
      </w:r>
      <w:r>
        <w:rPr>
          <w:sz w:val="15"/>
        </w:rPr>
        <w:t>pagar</w:t>
      </w:r>
      <w:r>
        <w:rPr>
          <w:spacing w:val="8"/>
          <w:sz w:val="15"/>
        </w:rPr>
        <w:t> </w:t>
      </w:r>
      <w:r>
        <w:rPr>
          <w:sz w:val="15"/>
        </w:rPr>
        <w:t>los</w:t>
      </w:r>
      <w:r>
        <w:rPr>
          <w:spacing w:val="7"/>
          <w:sz w:val="15"/>
        </w:rPr>
        <w:t> </w:t>
      </w:r>
      <w:r>
        <w:rPr>
          <w:sz w:val="15"/>
        </w:rPr>
        <w:t>accesorios</w:t>
      </w:r>
      <w:r>
        <w:rPr>
          <w:spacing w:val="8"/>
          <w:sz w:val="15"/>
        </w:rPr>
        <w:t> </w:t>
      </w:r>
      <w:r>
        <w:rPr>
          <w:sz w:val="15"/>
        </w:rPr>
        <w:t>correspondientes;</w:t>
      </w:r>
    </w:p>
    <w:p>
      <w:pPr>
        <w:pStyle w:val="BodyText"/>
        <w:spacing w:before="3"/>
      </w:pPr>
    </w:p>
    <w:p>
      <w:pPr>
        <w:pStyle w:val="ListParagraph"/>
        <w:numPr>
          <w:ilvl w:val="0"/>
          <w:numId w:val="125"/>
        </w:numPr>
        <w:tabs>
          <w:tab w:pos="843" w:val="left" w:leader="none"/>
        </w:tabs>
        <w:spacing w:line="247" w:lineRule="auto" w:before="0" w:after="0"/>
        <w:ind w:left="151" w:right="38" w:firstLine="397"/>
        <w:jc w:val="both"/>
        <w:rPr>
          <w:sz w:val="15"/>
        </w:rPr>
      </w:pPr>
      <w:r>
        <w:rPr>
          <w:sz w:val="15"/>
        </w:rPr>
        <w:t>Tratándose de predios a los que se les proporcione servicio a cuota fija y el usuario no esté de  acuerdo con los datos que arroje la verificación efectuada por el Municipio y sea posible técnicamente la instalación</w:t>
      </w:r>
      <w:r>
        <w:rPr>
          <w:spacing w:val="5"/>
          <w:sz w:val="15"/>
        </w:rPr>
        <w:t> </w:t>
      </w:r>
      <w:r>
        <w:rPr>
          <w:sz w:val="15"/>
        </w:rPr>
        <w:t>de</w:t>
      </w:r>
      <w:r>
        <w:rPr>
          <w:spacing w:val="6"/>
          <w:sz w:val="15"/>
        </w:rPr>
        <w:t> </w:t>
      </w:r>
      <w:r>
        <w:rPr>
          <w:sz w:val="15"/>
        </w:rPr>
        <w:t>medidores,</w:t>
      </w:r>
      <w:r>
        <w:rPr>
          <w:spacing w:val="6"/>
          <w:sz w:val="15"/>
        </w:rPr>
        <w:t> </w:t>
      </w:r>
      <w:r>
        <w:rPr>
          <w:sz w:val="15"/>
        </w:rPr>
        <w:t>los</w:t>
      </w:r>
      <w:r>
        <w:rPr>
          <w:spacing w:val="6"/>
          <w:sz w:val="15"/>
        </w:rPr>
        <w:t> </w:t>
      </w:r>
      <w:r>
        <w:rPr>
          <w:sz w:val="15"/>
        </w:rPr>
        <w:t>contribuyentes</w:t>
      </w:r>
      <w:r>
        <w:rPr>
          <w:spacing w:val="6"/>
          <w:sz w:val="15"/>
        </w:rPr>
        <w:t> </w:t>
      </w:r>
      <w:r>
        <w:rPr>
          <w:sz w:val="15"/>
        </w:rPr>
        <w:t>podrán</w:t>
      </w:r>
      <w:r>
        <w:rPr>
          <w:spacing w:val="6"/>
          <w:sz w:val="15"/>
        </w:rPr>
        <w:t> </w:t>
      </w:r>
      <w:r>
        <w:rPr>
          <w:sz w:val="15"/>
        </w:rPr>
        <w:t>solicitar</w:t>
      </w:r>
      <w:r>
        <w:rPr>
          <w:spacing w:val="6"/>
          <w:sz w:val="15"/>
        </w:rPr>
        <w:t> </w:t>
      </w:r>
      <w:r>
        <w:rPr>
          <w:sz w:val="15"/>
        </w:rPr>
        <w:t>la</w:t>
      </w:r>
      <w:r>
        <w:rPr>
          <w:spacing w:val="6"/>
          <w:sz w:val="15"/>
        </w:rPr>
        <w:t> </w:t>
      </w:r>
      <w:r>
        <w:rPr>
          <w:sz w:val="15"/>
        </w:rPr>
        <w:t>instalación</w:t>
      </w:r>
      <w:r>
        <w:rPr>
          <w:spacing w:val="5"/>
          <w:sz w:val="15"/>
        </w:rPr>
        <w:t> </w:t>
      </w:r>
      <w:r>
        <w:rPr>
          <w:sz w:val="15"/>
        </w:rPr>
        <w:t>del</w:t>
      </w:r>
      <w:r>
        <w:rPr>
          <w:spacing w:val="6"/>
          <w:sz w:val="15"/>
        </w:rPr>
        <w:t> </w:t>
      </w:r>
      <w:r>
        <w:rPr>
          <w:sz w:val="15"/>
        </w:rPr>
        <w:t>medidor</w:t>
      </w:r>
      <w:r>
        <w:rPr>
          <w:spacing w:val="6"/>
          <w:sz w:val="15"/>
        </w:rPr>
        <w:t> </w:t>
      </w:r>
      <w:r>
        <w:rPr>
          <w:sz w:val="15"/>
        </w:rPr>
        <w:t>bajo</w:t>
      </w:r>
      <w:r>
        <w:rPr>
          <w:spacing w:val="6"/>
          <w:sz w:val="15"/>
        </w:rPr>
        <w:t> </w:t>
      </w:r>
      <w:r>
        <w:rPr>
          <w:sz w:val="15"/>
        </w:rPr>
        <w:t>su</w:t>
      </w:r>
      <w:r>
        <w:rPr>
          <w:spacing w:val="6"/>
          <w:sz w:val="15"/>
        </w:rPr>
        <w:t> </w:t>
      </w:r>
      <w:r>
        <w:rPr>
          <w:sz w:val="15"/>
        </w:rPr>
        <w:t>costo;</w:t>
      </w:r>
    </w:p>
    <w:p>
      <w:pPr>
        <w:pStyle w:val="BodyText"/>
        <w:spacing w:before="3"/>
      </w:pPr>
    </w:p>
    <w:p>
      <w:pPr>
        <w:pStyle w:val="ListParagraph"/>
        <w:numPr>
          <w:ilvl w:val="0"/>
          <w:numId w:val="125"/>
        </w:numPr>
        <w:tabs>
          <w:tab w:pos="878" w:val="left" w:leader="none"/>
        </w:tabs>
        <w:spacing w:line="244" w:lineRule="auto" w:before="0" w:after="0"/>
        <w:ind w:left="151" w:right="39" w:firstLine="397"/>
        <w:jc w:val="both"/>
        <w:rPr>
          <w:sz w:val="15"/>
        </w:rPr>
      </w:pPr>
      <w:r>
        <w:rPr>
          <w:sz w:val="15"/>
        </w:rPr>
        <w:t>Los propietarios de todo predio de uso no industrial por cuyo frente o cualquier colindancia pasen redes únicamente de drenaje, y hagan uso del servicio, cubrirán el 30% de la cuota que le resulte aplicable      por las anteriores</w:t>
      </w:r>
      <w:r>
        <w:rPr>
          <w:spacing w:val="3"/>
          <w:sz w:val="15"/>
        </w:rPr>
        <w:t> </w:t>
      </w:r>
      <w:r>
        <w:rPr>
          <w:sz w:val="15"/>
        </w:rPr>
        <w:t>tarifas;</w:t>
      </w:r>
    </w:p>
    <w:p>
      <w:pPr>
        <w:pStyle w:val="BodyText"/>
        <w:spacing w:before="8"/>
      </w:pPr>
    </w:p>
    <w:p>
      <w:pPr>
        <w:pStyle w:val="ListParagraph"/>
        <w:numPr>
          <w:ilvl w:val="0"/>
          <w:numId w:val="125"/>
        </w:numPr>
        <w:tabs>
          <w:tab w:pos="888" w:val="left" w:leader="none"/>
        </w:tabs>
        <w:spacing w:line="247" w:lineRule="auto" w:before="0" w:after="0"/>
        <w:ind w:left="151" w:right="39" w:firstLine="397"/>
        <w:jc w:val="both"/>
        <w:rPr>
          <w:sz w:val="15"/>
        </w:rPr>
      </w:pPr>
      <w:r>
        <w:rPr>
          <w:sz w:val="15"/>
        </w:rPr>
        <w:t>Cuando un predio en una urbanización u otra área urbanizada demande agua potable en mayor cantidad de la concedida o establecida para uso habitacional unifamiliar, se deberá cubrir el excedente que se genere a razón de $4,702.00 pesos por metro cúbico por día, además del costo de las instalaciones complementarias a que hubiere lugar, independientemente de haber cubierto en su oportunidad lo señalado      en lo contenido en sus párrafos e incisos de la fracción </w:t>
      </w:r>
      <w:r>
        <w:rPr>
          <w:spacing w:val="-8"/>
          <w:sz w:val="15"/>
        </w:rPr>
        <w:t>V, </w:t>
      </w:r>
      <w:r>
        <w:rPr>
          <w:sz w:val="15"/>
        </w:rPr>
        <w:t>del artículo 104 de esta</w:t>
      </w:r>
      <w:r>
        <w:rPr>
          <w:spacing w:val="28"/>
          <w:sz w:val="15"/>
        </w:rPr>
        <w:t> </w:t>
      </w:r>
      <w:r>
        <w:rPr>
          <w:sz w:val="15"/>
        </w:rPr>
        <w:t>ley;</w:t>
      </w:r>
    </w:p>
    <w:p>
      <w:pPr>
        <w:pStyle w:val="BodyText"/>
        <w:spacing w:before="2"/>
      </w:pPr>
    </w:p>
    <w:p>
      <w:pPr>
        <w:pStyle w:val="ListParagraph"/>
        <w:numPr>
          <w:ilvl w:val="0"/>
          <w:numId w:val="125"/>
        </w:numPr>
        <w:tabs>
          <w:tab w:pos="831" w:val="left" w:leader="none"/>
        </w:tabs>
        <w:spacing w:line="247" w:lineRule="auto" w:before="0" w:after="0"/>
        <w:ind w:left="151" w:right="40" w:firstLine="397"/>
        <w:jc w:val="both"/>
        <w:rPr>
          <w:sz w:val="15"/>
        </w:rPr>
      </w:pPr>
      <w:r>
        <w:rPr>
          <w:sz w:val="15"/>
        </w:rPr>
        <w:t>Los notarios no autorizarán escrituras sin comprobar que el pago de los servicios establecidos en la presente sección se encuentren al corriente en el momento de la</w:t>
      </w:r>
      <w:r>
        <w:rPr>
          <w:spacing w:val="29"/>
          <w:sz w:val="15"/>
        </w:rPr>
        <w:t> </w:t>
      </w:r>
      <w:r>
        <w:rPr>
          <w:sz w:val="15"/>
        </w:rPr>
        <w:t>operación;</w:t>
      </w:r>
    </w:p>
    <w:p>
      <w:pPr>
        <w:pStyle w:val="BodyText"/>
        <w:spacing w:before="3"/>
      </w:pPr>
    </w:p>
    <w:p>
      <w:pPr>
        <w:pStyle w:val="ListParagraph"/>
        <w:numPr>
          <w:ilvl w:val="0"/>
          <w:numId w:val="125"/>
        </w:numPr>
        <w:tabs>
          <w:tab w:pos="915" w:val="left" w:leader="none"/>
        </w:tabs>
        <w:spacing w:line="247" w:lineRule="auto" w:before="0" w:after="0"/>
        <w:ind w:left="151" w:right="40" w:firstLine="397"/>
        <w:jc w:val="both"/>
        <w:rPr>
          <w:sz w:val="15"/>
        </w:rPr>
      </w:pPr>
      <w:r>
        <w:rPr>
          <w:sz w:val="15"/>
        </w:rPr>
        <w:t>Cuando el usuario sea una institución considerada de asistencia social, tendrá derecho a una bonificación de 50% sobre su consumo mensual, siempre y cuando no rebase los 100 metros cúbicos de consumo. Para lo cual, la persona física o moral deberá presentar solicitud escrita ante la Tesorería Municipal, Constancia emitida por la Subsecretaría para el Desarrollo y Vinculación con Organizaciones de la Sociedad Civil, donde se desprende la naturaleza de sus actividades, y acreditar el interés jurídico sobre la cuenta de  agua respecto de la cual solicita el</w:t>
      </w:r>
      <w:r>
        <w:rPr>
          <w:spacing w:val="10"/>
          <w:sz w:val="15"/>
        </w:rPr>
        <w:t> </w:t>
      </w:r>
      <w:r>
        <w:rPr>
          <w:sz w:val="15"/>
        </w:rPr>
        <w:t>beneficio.</w:t>
      </w:r>
    </w:p>
    <w:p>
      <w:pPr>
        <w:pStyle w:val="BodyText"/>
        <w:spacing w:before="1"/>
      </w:pPr>
    </w:p>
    <w:p>
      <w:pPr>
        <w:pStyle w:val="ListParagraph"/>
        <w:numPr>
          <w:ilvl w:val="0"/>
          <w:numId w:val="125"/>
        </w:numPr>
        <w:tabs>
          <w:tab w:pos="934" w:val="left" w:leader="none"/>
        </w:tabs>
        <w:spacing w:line="247" w:lineRule="auto" w:before="0" w:after="0"/>
        <w:ind w:left="151" w:right="39" w:firstLine="397"/>
        <w:jc w:val="both"/>
        <w:rPr>
          <w:sz w:val="15"/>
        </w:rPr>
      </w:pPr>
      <w:r>
        <w:rPr>
          <w:sz w:val="15"/>
        </w:rPr>
        <w:t>Los servicios que la Dirección General de Agua Potable y Saneamiento del IMHAB, encargada de    la prestación proporciona, sean domésticos o no domésticos, se vigilará por parte de  ésta  para  que  se  adopten las medidas de racionalización, obligándose a los propietarios o usuarios a cumplir con las  disposiciones conducentes para un mejor uso del</w:t>
      </w:r>
      <w:r>
        <w:rPr>
          <w:spacing w:val="13"/>
          <w:sz w:val="15"/>
        </w:rPr>
        <w:t> </w:t>
      </w:r>
      <w:r>
        <w:rPr>
          <w:sz w:val="15"/>
        </w:rPr>
        <w:t>líquido;</w:t>
      </w:r>
    </w:p>
    <w:p>
      <w:pPr>
        <w:pStyle w:val="BodyText"/>
        <w:spacing w:before="2"/>
      </w:pPr>
    </w:p>
    <w:p>
      <w:pPr>
        <w:pStyle w:val="ListParagraph"/>
        <w:numPr>
          <w:ilvl w:val="0"/>
          <w:numId w:val="125"/>
        </w:numPr>
        <w:tabs>
          <w:tab w:pos="1013" w:val="left" w:leader="none"/>
        </w:tabs>
        <w:spacing w:line="247" w:lineRule="auto" w:before="0" w:after="0"/>
        <w:ind w:left="151" w:right="39" w:firstLine="397"/>
        <w:jc w:val="both"/>
        <w:rPr>
          <w:sz w:val="15"/>
        </w:rPr>
      </w:pPr>
      <w:r>
        <w:rPr>
          <w:sz w:val="15"/>
        </w:rPr>
        <w:t>Quienes se beneficien directa o indirectamente con los servicios de agua y/o  alcantarillado  pagarán, adicionalmente, un 20% sobre los derechos que correspondan, cuyo producto será destinado a la construcción, operación y mantenimiento de colectores, plantas de tratamiento de aguas residuales y/o potabilizadoras, rehabilitación y mantenimiento de pozos, o para el pago de los derechos a que se refiere el artículo </w:t>
      </w:r>
      <w:r>
        <w:rPr>
          <w:spacing w:val="-4"/>
          <w:sz w:val="15"/>
        </w:rPr>
        <w:t>112 </w:t>
      </w:r>
      <w:r>
        <w:rPr>
          <w:sz w:val="15"/>
        </w:rPr>
        <w:t>que establece la Ley de Aguas</w:t>
      </w:r>
      <w:r>
        <w:rPr>
          <w:spacing w:val="8"/>
          <w:sz w:val="15"/>
        </w:rPr>
        <w:t> </w:t>
      </w:r>
      <w:r>
        <w:rPr>
          <w:sz w:val="15"/>
        </w:rPr>
        <w:t>Nacionales;</w:t>
      </w:r>
    </w:p>
    <w:p>
      <w:pPr>
        <w:pStyle w:val="BodyText"/>
        <w:spacing w:before="2"/>
      </w:pPr>
    </w:p>
    <w:p>
      <w:pPr>
        <w:pStyle w:val="BodyText"/>
        <w:spacing w:line="247" w:lineRule="auto"/>
        <w:ind w:left="151" w:right="114" w:firstLine="397"/>
      </w:pPr>
      <w:r>
        <w:rPr/>
        <w:t>Para el control y registro diferenciado de este derecho, el Tesorero Municipal debe de abrir una cuenta productiva de cheques, en el banco de su elección. La cuenta bancaria será exclusiva para el manejo de estos</w:t>
      </w:r>
    </w:p>
    <w:p>
      <w:pPr>
        <w:pStyle w:val="BodyText"/>
        <w:spacing w:before="98"/>
        <w:ind w:left="151"/>
      </w:pPr>
      <w:r>
        <w:rPr/>
        <w:br w:type="column"/>
      </w:r>
      <w:r>
        <w:rPr/>
        <w:t>ingresos y los rendimientos financieros que se produzcan;</w:t>
      </w:r>
    </w:p>
    <w:p>
      <w:pPr>
        <w:pStyle w:val="BodyText"/>
        <w:spacing w:before="9"/>
      </w:pPr>
    </w:p>
    <w:p>
      <w:pPr>
        <w:pStyle w:val="ListParagraph"/>
        <w:numPr>
          <w:ilvl w:val="0"/>
          <w:numId w:val="125"/>
        </w:numPr>
        <w:tabs>
          <w:tab w:pos="911" w:val="left" w:leader="none"/>
        </w:tabs>
        <w:spacing w:line="247" w:lineRule="auto" w:before="1" w:after="0"/>
        <w:ind w:left="151" w:right="509" w:firstLine="397"/>
        <w:jc w:val="both"/>
        <w:rPr>
          <w:sz w:val="15"/>
        </w:rPr>
      </w:pPr>
      <w:r>
        <w:rPr>
          <w:sz w:val="15"/>
        </w:rPr>
        <w:t>Quienes se beneficien con los servicios directa o indirectamente de agua y/o drenaje, pagarán adicionalmente el 3% de las cuotas mencionadas en la presente sección, cuyo producto de dicho servicio,      será destinado a infraestructura</w:t>
      </w:r>
      <w:r>
        <w:rPr>
          <w:spacing w:val="6"/>
          <w:sz w:val="15"/>
        </w:rPr>
        <w:t> </w:t>
      </w:r>
      <w:r>
        <w:rPr>
          <w:sz w:val="15"/>
        </w:rPr>
        <w:t>hidráulica.</w:t>
      </w:r>
    </w:p>
    <w:p>
      <w:pPr>
        <w:pStyle w:val="BodyText"/>
        <w:spacing w:before="2"/>
      </w:pPr>
    </w:p>
    <w:p>
      <w:pPr>
        <w:pStyle w:val="BodyText"/>
        <w:spacing w:line="247" w:lineRule="auto"/>
        <w:ind w:left="151" w:right="509" w:firstLine="397"/>
        <w:jc w:val="both"/>
      </w:pPr>
      <w:r>
        <w:rPr/>
        <w:t>Para el control y registro diferenciado de este derecho, el Ayuntamiento debe de abrir una cuenta productiva de cheques, en el banco de su elección. La cuenta bancaria será exclusiva para el manejo de estos ingresos y los rendimientos financieros que se</w:t>
      </w:r>
      <w:r>
        <w:rPr>
          <w:spacing w:val="12"/>
        </w:rPr>
        <w:t> </w:t>
      </w:r>
      <w:r>
        <w:rPr/>
        <w:t>produzcan;</w:t>
      </w:r>
    </w:p>
    <w:p>
      <w:pPr>
        <w:pStyle w:val="BodyText"/>
        <w:spacing w:before="3"/>
      </w:pPr>
    </w:p>
    <w:p>
      <w:pPr>
        <w:pStyle w:val="ListParagraph"/>
        <w:numPr>
          <w:ilvl w:val="0"/>
          <w:numId w:val="125"/>
        </w:numPr>
        <w:tabs>
          <w:tab w:pos="861" w:val="left" w:leader="none"/>
        </w:tabs>
        <w:spacing w:line="247" w:lineRule="auto" w:before="0" w:after="0"/>
        <w:ind w:left="151" w:right="510" w:firstLine="397"/>
        <w:jc w:val="both"/>
        <w:rPr>
          <w:sz w:val="15"/>
        </w:rPr>
      </w:pPr>
      <w:r>
        <w:rPr>
          <w:sz w:val="15"/>
        </w:rPr>
        <w:t>A los contribuyentes de los derechos establecidos en los artículos 104 y 106, así como en las fracciones VII, XVIII y XIX de este artículo, que efectúen el pago correspondiente al año 2020, en una sola exhibición se les concederán los siguientes</w:t>
      </w:r>
      <w:r>
        <w:rPr>
          <w:spacing w:val="11"/>
          <w:sz w:val="15"/>
        </w:rPr>
        <w:t> </w:t>
      </w:r>
      <w:r>
        <w:rPr>
          <w:sz w:val="15"/>
        </w:rPr>
        <w:t>descuentos:</w:t>
      </w:r>
    </w:p>
    <w:p>
      <w:pPr>
        <w:pStyle w:val="BodyText"/>
        <w:spacing w:before="2"/>
      </w:pPr>
    </w:p>
    <w:p>
      <w:pPr>
        <w:pStyle w:val="ListParagraph"/>
        <w:numPr>
          <w:ilvl w:val="0"/>
          <w:numId w:val="126"/>
        </w:numPr>
        <w:tabs>
          <w:tab w:pos="776" w:val="left" w:leader="none"/>
        </w:tabs>
        <w:spacing w:line="240" w:lineRule="auto" w:before="1" w:after="0"/>
        <w:ind w:left="775" w:right="0" w:hanging="229"/>
        <w:jc w:val="left"/>
        <w:rPr>
          <w:sz w:val="15"/>
        </w:rPr>
      </w:pPr>
      <w:r>
        <w:rPr>
          <w:sz w:val="15"/>
        </w:rPr>
        <w:t>Si</w:t>
      </w:r>
      <w:r>
        <w:rPr>
          <w:spacing w:val="8"/>
          <w:sz w:val="15"/>
        </w:rPr>
        <w:t> </w:t>
      </w:r>
      <w:r>
        <w:rPr>
          <w:sz w:val="15"/>
        </w:rPr>
        <w:t>efectúan</w:t>
      </w:r>
      <w:r>
        <w:rPr>
          <w:spacing w:val="9"/>
          <w:sz w:val="15"/>
        </w:rPr>
        <w:t> </w:t>
      </w:r>
      <w:r>
        <w:rPr>
          <w:sz w:val="15"/>
        </w:rPr>
        <w:t>el</w:t>
      </w:r>
      <w:r>
        <w:rPr>
          <w:spacing w:val="8"/>
          <w:sz w:val="15"/>
        </w:rPr>
        <w:t> </w:t>
      </w:r>
      <w:r>
        <w:rPr>
          <w:sz w:val="15"/>
        </w:rPr>
        <w:t>pago</w:t>
      </w:r>
      <w:r>
        <w:rPr>
          <w:spacing w:val="9"/>
          <w:sz w:val="15"/>
        </w:rPr>
        <w:t> </w:t>
      </w:r>
      <w:r>
        <w:rPr>
          <w:sz w:val="15"/>
        </w:rPr>
        <w:t>durante</w:t>
      </w:r>
      <w:r>
        <w:rPr>
          <w:spacing w:val="8"/>
          <w:sz w:val="15"/>
        </w:rPr>
        <w:t> </w:t>
      </w:r>
      <w:r>
        <w:rPr>
          <w:sz w:val="15"/>
        </w:rPr>
        <w:t>los</w:t>
      </w:r>
      <w:r>
        <w:rPr>
          <w:spacing w:val="8"/>
          <w:sz w:val="15"/>
        </w:rPr>
        <w:t> </w:t>
      </w:r>
      <w:r>
        <w:rPr>
          <w:sz w:val="15"/>
        </w:rPr>
        <w:t>meses</w:t>
      </w:r>
      <w:r>
        <w:rPr>
          <w:spacing w:val="8"/>
          <w:sz w:val="15"/>
        </w:rPr>
        <w:t> </w:t>
      </w:r>
      <w:r>
        <w:rPr>
          <w:sz w:val="15"/>
        </w:rPr>
        <w:t>de</w:t>
      </w:r>
    </w:p>
    <w:p>
      <w:pPr>
        <w:pStyle w:val="BodyText"/>
        <w:tabs>
          <w:tab w:pos="5422" w:val="left" w:leader="none"/>
        </w:tabs>
        <w:spacing w:before="4"/>
        <w:ind w:left="226"/>
      </w:pPr>
      <w:r>
        <w:rPr/>
        <w:t>Enero y Febrero del año</w:t>
      </w:r>
      <w:r>
        <w:rPr>
          <w:spacing w:val="35"/>
        </w:rPr>
        <w:t> </w:t>
      </w:r>
      <w:r>
        <w:rPr/>
        <w:t>2020,</w:t>
      </w:r>
      <w:r>
        <w:rPr>
          <w:spacing w:val="7"/>
        </w:rPr>
        <w:t> </w:t>
      </w:r>
      <w:r>
        <w:rPr/>
        <w:t>el:</w:t>
        <w:tab/>
        <w:t>15%</w:t>
      </w:r>
    </w:p>
    <w:p>
      <w:pPr>
        <w:pStyle w:val="BodyText"/>
        <w:spacing w:before="10"/>
      </w:pPr>
    </w:p>
    <w:p>
      <w:pPr>
        <w:pStyle w:val="ListParagraph"/>
        <w:numPr>
          <w:ilvl w:val="0"/>
          <w:numId w:val="126"/>
        </w:numPr>
        <w:tabs>
          <w:tab w:pos="745" w:val="left" w:leader="none"/>
        </w:tabs>
        <w:spacing w:line="240" w:lineRule="auto" w:before="0" w:after="0"/>
        <w:ind w:left="744" w:right="0" w:hanging="198"/>
        <w:jc w:val="left"/>
        <w:rPr>
          <w:sz w:val="15"/>
        </w:rPr>
      </w:pPr>
      <w:r>
        <w:rPr>
          <w:sz w:val="15"/>
        </w:rPr>
        <w:t>Si</w:t>
      </w:r>
      <w:r>
        <w:rPr>
          <w:spacing w:val="18"/>
          <w:sz w:val="15"/>
        </w:rPr>
        <w:t> </w:t>
      </w:r>
      <w:r>
        <w:rPr>
          <w:sz w:val="15"/>
        </w:rPr>
        <w:t>efectúan</w:t>
      </w:r>
      <w:r>
        <w:rPr>
          <w:spacing w:val="19"/>
          <w:sz w:val="15"/>
        </w:rPr>
        <w:t> </w:t>
      </w:r>
      <w:r>
        <w:rPr>
          <w:sz w:val="15"/>
        </w:rPr>
        <w:t>el</w:t>
      </w:r>
      <w:r>
        <w:rPr>
          <w:spacing w:val="18"/>
          <w:sz w:val="15"/>
        </w:rPr>
        <w:t> </w:t>
      </w:r>
      <w:r>
        <w:rPr>
          <w:sz w:val="15"/>
        </w:rPr>
        <w:t>pago</w:t>
      </w:r>
      <w:r>
        <w:rPr>
          <w:spacing w:val="18"/>
          <w:sz w:val="15"/>
        </w:rPr>
        <w:t> </w:t>
      </w:r>
      <w:r>
        <w:rPr>
          <w:sz w:val="15"/>
        </w:rPr>
        <w:t>durante</w:t>
      </w:r>
      <w:r>
        <w:rPr>
          <w:spacing w:val="18"/>
          <w:sz w:val="15"/>
        </w:rPr>
        <w:t> </w:t>
      </w:r>
      <w:r>
        <w:rPr>
          <w:sz w:val="15"/>
        </w:rPr>
        <w:t>el</w:t>
      </w:r>
      <w:r>
        <w:rPr>
          <w:spacing w:val="18"/>
          <w:sz w:val="15"/>
        </w:rPr>
        <w:t> </w:t>
      </w:r>
      <w:r>
        <w:rPr>
          <w:sz w:val="15"/>
        </w:rPr>
        <w:t>mes</w:t>
      </w:r>
      <w:r>
        <w:rPr>
          <w:spacing w:val="18"/>
          <w:sz w:val="15"/>
        </w:rPr>
        <w:t> </w:t>
      </w:r>
      <w:r>
        <w:rPr>
          <w:sz w:val="15"/>
        </w:rPr>
        <w:t>de</w:t>
      </w:r>
      <w:r>
        <w:rPr>
          <w:spacing w:val="19"/>
          <w:sz w:val="15"/>
        </w:rPr>
        <w:t> </w:t>
      </w:r>
      <w:r>
        <w:rPr>
          <w:sz w:val="15"/>
        </w:rPr>
        <w:t>Marzo</w:t>
      </w:r>
    </w:p>
    <w:p>
      <w:pPr>
        <w:pStyle w:val="BodyText"/>
        <w:tabs>
          <w:tab w:pos="5423" w:val="left" w:leader="none"/>
        </w:tabs>
        <w:spacing w:before="5"/>
        <w:ind w:left="226"/>
      </w:pPr>
      <w:r>
        <w:rPr/>
        <w:t>del año</w:t>
      </w:r>
      <w:r>
        <w:rPr>
          <w:spacing w:val="11"/>
        </w:rPr>
        <w:t> </w:t>
      </w:r>
      <w:r>
        <w:rPr/>
        <w:t>2020,</w:t>
      </w:r>
      <w:r>
        <w:rPr>
          <w:spacing w:val="5"/>
        </w:rPr>
        <w:t> </w:t>
      </w:r>
      <w:r>
        <w:rPr/>
        <w:t>el:</w:t>
        <w:tab/>
        <w:t>10%</w:t>
      </w:r>
    </w:p>
    <w:p>
      <w:pPr>
        <w:pStyle w:val="BodyText"/>
        <w:spacing w:before="8"/>
      </w:pPr>
    </w:p>
    <w:p>
      <w:pPr>
        <w:pStyle w:val="ListParagraph"/>
        <w:numPr>
          <w:ilvl w:val="0"/>
          <w:numId w:val="126"/>
        </w:numPr>
        <w:tabs>
          <w:tab w:pos="724" w:val="left" w:leader="none"/>
        </w:tabs>
        <w:spacing w:line="240" w:lineRule="auto" w:before="0" w:after="0"/>
        <w:ind w:left="723" w:right="0" w:hanging="177"/>
        <w:jc w:val="left"/>
        <w:rPr>
          <w:sz w:val="15"/>
        </w:rPr>
      </w:pPr>
      <w:r>
        <w:rPr>
          <w:sz w:val="15"/>
        </w:rPr>
        <w:t>Si efectúan el pago durante el mes de Abril</w:t>
      </w:r>
      <w:r>
        <w:rPr>
          <w:spacing w:val="1"/>
          <w:sz w:val="15"/>
        </w:rPr>
        <w:t> </w:t>
      </w:r>
      <w:r>
        <w:rPr>
          <w:sz w:val="15"/>
        </w:rPr>
        <w:t>del</w:t>
      </w:r>
    </w:p>
    <w:p>
      <w:pPr>
        <w:pStyle w:val="BodyText"/>
        <w:tabs>
          <w:tab w:pos="5508" w:val="left" w:leader="none"/>
        </w:tabs>
        <w:spacing w:before="5"/>
        <w:ind w:left="227"/>
      </w:pPr>
      <w:r>
        <w:rPr/>
        <w:t>año</w:t>
      </w:r>
      <w:r>
        <w:rPr>
          <w:spacing w:val="5"/>
        </w:rPr>
        <w:t> </w:t>
      </w:r>
      <w:r>
        <w:rPr/>
        <w:t>2020,</w:t>
      </w:r>
      <w:r>
        <w:rPr>
          <w:spacing w:val="6"/>
        </w:rPr>
        <w:t> </w:t>
      </w:r>
      <w:r>
        <w:rPr/>
        <w:t>el:</w:t>
        <w:tab/>
        <w:t>5%</w:t>
      </w:r>
    </w:p>
    <w:p>
      <w:pPr>
        <w:pStyle w:val="BodyText"/>
        <w:spacing w:before="9"/>
      </w:pPr>
    </w:p>
    <w:p>
      <w:pPr>
        <w:pStyle w:val="BodyText"/>
        <w:spacing w:line="247" w:lineRule="auto"/>
        <w:ind w:left="151" w:right="507" w:firstLine="397"/>
        <w:jc w:val="both"/>
      </w:pPr>
      <w:r>
        <w:rPr/>
        <w:t>A los contribuyentes que soliciten algún trámite que implique o tenga como finalidad modificar los datos  que se tengan registrados en el Padrón de Usuarios y que sea presentado dentro de los términos señalados     en los incisos a), b) o c) se les concederán dichos descuentos, según corresponda, con independencia de la fecha en que se efectué o resuelva sobre la procedencia de la</w:t>
      </w:r>
      <w:r>
        <w:rPr>
          <w:spacing w:val="29"/>
        </w:rPr>
        <w:t> </w:t>
      </w:r>
      <w:r>
        <w:rPr/>
        <w:t>modificación.</w:t>
      </w:r>
    </w:p>
    <w:p>
      <w:pPr>
        <w:pStyle w:val="BodyText"/>
        <w:spacing w:before="2"/>
      </w:pPr>
    </w:p>
    <w:p>
      <w:pPr>
        <w:pStyle w:val="BodyText"/>
        <w:spacing w:line="247" w:lineRule="auto" w:before="1"/>
        <w:ind w:left="151" w:right="507" w:firstLine="397"/>
        <w:jc w:val="both"/>
      </w:pPr>
      <w:r>
        <w:rPr/>
        <w:t>El pago deberá efectuarse dentro de los quince días hábiles siguientes al procedimiento de notificación  que para tal efecto realice la Dirección General de Agua Potable y Saneamiento del   IMHAB. Transcurrido   dicho plazo sin haber efectuado el pago, se cancelarán los descuentos que contempla el presente artículo y      en su caso, se generarán los accesorios que</w:t>
      </w:r>
      <w:r>
        <w:rPr>
          <w:spacing w:val="14"/>
        </w:rPr>
        <w:t> </w:t>
      </w:r>
      <w:r>
        <w:rPr/>
        <w:t>correspondan.</w:t>
      </w:r>
    </w:p>
    <w:p>
      <w:pPr>
        <w:pStyle w:val="BodyText"/>
        <w:spacing w:before="1"/>
      </w:pPr>
    </w:p>
    <w:p>
      <w:pPr>
        <w:pStyle w:val="ListParagraph"/>
        <w:numPr>
          <w:ilvl w:val="0"/>
          <w:numId w:val="125"/>
        </w:numPr>
        <w:tabs>
          <w:tab w:pos="933" w:val="left" w:leader="none"/>
        </w:tabs>
        <w:spacing w:line="247" w:lineRule="auto" w:before="1" w:after="0"/>
        <w:ind w:left="151" w:right="508" w:firstLine="397"/>
        <w:jc w:val="both"/>
        <w:rPr>
          <w:sz w:val="15"/>
        </w:rPr>
      </w:pPr>
      <w:r>
        <w:rPr>
          <w:sz w:val="15"/>
        </w:rPr>
        <w:t>Quienes acrediten tener la calidad de jubilados, pensionados, viudas, viudos, personas con discapacidad o que tengan 60 años o más, que comprueben ser propietarios, usufructuarios o arrendatarios      de las fincas en donde habiten serán beneficiados con una reducción del 50% de las cuotas, tasas y tarifas     que en esta sección se señalan, pudiendo efectuar el pago mensual o en una sola  exhibición  lo  correspondiente al año 2020. Los beneficios previstos en esta fracción no serán acumulables  con  los  precisados en la fracción</w:t>
      </w:r>
      <w:r>
        <w:rPr>
          <w:spacing w:val="4"/>
          <w:sz w:val="15"/>
        </w:rPr>
        <w:t> </w:t>
      </w:r>
      <w:r>
        <w:rPr>
          <w:sz w:val="15"/>
        </w:rPr>
        <w:t>anterior.</w:t>
      </w:r>
    </w:p>
    <w:p>
      <w:pPr>
        <w:pStyle w:val="BodyText"/>
        <w:spacing w:before="1"/>
      </w:pPr>
    </w:p>
    <w:p>
      <w:pPr>
        <w:pStyle w:val="BodyText"/>
        <w:spacing w:line="244" w:lineRule="auto"/>
        <w:ind w:left="151" w:right="507" w:firstLine="397"/>
        <w:jc w:val="both"/>
      </w:pPr>
      <w:r>
        <w:rPr/>
        <w:t>En todos los casos se otorgará el beneficio antes citado, tratándose exclusivamente de una sola casa habitación la cual habiten y deberán de entregar, según sea su caso la siguiente documentación:</w:t>
      </w:r>
    </w:p>
    <w:p>
      <w:pPr>
        <w:pStyle w:val="BodyText"/>
        <w:spacing w:before="6"/>
      </w:pPr>
    </w:p>
    <w:p>
      <w:pPr>
        <w:pStyle w:val="ListParagraph"/>
        <w:numPr>
          <w:ilvl w:val="0"/>
          <w:numId w:val="127"/>
        </w:numPr>
        <w:tabs>
          <w:tab w:pos="737" w:val="left" w:leader="none"/>
        </w:tabs>
        <w:spacing w:line="247" w:lineRule="auto" w:before="0" w:after="0"/>
        <w:ind w:left="151" w:right="508" w:firstLine="397"/>
        <w:jc w:val="both"/>
        <w:rPr>
          <w:sz w:val="15"/>
        </w:rPr>
      </w:pPr>
      <w:r>
        <w:rPr>
          <w:sz w:val="15"/>
        </w:rPr>
        <w:t>Copia del comprobante de ingresos otorgado por el Instituto  Mexicano del Seguro Social (IMSS), por    el Instituto de Seguridad y Servicios Sociales de los Trabajadores del Estado (ISSSTE), la Secretaría de Desarrollo Social del Gobierno Federal (SEDESOL) o del Instituto de Seguridad Social para las Fuerzas  Armadas Mexicanas (ISSFAM), la Dirección de Programas Sociales Municipales siendo éstas dependencias enunciativas mas no limitativas, siempre y cuando estén vigentes o, en su caso credencial que lo acredite     como</w:t>
      </w:r>
      <w:r>
        <w:rPr>
          <w:spacing w:val="5"/>
          <w:sz w:val="15"/>
        </w:rPr>
        <w:t> </w:t>
      </w:r>
      <w:r>
        <w:rPr>
          <w:sz w:val="15"/>
        </w:rPr>
        <w:t>persona</w:t>
      </w:r>
      <w:r>
        <w:rPr>
          <w:spacing w:val="6"/>
          <w:sz w:val="15"/>
        </w:rPr>
        <w:t> </w:t>
      </w:r>
      <w:r>
        <w:rPr>
          <w:sz w:val="15"/>
        </w:rPr>
        <w:t>con</w:t>
      </w:r>
      <w:r>
        <w:rPr>
          <w:spacing w:val="5"/>
          <w:sz w:val="15"/>
        </w:rPr>
        <w:t> </w:t>
      </w:r>
      <w:r>
        <w:rPr>
          <w:sz w:val="15"/>
        </w:rPr>
        <w:t>discapacidad,</w:t>
      </w:r>
      <w:r>
        <w:rPr>
          <w:spacing w:val="6"/>
          <w:sz w:val="15"/>
        </w:rPr>
        <w:t> </w:t>
      </w:r>
      <w:r>
        <w:rPr>
          <w:sz w:val="15"/>
        </w:rPr>
        <w:t>pensionado</w:t>
      </w:r>
      <w:r>
        <w:rPr>
          <w:spacing w:val="5"/>
          <w:sz w:val="15"/>
        </w:rPr>
        <w:t> </w:t>
      </w:r>
      <w:r>
        <w:rPr>
          <w:sz w:val="15"/>
        </w:rPr>
        <w:t>o</w:t>
      </w:r>
      <w:r>
        <w:rPr>
          <w:spacing w:val="5"/>
          <w:sz w:val="15"/>
        </w:rPr>
        <w:t> </w:t>
      </w:r>
      <w:r>
        <w:rPr>
          <w:sz w:val="15"/>
        </w:rPr>
        <w:t>jubilado</w:t>
      </w:r>
      <w:r>
        <w:rPr>
          <w:spacing w:val="5"/>
          <w:sz w:val="15"/>
        </w:rPr>
        <w:t> </w:t>
      </w:r>
      <w:r>
        <w:rPr>
          <w:sz w:val="15"/>
        </w:rPr>
        <w:t>expedido</w:t>
      </w:r>
      <w:r>
        <w:rPr>
          <w:spacing w:val="6"/>
          <w:sz w:val="15"/>
        </w:rPr>
        <w:t> </w:t>
      </w:r>
      <w:r>
        <w:rPr>
          <w:sz w:val="15"/>
        </w:rPr>
        <w:t>por</w:t>
      </w:r>
      <w:r>
        <w:rPr>
          <w:spacing w:val="5"/>
          <w:sz w:val="15"/>
        </w:rPr>
        <w:t> </w:t>
      </w:r>
      <w:r>
        <w:rPr>
          <w:sz w:val="15"/>
        </w:rPr>
        <w:t>una</w:t>
      </w:r>
      <w:r>
        <w:rPr>
          <w:spacing w:val="6"/>
          <w:sz w:val="15"/>
        </w:rPr>
        <w:t> </w:t>
      </w:r>
      <w:r>
        <w:rPr>
          <w:sz w:val="15"/>
        </w:rPr>
        <w:t>institución</w:t>
      </w:r>
      <w:r>
        <w:rPr>
          <w:spacing w:val="6"/>
          <w:sz w:val="15"/>
        </w:rPr>
        <w:t> </w:t>
      </w:r>
      <w:r>
        <w:rPr>
          <w:sz w:val="15"/>
        </w:rPr>
        <w:t>oficial</w:t>
      </w:r>
      <w:r>
        <w:rPr>
          <w:spacing w:val="4"/>
          <w:sz w:val="15"/>
        </w:rPr>
        <w:t> </w:t>
      </w:r>
      <w:r>
        <w:rPr>
          <w:sz w:val="15"/>
        </w:rPr>
        <w:t>del</w:t>
      </w:r>
      <w:r>
        <w:rPr>
          <w:spacing w:val="5"/>
          <w:sz w:val="15"/>
        </w:rPr>
        <w:t> </w:t>
      </w:r>
      <w:r>
        <w:rPr>
          <w:sz w:val="15"/>
        </w:rPr>
        <w:t>país;</w:t>
      </w:r>
    </w:p>
    <w:p>
      <w:pPr>
        <w:pStyle w:val="BodyText"/>
        <w:spacing w:before="2"/>
      </w:pPr>
    </w:p>
    <w:p>
      <w:pPr>
        <w:pStyle w:val="ListParagraph"/>
        <w:numPr>
          <w:ilvl w:val="0"/>
          <w:numId w:val="127"/>
        </w:numPr>
        <w:tabs>
          <w:tab w:pos="730" w:val="left" w:leader="none"/>
        </w:tabs>
        <w:spacing w:line="240" w:lineRule="auto" w:before="0" w:after="0"/>
        <w:ind w:left="729" w:right="0" w:hanging="181"/>
        <w:jc w:val="left"/>
        <w:rPr>
          <w:sz w:val="15"/>
        </w:rPr>
      </w:pPr>
      <w:r>
        <w:rPr>
          <w:sz w:val="15"/>
        </w:rPr>
        <w:t>Identificación oficial,</w:t>
      </w:r>
      <w:r>
        <w:rPr>
          <w:spacing w:val="2"/>
          <w:sz w:val="15"/>
        </w:rPr>
        <w:t> </w:t>
      </w:r>
      <w:r>
        <w:rPr>
          <w:sz w:val="15"/>
        </w:rPr>
        <w:t>preferentemente:</w:t>
      </w:r>
    </w:p>
    <w:p>
      <w:pPr>
        <w:pStyle w:val="BodyText"/>
        <w:spacing w:before="8"/>
      </w:pPr>
    </w:p>
    <w:p>
      <w:pPr>
        <w:pStyle w:val="ListParagraph"/>
        <w:numPr>
          <w:ilvl w:val="1"/>
          <w:numId w:val="127"/>
        </w:numPr>
        <w:tabs>
          <w:tab w:pos="820" w:val="left" w:leader="none"/>
        </w:tabs>
        <w:spacing w:line="240" w:lineRule="auto" w:before="0" w:after="0"/>
        <w:ind w:left="819" w:right="0" w:hanging="172"/>
        <w:jc w:val="left"/>
        <w:rPr>
          <w:sz w:val="15"/>
        </w:rPr>
      </w:pPr>
      <w:r>
        <w:rPr>
          <w:sz w:val="15"/>
        </w:rPr>
        <w:t>Credencial de elector expedida por el Instituto Nacional Electoral (INE); o</w:t>
      </w:r>
      <w:r>
        <w:rPr>
          <w:spacing w:val="29"/>
          <w:sz w:val="15"/>
        </w:rPr>
        <w:t> </w:t>
      </w:r>
      <w:r>
        <w:rPr>
          <w:sz w:val="15"/>
        </w:rPr>
        <w:t>IFE</w:t>
      </w:r>
    </w:p>
    <w:p>
      <w:pPr>
        <w:pStyle w:val="BodyText"/>
        <w:spacing w:before="10"/>
      </w:pPr>
    </w:p>
    <w:p>
      <w:pPr>
        <w:pStyle w:val="ListParagraph"/>
        <w:numPr>
          <w:ilvl w:val="1"/>
          <w:numId w:val="127"/>
        </w:numPr>
        <w:tabs>
          <w:tab w:pos="820" w:val="left" w:leader="none"/>
        </w:tabs>
        <w:spacing w:line="240" w:lineRule="auto" w:before="0" w:after="0"/>
        <w:ind w:left="819" w:right="0" w:hanging="172"/>
        <w:jc w:val="left"/>
        <w:rPr>
          <w:sz w:val="15"/>
        </w:rPr>
      </w:pPr>
      <w:r>
        <w:rPr>
          <w:sz w:val="15"/>
        </w:rPr>
        <w:t>Pasaporte mexicano vigente expedido por la Secretaría de Relaciones Exteriores</w:t>
      </w:r>
      <w:r>
        <w:rPr>
          <w:spacing w:val="40"/>
          <w:sz w:val="15"/>
        </w:rPr>
        <w:t> </w:t>
      </w:r>
      <w:r>
        <w:rPr>
          <w:sz w:val="15"/>
        </w:rPr>
        <w:t>(SRE).</w:t>
      </w:r>
    </w:p>
    <w:p>
      <w:pPr>
        <w:spacing w:after="0" w:line="240" w:lineRule="auto"/>
        <w:jc w:val="left"/>
        <w:rPr>
          <w:sz w:val="15"/>
        </w:rPr>
        <w:sectPr>
          <w:type w:val="continuous"/>
          <w:pgSz w:w="23250" w:h="15310" w:orient="landscape"/>
          <w:pgMar w:top="0" w:bottom="0" w:left="1880" w:right="1520"/>
          <w:cols w:num="2" w:equalWidth="0">
            <w:col w:w="7753" w:space="3870"/>
            <w:col w:w="8227"/>
          </w:cols>
        </w:sectPr>
      </w:pPr>
    </w:p>
    <w:p>
      <w:pPr>
        <w:pStyle w:val="BodyText"/>
        <w:rPr>
          <w:sz w:val="20"/>
        </w:rPr>
      </w:pPr>
    </w:p>
    <w:p>
      <w:pPr>
        <w:pStyle w:val="BodyText"/>
        <w:spacing w:before="7"/>
        <w:rPr>
          <w:sz w:val="29"/>
        </w:rPr>
      </w:pPr>
    </w:p>
    <w:p>
      <w:pPr>
        <w:spacing w:after="0"/>
        <w:rPr>
          <w:sz w:val="29"/>
        </w:rPr>
        <w:sectPr>
          <w:headerReference w:type="default" r:id="rId89"/>
          <w:pgSz w:w="23250" w:h="15310" w:orient="landscape"/>
          <w:pgMar w:header="881" w:footer="499" w:top="1920" w:bottom="680" w:left="1880" w:right="1520"/>
        </w:sectPr>
      </w:pPr>
    </w:p>
    <w:p>
      <w:pPr>
        <w:pStyle w:val="ListParagraph"/>
        <w:numPr>
          <w:ilvl w:val="0"/>
          <w:numId w:val="127"/>
        </w:numPr>
        <w:tabs>
          <w:tab w:pos="729" w:val="left" w:leader="none"/>
        </w:tabs>
        <w:spacing w:line="247" w:lineRule="auto" w:before="99" w:after="0"/>
        <w:ind w:left="151" w:right="38" w:firstLine="397"/>
        <w:jc w:val="both"/>
        <w:rPr>
          <w:sz w:val="15"/>
        </w:rPr>
      </w:pPr>
      <w:r>
        <w:rPr>
          <w:sz w:val="15"/>
        </w:rPr>
        <w:t>Recibo del impuesto predial, pagado hasta el sexto bimestre  del año 2019, además de acreditar que    el inmueble lo habita el beneficiado, mediante copia de un comprobante de domicilio no mayor a tres meses      de antigüedad,</w:t>
      </w:r>
      <w:r>
        <w:rPr>
          <w:spacing w:val="2"/>
          <w:sz w:val="15"/>
        </w:rPr>
        <w:t> </w:t>
      </w:r>
      <w:r>
        <w:rPr>
          <w:sz w:val="15"/>
        </w:rPr>
        <w:t>preferentemente:</w:t>
      </w:r>
    </w:p>
    <w:p>
      <w:pPr>
        <w:pStyle w:val="BodyText"/>
        <w:spacing w:before="2"/>
      </w:pPr>
    </w:p>
    <w:p>
      <w:pPr>
        <w:pStyle w:val="ListParagraph"/>
        <w:numPr>
          <w:ilvl w:val="1"/>
          <w:numId w:val="127"/>
        </w:numPr>
        <w:tabs>
          <w:tab w:pos="819" w:val="left" w:leader="none"/>
        </w:tabs>
        <w:spacing w:line="240" w:lineRule="auto" w:before="0" w:after="0"/>
        <w:ind w:left="818" w:right="0" w:hanging="172"/>
        <w:jc w:val="left"/>
        <w:rPr>
          <w:sz w:val="15"/>
        </w:rPr>
      </w:pPr>
      <w:r>
        <w:rPr>
          <w:sz w:val="15"/>
        </w:rPr>
        <w:t>Recibo telefónico expedido a nombre del</w:t>
      </w:r>
      <w:r>
        <w:rPr>
          <w:spacing w:val="11"/>
          <w:sz w:val="15"/>
        </w:rPr>
        <w:t> </w:t>
      </w:r>
      <w:r>
        <w:rPr>
          <w:sz w:val="15"/>
        </w:rPr>
        <w:t>beneficiario;</w:t>
      </w:r>
    </w:p>
    <w:p>
      <w:pPr>
        <w:pStyle w:val="BodyText"/>
        <w:spacing w:before="10"/>
      </w:pPr>
    </w:p>
    <w:p>
      <w:pPr>
        <w:pStyle w:val="ListParagraph"/>
        <w:numPr>
          <w:ilvl w:val="1"/>
          <w:numId w:val="127"/>
        </w:numPr>
        <w:tabs>
          <w:tab w:pos="819" w:val="left" w:leader="none"/>
        </w:tabs>
        <w:spacing w:line="240" w:lineRule="auto" w:before="0" w:after="0"/>
        <w:ind w:left="818" w:right="0" w:hanging="172"/>
        <w:jc w:val="left"/>
        <w:rPr>
          <w:sz w:val="15"/>
        </w:rPr>
      </w:pPr>
      <w:r>
        <w:rPr>
          <w:sz w:val="15"/>
        </w:rPr>
        <w:t>Recibo</w:t>
      </w:r>
      <w:r>
        <w:rPr>
          <w:spacing w:val="5"/>
          <w:sz w:val="15"/>
        </w:rPr>
        <w:t> </w:t>
      </w:r>
      <w:r>
        <w:rPr>
          <w:sz w:val="15"/>
        </w:rPr>
        <w:t>de</w:t>
      </w:r>
      <w:r>
        <w:rPr>
          <w:spacing w:val="6"/>
          <w:sz w:val="15"/>
        </w:rPr>
        <w:t> </w:t>
      </w:r>
      <w:r>
        <w:rPr>
          <w:sz w:val="15"/>
        </w:rPr>
        <w:t>la</w:t>
      </w:r>
      <w:r>
        <w:rPr>
          <w:spacing w:val="5"/>
          <w:sz w:val="15"/>
        </w:rPr>
        <w:t> </w:t>
      </w:r>
      <w:r>
        <w:rPr>
          <w:sz w:val="15"/>
        </w:rPr>
        <w:t>Comisión</w:t>
      </w:r>
      <w:r>
        <w:rPr>
          <w:spacing w:val="6"/>
          <w:sz w:val="15"/>
        </w:rPr>
        <w:t> </w:t>
      </w:r>
      <w:r>
        <w:rPr>
          <w:sz w:val="15"/>
        </w:rPr>
        <w:t>Federal</w:t>
      </w:r>
      <w:r>
        <w:rPr>
          <w:spacing w:val="5"/>
          <w:sz w:val="15"/>
        </w:rPr>
        <w:t> </w:t>
      </w:r>
      <w:r>
        <w:rPr>
          <w:sz w:val="15"/>
        </w:rPr>
        <w:t>de</w:t>
      </w:r>
      <w:r>
        <w:rPr>
          <w:spacing w:val="6"/>
          <w:sz w:val="15"/>
        </w:rPr>
        <w:t> </w:t>
      </w:r>
      <w:r>
        <w:rPr>
          <w:sz w:val="15"/>
        </w:rPr>
        <w:t>Electricidad</w:t>
      </w:r>
      <w:r>
        <w:rPr>
          <w:spacing w:val="5"/>
          <w:sz w:val="15"/>
        </w:rPr>
        <w:t> </w:t>
      </w:r>
      <w:r>
        <w:rPr>
          <w:sz w:val="15"/>
        </w:rPr>
        <w:t>(CFE)</w:t>
      </w:r>
      <w:r>
        <w:rPr>
          <w:spacing w:val="6"/>
          <w:sz w:val="15"/>
        </w:rPr>
        <w:t> </w:t>
      </w:r>
      <w:r>
        <w:rPr>
          <w:sz w:val="15"/>
        </w:rPr>
        <w:t>expedido</w:t>
      </w:r>
      <w:r>
        <w:rPr>
          <w:spacing w:val="4"/>
          <w:sz w:val="15"/>
        </w:rPr>
        <w:t> </w:t>
      </w:r>
      <w:r>
        <w:rPr>
          <w:sz w:val="15"/>
        </w:rPr>
        <w:t>a</w:t>
      </w:r>
      <w:r>
        <w:rPr>
          <w:spacing w:val="5"/>
          <w:sz w:val="15"/>
        </w:rPr>
        <w:t> </w:t>
      </w:r>
      <w:r>
        <w:rPr>
          <w:sz w:val="15"/>
        </w:rPr>
        <w:t>nombre</w:t>
      </w:r>
      <w:r>
        <w:rPr>
          <w:spacing w:val="6"/>
          <w:sz w:val="15"/>
        </w:rPr>
        <w:t> </w:t>
      </w:r>
      <w:r>
        <w:rPr>
          <w:sz w:val="15"/>
        </w:rPr>
        <w:t>del</w:t>
      </w:r>
      <w:r>
        <w:rPr>
          <w:spacing w:val="5"/>
          <w:sz w:val="15"/>
        </w:rPr>
        <w:t> </w:t>
      </w:r>
      <w:r>
        <w:rPr>
          <w:sz w:val="15"/>
        </w:rPr>
        <w:t>beneficiario;</w:t>
      </w:r>
      <w:r>
        <w:rPr>
          <w:spacing w:val="6"/>
          <w:sz w:val="15"/>
        </w:rPr>
        <w:t> </w:t>
      </w:r>
      <w:r>
        <w:rPr>
          <w:sz w:val="15"/>
        </w:rPr>
        <w:t>o</w:t>
      </w:r>
    </w:p>
    <w:p>
      <w:pPr>
        <w:pStyle w:val="ListParagraph"/>
        <w:numPr>
          <w:ilvl w:val="1"/>
          <w:numId w:val="127"/>
        </w:numPr>
        <w:tabs>
          <w:tab w:pos="819" w:val="left" w:leader="none"/>
        </w:tabs>
        <w:spacing w:line="240" w:lineRule="auto" w:before="5" w:after="0"/>
        <w:ind w:left="818" w:right="0" w:hanging="172"/>
        <w:jc w:val="left"/>
        <w:rPr>
          <w:sz w:val="15"/>
        </w:rPr>
      </w:pPr>
      <w:r>
        <w:rPr>
          <w:sz w:val="15"/>
        </w:rPr>
        <w:t>Constancia de residencia expedida por la Secretaría General del</w:t>
      </w:r>
      <w:r>
        <w:rPr>
          <w:spacing w:val="20"/>
          <w:sz w:val="15"/>
        </w:rPr>
        <w:t> </w:t>
      </w:r>
      <w:r>
        <w:rPr>
          <w:sz w:val="15"/>
        </w:rPr>
        <w:t>Ayuntamiento;</w:t>
      </w:r>
    </w:p>
    <w:p>
      <w:pPr>
        <w:pStyle w:val="BodyText"/>
        <w:spacing w:line="247" w:lineRule="auto" w:before="98"/>
        <w:ind w:left="151" w:right="2849" w:firstLine="397"/>
      </w:pPr>
      <w:r>
        <w:rPr/>
        <w:br w:type="column"/>
      </w:r>
      <w:r>
        <w:rPr/>
        <w:t>I. Por la autorización y Servicio de Matanza de  Ganado que se presten  en el interior de los Rastros</w:t>
      </w:r>
      <w:r>
        <w:rPr>
          <w:spacing w:val="10"/>
        </w:rPr>
        <w:t> </w:t>
      </w:r>
      <w:r>
        <w:rPr/>
        <w:t>Municipales:</w:t>
      </w:r>
    </w:p>
    <w:p>
      <w:pPr>
        <w:pStyle w:val="BodyText"/>
        <w:spacing w:before="3"/>
      </w:pPr>
    </w:p>
    <w:p>
      <w:pPr>
        <w:pStyle w:val="ListParagraph"/>
        <w:numPr>
          <w:ilvl w:val="0"/>
          <w:numId w:val="128"/>
        </w:numPr>
        <w:tabs>
          <w:tab w:pos="729" w:val="left" w:leader="none"/>
        </w:tabs>
        <w:spacing w:line="240" w:lineRule="auto" w:before="0" w:after="0"/>
        <w:ind w:left="728" w:right="0" w:hanging="181"/>
        <w:jc w:val="left"/>
        <w:rPr>
          <w:sz w:val="15"/>
        </w:rPr>
      </w:pPr>
      <w:r>
        <w:rPr>
          <w:sz w:val="15"/>
        </w:rPr>
        <w:t>Por cabeza de</w:t>
      </w:r>
      <w:r>
        <w:rPr>
          <w:spacing w:val="3"/>
          <w:sz w:val="15"/>
        </w:rPr>
        <w:t> </w:t>
      </w:r>
      <w:r>
        <w:rPr>
          <w:sz w:val="15"/>
        </w:rPr>
        <w:t>Ganado:</w:t>
      </w:r>
    </w:p>
    <w:p>
      <w:pPr>
        <w:pStyle w:val="BodyText"/>
        <w:spacing w:before="10"/>
      </w:pPr>
    </w:p>
    <w:p>
      <w:pPr>
        <w:pStyle w:val="ListParagraph"/>
        <w:numPr>
          <w:ilvl w:val="0"/>
          <w:numId w:val="129"/>
        </w:numPr>
        <w:tabs>
          <w:tab w:pos="720" w:val="left" w:leader="none"/>
          <w:tab w:pos="4951" w:val="left" w:leader="none"/>
        </w:tabs>
        <w:spacing w:line="240" w:lineRule="auto" w:before="0" w:after="0"/>
        <w:ind w:left="719" w:right="0" w:hanging="172"/>
        <w:jc w:val="left"/>
        <w:rPr>
          <w:sz w:val="15"/>
        </w:rPr>
      </w:pPr>
      <w:r>
        <w:rPr>
          <w:sz w:val="15"/>
        </w:rPr>
        <w:t>Bovinos, incluye 24 horas </w:t>
      </w:r>
      <w:r>
        <w:rPr>
          <w:spacing w:val="5"/>
          <w:sz w:val="15"/>
        </w:rPr>
        <w:t> </w:t>
      </w:r>
      <w:r>
        <w:rPr>
          <w:sz w:val="15"/>
        </w:rPr>
        <w:t>de</w:t>
      </w:r>
      <w:r>
        <w:rPr>
          <w:spacing w:val="12"/>
          <w:sz w:val="15"/>
        </w:rPr>
        <w:t> </w:t>
      </w:r>
      <w:r>
        <w:rPr>
          <w:sz w:val="15"/>
        </w:rPr>
        <w:t>corrales:</w:t>
        <w:tab/>
        <w:t>$265.00</w:t>
      </w:r>
    </w:p>
    <w:p>
      <w:pPr>
        <w:pStyle w:val="BodyText"/>
        <w:spacing w:before="9"/>
      </w:pPr>
    </w:p>
    <w:p>
      <w:pPr>
        <w:pStyle w:val="ListParagraph"/>
        <w:numPr>
          <w:ilvl w:val="0"/>
          <w:numId w:val="129"/>
        </w:numPr>
        <w:tabs>
          <w:tab w:pos="720" w:val="left" w:leader="none"/>
          <w:tab w:pos="5035" w:val="left" w:leader="none"/>
        </w:tabs>
        <w:spacing w:line="240" w:lineRule="auto" w:before="0" w:after="0"/>
        <w:ind w:left="719" w:right="0" w:hanging="172"/>
        <w:jc w:val="left"/>
        <w:rPr>
          <w:sz w:val="15"/>
        </w:rPr>
      </w:pPr>
      <w:r>
        <w:rPr>
          <w:sz w:val="15"/>
        </w:rPr>
        <w:t>Porcinos, incluye 24 horas </w:t>
      </w:r>
      <w:r>
        <w:rPr>
          <w:spacing w:val="4"/>
          <w:sz w:val="15"/>
        </w:rPr>
        <w:t> </w:t>
      </w:r>
      <w:r>
        <w:rPr>
          <w:sz w:val="15"/>
        </w:rPr>
        <w:t>de</w:t>
      </w:r>
      <w:r>
        <w:rPr>
          <w:spacing w:val="11"/>
          <w:sz w:val="15"/>
        </w:rPr>
        <w:t> </w:t>
      </w:r>
      <w:r>
        <w:rPr>
          <w:sz w:val="15"/>
        </w:rPr>
        <w:t>corrales:</w:t>
        <w:tab/>
        <w:t>$95.00</w:t>
      </w:r>
    </w:p>
    <w:p>
      <w:pPr>
        <w:spacing w:after="0" w:line="240" w:lineRule="auto"/>
        <w:jc w:val="left"/>
        <w:rPr>
          <w:sz w:val="15"/>
        </w:rPr>
        <w:sectPr>
          <w:type w:val="continuous"/>
          <w:pgSz w:w="23250" w:h="15310" w:orient="landscape"/>
          <w:pgMar w:top="0" w:bottom="0" w:left="1880" w:right="1520"/>
          <w:cols w:num="2" w:equalWidth="0">
            <w:col w:w="7751" w:space="3871"/>
            <w:col w:w="8228"/>
          </w:cols>
        </w:sectPr>
      </w:pPr>
    </w:p>
    <w:p>
      <w:pPr>
        <w:pStyle w:val="BodyText"/>
        <w:spacing w:before="9"/>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41"/>
        <w:gridCol w:w="6592"/>
        <w:gridCol w:w="845"/>
      </w:tblGrid>
      <w:tr>
        <w:trPr>
          <w:trHeight w:val="174" w:hRule="atLeast"/>
        </w:trPr>
        <w:tc>
          <w:tcPr>
            <w:tcW w:w="9641" w:type="dxa"/>
          </w:tcPr>
          <w:p>
            <w:pPr>
              <w:pStyle w:val="TableParagraph"/>
              <w:spacing w:line="155" w:lineRule="exact"/>
              <w:ind w:right="2029"/>
              <w:jc w:val="right"/>
              <w:rPr>
                <w:sz w:val="15"/>
              </w:rPr>
            </w:pPr>
            <w:r>
              <w:rPr>
                <w:sz w:val="15"/>
              </w:rPr>
              <w:t>d) Cuando se trate de personas que tengan 60 años o más, deberán presentar copia de identificación de</w:t>
            </w:r>
          </w:p>
        </w:tc>
        <w:tc>
          <w:tcPr>
            <w:tcW w:w="6592" w:type="dxa"/>
          </w:tcPr>
          <w:p>
            <w:pPr>
              <w:pStyle w:val="TableParagraph"/>
              <w:spacing w:line="155" w:lineRule="exact"/>
              <w:ind w:right="320"/>
              <w:jc w:val="right"/>
              <w:rPr>
                <w:sz w:val="15"/>
              </w:rPr>
            </w:pPr>
            <w:r>
              <w:rPr>
                <w:sz w:val="15"/>
              </w:rPr>
              <w:t>3. Ovinos, caprino y becerros de leche de hasta 60 kilos</w:t>
            </w:r>
          </w:p>
        </w:tc>
        <w:tc>
          <w:tcPr>
            <w:tcW w:w="845" w:type="dxa"/>
          </w:tcPr>
          <w:p>
            <w:pPr>
              <w:pStyle w:val="TableParagraph"/>
              <w:rPr>
                <w:rFonts w:ascii="Times New Roman"/>
                <w:sz w:val="10"/>
              </w:rPr>
            </w:pPr>
          </w:p>
        </w:tc>
      </w:tr>
      <w:tr>
        <w:trPr>
          <w:trHeight w:val="177" w:hRule="atLeast"/>
        </w:trPr>
        <w:tc>
          <w:tcPr>
            <w:tcW w:w="9641" w:type="dxa"/>
          </w:tcPr>
          <w:p>
            <w:pPr>
              <w:pStyle w:val="TableParagraph"/>
              <w:spacing w:line="156" w:lineRule="exact" w:before="1"/>
              <w:ind w:left="50"/>
              <w:rPr>
                <w:sz w:val="15"/>
              </w:rPr>
            </w:pPr>
            <w:r>
              <w:rPr>
                <w:sz w:val="15"/>
              </w:rPr>
              <w:t>la Clave Única de Registro de Población CURP o copia acta de nacimiento que acredite la edad del</w:t>
            </w:r>
          </w:p>
        </w:tc>
        <w:tc>
          <w:tcPr>
            <w:tcW w:w="6592" w:type="dxa"/>
          </w:tcPr>
          <w:p>
            <w:pPr>
              <w:pStyle w:val="TableParagraph"/>
              <w:spacing w:line="156" w:lineRule="exact" w:before="1"/>
              <w:ind w:left="2031"/>
              <w:rPr>
                <w:sz w:val="15"/>
              </w:rPr>
            </w:pPr>
            <w:r>
              <w:rPr>
                <w:sz w:val="15"/>
              </w:rPr>
              <w:t>de peso vivo:</w:t>
            </w:r>
          </w:p>
        </w:tc>
        <w:tc>
          <w:tcPr>
            <w:tcW w:w="845" w:type="dxa"/>
          </w:tcPr>
          <w:p>
            <w:pPr>
              <w:pStyle w:val="TableParagraph"/>
              <w:spacing w:line="156" w:lineRule="exact" w:before="1"/>
              <w:ind w:right="46"/>
              <w:jc w:val="right"/>
              <w:rPr>
                <w:sz w:val="15"/>
              </w:rPr>
            </w:pPr>
            <w:r>
              <w:rPr>
                <w:sz w:val="15"/>
              </w:rPr>
              <w:t>$52.00</w:t>
            </w:r>
          </w:p>
        </w:tc>
      </w:tr>
      <w:tr>
        <w:trPr>
          <w:trHeight w:val="177" w:hRule="atLeast"/>
        </w:trPr>
        <w:tc>
          <w:tcPr>
            <w:tcW w:w="9641" w:type="dxa"/>
          </w:tcPr>
          <w:p>
            <w:pPr>
              <w:pStyle w:val="TableParagraph"/>
              <w:spacing w:line="156" w:lineRule="exact" w:before="1"/>
              <w:ind w:left="50"/>
              <w:rPr>
                <w:sz w:val="15"/>
              </w:rPr>
            </w:pPr>
            <w:r>
              <w:rPr>
                <w:sz w:val="15"/>
              </w:rPr>
              <w:t>contribuyente;</w:t>
            </w:r>
          </w:p>
        </w:tc>
        <w:tc>
          <w:tcPr>
            <w:tcW w:w="6592" w:type="dxa"/>
          </w:tcPr>
          <w:p>
            <w:pPr>
              <w:pStyle w:val="TableParagraph"/>
              <w:rPr>
                <w:rFonts w:ascii="Times New Roman"/>
                <w:sz w:val="10"/>
              </w:rPr>
            </w:pPr>
          </w:p>
        </w:tc>
        <w:tc>
          <w:tcPr>
            <w:tcW w:w="845" w:type="dxa"/>
          </w:tcPr>
          <w:p>
            <w:pPr>
              <w:pStyle w:val="TableParagraph"/>
              <w:rPr>
                <w:rFonts w:ascii="Times New Roman"/>
                <w:sz w:val="10"/>
              </w:rPr>
            </w:pPr>
          </w:p>
        </w:tc>
      </w:tr>
      <w:tr>
        <w:trPr>
          <w:trHeight w:val="177" w:hRule="atLeast"/>
        </w:trPr>
        <w:tc>
          <w:tcPr>
            <w:tcW w:w="9641" w:type="dxa"/>
          </w:tcPr>
          <w:p>
            <w:pPr>
              <w:pStyle w:val="TableParagraph"/>
              <w:rPr>
                <w:rFonts w:ascii="Times New Roman"/>
                <w:sz w:val="10"/>
              </w:rPr>
            </w:pPr>
          </w:p>
        </w:tc>
        <w:tc>
          <w:tcPr>
            <w:tcW w:w="6592" w:type="dxa"/>
          </w:tcPr>
          <w:p>
            <w:pPr>
              <w:pStyle w:val="TableParagraph"/>
              <w:spacing w:line="156" w:lineRule="exact" w:before="1"/>
              <w:ind w:right="319"/>
              <w:jc w:val="right"/>
              <w:rPr>
                <w:sz w:val="15"/>
              </w:rPr>
            </w:pPr>
            <w:r>
              <w:rPr>
                <w:sz w:val="15"/>
              </w:rPr>
              <w:t>b) Fuera del rastro municipal, para consumo familiar,</w:t>
            </w:r>
          </w:p>
        </w:tc>
        <w:tc>
          <w:tcPr>
            <w:tcW w:w="845" w:type="dxa"/>
          </w:tcPr>
          <w:p>
            <w:pPr>
              <w:pStyle w:val="TableParagraph"/>
              <w:rPr>
                <w:rFonts w:ascii="Times New Roman"/>
                <w:sz w:val="10"/>
              </w:rPr>
            </w:pPr>
          </w:p>
        </w:tc>
      </w:tr>
      <w:tr>
        <w:trPr>
          <w:trHeight w:val="353" w:hRule="atLeast"/>
        </w:trPr>
        <w:tc>
          <w:tcPr>
            <w:tcW w:w="9641" w:type="dxa"/>
          </w:tcPr>
          <w:p>
            <w:pPr>
              <w:pStyle w:val="TableParagraph"/>
              <w:spacing w:line="176" w:lineRule="exact" w:before="1"/>
              <w:ind w:left="50" w:right="2026" w:firstLine="397"/>
              <w:rPr>
                <w:sz w:val="15"/>
              </w:rPr>
            </w:pPr>
            <w:r>
              <w:rPr>
                <w:sz w:val="15"/>
              </w:rPr>
              <w:t>e) Tratándose de contribuyentes viudas y viudos, presentarán copia simple del acta de matrimonio y del acta de defunción del cónyuge.</w:t>
            </w:r>
          </w:p>
        </w:tc>
        <w:tc>
          <w:tcPr>
            <w:tcW w:w="6592" w:type="dxa"/>
          </w:tcPr>
          <w:p>
            <w:pPr>
              <w:pStyle w:val="TableParagraph"/>
              <w:spacing w:before="1"/>
              <w:ind w:left="2031"/>
              <w:rPr>
                <w:sz w:val="15"/>
              </w:rPr>
            </w:pPr>
            <w:r>
              <w:rPr>
                <w:sz w:val="15"/>
              </w:rPr>
              <w:t>exclusivamente:</w:t>
            </w:r>
          </w:p>
        </w:tc>
        <w:tc>
          <w:tcPr>
            <w:tcW w:w="845" w:type="dxa"/>
          </w:tcPr>
          <w:p>
            <w:pPr>
              <w:pStyle w:val="TableParagraph"/>
              <w:rPr>
                <w:rFonts w:ascii="Times New Roman"/>
                <w:sz w:val="14"/>
              </w:rPr>
            </w:pPr>
          </w:p>
        </w:tc>
      </w:tr>
      <w:tr>
        <w:trPr>
          <w:trHeight w:val="177" w:hRule="atLeast"/>
        </w:trPr>
        <w:tc>
          <w:tcPr>
            <w:tcW w:w="9641" w:type="dxa"/>
          </w:tcPr>
          <w:p>
            <w:pPr>
              <w:pStyle w:val="TableParagraph"/>
              <w:rPr>
                <w:rFonts w:ascii="Times New Roman"/>
                <w:sz w:val="10"/>
              </w:rPr>
            </w:pPr>
          </w:p>
        </w:tc>
        <w:tc>
          <w:tcPr>
            <w:tcW w:w="6592" w:type="dxa"/>
          </w:tcPr>
          <w:p>
            <w:pPr>
              <w:pStyle w:val="TableParagraph"/>
              <w:spacing w:line="156" w:lineRule="exact" w:before="1"/>
              <w:ind w:left="2428"/>
              <w:rPr>
                <w:sz w:val="15"/>
              </w:rPr>
            </w:pPr>
            <w:r>
              <w:rPr>
                <w:sz w:val="15"/>
              </w:rPr>
              <w:t>1. Ganado bovino, por cabeza:</w:t>
            </w:r>
          </w:p>
        </w:tc>
        <w:tc>
          <w:tcPr>
            <w:tcW w:w="845" w:type="dxa"/>
          </w:tcPr>
          <w:p>
            <w:pPr>
              <w:pStyle w:val="TableParagraph"/>
              <w:spacing w:line="156" w:lineRule="exact" w:before="1"/>
              <w:ind w:right="48"/>
              <w:jc w:val="right"/>
              <w:rPr>
                <w:sz w:val="15"/>
              </w:rPr>
            </w:pPr>
            <w:r>
              <w:rPr>
                <w:sz w:val="15"/>
              </w:rPr>
              <w:t>$70.00</w:t>
            </w:r>
          </w:p>
        </w:tc>
      </w:tr>
      <w:tr>
        <w:trPr>
          <w:trHeight w:val="177" w:hRule="atLeast"/>
        </w:trPr>
        <w:tc>
          <w:tcPr>
            <w:tcW w:w="9641" w:type="dxa"/>
          </w:tcPr>
          <w:p>
            <w:pPr>
              <w:pStyle w:val="TableParagraph"/>
              <w:spacing w:line="156" w:lineRule="exact" w:before="1"/>
              <w:ind w:right="2030"/>
              <w:jc w:val="right"/>
              <w:rPr>
                <w:sz w:val="15"/>
              </w:rPr>
            </w:pPr>
            <w:r>
              <w:rPr>
                <w:sz w:val="15"/>
              </w:rPr>
              <w:t>f) A los contribuyentes con discapacidad, se les otorgará el beneficio presentando su credencial de</w:t>
            </w:r>
          </w:p>
        </w:tc>
        <w:tc>
          <w:tcPr>
            <w:tcW w:w="6592" w:type="dxa"/>
          </w:tcPr>
          <w:p>
            <w:pPr>
              <w:pStyle w:val="TableParagraph"/>
              <w:rPr>
                <w:rFonts w:ascii="Times New Roman"/>
                <w:sz w:val="10"/>
              </w:rPr>
            </w:pPr>
          </w:p>
        </w:tc>
        <w:tc>
          <w:tcPr>
            <w:tcW w:w="845" w:type="dxa"/>
          </w:tcPr>
          <w:p>
            <w:pPr>
              <w:pStyle w:val="TableParagraph"/>
              <w:rPr>
                <w:rFonts w:ascii="Times New Roman"/>
                <w:sz w:val="10"/>
              </w:rPr>
            </w:pPr>
          </w:p>
        </w:tc>
      </w:tr>
      <w:tr>
        <w:trPr>
          <w:trHeight w:val="177" w:hRule="atLeast"/>
        </w:trPr>
        <w:tc>
          <w:tcPr>
            <w:tcW w:w="9641" w:type="dxa"/>
          </w:tcPr>
          <w:p>
            <w:pPr>
              <w:pStyle w:val="TableParagraph"/>
              <w:spacing w:line="156" w:lineRule="exact" w:before="1"/>
              <w:ind w:right="2030"/>
              <w:jc w:val="right"/>
              <w:rPr>
                <w:sz w:val="15"/>
              </w:rPr>
            </w:pPr>
            <w:r>
              <w:rPr>
                <w:sz w:val="15"/>
              </w:rPr>
              <w:t>discapacidad expedida por el sistema DIF o cualquier institución pública oficial que tenga facultades</w:t>
            </w:r>
          </w:p>
        </w:tc>
        <w:tc>
          <w:tcPr>
            <w:tcW w:w="6592" w:type="dxa"/>
          </w:tcPr>
          <w:p>
            <w:pPr>
              <w:pStyle w:val="TableParagraph"/>
              <w:spacing w:line="156" w:lineRule="exact" w:before="1"/>
              <w:ind w:left="2428"/>
              <w:rPr>
                <w:sz w:val="15"/>
              </w:rPr>
            </w:pPr>
            <w:r>
              <w:rPr>
                <w:sz w:val="15"/>
              </w:rPr>
              <w:t>2. Ganado porcino, por cabeza:</w:t>
            </w:r>
          </w:p>
        </w:tc>
        <w:tc>
          <w:tcPr>
            <w:tcW w:w="845" w:type="dxa"/>
          </w:tcPr>
          <w:p>
            <w:pPr>
              <w:pStyle w:val="TableParagraph"/>
              <w:spacing w:line="156" w:lineRule="exact" w:before="1"/>
              <w:ind w:right="48"/>
              <w:jc w:val="right"/>
              <w:rPr>
                <w:sz w:val="15"/>
              </w:rPr>
            </w:pPr>
            <w:r>
              <w:rPr>
                <w:sz w:val="15"/>
              </w:rPr>
              <w:t>$45.00</w:t>
            </w:r>
          </w:p>
        </w:tc>
      </w:tr>
      <w:tr>
        <w:trPr>
          <w:trHeight w:val="353" w:hRule="atLeast"/>
        </w:trPr>
        <w:tc>
          <w:tcPr>
            <w:tcW w:w="9641" w:type="dxa"/>
          </w:tcPr>
          <w:p>
            <w:pPr>
              <w:pStyle w:val="TableParagraph"/>
              <w:spacing w:before="1"/>
              <w:ind w:left="741"/>
              <w:rPr>
                <w:sz w:val="15"/>
              </w:rPr>
            </w:pPr>
            <w:r>
              <w:rPr>
                <w:sz w:val="15"/>
              </w:rPr>
              <w:t>para determinar esta condición.</w:t>
            </w:r>
          </w:p>
        </w:tc>
        <w:tc>
          <w:tcPr>
            <w:tcW w:w="6592" w:type="dxa"/>
          </w:tcPr>
          <w:p>
            <w:pPr>
              <w:pStyle w:val="TableParagraph"/>
              <w:spacing w:before="4"/>
              <w:rPr>
                <w:sz w:val="15"/>
              </w:rPr>
            </w:pPr>
          </w:p>
          <w:p>
            <w:pPr>
              <w:pStyle w:val="TableParagraph"/>
              <w:spacing w:line="156" w:lineRule="exact" w:before="1"/>
              <w:ind w:left="2428"/>
              <w:rPr>
                <w:sz w:val="15"/>
              </w:rPr>
            </w:pPr>
            <w:r>
              <w:rPr>
                <w:sz w:val="15"/>
              </w:rPr>
              <w:t>3. Ganado ovino y caprino, por cabeza:</w:t>
            </w:r>
          </w:p>
        </w:tc>
        <w:tc>
          <w:tcPr>
            <w:tcW w:w="845" w:type="dxa"/>
          </w:tcPr>
          <w:p>
            <w:pPr>
              <w:pStyle w:val="TableParagraph"/>
              <w:spacing w:before="4"/>
              <w:rPr>
                <w:sz w:val="15"/>
              </w:rPr>
            </w:pPr>
          </w:p>
          <w:p>
            <w:pPr>
              <w:pStyle w:val="TableParagraph"/>
              <w:spacing w:line="156" w:lineRule="exact" w:before="1"/>
              <w:ind w:right="48"/>
              <w:jc w:val="right"/>
              <w:rPr>
                <w:sz w:val="15"/>
              </w:rPr>
            </w:pPr>
            <w:r>
              <w:rPr>
                <w:sz w:val="15"/>
              </w:rPr>
              <w:t>$22.00</w:t>
            </w:r>
          </w:p>
        </w:tc>
      </w:tr>
      <w:tr>
        <w:trPr>
          <w:trHeight w:val="177" w:hRule="atLeast"/>
        </w:trPr>
        <w:tc>
          <w:tcPr>
            <w:tcW w:w="9641" w:type="dxa"/>
          </w:tcPr>
          <w:p>
            <w:pPr>
              <w:pStyle w:val="TableParagraph"/>
              <w:spacing w:line="156" w:lineRule="exact" w:before="1"/>
              <w:ind w:right="2031"/>
              <w:jc w:val="right"/>
              <w:rPr>
                <w:sz w:val="15"/>
              </w:rPr>
            </w:pPr>
            <w:r>
              <w:rPr>
                <w:sz w:val="15"/>
              </w:rPr>
              <w:t>XXII. Cuando no hayan sido prestados por el Municipio los servicios contenidos en el presente capítulo,</w:t>
            </w:r>
          </w:p>
        </w:tc>
        <w:tc>
          <w:tcPr>
            <w:tcW w:w="6592" w:type="dxa"/>
          </w:tcPr>
          <w:p>
            <w:pPr>
              <w:pStyle w:val="TableParagraph"/>
              <w:rPr>
                <w:rFonts w:ascii="Times New Roman"/>
                <w:sz w:val="10"/>
              </w:rPr>
            </w:pPr>
          </w:p>
        </w:tc>
        <w:tc>
          <w:tcPr>
            <w:tcW w:w="845" w:type="dxa"/>
          </w:tcPr>
          <w:p>
            <w:pPr>
              <w:pStyle w:val="TableParagraph"/>
              <w:rPr>
                <w:rFonts w:ascii="Times New Roman"/>
                <w:sz w:val="10"/>
              </w:rPr>
            </w:pPr>
          </w:p>
        </w:tc>
      </w:tr>
      <w:tr>
        <w:trPr>
          <w:trHeight w:val="177" w:hRule="atLeast"/>
        </w:trPr>
        <w:tc>
          <w:tcPr>
            <w:tcW w:w="9641" w:type="dxa"/>
          </w:tcPr>
          <w:p>
            <w:pPr>
              <w:pStyle w:val="TableParagraph"/>
              <w:spacing w:line="156" w:lineRule="exact" w:before="1"/>
              <w:ind w:left="50"/>
              <w:rPr>
                <w:sz w:val="15"/>
              </w:rPr>
            </w:pPr>
            <w:r>
              <w:rPr>
                <w:sz w:val="15"/>
              </w:rPr>
              <w:t>no procederá el cobro de los mismos, previo acuerdo del Presidente Municipal y del Tesorero Municipal, y</w:t>
            </w:r>
          </w:p>
        </w:tc>
        <w:tc>
          <w:tcPr>
            <w:tcW w:w="6592" w:type="dxa"/>
          </w:tcPr>
          <w:p>
            <w:pPr>
              <w:pStyle w:val="TableParagraph"/>
              <w:spacing w:line="156" w:lineRule="exact" w:before="1"/>
              <w:ind w:left="2428"/>
              <w:rPr>
                <w:sz w:val="15"/>
              </w:rPr>
            </w:pPr>
            <w:r>
              <w:rPr>
                <w:sz w:val="15"/>
              </w:rPr>
              <w:t>II. Por autorizar la salida de animales del rastro:</w:t>
            </w:r>
          </w:p>
        </w:tc>
        <w:tc>
          <w:tcPr>
            <w:tcW w:w="845" w:type="dxa"/>
          </w:tcPr>
          <w:p>
            <w:pPr>
              <w:pStyle w:val="TableParagraph"/>
              <w:rPr>
                <w:rFonts w:ascii="Times New Roman"/>
                <w:sz w:val="10"/>
              </w:rPr>
            </w:pPr>
          </w:p>
        </w:tc>
      </w:tr>
      <w:tr>
        <w:trPr>
          <w:trHeight w:val="177" w:hRule="atLeast"/>
        </w:trPr>
        <w:tc>
          <w:tcPr>
            <w:tcW w:w="9641" w:type="dxa"/>
          </w:tcPr>
          <w:p>
            <w:pPr>
              <w:pStyle w:val="TableParagraph"/>
              <w:spacing w:line="156" w:lineRule="exact" w:before="1"/>
              <w:ind w:left="50"/>
              <w:rPr>
                <w:sz w:val="15"/>
              </w:rPr>
            </w:pPr>
            <w:r>
              <w:rPr>
                <w:sz w:val="15"/>
              </w:rPr>
              <w:t>previo dictamen técnico de la Dirección General de Agua Potable y Saneamiento, pudiendo cancelar adeudos</w:t>
            </w:r>
          </w:p>
        </w:tc>
        <w:tc>
          <w:tcPr>
            <w:tcW w:w="6592" w:type="dxa"/>
          </w:tcPr>
          <w:p>
            <w:pPr>
              <w:pStyle w:val="TableParagraph"/>
              <w:rPr>
                <w:rFonts w:ascii="Times New Roman"/>
                <w:sz w:val="10"/>
              </w:rPr>
            </w:pPr>
          </w:p>
        </w:tc>
        <w:tc>
          <w:tcPr>
            <w:tcW w:w="845" w:type="dxa"/>
          </w:tcPr>
          <w:p>
            <w:pPr>
              <w:pStyle w:val="TableParagraph"/>
              <w:rPr>
                <w:rFonts w:ascii="Times New Roman"/>
                <w:sz w:val="10"/>
              </w:rPr>
            </w:pPr>
          </w:p>
        </w:tc>
      </w:tr>
      <w:tr>
        <w:trPr>
          <w:trHeight w:val="174" w:hRule="atLeast"/>
        </w:trPr>
        <w:tc>
          <w:tcPr>
            <w:tcW w:w="9641" w:type="dxa"/>
          </w:tcPr>
          <w:p>
            <w:pPr>
              <w:pStyle w:val="TableParagraph"/>
              <w:spacing w:line="153" w:lineRule="exact" w:before="1"/>
              <w:ind w:left="50"/>
              <w:rPr>
                <w:sz w:val="15"/>
              </w:rPr>
            </w:pPr>
            <w:r>
              <w:rPr>
                <w:sz w:val="15"/>
              </w:rPr>
              <w:t>generados por dichos servicios no prestados a los contribuyentes.</w:t>
            </w:r>
          </w:p>
        </w:tc>
        <w:tc>
          <w:tcPr>
            <w:tcW w:w="6592" w:type="dxa"/>
          </w:tcPr>
          <w:p>
            <w:pPr>
              <w:pStyle w:val="TableParagraph"/>
              <w:spacing w:line="153" w:lineRule="exact" w:before="1"/>
              <w:ind w:left="2428"/>
              <w:rPr>
                <w:sz w:val="15"/>
              </w:rPr>
            </w:pPr>
            <w:r>
              <w:rPr>
                <w:sz w:val="15"/>
              </w:rPr>
              <w:t>a) Ganado bovino, por cabeza:</w:t>
            </w:r>
          </w:p>
        </w:tc>
        <w:tc>
          <w:tcPr>
            <w:tcW w:w="845" w:type="dxa"/>
          </w:tcPr>
          <w:p>
            <w:pPr>
              <w:pStyle w:val="TableParagraph"/>
              <w:spacing w:line="153" w:lineRule="exact" w:before="1"/>
              <w:ind w:right="47"/>
              <w:jc w:val="right"/>
              <w:rPr>
                <w:sz w:val="15"/>
              </w:rPr>
            </w:pPr>
            <w:r>
              <w:rPr>
                <w:sz w:val="15"/>
              </w:rPr>
              <w:t>$13.00</w:t>
            </w:r>
          </w:p>
        </w:tc>
      </w:tr>
    </w:tbl>
    <w:p>
      <w:pPr>
        <w:pStyle w:val="BodyText"/>
        <w:spacing w:before="1"/>
        <w:rPr>
          <w:sz w:val="7"/>
        </w:rPr>
      </w:pPr>
    </w:p>
    <w:p>
      <w:pPr>
        <w:spacing w:after="0"/>
        <w:rPr>
          <w:sz w:val="7"/>
        </w:rPr>
        <w:sectPr>
          <w:type w:val="continuous"/>
          <w:pgSz w:w="23250" w:h="15310" w:orient="landscape"/>
          <w:pgMar w:top="0" w:bottom="0" w:left="1880" w:right="1520"/>
        </w:sectPr>
      </w:pPr>
    </w:p>
    <w:p>
      <w:pPr>
        <w:pStyle w:val="BodyText"/>
        <w:spacing w:line="247" w:lineRule="auto" w:before="98"/>
        <w:ind w:left="151" w:firstLine="397"/>
      </w:pPr>
      <w:r>
        <w:rPr>
          <w:b/>
        </w:rPr>
        <w:t>Artículo 108.- </w:t>
      </w:r>
      <w:r>
        <w:rPr/>
        <w:t>Del otorgamiento de las factibilidades. Los derechos por este concepto se causarán y pagarán, previamente, conforme a las siguientes:</w:t>
      </w:r>
    </w:p>
    <w:p>
      <w:pPr>
        <w:pStyle w:val="ListParagraph"/>
        <w:numPr>
          <w:ilvl w:val="0"/>
          <w:numId w:val="128"/>
        </w:numPr>
        <w:tabs>
          <w:tab w:pos="332" w:val="left" w:leader="none"/>
          <w:tab w:pos="4639" w:val="left" w:leader="none"/>
        </w:tabs>
        <w:spacing w:line="240" w:lineRule="auto" w:before="98" w:after="0"/>
        <w:ind w:left="331" w:right="0" w:hanging="181"/>
        <w:jc w:val="left"/>
        <w:rPr>
          <w:sz w:val="15"/>
        </w:rPr>
      </w:pPr>
      <w:r>
        <w:rPr>
          <w:w w:val="102"/>
          <w:sz w:val="15"/>
        </w:rPr>
        <w:br w:type="column"/>
      </w:r>
      <w:r>
        <w:rPr>
          <w:sz w:val="15"/>
        </w:rPr>
        <w:t>Ganado  porcino,</w:t>
      </w:r>
      <w:r>
        <w:rPr>
          <w:spacing w:val="-10"/>
          <w:sz w:val="15"/>
        </w:rPr>
        <w:t> </w:t>
      </w:r>
      <w:r>
        <w:rPr>
          <w:sz w:val="15"/>
        </w:rPr>
        <w:t>por</w:t>
      </w:r>
      <w:r>
        <w:rPr>
          <w:spacing w:val="16"/>
          <w:sz w:val="15"/>
        </w:rPr>
        <w:t> </w:t>
      </w:r>
      <w:r>
        <w:rPr>
          <w:sz w:val="15"/>
        </w:rPr>
        <w:t>cabeza:</w:t>
        <w:tab/>
        <w:t>$13.00</w:t>
      </w:r>
    </w:p>
    <w:p>
      <w:pPr>
        <w:pStyle w:val="BodyText"/>
        <w:spacing w:before="10"/>
      </w:pPr>
    </w:p>
    <w:p>
      <w:pPr>
        <w:pStyle w:val="ListParagraph"/>
        <w:numPr>
          <w:ilvl w:val="0"/>
          <w:numId w:val="128"/>
        </w:numPr>
        <w:tabs>
          <w:tab w:pos="323" w:val="left" w:leader="none"/>
          <w:tab w:pos="4638" w:val="left" w:leader="none"/>
        </w:tabs>
        <w:spacing w:line="240" w:lineRule="auto" w:before="0" w:after="0"/>
        <w:ind w:left="322" w:right="0" w:hanging="172"/>
        <w:jc w:val="left"/>
        <w:rPr>
          <w:sz w:val="15"/>
        </w:rPr>
      </w:pPr>
      <w:r>
        <w:rPr>
          <w:sz w:val="15"/>
        </w:rPr>
        <w:t>Ganado ovino y caprino, </w:t>
      </w:r>
      <w:r>
        <w:rPr>
          <w:spacing w:val="4"/>
          <w:sz w:val="15"/>
        </w:rPr>
        <w:t> </w:t>
      </w:r>
      <w:r>
        <w:rPr>
          <w:sz w:val="15"/>
        </w:rPr>
        <w:t>por</w:t>
      </w:r>
      <w:r>
        <w:rPr>
          <w:spacing w:val="12"/>
          <w:sz w:val="15"/>
        </w:rPr>
        <w:t> </w:t>
      </w:r>
      <w:r>
        <w:rPr>
          <w:sz w:val="15"/>
        </w:rPr>
        <w:t>cabeza:</w:t>
        <w:tab/>
        <w:t>$13.00</w:t>
      </w:r>
    </w:p>
    <w:p>
      <w:pPr>
        <w:spacing w:after="0" w:line="240" w:lineRule="auto"/>
        <w:jc w:val="left"/>
        <w:rPr>
          <w:sz w:val="15"/>
        </w:rPr>
        <w:sectPr>
          <w:type w:val="continuous"/>
          <w:pgSz w:w="23250" w:h="15310" w:orient="landscape"/>
          <w:pgMar w:top="0" w:bottom="0" w:left="1880" w:right="1520"/>
          <w:cols w:num="2" w:equalWidth="0">
            <w:col w:w="7751" w:space="4268"/>
            <w:col w:w="7831"/>
          </w:cols>
        </w:sectPr>
      </w:pPr>
    </w:p>
    <w:p>
      <w:pPr>
        <w:pStyle w:val="BodyText"/>
        <w:spacing w:before="5"/>
        <w:ind w:right="1124"/>
        <w:jc w:val="right"/>
      </w:pPr>
      <w:r>
        <w:rPr/>
        <w:t>TARIFAS:</w:t>
      </w:r>
    </w:p>
    <w:p>
      <w:pPr>
        <w:pStyle w:val="ListParagraph"/>
        <w:numPr>
          <w:ilvl w:val="1"/>
          <w:numId w:val="128"/>
        </w:numPr>
        <w:tabs>
          <w:tab w:pos="694" w:val="left" w:leader="none"/>
        </w:tabs>
        <w:spacing w:line="244" w:lineRule="auto" w:before="5" w:after="0"/>
        <w:ind w:left="151" w:right="38" w:firstLine="397"/>
        <w:jc w:val="left"/>
        <w:rPr>
          <w:sz w:val="15"/>
        </w:rPr>
      </w:pPr>
      <w:r>
        <w:rPr>
          <w:sz w:val="15"/>
        </w:rPr>
        <w:t>Dictamen de factibilidad de los servicios de agua potable y alcantarillado, a pagarse al Municipio de Tlajomulco de Zúñiga,</w:t>
      </w:r>
      <w:r>
        <w:rPr>
          <w:spacing w:val="3"/>
          <w:sz w:val="15"/>
        </w:rPr>
        <w:t> </w:t>
      </w:r>
      <w:r>
        <w:rPr>
          <w:sz w:val="15"/>
        </w:rPr>
        <w:t>Jalisco:</w:t>
      </w:r>
    </w:p>
    <w:p>
      <w:pPr>
        <w:pStyle w:val="BodyText"/>
        <w:spacing w:before="9"/>
      </w:pPr>
      <w:r>
        <w:rPr/>
        <w:br w:type="column"/>
      </w:r>
      <w:r>
        <w:rPr/>
      </w:r>
    </w:p>
    <w:p>
      <w:pPr>
        <w:pStyle w:val="BodyText"/>
        <w:spacing w:line="244" w:lineRule="auto"/>
        <w:ind w:left="151" w:right="3664" w:firstLine="397"/>
      </w:pPr>
      <w:r>
        <w:rPr/>
        <w:t>III. Por autorizar la introducción de ganado al rastro, en horas extraordinarias:</w:t>
      </w:r>
    </w:p>
    <w:p>
      <w:pPr>
        <w:spacing w:after="0" w:line="244" w:lineRule="auto"/>
        <w:sectPr>
          <w:type w:val="continuous"/>
          <w:pgSz w:w="23250" w:h="15310" w:orient="landscape"/>
          <w:pgMar w:top="0" w:bottom="0" w:left="1880" w:right="1520"/>
          <w:cols w:num="2" w:equalWidth="0">
            <w:col w:w="7750" w:space="3872"/>
            <w:col w:w="822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BodyText"/>
        <w:spacing w:before="98"/>
        <w:ind w:left="170"/>
      </w:pPr>
      <w:r>
        <w:rPr/>
        <w:pict>
          <v:shape style="position:absolute;margin-left:102.524109pt;margin-top:-74.696098pt;width:850.5pt;height:141.450pt;mso-position-horizontal-relative:page;mso-position-vertical-relative:paragraph;z-index:2517012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6"/>
                    <w:gridCol w:w="3774"/>
                    <w:gridCol w:w="7483"/>
                    <w:gridCol w:w="889"/>
                  </w:tblGrid>
                  <w:tr>
                    <w:trPr>
                      <w:trHeight w:val="263" w:hRule="atLeast"/>
                    </w:trPr>
                    <w:tc>
                      <w:tcPr>
                        <w:tcW w:w="4866" w:type="dxa"/>
                      </w:tcPr>
                      <w:p>
                        <w:pPr>
                          <w:pStyle w:val="TableParagraph"/>
                          <w:spacing w:line="171" w:lineRule="exact"/>
                          <w:ind w:left="377"/>
                          <w:rPr>
                            <w:sz w:val="15"/>
                          </w:rPr>
                        </w:pPr>
                        <w:r>
                          <w:rPr>
                            <w:sz w:val="15"/>
                          </w:rPr>
                          <w:t>a) De 0 a 500 metros cúbicos:</w:t>
                        </w:r>
                      </w:p>
                    </w:tc>
                    <w:tc>
                      <w:tcPr>
                        <w:tcW w:w="3774" w:type="dxa"/>
                      </w:tcPr>
                      <w:p>
                        <w:pPr>
                          <w:pStyle w:val="TableParagraph"/>
                          <w:spacing w:line="171" w:lineRule="exact"/>
                          <w:ind w:right="2961"/>
                          <w:jc w:val="right"/>
                          <w:rPr>
                            <w:sz w:val="15"/>
                          </w:rPr>
                        </w:pPr>
                        <w:r>
                          <w:rPr>
                            <w:sz w:val="15"/>
                          </w:rPr>
                          <w:t>$1,011.00</w:t>
                        </w:r>
                      </w:p>
                    </w:tc>
                    <w:tc>
                      <w:tcPr>
                        <w:tcW w:w="7483" w:type="dxa"/>
                      </w:tcPr>
                      <w:p>
                        <w:pPr>
                          <w:pStyle w:val="TableParagraph"/>
                          <w:spacing w:line="171" w:lineRule="exact"/>
                          <w:ind w:left="3359"/>
                          <w:rPr>
                            <w:sz w:val="15"/>
                          </w:rPr>
                        </w:pPr>
                        <w:r>
                          <w:rPr>
                            <w:sz w:val="15"/>
                          </w:rPr>
                          <w:t>a) Ganado bovino, por cabeza:</w:t>
                        </w:r>
                      </w:p>
                    </w:tc>
                    <w:tc>
                      <w:tcPr>
                        <w:tcW w:w="889" w:type="dxa"/>
                      </w:tcPr>
                      <w:p>
                        <w:pPr>
                          <w:pStyle w:val="TableParagraph"/>
                          <w:spacing w:line="171" w:lineRule="exact"/>
                          <w:ind w:right="51"/>
                          <w:jc w:val="right"/>
                          <w:rPr>
                            <w:sz w:val="15"/>
                          </w:rPr>
                        </w:pPr>
                        <w:r>
                          <w:rPr>
                            <w:sz w:val="15"/>
                          </w:rPr>
                          <w:t>$11.00</w:t>
                        </w:r>
                      </w:p>
                    </w:tc>
                  </w:tr>
                  <w:tr>
                    <w:trPr>
                      <w:trHeight w:val="354" w:hRule="atLeast"/>
                    </w:trPr>
                    <w:tc>
                      <w:tcPr>
                        <w:tcW w:w="4866" w:type="dxa"/>
                      </w:tcPr>
                      <w:p>
                        <w:pPr>
                          <w:pStyle w:val="TableParagraph"/>
                          <w:spacing w:before="90"/>
                          <w:ind w:left="377"/>
                          <w:rPr>
                            <w:sz w:val="15"/>
                          </w:rPr>
                        </w:pPr>
                        <w:r>
                          <w:rPr>
                            <w:sz w:val="15"/>
                          </w:rPr>
                          <w:t>b) De 501 a 5000 metros cúbicos:</w:t>
                        </w:r>
                      </w:p>
                    </w:tc>
                    <w:tc>
                      <w:tcPr>
                        <w:tcW w:w="3774" w:type="dxa"/>
                      </w:tcPr>
                      <w:p>
                        <w:pPr>
                          <w:pStyle w:val="TableParagraph"/>
                          <w:spacing w:before="90"/>
                          <w:ind w:right="2963"/>
                          <w:jc w:val="right"/>
                          <w:rPr>
                            <w:sz w:val="15"/>
                          </w:rPr>
                        </w:pPr>
                        <w:r>
                          <w:rPr>
                            <w:sz w:val="15"/>
                          </w:rPr>
                          <w:t>$2,022.00</w:t>
                        </w:r>
                      </w:p>
                    </w:tc>
                    <w:tc>
                      <w:tcPr>
                        <w:tcW w:w="7483" w:type="dxa"/>
                      </w:tcPr>
                      <w:p>
                        <w:pPr>
                          <w:pStyle w:val="TableParagraph"/>
                          <w:spacing w:before="89"/>
                          <w:ind w:left="3359"/>
                          <w:rPr>
                            <w:sz w:val="15"/>
                          </w:rPr>
                        </w:pPr>
                        <w:r>
                          <w:rPr>
                            <w:sz w:val="15"/>
                          </w:rPr>
                          <w:t>b) Ganado porcino, por cabeza:</w:t>
                        </w:r>
                      </w:p>
                    </w:tc>
                    <w:tc>
                      <w:tcPr>
                        <w:tcW w:w="889" w:type="dxa"/>
                      </w:tcPr>
                      <w:p>
                        <w:pPr>
                          <w:pStyle w:val="TableParagraph"/>
                          <w:spacing w:before="89"/>
                          <w:ind w:right="51"/>
                          <w:jc w:val="right"/>
                          <w:rPr>
                            <w:sz w:val="15"/>
                          </w:rPr>
                        </w:pPr>
                        <w:r>
                          <w:rPr>
                            <w:sz w:val="15"/>
                          </w:rPr>
                          <w:t>$11.00</w:t>
                        </w:r>
                      </w:p>
                    </w:tc>
                  </w:tr>
                  <w:tr>
                    <w:trPr>
                      <w:trHeight w:val="354" w:hRule="atLeast"/>
                    </w:trPr>
                    <w:tc>
                      <w:tcPr>
                        <w:tcW w:w="4866" w:type="dxa"/>
                      </w:tcPr>
                      <w:p>
                        <w:pPr>
                          <w:pStyle w:val="TableParagraph"/>
                          <w:spacing w:before="89"/>
                          <w:ind w:left="377"/>
                          <w:rPr>
                            <w:sz w:val="15"/>
                          </w:rPr>
                        </w:pPr>
                        <w:r>
                          <w:rPr>
                            <w:sz w:val="15"/>
                          </w:rPr>
                          <w:t>c) De 5001 a 7500 metros cúbicos:</w:t>
                        </w:r>
                      </w:p>
                    </w:tc>
                    <w:tc>
                      <w:tcPr>
                        <w:tcW w:w="3774" w:type="dxa"/>
                      </w:tcPr>
                      <w:p>
                        <w:pPr>
                          <w:pStyle w:val="TableParagraph"/>
                          <w:spacing w:before="89"/>
                          <w:ind w:right="2962"/>
                          <w:jc w:val="right"/>
                          <w:rPr>
                            <w:sz w:val="15"/>
                          </w:rPr>
                        </w:pPr>
                        <w:r>
                          <w:rPr>
                            <w:sz w:val="15"/>
                          </w:rPr>
                          <w:t>$5,051.00</w:t>
                        </w:r>
                      </w:p>
                    </w:tc>
                    <w:tc>
                      <w:tcPr>
                        <w:tcW w:w="7483" w:type="dxa"/>
                      </w:tcPr>
                      <w:p>
                        <w:pPr>
                          <w:pStyle w:val="TableParagraph"/>
                          <w:spacing w:before="89"/>
                          <w:ind w:left="3359"/>
                          <w:rPr>
                            <w:sz w:val="15"/>
                          </w:rPr>
                        </w:pPr>
                        <w:r>
                          <w:rPr>
                            <w:sz w:val="15"/>
                          </w:rPr>
                          <w:t>IV. Acarreo de carnes en camiones del Municipio:</w:t>
                        </w:r>
                      </w:p>
                    </w:tc>
                    <w:tc>
                      <w:tcPr>
                        <w:tcW w:w="889" w:type="dxa"/>
                      </w:tcPr>
                      <w:p>
                        <w:pPr>
                          <w:pStyle w:val="TableParagraph"/>
                          <w:rPr>
                            <w:rFonts w:ascii="Times New Roman"/>
                            <w:sz w:val="14"/>
                          </w:rPr>
                        </w:pPr>
                      </w:p>
                    </w:tc>
                  </w:tr>
                  <w:tr>
                    <w:trPr>
                      <w:trHeight w:val="354" w:hRule="atLeast"/>
                    </w:trPr>
                    <w:tc>
                      <w:tcPr>
                        <w:tcW w:w="4866" w:type="dxa"/>
                      </w:tcPr>
                      <w:p>
                        <w:pPr>
                          <w:pStyle w:val="TableParagraph"/>
                          <w:spacing w:before="90"/>
                          <w:ind w:left="377"/>
                          <w:rPr>
                            <w:sz w:val="15"/>
                          </w:rPr>
                        </w:pPr>
                        <w:r>
                          <w:rPr>
                            <w:sz w:val="15"/>
                          </w:rPr>
                          <w:t>d) Más de 7,501 metros cúbicos:</w:t>
                        </w:r>
                      </w:p>
                    </w:tc>
                    <w:tc>
                      <w:tcPr>
                        <w:tcW w:w="3774" w:type="dxa"/>
                      </w:tcPr>
                      <w:p>
                        <w:pPr>
                          <w:pStyle w:val="TableParagraph"/>
                          <w:spacing w:before="90"/>
                          <w:ind w:right="2962"/>
                          <w:jc w:val="right"/>
                          <w:rPr>
                            <w:sz w:val="15"/>
                          </w:rPr>
                        </w:pPr>
                        <w:r>
                          <w:rPr>
                            <w:sz w:val="15"/>
                          </w:rPr>
                          <w:t>$50,503.00</w:t>
                        </w:r>
                      </w:p>
                    </w:tc>
                    <w:tc>
                      <w:tcPr>
                        <w:tcW w:w="7483" w:type="dxa"/>
                      </w:tcPr>
                      <w:p>
                        <w:pPr>
                          <w:pStyle w:val="TableParagraph"/>
                          <w:spacing w:before="89"/>
                          <w:ind w:left="3359"/>
                          <w:rPr>
                            <w:sz w:val="15"/>
                          </w:rPr>
                        </w:pPr>
                        <w:r>
                          <w:rPr>
                            <w:sz w:val="15"/>
                          </w:rPr>
                          <w:t>a) Por cada canal de bovino:</w:t>
                        </w:r>
                      </w:p>
                    </w:tc>
                    <w:tc>
                      <w:tcPr>
                        <w:tcW w:w="889" w:type="dxa"/>
                      </w:tcPr>
                      <w:p>
                        <w:pPr>
                          <w:pStyle w:val="TableParagraph"/>
                          <w:spacing w:before="89"/>
                          <w:ind w:right="50"/>
                          <w:jc w:val="right"/>
                          <w:rPr>
                            <w:sz w:val="15"/>
                          </w:rPr>
                        </w:pPr>
                        <w:r>
                          <w:rPr>
                            <w:sz w:val="15"/>
                          </w:rPr>
                          <w:t>$170.00</w:t>
                        </w:r>
                      </w:p>
                    </w:tc>
                  </w:tr>
                  <w:tr>
                    <w:trPr>
                      <w:trHeight w:val="354" w:hRule="atLeast"/>
                    </w:trPr>
                    <w:tc>
                      <w:tcPr>
                        <w:tcW w:w="4866" w:type="dxa"/>
                      </w:tcPr>
                      <w:p>
                        <w:pPr>
                          <w:pStyle w:val="TableParagraph"/>
                          <w:spacing w:before="90"/>
                          <w:ind w:left="377"/>
                          <w:rPr>
                            <w:sz w:val="15"/>
                          </w:rPr>
                        </w:pPr>
                        <w:r>
                          <w:rPr>
                            <w:sz w:val="15"/>
                          </w:rPr>
                          <w:t>II. Constancia de inexistencia de infraestructura de agua</w:t>
                        </w:r>
                      </w:p>
                    </w:tc>
                    <w:tc>
                      <w:tcPr>
                        <w:tcW w:w="3774" w:type="dxa"/>
                      </w:tcPr>
                      <w:p>
                        <w:pPr>
                          <w:pStyle w:val="TableParagraph"/>
                          <w:spacing w:before="90"/>
                          <w:ind w:right="2962"/>
                          <w:jc w:val="right"/>
                          <w:rPr>
                            <w:sz w:val="15"/>
                          </w:rPr>
                        </w:pPr>
                        <w:r>
                          <w:rPr>
                            <w:sz w:val="15"/>
                          </w:rPr>
                          <w:t>$446.00</w:t>
                        </w:r>
                      </w:p>
                    </w:tc>
                    <w:tc>
                      <w:tcPr>
                        <w:tcW w:w="7483" w:type="dxa"/>
                      </w:tcPr>
                      <w:p>
                        <w:pPr>
                          <w:pStyle w:val="TableParagraph"/>
                          <w:spacing w:before="89"/>
                          <w:ind w:left="3359"/>
                          <w:rPr>
                            <w:sz w:val="15"/>
                          </w:rPr>
                        </w:pPr>
                        <w:r>
                          <w:rPr>
                            <w:sz w:val="15"/>
                          </w:rPr>
                          <w:t>b) Por cada canal de cerdo:</w:t>
                        </w:r>
                      </w:p>
                    </w:tc>
                    <w:tc>
                      <w:tcPr>
                        <w:tcW w:w="889" w:type="dxa"/>
                      </w:tcPr>
                      <w:p>
                        <w:pPr>
                          <w:pStyle w:val="TableParagraph"/>
                          <w:spacing w:before="89"/>
                          <w:ind w:right="51"/>
                          <w:jc w:val="right"/>
                          <w:rPr>
                            <w:sz w:val="15"/>
                          </w:rPr>
                        </w:pPr>
                        <w:r>
                          <w:rPr>
                            <w:sz w:val="15"/>
                          </w:rPr>
                          <w:t>$61.00</w:t>
                        </w:r>
                      </w:p>
                    </w:tc>
                  </w:tr>
                  <w:tr>
                    <w:trPr>
                      <w:trHeight w:val="265" w:hRule="atLeast"/>
                    </w:trPr>
                    <w:tc>
                      <w:tcPr>
                        <w:tcW w:w="4866" w:type="dxa"/>
                      </w:tcPr>
                      <w:p>
                        <w:pPr>
                          <w:pStyle w:val="TableParagraph"/>
                          <w:spacing w:line="156" w:lineRule="exact" w:before="89"/>
                          <w:ind w:left="377"/>
                          <w:rPr>
                            <w:sz w:val="15"/>
                          </w:rPr>
                        </w:pPr>
                        <w:r>
                          <w:rPr>
                            <w:sz w:val="15"/>
                          </w:rPr>
                          <w:t>III. Actualización certificación anual de dictámenes:</w:t>
                        </w:r>
                      </w:p>
                    </w:tc>
                    <w:tc>
                      <w:tcPr>
                        <w:tcW w:w="3774" w:type="dxa"/>
                      </w:tcPr>
                      <w:p>
                        <w:pPr>
                          <w:pStyle w:val="TableParagraph"/>
                          <w:rPr>
                            <w:rFonts w:ascii="Times New Roman"/>
                            <w:sz w:val="14"/>
                          </w:rPr>
                        </w:pPr>
                      </w:p>
                    </w:tc>
                    <w:tc>
                      <w:tcPr>
                        <w:tcW w:w="7483" w:type="dxa"/>
                      </w:tcPr>
                      <w:p>
                        <w:pPr>
                          <w:pStyle w:val="TableParagraph"/>
                          <w:spacing w:line="156" w:lineRule="exact" w:before="89"/>
                          <w:ind w:left="3359"/>
                          <w:rPr>
                            <w:sz w:val="15"/>
                          </w:rPr>
                        </w:pPr>
                        <w:r>
                          <w:rPr>
                            <w:sz w:val="15"/>
                          </w:rPr>
                          <w:t>c) Por cada canal de ovinos, caprinos y becerros de</w:t>
                        </w:r>
                      </w:p>
                    </w:tc>
                    <w:tc>
                      <w:tcPr>
                        <w:tcW w:w="889" w:type="dxa"/>
                      </w:tcPr>
                      <w:p>
                        <w:pPr>
                          <w:pStyle w:val="TableParagraph"/>
                          <w:rPr>
                            <w:rFonts w:ascii="Times New Roman"/>
                            <w:sz w:val="14"/>
                          </w:rPr>
                        </w:pPr>
                      </w:p>
                    </w:tc>
                  </w:tr>
                  <w:tr>
                    <w:trPr>
                      <w:trHeight w:val="265" w:hRule="atLeast"/>
                    </w:trPr>
                    <w:tc>
                      <w:tcPr>
                        <w:tcW w:w="4866" w:type="dxa"/>
                      </w:tcPr>
                      <w:p>
                        <w:pPr>
                          <w:pStyle w:val="TableParagraph"/>
                          <w:rPr>
                            <w:rFonts w:ascii="Times New Roman"/>
                            <w:sz w:val="14"/>
                          </w:rPr>
                        </w:pPr>
                      </w:p>
                    </w:tc>
                    <w:tc>
                      <w:tcPr>
                        <w:tcW w:w="3774" w:type="dxa"/>
                      </w:tcPr>
                      <w:p>
                        <w:pPr>
                          <w:pStyle w:val="TableParagraph"/>
                          <w:spacing w:before="1"/>
                          <w:ind w:right="2962"/>
                          <w:jc w:val="right"/>
                          <w:rPr>
                            <w:sz w:val="15"/>
                          </w:rPr>
                        </w:pPr>
                        <w:r>
                          <w:rPr>
                            <w:sz w:val="15"/>
                          </w:rPr>
                          <w:t>$1,550.00</w:t>
                        </w:r>
                      </w:p>
                    </w:tc>
                    <w:tc>
                      <w:tcPr>
                        <w:tcW w:w="7483" w:type="dxa"/>
                      </w:tcPr>
                      <w:p>
                        <w:pPr>
                          <w:pStyle w:val="TableParagraph"/>
                          <w:spacing w:before="1"/>
                          <w:ind w:left="2948" w:right="4093"/>
                          <w:jc w:val="center"/>
                          <w:rPr>
                            <w:sz w:val="15"/>
                          </w:rPr>
                        </w:pPr>
                        <w:r>
                          <w:rPr>
                            <w:sz w:val="15"/>
                          </w:rPr>
                          <w:t>leche:</w:t>
                        </w:r>
                      </w:p>
                    </w:tc>
                    <w:tc>
                      <w:tcPr>
                        <w:tcW w:w="889" w:type="dxa"/>
                      </w:tcPr>
                      <w:p>
                        <w:pPr>
                          <w:pStyle w:val="TableParagraph"/>
                          <w:spacing w:before="1"/>
                          <w:ind w:right="52"/>
                          <w:jc w:val="right"/>
                          <w:rPr>
                            <w:sz w:val="15"/>
                          </w:rPr>
                        </w:pPr>
                        <w:r>
                          <w:rPr>
                            <w:sz w:val="15"/>
                          </w:rPr>
                          <w:t>$46.00</w:t>
                        </w:r>
                      </w:p>
                    </w:tc>
                  </w:tr>
                  <w:tr>
                    <w:trPr>
                      <w:trHeight w:val="266" w:hRule="atLeast"/>
                    </w:trPr>
                    <w:tc>
                      <w:tcPr>
                        <w:tcW w:w="4866" w:type="dxa"/>
                      </w:tcPr>
                      <w:p>
                        <w:pPr>
                          <w:pStyle w:val="TableParagraph"/>
                          <w:rPr>
                            <w:rFonts w:ascii="Times New Roman"/>
                            <w:sz w:val="14"/>
                          </w:rPr>
                        </w:pPr>
                      </w:p>
                    </w:tc>
                    <w:tc>
                      <w:tcPr>
                        <w:tcW w:w="11257" w:type="dxa"/>
                        <w:gridSpan w:val="2"/>
                      </w:tcPr>
                      <w:p>
                        <w:pPr>
                          <w:pStyle w:val="TableParagraph"/>
                          <w:spacing w:line="156" w:lineRule="exact" w:before="90"/>
                          <w:ind w:left="7133"/>
                          <w:rPr>
                            <w:sz w:val="15"/>
                          </w:rPr>
                        </w:pPr>
                        <w:r>
                          <w:rPr>
                            <w:sz w:val="15"/>
                          </w:rPr>
                          <w:t>d) Por cada menudo:</w:t>
                        </w:r>
                      </w:p>
                    </w:tc>
                    <w:tc>
                      <w:tcPr>
                        <w:tcW w:w="889" w:type="dxa"/>
                      </w:tcPr>
                      <w:p>
                        <w:pPr>
                          <w:pStyle w:val="TableParagraph"/>
                          <w:spacing w:line="156" w:lineRule="exact" w:before="90"/>
                          <w:ind w:right="51"/>
                          <w:jc w:val="right"/>
                          <w:rPr>
                            <w:sz w:val="15"/>
                          </w:rPr>
                        </w:pPr>
                        <w:r>
                          <w:rPr>
                            <w:sz w:val="15"/>
                          </w:rPr>
                          <w:t>$ 7.00</w:t>
                        </w:r>
                      </w:p>
                    </w:tc>
                  </w:tr>
                  <w:tr>
                    <w:trPr>
                      <w:trHeight w:val="351" w:hRule="atLeast"/>
                    </w:trPr>
                    <w:tc>
                      <w:tcPr>
                        <w:tcW w:w="4866" w:type="dxa"/>
                      </w:tcPr>
                      <w:p>
                        <w:pPr>
                          <w:pStyle w:val="TableParagraph"/>
                          <w:spacing w:before="1"/>
                          <w:ind w:left="2698" w:right="44"/>
                          <w:jc w:val="center"/>
                          <w:rPr>
                            <w:b/>
                            <w:sz w:val="15"/>
                          </w:rPr>
                        </w:pPr>
                        <w:r>
                          <w:rPr>
                            <w:b/>
                            <w:sz w:val="15"/>
                          </w:rPr>
                          <w:t>SECCIÓN DÉCIMA TERCERA</w:t>
                        </w:r>
                      </w:p>
                      <w:p>
                        <w:pPr>
                          <w:pStyle w:val="TableParagraph"/>
                          <w:spacing w:line="153" w:lineRule="exact" w:before="4"/>
                          <w:ind w:left="2697" w:right="44"/>
                          <w:jc w:val="center"/>
                          <w:rPr>
                            <w:b/>
                            <w:sz w:val="15"/>
                          </w:rPr>
                        </w:pPr>
                        <w:r>
                          <w:rPr>
                            <w:b/>
                            <w:sz w:val="15"/>
                          </w:rPr>
                          <w:t>Del Rastro</w:t>
                        </w:r>
                      </w:p>
                    </w:tc>
                    <w:tc>
                      <w:tcPr>
                        <w:tcW w:w="11257" w:type="dxa"/>
                        <w:gridSpan w:val="2"/>
                      </w:tcPr>
                      <w:p>
                        <w:pPr>
                          <w:pStyle w:val="TableParagraph"/>
                          <w:spacing w:before="4"/>
                          <w:rPr>
                            <w:sz w:val="15"/>
                          </w:rPr>
                        </w:pPr>
                      </w:p>
                      <w:p>
                        <w:pPr>
                          <w:pStyle w:val="TableParagraph"/>
                          <w:spacing w:line="154" w:lineRule="exact"/>
                          <w:ind w:left="7133"/>
                          <w:rPr>
                            <w:sz w:val="15"/>
                          </w:rPr>
                        </w:pPr>
                        <w:r>
                          <w:rPr>
                            <w:sz w:val="15"/>
                          </w:rPr>
                          <w:t>e) Por varilla, por cada fracción de bovino:</w:t>
                        </w:r>
                      </w:p>
                    </w:tc>
                    <w:tc>
                      <w:tcPr>
                        <w:tcW w:w="889" w:type="dxa"/>
                      </w:tcPr>
                      <w:p>
                        <w:pPr>
                          <w:pStyle w:val="TableParagraph"/>
                          <w:spacing w:before="4"/>
                          <w:rPr>
                            <w:sz w:val="15"/>
                          </w:rPr>
                        </w:pPr>
                      </w:p>
                      <w:p>
                        <w:pPr>
                          <w:pStyle w:val="TableParagraph"/>
                          <w:spacing w:line="154" w:lineRule="exact"/>
                          <w:ind w:right="50"/>
                          <w:jc w:val="right"/>
                          <w:rPr>
                            <w:sz w:val="15"/>
                          </w:rPr>
                        </w:pPr>
                        <w:r>
                          <w:rPr>
                            <w:sz w:val="15"/>
                          </w:rPr>
                          <w:t>$32.00</w:t>
                        </w:r>
                      </w:p>
                    </w:tc>
                  </w:tr>
                </w:tbl>
                <w:p>
                  <w:pPr>
                    <w:pStyle w:val="BodyText"/>
                  </w:pPr>
                </w:p>
              </w:txbxContent>
            </v:textbox>
            <w10:wrap type="none"/>
          </v:shape>
        </w:pict>
      </w:r>
      <w:r>
        <w:rPr/>
        <w:t>potable y alcantarillado: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after="0"/>
        <w:rPr>
          <w:sz w:val="19"/>
        </w:rPr>
        <w:sectPr>
          <w:type w:val="continuous"/>
          <w:pgSz w:w="23250" w:h="15310" w:orient="landscape"/>
          <w:pgMar w:top="0" w:bottom="0" w:left="1880" w:right="1520"/>
        </w:sectPr>
      </w:pPr>
    </w:p>
    <w:p>
      <w:pPr>
        <w:pStyle w:val="BodyText"/>
        <w:spacing w:line="247" w:lineRule="auto" w:before="98"/>
        <w:ind w:left="151" w:right="38" w:firstLine="397"/>
        <w:jc w:val="both"/>
      </w:pPr>
      <w:r>
        <w:rPr>
          <w:b/>
        </w:rPr>
        <w:t>Artículo 109.- </w:t>
      </w:r>
      <w:r>
        <w:rPr/>
        <w:t>Las personas físicas o jurídicas que pretenden realizar la matanza de cualquier clase de animales para consumo humano, ya sea dentro de los Rastros Municipales o en Rastros Particulares,  incluyendo los Rastros Tipo Inspección Federal </w:t>
      </w:r>
      <w:r>
        <w:rPr>
          <w:spacing w:val="-5"/>
        </w:rPr>
        <w:t>(T.I.F.) </w:t>
      </w:r>
      <w:r>
        <w:rPr/>
        <w:t>dentro del Municipio, deberán obtener la autorización correspondiente y pagar los derechos, conforme a lo</w:t>
      </w:r>
      <w:r>
        <w:rPr>
          <w:spacing w:val="16"/>
        </w:rPr>
        <w:t> </w:t>
      </w:r>
      <w:r>
        <w:rPr/>
        <w:t>siguiente:</w:t>
      </w:r>
    </w:p>
    <w:p>
      <w:pPr>
        <w:pStyle w:val="ListParagraph"/>
        <w:numPr>
          <w:ilvl w:val="0"/>
          <w:numId w:val="130"/>
        </w:numPr>
        <w:tabs>
          <w:tab w:pos="289" w:val="left" w:leader="none"/>
          <w:tab w:pos="4725" w:val="left" w:leader="none"/>
        </w:tabs>
        <w:spacing w:line="240" w:lineRule="auto" w:before="98" w:after="0"/>
        <w:ind w:left="288" w:right="0" w:hanging="138"/>
        <w:jc w:val="left"/>
        <w:rPr>
          <w:sz w:val="15"/>
        </w:rPr>
      </w:pPr>
      <w:r>
        <w:rPr>
          <w:w w:val="102"/>
          <w:sz w:val="15"/>
        </w:rPr>
        <w:br w:type="column"/>
      </w:r>
      <w:r>
        <w:rPr>
          <w:sz w:val="15"/>
        </w:rPr>
        <w:t>Por cada piel</w:t>
      </w:r>
      <w:r>
        <w:rPr>
          <w:spacing w:val="29"/>
          <w:sz w:val="15"/>
        </w:rPr>
        <w:t> </w:t>
      </w:r>
      <w:r>
        <w:rPr>
          <w:sz w:val="15"/>
        </w:rPr>
        <w:t>de</w:t>
      </w:r>
      <w:r>
        <w:rPr>
          <w:spacing w:val="10"/>
          <w:sz w:val="15"/>
        </w:rPr>
        <w:t> </w:t>
      </w:r>
      <w:r>
        <w:rPr>
          <w:sz w:val="15"/>
        </w:rPr>
        <w:t>bovino:</w:t>
        <w:tab/>
        <w:t>$7.00</w:t>
      </w:r>
    </w:p>
    <w:p>
      <w:pPr>
        <w:pStyle w:val="BodyText"/>
        <w:spacing w:before="10"/>
      </w:pPr>
    </w:p>
    <w:p>
      <w:pPr>
        <w:pStyle w:val="ListParagraph"/>
        <w:numPr>
          <w:ilvl w:val="0"/>
          <w:numId w:val="130"/>
        </w:numPr>
        <w:tabs>
          <w:tab w:pos="331" w:val="left" w:leader="none"/>
          <w:tab w:pos="4725" w:val="left" w:leader="none"/>
        </w:tabs>
        <w:spacing w:line="240" w:lineRule="auto" w:before="0" w:after="0"/>
        <w:ind w:left="330" w:right="0" w:hanging="180"/>
        <w:jc w:val="left"/>
        <w:rPr>
          <w:sz w:val="15"/>
        </w:rPr>
      </w:pPr>
      <w:r>
        <w:rPr>
          <w:sz w:val="15"/>
        </w:rPr>
        <w:t>Por cada piel</w:t>
      </w:r>
      <w:r>
        <w:rPr>
          <w:spacing w:val="26"/>
          <w:sz w:val="15"/>
        </w:rPr>
        <w:t> </w:t>
      </w:r>
      <w:r>
        <w:rPr>
          <w:sz w:val="15"/>
        </w:rPr>
        <w:t>de</w:t>
      </w:r>
      <w:r>
        <w:rPr>
          <w:spacing w:val="9"/>
          <w:sz w:val="15"/>
        </w:rPr>
        <w:t> </w:t>
      </w:r>
      <w:r>
        <w:rPr>
          <w:sz w:val="15"/>
        </w:rPr>
        <w:t>cerdo:</w:t>
        <w:tab/>
        <w:t>$7.00</w:t>
      </w:r>
    </w:p>
    <w:p>
      <w:pPr>
        <w:pStyle w:val="BodyText"/>
        <w:spacing w:before="9"/>
      </w:pPr>
    </w:p>
    <w:p>
      <w:pPr>
        <w:pStyle w:val="BodyText"/>
        <w:tabs>
          <w:tab w:pos="4725" w:val="left" w:leader="none"/>
        </w:tabs>
        <w:ind w:left="151"/>
      </w:pPr>
      <w:r>
        <w:rPr/>
        <w:t>h Por cada piel de</w:t>
      </w:r>
      <w:r>
        <w:rPr>
          <w:spacing w:val="36"/>
        </w:rPr>
        <w:t> </w:t>
      </w:r>
      <w:r>
        <w:rPr/>
        <w:t>ganado</w:t>
      </w:r>
      <w:r>
        <w:rPr>
          <w:spacing w:val="7"/>
        </w:rPr>
        <w:t> </w:t>
      </w:r>
      <w:r>
        <w:rPr/>
        <w:t>caprino:</w:t>
        <w:tab/>
        <w:t>$7.00</w:t>
      </w:r>
    </w:p>
    <w:p>
      <w:pPr>
        <w:spacing w:after="0"/>
        <w:sectPr>
          <w:type w:val="continuous"/>
          <w:pgSz w:w="23250" w:h="15310" w:orient="landscape"/>
          <w:pgMar w:top="0" w:bottom="0" w:left="1880" w:right="1520"/>
          <w:cols w:num="2" w:equalWidth="0">
            <w:col w:w="7750" w:space="4269"/>
            <w:col w:w="7831"/>
          </w:cols>
        </w:sectPr>
      </w:pPr>
    </w:p>
    <w:p>
      <w:pPr>
        <w:pStyle w:val="BodyText"/>
        <w:spacing w:before="4"/>
        <w:ind w:left="5762"/>
      </w:pPr>
      <w:r>
        <w:rPr/>
        <w:t>TARIFAS</w:t>
      </w:r>
    </w:p>
    <w:p>
      <w:pPr>
        <w:pStyle w:val="ListParagraph"/>
        <w:numPr>
          <w:ilvl w:val="1"/>
          <w:numId w:val="130"/>
        </w:numPr>
        <w:tabs>
          <w:tab w:pos="12299" w:val="left" w:leader="none"/>
          <w:tab w:pos="16744" w:val="left" w:leader="none"/>
        </w:tabs>
        <w:spacing w:line="240" w:lineRule="auto" w:before="5" w:after="0"/>
        <w:ind w:left="12298" w:right="0" w:hanging="129"/>
        <w:jc w:val="left"/>
        <w:rPr>
          <w:sz w:val="15"/>
        </w:rPr>
      </w:pPr>
      <w:r>
        <w:rPr>
          <w:sz w:val="15"/>
        </w:rPr>
        <w:t>Por cada kilogramo</w:t>
      </w:r>
      <w:r>
        <w:rPr>
          <w:spacing w:val="34"/>
          <w:sz w:val="15"/>
        </w:rPr>
        <w:t> </w:t>
      </w:r>
      <w:r>
        <w:rPr>
          <w:sz w:val="15"/>
        </w:rPr>
        <w:t>de</w:t>
      </w:r>
      <w:r>
        <w:rPr>
          <w:spacing w:val="12"/>
          <w:sz w:val="15"/>
        </w:rPr>
        <w:t> </w:t>
      </w:r>
      <w:r>
        <w:rPr>
          <w:sz w:val="15"/>
        </w:rPr>
        <w:t>cebo:</w:t>
        <w:tab/>
        <w:t>$7.00</w:t>
      </w:r>
    </w:p>
    <w:p>
      <w:pPr>
        <w:spacing w:after="0" w:line="240" w:lineRule="auto"/>
        <w:jc w:val="left"/>
        <w:rPr>
          <w:sz w:val="15"/>
        </w:rPr>
        <w:sectPr>
          <w:type w:val="continuous"/>
          <w:pgSz w:w="23250" w:h="15310" w:orient="landscape"/>
          <w:pgMar w:top="0" w:bottom="0" w:left="1880" w:right="1520"/>
        </w:sectPr>
      </w:pPr>
    </w:p>
    <w:p>
      <w:pPr>
        <w:pStyle w:val="BodyText"/>
        <w:rPr>
          <w:sz w:val="20"/>
        </w:rPr>
      </w:pPr>
    </w:p>
    <w:p>
      <w:pPr>
        <w:pStyle w:val="BodyText"/>
        <w:spacing w:before="7"/>
        <w:rPr>
          <w:sz w:val="29"/>
        </w:rPr>
      </w:pPr>
    </w:p>
    <w:p>
      <w:pPr>
        <w:spacing w:after="0"/>
        <w:rPr>
          <w:sz w:val="29"/>
        </w:rPr>
        <w:sectPr>
          <w:headerReference w:type="default" r:id="rId90"/>
          <w:pgSz w:w="23250" w:h="15310" w:orient="landscape"/>
          <w:pgMar w:header="881" w:footer="499" w:top="1920" w:bottom="680" w:left="1880" w:right="1520"/>
        </w:sectPr>
      </w:pPr>
    </w:p>
    <w:p>
      <w:pPr>
        <w:pStyle w:val="BodyText"/>
        <w:rPr>
          <w:sz w:val="16"/>
        </w:rPr>
      </w:pPr>
    </w:p>
    <w:p>
      <w:pPr>
        <w:pStyle w:val="ListParagraph"/>
        <w:numPr>
          <w:ilvl w:val="0"/>
          <w:numId w:val="131"/>
        </w:numPr>
        <w:tabs>
          <w:tab w:pos="810" w:val="left" w:leader="none"/>
        </w:tabs>
        <w:spacing w:line="247" w:lineRule="auto" w:before="92" w:after="0"/>
        <w:ind w:left="150" w:right="1156" w:firstLine="397"/>
        <w:jc w:val="left"/>
        <w:rPr>
          <w:sz w:val="15"/>
        </w:rPr>
      </w:pPr>
      <w:r>
        <w:rPr>
          <w:sz w:val="15"/>
        </w:rPr>
        <w:t>Por servicios que se presten en los Rastros Municipales:</w:t>
      </w:r>
    </w:p>
    <w:p>
      <w:pPr>
        <w:pStyle w:val="BodyText"/>
        <w:spacing w:before="3"/>
      </w:pPr>
    </w:p>
    <w:p>
      <w:pPr>
        <w:pStyle w:val="ListParagraph"/>
        <w:numPr>
          <w:ilvl w:val="0"/>
          <w:numId w:val="132"/>
        </w:numPr>
        <w:tabs>
          <w:tab w:pos="750" w:val="left" w:leader="none"/>
        </w:tabs>
        <w:spacing w:line="247" w:lineRule="auto" w:before="0" w:after="0"/>
        <w:ind w:left="150" w:right="1155" w:firstLine="397"/>
        <w:jc w:val="left"/>
        <w:rPr>
          <w:sz w:val="15"/>
        </w:rPr>
      </w:pPr>
      <w:r>
        <w:rPr>
          <w:sz w:val="15"/>
        </w:rPr>
        <w:t>Por el uso de corrales, diariamente después de las primeras 24</w:t>
      </w:r>
      <w:r>
        <w:rPr>
          <w:spacing w:val="2"/>
          <w:sz w:val="15"/>
        </w:rPr>
        <w:t> </w:t>
      </w:r>
      <w:r>
        <w:rPr>
          <w:sz w:val="15"/>
        </w:rPr>
        <w:t>horas:</w:t>
      </w:r>
    </w:p>
    <w:p>
      <w:pPr>
        <w:pStyle w:val="BodyText"/>
        <w:spacing w:before="4"/>
      </w:pPr>
    </w:p>
    <w:p>
      <w:pPr>
        <w:pStyle w:val="ListParagraph"/>
        <w:numPr>
          <w:ilvl w:val="0"/>
          <w:numId w:val="133"/>
        </w:numPr>
        <w:tabs>
          <w:tab w:pos="720" w:val="left" w:leader="none"/>
          <w:tab w:pos="5047" w:val="left" w:leader="none"/>
        </w:tabs>
        <w:spacing w:line="240" w:lineRule="auto" w:before="0" w:after="0"/>
        <w:ind w:left="719" w:right="0" w:hanging="172"/>
        <w:jc w:val="left"/>
        <w:rPr>
          <w:sz w:val="15"/>
        </w:rPr>
      </w:pPr>
      <w:r>
        <w:rPr>
          <w:sz w:val="15"/>
        </w:rPr>
        <w:t>Ganado  bovino,</w:t>
      </w:r>
      <w:r>
        <w:rPr>
          <w:spacing w:val="-11"/>
          <w:sz w:val="15"/>
        </w:rPr>
        <w:t> </w:t>
      </w:r>
      <w:r>
        <w:rPr>
          <w:sz w:val="15"/>
        </w:rPr>
        <w:t>por</w:t>
      </w:r>
      <w:r>
        <w:rPr>
          <w:spacing w:val="15"/>
          <w:sz w:val="15"/>
        </w:rPr>
        <w:t> </w:t>
      </w:r>
      <w:r>
        <w:rPr>
          <w:sz w:val="15"/>
        </w:rPr>
        <w:t>cabeza:</w:t>
        <w:tab/>
        <w:t>$11.00</w:t>
      </w:r>
    </w:p>
    <w:p>
      <w:pPr>
        <w:pStyle w:val="BodyText"/>
        <w:spacing w:before="8"/>
      </w:pPr>
    </w:p>
    <w:p>
      <w:pPr>
        <w:pStyle w:val="ListParagraph"/>
        <w:numPr>
          <w:ilvl w:val="0"/>
          <w:numId w:val="133"/>
        </w:numPr>
        <w:tabs>
          <w:tab w:pos="720" w:val="left" w:leader="none"/>
          <w:tab w:pos="5047" w:val="left" w:leader="none"/>
        </w:tabs>
        <w:spacing w:line="240" w:lineRule="auto" w:before="1" w:after="0"/>
        <w:ind w:left="719" w:right="0" w:hanging="172"/>
        <w:jc w:val="left"/>
        <w:rPr>
          <w:sz w:val="15"/>
        </w:rPr>
      </w:pPr>
      <w:r>
        <w:rPr>
          <w:sz w:val="15"/>
        </w:rPr>
        <w:t>Ganado  porcino,</w:t>
      </w:r>
      <w:r>
        <w:rPr>
          <w:spacing w:val="-10"/>
          <w:sz w:val="15"/>
        </w:rPr>
        <w:t> </w:t>
      </w:r>
      <w:r>
        <w:rPr>
          <w:sz w:val="15"/>
        </w:rPr>
        <w:t>por</w:t>
      </w:r>
      <w:r>
        <w:rPr>
          <w:spacing w:val="16"/>
          <w:sz w:val="15"/>
        </w:rPr>
        <w:t> </w:t>
      </w:r>
      <w:r>
        <w:rPr>
          <w:sz w:val="15"/>
        </w:rPr>
        <w:t>cabeza:</w:t>
        <w:tab/>
        <w:t>$11.00</w:t>
      </w:r>
    </w:p>
    <w:p>
      <w:pPr>
        <w:pStyle w:val="BodyText"/>
        <w:spacing w:before="9"/>
      </w:pPr>
    </w:p>
    <w:p>
      <w:pPr>
        <w:pStyle w:val="ListParagraph"/>
        <w:numPr>
          <w:ilvl w:val="0"/>
          <w:numId w:val="132"/>
        </w:numPr>
        <w:tabs>
          <w:tab w:pos="802" w:val="left" w:leader="none"/>
        </w:tabs>
        <w:spacing w:line="240" w:lineRule="auto" w:before="0" w:after="0"/>
        <w:ind w:left="801" w:right="0" w:hanging="254"/>
        <w:jc w:val="left"/>
        <w:rPr>
          <w:sz w:val="15"/>
        </w:rPr>
      </w:pPr>
      <w:r>
        <w:rPr>
          <w:sz w:val="15"/>
        </w:rPr>
        <w:t>Enmantado de canales de ganado bovino,</w:t>
      </w:r>
      <w:r>
        <w:rPr>
          <w:spacing w:val="12"/>
          <w:sz w:val="15"/>
        </w:rPr>
        <w:t> </w:t>
      </w:r>
      <w:r>
        <w:rPr>
          <w:sz w:val="15"/>
        </w:rPr>
        <w:t>por</w:t>
      </w:r>
    </w:p>
    <w:p>
      <w:pPr>
        <w:pStyle w:val="BodyText"/>
        <w:tabs>
          <w:tab w:pos="5035" w:val="left" w:leader="none"/>
        </w:tabs>
        <w:spacing w:before="5"/>
        <w:ind w:left="150"/>
      </w:pPr>
      <w:r>
        <w:rPr/>
        <w:t>cabeza:</w:t>
        <w:tab/>
        <w:t>$42.00</w:t>
      </w:r>
    </w:p>
    <w:p>
      <w:pPr>
        <w:pStyle w:val="BodyText"/>
        <w:spacing w:before="8"/>
      </w:pPr>
    </w:p>
    <w:p>
      <w:pPr>
        <w:pStyle w:val="ListParagraph"/>
        <w:numPr>
          <w:ilvl w:val="0"/>
          <w:numId w:val="132"/>
        </w:numPr>
        <w:tabs>
          <w:tab w:pos="720" w:val="left" w:leader="none"/>
        </w:tabs>
        <w:spacing w:line="240" w:lineRule="auto" w:before="1" w:after="0"/>
        <w:ind w:left="719" w:right="0" w:hanging="172"/>
        <w:jc w:val="left"/>
        <w:rPr>
          <w:sz w:val="15"/>
        </w:rPr>
      </w:pPr>
      <w:r>
        <w:rPr>
          <w:sz w:val="15"/>
        </w:rPr>
        <w:t>Por refrigeración, cada veinticuatro</w:t>
      </w:r>
      <w:r>
        <w:rPr>
          <w:spacing w:val="9"/>
          <w:sz w:val="15"/>
        </w:rPr>
        <w:t> </w:t>
      </w:r>
      <w:r>
        <w:rPr>
          <w:sz w:val="15"/>
        </w:rPr>
        <w:t>horas:</w:t>
      </w:r>
    </w:p>
    <w:p>
      <w:pPr>
        <w:pStyle w:val="BodyText"/>
        <w:spacing w:before="9"/>
      </w:pPr>
    </w:p>
    <w:p>
      <w:pPr>
        <w:pStyle w:val="ListParagraph"/>
        <w:numPr>
          <w:ilvl w:val="0"/>
          <w:numId w:val="134"/>
        </w:numPr>
        <w:tabs>
          <w:tab w:pos="720" w:val="left" w:leader="none"/>
          <w:tab w:pos="5035" w:val="left" w:leader="none"/>
        </w:tabs>
        <w:spacing w:line="240" w:lineRule="auto" w:before="0" w:after="0"/>
        <w:ind w:left="719" w:right="0" w:hanging="172"/>
        <w:jc w:val="left"/>
        <w:rPr>
          <w:sz w:val="15"/>
        </w:rPr>
      </w:pPr>
      <w:r>
        <w:rPr>
          <w:sz w:val="15"/>
        </w:rPr>
        <w:t>Ganado  vacuno,</w:t>
      </w:r>
      <w:r>
        <w:rPr>
          <w:spacing w:val="-10"/>
          <w:sz w:val="15"/>
        </w:rPr>
        <w:t> </w:t>
      </w:r>
      <w:r>
        <w:rPr>
          <w:sz w:val="15"/>
        </w:rPr>
        <w:t>por</w:t>
      </w:r>
      <w:r>
        <w:rPr>
          <w:spacing w:val="16"/>
          <w:sz w:val="15"/>
        </w:rPr>
        <w:t> </w:t>
      </w:r>
      <w:r>
        <w:rPr>
          <w:sz w:val="15"/>
        </w:rPr>
        <w:t>cabeza:</w:t>
        <w:tab/>
        <w:t>$65.00</w:t>
      </w:r>
    </w:p>
    <w:p>
      <w:pPr>
        <w:pStyle w:val="BodyText"/>
        <w:spacing w:before="9"/>
      </w:pPr>
    </w:p>
    <w:p>
      <w:pPr>
        <w:pStyle w:val="ListParagraph"/>
        <w:numPr>
          <w:ilvl w:val="0"/>
          <w:numId w:val="134"/>
        </w:numPr>
        <w:tabs>
          <w:tab w:pos="720" w:val="left" w:leader="none"/>
          <w:tab w:pos="5035" w:val="left" w:leader="none"/>
        </w:tabs>
        <w:spacing w:line="240" w:lineRule="auto" w:before="1" w:after="0"/>
        <w:ind w:left="719" w:right="0" w:hanging="172"/>
        <w:jc w:val="left"/>
        <w:rPr>
          <w:sz w:val="15"/>
        </w:rPr>
      </w:pPr>
      <w:r>
        <w:rPr>
          <w:sz w:val="15"/>
        </w:rPr>
        <w:t>Ganado porcino, ovino y caprino, </w:t>
      </w:r>
      <w:r>
        <w:rPr>
          <w:spacing w:val="19"/>
          <w:sz w:val="15"/>
        </w:rPr>
        <w:t> </w:t>
      </w:r>
      <w:r>
        <w:rPr>
          <w:sz w:val="15"/>
        </w:rPr>
        <w:t>por</w:t>
      </w:r>
      <w:r>
        <w:rPr>
          <w:spacing w:val="12"/>
          <w:sz w:val="15"/>
        </w:rPr>
        <w:t> </w:t>
      </w:r>
      <w:r>
        <w:rPr>
          <w:sz w:val="15"/>
        </w:rPr>
        <w:t>cabeza:</w:t>
        <w:tab/>
        <w:t>$27.00</w:t>
      </w:r>
    </w:p>
    <w:p>
      <w:pPr>
        <w:pStyle w:val="BodyText"/>
        <w:spacing w:before="8"/>
      </w:pPr>
    </w:p>
    <w:p>
      <w:pPr>
        <w:pStyle w:val="ListParagraph"/>
        <w:numPr>
          <w:ilvl w:val="0"/>
          <w:numId w:val="131"/>
        </w:numPr>
        <w:tabs>
          <w:tab w:pos="780" w:val="left" w:leader="none"/>
        </w:tabs>
        <w:spacing w:line="240" w:lineRule="auto" w:before="0" w:after="0"/>
        <w:ind w:left="779" w:right="0" w:hanging="232"/>
        <w:jc w:val="left"/>
        <w:rPr>
          <w:sz w:val="15"/>
        </w:rPr>
      </w:pPr>
      <w:r>
        <w:rPr>
          <w:spacing w:val="-3"/>
          <w:sz w:val="15"/>
        </w:rPr>
        <w:t>Venta </w:t>
      </w:r>
      <w:r>
        <w:rPr>
          <w:sz w:val="15"/>
        </w:rPr>
        <w:t>de productos obtenidos en el</w:t>
      </w:r>
      <w:r>
        <w:rPr>
          <w:spacing w:val="15"/>
          <w:sz w:val="15"/>
        </w:rPr>
        <w:t> </w:t>
      </w:r>
      <w:r>
        <w:rPr>
          <w:sz w:val="15"/>
        </w:rPr>
        <w:t>rastro:</w:t>
      </w:r>
    </w:p>
    <w:p>
      <w:pPr>
        <w:pStyle w:val="BodyText"/>
        <w:spacing w:before="9"/>
      </w:pPr>
    </w:p>
    <w:p>
      <w:pPr>
        <w:pStyle w:val="ListParagraph"/>
        <w:numPr>
          <w:ilvl w:val="0"/>
          <w:numId w:val="135"/>
        </w:numPr>
        <w:tabs>
          <w:tab w:pos="729" w:val="left" w:leader="none"/>
          <w:tab w:pos="5035" w:val="left" w:leader="none"/>
        </w:tabs>
        <w:spacing w:line="240" w:lineRule="auto" w:before="1" w:after="0"/>
        <w:ind w:left="728" w:right="0" w:hanging="181"/>
        <w:jc w:val="left"/>
        <w:rPr>
          <w:sz w:val="15"/>
        </w:rPr>
      </w:pPr>
      <w:r>
        <w:rPr>
          <w:sz w:val="15"/>
        </w:rPr>
        <w:t>Harina de sangre,</w:t>
      </w:r>
      <w:r>
        <w:rPr>
          <w:spacing w:val="40"/>
          <w:sz w:val="15"/>
        </w:rPr>
        <w:t> </w:t>
      </w:r>
      <w:r>
        <w:rPr>
          <w:sz w:val="15"/>
        </w:rPr>
        <w:t>por</w:t>
      </w:r>
      <w:r>
        <w:rPr>
          <w:spacing w:val="13"/>
          <w:sz w:val="15"/>
        </w:rPr>
        <w:t> </w:t>
      </w:r>
      <w:r>
        <w:rPr>
          <w:sz w:val="15"/>
        </w:rPr>
        <w:t>kilogramo:</w:t>
        <w:tab/>
        <w:t>$10.00</w:t>
      </w:r>
    </w:p>
    <w:p>
      <w:pPr>
        <w:pStyle w:val="BodyText"/>
        <w:spacing w:before="9"/>
      </w:pPr>
    </w:p>
    <w:p>
      <w:pPr>
        <w:pStyle w:val="ListParagraph"/>
        <w:numPr>
          <w:ilvl w:val="0"/>
          <w:numId w:val="135"/>
        </w:numPr>
        <w:tabs>
          <w:tab w:pos="729" w:val="left" w:leader="none"/>
          <w:tab w:pos="5036" w:val="left" w:leader="none"/>
        </w:tabs>
        <w:spacing w:line="240" w:lineRule="auto" w:before="0" w:after="0"/>
        <w:ind w:left="728" w:right="0" w:hanging="181"/>
        <w:jc w:val="left"/>
        <w:rPr>
          <w:sz w:val="15"/>
        </w:rPr>
      </w:pPr>
      <w:r>
        <w:rPr>
          <w:sz w:val="15"/>
        </w:rPr>
        <w:t>Estiércol,</w:t>
      </w:r>
      <w:r>
        <w:rPr>
          <w:spacing w:val="15"/>
          <w:sz w:val="15"/>
        </w:rPr>
        <w:t> </w:t>
      </w:r>
      <w:r>
        <w:rPr>
          <w:sz w:val="15"/>
        </w:rPr>
        <w:t>por</w:t>
      </w:r>
      <w:r>
        <w:rPr>
          <w:spacing w:val="16"/>
          <w:sz w:val="15"/>
        </w:rPr>
        <w:t> </w:t>
      </w:r>
      <w:r>
        <w:rPr>
          <w:sz w:val="15"/>
        </w:rPr>
        <w:t>tonelada:</w:t>
        <w:tab/>
        <w:t>$30.00</w:t>
      </w:r>
    </w:p>
    <w:p>
      <w:pPr>
        <w:pStyle w:val="BodyText"/>
        <w:spacing w:line="247" w:lineRule="auto" w:before="99"/>
        <w:ind w:left="150" w:right="511" w:firstLine="397"/>
        <w:jc w:val="both"/>
      </w:pPr>
      <w:r>
        <w:rPr/>
        <w:br w:type="column"/>
      </w:r>
      <w:r>
        <w:rPr/>
        <w:t>Para los efectos de la aplicación de esta sección, los horarios de labores, igual que las cuotas y tarifas correspondientes a los servicios, deberán estar a la vista del público.</w:t>
      </w:r>
    </w:p>
    <w:p>
      <w:pPr>
        <w:pStyle w:val="BodyText"/>
        <w:spacing w:before="3"/>
      </w:pPr>
    </w:p>
    <w:p>
      <w:pPr>
        <w:pStyle w:val="BodyText"/>
        <w:ind w:left="548"/>
      </w:pPr>
      <w:r>
        <w:rPr/>
        <w:t>El horario será asignado por el Jefe de cada rastro de acuerdo a las necesidades del servicio.</w:t>
      </w:r>
    </w:p>
    <w:p>
      <w:pPr>
        <w:pStyle w:val="BodyText"/>
        <w:spacing w:before="9"/>
      </w:pPr>
    </w:p>
    <w:p>
      <w:pPr>
        <w:pStyle w:val="BodyText"/>
        <w:spacing w:line="247" w:lineRule="auto"/>
        <w:ind w:left="150" w:right="509" w:firstLine="397"/>
        <w:jc w:val="both"/>
      </w:pPr>
      <w:r>
        <w:rPr/>
        <w:t>Los establecimientos que expenden carne y sus productos podrán ser revisados por la Unidad de Inspección Sanitaria de Carnes y sus Productos del Municipio; quienes no cumplan con las disposiciones en materia de rastros, higiene y sanidad, establecidas en las leyes, reglamentos y normas oficiales mexicanas  serán sancionados conforme a las mismas y la presente</w:t>
      </w:r>
      <w:r>
        <w:rPr>
          <w:spacing w:val="19"/>
        </w:rPr>
        <w:t> </w:t>
      </w:r>
      <w:r>
        <w:rPr>
          <w:spacing w:val="-4"/>
        </w:rPr>
        <w:t>Ley.</w:t>
      </w:r>
    </w:p>
    <w:p>
      <w:pPr>
        <w:pStyle w:val="BodyText"/>
        <w:spacing w:before="2"/>
      </w:pPr>
    </w:p>
    <w:p>
      <w:pPr>
        <w:pStyle w:val="BodyText"/>
        <w:spacing w:line="247" w:lineRule="auto"/>
        <w:ind w:left="151" w:right="508" w:firstLine="397"/>
        <w:jc w:val="both"/>
      </w:pPr>
      <w:r>
        <w:rPr/>
        <w:t>Las disposiciones establecidas en el reglamento en materia de rastros, en lo que respecta a programas municipales de desarrollo pecuario, referentes a las campañas para la erradicación  de  brucelosis  y  tuberculosis o cualquier otra enfermedad en el ganado o aves, son obligatorias en el territorio municipal. Su cumplimiento será verificado por la Unidad de Inspección Sanitaria de Carnes y sus Productos, la aplicación      de las sanciones se impondrán por los jueces municipales de acuerdo a lo que se establezca en la presente   </w:t>
      </w:r>
      <w:r>
        <w:rPr>
          <w:spacing w:val="-4"/>
        </w:rPr>
        <w:t>Ley. </w:t>
      </w:r>
      <w:r>
        <w:rPr/>
        <w:t>Los propietarios que se nieguen a muestrear sus animales, como lo  establece  el  reglamento  de  los rastros y de la inspección sanitaria, les será asegurado su ganado y se le aplicarán los muestreos en forma obligatoria por los médicos veterinarios autorizados, los gastos referentes serán cubiertos por el propietario y     le será aplicada una sanción administrativa</w:t>
      </w:r>
      <w:r>
        <w:rPr>
          <w:spacing w:val="12"/>
        </w:rPr>
        <w:t> </w:t>
      </w:r>
      <w:r>
        <w:rPr/>
        <w:t>correspondiente.</w:t>
      </w:r>
    </w:p>
    <w:p>
      <w:pPr>
        <w:pStyle w:val="BodyText"/>
        <w:spacing w:before="11"/>
        <w:rPr>
          <w:sz w:val="14"/>
        </w:rPr>
      </w:pPr>
    </w:p>
    <w:p>
      <w:pPr>
        <w:pStyle w:val="BodyText"/>
        <w:spacing w:line="247" w:lineRule="auto"/>
        <w:ind w:left="151" w:right="509" w:firstLine="397"/>
        <w:jc w:val="both"/>
      </w:pPr>
      <w:r>
        <w:rPr/>
        <w:t>Los propietarios de los rastros particulares, incluidos los Rastros Tipo Inspección Federal </w:t>
      </w:r>
      <w:r>
        <w:rPr>
          <w:spacing w:val="-4"/>
        </w:rPr>
        <w:t>(T.I.F.), </w:t>
      </w:r>
      <w:r>
        <w:rPr/>
        <w:t>serán solidariamente responsables con los propietarios o poseedores de ganado de cualquier especie del pago de derechos que se originen con motivo del sacrificio de éstos en  dichos establecimientos, ya sea como maquila     o cualquier otra</w:t>
      </w:r>
      <w:r>
        <w:rPr>
          <w:spacing w:val="2"/>
        </w:rPr>
        <w:t> </w:t>
      </w:r>
      <w:r>
        <w:rPr/>
        <w:t>forma.</w:t>
      </w:r>
    </w:p>
    <w:p>
      <w:pPr>
        <w:spacing w:after="0" w:line="247" w:lineRule="auto"/>
        <w:jc w:val="both"/>
        <w:sectPr>
          <w:type w:val="continuous"/>
          <w:pgSz w:w="23250" w:h="15310" w:orient="landscape"/>
          <w:pgMar w:top="0" w:bottom="0" w:left="1880" w:right="1520"/>
          <w:cols w:num="2" w:equalWidth="0">
            <w:col w:w="5548" w:space="6074"/>
            <w:col w:w="8228"/>
          </w:cols>
        </w:sectPr>
      </w:pPr>
    </w:p>
    <w:p>
      <w:pPr>
        <w:pStyle w:val="BodyText"/>
        <w:spacing w:before="9"/>
      </w:pPr>
    </w:p>
    <w:p>
      <w:pPr>
        <w:pStyle w:val="ListParagraph"/>
        <w:numPr>
          <w:ilvl w:val="0"/>
          <w:numId w:val="131"/>
        </w:numPr>
        <w:tabs>
          <w:tab w:pos="891" w:val="left" w:leader="none"/>
        </w:tabs>
        <w:spacing w:line="247" w:lineRule="auto" w:before="0" w:after="0"/>
        <w:ind w:left="150" w:right="38" w:firstLine="397"/>
        <w:jc w:val="both"/>
        <w:rPr>
          <w:sz w:val="15"/>
        </w:rPr>
      </w:pPr>
      <w:r>
        <w:rPr>
          <w:sz w:val="15"/>
        </w:rPr>
        <w:t>Por autorización de matanza de ganado y aves en Rastros particulares, incluyendo Rastros Tipo Inspección Federal </w:t>
      </w:r>
      <w:r>
        <w:rPr>
          <w:spacing w:val="-4"/>
          <w:sz w:val="15"/>
        </w:rPr>
        <w:t>(T.I.F.),  </w:t>
      </w:r>
      <w:r>
        <w:rPr>
          <w:sz w:val="15"/>
        </w:rPr>
        <w:t>por cabeza   se cobrará lo</w:t>
      </w:r>
      <w:r>
        <w:rPr>
          <w:spacing w:val="4"/>
          <w:sz w:val="15"/>
        </w:rPr>
        <w:t> </w:t>
      </w:r>
      <w:r>
        <w:rPr>
          <w:sz w:val="15"/>
        </w:rPr>
        <w:t>siguiente:</w:t>
      </w:r>
    </w:p>
    <w:p>
      <w:pPr>
        <w:pStyle w:val="Heading4"/>
        <w:spacing w:before="5"/>
        <w:ind w:left="321" w:right="674"/>
      </w:pPr>
      <w:r>
        <w:rPr>
          <w:b w:val="0"/>
        </w:rPr>
        <w:br w:type="column"/>
      </w:r>
      <w:r>
        <w:rPr/>
        <w:t>SECCIÓN DÉCIMA CUARTA</w:t>
      </w:r>
    </w:p>
    <w:p>
      <w:pPr>
        <w:spacing w:before="4"/>
        <w:ind w:left="316" w:right="674" w:firstLine="0"/>
        <w:jc w:val="center"/>
        <w:rPr>
          <w:b/>
          <w:sz w:val="15"/>
        </w:rPr>
      </w:pPr>
      <w:r>
        <w:rPr>
          <w:b/>
          <w:sz w:val="15"/>
        </w:rPr>
        <w:t>Del Registro Civil</w:t>
      </w:r>
    </w:p>
    <w:p>
      <w:pPr>
        <w:pStyle w:val="BodyText"/>
        <w:spacing w:before="9"/>
        <w:rPr>
          <w:b/>
        </w:rPr>
      </w:pPr>
    </w:p>
    <w:p>
      <w:pPr>
        <w:pStyle w:val="BodyText"/>
        <w:spacing w:line="247" w:lineRule="auto"/>
        <w:ind w:left="150" w:right="571" w:firstLine="397"/>
      </w:pPr>
      <w:r>
        <w:rPr>
          <w:b/>
        </w:rPr>
        <w:t>Artículo 110.- </w:t>
      </w:r>
      <w:r>
        <w:rPr/>
        <w:t>Las personas físicas que requieran los servicios del registro civil, en los términos de esta sección, pagarán previamente los derechos correspondientes, conforme a lo siguiente:</w:t>
      </w:r>
    </w:p>
    <w:p>
      <w:pPr>
        <w:spacing w:after="0" w:line="247" w:lineRule="auto"/>
        <w:sectPr>
          <w:type w:val="continuous"/>
          <w:pgSz w:w="23250" w:h="15310" w:orient="landscape"/>
          <w:pgMar w:top="0" w:bottom="0" w:left="1880" w:right="1520"/>
          <w:cols w:num="2" w:equalWidth="0">
            <w:col w:w="5549" w:space="6074"/>
            <w:col w:w="8227"/>
          </w:cols>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46"/>
        <w:gridCol w:w="3994"/>
        <w:gridCol w:w="7736"/>
        <w:gridCol w:w="954"/>
        <w:gridCol w:w="797"/>
      </w:tblGrid>
      <w:tr>
        <w:trPr>
          <w:trHeight w:val="617" w:hRule="atLeast"/>
        </w:trPr>
        <w:tc>
          <w:tcPr>
            <w:tcW w:w="4546" w:type="dxa"/>
          </w:tcPr>
          <w:p>
            <w:pPr>
              <w:pStyle w:val="TableParagraph"/>
              <w:spacing w:line="171" w:lineRule="exact"/>
              <w:ind w:left="447"/>
              <w:rPr>
                <w:sz w:val="15"/>
              </w:rPr>
            </w:pPr>
            <w:r>
              <w:rPr>
                <w:sz w:val="15"/>
              </w:rPr>
              <w:t>a) Por cabeza de Ganado:</w:t>
            </w:r>
          </w:p>
          <w:p>
            <w:pPr>
              <w:pStyle w:val="TableParagraph"/>
              <w:spacing w:before="9"/>
              <w:rPr>
                <w:sz w:val="15"/>
              </w:rPr>
            </w:pPr>
          </w:p>
          <w:p>
            <w:pPr>
              <w:pStyle w:val="TableParagraph"/>
              <w:ind w:left="447"/>
              <w:rPr>
                <w:sz w:val="15"/>
              </w:rPr>
            </w:pPr>
            <w:r>
              <w:rPr>
                <w:sz w:val="15"/>
              </w:rPr>
              <w:t>1. Bovinos:</w:t>
            </w:r>
          </w:p>
        </w:tc>
        <w:tc>
          <w:tcPr>
            <w:tcW w:w="3994" w:type="dxa"/>
          </w:tcPr>
          <w:p>
            <w:pPr>
              <w:pStyle w:val="TableParagraph"/>
              <w:rPr>
                <w:sz w:val="16"/>
              </w:rPr>
            </w:pPr>
          </w:p>
          <w:p>
            <w:pPr>
              <w:pStyle w:val="TableParagraph"/>
              <w:spacing w:before="8"/>
              <w:rPr>
                <w:sz w:val="14"/>
              </w:rPr>
            </w:pPr>
          </w:p>
          <w:p>
            <w:pPr>
              <w:pStyle w:val="TableParagraph"/>
              <w:ind w:right="3131"/>
              <w:jc w:val="right"/>
              <w:rPr>
                <w:sz w:val="15"/>
              </w:rPr>
            </w:pPr>
            <w:r>
              <w:rPr>
                <w:sz w:val="15"/>
              </w:rPr>
              <w:t>$132.00</w:t>
            </w:r>
          </w:p>
        </w:tc>
        <w:tc>
          <w:tcPr>
            <w:tcW w:w="7736" w:type="dxa"/>
          </w:tcPr>
          <w:p>
            <w:pPr>
              <w:pStyle w:val="TableParagraph"/>
              <w:rPr>
                <w:sz w:val="16"/>
              </w:rPr>
            </w:pPr>
          </w:p>
          <w:p>
            <w:pPr>
              <w:pStyle w:val="TableParagraph"/>
              <w:spacing w:before="7"/>
              <w:rPr>
                <w:sz w:val="14"/>
              </w:rPr>
            </w:pPr>
          </w:p>
          <w:p>
            <w:pPr>
              <w:pStyle w:val="TableParagraph"/>
              <w:spacing w:before="1"/>
              <w:ind w:left="3529"/>
              <w:rPr>
                <w:sz w:val="15"/>
              </w:rPr>
            </w:pPr>
            <w:r>
              <w:rPr>
                <w:sz w:val="15"/>
              </w:rPr>
              <w:t>I. En oficinas:</w:t>
            </w:r>
          </w:p>
        </w:tc>
        <w:tc>
          <w:tcPr>
            <w:tcW w:w="954" w:type="dxa"/>
          </w:tcPr>
          <w:p>
            <w:pPr>
              <w:pStyle w:val="TableParagraph"/>
              <w:rPr>
                <w:rFonts w:ascii="Times New Roman"/>
                <w:sz w:val="14"/>
              </w:rPr>
            </w:pPr>
          </w:p>
        </w:tc>
        <w:tc>
          <w:tcPr>
            <w:tcW w:w="797" w:type="dxa"/>
          </w:tcPr>
          <w:p>
            <w:pPr>
              <w:pStyle w:val="TableParagraph"/>
              <w:spacing w:line="171" w:lineRule="exact"/>
              <w:ind w:left="113"/>
              <w:rPr>
                <w:sz w:val="15"/>
              </w:rPr>
            </w:pPr>
            <w:r>
              <w:rPr>
                <w:sz w:val="15"/>
              </w:rPr>
              <w:t>TARIFAS</w:t>
            </w:r>
          </w:p>
        </w:tc>
      </w:tr>
      <w:tr>
        <w:trPr>
          <w:trHeight w:val="265" w:hRule="atLeast"/>
        </w:trPr>
        <w:tc>
          <w:tcPr>
            <w:tcW w:w="4546" w:type="dxa"/>
          </w:tcPr>
          <w:p>
            <w:pPr>
              <w:pStyle w:val="TableParagraph"/>
              <w:spacing w:line="156" w:lineRule="exact" w:before="90"/>
              <w:ind w:left="447"/>
              <w:rPr>
                <w:sz w:val="15"/>
              </w:rPr>
            </w:pPr>
            <w:r>
              <w:rPr>
                <w:sz w:val="15"/>
              </w:rPr>
              <w:t>2. Porcinos</w:t>
            </w:r>
          </w:p>
        </w:tc>
        <w:tc>
          <w:tcPr>
            <w:tcW w:w="3994" w:type="dxa"/>
          </w:tcPr>
          <w:p>
            <w:pPr>
              <w:pStyle w:val="TableParagraph"/>
              <w:spacing w:line="156" w:lineRule="exact" w:before="90"/>
              <w:ind w:right="3131"/>
              <w:jc w:val="right"/>
              <w:rPr>
                <w:sz w:val="15"/>
              </w:rPr>
            </w:pPr>
            <w:r>
              <w:rPr>
                <w:sz w:val="15"/>
              </w:rPr>
              <w:t>$45.00</w:t>
            </w:r>
          </w:p>
        </w:tc>
        <w:tc>
          <w:tcPr>
            <w:tcW w:w="7736" w:type="dxa"/>
          </w:tcPr>
          <w:p>
            <w:pPr>
              <w:pStyle w:val="TableParagraph"/>
              <w:spacing w:line="156" w:lineRule="exact" w:before="89"/>
              <w:ind w:right="388"/>
              <w:jc w:val="right"/>
              <w:rPr>
                <w:sz w:val="15"/>
              </w:rPr>
            </w:pPr>
            <w:r>
              <w:rPr>
                <w:sz w:val="15"/>
              </w:rPr>
              <w:t>a) Matrimonios en horas inhábiles de oficina, cada uno:</w:t>
            </w:r>
          </w:p>
        </w:tc>
        <w:tc>
          <w:tcPr>
            <w:tcW w:w="954" w:type="dxa"/>
          </w:tcPr>
          <w:p>
            <w:pPr>
              <w:pStyle w:val="TableParagraph"/>
              <w:rPr>
                <w:rFonts w:ascii="Times New Roman"/>
                <w:sz w:val="14"/>
              </w:rPr>
            </w:pPr>
          </w:p>
        </w:tc>
        <w:tc>
          <w:tcPr>
            <w:tcW w:w="797" w:type="dxa"/>
          </w:tcPr>
          <w:p>
            <w:pPr>
              <w:pStyle w:val="TableParagraph"/>
              <w:rPr>
                <w:rFonts w:ascii="Times New Roman"/>
                <w:sz w:val="14"/>
              </w:rPr>
            </w:pPr>
          </w:p>
        </w:tc>
      </w:tr>
      <w:tr>
        <w:trPr>
          <w:trHeight w:val="353" w:hRule="atLeast"/>
        </w:trPr>
        <w:tc>
          <w:tcPr>
            <w:tcW w:w="4546" w:type="dxa"/>
          </w:tcPr>
          <w:p>
            <w:pPr>
              <w:pStyle w:val="TableParagraph"/>
              <w:spacing w:before="5"/>
              <w:rPr>
                <w:sz w:val="15"/>
              </w:rPr>
            </w:pPr>
          </w:p>
          <w:p>
            <w:pPr>
              <w:pStyle w:val="TableParagraph"/>
              <w:spacing w:line="156" w:lineRule="exact"/>
              <w:ind w:left="447"/>
              <w:rPr>
                <w:sz w:val="15"/>
              </w:rPr>
            </w:pPr>
            <w:r>
              <w:rPr>
                <w:sz w:val="15"/>
              </w:rPr>
              <w:t>3. Caballar, mular y asnal</w:t>
            </w:r>
          </w:p>
        </w:tc>
        <w:tc>
          <w:tcPr>
            <w:tcW w:w="3994" w:type="dxa"/>
          </w:tcPr>
          <w:p>
            <w:pPr>
              <w:pStyle w:val="TableParagraph"/>
              <w:spacing w:before="5"/>
              <w:rPr>
                <w:sz w:val="15"/>
              </w:rPr>
            </w:pPr>
          </w:p>
          <w:p>
            <w:pPr>
              <w:pStyle w:val="TableParagraph"/>
              <w:spacing w:line="156" w:lineRule="exact"/>
              <w:ind w:right="3131"/>
              <w:jc w:val="right"/>
              <w:rPr>
                <w:sz w:val="15"/>
              </w:rPr>
            </w:pPr>
            <w:r>
              <w:rPr>
                <w:sz w:val="15"/>
              </w:rPr>
              <w:t>$52.00</w:t>
            </w:r>
          </w:p>
        </w:tc>
        <w:tc>
          <w:tcPr>
            <w:tcW w:w="7736" w:type="dxa"/>
          </w:tcPr>
          <w:p>
            <w:pPr>
              <w:pStyle w:val="TableParagraph"/>
              <w:rPr>
                <w:rFonts w:ascii="Times New Roman"/>
                <w:sz w:val="14"/>
              </w:rPr>
            </w:pPr>
          </w:p>
        </w:tc>
        <w:tc>
          <w:tcPr>
            <w:tcW w:w="954" w:type="dxa"/>
          </w:tcPr>
          <w:p>
            <w:pPr>
              <w:pStyle w:val="TableParagraph"/>
              <w:spacing w:before="1"/>
              <w:ind w:right="117"/>
              <w:jc w:val="right"/>
              <w:rPr>
                <w:sz w:val="15"/>
              </w:rPr>
            </w:pPr>
            <w:r>
              <w:rPr>
                <w:sz w:val="15"/>
              </w:rPr>
              <w:t>$586.00</w:t>
            </w:r>
          </w:p>
        </w:tc>
        <w:tc>
          <w:tcPr>
            <w:tcW w:w="797" w:type="dxa"/>
          </w:tcPr>
          <w:p>
            <w:pPr>
              <w:pStyle w:val="TableParagraph"/>
              <w:rPr>
                <w:rFonts w:ascii="Times New Roman"/>
                <w:sz w:val="14"/>
              </w:rPr>
            </w:pPr>
          </w:p>
        </w:tc>
      </w:tr>
      <w:tr>
        <w:trPr>
          <w:trHeight w:val="177" w:hRule="atLeast"/>
        </w:trPr>
        <w:tc>
          <w:tcPr>
            <w:tcW w:w="4546" w:type="dxa"/>
          </w:tcPr>
          <w:p>
            <w:pPr>
              <w:pStyle w:val="TableParagraph"/>
              <w:rPr>
                <w:rFonts w:ascii="Times New Roman"/>
                <w:sz w:val="10"/>
              </w:rPr>
            </w:pPr>
          </w:p>
        </w:tc>
        <w:tc>
          <w:tcPr>
            <w:tcW w:w="3994" w:type="dxa"/>
          </w:tcPr>
          <w:p>
            <w:pPr>
              <w:pStyle w:val="TableParagraph"/>
              <w:rPr>
                <w:rFonts w:ascii="Times New Roman"/>
                <w:sz w:val="10"/>
              </w:rPr>
            </w:pPr>
          </w:p>
        </w:tc>
        <w:tc>
          <w:tcPr>
            <w:tcW w:w="7736" w:type="dxa"/>
          </w:tcPr>
          <w:p>
            <w:pPr>
              <w:pStyle w:val="TableParagraph"/>
              <w:spacing w:line="156" w:lineRule="exact" w:before="1"/>
              <w:ind w:right="371"/>
              <w:jc w:val="right"/>
              <w:rPr>
                <w:sz w:val="15"/>
              </w:rPr>
            </w:pPr>
            <w:r>
              <w:rPr>
                <w:sz w:val="15"/>
              </w:rPr>
              <w:t>b) Registro de nacimiento en horas inhábiles de oficina,</w:t>
            </w:r>
          </w:p>
        </w:tc>
        <w:tc>
          <w:tcPr>
            <w:tcW w:w="954" w:type="dxa"/>
          </w:tcPr>
          <w:p>
            <w:pPr>
              <w:pStyle w:val="TableParagraph"/>
              <w:rPr>
                <w:rFonts w:ascii="Times New Roman"/>
                <w:sz w:val="10"/>
              </w:rPr>
            </w:pPr>
          </w:p>
        </w:tc>
        <w:tc>
          <w:tcPr>
            <w:tcW w:w="797" w:type="dxa"/>
          </w:tcPr>
          <w:p>
            <w:pPr>
              <w:pStyle w:val="TableParagraph"/>
              <w:rPr>
                <w:rFonts w:ascii="Times New Roman"/>
                <w:sz w:val="10"/>
              </w:rPr>
            </w:pPr>
          </w:p>
        </w:tc>
      </w:tr>
      <w:tr>
        <w:trPr>
          <w:trHeight w:val="265" w:hRule="atLeast"/>
        </w:trPr>
        <w:tc>
          <w:tcPr>
            <w:tcW w:w="4546" w:type="dxa"/>
          </w:tcPr>
          <w:p>
            <w:pPr>
              <w:pStyle w:val="TableParagraph"/>
              <w:spacing w:before="1"/>
              <w:ind w:left="447"/>
              <w:rPr>
                <w:sz w:val="15"/>
              </w:rPr>
            </w:pPr>
            <w:r>
              <w:rPr>
                <w:sz w:val="15"/>
              </w:rPr>
              <w:t>4. Avestruz</w:t>
            </w:r>
          </w:p>
        </w:tc>
        <w:tc>
          <w:tcPr>
            <w:tcW w:w="3994" w:type="dxa"/>
          </w:tcPr>
          <w:p>
            <w:pPr>
              <w:pStyle w:val="TableParagraph"/>
              <w:spacing w:before="1"/>
              <w:ind w:right="3131"/>
              <w:jc w:val="right"/>
              <w:rPr>
                <w:sz w:val="15"/>
              </w:rPr>
            </w:pPr>
            <w:r>
              <w:rPr>
                <w:sz w:val="15"/>
              </w:rPr>
              <w:t>$32.00</w:t>
            </w:r>
          </w:p>
        </w:tc>
        <w:tc>
          <w:tcPr>
            <w:tcW w:w="7736" w:type="dxa"/>
          </w:tcPr>
          <w:p>
            <w:pPr>
              <w:pStyle w:val="TableParagraph"/>
              <w:spacing w:before="1"/>
              <w:ind w:left="3132"/>
              <w:rPr>
                <w:sz w:val="15"/>
              </w:rPr>
            </w:pPr>
            <w:r>
              <w:rPr>
                <w:sz w:val="15"/>
              </w:rPr>
              <w:t>salvo causa justificada, cada uno:</w:t>
            </w:r>
          </w:p>
        </w:tc>
        <w:tc>
          <w:tcPr>
            <w:tcW w:w="954" w:type="dxa"/>
          </w:tcPr>
          <w:p>
            <w:pPr>
              <w:pStyle w:val="TableParagraph"/>
              <w:spacing w:before="1"/>
              <w:ind w:right="117"/>
              <w:jc w:val="right"/>
              <w:rPr>
                <w:sz w:val="15"/>
              </w:rPr>
            </w:pPr>
            <w:r>
              <w:rPr>
                <w:sz w:val="15"/>
              </w:rPr>
              <w:t>$332.00</w:t>
            </w:r>
          </w:p>
        </w:tc>
        <w:tc>
          <w:tcPr>
            <w:tcW w:w="797" w:type="dxa"/>
          </w:tcPr>
          <w:p>
            <w:pPr>
              <w:pStyle w:val="TableParagraph"/>
              <w:rPr>
                <w:rFonts w:ascii="Times New Roman"/>
                <w:sz w:val="14"/>
              </w:rPr>
            </w:pPr>
          </w:p>
        </w:tc>
      </w:tr>
      <w:tr>
        <w:trPr>
          <w:trHeight w:val="530" w:hRule="atLeast"/>
        </w:trPr>
        <w:tc>
          <w:tcPr>
            <w:tcW w:w="4546" w:type="dxa"/>
          </w:tcPr>
          <w:p>
            <w:pPr>
              <w:pStyle w:val="TableParagraph"/>
              <w:spacing w:line="244" w:lineRule="auto" w:before="90"/>
              <w:ind w:left="50" w:firstLine="397"/>
              <w:rPr>
                <w:sz w:val="15"/>
              </w:rPr>
            </w:pPr>
            <w:r>
              <w:rPr>
                <w:sz w:val="15"/>
              </w:rPr>
              <w:t>b) Por cabeza de aves, incluyendo en instalaciones particulares:</w:t>
            </w:r>
          </w:p>
        </w:tc>
        <w:tc>
          <w:tcPr>
            <w:tcW w:w="3994" w:type="dxa"/>
          </w:tcPr>
          <w:p>
            <w:pPr>
              <w:pStyle w:val="TableParagraph"/>
              <w:rPr>
                <w:rFonts w:ascii="Times New Roman"/>
                <w:sz w:val="14"/>
              </w:rPr>
            </w:pPr>
          </w:p>
        </w:tc>
        <w:tc>
          <w:tcPr>
            <w:tcW w:w="7736" w:type="dxa"/>
          </w:tcPr>
          <w:p>
            <w:pPr>
              <w:pStyle w:val="TableParagraph"/>
              <w:spacing w:line="244" w:lineRule="auto" w:before="89"/>
              <w:ind w:left="3132" w:firstLine="397"/>
              <w:rPr>
                <w:sz w:val="15"/>
              </w:rPr>
            </w:pPr>
            <w:r>
              <w:rPr>
                <w:sz w:val="15"/>
              </w:rPr>
              <w:t>c) Inscripción de actas del extranjero, en horas inhábiles de oficina por cada folio:</w:t>
            </w:r>
          </w:p>
        </w:tc>
        <w:tc>
          <w:tcPr>
            <w:tcW w:w="954" w:type="dxa"/>
          </w:tcPr>
          <w:p>
            <w:pPr>
              <w:pStyle w:val="TableParagraph"/>
              <w:spacing w:before="1"/>
              <w:rPr>
                <w:sz w:val="23"/>
              </w:rPr>
            </w:pPr>
          </w:p>
          <w:p>
            <w:pPr>
              <w:pStyle w:val="TableParagraph"/>
              <w:ind w:right="118"/>
              <w:jc w:val="right"/>
              <w:rPr>
                <w:sz w:val="15"/>
              </w:rPr>
            </w:pPr>
            <w:r>
              <w:rPr>
                <w:sz w:val="15"/>
              </w:rPr>
              <w:t>$208.00</w:t>
            </w:r>
          </w:p>
        </w:tc>
        <w:tc>
          <w:tcPr>
            <w:tcW w:w="797" w:type="dxa"/>
          </w:tcPr>
          <w:p>
            <w:pPr>
              <w:pStyle w:val="TableParagraph"/>
              <w:rPr>
                <w:rFonts w:ascii="Times New Roman"/>
                <w:sz w:val="14"/>
              </w:rPr>
            </w:pPr>
          </w:p>
        </w:tc>
      </w:tr>
      <w:tr>
        <w:trPr>
          <w:trHeight w:val="354" w:hRule="atLeast"/>
        </w:trPr>
        <w:tc>
          <w:tcPr>
            <w:tcW w:w="4546" w:type="dxa"/>
          </w:tcPr>
          <w:p>
            <w:pPr>
              <w:pStyle w:val="TableParagraph"/>
              <w:spacing w:before="90"/>
              <w:ind w:left="447"/>
              <w:rPr>
                <w:sz w:val="15"/>
              </w:rPr>
            </w:pPr>
            <w:r>
              <w:rPr>
                <w:sz w:val="15"/>
              </w:rPr>
              <w:t>1. Pavos:</w:t>
            </w:r>
          </w:p>
        </w:tc>
        <w:tc>
          <w:tcPr>
            <w:tcW w:w="3994" w:type="dxa"/>
          </w:tcPr>
          <w:p>
            <w:pPr>
              <w:pStyle w:val="TableParagraph"/>
              <w:spacing w:before="90"/>
              <w:ind w:right="3132"/>
              <w:jc w:val="right"/>
              <w:rPr>
                <w:sz w:val="15"/>
              </w:rPr>
            </w:pPr>
            <w:r>
              <w:rPr>
                <w:sz w:val="15"/>
              </w:rPr>
              <w:t>$5.00</w:t>
            </w:r>
          </w:p>
        </w:tc>
        <w:tc>
          <w:tcPr>
            <w:tcW w:w="7736" w:type="dxa"/>
          </w:tcPr>
          <w:p>
            <w:pPr>
              <w:pStyle w:val="TableParagraph"/>
              <w:spacing w:before="89"/>
              <w:ind w:left="3529"/>
              <w:rPr>
                <w:sz w:val="15"/>
              </w:rPr>
            </w:pPr>
            <w:r>
              <w:rPr>
                <w:sz w:val="15"/>
              </w:rPr>
              <w:t>d) Convenio de separación de bienes:</w:t>
            </w:r>
          </w:p>
        </w:tc>
        <w:tc>
          <w:tcPr>
            <w:tcW w:w="954" w:type="dxa"/>
          </w:tcPr>
          <w:p>
            <w:pPr>
              <w:pStyle w:val="TableParagraph"/>
              <w:spacing w:before="89"/>
              <w:ind w:right="118"/>
              <w:jc w:val="right"/>
              <w:rPr>
                <w:sz w:val="15"/>
              </w:rPr>
            </w:pPr>
            <w:r>
              <w:rPr>
                <w:sz w:val="15"/>
              </w:rPr>
              <w:t>$237.00</w:t>
            </w:r>
          </w:p>
        </w:tc>
        <w:tc>
          <w:tcPr>
            <w:tcW w:w="797" w:type="dxa"/>
          </w:tcPr>
          <w:p>
            <w:pPr>
              <w:pStyle w:val="TableParagraph"/>
              <w:rPr>
                <w:rFonts w:ascii="Times New Roman"/>
                <w:sz w:val="14"/>
              </w:rPr>
            </w:pPr>
          </w:p>
        </w:tc>
      </w:tr>
      <w:tr>
        <w:trPr>
          <w:trHeight w:val="354" w:hRule="atLeast"/>
        </w:trPr>
        <w:tc>
          <w:tcPr>
            <w:tcW w:w="4546" w:type="dxa"/>
          </w:tcPr>
          <w:p>
            <w:pPr>
              <w:pStyle w:val="TableParagraph"/>
              <w:spacing w:before="90"/>
              <w:ind w:left="447"/>
              <w:rPr>
                <w:sz w:val="15"/>
              </w:rPr>
            </w:pPr>
            <w:r>
              <w:rPr>
                <w:sz w:val="15"/>
              </w:rPr>
              <w:t>2. Pollos y Gallinas:</w:t>
            </w:r>
          </w:p>
        </w:tc>
        <w:tc>
          <w:tcPr>
            <w:tcW w:w="3994" w:type="dxa"/>
          </w:tcPr>
          <w:p>
            <w:pPr>
              <w:pStyle w:val="TableParagraph"/>
              <w:spacing w:before="90"/>
              <w:ind w:right="3132"/>
              <w:jc w:val="right"/>
              <w:rPr>
                <w:sz w:val="15"/>
              </w:rPr>
            </w:pPr>
            <w:r>
              <w:rPr>
                <w:sz w:val="15"/>
              </w:rPr>
              <w:t>$5.00</w:t>
            </w:r>
          </w:p>
        </w:tc>
        <w:tc>
          <w:tcPr>
            <w:tcW w:w="7736" w:type="dxa"/>
          </w:tcPr>
          <w:p>
            <w:pPr>
              <w:pStyle w:val="TableParagraph"/>
              <w:spacing w:before="89"/>
              <w:ind w:left="3529"/>
              <w:rPr>
                <w:sz w:val="15"/>
              </w:rPr>
            </w:pPr>
            <w:r>
              <w:rPr>
                <w:sz w:val="15"/>
              </w:rPr>
              <w:t>e) Divorcio Administrativo:</w:t>
            </w:r>
          </w:p>
        </w:tc>
        <w:tc>
          <w:tcPr>
            <w:tcW w:w="954" w:type="dxa"/>
          </w:tcPr>
          <w:p>
            <w:pPr>
              <w:pStyle w:val="TableParagraph"/>
              <w:spacing w:before="89"/>
              <w:ind w:right="118"/>
              <w:jc w:val="right"/>
              <w:rPr>
                <w:sz w:val="15"/>
              </w:rPr>
            </w:pPr>
            <w:r>
              <w:rPr>
                <w:sz w:val="15"/>
              </w:rPr>
              <w:t>$1,134.00</w:t>
            </w:r>
          </w:p>
        </w:tc>
        <w:tc>
          <w:tcPr>
            <w:tcW w:w="797" w:type="dxa"/>
          </w:tcPr>
          <w:p>
            <w:pPr>
              <w:pStyle w:val="TableParagraph"/>
              <w:rPr>
                <w:rFonts w:ascii="Times New Roman"/>
                <w:sz w:val="14"/>
              </w:rPr>
            </w:pPr>
          </w:p>
        </w:tc>
      </w:tr>
      <w:tr>
        <w:trPr>
          <w:trHeight w:val="265" w:hRule="atLeast"/>
        </w:trPr>
        <w:tc>
          <w:tcPr>
            <w:tcW w:w="4546" w:type="dxa"/>
          </w:tcPr>
          <w:p>
            <w:pPr>
              <w:pStyle w:val="TableParagraph"/>
              <w:spacing w:line="156" w:lineRule="exact" w:before="89"/>
              <w:ind w:right="254"/>
              <w:jc w:val="right"/>
              <w:rPr>
                <w:sz w:val="15"/>
              </w:rPr>
            </w:pPr>
            <w:r>
              <w:rPr>
                <w:sz w:val="15"/>
              </w:rPr>
              <w:t>VIII. Por otros servicios que preste el rastro municipal,</w:t>
            </w:r>
          </w:p>
        </w:tc>
        <w:tc>
          <w:tcPr>
            <w:tcW w:w="3994" w:type="dxa"/>
          </w:tcPr>
          <w:p>
            <w:pPr>
              <w:pStyle w:val="TableParagraph"/>
              <w:rPr>
                <w:rFonts w:ascii="Times New Roman"/>
                <w:sz w:val="14"/>
              </w:rPr>
            </w:pPr>
          </w:p>
        </w:tc>
        <w:tc>
          <w:tcPr>
            <w:tcW w:w="7736" w:type="dxa"/>
          </w:tcPr>
          <w:p>
            <w:pPr>
              <w:pStyle w:val="TableParagraph"/>
              <w:spacing w:line="157" w:lineRule="exact" w:before="89"/>
              <w:ind w:left="3529"/>
              <w:rPr>
                <w:sz w:val="15"/>
              </w:rPr>
            </w:pPr>
            <w:r>
              <w:rPr>
                <w:sz w:val="15"/>
              </w:rPr>
              <w:t>f) Los demás actos, excepto defunciones:</w:t>
            </w:r>
          </w:p>
        </w:tc>
        <w:tc>
          <w:tcPr>
            <w:tcW w:w="954" w:type="dxa"/>
          </w:tcPr>
          <w:p>
            <w:pPr>
              <w:pStyle w:val="TableParagraph"/>
              <w:spacing w:line="157" w:lineRule="exact" w:before="89"/>
              <w:ind w:right="117"/>
              <w:jc w:val="right"/>
              <w:rPr>
                <w:sz w:val="15"/>
              </w:rPr>
            </w:pPr>
            <w:r>
              <w:rPr>
                <w:sz w:val="15"/>
              </w:rPr>
              <w:t>$215.00</w:t>
            </w:r>
          </w:p>
        </w:tc>
        <w:tc>
          <w:tcPr>
            <w:tcW w:w="797" w:type="dxa"/>
          </w:tcPr>
          <w:p>
            <w:pPr>
              <w:pStyle w:val="TableParagraph"/>
              <w:rPr>
                <w:rFonts w:ascii="Times New Roman"/>
                <w:sz w:val="14"/>
              </w:rPr>
            </w:pPr>
          </w:p>
        </w:tc>
      </w:tr>
      <w:tr>
        <w:trPr>
          <w:trHeight w:val="442" w:hRule="atLeast"/>
        </w:trPr>
        <w:tc>
          <w:tcPr>
            <w:tcW w:w="4546" w:type="dxa"/>
          </w:tcPr>
          <w:p>
            <w:pPr>
              <w:pStyle w:val="TableParagraph"/>
              <w:spacing w:before="1"/>
              <w:ind w:right="313"/>
              <w:jc w:val="right"/>
              <w:rPr>
                <w:sz w:val="15"/>
              </w:rPr>
            </w:pPr>
            <w:r>
              <w:rPr>
                <w:sz w:val="15"/>
              </w:rPr>
              <w:t>diferentes a los señalados en esta sección, por cada uno, de:</w:t>
            </w:r>
          </w:p>
        </w:tc>
        <w:tc>
          <w:tcPr>
            <w:tcW w:w="3994" w:type="dxa"/>
          </w:tcPr>
          <w:p>
            <w:pPr>
              <w:pStyle w:val="TableParagraph"/>
              <w:spacing w:before="1"/>
              <w:ind w:right="3132"/>
              <w:jc w:val="right"/>
              <w:rPr>
                <w:sz w:val="15"/>
              </w:rPr>
            </w:pPr>
            <w:r>
              <w:rPr>
                <w:sz w:val="15"/>
              </w:rPr>
              <w:t>$16.00</w:t>
            </w:r>
            <w:r>
              <w:rPr>
                <w:spacing w:val="17"/>
                <w:sz w:val="15"/>
              </w:rPr>
              <w:t> </w:t>
            </w:r>
            <w:r>
              <w:rPr>
                <w:sz w:val="15"/>
              </w:rPr>
              <w:t>a</w:t>
            </w:r>
          </w:p>
          <w:p>
            <w:pPr>
              <w:pStyle w:val="TableParagraph"/>
              <w:spacing w:before="5"/>
              <w:ind w:right="3132"/>
              <w:jc w:val="right"/>
              <w:rPr>
                <w:sz w:val="15"/>
              </w:rPr>
            </w:pPr>
            <w:r>
              <w:rPr>
                <w:sz w:val="15"/>
              </w:rPr>
              <w:t>$40.00</w:t>
            </w:r>
          </w:p>
        </w:tc>
        <w:tc>
          <w:tcPr>
            <w:tcW w:w="7736" w:type="dxa"/>
          </w:tcPr>
          <w:p>
            <w:pPr>
              <w:pStyle w:val="TableParagraph"/>
              <w:spacing w:before="5"/>
              <w:rPr>
                <w:sz w:val="15"/>
              </w:rPr>
            </w:pPr>
          </w:p>
          <w:p>
            <w:pPr>
              <w:pStyle w:val="TableParagraph"/>
              <w:ind w:left="3529"/>
              <w:rPr>
                <w:sz w:val="15"/>
              </w:rPr>
            </w:pPr>
            <w:r>
              <w:rPr>
                <w:sz w:val="15"/>
              </w:rPr>
              <w:t>II. A domicilio:</w:t>
            </w:r>
          </w:p>
        </w:tc>
        <w:tc>
          <w:tcPr>
            <w:tcW w:w="954" w:type="dxa"/>
          </w:tcPr>
          <w:p>
            <w:pPr>
              <w:pStyle w:val="TableParagraph"/>
              <w:rPr>
                <w:rFonts w:ascii="Times New Roman"/>
                <w:sz w:val="14"/>
              </w:rPr>
            </w:pPr>
          </w:p>
        </w:tc>
        <w:tc>
          <w:tcPr>
            <w:tcW w:w="797" w:type="dxa"/>
          </w:tcPr>
          <w:p>
            <w:pPr>
              <w:pStyle w:val="TableParagraph"/>
              <w:rPr>
                <w:rFonts w:ascii="Times New Roman"/>
                <w:sz w:val="14"/>
              </w:rPr>
            </w:pPr>
          </w:p>
        </w:tc>
      </w:tr>
      <w:tr>
        <w:trPr>
          <w:trHeight w:val="263" w:hRule="atLeast"/>
        </w:trPr>
        <w:tc>
          <w:tcPr>
            <w:tcW w:w="4546" w:type="dxa"/>
          </w:tcPr>
          <w:p>
            <w:pPr>
              <w:pStyle w:val="TableParagraph"/>
              <w:spacing w:line="153" w:lineRule="exact" w:before="90"/>
              <w:ind w:left="447"/>
              <w:rPr>
                <w:sz w:val="15"/>
              </w:rPr>
            </w:pPr>
            <w:r>
              <w:rPr>
                <w:sz w:val="15"/>
              </w:rPr>
              <w:t>a) Autorización de Carta de Introductor:</w:t>
            </w:r>
          </w:p>
        </w:tc>
        <w:tc>
          <w:tcPr>
            <w:tcW w:w="3994" w:type="dxa"/>
          </w:tcPr>
          <w:p>
            <w:pPr>
              <w:pStyle w:val="TableParagraph"/>
              <w:spacing w:line="153" w:lineRule="exact" w:before="90"/>
              <w:ind w:right="3132"/>
              <w:jc w:val="right"/>
              <w:rPr>
                <w:sz w:val="15"/>
              </w:rPr>
            </w:pPr>
            <w:r>
              <w:rPr>
                <w:sz w:val="15"/>
              </w:rPr>
              <w:t>$210.00</w:t>
            </w:r>
          </w:p>
        </w:tc>
        <w:tc>
          <w:tcPr>
            <w:tcW w:w="7736" w:type="dxa"/>
          </w:tcPr>
          <w:p>
            <w:pPr>
              <w:pStyle w:val="TableParagraph"/>
              <w:spacing w:line="154" w:lineRule="exact" w:before="89"/>
              <w:ind w:left="3529"/>
              <w:rPr>
                <w:sz w:val="15"/>
              </w:rPr>
            </w:pPr>
            <w:r>
              <w:rPr>
                <w:sz w:val="15"/>
              </w:rPr>
              <w:t>a) Matrimonios en horas hábiles de oficina, cada uno:</w:t>
            </w:r>
          </w:p>
        </w:tc>
        <w:tc>
          <w:tcPr>
            <w:tcW w:w="954" w:type="dxa"/>
          </w:tcPr>
          <w:p>
            <w:pPr>
              <w:pStyle w:val="TableParagraph"/>
              <w:spacing w:line="154" w:lineRule="exact" w:before="89"/>
              <w:ind w:right="116"/>
              <w:jc w:val="right"/>
              <w:rPr>
                <w:sz w:val="15"/>
              </w:rPr>
            </w:pPr>
            <w:r>
              <w:rPr>
                <w:sz w:val="15"/>
              </w:rPr>
              <w:t>$822.00</w:t>
            </w:r>
          </w:p>
        </w:tc>
        <w:tc>
          <w:tcPr>
            <w:tcW w:w="797" w:type="dxa"/>
          </w:tcPr>
          <w:p>
            <w:pPr>
              <w:pStyle w:val="TableParagraph"/>
              <w:rPr>
                <w:rFonts w:ascii="Times New Roman"/>
                <w:sz w:val="14"/>
              </w:rPr>
            </w:pPr>
          </w:p>
        </w:tc>
      </w:tr>
    </w:tbl>
    <w:p>
      <w:pPr>
        <w:pStyle w:val="BodyText"/>
        <w:rPr>
          <w:sz w:val="7"/>
        </w:rPr>
      </w:pPr>
    </w:p>
    <w:p>
      <w:pPr>
        <w:spacing w:after="0"/>
        <w:rPr>
          <w:sz w:val="7"/>
        </w:rPr>
        <w:sectPr>
          <w:type w:val="continuous"/>
          <w:pgSz w:w="23250" w:h="15310" w:orient="landscape"/>
          <w:pgMar w:top="0" w:bottom="0" w:left="1880" w:right="1520"/>
        </w:sectPr>
      </w:pPr>
    </w:p>
    <w:p>
      <w:pPr>
        <w:pStyle w:val="BodyText"/>
        <w:spacing w:line="247" w:lineRule="auto" w:before="99"/>
        <w:ind w:left="151" w:right="38" w:firstLine="397"/>
      </w:pPr>
      <w:r>
        <w:rPr/>
        <w:t>La comprobación de propiedad de ganado y aves, certificado zoosanitario y guía de tránsito, vigentes,      se</w:t>
      </w:r>
      <w:r>
        <w:rPr>
          <w:spacing w:val="12"/>
        </w:rPr>
        <w:t> </w:t>
      </w:r>
      <w:r>
        <w:rPr/>
        <w:t>exigirá</w:t>
      </w:r>
      <w:r>
        <w:rPr>
          <w:spacing w:val="13"/>
        </w:rPr>
        <w:t> </w:t>
      </w:r>
      <w:r>
        <w:rPr/>
        <w:t>en</w:t>
      </w:r>
      <w:r>
        <w:rPr>
          <w:spacing w:val="13"/>
        </w:rPr>
        <w:t> </w:t>
      </w:r>
      <w:r>
        <w:rPr/>
        <w:t>los</w:t>
      </w:r>
      <w:r>
        <w:rPr>
          <w:spacing w:val="13"/>
        </w:rPr>
        <w:t> </w:t>
      </w:r>
      <w:r>
        <w:rPr/>
        <w:t>Rastros</w:t>
      </w:r>
      <w:r>
        <w:rPr>
          <w:spacing w:val="12"/>
        </w:rPr>
        <w:t> </w:t>
      </w:r>
      <w:r>
        <w:rPr/>
        <w:t>Municipales,</w:t>
      </w:r>
      <w:r>
        <w:rPr>
          <w:spacing w:val="13"/>
        </w:rPr>
        <w:t> </w:t>
      </w:r>
      <w:r>
        <w:rPr/>
        <w:t>Rastros</w:t>
      </w:r>
      <w:r>
        <w:rPr>
          <w:spacing w:val="13"/>
        </w:rPr>
        <w:t> </w:t>
      </w:r>
      <w:r>
        <w:rPr/>
        <w:t>Particulares</w:t>
      </w:r>
      <w:r>
        <w:rPr>
          <w:spacing w:val="11"/>
        </w:rPr>
        <w:t> </w:t>
      </w:r>
      <w:r>
        <w:rPr/>
        <w:t>incluyendo</w:t>
      </w:r>
      <w:r>
        <w:rPr>
          <w:spacing w:val="13"/>
        </w:rPr>
        <w:t> </w:t>
      </w:r>
      <w:r>
        <w:rPr/>
        <w:t>Rastros</w:t>
      </w:r>
      <w:r>
        <w:rPr>
          <w:spacing w:val="9"/>
        </w:rPr>
        <w:t> </w:t>
      </w:r>
      <w:r>
        <w:rPr/>
        <w:t>Tipo</w:t>
      </w:r>
      <w:r>
        <w:rPr>
          <w:spacing w:val="13"/>
        </w:rPr>
        <w:t> </w:t>
      </w:r>
      <w:r>
        <w:rPr/>
        <w:t>Inspección</w:t>
      </w:r>
      <w:r>
        <w:rPr>
          <w:spacing w:val="11"/>
        </w:rPr>
        <w:t> </w:t>
      </w:r>
      <w:r>
        <w:rPr/>
        <w:t>Federal</w:t>
      </w:r>
      <w:r>
        <w:rPr>
          <w:spacing w:val="13"/>
        </w:rPr>
        <w:t> </w:t>
      </w:r>
      <w:r>
        <w:rPr>
          <w:spacing w:val="-4"/>
        </w:rPr>
        <w:t>(T.I.F.).</w:t>
      </w:r>
    </w:p>
    <w:p>
      <w:pPr>
        <w:pStyle w:val="ListParagraph"/>
        <w:numPr>
          <w:ilvl w:val="0"/>
          <w:numId w:val="136"/>
        </w:numPr>
        <w:tabs>
          <w:tab w:pos="331" w:val="left" w:leader="none"/>
        </w:tabs>
        <w:spacing w:line="240" w:lineRule="auto" w:before="99" w:after="0"/>
        <w:ind w:left="330" w:right="0" w:hanging="180"/>
        <w:jc w:val="left"/>
        <w:rPr>
          <w:sz w:val="15"/>
        </w:rPr>
      </w:pPr>
      <w:r>
        <w:rPr>
          <w:w w:val="102"/>
          <w:sz w:val="15"/>
        </w:rPr>
        <w:br w:type="column"/>
      </w:r>
      <w:r>
        <w:rPr>
          <w:sz w:val="15"/>
        </w:rPr>
        <w:t>Matrimonios</w:t>
      </w:r>
      <w:r>
        <w:rPr>
          <w:spacing w:val="10"/>
          <w:sz w:val="15"/>
        </w:rPr>
        <w:t> </w:t>
      </w:r>
      <w:r>
        <w:rPr>
          <w:sz w:val="15"/>
        </w:rPr>
        <w:t>en</w:t>
      </w:r>
      <w:r>
        <w:rPr>
          <w:spacing w:val="11"/>
          <w:sz w:val="15"/>
        </w:rPr>
        <w:t> </w:t>
      </w:r>
      <w:r>
        <w:rPr>
          <w:sz w:val="15"/>
        </w:rPr>
        <w:t>horas</w:t>
      </w:r>
      <w:r>
        <w:rPr>
          <w:spacing w:val="9"/>
          <w:sz w:val="15"/>
        </w:rPr>
        <w:t> </w:t>
      </w:r>
      <w:r>
        <w:rPr>
          <w:sz w:val="15"/>
        </w:rPr>
        <w:t>inhábiles</w:t>
      </w:r>
      <w:r>
        <w:rPr>
          <w:spacing w:val="11"/>
          <w:sz w:val="15"/>
        </w:rPr>
        <w:t> </w:t>
      </w:r>
      <w:r>
        <w:rPr>
          <w:sz w:val="15"/>
        </w:rPr>
        <w:t>de</w:t>
      </w:r>
      <w:r>
        <w:rPr>
          <w:spacing w:val="10"/>
          <w:sz w:val="15"/>
        </w:rPr>
        <w:t> </w:t>
      </w:r>
      <w:r>
        <w:rPr>
          <w:sz w:val="15"/>
        </w:rPr>
        <w:t>oficina,</w:t>
      </w:r>
      <w:r>
        <w:rPr>
          <w:spacing w:val="9"/>
          <w:sz w:val="15"/>
        </w:rPr>
        <w:t> </w:t>
      </w:r>
      <w:r>
        <w:rPr>
          <w:sz w:val="15"/>
        </w:rPr>
        <w:t>cada</w:t>
      </w:r>
      <w:r>
        <w:rPr>
          <w:spacing w:val="11"/>
          <w:sz w:val="15"/>
        </w:rPr>
        <w:t> </w:t>
      </w:r>
      <w:r>
        <w:rPr>
          <w:sz w:val="15"/>
        </w:rPr>
        <w:t>uno:</w:t>
      </w:r>
    </w:p>
    <w:p>
      <w:pPr>
        <w:pStyle w:val="BodyText"/>
        <w:rPr>
          <w:sz w:val="16"/>
        </w:rPr>
      </w:pPr>
      <w:r>
        <w:rPr/>
        <w:br w:type="column"/>
      </w:r>
      <w:r>
        <w:rPr>
          <w:sz w:val="16"/>
        </w:rPr>
      </w:r>
    </w:p>
    <w:p>
      <w:pPr>
        <w:pStyle w:val="BodyText"/>
        <w:spacing w:before="92"/>
        <w:ind w:left="151"/>
      </w:pPr>
      <w:r>
        <w:rPr/>
        <w:t>$1,720.00</w:t>
      </w:r>
    </w:p>
    <w:p>
      <w:pPr>
        <w:spacing w:after="0"/>
        <w:sectPr>
          <w:type w:val="continuous"/>
          <w:pgSz w:w="23250" w:h="15310" w:orient="landscape"/>
          <w:pgMar w:top="0" w:bottom="0" w:left="1880" w:right="1520"/>
          <w:cols w:num="3" w:equalWidth="0">
            <w:col w:w="7751" w:space="4269"/>
            <w:col w:w="3964" w:space="391"/>
            <w:col w:w="3475"/>
          </w:cols>
        </w:sectPr>
      </w:pPr>
    </w:p>
    <w:p>
      <w:pPr>
        <w:pStyle w:val="BodyText"/>
        <w:rPr>
          <w:sz w:val="20"/>
        </w:rPr>
      </w:pPr>
    </w:p>
    <w:p>
      <w:pPr>
        <w:pStyle w:val="BodyText"/>
        <w:spacing w:before="7"/>
        <w:rPr>
          <w:sz w:val="29"/>
        </w:rPr>
      </w:pPr>
    </w:p>
    <w:p>
      <w:pPr>
        <w:spacing w:after="0"/>
        <w:rPr>
          <w:sz w:val="29"/>
        </w:rPr>
        <w:sectPr>
          <w:headerReference w:type="default" r:id="rId91"/>
          <w:pgSz w:w="23250" w:h="15310" w:orient="landscape"/>
          <w:pgMar w:header="881" w:footer="499" w:top="1920" w:bottom="680" w:left="1880" w:right="1520"/>
        </w:sectPr>
      </w:pPr>
    </w:p>
    <w:p>
      <w:pPr>
        <w:pStyle w:val="ListParagraph"/>
        <w:numPr>
          <w:ilvl w:val="0"/>
          <w:numId w:val="136"/>
        </w:numPr>
        <w:tabs>
          <w:tab w:pos="765" w:val="left" w:leader="none"/>
        </w:tabs>
        <w:spacing w:line="240" w:lineRule="auto" w:before="99" w:after="0"/>
        <w:ind w:left="764" w:right="0" w:hanging="217"/>
        <w:jc w:val="left"/>
        <w:rPr>
          <w:sz w:val="15"/>
        </w:rPr>
      </w:pPr>
      <w:r>
        <w:rPr>
          <w:sz w:val="15"/>
        </w:rPr>
        <w:t>Nacimientos</w:t>
      </w:r>
      <w:r>
        <w:rPr>
          <w:spacing w:val="8"/>
          <w:sz w:val="15"/>
        </w:rPr>
        <w:t> </w:t>
      </w:r>
      <w:r>
        <w:rPr>
          <w:sz w:val="15"/>
        </w:rPr>
        <w:t>en</w:t>
      </w:r>
      <w:r>
        <w:rPr>
          <w:spacing w:val="8"/>
          <w:sz w:val="15"/>
        </w:rPr>
        <w:t> </w:t>
      </w:r>
      <w:r>
        <w:rPr>
          <w:sz w:val="15"/>
        </w:rPr>
        <w:t>horas</w:t>
      </w:r>
      <w:r>
        <w:rPr>
          <w:spacing w:val="9"/>
          <w:sz w:val="15"/>
        </w:rPr>
        <w:t> </w:t>
      </w:r>
      <w:r>
        <w:rPr>
          <w:sz w:val="15"/>
        </w:rPr>
        <w:t>hábiles</w:t>
      </w:r>
      <w:r>
        <w:rPr>
          <w:spacing w:val="8"/>
          <w:sz w:val="15"/>
        </w:rPr>
        <w:t> </w:t>
      </w:r>
      <w:r>
        <w:rPr>
          <w:sz w:val="15"/>
        </w:rPr>
        <w:t>de</w:t>
      </w:r>
      <w:r>
        <w:rPr>
          <w:spacing w:val="8"/>
          <w:sz w:val="15"/>
        </w:rPr>
        <w:t> </w:t>
      </w:r>
      <w:r>
        <w:rPr>
          <w:sz w:val="15"/>
        </w:rPr>
        <w:t>oficina,</w:t>
      </w:r>
      <w:r>
        <w:rPr>
          <w:spacing w:val="8"/>
          <w:sz w:val="15"/>
        </w:rPr>
        <w:t> </w:t>
      </w:r>
      <w:r>
        <w:rPr>
          <w:sz w:val="15"/>
        </w:rPr>
        <w:t>salvo</w:t>
      </w:r>
      <w:r>
        <w:rPr>
          <w:spacing w:val="8"/>
          <w:sz w:val="15"/>
        </w:rPr>
        <w:t> </w:t>
      </w:r>
      <w:r>
        <w:rPr>
          <w:sz w:val="15"/>
        </w:rPr>
        <w:t>causa</w:t>
      </w:r>
    </w:p>
    <w:p>
      <w:pPr>
        <w:pStyle w:val="BodyText"/>
        <w:tabs>
          <w:tab w:pos="5032" w:val="left" w:leader="none"/>
        </w:tabs>
        <w:spacing w:before="4"/>
        <w:ind w:left="150"/>
      </w:pPr>
      <w:r>
        <w:rPr/>
        <w:t>justificada,</w:t>
      </w:r>
      <w:r>
        <w:rPr>
          <w:spacing w:val="9"/>
        </w:rPr>
        <w:t> </w:t>
      </w:r>
      <w:r>
        <w:rPr/>
        <w:t>cada</w:t>
      </w:r>
      <w:r>
        <w:rPr>
          <w:spacing w:val="9"/>
        </w:rPr>
        <w:t> </w:t>
      </w:r>
      <w:r>
        <w:rPr/>
        <w:t>uno:</w:t>
        <w:tab/>
        <w:t>$368.00</w:t>
      </w:r>
    </w:p>
    <w:p>
      <w:pPr>
        <w:pStyle w:val="BodyText"/>
        <w:spacing w:before="9"/>
      </w:pPr>
    </w:p>
    <w:p>
      <w:pPr>
        <w:pStyle w:val="ListParagraph"/>
        <w:numPr>
          <w:ilvl w:val="0"/>
          <w:numId w:val="136"/>
        </w:numPr>
        <w:tabs>
          <w:tab w:pos="729" w:val="left" w:leader="none"/>
        </w:tabs>
        <w:spacing w:line="240" w:lineRule="auto" w:before="0" w:after="0"/>
        <w:ind w:left="728" w:right="0" w:hanging="181"/>
        <w:jc w:val="left"/>
        <w:rPr>
          <w:sz w:val="15"/>
        </w:rPr>
      </w:pPr>
      <w:r>
        <w:rPr>
          <w:sz w:val="15"/>
        </w:rPr>
        <w:t>Nacimientos en horas inhábiles de oficina, salvo</w:t>
      </w:r>
      <w:r>
        <w:rPr>
          <w:spacing w:val="21"/>
          <w:sz w:val="15"/>
        </w:rPr>
        <w:t> </w:t>
      </w:r>
      <w:r>
        <w:rPr>
          <w:sz w:val="15"/>
        </w:rPr>
        <w:t>causa</w:t>
      </w:r>
    </w:p>
    <w:p>
      <w:pPr>
        <w:pStyle w:val="BodyText"/>
        <w:tabs>
          <w:tab w:pos="5033" w:val="left" w:leader="none"/>
        </w:tabs>
        <w:spacing w:before="5"/>
        <w:ind w:left="150"/>
      </w:pPr>
      <w:r>
        <w:rPr/>
        <w:t>justificada,</w:t>
      </w:r>
      <w:r>
        <w:rPr>
          <w:spacing w:val="9"/>
        </w:rPr>
        <w:t> </w:t>
      </w:r>
      <w:r>
        <w:rPr/>
        <w:t>cada</w:t>
      </w:r>
      <w:r>
        <w:rPr>
          <w:spacing w:val="9"/>
        </w:rPr>
        <w:t> </w:t>
      </w:r>
      <w:r>
        <w:rPr/>
        <w:t>uno:</w:t>
        <w:tab/>
        <w:t>$512.00</w:t>
      </w:r>
    </w:p>
    <w:p>
      <w:pPr>
        <w:pStyle w:val="BodyText"/>
        <w:spacing w:before="9"/>
      </w:pPr>
    </w:p>
    <w:p>
      <w:pPr>
        <w:pStyle w:val="ListParagraph"/>
        <w:numPr>
          <w:ilvl w:val="0"/>
          <w:numId w:val="136"/>
        </w:numPr>
        <w:tabs>
          <w:tab w:pos="729" w:val="left" w:leader="none"/>
        </w:tabs>
        <w:spacing w:line="240" w:lineRule="auto" w:before="0" w:after="0"/>
        <w:ind w:left="728" w:right="0" w:hanging="181"/>
        <w:jc w:val="left"/>
        <w:rPr>
          <w:sz w:val="15"/>
        </w:rPr>
      </w:pPr>
      <w:r>
        <w:rPr>
          <w:sz w:val="15"/>
        </w:rPr>
        <w:t>Los demás actos en horas hábiles de oficina, cada</w:t>
      </w:r>
      <w:r>
        <w:rPr>
          <w:spacing w:val="28"/>
          <w:sz w:val="15"/>
        </w:rPr>
        <w:t> </w:t>
      </w:r>
      <w:r>
        <w:rPr>
          <w:sz w:val="15"/>
        </w:rPr>
        <w:t>uno:</w:t>
      </w:r>
    </w:p>
    <w:p>
      <w:pPr>
        <w:pStyle w:val="ListParagraph"/>
        <w:numPr>
          <w:ilvl w:val="0"/>
          <w:numId w:val="137"/>
        </w:numPr>
        <w:tabs>
          <w:tab w:pos="822" w:val="left" w:leader="none"/>
        </w:tabs>
        <w:spacing w:line="247" w:lineRule="auto" w:before="98" w:after="0"/>
        <w:ind w:left="150" w:right="4199" w:firstLine="397"/>
        <w:jc w:val="left"/>
        <w:rPr>
          <w:sz w:val="15"/>
        </w:rPr>
      </w:pPr>
      <w:r>
        <w:rPr>
          <w:w w:val="102"/>
          <w:sz w:val="15"/>
        </w:rPr>
        <w:br w:type="column"/>
      </w:r>
      <w:r>
        <w:rPr>
          <w:sz w:val="15"/>
        </w:rPr>
        <w:t>Expedición de certificados, certificaciones, constancias</w:t>
      </w:r>
      <w:r>
        <w:rPr>
          <w:spacing w:val="32"/>
          <w:sz w:val="15"/>
        </w:rPr>
        <w:t> </w:t>
      </w:r>
      <w:r>
        <w:rPr>
          <w:sz w:val="15"/>
        </w:rPr>
        <w:t>o</w:t>
      </w:r>
      <w:r>
        <w:rPr>
          <w:spacing w:val="32"/>
          <w:sz w:val="15"/>
        </w:rPr>
        <w:t> </w:t>
      </w:r>
      <w:r>
        <w:rPr>
          <w:sz w:val="15"/>
        </w:rPr>
        <w:t>copias</w:t>
      </w:r>
      <w:r>
        <w:rPr>
          <w:spacing w:val="31"/>
          <w:sz w:val="15"/>
        </w:rPr>
        <w:t> </w:t>
      </w:r>
      <w:r>
        <w:rPr>
          <w:sz w:val="15"/>
        </w:rPr>
        <w:t>certificadas</w:t>
      </w:r>
      <w:r>
        <w:rPr>
          <w:spacing w:val="32"/>
          <w:sz w:val="15"/>
        </w:rPr>
        <w:t> </w:t>
      </w:r>
      <w:r>
        <w:rPr>
          <w:sz w:val="15"/>
        </w:rPr>
        <w:t>inclusive</w:t>
      </w:r>
      <w:r>
        <w:rPr>
          <w:spacing w:val="33"/>
          <w:sz w:val="15"/>
        </w:rPr>
        <w:t> </w:t>
      </w:r>
      <w:r>
        <w:rPr>
          <w:sz w:val="15"/>
        </w:rPr>
        <w:t>de</w:t>
      </w:r>
      <w:r>
        <w:rPr>
          <w:spacing w:val="31"/>
          <w:sz w:val="15"/>
        </w:rPr>
        <w:t> </w:t>
      </w:r>
      <w:r>
        <w:rPr>
          <w:sz w:val="15"/>
        </w:rPr>
        <w:t>actos</w:t>
      </w:r>
      <w:r>
        <w:rPr>
          <w:spacing w:val="32"/>
          <w:sz w:val="15"/>
        </w:rPr>
        <w:t> </w:t>
      </w:r>
      <w:r>
        <w:rPr>
          <w:sz w:val="15"/>
        </w:rPr>
        <w:t>de</w:t>
      </w:r>
    </w:p>
    <w:p>
      <w:pPr>
        <w:pStyle w:val="BodyText"/>
        <w:tabs>
          <w:tab w:pos="5036" w:val="left" w:leader="none"/>
        </w:tabs>
        <w:spacing w:line="172" w:lineRule="exact"/>
        <w:ind w:left="150"/>
      </w:pPr>
      <w:r>
        <w:rPr/>
        <w:t>registro civil, por</w:t>
      </w:r>
      <w:r>
        <w:rPr>
          <w:spacing w:val="21"/>
        </w:rPr>
        <w:t> </w:t>
      </w:r>
      <w:r>
        <w:rPr/>
        <w:t>cada</w:t>
      </w:r>
      <w:r>
        <w:rPr>
          <w:spacing w:val="8"/>
        </w:rPr>
        <w:t> </w:t>
      </w:r>
      <w:r>
        <w:rPr/>
        <w:t>uno:</w:t>
        <w:tab/>
        <w:t>$53.00</w:t>
      </w:r>
    </w:p>
    <w:p>
      <w:pPr>
        <w:pStyle w:val="BodyText"/>
        <w:spacing w:before="9"/>
      </w:pPr>
    </w:p>
    <w:p>
      <w:pPr>
        <w:pStyle w:val="BodyText"/>
        <w:spacing w:line="247" w:lineRule="auto"/>
        <w:ind w:left="150" w:right="4165" w:firstLine="397"/>
      </w:pPr>
      <w:r>
        <w:rPr/>
        <w:t>a) La primera copia certificada del acta del registro de nacimiento está exenta del pago de derechos.</w:t>
      </w:r>
    </w:p>
    <w:p>
      <w:pPr>
        <w:spacing w:after="0" w:line="247" w:lineRule="auto"/>
        <w:sectPr>
          <w:type w:val="continuous"/>
          <w:pgSz w:w="23250" w:h="15310" w:orient="landscape"/>
          <w:pgMar w:top="0" w:bottom="0" w:left="1880" w:right="1520"/>
          <w:cols w:num="2" w:equalWidth="0">
            <w:col w:w="5630" w:space="5992"/>
            <w:col w:w="8228"/>
          </w:cols>
        </w:sectPr>
      </w:pPr>
    </w:p>
    <w:p>
      <w:pPr>
        <w:pStyle w:val="BodyText"/>
        <w:rPr>
          <w:sz w:val="16"/>
        </w:rPr>
      </w:pPr>
    </w:p>
    <w:p>
      <w:pPr>
        <w:pStyle w:val="BodyText"/>
        <w:spacing w:before="2"/>
      </w:pPr>
    </w:p>
    <w:p>
      <w:pPr>
        <w:pStyle w:val="ListParagraph"/>
        <w:numPr>
          <w:ilvl w:val="0"/>
          <w:numId w:val="138"/>
        </w:numPr>
        <w:tabs>
          <w:tab w:pos="686" w:val="left" w:leader="none"/>
        </w:tabs>
        <w:spacing w:line="240" w:lineRule="auto" w:before="0" w:after="0"/>
        <w:ind w:left="685" w:right="0" w:hanging="138"/>
        <w:jc w:val="left"/>
        <w:rPr>
          <w:sz w:val="15"/>
        </w:rPr>
      </w:pPr>
      <w:r>
        <w:rPr>
          <w:sz w:val="15"/>
        </w:rPr>
        <w:t>Los</w:t>
      </w:r>
      <w:r>
        <w:rPr>
          <w:spacing w:val="9"/>
          <w:sz w:val="15"/>
        </w:rPr>
        <w:t> </w:t>
      </w:r>
      <w:r>
        <w:rPr>
          <w:sz w:val="15"/>
        </w:rPr>
        <w:t>demás</w:t>
      </w:r>
      <w:r>
        <w:rPr>
          <w:spacing w:val="10"/>
          <w:sz w:val="15"/>
        </w:rPr>
        <w:t> </w:t>
      </w:r>
      <w:r>
        <w:rPr>
          <w:sz w:val="15"/>
        </w:rPr>
        <w:t>actos</w:t>
      </w:r>
      <w:r>
        <w:rPr>
          <w:spacing w:val="10"/>
          <w:sz w:val="15"/>
        </w:rPr>
        <w:t> </w:t>
      </w:r>
      <w:r>
        <w:rPr>
          <w:sz w:val="15"/>
        </w:rPr>
        <w:t>en</w:t>
      </w:r>
      <w:r>
        <w:rPr>
          <w:spacing w:val="10"/>
          <w:sz w:val="15"/>
        </w:rPr>
        <w:t> </w:t>
      </w:r>
      <w:r>
        <w:rPr>
          <w:sz w:val="15"/>
        </w:rPr>
        <w:t>horas</w:t>
      </w:r>
      <w:r>
        <w:rPr>
          <w:spacing w:val="10"/>
          <w:sz w:val="15"/>
        </w:rPr>
        <w:t> </w:t>
      </w:r>
      <w:r>
        <w:rPr>
          <w:sz w:val="15"/>
        </w:rPr>
        <w:t>inhábiles</w:t>
      </w:r>
      <w:r>
        <w:rPr>
          <w:spacing w:val="10"/>
          <w:sz w:val="15"/>
        </w:rPr>
        <w:t> </w:t>
      </w:r>
      <w:r>
        <w:rPr>
          <w:sz w:val="15"/>
        </w:rPr>
        <w:t>de</w:t>
      </w:r>
      <w:r>
        <w:rPr>
          <w:spacing w:val="10"/>
          <w:sz w:val="15"/>
        </w:rPr>
        <w:t> </w:t>
      </w:r>
      <w:r>
        <w:rPr>
          <w:sz w:val="15"/>
        </w:rPr>
        <w:t>oficina,</w:t>
      </w:r>
      <w:r>
        <w:rPr>
          <w:spacing w:val="10"/>
          <w:sz w:val="15"/>
        </w:rPr>
        <w:t> </w:t>
      </w:r>
      <w:r>
        <w:rPr>
          <w:sz w:val="15"/>
        </w:rPr>
        <w:t>cada</w:t>
      </w:r>
      <w:r>
        <w:rPr>
          <w:spacing w:val="9"/>
          <w:sz w:val="15"/>
        </w:rPr>
        <w:t> </w:t>
      </w:r>
      <w:r>
        <w:rPr>
          <w:spacing w:val="-3"/>
          <w:sz w:val="15"/>
        </w:rPr>
        <w:t>uno:</w:t>
      </w:r>
    </w:p>
    <w:p>
      <w:pPr>
        <w:pStyle w:val="BodyText"/>
        <w:spacing w:before="5"/>
        <w:ind w:right="38"/>
        <w:jc w:val="right"/>
      </w:pPr>
      <w:r>
        <w:rPr/>
        <w:br w:type="column"/>
      </w:r>
      <w:r>
        <w:rPr/>
        <w:t>$966.00</w:t>
      </w:r>
    </w:p>
    <w:p>
      <w:pPr>
        <w:pStyle w:val="BodyText"/>
        <w:rPr>
          <w:sz w:val="16"/>
        </w:rPr>
      </w:pPr>
    </w:p>
    <w:p>
      <w:pPr>
        <w:pStyle w:val="BodyText"/>
        <w:spacing w:before="2"/>
      </w:pPr>
    </w:p>
    <w:p>
      <w:pPr>
        <w:pStyle w:val="BodyText"/>
        <w:ind w:right="39"/>
        <w:jc w:val="right"/>
      </w:pPr>
      <w:r>
        <w:rPr/>
        <w:t>$1,031.00</w:t>
      </w:r>
    </w:p>
    <w:p>
      <w:pPr>
        <w:pStyle w:val="ListParagraph"/>
        <w:numPr>
          <w:ilvl w:val="1"/>
          <w:numId w:val="138"/>
        </w:numPr>
        <w:tabs>
          <w:tab w:pos="1164" w:val="left" w:leader="none"/>
        </w:tabs>
        <w:spacing w:line="240" w:lineRule="auto" w:before="5" w:after="0"/>
        <w:ind w:left="1163" w:right="0" w:hanging="219"/>
        <w:jc w:val="left"/>
        <w:rPr>
          <w:sz w:val="15"/>
        </w:rPr>
      </w:pPr>
      <w:r>
        <w:rPr>
          <w:spacing w:val="-1"/>
          <w:w w:val="102"/>
          <w:sz w:val="15"/>
        </w:rPr>
        <w:br w:type="column"/>
      </w:r>
      <w:r>
        <w:rPr>
          <w:sz w:val="15"/>
        </w:rPr>
        <w:t>Expedición de actas de estado civil de</w:t>
      </w:r>
      <w:r>
        <w:rPr>
          <w:spacing w:val="26"/>
          <w:sz w:val="15"/>
        </w:rPr>
        <w:t> </w:t>
      </w:r>
      <w:r>
        <w:rPr>
          <w:sz w:val="15"/>
        </w:rPr>
        <w:t>otros</w:t>
      </w:r>
    </w:p>
    <w:p>
      <w:pPr>
        <w:pStyle w:val="BodyText"/>
        <w:tabs>
          <w:tab w:pos="5347" w:val="left" w:leader="none"/>
        </w:tabs>
        <w:spacing w:before="4"/>
        <w:ind w:left="548"/>
      </w:pPr>
      <w:r>
        <w:rPr/>
        <w:t>municipios</w:t>
      </w:r>
      <w:r>
        <w:rPr>
          <w:spacing w:val="8"/>
        </w:rPr>
        <w:t> </w:t>
      </w:r>
      <w:r>
        <w:rPr/>
        <w:t>y</w:t>
      </w:r>
      <w:r>
        <w:rPr>
          <w:spacing w:val="9"/>
        </w:rPr>
        <w:t> </w:t>
      </w:r>
      <w:r>
        <w:rPr/>
        <w:t>estados:</w:t>
        <w:tab/>
        <w:t>$126.00</w:t>
      </w:r>
    </w:p>
    <w:p>
      <w:pPr>
        <w:pStyle w:val="BodyText"/>
        <w:spacing w:before="9"/>
      </w:pPr>
    </w:p>
    <w:p>
      <w:pPr>
        <w:pStyle w:val="ListParagraph"/>
        <w:numPr>
          <w:ilvl w:val="1"/>
          <w:numId w:val="138"/>
        </w:numPr>
        <w:tabs>
          <w:tab w:pos="1142" w:val="left" w:leader="none"/>
        </w:tabs>
        <w:spacing w:line="240" w:lineRule="auto" w:before="0" w:after="0"/>
        <w:ind w:left="1141" w:right="0" w:hanging="197"/>
        <w:jc w:val="left"/>
        <w:rPr>
          <w:sz w:val="15"/>
        </w:rPr>
      </w:pPr>
      <w:r>
        <w:rPr>
          <w:sz w:val="15"/>
        </w:rPr>
        <w:t>Transcripción</w:t>
      </w:r>
      <w:r>
        <w:rPr>
          <w:spacing w:val="28"/>
          <w:sz w:val="15"/>
        </w:rPr>
        <w:t> </w:t>
      </w:r>
      <w:r>
        <w:rPr>
          <w:sz w:val="15"/>
        </w:rPr>
        <w:t>a</w:t>
      </w:r>
      <w:r>
        <w:rPr>
          <w:spacing w:val="28"/>
          <w:sz w:val="15"/>
        </w:rPr>
        <w:t> </w:t>
      </w:r>
      <w:r>
        <w:rPr>
          <w:sz w:val="15"/>
        </w:rPr>
        <w:t>solicitud</w:t>
      </w:r>
      <w:r>
        <w:rPr>
          <w:spacing w:val="29"/>
          <w:sz w:val="15"/>
        </w:rPr>
        <w:t> </w:t>
      </w:r>
      <w:r>
        <w:rPr>
          <w:sz w:val="15"/>
        </w:rPr>
        <w:t>de</w:t>
      </w:r>
      <w:r>
        <w:rPr>
          <w:spacing w:val="28"/>
          <w:sz w:val="15"/>
        </w:rPr>
        <w:t> </w:t>
      </w:r>
      <w:r>
        <w:rPr>
          <w:sz w:val="15"/>
        </w:rPr>
        <w:t>parte</w:t>
      </w:r>
      <w:r>
        <w:rPr>
          <w:spacing w:val="29"/>
          <w:sz w:val="15"/>
        </w:rPr>
        <w:t> </w:t>
      </w:r>
      <w:r>
        <w:rPr>
          <w:sz w:val="15"/>
        </w:rPr>
        <w:t>de</w:t>
      </w:r>
      <w:r>
        <w:rPr>
          <w:spacing w:val="28"/>
          <w:sz w:val="15"/>
        </w:rPr>
        <w:t> </w:t>
      </w:r>
      <w:r>
        <w:rPr>
          <w:sz w:val="15"/>
        </w:rPr>
        <w:t>actas</w:t>
      </w:r>
      <w:r>
        <w:rPr>
          <w:spacing w:val="28"/>
          <w:sz w:val="15"/>
        </w:rPr>
        <w:t> </w:t>
      </w:r>
      <w:r>
        <w:rPr>
          <w:sz w:val="15"/>
        </w:rPr>
        <w:t>de</w:t>
      </w:r>
    </w:p>
    <w:p>
      <w:pPr>
        <w:pStyle w:val="BodyText"/>
        <w:tabs>
          <w:tab w:pos="5347" w:val="left" w:leader="none"/>
        </w:tabs>
        <w:spacing w:before="5"/>
        <w:ind w:left="548"/>
      </w:pPr>
      <w:r>
        <w:rPr/>
        <w:t>registro</w:t>
      </w:r>
      <w:r>
        <w:rPr>
          <w:spacing w:val="8"/>
        </w:rPr>
        <w:t> </w:t>
      </w:r>
      <w:r>
        <w:rPr/>
        <w:t>civil</w:t>
      </w:r>
      <w:r>
        <w:rPr>
          <w:spacing w:val="8"/>
        </w:rPr>
        <w:t> </w:t>
      </w:r>
      <w:r>
        <w:rPr/>
        <w:t>asentadas</w:t>
      </w:r>
      <w:r>
        <w:rPr>
          <w:spacing w:val="8"/>
        </w:rPr>
        <w:t> </w:t>
      </w:r>
      <w:r>
        <w:rPr/>
        <w:t>en</w:t>
      </w:r>
      <w:r>
        <w:rPr>
          <w:spacing w:val="9"/>
        </w:rPr>
        <w:t> </w:t>
      </w:r>
      <w:r>
        <w:rPr/>
        <w:t>el</w:t>
      </w:r>
      <w:r>
        <w:rPr>
          <w:spacing w:val="9"/>
        </w:rPr>
        <w:t> </w:t>
      </w:r>
      <w:r>
        <w:rPr/>
        <w:t>municipio,</w:t>
      </w:r>
      <w:r>
        <w:rPr>
          <w:spacing w:val="8"/>
        </w:rPr>
        <w:t> </w:t>
      </w:r>
      <w:r>
        <w:rPr/>
        <w:t>por</w:t>
      </w:r>
      <w:r>
        <w:rPr>
          <w:spacing w:val="9"/>
        </w:rPr>
        <w:t> </w:t>
      </w:r>
      <w:r>
        <w:rPr/>
        <w:t>cada</w:t>
      </w:r>
      <w:r>
        <w:rPr>
          <w:spacing w:val="7"/>
        </w:rPr>
        <w:t> </w:t>
      </w:r>
      <w:r>
        <w:rPr/>
        <w:t>una:</w:t>
        <w:tab/>
        <w:t>$143.00</w:t>
      </w:r>
    </w:p>
    <w:p>
      <w:pPr>
        <w:spacing w:after="0"/>
        <w:sectPr>
          <w:type w:val="continuous"/>
          <w:pgSz w:w="23250" w:h="15310" w:orient="landscape"/>
          <w:pgMar w:top="0" w:bottom="0" w:left="1880" w:right="1520"/>
          <w:cols w:num="3" w:equalWidth="0">
            <w:col w:w="4605" w:space="40"/>
            <w:col w:w="986" w:space="5594"/>
            <w:col w:w="8625"/>
          </w:cols>
        </w:sectPr>
      </w:pPr>
    </w:p>
    <w:p>
      <w:pPr>
        <w:pStyle w:val="ListParagraph"/>
        <w:numPr>
          <w:ilvl w:val="0"/>
          <w:numId w:val="138"/>
        </w:numPr>
        <w:tabs>
          <w:tab w:pos="751" w:val="left" w:leader="none"/>
        </w:tabs>
        <w:spacing w:line="247" w:lineRule="auto" w:before="5" w:after="0"/>
        <w:ind w:left="150" w:right="38" w:firstLine="397"/>
        <w:jc w:val="both"/>
        <w:rPr>
          <w:sz w:val="15"/>
        </w:rPr>
      </w:pPr>
      <w:r>
        <w:rPr>
          <w:sz w:val="15"/>
        </w:rPr>
        <w:t>Para el caso de los servicios del registro civil a domicilio en horas inhábiles de oficina, excepto defunciones,  se  otorgará  participación económica al personal que cubra dichos servicios, por cada servicio: 40%  de  la</w:t>
      </w:r>
      <w:r>
        <w:rPr>
          <w:spacing w:val="6"/>
          <w:sz w:val="15"/>
        </w:rPr>
        <w:t> </w:t>
      </w:r>
      <w:r>
        <w:rPr>
          <w:sz w:val="15"/>
        </w:rPr>
        <w:t>cuota</w:t>
      </w:r>
      <w:r>
        <w:rPr>
          <w:spacing w:val="6"/>
          <w:sz w:val="15"/>
        </w:rPr>
        <w:t> </w:t>
      </w:r>
      <w:r>
        <w:rPr>
          <w:sz w:val="15"/>
        </w:rPr>
        <w:t>establecida</w:t>
      </w:r>
      <w:r>
        <w:rPr>
          <w:spacing w:val="6"/>
          <w:sz w:val="15"/>
        </w:rPr>
        <w:t> </w:t>
      </w:r>
      <w:r>
        <w:rPr>
          <w:sz w:val="15"/>
        </w:rPr>
        <w:t>en</w:t>
      </w:r>
      <w:r>
        <w:rPr>
          <w:spacing w:val="5"/>
          <w:sz w:val="15"/>
        </w:rPr>
        <w:t> </w:t>
      </w:r>
      <w:r>
        <w:rPr>
          <w:sz w:val="15"/>
        </w:rPr>
        <w:t>la</w:t>
      </w:r>
      <w:r>
        <w:rPr>
          <w:spacing w:val="7"/>
          <w:sz w:val="15"/>
        </w:rPr>
        <w:t> </w:t>
      </w:r>
      <w:r>
        <w:rPr>
          <w:sz w:val="15"/>
        </w:rPr>
        <w:t>fracción</w:t>
      </w:r>
      <w:r>
        <w:rPr>
          <w:spacing w:val="5"/>
          <w:sz w:val="15"/>
        </w:rPr>
        <w:t> </w:t>
      </w:r>
      <w:r>
        <w:rPr>
          <w:sz w:val="15"/>
        </w:rPr>
        <w:t>II,</w:t>
      </w:r>
      <w:r>
        <w:rPr>
          <w:spacing w:val="6"/>
          <w:sz w:val="15"/>
        </w:rPr>
        <w:t> </w:t>
      </w:r>
      <w:r>
        <w:rPr>
          <w:sz w:val="15"/>
        </w:rPr>
        <w:t>incisos</w:t>
      </w:r>
      <w:r>
        <w:rPr>
          <w:spacing w:val="6"/>
          <w:sz w:val="15"/>
        </w:rPr>
        <w:t> </w:t>
      </w:r>
      <w:r>
        <w:rPr>
          <w:sz w:val="15"/>
        </w:rPr>
        <w:t>b),</w:t>
      </w:r>
      <w:r>
        <w:rPr>
          <w:spacing w:val="6"/>
          <w:sz w:val="15"/>
        </w:rPr>
        <w:t> </w:t>
      </w:r>
      <w:r>
        <w:rPr>
          <w:sz w:val="15"/>
        </w:rPr>
        <w:t>d)</w:t>
      </w:r>
      <w:r>
        <w:rPr>
          <w:spacing w:val="6"/>
          <w:sz w:val="15"/>
        </w:rPr>
        <w:t> </w:t>
      </w:r>
      <w:r>
        <w:rPr>
          <w:sz w:val="15"/>
        </w:rPr>
        <w:t>y</w:t>
      </w:r>
      <w:r>
        <w:rPr>
          <w:spacing w:val="6"/>
          <w:sz w:val="15"/>
        </w:rPr>
        <w:t> </w:t>
      </w:r>
      <w:r>
        <w:rPr>
          <w:sz w:val="15"/>
        </w:rPr>
        <w:t>f)</w:t>
      </w:r>
      <w:r>
        <w:rPr>
          <w:spacing w:val="6"/>
          <w:sz w:val="15"/>
        </w:rPr>
        <w:t> </w:t>
      </w:r>
      <w:r>
        <w:rPr>
          <w:sz w:val="15"/>
        </w:rPr>
        <w:t>del</w:t>
      </w:r>
      <w:r>
        <w:rPr>
          <w:spacing w:val="7"/>
          <w:sz w:val="15"/>
        </w:rPr>
        <w:t> </w:t>
      </w:r>
      <w:r>
        <w:rPr>
          <w:sz w:val="15"/>
        </w:rPr>
        <w:t>presente</w:t>
      </w:r>
      <w:r>
        <w:rPr>
          <w:spacing w:val="6"/>
          <w:sz w:val="15"/>
        </w:rPr>
        <w:t> </w:t>
      </w:r>
      <w:r>
        <w:rPr>
          <w:sz w:val="15"/>
        </w:rPr>
        <w:t>artículo.</w:t>
      </w:r>
    </w:p>
    <w:p>
      <w:pPr>
        <w:pStyle w:val="BodyText"/>
        <w:spacing w:before="2"/>
      </w:pPr>
    </w:p>
    <w:p>
      <w:pPr>
        <w:pStyle w:val="ListParagraph"/>
        <w:numPr>
          <w:ilvl w:val="0"/>
          <w:numId w:val="137"/>
        </w:numPr>
        <w:tabs>
          <w:tab w:pos="784" w:val="left" w:leader="none"/>
        </w:tabs>
        <w:spacing w:line="247" w:lineRule="auto" w:before="0" w:after="0"/>
        <w:ind w:left="150" w:right="38" w:firstLine="397"/>
        <w:jc w:val="both"/>
        <w:rPr>
          <w:sz w:val="15"/>
        </w:rPr>
      </w:pPr>
      <w:r>
        <w:rPr>
          <w:sz w:val="15"/>
        </w:rPr>
        <w:t>Por las anotaciones e inserciones en las actas del registro civil se pagará el derecho conforme a las siguientes</w:t>
      </w:r>
      <w:r>
        <w:rPr>
          <w:spacing w:val="16"/>
          <w:sz w:val="15"/>
        </w:rPr>
        <w:t> </w:t>
      </w:r>
      <w:r>
        <w:rPr>
          <w:sz w:val="15"/>
        </w:rPr>
        <w:t>tarifas:</w:t>
      </w:r>
    </w:p>
    <w:p>
      <w:pPr>
        <w:pStyle w:val="BodyText"/>
        <w:spacing w:before="3"/>
      </w:pPr>
    </w:p>
    <w:p>
      <w:pPr>
        <w:pStyle w:val="BodyText"/>
        <w:ind w:left="548"/>
      </w:pPr>
      <w:r>
        <w:rPr/>
        <w:t>a) De cambio de régimen patrimonial en el matrimonio vía</w:t>
      </w:r>
    </w:p>
    <w:p>
      <w:pPr>
        <w:pStyle w:val="BodyText"/>
        <w:spacing w:before="9"/>
      </w:pPr>
      <w:r>
        <w:rPr/>
        <w:br w:type="column"/>
      </w:r>
      <w:r>
        <w:rPr/>
      </w:r>
    </w:p>
    <w:p>
      <w:pPr>
        <w:pStyle w:val="BodyText"/>
        <w:spacing w:line="244" w:lineRule="auto"/>
        <w:ind w:left="150" w:right="38" w:firstLine="397"/>
        <w:jc w:val="both"/>
      </w:pPr>
      <w:r>
        <w:rPr/>
        <w:t>d) Canje de actas por certificaciones  realizadas  por esta autoridad Municipal por cada una, presentando la</w:t>
      </w:r>
      <w:r>
        <w:rPr>
          <w:spacing w:val="1"/>
        </w:rPr>
        <w:t> </w:t>
      </w:r>
      <w:r>
        <w:rPr/>
        <w:t>anterior:</w:t>
      </w:r>
    </w:p>
    <w:p>
      <w:pPr>
        <w:pStyle w:val="BodyText"/>
        <w:spacing w:before="8"/>
      </w:pPr>
    </w:p>
    <w:p>
      <w:pPr>
        <w:pStyle w:val="BodyText"/>
        <w:spacing w:line="244" w:lineRule="auto"/>
        <w:ind w:left="150" w:right="38" w:firstLine="397"/>
        <w:jc w:val="both"/>
      </w:pPr>
      <w:r>
        <w:rPr/>
        <w:t>III.- Constancia de inexistencia de actas del  registro civil, excepto de nacimiento para el trámite de registro extemporáneo por cada</w:t>
      </w:r>
      <w:r>
        <w:rPr>
          <w:spacing w:val="10"/>
        </w:rPr>
        <w:t> </w:t>
      </w:r>
      <w:r>
        <w:rPr/>
        <w:t>una:</w:t>
      </w:r>
    </w:p>
    <w:p>
      <w:pPr>
        <w:pStyle w:val="BodyText"/>
        <w:spacing w:before="9"/>
      </w:pPr>
      <w:r>
        <w:rPr/>
        <w:br w:type="column"/>
      </w:r>
      <w:r>
        <w:rPr/>
      </w:r>
    </w:p>
    <w:p>
      <w:pPr>
        <w:pStyle w:val="BodyText"/>
        <w:ind w:left="224"/>
      </w:pPr>
      <w:r>
        <w:rPr/>
        <w:t>$46.00</w:t>
      </w:r>
    </w:p>
    <w:p>
      <w:pPr>
        <w:pStyle w:val="BodyText"/>
        <w:rPr>
          <w:sz w:val="16"/>
        </w:rPr>
      </w:pPr>
    </w:p>
    <w:p>
      <w:pPr>
        <w:pStyle w:val="BodyText"/>
        <w:rPr>
          <w:sz w:val="16"/>
        </w:rPr>
      </w:pPr>
    </w:p>
    <w:p>
      <w:pPr>
        <w:pStyle w:val="BodyText"/>
        <w:rPr>
          <w:sz w:val="16"/>
        </w:rPr>
      </w:pPr>
    </w:p>
    <w:p>
      <w:pPr>
        <w:pStyle w:val="BodyText"/>
        <w:rPr>
          <w:sz w:val="14"/>
        </w:rPr>
      </w:pPr>
    </w:p>
    <w:p>
      <w:pPr>
        <w:pStyle w:val="BodyText"/>
        <w:ind w:left="150"/>
      </w:pPr>
      <w:r>
        <w:rPr/>
        <w:t>$112.00</w:t>
      </w:r>
    </w:p>
    <w:p>
      <w:pPr>
        <w:spacing w:after="0"/>
        <w:sectPr>
          <w:type w:val="continuous"/>
          <w:pgSz w:w="23250" w:h="15310" w:orient="landscape"/>
          <w:pgMar w:top="0" w:bottom="0" w:left="1880" w:right="1520"/>
          <w:cols w:num="3" w:equalWidth="0">
            <w:col w:w="5532" w:space="6091"/>
            <w:col w:w="4059" w:space="752"/>
            <w:col w:w="3416"/>
          </w:cols>
        </w:sectPr>
      </w:pPr>
    </w:p>
    <w:p>
      <w:pPr>
        <w:pStyle w:val="BodyText"/>
        <w:tabs>
          <w:tab w:pos="4932" w:val="left" w:leader="none"/>
          <w:tab w:pos="12170" w:val="left" w:leader="none"/>
          <w:tab w:pos="16574" w:val="left" w:leader="none"/>
        </w:tabs>
        <w:spacing w:before="5"/>
        <w:ind w:left="150"/>
      </w:pPr>
      <w:r>
        <w:rPr/>
        <w:t>judicial</w:t>
      </w:r>
      <w:r>
        <w:rPr>
          <w:spacing w:val="9"/>
        </w:rPr>
        <w:t> </w:t>
      </w:r>
      <w:r>
        <w:rPr/>
        <w:t>o</w:t>
      </w:r>
      <w:r>
        <w:rPr>
          <w:spacing w:val="10"/>
        </w:rPr>
        <w:t> </w:t>
      </w:r>
      <w:r>
        <w:rPr/>
        <w:t>administrativa:</w:t>
        <w:tab/>
        <w:t>$677.00</w:t>
        <w:tab/>
      </w:r>
      <w:r>
        <w:rPr>
          <w:spacing w:val="-5"/>
        </w:rPr>
        <w:t>IV.  </w:t>
      </w:r>
      <w:r>
        <w:rPr/>
        <w:t>Extractos de actas, por</w:t>
      </w:r>
      <w:r>
        <w:rPr>
          <w:spacing w:val="5"/>
        </w:rPr>
        <w:t> </w:t>
      </w:r>
      <w:r>
        <w:rPr/>
        <w:t>cada</w:t>
      </w:r>
      <w:r>
        <w:rPr>
          <w:spacing w:val="7"/>
        </w:rPr>
        <w:t> </w:t>
      </w:r>
      <w:r>
        <w:rPr/>
        <w:t>uno:</w:t>
        <w:tab/>
        <w:t>$100.00</w:t>
      </w:r>
    </w:p>
    <w:p>
      <w:pPr>
        <w:spacing w:after="0"/>
        <w:sectPr>
          <w:type w:val="continuous"/>
          <w:pgSz w:w="23250" w:h="15310" w:orient="landscape"/>
          <w:pgMar w:top="0" w:bottom="0" w:left="1880" w:right="1520"/>
        </w:sectPr>
      </w:pPr>
    </w:p>
    <w:p>
      <w:pPr>
        <w:pStyle w:val="BodyText"/>
        <w:spacing w:before="9"/>
      </w:pPr>
    </w:p>
    <w:p>
      <w:pPr>
        <w:pStyle w:val="ListParagraph"/>
        <w:numPr>
          <w:ilvl w:val="0"/>
          <w:numId w:val="139"/>
        </w:numPr>
        <w:tabs>
          <w:tab w:pos="729" w:val="left" w:leader="none"/>
          <w:tab w:pos="4933" w:val="left" w:leader="none"/>
        </w:tabs>
        <w:spacing w:line="240" w:lineRule="auto" w:before="1" w:after="0"/>
        <w:ind w:left="728" w:right="0" w:hanging="181"/>
        <w:jc w:val="left"/>
        <w:rPr>
          <w:sz w:val="15"/>
        </w:rPr>
      </w:pPr>
      <w:r>
        <w:rPr>
          <w:sz w:val="15"/>
        </w:rPr>
        <w:t>De divorcio por resolución judicial </w:t>
      </w:r>
      <w:r>
        <w:rPr>
          <w:spacing w:val="24"/>
          <w:sz w:val="15"/>
        </w:rPr>
        <w:t> </w:t>
      </w:r>
      <w:r>
        <w:rPr>
          <w:sz w:val="15"/>
        </w:rPr>
        <w:t>o</w:t>
      </w:r>
      <w:r>
        <w:rPr>
          <w:spacing w:val="13"/>
          <w:sz w:val="15"/>
        </w:rPr>
        <w:t> </w:t>
      </w:r>
      <w:r>
        <w:rPr>
          <w:sz w:val="15"/>
        </w:rPr>
        <w:t>administrativa:</w:t>
        <w:tab/>
        <w:t>$469.00</w:t>
      </w:r>
    </w:p>
    <w:p>
      <w:pPr>
        <w:pStyle w:val="BodyText"/>
        <w:spacing w:before="8"/>
      </w:pPr>
    </w:p>
    <w:p>
      <w:pPr>
        <w:pStyle w:val="ListParagraph"/>
        <w:numPr>
          <w:ilvl w:val="0"/>
          <w:numId w:val="139"/>
        </w:numPr>
        <w:tabs>
          <w:tab w:pos="745" w:val="left" w:leader="none"/>
        </w:tabs>
        <w:spacing w:line="240" w:lineRule="auto" w:before="0" w:after="0"/>
        <w:ind w:left="744" w:right="0" w:hanging="197"/>
        <w:jc w:val="left"/>
        <w:rPr>
          <w:sz w:val="15"/>
        </w:rPr>
      </w:pPr>
      <w:r>
        <w:rPr>
          <w:sz w:val="15"/>
        </w:rPr>
        <w:t>De</w:t>
      </w:r>
      <w:r>
        <w:rPr>
          <w:spacing w:val="29"/>
          <w:sz w:val="15"/>
        </w:rPr>
        <w:t> </w:t>
      </w:r>
      <w:r>
        <w:rPr>
          <w:sz w:val="15"/>
        </w:rPr>
        <w:t>actas</w:t>
      </w:r>
      <w:r>
        <w:rPr>
          <w:spacing w:val="30"/>
          <w:sz w:val="15"/>
        </w:rPr>
        <w:t> </w:t>
      </w:r>
      <w:r>
        <w:rPr>
          <w:sz w:val="15"/>
        </w:rPr>
        <w:t>de</w:t>
      </w:r>
      <w:r>
        <w:rPr>
          <w:spacing w:val="29"/>
          <w:sz w:val="15"/>
        </w:rPr>
        <w:t> </w:t>
      </w:r>
      <w:r>
        <w:rPr>
          <w:sz w:val="15"/>
        </w:rPr>
        <w:t>defunción</w:t>
      </w:r>
      <w:r>
        <w:rPr>
          <w:spacing w:val="30"/>
          <w:sz w:val="15"/>
        </w:rPr>
        <w:t> </w:t>
      </w:r>
      <w:r>
        <w:rPr>
          <w:sz w:val="15"/>
        </w:rPr>
        <w:t>de</w:t>
      </w:r>
      <w:r>
        <w:rPr>
          <w:spacing w:val="29"/>
          <w:sz w:val="15"/>
        </w:rPr>
        <w:t> </w:t>
      </w:r>
      <w:r>
        <w:rPr>
          <w:sz w:val="15"/>
        </w:rPr>
        <w:t>personas</w:t>
      </w:r>
      <w:r>
        <w:rPr>
          <w:spacing w:val="30"/>
          <w:sz w:val="15"/>
        </w:rPr>
        <w:t> </w:t>
      </w:r>
      <w:r>
        <w:rPr>
          <w:sz w:val="15"/>
        </w:rPr>
        <w:t>fallecidas</w:t>
      </w:r>
      <w:r>
        <w:rPr>
          <w:spacing w:val="29"/>
          <w:sz w:val="15"/>
        </w:rPr>
        <w:t> </w:t>
      </w:r>
      <w:r>
        <w:rPr>
          <w:sz w:val="15"/>
        </w:rPr>
        <w:t>fuera</w:t>
      </w:r>
      <w:r>
        <w:rPr>
          <w:spacing w:val="30"/>
          <w:sz w:val="15"/>
        </w:rPr>
        <w:t> </w:t>
      </w:r>
      <w:r>
        <w:rPr>
          <w:sz w:val="15"/>
        </w:rPr>
        <w:t>del</w:t>
      </w:r>
    </w:p>
    <w:p>
      <w:pPr>
        <w:pStyle w:val="BodyText"/>
        <w:tabs>
          <w:tab w:pos="4933" w:val="left" w:leader="none"/>
        </w:tabs>
        <w:spacing w:before="5"/>
        <w:ind w:left="150"/>
      </w:pPr>
      <w:r>
        <w:rPr/>
        <w:t>Municipio o en el</w:t>
      </w:r>
      <w:r>
        <w:rPr>
          <w:spacing w:val="30"/>
        </w:rPr>
        <w:t> </w:t>
      </w:r>
      <w:r>
        <w:rPr/>
        <w:t>extranjero,</w:t>
      </w:r>
      <w:r>
        <w:rPr>
          <w:spacing w:val="7"/>
        </w:rPr>
        <w:t> </w:t>
      </w:r>
      <w:r>
        <w:rPr/>
        <w:t>de:</w:t>
        <w:tab/>
        <w:t>$264.00</w:t>
      </w:r>
    </w:p>
    <w:p>
      <w:pPr>
        <w:pStyle w:val="BodyText"/>
        <w:spacing w:before="9"/>
      </w:pPr>
      <w:r>
        <w:rPr/>
        <w:br w:type="column"/>
      </w:r>
      <w:r>
        <w:rPr/>
      </w:r>
    </w:p>
    <w:p>
      <w:pPr>
        <w:pStyle w:val="BodyText"/>
        <w:spacing w:line="247" w:lineRule="auto"/>
        <w:ind w:left="150" w:right="29" w:firstLine="397"/>
      </w:pPr>
      <w:r>
        <w:rPr/>
        <w:t>V. Expedición de copias certificadas de apéndices de registro civil, por cada juego:</w:t>
      </w:r>
    </w:p>
    <w:p>
      <w:pPr>
        <w:pStyle w:val="ListParagraph"/>
        <w:numPr>
          <w:ilvl w:val="0"/>
          <w:numId w:val="140"/>
        </w:numPr>
        <w:tabs>
          <w:tab w:pos="801" w:val="left" w:leader="none"/>
        </w:tabs>
        <w:spacing w:line="171" w:lineRule="exact" w:before="0" w:after="0"/>
        <w:ind w:left="800" w:right="0" w:hanging="253"/>
        <w:jc w:val="left"/>
        <w:rPr>
          <w:sz w:val="15"/>
        </w:rPr>
      </w:pPr>
      <w:r>
        <w:rPr>
          <w:sz w:val="15"/>
        </w:rPr>
        <w:t>De una a diez</w:t>
      </w:r>
      <w:r>
        <w:rPr>
          <w:spacing w:val="6"/>
          <w:sz w:val="15"/>
        </w:rPr>
        <w:t> </w:t>
      </w:r>
      <w:r>
        <w:rPr>
          <w:sz w:val="15"/>
        </w:rPr>
        <w:t>hojas:</w:t>
      </w:r>
    </w:p>
    <w:p>
      <w:pPr>
        <w:pStyle w:val="ListParagraph"/>
        <w:numPr>
          <w:ilvl w:val="0"/>
          <w:numId w:val="140"/>
        </w:numPr>
        <w:tabs>
          <w:tab w:pos="801" w:val="left" w:leader="none"/>
        </w:tabs>
        <w:spacing w:line="240" w:lineRule="auto" w:before="5" w:after="0"/>
        <w:ind w:left="800" w:right="0" w:hanging="253"/>
        <w:jc w:val="left"/>
        <w:rPr>
          <w:sz w:val="15"/>
        </w:rPr>
      </w:pPr>
      <w:r>
        <w:rPr>
          <w:sz w:val="15"/>
        </w:rPr>
        <w:t>De once a veinte</w:t>
      </w:r>
      <w:r>
        <w:rPr>
          <w:spacing w:val="7"/>
          <w:sz w:val="15"/>
        </w:rPr>
        <w:t> </w:t>
      </w:r>
      <w:r>
        <w:rPr>
          <w:sz w:val="15"/>
        </w:rPr>
        <w:t>hojas:</w:t>
      </w:r>
    </w:p>
    <w:p>
      <w:pPr>
        <w:pStyle w:val="BodyText"/>
        <w:rPr>
          <w:sz w:val="16"/>
        </w:rPr>
      </w:pPr>
      <w:r>
        <w:rPr/>
        <w:br w:type="column"/>
      </w:r>
      <w:r>
        <w:rPr>
          <w:sz w:val="16"/>
        </w:rPr>
      </w:r>
    </w:p>
    <w:p>
      <w:pPr>
        <w:pStyle w:val="BodyText"/>
        <w:rPr>
          <w:sz w:val="16"/>
        </w:rPr>
      </w:pPr>
    </w:p>
    <w:p>
      <w:pPr>
        <w:pStyle w:val="BodyText"/>
        <w:spacing w:before="6"/>
        <w:rPr>
          <w:sz w:val="14"/>
        </w:rPr>
      </w:pPr>
    </w:p>
    <w:p>
      <w:pPr>
        <w:pStyle w:val="BodyText"/>
        <w:ind w:left="236"/>
      </w:pPr>
      <w:r>
        <w:rPr/>
        <w:t>$83.00</w:t>
      </w:r>
    </w:p>
    <w:p>
      <w:pPr>
        <w:pStyle w:val="BodyText"/>
        <w:spacing w:before="5"/>
        <w:ind w:left="150"/>
      </w:pPr>
      <w:r>
        <w:rPr/>
        <w:t>$166.00</w:t>
      </w:r>
    </w:p>
    <w:p>
      <w:pPr>
        <w:spacing w:after="0"/>
        <w:sectPr>
          <w:type w:val="continuous"/>
          <w:pgSz w:w="23250" w:h="15310" w:orient="landscape"/>
          <w:pgMar w:top="0" w:bottom="0" w:left="1880" w:right="1520"/>
          <w:cols w:num="3" w:equalWidth="0">
            <w:col w:w="5531" w:space="6091"/>
            <w:col w:w="4059" w:space="741"/>
            <w:col w:w="3428"/>
          </w:cols>
        </w:sectPr>
      </w:pPr>
    </w:p>
    <w:p>
      <w:pPr>
        <w:pStyle w:val="BodyText"/>
        <w:spacing w:before="9"/>
      </w:pPr>
    </w:p>
    <w:p>
      <w:pPr>
        <w:pStyle w:val="ListParagraph"/>
        <w:numPr>
          <w:ilvl w:val="0"/>
          <w:numId w:val="141"/>
        </w:numPr>
        <w:tabs>
          <w:tab w:pos="801" w:val="left" w:leader="none"/>
        </w:tabs>
        <w:spacing w:line="247" w:lineRule="auto" w:before="0" w:after="0"/>
        <w:ind w:left="151" w:right="39" w:firstLine="397"/>
        <w:jc w:val="left"/>
        <w:rPr>
          <w:sz w:val="15"/>
        </w:rPr>
      </w:pPr>
      <w:r>
        <w:rPr>
          <w:sz w:val="15"/>
        </w:rPr>
        <w:t>Por las anotaciones marginales de reconocimiento, legitimación de descendientes y durante las campañas</w:t>
      </w:r>
      <w:r>
        <w:rPr>
          <w:spacing w:val="4"/>
          <w:sz w:val="15"/>
        </w:rPr>
        <w:t> </w:t>
      </w:r>
      <w:r>
        <w:rPr>
          <w:sz w:val="15"/>
        </w:rPr>
        <w:t>de</w:t>
      </w:r>
      <w:r>
        <w:rPr>
          <w:spacing w:val="4"/>
          <w:sz w:val="15"/>
        </w:rPr>
        <w:t> </w:t>
      </w:r>
      <w:r>
        <w:rPr>
          <w:sz w:val="15"/>
        </w:rPr>
        <w:t>matrimonios</w:t>
      </w:r>
      <w:r>
        <w:rPr>
          <w:spacing w:val="5"/>
          <w:sz w:val="15"/>
        </w:rPr>
        <w:t> </w:t>
      </w:r>
      <w:r>
        <w:rPr>
          <w:sz w:val="15"/>
        </w:rPr>
        <w:t>colectivos,</w:t>
      </w:r>
      <w:r>
        <w:rPr>
          <w:spacing w:val="4"/>
          <w:sz w:val="15"/>
        </w:rPr>
        <w:t> </w:t>
      </w:r>
      <w:r>
        <w:rPr>
          <w:sz w:val="15"/>
        </w:rPr>
        <w:t>no</w:t>
      </w:r>
      <w:r>
        <w:rPr>
          <w:spacing w:val="5"/>
          <w:sz w:val="15"/>
        </w:rPr>
        <w:t> </w:t>
      </w:r>
      <w:r>
        <w:rPr>
          <w:sz w:val="15"/>
        </w:rPr>
        <w:t>se</w:t>
      </w:r>
      <w:r>
        <w:rPr>
          <w:spacing w:val="4"/>
          <w:sz w:val="15"/>
        </w:rPr>
        <w:t> </w:t>
      </w:r>
      <w:r>
        <w:rPr>
          <w:sz w:val="15"/>
        </w:rPr>
        <w:t>pagarán</w:t>
      </w:r>
      <w:r>
        <w:rPr>
          <w:spacing w:val="5"/>
          <w:sz w:val="15"/>
        </w:rPr>
        <w:t> </w:t>
      </w:r>
      <w:r>
        <w:rPr>
          <w:sz w:val="15"/>
        </w:rPr>
        <w:t>los</w:t>
      </w:r>
      <w:r>
        <w:rPr>
          <w:spacing w:val="4"/>
          <w:sz w:val="15"/>
        </w:rPr>
        <w:t> </w:t>
      </w:r>
      <w:r>
        <w:rPr>
          <w:sz w:val="15"/>
        </w:rPr>
        <w:t>derechos</w:t>
      </w:r>
      <w:r>
        <w:rPr>
          <w:spacing w:val="7"/>
          <w:sz w:val="15"/>
        </w:rPr>
        <w:t> </w:t>
      </w:r>
      <w:r>
        <w:rPr>
          <w:sz w:val="15"/>
        </w:rPr>
        <w:t>a</w:t>
      </w:r>
      <w:r>
        <w:rPr>
          <w:spacing w:val="5"/>
          <w:sz w:val="15"/>
        </w:rPr>
        <w:t> </w:t>
      </w:r>
      <w:r>
        <w:rPr>
          <w:sz w:val="15"/>
        </w:rPr>
        <w:t>que</w:t>
      </w:r>
      <w:r>
        <w:rPr>
          <w:spacing w:val="3"/>
          <w:sz w:val="15"/>
        </w:rPr>
        <w:t> </w:t>
      </w:r>
      <w:r>
        <w:rPr>
          <w:sz w:val="15"/>
        </w:rPr>
        <w:t>se</w:t>
      </w:r>
      <w:r>
        <w:rPr>
          <w:spacing w:val="4"/>
          <w:sz w:val="15"/>
        </w:rPr>
        <w:t> </w:t>
      </w:r>
      <w:r>
        <w:rPr>
          <w:sz w:val="15"/>
        </w:rPr>
        <w:t>refiere</w:t>
      </w:r>
      <w:r>
        <w:rPr>
          <w:spacing w:val="5"/>
          <w:sz w:val="15"/>
        </w:rPr>
        <w:t> </w:t>
      </w:r>
      <w:r>
        <w:rPr>
          <w:sz w:val="15"/>
        </w:rPr>
        <w:t>esta</w:t>
      </w:r>
      <w:r>
        <w:rPr>
          <w:spacing w:val="4"/>
          <w:sz w:val="15"/>
        </w:rPr>
        <w:t> </w:t>
      </w:r>
      <w:r>
        <w:rPr>
          <w:sz w:val="15"/>
        </w:rPr>
        <w:t>sección;</w:t>
      </w:r>
    </w:p>
    <w:p>
      <w:pPr>
        <w:pStyle w:val="BodyText"/>
        <w:spacing w:before="3"/>
      </w:pPr>
    </w:p>
    <w:p>
      <w:pPr>
        <w:pStyle w:val="ListParagraph"/>
        <w:numPr>
          <w:ilvl w:val="0"/>
          <w:numId w:val="141"/>
        </w:numPr>
        <w:tabs>
          <w:tab w:pos="736" w:val="left" w:leader="none"/>
        </w:tabs>
        <w:spacing w:line="247" w:lineRule="auto" w:before="0" w:after="0"/>
        <w:ind w:left="151" w:right="38" w:firstLine="397"/>
        <w:jc w:val="left"/>
        <w:rPr>
          <w:sz w:val="15"/>
        </w:rPr>
      </w:pPr>
      <w:r>
        <w:rPr>
          <w:sz w:val="15"/>
        </w:rPr>
        <w:t>Por el registro de nacimiento en horas hábiles de oficina, o bien, fuera de las oficinas o del horario, cuando</w:t>
      </w:r>
      <w:r>
        <w:rPr>
          <w:spacing w:val="3"/>
          <w:sz w:val="15"/>
        </w:rPr>
        <w:t> </w:t>
      </w:r>
      <w:r>
        <w:rPr>
          <w:sz w:val="15"/>
        </w:rPr>
        <w:t>exista</w:t>
      </w:r>
      <w:r>
        <w:rPr>
          <w:spacing w:val="4"/>
          <w:sz w:val="15"/>
        </w:rPr>
        <w:t> </w:t>
      </w:r>
      <w:r>
        <w:rPr>
          <w:sz w:val="15"/>
        </w:rPr>
        <w:t>causa</w:t>
      </w:r>
      <w:r>
        <w:rPr>
          <w:spacing w:val="4"/>
          <w:sz w:val="15"/>
        </w:rPr>
        <w:t> </w:t>
      </w:r>
      <w:r>
        <w:rPr>
          <w:sz w:val="15"/>
        </w:rPr>
        <w:t>justificada,</w:t>
      </w:r>
      <w:r>
        <w:rPr>
          <w:spacing w:val="4"/>
          <w:sz w:val="15"/>
        </w:rPr>
        <w:t> </w:t>
      </w:r>
      <w:r>
        <w:rPr>
          <w:sz w:val="15"/>
        </w:rPr>
        <w:t>no</w:t>
      </w:r>
      <w:r>
        <w:rPr>
          <w:spacing w:val="3"/>
          <w:sz w:val="15"/>
        </w:rPr>
        <w:t> </w:t>
      </w:r>
      <w:r>
        <w:rPr>
          <w:sz w:val="15"/>
        </w:rPr>
        <w:t>se</w:t>
      </w:r>
      <w:r>
        <w:rPr>
          <w:spacing w:val="4"/>
          <w:sz w:val="15"/>
        </w:rPr>
        <w:t> </w:t>
      </w:r>
      <w:r>
        <w:rPr>
          <w:sz w:val="15"/>
        </w:rPr>
        <w:t>pagarán</w:t>
      </w:r>
      <w:r>
        <w:rPr>
          <w:spacing w:val="4"/>
          <w:sz w:val="15"/>
        </w:rPr>
        <w:t> </w:t>
      </w:r>
      <w:r>
        <w:rPr>
          <w:sz w:val="15"/>
        </w:rPr>
        <w:t>los</w:t>
      </w:r>
      <w:r>
        <w:rPr>
          <w:spacing w:val="4"/>
          <w:sz w:val="15"/>
        </w:rPr>
        <w:t> </w:t>
      </w:r>
      <w:r>
        <w:rPr>
          <w:sz w:val="15"/>
        </w:rPr>
        <w:t>derechos</w:t>
      </w:r>
      <w:r>
        <w:rPr>
          <w:spacing w:val="4"/>
          <w:sz w:val="15"/>
        </w:rPr>
        <w:t> </w:t>
      </w:r>
      <w:r>
        <w:rPr>
          <w:sz w:val="15"/>
        </w:rPr>
        <w:t>a</w:t>
      </w:r>
      <w:r>
        <w:rPr>
          <w:spacing w:val="3"/>
          <w:sz w:val="15"/>
        </w:rPr>
        <w:t> </w:t>
      </w:r>
      <w:r>
        <w:rPr>
          <w:sz w:val="15"/>
        </w:rPr>
        <w:t>que</w:t>
      </w:r>
      <w:r>
        <w:rPr>
          <w:spacing w:val="4"/>
          <w:sz w:val="15"/>
        </w:rPr>
        <w:t> </w:t>
      </w:r>
      <w:r>
        <w:rPr>
          <w:sz w:val="15"/>
        </w:rPr>
        <w:t>se</w:t>
      </w:r>
      <w:r>
        <w:rPr>
          <w:spacing w:val="4"/>
          <w:sz w:val="15"/>
        </w:rPr>
        <w:t> </w:t>
      </w:r>
      <w:r>
        <w:rPr>
          <w:sz w:val="15"/>
        </w:rPr>
        <w:t>refiere</w:t>
      </w:r>
      <w:r>
        <w:rPr>
          <w:spacing w:val="4"/>
          <w:sz w:val="15"/>
        </w:rPr>
        <w:t> </w:t>
      </w:r>
      <w:r>
        <w:rPr>
          <w:sz w:val="15"/>
        </w:rPr>
        <w:t>este</w:t>
      </w:r>
      <w:r>
        <w:rPr>
          <w:spacing w:val="4"/>
          <w:sz w:val="15"/>
        </w:rPr>
        <w:t> </w:t>
      </w:r>
      <w:r>
        <w:rPr>
          <w:sz w:val="15"/>
        </w:rPr>
        <w:t>capítulo;</w:t>
      </w:r>
      <w:r>
        <w:rPr>
          <w:spacing w:val="4"/>
          <w:sz w:val="15"/>
        </w:rPr>
        <w:t> </w:t>
      </w:r>
      <w:r>
        <w:rPr>
          <w:sz w:val="15"/>
        </w:rPr>
        <w:t>y</w:t>
      </w:r>
    </w:p>
    <w:p>
      <w:pPr>
        <w:pStyle w:val="BodyText"/>
        <w:spacing w:before="9"/>
      </w:pPr>
      <w:r>
        <w:rPr/>
        <w:br w:type="column"/>
      </w:r>
      <w:r>
        <w:rPr/>
      </w:r>
    </w:p>
    <w:p>
      <w:pPr>
        <w:pStyle w:val="ListParagraph"/>
        <w:numPr>
          <w:ilvl w:val="0"/>
          <w:numId w:val="141"/>
        </w:numPr>
        <w:tabs>
          <w:tab w:pos="837" w:val="left" w:leader="none"/>
        </w:tabs>
        <w:spacing w:line="247" w:lineRule="auto" w:before="0" w:after="0"/>
        <w:ind w:left="151" w:right="4200" w:firstLine="397"/>
        <w:jc w:val="left"/>
        <w:rPr>
          <w:sz w:val="15"/>
        </w:rPr>
      </w:pPr>
      <w:r>
        <w:rPr>
          <w:sz w:val="15"/>
        </w:rPr>
        <w:t>Búsqueda de acta de registro civil por un periodo</w:t>
      </w:r>
      <w:r>
        <w:rPr>
          <w:spacing w:val="29"/>
          <w:sz w:val="15"/>
        </w:rPr>
        <w:t> </w:t>
      </w:r>
      <w:r>
        <w:rPr>
          <w:sz w:val="15"/>
        </w:rPr>
        <w:t>de</w:t>
      </w:r>
      <w:r>
        <w:rPr>
          <w:spacing w:val="29"/>
          <w:sz w:val="15"/>
        </w:rPr>
        <w:t> </w:t>
      </w:r>
      <w:r>
        <w:rPr>
          <w:sz w:val="15"/>
        </w:rPr>
        <w:t>tres</w:t>
      </w:r>
      <w:r>
        <w:rPr>
          <w:spacing w:val="29"/>
          <w:sz w:val="15"/>
        </w:rPr>
        <w:t> </w:t>
      </w:r>
      <w:r>
        <w:rPr>
          <w:sz w:val="15"/>
        </w:rPr>
        <w:t>años,</w:t>
      </w:r>
      <w:r>
        <w:rPr>
          <w:spacing w:val="29"/>
          <w:sz w:val="15"/>
        </w:rPr>
        <w:t> </w:t>
      </w:r>
      <w:r>
        <w:rPr>
          <w:sz w:val="15"/>
        </w:rPr>
        <w:t>a</w:t>
      </w:r>
      <w:r>
        <w:rPr>
          <w:spacing w:val="30"/>
          <w:sz w:val="15"/>
        </w:rPr>
        <w:t> </w:t>
      </w:r>
      <w:r>
        <w:rPr>
          <w:sz w:val="15"/>
        </w:rPr>
        <w:t>partir</w:t>
      </w:r>
      <w:r>
        <w:rPr>
          <w:spacing w:val="28"/>
          <w:sz w:val="15"/>
        </w:rPr>
        <w:t> </w:t>
      </w:r>
      <w:r>
        <w:rPr>
          <w:sz w:val="15"/>
        </w:rPr>
        <w:t>de</w:t>
      </w:r>
      <w:r>
        <w:rPr>
          <w:spacing w:val="30"/>
          <w:sz w:val="15"/>
        </w:rPr>
        <w:t> </w:t>
      </w:r>
      <w:r>
        <w:rPr>
          <w:sz w:val="15"/>
        </w:rPr>
        <w:t>la</w:t>
      </w:r>
      <w:r>
        <w:rPr>
          <w:spacing w:val="29"/>
          <w:sz w:val="15"/>
        </w:rPr>
        <w:t> </w:t>
      </w:r>
      <w:r>
        <w:rPr>
          <w:sz w:val="15"/>
        </w:rPr>
        <w:t>fecha</w:t>
      </w:r>
      <w:r>
        <w:rPr>
          <w:spacing w:val="29"/>
          <w:sz w:val="15"/>
        </w:rPr>
        <w:t> </w:t>
      </w:r>
      <w:r>
        <w:rPr>
          <w:sz w:val="15"/>
        </w:rPr>
        <w:t>que</w:t>
      </w:r>
      <w:r>
        <w:rPr>
          <w:spacing w:val="30"/>
          <w:sz w:val="15"/>
        </w:rPr>
        <w:t> </w:t>
      </w:r>
      <w:r>
        <w:rPr>
          <w:sz w:val="15"/>
        </w:rPr>
        <w:t>el</w:t>
      </w:r>
    </w:p>
    <w:p>
      <w:pPr>
        <w:pStyle w:val="BodyText"/>
        <w:tabs>
          <w:tab w:pos="5035" w:val="left" w:leader="none"/>
        </w:tabs>
        <w:spacing w:line="171" w:lineRule="exact"/>
        <w:ind w:left="151"/>
      </w:pPr>
      <w:r>
        <w:rPr/>
        <w:t>contribuyente</w:t>
      </w:r>
      <w:r>
        <w:rPr>
          <w:spacing w:val="14"/>
        </w:rPr>
        <w:t> </w:t>
      </w:r>
      <w:r>
        <w:rPr/>
        <w:t>proporcione:</w:t>
        <w:tab/>
        <w:t>$56.00</w:t>
      </w:r>
    </w:p>
    <w:p>
      <w:pPr>
        <w:pStyle w:val="BodyText"/>
        <w:spacing w:before="9"/>
      </w:pPr>
    </w:p>
    <w:p>
      <w:pPr>
        <w:pStyle w:val="BodyText"/>
        <w:tabs>
          <w:tab w:pos="5036" w:val="left" w:leader="none"/>
        </w:tabs>
        <w:ind w:left="548"/>
      </w:pPr>
      <w:r>
        <w:rPr/>
        <w:t>a) Por cada</w:t>
      </w:r>
      <w:r>
        <w:rPr>
          <w:spacing w:val="21"/>
        </w:rPr>
        <w:t> </w:t>
      </w:r>
      <w:r>
        <w:rPr/>
        <w:t>año</w:t>
      </w:r>
      <w:r>
        <w:rPr>
          <w:spacing w:val="8"/>
        </w:rPr>
        <w:t> </w:t>
      </w:r>
      <w:r>
        <w:rPr/>
        <w:t>adicional:</w:t>
        <w:tab/>
        <w:t>$23.00</w:t>
      </w:r>
    </w:p>
    <w:p>
      <w:pPr>
        <w:spacing w:after="0"/>
        <w:sectPr>
          <w:type w:val="continuous"/>
          <w:pgSz w:w="23250" w:h="15310" w:orient="landscape"/>
          <w:pgMar w:top="0" w:bottom="0" w:left="1880" w:right="1520"/>
          <w:cols w:num="2" w:equalWidth="0">
            <w:col w:w="7751" w:space="3871"/>
            <w:col w:w="8228"/>
          </w:cols>
        </w:sectPr>
      </w:pPr>
    </w:p>
    <w:p>
      <w:pPr>
        <w:pStyle w:val="BodyText"/>
        <w:spacing w:before="4"/>
      </w:pPr>
    </w:p>
    <w:p>
      <w:pPr>
        <w:pStyle w:val="ListParagraph"/>
        <w:numPr>
          <w:ilvl w:val="0"/>
          <w:numId w:val="142"/>
        </w:numPr>
        <w:tabs>
          <w:tab w:pos="790" w:val="left" w:leader="none"/>
        </w:tabs>
        <w:spacing w:line="247" w:lineRule="auto" w:before="0" w:after="0"/>
        <w:ind w:left="151" w:right="41" w:firstLine="397"/>
        <w:jc w:val="both"/>
        <w:rPr>
          <w:sz w:val="15"/>
        </w:rPr>
      </w:pPr>
      <w:r>
        <w:rPr>
          <w:sz w:val="15"/>
        </w:rPr>
        <w:t>Por el registro de nacimiento, el registro extemporáneo así como por la primera copia certificada de acta</w:t>
      </w:r>
      <w:r>
        <w:rPr>
          <w:spacing w:val="3"/>
          <w:sz w:val="15"/>
        </w:rPr>
        <w:t> </w:t>
      </w:r>
      <w:r>
        <w:rPr>
          <w:sz w:val="15"/>
        </w:rPr>
        <w:t>de</w:t>
      </w:r>
      <w:r>
        <w:rPr>
          <w:spacing w:val="4"/>
          <w:sz w:val="15"/>
        </w:rPr>
        <w:t> </w:t>
      </w:r>
      <w:r>
        <w:rPr>
          <w:sz w:val="15"/>
        </w:rPr>
        <w:t>registro</w:t>
      </w:r>
      <w:r>
        <w:rPr>
          <w:spacing w:val="3"/>
          <w:sz w:val="15"/>
        </w:rPr>
        <w:t> </w:t>
      </w:r>
      <w:r>
        <w:rPr>
          <w:sz w:val="15"/>
        </w:rPr>
        <w:t>de</w:t>
      </w:r>
      <w:r>
        <w:rPr>
          <w:spacing w:val="4"/>
          <w:sz w:val="15"/>
        </w:rPr>
        <w:t> </w:t>
      </w:r>
      <w:r>
        <w:rPr>
          <w:sz w:val="15"/>
        </w:rPr>
        <w:t>nacimiento,</w:t>
      </w:r>
      <w:r>
        <w:rPr>
          <w:spacing w:val="3"/>
          <w:sz w:val="15"/>
        </w:rPr>
        <w:t> </w:t>
      </w:r>
      <w:r>
        <w:rPr>
          <w:sz w:val="15"/>
        </w:rPr>
        <w:t>no</w:t>
      </w:r>
      <w:r>
        <w:rPr>
          <w:spacing w:val="4"/>
          <w:sz w:val="15"/>
        </w:rPr>
        <w:t> </w:t>
      </w:r>
      <w:r>
        <w:rPr>
          <w:sz w:val="15"/>
        </w:rPr>
        <w:t>se</w:t>
      </w:r>
      <w:r>
        <w:rPr>
          <w:spacing w:val="4"/>
          <w:sz w:val="15"/>
        </w:rPr>
        <w:t> </w:t>
      </w:r>
      <w:r>
        <w:rPr>
          <w:sz w:val="15"/>
        </w:rPr>
        <w:t>pagarán</w:t>
      </w:r>
      <w:r>
        <w:rPr>
          <w:spacing w:val="3"/>
          <w:sz w:val="15"/>
        </w:rPr>
        <w:t> </w:t>
      </w:r>
      <w:r>
        <w:rPr>
          <w:sz w:val="15"/>
        </w:rPr>
        <w:t>los</w:t>
      </w:r>
      <w:r>
        <w:rPr>
          <w:spacing w:val="4"/>
          <w:sz w:val="15"/>
        </w:rPr>
        <w:t> </w:t>
      </w:r>
      <w:r>
        <w:rPr>
          <w:sz w:val="15"/>
        </w:rPr>
        <w:t>derechos</w:t>
      </w:r>
      <w:r>
        <w:rPr>
          <w:spacing w:val="2"/>
          <w:sz w:val="15"/>
        </w:rPr>
        <w:t> </w:t>
      </w:r>
      <w:r>
        <w:rPr>
          <w:sz w:val="15"/>
        </w:rPr>
        <w:t>a</w:t>
      </w:r>
      <w:r>
        <w:rPr>
          <w:spacing w:val="4"/>
          <w:sz w:val="15"/>
        </w:rPr>
        <w:t> </w:t>
      </w:r>
      <w:r>
        <w:rPr>
          <w:sz w:val="15"/>
        </w:rPr>
        <w:t>que</w:t>
      </w:r>
      <w:r>
        <w:rPr>
          <w:spacing w:val="4"/>
          <w:sz w:val="15"/>
        </w:rPr>
        <w:t> </w:t>
      </w:r>
      <w:r>
        <w:rPr>
          <w:sz w:val="15"/>
        </w:rPr>
        <w:t>se</w:t>
      </w:r>
      <w:r>
        <w:rPr>
          <w:spacing w:val="3"/>
          <w:sz w:val="15"/>
        </w:rPr>
        <w:t> </w:t>
      </w:r>
      <w:r>
        <w:rPr>
          <w:sz w:val="15"/>
        </w:rPr>
        <w:t>refiere</w:t>
      </w:r>
      <w:r>
        <w:rPr>
          <w:spacing w:val="4"/>
          <w:sz w:val="15"/>
        </w:rPr>
        <w:t> </w:t>
      </w:r>
      <w:r>
        <w:rPr>
          <w:sz w:val="15"/>
        </w:rPr>
        <w:t>este</w:t>
      </w:r>
      <w:r>
        <w:rPr>
          <w:spacing w:val="3"/>
          <w:sz w:val="15"/>
        </w:rPr>
        <w:t> </w:t>
      </w:r>
      <w:r>
        <w:rPr>
          <w:sz w:val="15"/>
        </w:rPr>
        <w:t>capítulo.</w:t>
      </w:r>
    </w:p>
    <w:p>
      <w:pPr>
        <w:pStyle w:val="BodyText"/>
        <w:spacing w:before="3"/>
      </w:pPr>
    </w:p>
    <w:p>
      <w:pPr>
        <w:pStyle w:val="ListParagraph"/>
        <w:numPr>
          <w:ilvl w:val="0"/>
          <w:numId w:val="142"/>
        </w:numPr>
        <w:tabs>
          <w:tab w:pos="825" w:val="left" w:leader="none"/>
        </w:tabs>
        <w:spacing w:line="247" w:lineRule="auto" w:before="0" w:after="0"/>
        <w:ind w:left="151" w:right="38" w:firstLine="397"/>
        <w:jc w:val="both"/>
        <w:rPr>
          <w:sz w:val="15"/>
        </w:rPr>
      </w:pPr>
      <w:r>
        <w:rPr>
          <w:sz w:val="15"/>
        </w:rPr>
        <w:t>Se podrá aplicar hasta un 70% de descuento en el pago de derechos por concepto de expedición de actas emitidas por el Municipio, a personas en situación vulnerable, tales como mayores de 60 años, con discapacidad, viudez o jubilados y pensionados previo visto bueno del Sistema DIF Municipal de Tlajomulco      de</w:t>
      </w:r>
      <w:r>
        <w:rPr>
          <w:spacing w:val="1"/>
          <w:sz w:val="15"/>
        </w:rPr>
        <w:t> </w:t>
      </w:r>
      <w:r>
        <w:rPr>
          <w:sz w:val="15"/>
        </w:rPr>
        <w:t>Zúñiga.</w:t>
      </w:r>
    </w:p>
    <w:p>
      <w:pPr>
        <w:pStyle w:val="BodyText"/>
        <w:spacing w:before="2"/>
      </w:pPr>
    </w:p>
    <w:p>
      <w:pPr>
        <w:pStyle w:val="BodyText"/>
        <w:ind w:left="548"/>
      </w:pPr>
      <w:r>
        <w:rPr/>
        <w:t>Para los efectos de la aplicación de esta sección, los horarios de labores al igual que las cuotas</w:t>
      </w:r>
    </w:p>
    <w:p>
      <w:pPr>
        <w:pStyle w:val="BodyText"/>
        <w:spacing w:before="3"/>
      </w:pPr>
      <w:r>
        <w:rPr/>
        <w:br w:type="column"/>
      </w:r>
      <w:r>
        <w:rPr/>
      </w:r>
    </w:p>
    <w:p>
      <w:pPr>
        <w:pStyle w:val="ListParagraph"/>
        <w:numPr>
          <w:ilvl w:val="0"/>
          <w:numId w:val="143"/>
        </w:numPr>
        <w:tabs>
          <w:tab w:pos="886" w:val="left" w:leader="none"/>
        </w:tabs>
        <w:spacing w:line="247" w:lineRule="auto" w:before="1" w:after="0"/>
        <w:ind w:left="151" w:right="38" w:firstLine="397"/>
        <w:jc w:val="both"/>
        <w:rPr>
          <w:sz w:val="15"/>
        </w:rPr>
      </w:pPr>
      <w:r>
        <w:rPr>
          <w:sz w:val="15"/>
        </w:rPr>
        <w:t>Salvo a los migrantes en condiciones de vulnerabilidad determinada por la  Dirección  de  Derechos Humanos y Paz, por cada certificación  de  carta de</w:t>
      </w:r>
      <w:r>
        <w:rPr>
          <w:spacing w:val="2"/>
          <w:sz w:val="15"/>
        </w:rPr>
        <w:t> </w:t>
      </w:r>
      <w:r>
        <w:rPr>
          <w:sz w:val="15"/>
        </w:rPr>
        <w:t>residencia:</w:t>
      </w:r>
    </w:p>
    <w:p>
      <w:pPr>
        <w:pStyle w:val="BodyText"/>
        <w:spacing w:before="2"/>
      </w:pPr>
    </w:p>
    <w:p>
      <w:pPr>
        <w:pStyle w:val="ListParagraph"/>
        <w:numPr>
          <w:ilvl w:val="0"/>
          <w:numId w:val="143"/>
        </w:numPr>
        <w:tabs>
          <w:tab w:pos="879" w:val="left" w:leader="none"/>
        </w:tabs>
        <w:spacing w:line="247" w:lineRule="auto" w:before="0" w:after="0"/>
        <w:ind w:left="151" w:right="40" w:firstLine="397"/>
        <w:jc w:val="both"/>
        <w:rPr>
          <w:sz w:val="15"/>
        </w:rPr>
      </w:pPr>
      <w:r>
        <w:rPr>
          <w:sz w:val="15"/>
        </w:rPr>
        <w:t>Certificación de carta de origen con el objeto de acreditar la autenticidad del origen del ciudadano mexicano en el extranjero, carente de alguna identificación oficial con fotografía y otros</w:t>
      </w:r>
      <w:r>
        <w:rPr>
          <w:spacing w:val="4"/>
          <w:sz w:val="15"/>
        </w:rPr>
        <w:t> </w:t>
      </w:r>
      <w:r>
        <w:rPr>
          <w:sz w:val="15"/>
        </w:rPr>
        <w:t>fines</w:t>
      </w:r>
    </w:p>
    <w:p>
      <w:pPr>
        <w:pStyle w:val="BodyText"/>
        <w:spacing w:before="3"/>
      </w:pPr>
      <w:r>
        <w:rPr/>
        <w:br w:type="column"/>
      </w:r>
      <w:r>
        <w:rPr/>
      </w:r>
    </w:p>
    <w:p>
      <w:pPr>
        <w:pStyle w:val="BodyText"/>
        <w:spacing w:before="1"/>
        <w:ind w:left="151"/>
      </w:pPr>
      <w:r>
        <w:rPr/>
        <w:t>$169.00</w:t>
      </w:r>
    </w:p>
    <w:p>
      <w:pPr>
        <w:spacing w:after="0"/>
        <w:sectPr>
          <w:type w:val="continuous"/>
          <w:pgSz w:w="23250" w:h="15310" w:orient="landscape"/>
          <w:pgMar w:top="0" w:bottom="0" w:left="1880" w:right="1520"/>
          <w:cols w:num="3" w:equalWidth="0">
            <w:col w:w="7751" w:space="3871"/>
            <w:col w:w="4062" w:space="738"/>
            <w:col w:w="3428"/>
          </w:cols>
        </w:sectPr>
      </w:pPr>
    </w:p>
    <w:p>
      <w:pPr>
        <w:pStyle w:val="BodyText"/>
        <w:spacing w:line="171" w:lineRule="exact"/>
        <w:ind w:left="151"/>
      </w:pPr>
      <w:r>
        <w:rPr/>
        <w:t>correspondientes a los servicios, deberán estar a la vista del público.</w:t>
      </w:r>
    </w:p>
    <w:p>
      <w:pPr>
        <w:pStyle w:val="BodyText"/>
        <w:spacing w:before="9"/>
      </w:pPr>
    </w:p>
    <w:p>
      <w:pPr>
        <w:pStyle w:val="BodyText"/>
        <w:ind w:left="548"/>
      </w:pPr>
      <w:r>
        <w:rPr/>
        <w:t>El horario en oficinas de atención al público será de 9:00 a 15:00 horas en días hábiles.</w:t>
      </w:r>
    </w:p>
    <w:p>
      <w:pPr>
        <w:pStyle w:val="BodyText"/>
        <w:spacing w:before="10"/>
      </w:pPr>
    </w:p>
    <w:p>
      <w:pPr>
        <w:pStyle w:val="Heading4"/>
        <w:ind w:right="550"/>
      </w:pPr>
      <w:r>
        <w:rPr/>
        <w:t>SECCIÓN DÉCIMA QUINTA</w:t>
      </w:r>
    </w:p>
    <w:p>
      <w:pPr>
        <w:spacing w:before="4"/>
        <w:ind w:left="668" w:right="554" w:firstLine="0"/>
        <w:jc w:val="center"/>
        <w:rPr>
          <w:b/>
          <w:sz w:val="15"/>
        </w:rPr>
      </w:pPr>
      <w:r>
        <w:rPr>
          <w:b/>
          <w:sz w:val="15"/>
        </w:rPr>
        <w:t>De las Certificaciones</w:t>
      </w:r>
    </w:p>
    <w:p>
      <w:pPr>
        <w:pStyle w:val="BodyText"/>
        <w:spacing w:before="9"/>
        <w:rPr>
          <w:b/>
        </w:rPr>
      </w:pPr>
    </w:p>
    <w:p>
      <w:pPr>
        <w:pStyle w:val="BodyText"/>
        <w:spacing w:line="247" w:lineRule="auto"/>
        <w:ind w:left="151" w:right="153" w:firstLine="397"/>
      </w:pPr>
      <w:r>
        <w:rPr>
          <w:b/>
        </w:rPr>
        <w:t>Artículo 111.- </w:t>
      </w:r>
      <w:r>
        <w:rPr/>
        <w:t>Los derechos por este concepto se causarán y pagarán, previamente, conforme a las siguientes:</w:t>
      </w:r>
    </w:p>
    <w:p>
      <w:pPr>
        <w:pStyle w:val="BodyText"/>
        <w:tabs>
          <w:tab w:pos="4950" w:val="left" w:leader="none"/>
        </w:tabs>
        <w:spacing w:line="170" w:lineRule="exact"/>
        <w:ind w:left="151"/>
      </w:pPr>
      <w:r>
        <w:rPr/>
        <w:br w:type="column"/>
      </w:r>
      <w:r>
        <w:rPr/>
        <w:t>análogos,  por </w:t>
      </w:r>
      <w:r>
        <w:rPr>
          <w:spacing w:val="21"/>
        </w:rPr>
        <w:t> </w:t>
      </w:r>
      <w:r>
        <w:rPr/>
        <w:t>cada </w:t>
      </w:r>
      <w:r>
        <w:rPr>
          <w:spacing w:val="11"/>
        </w:rPr>
        <w:t> </w:t>
      </w:r>
      <w:r>
        <w:rPr/>
        <w:t>uno:</w:t>
        <w:tab/>
        <w:t>$573.00</w:t>
      </w:r>
    </w:p>
    <w:p>
      <w:pPr>
        <w:pStyle w:val="BodyText"/>
        <w:spacing w:before="9"/>
      </w:pPr>
    </w:p>
    <w:p>
      <w:pPr>
        <w:pStyle w:val="ListParagraph"/>
        <w:numPr>
          <w:ilvl w:val="0"/>
          <w:numId w:val="143"/>
        </w:numPr>
        <w:tabs>
          <w:tab w:pos="782" w:val="left" w:leader="none"/>
        </w:tabs>
        <w:spacing w:line="240" w:lineRule="auto" w:before="0" w:after="0"/>
        <w:ind w:left="781" w:right="0" w:hanging="234"/>
        <w:jc w:val="left"/>
        <w:rPr>
          <w:sz w:val="15"/>
        </w:rPr>
      </w:pPr>
      <w:r>
        <w:rPr>
          <w:sz w:val="15"/>
        </w:rPr>
        <w:t>Certificado médico prenupcial, por cada una</w:t>
      </w:r>
      <w:r>
        <w:rPr>
          <w:spacing w:val="22"/>
          <w:sz w:val="15"/>
        </w:rPr>
        <w:t> </w:t>
      </w:r>
      <w:r>
        <w:rPr>
          <w:sz w:val="15"/>
        </w:rPr>
        <w:t>de</w:t>
      </w:r>
    </w:p>
    <w:p>
      <w:pPr>
        <w:pStyle w:val="BodyText"/>
        <w:tabs>
          <w:tab w:pos="5036" w:val="left" w:leader="none"/>
        </w:tabs>
        <w:spacing w:before="5"/>
        <w:ind w:left="151"/>
      </w:pPr>
      <w:r>
        <w:rPr/>
        <w:t>las</w:t>
      </w:r>
      <w:r>
        <w:rPr>
          <w:spacing w:val="5"/>
        </w:rPr>
        <w:t> </w:t>
      </w:r>
      <w:r>
        <w:rPr/>
        <w:t>partes:</w:t>
        <w:tab/>
        <w:t>$39.00</w:t>
      </w:r>
    </w:p>
    <w:p>
      <w:pPr>
        <w:pStyle w:val="BodyText"/>
        <w:spacing w:before="8"/>
      </w:pPr>
    </w:p>
    <w:p>
      <w:pPr>
        <w:pStyle w:val="ListParagraph"/>
        <w:numPr>
          <w:ilvl w:val="0"/>
          <w:numId w:val="143"/>
        </w:numPr>
        <w:tabs>
          <w:tab w:pos="918" w:val="left" w:leader="none"/>
          <w:tab w:pos="920" w:val="left" w:leader="none"/>
          <w:tab w:pos="1879" w:val="left" w:leader="none"/>
          <w:tab w:pos="2601" w:val="left" w:leader="none"/>
          <w:tab w:pos="3451" w:val="left" w:leader="none"/>
          <w:tab w:pos="3899" w:val="left" w:leader="none"/>
        </w:tabs>
        <w:spacing w:line="240" w:lineRule="auto" w:before="1" w:after="0"/>
        <w:ind w:left="919" w:right="0" w:hanging="372"/>
        <w:jc w:val="left"/>
        <w:rPr>
          <w:sz w:val="15"/>
        </w:rPr>
      </w:pPr>
      <w:r>
        <w:rPr>
          <w:sz w:val="15"/>
        </w:rPr>
        <w:t>Certificado</w:t>
        <w:tab/>
        <w:t>médico</w:t>
        <w:tab/>
        <w:t>expedido</w:t>
        <w:tab/>
        <w:t>por</w:t>
        <w:tab/>
        <w:t>la</w:t>
      </w:r>
    </w:p>
    <w:p>
      <w:pPr>
        <w:pStyle w:val="BodyText"/>
        <w:tabs>
          <w:tab w:pos="5036" w:val="left" w:leader="none"/>
        </w:tabs>
        <w:spacing w:before="4"/>
        <w:ind w:left="151"/>
      </w:pPr>
      <w:r>
        <w:rPr/>
        <w:t>dependencia</w:t>
      </w:r>
      <w:r>
        <w:rPr>
          <w:spacing w:val="11"/>
        </w:rPr>
        <w:t> </w:t>
      </w:r>
      <w:r>
        <w:rPr/>
        <w:t>del</w:t>
      </w:r>
      <w:r>
        <w:rPr>
          <w:spacing w:val="12"/>
        </w:rPr>
        <w:t> </w:t>
      </w:r>
      <w:r>
        <w:rPr/>
        <w:t>Municipio:</w:t>
        <w:tab/>
        <w:t>$39.00</w:t>
      </w:r>
    </w:p>
    <w:p>
      <w:pPr>
        <w:pStyle w:val="BodyText"/>
        <w:spacing w:before="10"/>
      </w:pPr>
    </w:p>
    <w:p>
      <w:pPr>
        <w:pStyle w:val="ListParagraph"/>
        <w:numPr>
          <w:ilvl w:val="0"/>
          <w:numId w:val="143"/>
        </w:numPr>
        <w:tabs>
          <w:tab w:pos="820" w:val="left" w:leader="none"/>
          <w:tab w:pos="1805" w:val="left" w:leader="none"/>
          <w:tab w:pos="2680" w:val="left" w:leader="none"/>
          <w:tab w:pos="3153" w:val="left" w:leader="none"/>
          <w:tab w:pos="3522" w:val="left" w:leader="none"/>
        </w:tabs>
        <w:spacing w:line="240" w:lineRule="auto" w:before="0" w:after="0"/>
        <w:ind w:left="820" w:right="0" w:hanging="272"/>
        <w:jc w:val="left"/>
        <w:rPr>
          <w:sz w:val="15"/>
        </w:rPr>
      </w:pPr>
      <w:r>
        <w:rPr>
          <w:sz w:val="15"/>
        </w:rPr>
        <w:t>Certificado</w:t>
        <w:tab/>
        <w:t>expedido</w:t>
        <w:tab/>
        <w:t>por</w:t>
        <w:tab/>
        <w:t>el</w:t>
        <w:tab/>
        <w:t>médico</w:t>
      </w:r>
    </w:p>
    <w:p>
      <w:pPr>
        <w:spacing w:after="0" w:line="240" w:lineRule="auto"/>
        <w:jc w:val="left"/>
        <w:rPr>
          <w:sz w:val="15"/>
        </w:rPr>
        <w:sectPr>
          <w:type w:val="continuous"/>
          <w:pgSz w:w="23250" w:h="15310" w:orient="landscape"/>
          <w:pgMar w:top="0" w:bottom="0" w:left="1880" w:right="1520"/>
          <w:cols w:num="2" w:equalWidth="0">
            <w:col w:w="7750" w:space="3872"/>
            <w:col w:w="8228"/>
          </w:cols>
        </w:sectPr>
      </w:pPr>
    </w:p>
    <w:p>
      <w:pPr>
        <w:pStyle w:val="BodyText"/>
        <w:rPr>
          <w:sz w:val="16"/>
        </w:rPr>
      </w:pPr>
    </w:p>
    <w:p>
      <w:pPr>
        <w:pStyle w:val="BodyText"/>
        <w:spacing w:before="8"/>
        <w:rPr>
          <w:sz w:val="14"/>
        </w:rPr>
      </w:pPr>
    </w:p>
    <w:p>
      <w:pPr>
        <w:pStyle w:val="ListParagraph"/>
        <w:numPr>
          <w:ilvl w:val="0"/>
          <w:numId w:val="144"/>
        </w:numPr>
        <w:tabs>
          <w:tab w:pos="678" w:val="left" w:leader="none"/>
          <w:tab w:pos="5036" w:val="left" w:leader="none"/>
        </w:tabs>
        <w:spacing w:line="240" w:lineRule="auto" w:before="0" w:after="0"/>
        <w:ind w:left="677" w:right="0" w:hanging="130"/>
        <w:jc w:val="left"/>
        <w:rPr>
          <w:sz w:val="15"/>
        </w:rPr>
      </w:pPr>
      <w:r>
        <w:rPr>
          <w:sz w:val="15"/>
        </w:rPr>
        <w:t>Certificación de firmas, por </w:t>
      </w:r>
      <w:r>
        <w:rPr>
          <w:spacing w:val="6"/>
          <w:sz w:val="15"/>
        </w:rPr>
        <w:t> </w:t>
      </w:r>
      <w:r>
        <w:rPr>
          <w:sz w:val="15"/>
        </w:rPr>
        <w:t>cada</w:t>
      </w:r>
      <w:r>
        <w:rPr>
          <w:spacing w:val="11"/>
          <w:sz w:val="15"/>
        </w:rPr>
        <w:t> </w:t>
      </w:r>
      <w:r>
        <w:rPr>
          <w:sz w:val="15"/>
        </w:rPr>
        <w:t>una:</w:t>
        <w:tab/>
      </w:r>
      <w:r>
        <w:rPr>
          <w:spacing w:val="-4"/>
          <w:sz w:val="15"/>
        </w:rPr>
        <w:t>$46.00</w:t>
      </w:r>
    </w:p>
    <w:p>
      <w:pPr>
        <w:pStyle w:val="BodyText"/>
        <w:spacing w:line="171" w:lineRule="exact"/>
        <w:ind w:left="229"/>
      </w:pPr>
      <w:r>
        <w:rPr/>
        <w:br w:type="column"/>
      </w:r>
      <w:r>
        <w:rPr/>
        <w:t>TARIFAS</w:t>
      </w:r>
    </w:p>
    <w:p>
      <w:pPr>
        <w:pStyle w:val="BodyText"/>
        <w:spacing w:line="247" w:lineRule="auto"/>
        <w:ind w:left="548"/>
      </w:pPr>
      <w:r>
        <w:rPr/>
        <w:br w:type="column"/>
      </w:r>
      <w:r>
        <w:rPr/>
        <w:t>veterinario zootecnista, sobre actividades del rastro municipal, por cada uno, de:</w:t>
      </w:r>
    </w:p>
    <w:p>
      <w:pPr>
        <w:pStyle w:val="BodyText"/>
        <w:spacing w:before="1"/>
      </w:pPr>
    </w:p>
    <w:p>
      <w:pPr>
        <w:pStyle w:val="ListParagraph"/>
        <w:numPr>
          <w:ilvl w:val="1"/>
          <w:numId w:val="144"/>
        </w:numPr>
        <w:tabs>
          <w:tab w:pos="1267" w:val="left" w:leader="none"/>
        </w:tabs>
        <w:spacing w:line="240" w:lineRule="auto" w:before="1" w:after="0"/>
        <w:ind w:left="1266" w:right="0" w:hanging="322"/>
        <w:jc w:val="left"/>
        <w:rPr>
          <w:sz w:val="15"/>
        </w:rPr>
      </w:pPr>
      <w:r>
        <w:rPr>
          <w:sz w:val="15"/>
        </w:rPr>
        <w:t>Certificado</w:t>
      </w:r>
      <w:r>
        <w:rPr>
          <w:spacing w:val="17"/>
          <w:sz w:val="15"/>
        </w:rPr>
        <w:t> </w:t>
      </w:r>
      <w:r>
        <w:rPr>
          <w:sz w:val="15"/>
        </w:rPr>
        <w:t>de</w:t>
      </w:r>
      <w:r>
        <w:rPr>
          <w:spacing w:val="17"/>
          <w:sz w:val="15"/>
        </w:rPr>
        <w:t> </w:t>
      </w:r>
      <w:r>
        <w:rPr>
          <w:sz w:val="15"/>
        </w:rPr>
        <w:t>alcoholemia</w:t>
      </w:r>
      <w:r>
        <w:rPr>
          <w:spacing w:val="18"/>
          <w:sz w:val="15"/>
        </w:rPr>
        <w:t> </w:t>
      </w:r>
      <w:r>
        <w:rPr>
          <w:sz w:val="15"/>
        </w:rPr>
        <w:t>en</w:t>
      </w:r>
      <w:r>
        <w:rPr>
          <w:spacing w:val="17"/>
          <w:sz w:val="15"/>
        </w:rPr>
        <w:t> </w:t>
      </w:r>
      <w:r>
        <w:rPr>
          <w:sz w:val="15"/>
        </w:rPr>
        <w:t>los</w:t>
      </w:r>
      <w:r>
        <w:rPr>
          <w:spacing w:val="18"/>
          <w:sz w:val="15"/>
        </w:rPr>
        <w:t> </w:t>
      </w:r>
      <w:r>
        <w:rPr>
          <w:sz w:val="15"/>
        </w:rPr>
        <w:t>servicios</w:t>
      </w:r>
    </w:p>
    <w:p>
      <w:pPr>
        <w:pStyle w:val="BodyText"/>
        <w:spacing w:line="170" w:lineRule="exact"/>
        <w:ind w:left="163"/>
      </w:pPr>
      <w:r>
        <w:rPr/>
        <w:br w:type="column"/>
      </w:r>
      <w:r>
        <w:rPr/>
        <w:t>$468.00 a $533.00</w:t>
      </w:r>
    </w:p>
    <w:p>
      <w:pPr>
        <w:spacing w:after="0" w:line="170" w:lineRule="exact"/>
        <w:sectPr>
          <w:type w:val="continuous"/>
          <w:pgSz w:w="23250" w:h="15310" w:orient="landscape"/>
          <w:pgMar w:top="0" w:bottom="0" w:left="1880" w:right="1520"/>
          <w:cols w:num="4" w:equalWidth="0">
            <w:col w:w="5508" w:space="40"/>
            <w:col w:w="901" w:space="4776"/>
            <w:col w:w="4418" w:space="39"/>
            <w:col w:w="4168"/>
          </w:cols>
        </w:sectPr>
      </w:pPr>
    </w:p>
    <w:p>
      <w:pPr>
        <w:pStyle w:val="BodyText"/>
        <w:rPr>
          <w:sz w:val="20"/>
        </w:rPr>
      </w:pPr>
    </w:p>
    <w:p>
      <w:pPr>
        <w:pStyle w:val="BodyText"/>
        <w:spacing w:before="7"/>
        <w:rPr>
          <w:sz w:val="29"/>
        </w:rPr>
      </w:pPr>
    </w:p>
    <w:p>
      <w:pPr>
        <w:spacing w:after="0"/>
        <w:rPr>
          <w:sz w:val="29"/>
        </w:rPr>
        <w:sectPr>
          <w:headerReference w:type="default" r:id="rId92"/>
          <w:pgSz w:w="23250" w:h="15310" w:orient="landscape"/>
          <w:pgMar w:header="881" w:footer="499" w:top="1920" w:bottom="680" w:left="1880" w:right="1520"/>
        </w:sectPr>
      </w:pPr>
    </w:p>
    <w:p>
      <w:pPr>
        <w:pStyle w:val="BodyText"/>
        <w:spacing w:before="99"/>
        <w:ind w:left="151"/>
      </w:pPr>
      <w:r>
        <w:rPr/>
        <w:t>médicos municipales:</w:t>
      </w:r>
    </w:p>
    <w:p>
      <w:pPr>
        <w:pStyle w:val="BodyText"/>
        <w:spacing w:before="9"/>
      </w:pPr>
    </w:p>
    <w:p>
      <w:pPr>
        <w:pStyle w:val="ListParagraph"/>
        <w:numPr>
          <w:ilvl w:val="0"/>
          <w:numId w:val="145"/>
        </w:numPr>
        <w:tabs>
          <w:tab w:pos="729" w:val="left" w:leader="none"/>
          <w:tab w:pos="5037" w:val="left" w:leader="none"/>
        </w:tabs>
        <w:spacing w:line="240" w:lineRule="auto" w:before="0" w:after="0"/>
        <w:ind w:left="728" w:right="0" w:hanging="181"/>
        <w:jc w:val="left"/>
        <w:rPr>
          <w:sz w:val="15"/>
        </w:rPr>
      </w:pPr>
      <w:r>
        <w:rPr>
          <w:sz w:val="15"/>
        </w:rPr>
        <w:t>En horas hábiles, por</w:t>
      </w:r>
      <w:r>
        <w:rPr>
          <w:spacing w:val="40"/>
          <w:sz w:val="15"/>
        </w:rPr>
        <w:t> </w:t>
      </w:r>
      <w:r>
        <w:rPr>
          <w:sz w:val="15"/>
        </w:rPr>
        <w:t>cada</w:t>
      </w:r>
      <w:r>
        <w:rPr>
          <w:spacing w:val="11"/>
          <w:sz w:val="15"/>
        </w:rPr>
        <w:t> </w:t>
      </w:r>
      <w:r>
        <w:rPr>
          <w:sz w:val="15"/>
        </w:rPr>
        <w:t>uno:</w:t>
        <w:tab/>
        <w:t>$57.00</w:t>
      </w:r>
    </w:p>
    <w:p>
      <w:pPr>
        <w:pStyle w:val="BodyText"/>
        <w:spacing w:before="9"/>
      </w:pPr>
    </w:p>
    <w:p>
      <w:pPr>
        <w:pStyle w:val="ListParagraph"/>
        <w:numPr>
          <w:ilvl w:val="0"/>
          <w:numId w:val="145"/>
        </w:numPr>
        <w:tabs>
          <w:tab w:pos="729" w:val="left" w:leader="none"/>
          <w:tab w:pos="4963" w:val="left" w:leader="none"/>
        </w:tabs>
        <w:spacing w:line="240" w:lineRule="auto" w:before="0" w:after="0"/>
        <w:ind w:left="728" w:right="0" w:hanging="181"/>
        <w:jc w:val="left"/>
        <w:rPr>
          <w:sz w:val="15"/>
        </w:rPr>
      </w:pPr>
      <w:r>
        <w:rPr>
          <w:sz w:val="15"/>
        </w:rPr>
        <w:t>En horas inhábiles, por  cada</w:t>
      </w:r>
      <w:r>
        <w:rPr>
          <w:spacing w:val="11"/>
          <w:sz w:val="15"/>
        </w:rPr>
        <w:t> </w:t>
      </w:r>
      <w:r>
        <w:rPr>
          <w:sz w:val="15"/>
        </w:rPr>
        <w:t>uno:</w:t>
        <w:tab/>
        <w:t>$113.00</w:t>
      </w:r>
    </w:p>
    <w:p>
      <w:pPr>
        <w:pStyle w:val="BodyText"/>
        <w:spacing w:before="9"/>
      </w:pPr>
    </w:p>
    <w:p>
      <w:pPr>
        <w:pStyle w:val="ListParagraph"/>
        <w:numPr>
          <w:ilvl w:val="1"/>
          <w:numId w:val="144"/>
        </w:numPr>
        <w:tabs>
          <w:tab w:pos="937" w:val="left" w:leader="none"/>
        </w:tabs>
        <w:spacing w:line="247" w:lineRule="auto" w:before="0" w:after="0"/>
        <w:ind w:left="151" w:right="38" w:firstLine="397"/>
        <w:jc w:val="both"/>
        <w:rPr>
          <w:sz w:val="15"/>
        </w:rPr>
      </w:pPr>
      <w:r>
        <w:rPr>
          <w:sz w:val="15"/>
        </w:rPr>
        <w:t>Certificaciones de habitabilidad de inmuebles, por cada uno señalado en la fracción I, del artículo 81, se tasará con el 10% del valor de la licencia.</w:t>
      </w:r>
    </w:p>
    <w:p>
      <w:pPr>
        <w:pStyle w:val="BodyText"/>
        <w:spacing w:before="3"/>
      </w:pPr>
    </w:p>
    <w:p>
      <w:pPr>
        <w:pStyle w:val="ListParagraph"/>
        <w:numPr>
          <w:ilvl w:val="1"/>
          <w:numId w:val="144"/>
        </w:numPr>
        <w:tabs>
          <w:tab w:pos="868" w:val="left" w:leader="none"/>
        </w:tabs>
        <w:spacing w:line="240" w:lineRule="auto" w:before="0" w:after="0"/>
        <w:ind w:left="867" w:right="0" w:hanging="320"/>
        <w:jc w:val="left"/>
        <w:rPr>
          <w:sz w:val="15"/>
        </w:rPr>
      </w:pPr>
      <w:r>
        <w:rPr>
          <w:sz w:val="15"/>
        </w:rPr>
        <w:t>Expedición de planos, por cada</w:t>
      </w:r>
      <w:r>
        <w:rPr>
          <w:spacing w:val="8"/>
          <w:sz w:val="15"/>
        </w:rPr>
        <w:t> </w:t>
      </w:r>
      <w:r>
        <w:rPr>
          <w:sz w:val="15"/>
        </w:rPr>
        <w:t>uno:</w:t>
      </w:r>
    </w:p>
    <w:p>
      <w:pPr>
        <w:pStyle w:val="BodyText"/>
        <w:spacing w:before="9"/>
      </w:pPr>
    </w:p>
    <w:p>
      <w:pPr>
        <w:pStyle w:val="ListParagraph"/>
        <w:numPr>
          <w:ilvl w:val="0"/>
          <w:numId w:val="146"/>
        </w:numPr>
        <w:tabs>
          <w:tab w:pos="729" w:val="left" w:leader="none"/>
          <w:tab w:pos="4993" w:val="left" w:leader="none"/>
        </w:tabs>
        <w:spacing w:line="240" w:lineRule="auto" w:before="0" w:after="0"/>
        <w:ind w:left="728" w:right="0" w:hanging="181"/>
        <w:jc w:val="left"/>
        <w:rPr>
          <w:sz w:val="15"/>
        </w:rPr>
      </w:pPr>
      <w:r>
        <w:rPr>
          <w:sz w:val="15"/>
        </w:rPr>
        <w:t>Planos en</w:t>
      </w:r>
      <w:r>
        <w:rPr>
          <w:spacing w:val="23"/>
          <w:sz w:val="15"/>
        </w:rPr>
        <w:t> </w:t>
      </w:r>
      <w:r>
        <w:rPr>
          <w:sz w:val="15"/>
        </w:rPr>
        <w:t>tamaño</w:t>
      </w:r>
      <w:r>
        <w:rPr>
          <w:spacing w:val="12"/>
          <w:sz w:val="15"/>
        </w:rPr>
        <w:t> </w:t>
      </w:r>
      <w:r>
        <w:rPr>
          <w:sz w:val="15"/>
        </w:rPr>
        <w:t>oficio:</w:t>
        <w:tab/>
        <w:t>$</w:t>
      </w:r>
      <w:r>
        <w:rPr>
          <w:spacing w:val="6"/>
          <w:sz w:val="15"/>
        </w:rPr>
        <w:t> </w:t>
      </w:r>
      <w:r>
        <w:rPr>
          <w:sz w:val="15"/>
        </w:rPr>
        <w:t>32.00</w:t>
      </w:r>
    </w:p>
    <w:p>
      <w:pPr>
        <w:pStyle w:val="BodyText"/>
        <w:spacing w:before="9"/>
      </w:pPr>
    </w:p>
    <w:p>
      <w:pPr>
        <w:pStyle w:val="ListParagraph"/>
        <w:numPr>
          <w:ilvl w:val="0"/>
          <w:numId w:val="146"/>
        </w:numPr>
        <w:tabs>
          <w:tab w:pos="812" w:val="left" w:leader="none"/>
        </w:tabs>
        <w:spacing w:line="240" w:lineRule="auto" w:before="0" w:after="0"/>
        <w:ind w:left="811" w:right="0" w:hanging="264"/>
        <w:jc w:val="left"/>
        <w:rPr>
          <w:sz w:val="15"/>
        </w:rPr>
      </w:pPr>
      <w:r>
        <w:rPr>
          <w:sz w:val="15"/>
        </w:rPr>
        <w:t>Planos con medida menor o igual a</w:t>
      </w:r>
      <w:r>
        <w:rPr>
          <w:spacing w:val="24"/>
          <w:sz w:val="15"/>
        </w:rPr>
        <w:t> </w:t>
      </w:r>
      <w:r>
        <w:rPr>
          <w:sz w:val="15"/>
        </w:rPr>
        <w:t>90</w:t>
      </w:r>
    </w:p>
    <w:p>
      <w:pPr>
        <w:pStyle w:val="BodyText"/>
        <w:tabs>
          <w:tab w:pos="4951" w:val="left" w:leader="none"/>
        </w:tabs>
        <w:spacing w:before="5"/>
        <w:ind w:left="151"/>
      </w:pPr>
      <w:r>
        <w:rPr/>
        <w:t>centímetros por</w:t>
      </w:r>
      <w:r>
        <w:rPr>
          <w:spacing w:val="20"/>
        </w:rPr>
        <w:t> </w:t>
      </w:r>
      <w:r>
        <w:rPr/>
        <w:t>60</w:t>
      </w:r>
      <w:r>
        <w:rPr>
          <w:spacing w:val="11"/>
        </w:rPr>
        <w:t> </w:t>
      </w:r>
      <w:r>
        <w:rPr/>
        <w:t>centímetros:</w:t>
        <w:tab/>
        <w:t>$150.00</w:t>
      </w:r>
    </w:p>
    <w:p>
      <w:pPr>
        <w:pStyle w:val="BodyText"/>
        <w:spacing w:before="11"/>
        <w:rPr>
          <w:sz w:val="23"/>
        </w:rPr>
      </w:pPr>
      <w:r>
        <w:rPr/>
        <w:br w:type="column"/>
      </w:r>
      <w:r>
        <w:rPr>
          <w:sz w:val="23"/>
        </w:rPr>
      </w:r>
    </w:p>
    <w:p>
      <w:pPr>
        <w:pStyle w:val="ListParagraph"/>
        <w:numPr>
          <w:ilvl w:val="0"/>
          <w:numId w:val="147"/>
        </w:numPr>
        <w:tabs>
          <w:tab w:pos="1000" w:val="left" w:leader="none"/>
        </w:tabs>
        <w:spacing w:line="247" w:lineRule="auto" w:before="0" w:after="0"/>
        <w:ind w:left="151" w:right="4202" w:firstLine="397"/>
        <w:jc w:val="both"/>
        <w:rPr>
          <w:sz w:val="15"/>
        </w:rPr>
      </w:pPr>
      <w:r>
        <w:rPr>
          <w:sz w:val="15"/>
        </w:rPr>
        <w:t>Por inscripción en el registro municipal</w:t>
      </w:r>
      <w:r>
        <w:rPr>
          <w:spacing w:val="25"/>
          <w:sz w:val="15"/>
        </w:rPr>
        <w:t> </w:t>
      </w:r>
      <w:r>
        <w:rPr>
          <w:sz w:val="15"/>
        </w:rPr>
        <w:t>de directores responsables o en el padrón municipal</w:t>
      </w:r>
      <w:r>
        <w:rPr>
          <w:spacing w:val="1"/>
          <w:sz w:val="15"/>
        </w:rPr>
        <w:t> </w:t>
      </w:r>
      <w:r>
        <w:rPr>
          <w:sz w:val="15"/>
        </w:rPr>
        <w:t>de</w:t>
      </w:r>
    </w:p>
    <w:p>
      <w:pPr>
        <w:pStyle w:val="BodyText"/>
        <w:tabs>
          <w:tab w:pos="4950" w:val="left" w:leader="none"/>
        </w:tabs>
        <w:spacing w:line="171" w:lineRule="exact"/>
        <w:ind w:left="151"/>
      </w:pPr>
      <w:r>
        <w:rPr/>
        <w:t>contratistas, por cada registro y por </w:t>
      </w:r>
      <w:r>
        <w:rPr>
          <w:spacing w:val="15"/>
        </w:rPr>
        <w:t> </w:t>
      </w:r>
      <w:r>
        <w:rPr/>
        <w:t>cada</w:t>
      </w:r>
      <w:r>
        <w:rPr>
          <w:spacing w:val="10"/>
        </w:rPr>
        <w:t> </w:t>
      </w:r>
      <w:r>
        <w:rPr/>
        <w:t>especialidad:</w:t>
        <w:tab/>
        <w:t>$603.00</w:t>
      </w:r>
    </w:p>
    <w:p>
      <w:pPr>
        <w:pStyle w:val="BodyText"/>
        <w:spacing w:before="9"/>
      </w:pPr>
    </w:p>
    <w:p>
      <w:pPr>
        <w:pStyle w:val="ListParagraph"/>
        <w:numPr>
          <w:ilvl w:val="0"/>
          <w:numId w:val="147"/>
        </w:numPr>
        <w:tabs>
          <w:tab w:pos="943" w:val="left" w:leader="none"/>
        </w:tabs>
        <w:spacing w:line="247" w:lineRule="auto" w:before="1" w:after="0"/>
        <w:ind w:left="151" w:right="4200" w:firstLine="397"/>
        <w:jc w:val="both"/>
        <w:rPr>
          <w:sz w:val="15"/>
        </w:rPr>
      </w:pPr>
      <w:r>
        <w:rPr>
          <w:sz w:val="15"/>
        </w:rPr>
        <w:t>Por refrendo anual del registro municipal de directores responsables o en el padrón municipal</w:t>
      </w:r>
      <w:r>
        <w:rPr>
          <w:spacing w:val="1"/>
          <w:sz w:val="15"/>
        </w:rPr>
        <w:t> </w:t>
      </w:r>
      <w:r>
        <w:rPr>
          <w:sz w:val="15"/>
        </w:rPr>
        <w:t>de</w:t>
      </w:r>
    </w:p>
    <w:p>
      <w:pPr>
        <w:pStyle w:val="BodyText"/>
        <w:tabs>
          <w:tab w:pos="4950" w:val="left" w:leader="none"/>
        </w:tabs>
        <w:spacing w:line="172" w:lineRule="exact"/>
        <w:ind w:left="151"/>
      </w:pPr>
      <w:r>
        <w:rPr/>
        <w:t>contratistas, por cada registro y por </w:t>
      </w:r>
      <w:r>
        <w:rPr>
          <w:spacing w:val="15"/>
        </w:rPr>
        <w:t> </w:t>
      </w:r>
      <w:r>
        <w:rPr/>
        <w:t>cada</w:t>
      </w:r>
      <w:r>
        <w:rPr>
          <w:spacing w:val="10"/>
        </w:rPr>
        <w:t> </w:t>
      </w:r>
      <w:r>
        <w:rPr/>
        <w:t>especialidad:</w:t>
        <w:tab/>
        <w:t>$302.00</w:t>
      </w:r>
    </w:p>
    <w:p>
      <w:pPr>
        <w:pStyle w:val="BodyText"/>
        <w:spacing w:before="8"/>
      </w:pPr>
    </w:p>
    <w:p>
      <w:pPr>
        <w:pStyle w:val="ListParagraph"/>
        <w:numPr>
          <w:ilvl w:val="0"/>
          <w:numId w:val="147"/>
        </w:numPr>
        <w:tabs>
          <w:tab w:pos="1062" w:val="left" w:leader="none"/>
        </w:tabs>
        <w:spacing w:line="247" w:lineRule="auto" w:before="0" w:after="0"/>
        <w:ind w:left="151" w:right="4200" w:firstLine="397"/>
        <w:jc w:val="both"/>
        <w:rPr>
          <w:sz w:val="15"/>
        </w:rPr>
      </w:pPr>
      <w:r>
        <w:rPr>
          <w:sz w:val="15"/>
        </w:rPr>
        <w:t>Dictamen técnico o reconsideración de afectación por nodos viales y restricción por paso</w:t>
      </w:r>
      <w:r>
        <w:rPr>
          <w:spacing w:val="25"/>
          <w:sz w:val="15"/>
        </w:rPr>
        <w:t> </w:t>
      </w:r>
      <w:r>
        <w:rPr>
          <w:sz w:val="15"/>
        </w:rPr>
        <w:t>de</w:t>
      </w:r>
    </w:p>
    <w:p>
      <w:pPr>
        <w:pStyle w:val="BodyText"/>
        <w:tabs>
          <w:tab w:pos="4950" w:val="left" w:leader="none"/>
        </w:tabs>
        <w:spacing w:line="172" w:lineRule="exact"/>
        <w:ind w:left="151"/>
      </w:pPr>
      <w:r>
        <w:rPr/>
        <w:t>infraestructura:</w:t>
        <w:tab/>
        <w:t>$359.00</w:t>
      </w:r>
    </w:p>
    <w:p>
      <w:pPr>
        <w:pStyle w:val="BodyText"/>
        <w:spacing w:before="10"/>
      </w:pPr>
    </w:p>
    <w:p>
      <w:pPr>
        <w:pStyle w:val="ListParagraph"/>
        <w:numPr>
          <w:ilvl w:val="0"/>
          <w:numId w:val="147"/>
        </w:numPr>
        <w:tabs>
          <w:tab w:pos="1035" w:val="left" w:leader="none"/>
        </w:tabs>
        <w:spacing w:line="244" w:lineRule="auto" w:before="0" w:after="0"/>
        <w:ind w:left="151" w:right="4201" w:firstLine="397"/>
        <w:jc w:val="both"/>
        <w:rPr>
          <w:sz w:val="15"/>
        </w:rPr>
      </w:pPr>
      <w:r>
        <w:rPr>
          <w:sz w:val="15"/>
        </w:rPr>
        <w:t>Dictamen de factibilidad de los servicios de agua potable y alcantarillado, a pagarse al Municipio de Tlajomulco de Zúñiga,</w:t>
      </w:r>
      <w:r>
        <w:rPr>
          <w:spacing w:val="5"/>
          <w:sz w:val="15"/>
        </w:rPr>
        <w:t> </w:t>
      </w:r>
      <w:r>
        <w:rPr>
          <w:sz w:val="15"/>
        </w:rPr>
        <w:t>Jalisco:</w:t>
      </w:r>
    </w:p>
    <w:p>
      <w:pPr>
        <w:spacing w:after="0" w:line="244" w:lineRule="auto"/>
        <w:jc w:val="both"/>
        <w:rPr>
          <w:sz w:val="15"/>
        </w:rPr>
        <w:sectPr>
          <w:type w:val="continuous"/>
          <w:pgSz w:w="23250" w:h="15310" w:orient="landscape"/>
          <w:pgMar w:top="0" w:bottom="0" w:left="1880" w:right="1520"/>
          <w:cols w:num="2" w:equalWidth="0">
            <w:col w:w="5549" w:space="6073"/>
            <w:col w:w="8228"/>
          </w:cols>
        </w:sectPr>
      </w:pPr>
    </w:p>
    <w:p>
      <w:pPr>
        <w:pStyle w:val="BodyText"/>
        <w:spacing w:before="9"/>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1"/>
        <w:gridCol w:w="4219"/>
        <w:gridCol w:w="7452"/>
        <w:gridCol w:w="1087"/>
      </w:tblGrid>
      <w:tr>
        <w:trPr>
          <w:trHeight w:val="351" w:hRule="atLeast"/>
        </w:trPr>
        <w:tc>
          <w:tcPr>
            <w:tcW w:w="4321" w:type="dxa"/>
          </w:tcPr>
          <w:p>
            <w:pPr>
              <w:pStyle w:val="TableParagraph"/>
              <w:spacing w:line="171" w:lineRule="exact"/>
              <w:ind w:left="447"/>
              <w:rPr>
                <w:sz w:val="15"/>
              </w:rPr>
            </w:pPr>
            <w:r>
              <w:rPr>
                <w:sz w:val="15"/>
              </w:rPr>
              <w:t>c) Planos con medida mayor a 90 centímetros por</w:t>
            </w:r>
          </w:p>
          <w:p>
            <w:pPr>
              <w:pStyle w:val="TableParagraph"/>
              <w:spacing w:line="156" w:lineRule="exact" w:before="4"/>
              <w:ind w:left="50"/>
              <w:rPr>
                <w:sz w:val="15"/>
              </w:rPr>
            </w:pPr>
            <w:r>
              <w:rPr>
                <w:sz w:val="15"/>
              </w:rPr>
              <w:t>60 centímetros, por cada plano:</w:t>
            </w:r>
          </w:p>
        </w:tc>
        <w:tc>
          <w:tcPr>
            <w:tcW w:w="4219" w:type="dxa"/>
          </w:tcPr>
          <w:p>
            <w:pPr>
              <w:pStyle w:val="TableParagraph"/>
              <w:spacing w:before="3"/>
              <w:rPr>
                <w:sz w:val="15"/>
              </w:rPr>
            </w:pPr>
          </w:p>
          <w:p>
            <w:pPr>
              <w:pStyle w:val="TableParagraph"/>
              <w:spacing w:line="156" w:lineRule="exact"/>
              <w:ind w:right="3131"/>
              <w:jc w:val="right"/>
              <w:rPr>
                <w:sz w:val="15"/>
              </w:rPr>
            </w:pPr>
            <w:r>
              <w:rPr>
                <w:sz w:val="15"/>
              </w:rPr>
              <w:t>$200.00</w:t>
            </w:r>
          </w:p>
        </w:tc>
        <w:tc>
          <w:tcPr>
            <w:tcW w:w="7452" w:type="dxa"/>
          </w:tcPr>
          <w:p>
            <w:pPr>
              <w:pStyle w:val="TableParagraph"/>
              <w:spacing w:line="171" w:lineRule="exact"/>
              <w:ind w:left="3529"/>
              <w:rPr>
                <w:sz w:val="15"/>
              </w:rPr>
            </w:pPr>
            <w:r>
              <w:rPr>
                <w:sz w:val="15"/>
              </w:rPr>
              <w:t>a) De 0 a 500 metros cúbicos:</w:t>
            </w:r>
          </w:p>
        </w:tc>
        <w:tc>
          <w:tcPr>
            <w:tcW w:w="1087" w:type="dxa"/>
          </w:tcPr>
          <w:p>
            <w:pPr>
              <w:pStyle w:val="TableParagraph"/>
              <w:spacing w:line="171" w:lineRule="exact"/>
              <w:ind w:right="48"/>
              <w:jc w:val="right"/>
              <w:rPr>
                <w:sz w:val="15"/>
              </w:rPr>
            </w:pPr>
            <w:r>
              <w:rPr>
                <w:sz w:val="15"/>
              </w:rPr>
              <w:t>$1,011.00</w:t>
            </w:r>
          </w:p>
        </w:tc>
      </w:tr>
      <w:tr>
        <w:trPr>
          <w:trHeight w:val="176" w:hRule="atLeast"/>
        </w:trPr>
        <w:tc>
          <w:tcPr>
            <w:tcW w:w="4321" w:type="dxa"/>
          </w:tcPr>
          <w:p>
            <w:pPr>
              <w:pStyle w:val="TableParagraph"/>
              <w:rPr>
                <w:rFonts w:ascii="Times New Roman"/>
                <w:sz w:val="10"/>
              </w:rPr>
            </w:pPr>
          </w:p>
        </w:tc>
        <w:tc>
          <w:tcPr>
            <w:tcW w:w="4219" w:type="dxa"/>
          </w:tcPr>
          <w:p>
            <w:pPr>
              <w:pStyle w:val="TableParagraph"/>
              <w:rPr>
                <w:rFonts w:ascii="Times New Roman"/>
                <w:sz w:val="10"/>
              </w:rPr>
            </w:pPr>
          </w:p>
        </w:tc>
        <w:tc>
          <w:tcPr>
            <w:tcW w:w="7452" w:type="dxa"/>
          </w:tcPr>
          <w:p>
            <w:pPr>
              <w:pStyle w:val="TableParagraph"/>
              <w:spacing w:line="156" w:lineRule="exact"/>
              <w:ind w:left="3529"/>
              <w:rPr>
                <w:sz w:val="15"/>
              </w:rPr>
            </w:pPr>
            <w:r>
              <w:rPr>
                <w:sz w:val="15"/>
              </w:rPr>
              <w:t>b) De 501 a 5,000 metros cúbicos:</w:t>
            </w:r>
          </w:p>
        </w:tc>
        <w:tc>
          <w:tcPr>
            <w:tcW w:w="1087" w:type="dxa"/>
          </w:tcPr>
          <w:p>
            <w:pPr>
              <w:pStyle w:val="TableParagraph"/>
              <w:spacing w:line="156" w:lineRule="exact"/>
              <w:ind w:right="48"/>
              <w:jc w:val="right"/>
              <w:rPr>
                <w:sz w:val="15"/>
              </w:rPr>
            </w:pPr>
            <w:r>
              <w:rPr>
                <w:sz w:val="15"/>
              </w:rPr>
              <w:t>$2,022.00</w:t>
            </w:r>
          </w:p>
        </w:tc>
      </w:tr>
      <w:tr>
        <w:trPr>
          <w:trHeight w:val="177" w:hRule="atLeast"/>
        </w:trPr>
        <w:tc>
          <w:tcPr>
            <w:tcW w:w="4321" w:type="dxa"/>
          </w:tcPr>
          <w:p>
            <w:pPr>
              <w:pStyle w:val="TableParagraph"/>
              <w:spacing w:line="156" w:lineRule="exact" w:before="1"/>
              <w:ind w:left="447"/>
              <w:rPr>
                <w:sz w:val="15"/>
              </w:rPr>
            </w:pPr>
            <w:r>
              <w:rPr>
                <w:sz w:val="15"/>
              </w:rPr>
              <w:t>d) Planos digitales, por cada plano:</w:t>
            </w:r>
          </w:p>
        </w:tc>
        <w:tc>
          <w:tcPr>
            <w:tcW w:w="4219" w:type="dxa"/>
          </w:tcPr>
          <w:p>
            <w:pPr>
              <w:pStyle w:val="TableParagraph"/>
              <w:spacing w:line="156" w:lineRule="exact" w:before="1"/>
              <w:ind w:right="3131"/>
              <w:jc w:val="right"/>
              <w:rPr>
                <w:sz w:val="15"/>
              </w:rPr>
            </w:pPr>
            <w:r>
              <w:rPr>
                <w:sz w:val="15"/>
              </w:rPr>
              <w:t>$129.00</w:t>
            </w:r>
          </w:p>
        </w:tc>
        <w:tc>
          <w:tcPr>
            <w:tcW w:w="7452" w:type="dxa"/>
          </w:tcPr>
          <w:p>
            <w:pPr>
              <w:pStyle w:val="TableParagraph"/>
              <w:rPr>
                <w:rFonts w:ascii="Times New Roman"/>
                <w:sz w:val="10"/>
              </w:rPr>
            </w:pPr>
          </w:p>
        </w:tc>
        <w:tc>
          <w:tcPr>
            <w:tcW w:w="1087" w:type="dxa"/>
          </w:tcPr>
          <w:p>
            <w:pPr>
              <w:pStyle w:val="TableParagraph"/>
              <w:rPr>
                <w:rFonts w:ascii="Times New Roman"/>
                <w:sz w:val="10"/>
              </w:rPr>
            </w:pPr>
          </w:p>
        </w:tc>
      </w:tr>
      <w:tr>
        <w:trPr>
          <w:trHeight w:val="177" w:hRule="atLeast"/>
        </w:trPr>
        <w:tc>
          <w:tcPr>
            <w:tcW w:w="4321" w:type="dxa"/>
          </w:tcPr>
          <w:p>
            <w:pPr>
              <w:pStyle w:val="TableParagraph"/>
              <w:rPr>
                <w:rFonts w:ascii="Times New Roman"/>
                <w:sz w:val="10"/>
              </w:rPr>
            </w:pPr>
          </w:p>
        </w:tc>
        <w:tc>
          <w:tcPr>
            <w:tcW w:w="4219" w:type="dxa"/>
          </w:tcPr>
          <w:p>
            <w:pPr>
              <w:pStyle w:val="TableParagraph"/>
              <w:rPr>
                <w:rFonts w:ascii="Times New Roman"/>
                <w:sz w:val="10"/>
              </w:rPr>
            </w:pPr>
          </w:p>
        </w:tc>
        <w:tc>
          <w:tcPr>
            <w:tcW w:w="7452" w:type="dxa"/>
          </w:tcPr>
          <w:p>
            <w:pPr>
              <w:pStyle w:val="TableParagraph"/>
              <w:spacing w:line="156" w:lineRule="exact" w:before="1"/>
              <w:ind w:left="3529"/>
              <w:rPr>
                <w:sz w:val="15"/>
              </w:rPr>
            </w:pPr>
            <w:r>
              <w:rPr>
                <w:sz w:val="15"/>
              </w:rPr>
              <w:t>c) De 5001 a 7,500 metros cúbicos:</w:t>
            </w:r>
          </w:p>
        </w:tc>
        <w:tc>
          <w:tcPr>
            <w:tcW w:w="1087" w:type="dxa"/>
          </w:tcPr>
          <w:p>
            <w:pPr>
              <w:pStyle w:val="TableParagraph"/>
              <w:spacing w:line="156" w:lineRule="exact" w:before="1"/>
              <w:ind w:right="49"/>
              <w:jc w:val="right"/>
              <w:rPr>
                <w:sz w:val="15"/>
              </w:rPr>
            </w:pPr>
            <w:r>
              <w:rPr>
                <w:sz w:val="15"/>
              </w:rPr>
              <w:t>$5,051.00</w:t>
            </w:r>
          </w:p>
        </w:tc>
      </w:tr>
      <w:tr>
        <w:trPr>
          <w:trHeight w:val="177" w:hRule="atLeast"/>
        </w:trPr>
        <w:tc>
          <w:tcPr>
            <w:tcW w:w="4321" w:type="dxa"/>
          </w:tcPr>
          <w:p>
            <w:pPr>
              <w:pStyle w:val="TableParagraph"/>
              <w:spacing w:line="156" w:lineRule="exact" w:before="1"/>
              <w:ind w:left="447"/>
              <w:rPr>
                <w:sz w:val="15"/>
              </w:rPr>
            </w:pPr>
            <w:r>
              <w:rPr>
                <w:sz w:val="15"/>
              </w:rPr>
              <w:t>e) Planos doble carta, por cada plano:</w:t>
            </w:r>
          </w:p>
        </w:tc>
        <w:tc>
          <w:tcPr>
            <w:tcW w:w="4219" w:type="dxa"/>
          </w:tcPr>
          <w:p>
            <w:pPr>
              <w:pStyle w:val="TableParagraph"/>
              <w:spacing w:line="156" w:lineRule="exact" w:before="1"/>
              <w:ind w:right="3131"/>
              <w:jc w:val="right"/>
              <w:rPr>
                <w:sz w:val="15"/>
              </w:rPr>
            </w:pPr>
            <w:r>
              <w:rPr>
                <w:sz w:val="15"/>
              </w:rPr>
              <w:t>$100.00</w:t>
            </w:r>
          </w:p>
        </w:tc>
        <w:tc>
          <w:tcPr>
            <w:tcW w:w="7452" w:type="dxa"/>
          </w:tcPr>
          <w:p>
            <w:pPr>
              <w:pStyle w:val="TableParagraph"/>
              <w:rPr>
                <w:rFonts w:ascii="Times New Roman"/>
                <w:sz w:val="10"/>
              </w:rPr>
            </w:pPr>
          </w:p>
        </w:tc>
        <w:tc>
          <w:tcPr>
            <w:tcW w:w="1087" w:type="dxa"/>
          </w:tcPr>
          <w:p>
            <w:pPr>
              <w:pStyle w:val="TableParagraph"/>
              <w:rPr>
                <w:rFonts w:ascii="Times New Roman"/>
                <w:sz w:val="10"/>
              </w:rPr>
            </w:pPr>
          </w:p>
        </w:tc>
      </w:tr>
      <w:tr>
        <w:trPr>
          <w:trHeight w:val="177" w:hRule="atLeast"/>
        </w:trPr>
        <w:tc>
          <w:tcPr>
            <w:tcW w:w="4321" w:type="dxa"/>
          </w:tcPr>
          <w:p>
            <w:pPr>
              <w:pStyle w:val="TableParagraph"/>
              <w:rPr>
                <w:rFonts w:ascii="Times New Roman"/>
                <w:sz w:val="10"/>
              </w:rPr>
            </w:pPr>
          </w:p>
        </w:tc>
        <w:tc>
          <w:tcPr>
            <w:tcW w:w="4219" w:type="dxa"/>
          </w:tcPr>
          <w:p>
            <w:pPr>
              <w:pStyle w:val="TableParagraph"/>
              <w:rPr>
                <w:rFonts w:ascii="Times New Roman"/>
                <w:sz w:val="10"/>
              </w:rPr>
            </w:pPr>
          </w:p>
        </w:tc>
        <w:tc>
          <w:tcPr>
            <w:tcW w:w="7452" w:type="dxa"/>
          </w:tcPr>
          <w:p>
            <w:pPr>
              <w:pStyle w:val="TableParagraph"/>
              <w:spacing w:line="156" w:lineRule="exact" w:before="1"/>
              <w:ind w:left="3529"/>
              <w:rPr>
                <w:sz w:val="15"/>
              </w:rPr>
            </w:pPr>
            <w:r>
              <w:rPr>
                <w:sz w:val="15"/>
              </w:rPr>
              <w:t>d) Más de 7,501 metros cúbicos:</w:t>
            </w:r>
          </w:p>
        </w:tc>
        <w:tc>
          <w:tcPr>
            <w:tcW w:w="1087" w:type="dxa"/>
          </w:tcPr>
          <w:p>
            <w:pPr>
              <w:pStyle w:val="TableParagraph"/>
              <w:spacing w:line="156" w:lineRule="exact" w:before="1"/>
              <w:ind w:right="49"/>
              <w:jc w:val="right"/>
              <w:rPr>
                <w:sz w:val="15"/>
              </w:rPr>
            </w:pPr>
            <w:r>
              <w:rPr>
                <w:sz w:val="15"/>
              </w:rPr>
              <w:t>$50,503.00</w:t>
            </w:r>
          </w:p>
        </w:tc>
      </w:tr>
      <w:tr>
        <w:trPr>
          <w:trHeight w:val="353" w:hRule="atLeast"/>
        </w:trPr>
        <w:tc>
          <w:tcPr>
            <w:tcW w:w="4321" w:type="dxa"/>
          </w:tcPr>
          <w:p>
            <w:pPr>
              <w:pStyle w:val="TableParagraph"/>
              <w:spacing w:before="1"/>
              <w:ind w:left="447"/>
              <w:rPr>
                <w:sz w:val="15"/>
              </w:rPr>
            </w:pPr>
            <w:r>
              <w:rPr>
                <w:sz w:val="15"/>
              </w:rPr>
              <w:t>f) Digitalización por hoja:</w:t>
            </w:r>
          </w:p>
        </w:tc>
        <w:tc>
          <w:tcPr>
            <w:tcW w:w="4219" w:type="dxa"/>
          </w:tcPr>
          <w:p>
            <w:pPr>
              <w:pStyle w:val="TableParagraph"/>
              <w:spacing w:before="1"/>
              <w:ind w:right="3131"/>
              <w:jc w:val="right"/>
              <w:rPr>
                <w:sz w:val="15"/>
              </w:rPr>
            </w:pPr>
            <w:r>
              <w:rPr>
                <w:sz w:val="15"/>
              </w:rPr>
              <w:t>$3.00</w:t>
            </w:r>
          </w:p>
        </w:tc>
        <w:tc>
          <w:tcPr>
            <w:tcW w:w="7452" w:type="dxa"/>
          </w:tcPr>
          <w:p>
            <w:pPr>
              <w:pStyle w:val="TableParagraph"/>
              <w:spacing w:before="4"/>
              <w:rPr>
                <w:sz w:val="15"/>
              </w:rPr>
            </w:pPr>
          </w:p>
          <w:p>
            <w:pPr>
              <w:pStyle w:val="TableParagraph"/>
              <w:spacing w:line="156" w:lineRule="exact" w:before="1"/>
              <w:ind w:left="3529"/>
              <w:rPr>
                <w:sz w:val="15"/>
              </w:rPr>
            </w:pPr>
            <w:r>
              <w:rPr>
                <w:sz w:val="15"/>
              </w:rPr>
              <w:t>XXVIII. Dictamen técnico para anuncios en</w:t>
            </w:r>
          </w:p>
        </w:tc>
        <w:tc>
          <w:tcPr>
            <w:tcW w:w="1087" w:type="dxa"/>
          </w:tcPr>
          <w:p>
            <w:pPr>
              <w:pStyle w:val="TableParagraph"/>
              <w:rPr>
                <w:rFonts w:ascii="Times New Roman"/>
                <w:sz w:val="14"/>
              </w:rPr>
            </w:pPr>
          </w:p>
        </w:tc>
      </w:tr>
      <w:tr>
        <w:trPr>
          <w:trHeight w:val="177" w:hRule="atLeast"/>
        </w:trPr>
        <w:tc>
          <w:tcPr>
            <w:tcW w:w="4321" w:type="dxa"/>
          </w:tcPr>
          <w:p>
            <w:pPr>
              <w:pStyle w:val="TableParagraph"/>
              <w:rPr>
                <w:rFonts w:ascii="Times New Roman"/>
                <w:sz w:val="10"/>
              </w:rPr>
            </w:pPr>
          </w:p>
        </w:tc>
        <w:tc>
          <w:tcPr>
            <w:tcW w:w="4219" w:type="dxa"/>
          </w:tcPr>
          <w:p>
            <w:pPr>
              <w:pStyle w:val="TableParagraph"/>
              <w:rPr>
                <w:rFonts w:ascii="Times New Roman"/>
                <w:sz w:val="10"/>
              </w:rPr>
            </w:pPr>
          </w:p>
        </w:tc>
        <w:tc>
          <w:tcPr>
            <w:tcW w:w="7452" w:type="dxa"/>
          </w:tcPr>
          <w:p>
            <w:pPr>
              <w:pStyle w:val="TableParagraph"/>
              <w:spacing w:line="156" w:lineRule="exact" w:before="1"/>
              <w:ind w:left="3131"/>
              <w:rPr>
                <w:sz w:val="15"/>
              </w:rPr>
            </w:pPr>
            <w:r>
              <w:rPr>
                <w:sz w:val="15"/>
              </w:rPr>
              <w:t>estructura o poste:</w:t>
            </w:r>
          </w:p>
        </w:tc>
        <w:tc>
          <w:tcPr>
            <w:tcW w:w="1087" w:type="dxa"/>
          </w:tcPr>
          <w:p>
            <w:pPr>
              <w:pStyle w:val="TableParagraph"/>
              <w:spacing w:line="156" w:lineRule="exact" w:before="1"/>
              <w:ind w:right="49"/>
              <w:jc w:val="right"/>
              <w:rPr>
                <w:sz w:val="15"/>
              </w:rPr>
            </w:pPr>
            <w:r>
              <w:rPr>
                <w:sz w:val="15"/>
              </w:rPr>
              <w:t>$1,166.00</w:t>
            </w:r>
          </w:p>
        </w:tc>
      </w:tr>
      <w:tr>
        <w:trPr>
          <w:trHeight w:val="177" w:hRule="atLeast"/>
        </w:trPr>
        <w:tc>
          <w:tcPr>
            <w:tcW w:w="4321" w:type="dxa"/>
          </w:tcPr>
          <w:p>
            <w:pPr>
              <w:pStyle w:val="TableParagraph"/>
              <w:spacing w:line="156" w:lineRule="exact" w:before="1"/>
              <w:ind w:left="447"/>
              <w:rPr>
                <w:sz w:val="15"/>
              </w:rPr>
            </w:pPr>
            <w:r>
              <w:rPr>
                <w:sz w:val="15"/>
              </w:rPr>
              <w:t>XV. Certificación de planos, por cada uno:</w:t>
            </w:r>
          </w:p>
        </w:tc>
        <w:tc>
          <w:tcPr>
            <w:tcW w:w="4219" w:type="dxa"/>
          </w:tcPr>
          <w:p>
            <w:pPr>
              <w:pStyle w:val="TableParagraph"/>
              <w:spacing w:line="156" w:lineRule="exact" w:before="1"/>
              <w:ind w:right="3130"/>
              <w:jc w:val="right"/>
              <w:rPr>
                <w:sz w:val="15"/>
              </w:rPr>
            </w:pPr>
            <w:r>
              <w:rPr>
                <w:sz w:val="15"/>
              </w:rPr>
              <w:t>$101.00</w:t>
            </w:r>
          </w:p>
        </w:tc>
        <w:tc>
          <w:tcPr>
            <w:tcW w:w="7452" w:type="dxa"/>
          </w:tcPr>
          <w:p>
            <w:pPr>
              <w:pStyle w:val="TableParagraph"/>
              <w:rPr>
                <w:rFonts w:ascii="Times New Roman"/>
                <w:sz w:val="10"/>
              </w:rPr>
            </w:pPr>
          </w:p>
        </w:tc>
        <w:tc>
          <w:tcPr>
            <w:tcW w:w="1087" w:type="dxa"/>
          </w:tcPr>
          <w:p>
            <w:pPr>
              <w:pStyle w:val="TableParagraph"/>
              <w:rPr>
                <w:rFonts w:ascii="Times New Roman"/>
                <w:sz w:val="10"/>
              </w:rPr>
            </w:pPr>
          </w:p>
        </w:tc>
      </w:tr>
      <w:tr>
        <w:trPr>
          <w:trHeight w:val="177" w:hRule="atLeast"/>
        </w:trPr>
        <w:tc>
          <w:tcPr>
            <w:tcW w:w="4321" w:type="dxa"/>
          </w:tcPr>
          <w:p>
            <w:pPr>
              <w:pStyle w:val="TableParagraph"/>
              <w:rPr>
                <w:rFonts w:ascii="Times New Roman"/>
                <w:sz w:val="10"/>
              </w:rPr>
            </w:pPr>
          </w:p>
        </w:tc>
        <w:tc>
          <w:tcPr>
            <w:tcW w:w="4219" w:type="dxa"/>
          </w:tcPr>
          <w:p>
            <w:pPr>
              <w:pStyle w:val="TableParagraph"/>
              <w:rPr>
                <w:rFonts w:ascii="Times New Roman"/>
                <w:sz w:val="10"/>
              </w:rPr>
            </w:pPr>
          </w:p>
        </w:tc>
        <w:tc>
          <w:tcPr>
            <w:tcW w:w="7452" w:type="dxa"/>
          </w:tcPr>
          <w:p>
            <w:pPr>
              <w:pStyle w:val="TableParagraph"/>
              <w:spacing w:line="156" w:lineRule="exact" w:before="1"/>
              <w:ind w:left="3529"/>
              <w:rPr>
                <w:sz w:val="15"/>
              </w:rPr>
            </w:pPr>
            <w:r>
              <w:rPr>
                <w:sz w:val="15"/>
              </w:rPr>
              <w:t>XXIX. Dictamen técnico para antenas de telefonía:</w:t>
            </w:r>
          </w:p>
        </w:tc>
        <w:tc>
          <w:tcPr>
            <w:tcW w:w="1087" w:type="dxa"/>
          </w:tcPr>
          <w:p>
            <w:pPr>
              <w:pStyle w:val="TableParagraph"/>
              <w:spacing w:line="156" w:lineRule="exact" w:before="1"/>
              <w:ind w:right="48"/>
              <w:jc w:val="right"/>
              <w:rPr>
                <w:sz w:val="15"/>
              </w:rPr>
            </w:pPr>
            <w:r>
              <w:rPr>
                <w:sz w:val="15"/>
              </w:rPr>
              <w:t>$1,166.00</w:t>
            </w:r>
          </w:p>
        </w:tc>
      </w:tr>
      <w:tr>
        <w:trPr>
          <w:trHeight w:val="353" w:hRule="atLeast"/>
        </w:trPr>
        <w:tc>
          <w:tcPr>
            <w:tcW w:w="4321" w:type="dxa"/>
          </w:tcPr>
          <w:p>
            <w:pPr>
              <w:pStyle w:val="TableParagraph"/>
              <w:spacing w:before="1"/>
              <w:ind w:left="447"/>
              <w:rPr>
                <w:sz w:val="15"/>
              </w:rPr>
            </w:pPr>
            <w:r>
              <w:rPr>
                <w:sz w:val="15"/>
              </w:rPr>
              <w:t>XVI. Dictámenes de usos y destinos:</w:t>
            </w:r>
          </w:p>
        </w:tc>
        <w:tc>
          <w:tcPr>
            <w:tcW w:w="4219" w:type="dxa"/>
          </w:tcPr>
          <w:p>
            <w:pPr>
              <w:pStyle w:val="TableParagraph"/>
              <w:spacing w:before="1"/>
              <w:ind w:right="3131"/>
              <w:jc w:val="right"/>
              <w:rPr>
                <w:sz w:val="15"/>
              </w:rPr>
            </w:pPr>
            <w:r>
              <w:rPr>
                <w:sz w:val="15"/>
              </w:rPr>
              <w:t>$95.00</w:t>
            </w:r>
          </w:p>
        </w:tc>
        <w:tc>
          <w:tcPr>
            <w:tcW w:w="7452" w:type="dxa"/>
          </w:tcPr>
          <w:p>
            <w:pPr>
              <w:pStyle w:val="TableParagraph"/>
              <w:spacing w:before="4"/>
              <w:rPr>
                <w:sz w:val="15"/>
              </w:rPr>
            </w:pPr>
          </w:p>
          <w:p>
            <w:pPr>
              <w:pStyle w:val="TableParagraph"/>
              <w:spacing w:line="156" w:lineRule="exact" w:before="1"/>
              <w:ind w:left="3529"/>
              <w:rPr>
                <w:sz w:val="15"/>
              </w:rPr>
            </w:pPr>
            <w:r>
              <w:rPr>
                <w:sz w:val="15"/>
              </w:rPr>
              <w:t>XXX. Constancia de existencia o inexistencia de</w:t>
            </w:r>
          </w:p>
        </w:tc>
        <w:tc>
          <w:tcPr>
            <w:tcW w:w="1087" w:type="dxa"/>
          </w:tcPr>
          <w:p>
            <w:pPr>
              <w:pStyle w:val="TableParagraph"/>
              <w:rPr>
                <w:rFonts w:ascii="Times New Roman"/>
                <w:sz w:val="14"/>
              </w:rPr>
            </w:pPr>
          </w:p>
        </w:tc>
      </w:tr>
      <w:tr>
        <w:trPr>
          <w:trHeight w:val="177" w:hRule="atLeast"/>
        </w:trPr>
        <w:tc>
          <w:tcPr>
            <w:tcW w:w="4321" w:type="dxa"/>
          </w:tcPr>
          <w:p>
            <w:pPr>
              <w:pStyle w:val="TableParagraph"/>
              <w:spacing w:line="156" w:lineRule="exact" w:before="1"/>
              <w:ind w:left="447"/>
              <w:rPr>
                <w:sz w:val="15"/>
              </w:rPr>
            </w:pPr>
            <w:r>
              <w:rPr>
                <w:sz w:val="15"/>
              </w:rPr>
              <w:t>XVII. Dictamen de trazo, usos y destinos</w:t>
            </w:r>
          </w:p>
        </w:tc>
        <w:tc>
          <w:tcPr>
            <w:tcW w:w="4219" w:type="dxa"/>
          </w:tcPr>
          <w:p>
            <w:pPr>
              <w:pStyle w:val="TableParagraph"/>
              <w:rPr>
                <w:rFonts w:ascii="Times New Roman"/>
                <w:sz w:val="10"/>
              </w:rPr>
            </w:pPr>
          </w:p>
        </w:tc>
        <w:tc>
          <w:tcPr>
            <w:tcW w:w="7452" w:type="dxa"/>
          </w:tcPr>
          <w:p>
            <w:pPr>
              <w:pStyle w:val="TableParagraph"/>
              <w:spacing w:line="156" w:lineRule="exact" w:before="1"/>
              <w:ind w:left="3131"/>
              <w:rPr>
                <w:sz w:val="15"/>
              </w:rPr>
            </w:pPr>
            <w:r>
              <w:rPr>
                <w:sz w:val="15"/>
              </w:rPr>
              <w:t>infraestructura de agua potable y alcantarillado:</w:t>
            </w:r>
          </w:p>
        </w:tc>
        <w:tc>
          <w:tcPr>
            <w:tcW w:w="1087" w:type="dxa"/>
          </w:tcPr>
          <w:p>
            <w:pPr>
              <w:pStyle w:val="TableParagraph"/>
              <w:spacing w:line="156" w:lineRule="exact" w:before="1"/>
              <w:ind w:right="48"/>
              <w:jc w:val="right"/>
              <w:rPr>
                <w:sz w:val="15"/>
              </w:rPr>
            </w:pPr>
            <w:r>
              <w:rPr>
                <w:sz w:val="15"/>
              </w:rPr>
              <w:t>$446.00</w:t>
            </w:r>
          </w:p>
        </w:tc>
      </w:tr>
      <w:tr>
        <w:trPr>
          <w:trHeight w:val="177" w:hRule="atLeast"/>
        </w:trPr>
        <w:tc>
          <w:tcPr>
            <w:tcW w:w="4321" w:type="dxa"/>
          </w:tcPr>
          <w:p>
            <w:pPr>
              <w:pStyle w:val="TableParagraph"/>
              <w:spacing w:line="156" w:lineRule="exact" w:before="1"/>
              <w:ind w:left="50"/>
              <w:rPr>
                <w:sz w:val="15"/>
              </w:rPr>
            </w:pPr>
            <w:r>
              <w:rPr>
                <w:sz w:val="15"/>
              </w:rPr>
              <w:t>específicos del suelo:</w:t>
            </w:r>
          </w:p>
        </w:tc>
        <w:tc>
          <w:tcPr>
            <w:tcW w:w="4219" w:type="dxa"/>
          </w:tcPr>
          <w:p>
            <w:pPr>
              <w:pStyle w:val="TableParagraph"/>
              <w:spacing w:line="156" w:lineRule="exact" w:before="1"/>
              <w:ind w:right="3131"/>
              <w:jc w:val="right"/>
              <w:rPr>
                <w:sz w:val="15"/>
              </w:rPr>
            </w:pPr>
            <w:r>
              <w:rPr>
                <w:sz w:val="15"/>
              </w:rPr>
              <w:t>$1,555.00</w:t>
            </w:r>
          </w:p>
        </w:tc>
        <w:tc>
          <w:tcPr>
            <w:tcW w:w="7452" w:type="dxa"/>
          </w:tcPr>
          <w:p>
            <w:pPr>
              <w:pStyle w:val="TableParagraph"/>
              <w:rPr>
                <w:rFonts w:ascii="Times New Roman"/>
                <w:sz w:val="10"/>
              </w:rPr>
            </w:pPr>
          </w:p>
        </w:tc>
        <w:tc>
          <w:tcPr>
            <w:tcW w:w="1087" w:type="dxa"/>
          </w:tcPr>
          <w:p>
            <w:pPr>
              <w:pStyle w:val="TableParagraph"/>
              <w:rPr>
                <w:rFonts w:ascii="Times New Roman"/>
                <w:sz w:val="10"/>
              </w:rPr>
            </w:pPr>
          </w:p>
        </w:tc>
      </w:tr>
      <w:tr>
        <w:trPr>
          <w:trHeight w:val="177" w:hRule="atLeast"/>
        </w:trPr>
        <w:tc>
          <w:tcPr>
            <w:tcW w:w="4321" w:type="dxa"/>
          </w:tcPr>
          <w:p>
            <w:pPr>
              <w:pStyle w:val="TableParagraph"/>
              <w:rPr>
                <w:rFonts w:ascii="Times New Roman"/>
                <w:sz w:val="10"/>
              </w:rPr>
            </w:pPr>
          </w:p>
        </w:tc>
        <w:tc>
          <w:tcPr>
            <w:tcW w:w="4219" w:type="dxa"/>
          </w:tcPr>
          <w:p>
            <w:pPr>
              <w:pStyle w:val="TableParagraph"/>
              <w:rPr>
                <w:rFonts w:ascii="Times New Roman"/>
                <w:sz w:val="10"/>
              </w:rPr>
            </w:pPr>
          </w:p>
        </w:tc>
        <w:tc>
          <w:tcPr>
            <w:tcW w:w="7452" w:type="dxa"/>
          </w:tcPr>
          <w:p>
            <w:pPr>
              <w:pStyle w:val="TableParagraph"/>
              <w:spacing w:line="156" w:lineRule="exact" w:before="1"/>
              <w:ind w:left="3529"/>
              <w:rPr>
                <w:sz w:val="15"/>
              </w:rPr>
            </w:pPr>
            <w:r>
              <w:rPr>
                <w:sz w:val="15"/>
              </w:rPr>
              <w:t>XXXI. Actualización o certificación anual de</w:t>
            </w:r>
          </w:p>
        </w:tc>
        <w:tc>
          <w:tcPr>
            <w:tcW w:w="1087" w:type="dxa"/>
          </w:tcPr>
          <w:p>
            <w:pPr>
              <w:pStyle w:val="TableParagraph"/>
              <w:spacing w:line="156" w:lineRule="exact" w:before="1"/>
              <w:ind w:right="49"/>
              <w:jc w:val="right"/>
              <w:rPr>
                <w:sz w:val="15"/>
              </w:rPr>
            </w:pPr>
            <w:r>
              <w:rPr>
                <w:sz w:val="15"/>
              </w:rPr>
              <w:t>$1,550.00</w:t>
            </w:r>
          </w:p>
        </w:tc>
      </w:tr>
      <w:tr>
        <w:trPr>
          <w:trHeight w:val="177" w:hRule="atLeast"/>
        </w:trPr>
        <w:tc>
          <w:tcPr>
            <w:tcW w:w="4321" w:type="dxa"/>
          </w:tcPr>
          <w:p>
            <w:pPr>
              <w:pStyle w:val="TableParagraph"/>
              <w:spacing w:line="156" w:lineRule="exact" w:before="1"/>
              <w:ind w:left="447"/>
              <w:rPr>
                <w:sz w:val="15"/>
              </w:rPr>
            </w:pPr>
            <w:r>
              <w:rPr>
                <w:sz w:val="15"/>
              </w:rPr>
              <w:t>XVIII. Dictamen de predios baldíos que se</w:t>
            </w:r>
          </w:p>
        </w:tc>
        <w:tc>
          <w:tcPr>
            <w:tcW w:w="4219" w:type="dxa"/>
          </w:tcPr>
          <w:p>
            <w:pPr>
              <w:pStyle w:val="TableParagraph"/>
              <w:spacing w:line="156" w:lineRule="exact" w:before="1"/>
              <w:ind w:right="3130"/>
              <w:jc w:val="right"/>
              <w:rPr>
                <w:sz w:val="15"/>
              </w:rPr>
            </w:pPr>
            <w:r>
              <w:rPr>
                <w:sz w:val="15"/>
              </w:rPr>
              <w:t>$68.00</w:t>
            </w:r>
          </w:p>
        </w:tc>
        <w:tc>
          <w:tcPr>
            <w:tcW w:w="7452" w:type="dxa"/>
          </w:tcPr>
          <w:p>
            <w:pPr>
              <w:pStyle w:val="TableParagraph"/>
              <w:spacing w:line="156" w:lineRule="exact" w:before="1"/>
              <w:ind w:left="3131"/>
              <w:rPr>
                <w:sz w:val="15"/>
              </w:rPr>
            </w:pPr>
            <w:r>
              <w:rPr>
                <w:sz w:val="15"/>
              </w:rPr>
              <w:t>dictámenes:</w:t>
            </w:r>
          </w:p>
        </w:tc>
        <w:tc>
          <w:tcPr>
            <w:tcW w:w="1087" w:type="dxa"/>
          </w:tcPr>
          <w:p>
            <w:pPr>
              <w:pStyle w:val="TableParagraph"/>
              <w:rPr>
                <w:rFonts w:ascii="Times New Roman"/>
                <w:sz w:val="10"/>
              </w:rPr>
            </w:pPr>
          </w:p>
        </w:tc>
      </w:tr>
      <w:tr>
        <w:trPr>
          <w:trHeight w:val="350" w:hRule="atLeast"/>
        </w:trPr>
        <w:tc>
          <w:tcPr>
            <w:tcW w:w="4321" w:type="dxa"/>
          </w:tcPr>
          <w:p>
            <w:pPr>
              <w:pStyle w:val="TableParagraph"/>
              <w:spacing w:before="1"/>
              <w:ind w:left="50"/>
              <w:rPr>
                <w:sz w:val="15"/>
              </w:rPr>
            </w:pPr>
            <w:r>
              <w:rPr>
                <w:sz w:val="15"/>
              </w:rPr>
              <w:t>pretendan constituir como jardines ornamentales:</w:t>
            </w:r>
          </w:p>
        </w:tc>
        <w:tc>
          <w:tcPr>
            <w:tcW w:w="4219" w:type="dxa"/>
          </w:tcPr>
          <w:p>
            <w:pPr>
              <w:pStyle w:val="TableParagraph"/>
              <w:rPr>
                <w:rFonts w:ascii="Times New Roman"/>
                <w:sz w:val="14"/>
              </w:rPr>
            </w:pPr>
          </w:p>
        </w:tc>
        <w:tc>
          <w:tcPr>
            <w:tcW w:w="7452" w:type="dxa"/>
          </w:tcPr>
          <w:p>
            <w:pPr>
              <w:pStyle w:val="TableParagraph"/>
              <w:spacing w:before="4"/>
              <w:rPr>
                <w:sz w:val="15"/>
              </w:rPr>
            </w:pPr>
          </w:p>
          <w:p>
            <w:pPr>
              <w:pStyle w:val="TableParagraph"/>
              <w:spacing w:line="153" w:lineRule="exact" w:before="1"/>
              <w:ind w:left="3529"/>
              <w:rPr>
                <w:sz w:val="15"/>
              </w:rPr>
            </w:pPr>
            <w:r>
              <w:rPr>
                <w:sz w:val="15"/>
              </w:rPr>
              <w:t>XXXII. Dictamen técnico de la Dirección General de</w:t>
            </w:r>
          </w:p>
        </w:tc>
        <w:tc>
          <w:tcPr>
            <w:tcW w:w="1087" w:type="dxa"/>
          </w:tcPr>
          <w:p>
            <w:pPr>
              <w:pStyle w:val="TableParagraph"/>
              <w:spacing w:before="4"/>
              <w:rPr>
                <w:sz w:val="15"/>
              </w:rPr>
            </w:pPr>
          </w:p>
          <w:p>
            <w:pPr>
              <w:pStyle w:val="TableParagraph"/>
              <w:spacing w:line="153" w:lineRule="exact" w:before="1"/>
              <w:ind w:right="48"/>
              <w:jc w:val="right"/>
              <w:rPr>
                <w:sz w:val="15"/>
              </w:rPr>
            </w:pPr>
            <w:r>
              <w:rPr>
                <w:sz w:val="15"/>
              </w:rPr>
              <w:t>Protección y</w:t>
            </w:r>
          </w:p>
        </w:tc>
      </w:tr>
    </w:tbl>
    <w:p>
      <w:pPr>
        <w:spacing w:after="0" w:line="153" w:lineRule="exact"/>
        <w:jc w:val="right"/>
        <w:rPr>
          <w:sz w:val="15"/>
        </w:rPr>
        <w:sectPr>
          <w:type w:val="continuous"/>
          <w:pgSz w:w="23250" w:h="15310" w:orient="landscape"/>
          <w:pgMar w:top="0" w:bottom="0" w:left="1880" w:right="1520"/>
        </w:sectPr>
      </w:pPr>
    </w:p>
    <w:p>
      <w:pPr>
        <w:pStyle w:val="BodyText"/>
        <w:spacing w:line="247" w:lineRule="auto" w:before="4"/>
        <w:ind w:left="151" w:right="1526" w:firstLine="397"/>
        <w:jc w:val="both"/>
      </w:pPr>
      <w:r>
        <w:rPr/>
        <w:t>XIX. Dictamen técnico de la Dirección General de Obras Públicas, cuando sea solicitado por personas ajenas a la administración pública y para determinar</w:t>
      </w:r>
    </w:p>
    <w:p>
      <w:pPr>
        <w:pStyle w:val="BodyText"/>
        <w:tabs>
          <w:tab w:pos="4822" w:val="left" w:leader="none"/>
        </w:tabs>
        <w:spacing w:line="171" w:lineRule="exact"/>
        <w:ind w:left="151"/>
        <w:jc w:val="both"/>
      </w:pPr>
      <w:r>
        <w:rPr/>
        <w:t>daños o afectaciones en</w:t>
      </w:r>
      <w:r>
        <w:rPr>
          <w:spacing w:val="39"/>
        </w:rPr>
        <w:t> </w:t>
      </w:r>
      <w:r>
        <w:rPr/>
        <w:t>propiedad</w:t>
      </w:r>
      <w:r>
        <w:rPr>
          <w:spacing w:val="9"/>
        </w:rPr>
        <w:t> </w:t>
      </w:r>
      <w:r>
        <w:rPr/>
        <w:t>privada:</w:t>
        <w:tab/>
        <w:t>$3,351.00</w:t>
      </w:r>
    </w:p>
    <w:p>
      <w:pPr>
        <w:pStyle w:val="BodyText"/>
        <w:spacing w:line="247" w:lineRule="auto" w:before="4"/>
        <w:ind w:left="151" w:right="2660"/>
      </w:pPr>
      <w:r>
        <w:rPr/>
        <w:br w:type="column"/>
      </w:r>
      <w:r>
        <w:rPr/>
        <w:t>Sustentabilidad Ambiental, por cada establecimiento a dictaminar, pagará previamente de acuerdo a lo siguiente:</w:t>
      </w:r>
    </w:p>
    <w:p>
      <w:pPr>
        <w:pStyle w:val="BodyText"/>
        <w:spacing w:before="3"/>
      </w:pPr>
    </w:p>
    <w:p>
      <w:pPr>
        <w:pStyle w:val="ListParagraph"/>
        <w:numPr>
          <w:ilvl w:val="0"/>
          <w:numId w:val="148"/>
        </w:numPr>
        <w:tabs>
          <w:tab w:pos="729" w:val="left" w:leader="none"/>
        </w:tabs>
        <w:spacing w:line="240" w:lineRule="auto" w:before="1" w:after="0"/>
        <w:ind w:left="728" w:right="0" w:hanging="181"/>
        <w:jc w:val="left"/>
        <w:rPr>
          <w:sz w:val="15"/>
        </w:rPr>
      </w:pPr>
      <w:r>
        <w:rPr>
          <w:sz w:val="15"/>
        </w:rPr>
        <w:t>Dictamen de factibilidad,</w:t>
      </w:r>
      <w:r>
        <w:rPr>
          <w:spacing w:val="4"/>
          <w:sz w:val="15"/>
        </w:rPr>
        <w:t> </w:t>
      </w:r>
      <w:r>
        <w:rPr>
          <w:sz w:val="15"/>
        </w:rPr>
        <w:t>para:</w:t>
      </w:r>
    </w:p>
    <w:p>
      <w:pPr>
        <w:spacing w:after="0" w:line="240" w:lineRule="auto"/>
        <w:jc w:val="left"/>
        <w:rPr>
          <w:sz w:val="15"/>
        </w:rPr>
        <w:sectPr>
          <w:type w:val="continuous"/>
          <w:pgSz w:w="23250" w:h="15310" w:orient="landscape"/>
          <w:pgMar w:top="0" w:bottom="0" w:left="1880" w:right="1520"/>
          <w:cols w:num="2" w:equalWidth="0">
            <w:col w:w="5548" w:space="6074"/>
            <w:col w:w="8228"/>
          </w:cols>
        </w:sectPr>
      </w:pPr>
    </w:p>
    <w:p>
      <w:pPr>
        <w:pStyle w:val="BodyText"/>
        <w:spacing w:before="10"/>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1"/>
        <w:gridCol w:w="4218"/>
        <w:gridCol w:w="7401"/>
        <w:gridCol w:w="1136"/>
      </w:tblGrid>
      <w:tr>
        <w:trPr>
          <w:trHeight w:val="174" w:hRule="atLeast"/>
        </w:trPr>
        <w:tc>
          <w:tcPr>
            <w:tcW w:w="4321" w:type="dxa"/>
          </w:tcPr>
          <w:p>
            <w:pPr>
              <w:pStyle w:val="TableParagraph"/>
              <w:spacing w:line="155" w:lineRule="exact"/>
              <w:ind w:left="447"/>
              <w:rPr>
                <w:sz w:val="15"/>
              </w:rPr>
            </w:pPr>
            <w:r>
              <w:rPr>
                <w:sz w:val="15"/>
              </w:rPr>
              <w:t>XX. Dictamen técnico para la instalación de</w:t>
            </w:r>
          </w:p>
        </w:tc>
        <w:tc>
          <w:tcPr>
            <w:tcW w:w="4218" w:type="dxa"/>
          </w:tcPr>
          <w:p>
            <w:pPr>
              <w:pStyle w:val="TableParagraph"/>
              <w:rPr>
                <w:rFonts w:ascii="Times New Roman"/>
                <w:sz w:val="10"/>
              </w:rPr>
            </w:pPr>
          </w:p>
        </w:tc>
        <w:tc>
          <w:tcPr>
            <w:tcW w:w="7401" w:type="dxa"/>
          </w:tcPr>
          <w:p>
            <w:pPr>
              <w:pStyle w:val="TableParagraph"/>
              <w:spacing w:line="155" w:lineRule="exact"/>
              <w:ind w:right="398"/>
              <w:jc w:val="right"/>
              <w:rPr>
                <w:sz w:val="15"/>
              </w:rPr>
            </w:pPr>
            <w:r>
              <w:rPr>
                <w:sz w:val="15"/>
              </w:rPr>
              <w:t>1. Dictámenes de informe preventivo de impacto</w:t>
            </w:r>
          </w:p>
        </w:tc>
        <w:tc>
          <w:tcPr>
            <w:tcW w:w="1136" w:type="dxa"/>
          </w:tcPr>
          <w:p>
            <w:pPr>
              <w:pStyle w:val="TableParagraph"/>
              <w:rPr>
                <w:rFonts w:ascii="Times New Roman"/>
                <w:sz w:val="10"/>
              </w:rPr>
            </w:pPr>
          </w:p>
        </w:tc>
      </w:tr>
      <w:tr>
        <w:trPr>
          <w:trHeight w:val="177" w:hRule="atLeast"/>
        </w:trPr>
        <w:tc>
          <w:tcPr>
            <w:tcW w:w="4321" w:type="dxa"/>
          </w:tcPr>
          <w:p>
            <w:pPr>
              <w:pStyle w:val="TableParagraph"/>
              <w:spacing w:line="156" w:lineRule="exact" w:before="1"/>
              <w:ind w:left="50"/>
              <w:rPr>
                <w:sz w:val="15"/>
              </w:rPr>
            </w:pPr>
            <w:r>
              <w:rPr>
                <w:sz w:val="15"/>
              </w:rPr>
              <w:t>mobiliario urbano en vía pública:</w:t>
            </w:r>
          </w:p>
        </w:tc>
        <w:tc>
          <w:tcPr>
            <w:tcW w:w="4218" w:type="dxa"/>
          </w:tcPr>
          <w:p>
            <w:pPr>
              <w:pStyle w:val="TableParagraph"/>
              <w:spacing w:line="156" w:lineRule="exact" w:before="1"/>
              <w:ind w:left="528"/>
              <w:rPr>
                <w:sz w:val="15"/>
              </w:rPr>
            </w:pPr>
            <w:r>
              <w:rPr>
                <w:sz w:val="15"/>
              </w:rPr>
              <w:t>$701.00</w:t>
            </w:r>
          </w:p>
        </w:tc>
        <w:tc>
          <w:tcPr>
            <w:tcW w:w="7401" w:type="dxa"/>
          </w:tcPr>
          <w:p>
            <w:pPr>
              <w:pStyle w:val="TableParagraph"/>
              <w:spacing w:line="156" w:lineRule="exact" w:before="1"/>
              <w:ind w:right="400"/>
              <w:jc w:val="right"/>
              <w:rPr>
                <w:sz w:val="15"/>
              </w:rPr>
            </w:pPr>
            <w:r>
              <w:rPr>
                <w:sz w:val="15"/>
              </w:rPr>
              <w:t>ambiental para la nivelación o rehabilitación, por cada</w:t>
            </w:r>
          </w:p>
        </w:tc>
        <w:tc>
          <w:tcPr>
            <w:tcW w:w="1136" w:type="dxa"/>
          </w:tcPr>
          <w:p>
            <w:pPr>
              <w:pStyle w:val="TableParagraph"/>
              <w:spacing w:line="156" w:lineRule="exact" w:before="1"/>
              <w:ind w:right="45"/>
              <w:jc w:val="right"/>
              <w:rPr>
                <w:sz w:val="15"/>
              </w:rPr>
            </w:pPr>
            <w:r>
              <w:rPr>
                <w:sz w:val="15"/>
              </w:rPr>
              <w:t>$9,622.00</w:t>
            </w:r>
          </w:p>
        </w:tc>
      </w:tr>
      <w:tr>
        <w:trPr>
          <w:trHeight w:val="177" w:hRule="atLeast"/>
        </w:trPr>
        <w:tc>
          <w:tcPr>
            <w:tcW w:w="4321" w:type="dxa"/>
          </w:tcPr>
          <w:p>
            <w:pPr>
              <w:pStyle w:val="TableParagraph"/>
              <w:rPr>
                <w:rFonts w:ascii="Times New Roman"/>
                <w:sz w:val="10"/>
              </w:rPr>
            </w:pPr>
          </w:p>
        </w:tc>
        <w:tc>
          <w:tcPr>
            <w:tcW w:w="4218" w:type="dxa"/>
          </w:tcPr>
          <w:p>
            <w:pPr>
              <w:pStyle w:val="TableParagraph"/>
              <w:rPr>
                <w:rFonts w:ascii="Times New Roman"/>
                <w:sz w:val="10"/>
              </w:rPr>
            </w:pPr>
          </w:p>
        </w:tc>
        <w:tc>
          <w:tcPr>
            <w:tcW w:w="7401" w:type="dxa"/>
          </w:tcPr>
          <w:p>
            <w:pPr>
              <w:pStyle w:val="TableParagraph"/>
              <w:spacing w:line="156" w:lineRule="exact" w:before="1"/>
              <w:ind w:left="3133"/>
              <w:rPr>
                <w:sz w:val="15"/>
              </w:rPr>
            </w:pPr>
            <w:r>
              <w:rPr>
                <w:sz w:val="15"/>
              </w:rPr>
              <w:t>uno:</w:t>
            </w:r>
          </w:p>
        </w:tc>
        <w:tc>
          <w:tcPr>
            <w:tcW w:w="1136" w:type="dxa"/>
          </w:tcPr>
          <w:p>
            <w:pPr>
              <w:pStyle w:val="TableParagraph"/>
              <w:rPr>
                <w:rFonts w:ascii="Times New Roman"/>
                <w:sz w:val="10"/>
              </w:rPr>
            </w:pPr>
          </w:p>
        </w:tc>
      </w:tr>
      <w:tr>
        <w:trPr>
          <w:trHeight w:val="177" w:hRule="atLeast"/>
        </w:trPr>
        <w:tc>
          <w:tcPr>
            <w:tcW w:w="4321" w:type="dxa"/>
          </w:tcPr>
          <w:p>
            <w:pPr>
              <w:pStyle w:val="TableParagraph"/>
              <w:spacing w:line="156" w:lineRule="exact" w:before="1"/>
              <w:ind w:left="447"/>
              <w:rPr>
                <w:sz w:val="15"/>
              </w:rPr>
            </w:pPr>
            <w:r>
              <w:rPr>
                <w:sz w:val="15"/>
              </w:rPr>
              <w:t>XXI. Constancia de habitabilidad de inmuebles,</w:t>
            </w:r>
          </w:p>
        </w:tc>
        <w:tc>
          <w:tcPr>
            <w:tcW w:w="4218" w:type="dxa"/>
          </w:tcPr>
          <w:p>
            <w:pPr>
              <w:pStyle w:val="TableParagraph"/>
              <w:rPr>
                <w:rFonts w:ascii="Times New Roman"/>
                <w:sz w:val="10"/>
              </w:rPr>
            </w:pPr>
          </w:p>
        </w:tc>
        <w:tc>
          <w:tcPr>
            <w:tcW w:w="7401" w:type="dxa"/>
          </w:tcPr>
          <w:p>
            <w:pPr>
              <w:pStyle w:val="TableParagraph"/>
              <w:rPr>
                <w:rFonts w:ascii="Times New Roman"/>
                <w:sz w:val="10"/>
              </w:rPr>
            </w:pPr>
          </w:p>
        </w:tc>
        <w:tc>
          <w:tcPr>
            <w:tcW w:w="1136" w:type="dxa"/>
          </w:tcPr>
          <w:p>
            <w:pPr>
              <w:pStyle w:val="TableParagraph"/>
              <w:rPr>
                <w:rFonts w:ascii="Times New Roman"/>
                <w:sz w:val="10"/>
              </w:rPr>
            </w:pPr>
          </w:p>
        </w:tc>
      </w:tr>
      <w:tr>
        <w:trPr>
          <w:trHeight w:val="353" w:hRule="atLeast"/>
        </w:trPr>
        <w:tc>
          <w:tcPr>
            <w:tcW w:w="4321" w:type="dxa"/>
          </w:tcPr>
          <w:p>
            <w:pPr>
              <w:pStyle w:val="TableParagraph"/>
              <w:spacing w:before="1"/>
              <w:ind w:left="50"/>
              <w:rPr>
                <w:sz w:val="15"/>
              </w:rPr>
            </w:pPr>
            <w:r>
              <w:rPr>
                <w:sz w:val="15"/>
              </w:rPr>
              <w:t>por cada predio, finca o unidad privativa:</w:t>
            </w:r>
          </w:p>
        </w:tc>
        <w:tc>
          <w:tcPr>
            <w:tcW w:w="4218" w:type="dxa"/>
          </w:tcPr>
          <w:p>
            <w:pPr>
              <w:pStyle w:val="TableParagraph"/>
              <w:spacing w:before="1"/>
              <w:ind w:left="529"/>
              <w:rPr>
                <w:sz w:val="15"/>
              </w:rPr>
            </w:pPr>
            <w:r>
              <w:rPr>
                <w:sz w:val="15"/>
              </w:rPr>
              <w:t>$803.00</w:t>
            </w:r>
          </w:p>
        </w:tc>
        <w:tc>
          <w:tcPr>
            <w:tcW w:w="7401" w:type="dxa"/>
          </w:tcPr>
          <w:p>
            <w:pPr>
              <w:pStyle w:val="TableParagraph"/>
              <w:spacing w:line="176" w:lineRule="exact" w:before="1"/>
              <w:ind w:left="3133" w:right="338" w:firstLine="397"/>
              <w:rPr>
                <w:sz w:val="15"/>
              </w:rPr>
            </w:pPr>
            <w:r>
              <w:rPr>
                <w:sz w:val="15"/>
              </w:rPr>
              <w:t>2. Dictamen forestal y urbano a petición de parte, sólo para árboles que se encuentran en propiedad</w:t>
            </w:r>
          </w:p>
        </w:tc>
        <w:tc>
          <w:tcPr>
            <w:tcW w:w="1136" w:type="dxa"/>
          </w:tcPr>
          <w:p>
            <w:pPr>
              <w:pStyle w:val="TableParagraph"/>
              <w:rPr>
                <w:rFonts w:ascii="Times New Roman"/>
                <w:sz w:val="14"/>
              </w:rPr>
            </w:pPr>
          </w:p>
        </w:tc>
      </w:tr>
      <w:tr>
        <w:trPr>
          <w:trHeight w:val="177" w:hRule="atLeast"/>
        </w:trPr>
        <w:tc>
          <w:tcPr>
            <w:tcW w:w="4321" w:type="dxa"/>
          </w:tcPr>
          <w:p>
            <w:pPr>
              <w:pStyle w:val="TableParagraph"/>
              <w:spacing w:line="156" w:lineRule="exact" w:before="1"/>
              <w:ind w:left="447"/>
              <w:rPr>
                <w:sz w:val="15"/>
              </w:rPr>
            </w:pPr>
            <w:r>
              <w:rPr>
                <w:sz w:val="15"/>
              </w:rPr>
              <w:t>XXII. Informe técnico para reconsiderar las</w:t>
            </w:r>
          </w:p>
        </w:tc>
        <w:tc>
          <w:tcPr>
            <w:tcW w:w="4218" w:type="dxa"/>
          </w:tcPr>
          <w:p>
            <w:pPr>
              <w:pStyle w:val="TableParagraph"/>
              <w:rPr>
                <w:rFonts w:ascii="Times New Roman"/>
                <w:sz w:val="10"/>
              </w:rPr>
            </w:pPr>
          </w:p>
        </w:tc>
        <w:tc>
          <w:tcPr>
            <w:tcW w:w="7401" w:type="dxa"/>
          </w:tcPr>
          <w:p>
            <w:pPr>
              <w:pStyle w:val="TableParagraph"/>
              <w:spacing w:line="156" w:lineRule="exact" w:before="1"/>
              <w:ind w:left="3133"/>
              <w:rPr>
                <w:sz w:val="15"/>
              </w:rPr>
            </w:pPr>
            <w:r>
              <w:rPr>
                <w:sz w:val="15"/>
              </w:rPr>
              <w:t>particular, por cada uno:</w:t>
            </w:r>
          </w:p>
        </w:tc>
        <w:tc>
          <w:tcPr>
            <w:tcW w:w="1136" w:type="dxa"/>
          </w:tcPr>
          <w:p>
            <w:pPr>
              <w:pStyle w:val="TableParagraph"/>
              <w:spacing w:line="156" w:lineRule="exact" w:before="1"/>
              <w:ind w:right="45"/>
              <w:jc w:val="right"/>
              <w:rPr>
                <w:sz w:val="15"/>
              </w:rPr>
            </w:pPr>
            <w:r>
              <w:rPr>
                <w:sz w:val="15"/>
              </w:rPr>
              <w:t>$108.00</w:t>
            </w:r>
          </w:p>
        </w:tc>
      </w:tr>
      <w:tr>
        <w:trPr>
          <w:trHeight w:val="177" w:hRule="atLeast"/>
        </w:trPr>
        <w:tc>
          <w:tcPr>
            <w:tcW w:w="4321" w:type="dxa"/>
          </w:tcPr>
          <w:p>
            <w:pPr>
              <w:pStyle w:val="TableParagraph"/>
              <w:spacing w:line="156" w:lineRule="exact" w:before="1"/>
              <w:ind w:left="50"/>
              <w:rPr>
                <w:sz w:val="15"/>
              </w:rPr>
            </w:pPr>
            <w:r>
              <w:rPr>
                <w:sz w:val="15"/>
              </w:rPr>
              <w:t>restricciones señaladas en el Dictamen de Trazo, Usos</w:t>
            </w:r>
          </w:p>
        </w:tc>
        <w:tc>
          <w:tcPr>
            <w:tcW w:w="4218" w:type="dxa"/>
          </w:tcPr>
          <w:p>
            <w:pPr>
              <w:pStyle w:val="TableParagraph"/>
              <w:rPr>
                <w:rFonts w:ascii="Times New Roman"/>
                <w:sz w:val="10"/>
              </w:rPr>
            </w:pPr>
          </w:p>
        </w:tc>
        <w:tc>
          <w:tcPr>
            <w:tcW w:w="7401" w:type="dxa"/>
          </w:tcPr>
          <w:p>
            <w:pPr>
              <w:pStyle w:val="TableParagraph"/>
              <w:rPr>
                <w:rFonts w:ascii="Times New Roman"/>
                <w:sz w:val="10"/>
              </w:rPr>
            </w:pPr>
          </w:p>
        </w:tc>
        <w:tc>
          <w:tcPr>
            <w:tcW w:w="1136" w:type="dxa"/>
          </w:tcPr>
          <w:p>
            <w:pPr>
              <w:pStyle w:val="TableParagraph"/>
              <w:rPr>
                <w:rFonts w:ascii="Times New Roman"/>
                <w:sz w:val="10"/>
              </w:rPr>
            </w:pPr>
          </w:p>
        </w:tc>
      </w:tr>
      <w:tr>
        <w:trPr>
          <w:trHeight w:val="177" w:hRule="atLeast"/>
        </w:trPr>
        <w:tc>
          <w:tcPr>
            <w:tcW w:w="4321" w:type="dxa"/>
          </w:tcPr>
          <w:p>
            <w:pPr>
              <w:pStyle w:val="TableParagraph"/>
              <w:spacing w:line="156" w:lineRule="exact" w:before="1"/>
              <w:ind w:left="50"/>
              <w:rPr>
                <w:sz w:val="15"/>
              </w:rPr>
            </w:pPr>
            <w:r>
              <w:rPr>
                <w:sz w:val="15"/>
              </w:rPr>
              <w:t>y Destinos Específicos del Suelo y/o en el Dictamen de</w:t>
            </w:r>
          </w:p>
        </w:tc>
        <w:tc>
          <w:tcPr>
            <w:tcW w:w="4218" w:type="dxa"/>
          </w:tcPr>
          <w:p>
            <w:pPr>
              <w:pStyle w:val="TableParagraph"/>
              <w:rPr>
                <w:rFonts w:ascii="Times New Roman"/>
                <w:sz w:val="10"/>
              </w:rPr>
            </w:pPr>
          </w:p>
        </w:tc>
        <w:tc>
          <w:tcPr>
            <w:tcW w:w="7401" w:type="dxa"/>
          </w:tcPr>
          <w:p>
            <w:pPr>
              <w:pStyle w:val="TableParagraph"/>
              <w:spacing w:line="156" w:lineRule="exact" w:before="1"/>
              <w:ind w:right="400"/>
              <w:jc w:val="right"/>
              <w:rPr>
                <w:sz w:val="15"/>
              </w:rPr>
            </w:pPr>
            <w:r>
              <w:rPr>
                <w:sz w:val="15"/>
              </w:rPr>
              <w:t>3. Cuando se trate de árboles que se encuentren</w:t>
            </w:r>
          </w:p>
        </w:tc>
        <w:tc>
          <w:tcPr>
            <w:tcW w:w="1136" w:type="dxa"/>
          </w:tcPr>
          <w:p>
            <w:pPr>
              <w:pStyle w:val="TableParagraph"/>
              <w:rPr>
                <w:rFonts w:ascii="Times New Roman"/>
                <w:sz w:val="10"/>
              </w:rPr>
            </w:pPr>
          </w:p>
        </w:tc>
      </w:tr>
      <w:tr>
        <w:trPr>
          <w:trHeight w:val="350" w:hRule="atLeast"/>
        </w:trPr>
        <w:tc>
          <w:tcPr>
            <w:tcW w:w="4321" w:type="dxa"/>
          </w:tcPr>
          <w:p>
            <w:pPr>
              <w:pStyle w:val="TableParagraph"/>
              <w:spacing w:line="176" w:lineRule="exact" w:before="1"/>
              <w:ind w:left="50"/>
              <w:rPr>
                <w:sz w:val="15"/>
              </w:rPr>
            </w:pPr>
            <w:r>
              <w:rPr>
                <w:sz w:val="15"/>
              </w:rPr>
              <w:t>Alineamiento, en base al contexto inmediato del predio interesado:</w:t>
            </w:r>
          </w:p>
        </w:tc>
        <w:tc>
          <w:tcPr>
            <w:tcW w:w="4218" w:type="dxa"/>
          </w:tcPr>
          <w:p>
            <w:pPr>
              <w:pStyle w:val="TableParagraph"/>
              <w:spacing w:before="5"/>
              <w:rPr>
                <w:sz w:val="15"/>
              </w:rPr>
            </w:pPr>
          </w:p>
          <w:p>
            <w:pPr>
              <w:pStyle w:val="TableParagraph"/>
              <w:spacing w:line="153" w:lineRule="exact"/>
              <w:ind w:left="401"/>
              <w:rPr>
                <w:sz w:val="15"/>
              </w:rPr>
            </w:pPr>
            <w:r>
              <w:rPr>
                <w:sz w:val="15"/>
              </w:rPr>
              <w:t>$1,073.00</w:t>
            </w:r>
          </w:p>
        </w:tc>
        <w:tc>
          <w:tcPr>
            <w:tcW w:w="7401" w:type="dxa"/>
          </w:tcPr>
          <w:p>
            <w:pPr>
              <w:pStyle w:val="TableParagraph"/>
              <w:spacing w:line="176" w:lineRule="exact" w:before="1"/>
              <w:ind w:left="3132" w:right="338"/>
              <w:rPr>
                <w:sz w:val="15"/>
              </w:rPr>
            </w:pPr>
            <w:r>
              <w:rPr>
                <w:sz w:val="15"/>
              </w:rPr>
              <w:t>en la vía pública, el dictamen forestal no tendrá ningún costo.</w:t>
            </w:r>
          </w:p>
        </w:tc>
        <w:tc>
          <w:tcPr>
            <w:tcW w:w="1136" w:type="dxa"/>
          </w:tcPr>
          <w:p>
            <w:pPr>
              <w:pStyle w:val="TableParagraph"/>
              <w:rPr>
                <w:rFonts w:ascii="Times New Roman"/>
                <w:sz w:val="14"/>
              </w:rPr>
            </w:pPr>
          </w:p>
        </w:tc>
      </w:tr>
    </w:tbl>
    <w:p>
      <w:pPr>
        <w:pStyle w:val="BodyText"/>
        <w:spacing w:before="2"/>
        <w:rPr>
          <w:sz w:val="7"/>
        </w:rPr>
      </w:pPr>
    </w:p>
    <w:p>
      <w:pPr>
        <w:spacing w:after="0"/>
        <w:rPr>
          <w:sz w:val="7"/>
        </w:rPr>
        <w:sectPr>
          <w:type w:val="continuous"/>
          <w:pgSz w:w="23250" w:h="15310" w:orient="landscape"/>
          <w:pgMar w:top="0" w:bottom="0" w:left="1880" w:right="1520"/>
        </w:sectPr>
      </w:pPr>
    </w:p>
    <w:p>
      <w:pPr>
        <w:pStyle w:val="BodyText"/>
        <w:spacing w:before="98"/>
        <w:ind w:left="548"/>
      </w:pPr>
      <w:r>
        <w:rPr/>
        <w:t>XXIII. Dictamen técnico para la operación de</w:t>
      </w:r>
    </w:p>
    <w:p>
      <w:pPr>
        <w:pStyle w:val="BodyText"/>
        <w:tabs>
          <w:tab w:pos="4953" w:val="left" w:leader="none"/>
        </w:tabs>
        <w:spacing w:before="5"/>
        <w:ind w:left="150"/>
      </w:pPr>
      <w:r>
        <w:rPr/>
        <w:t>estacionamientos:</w:t>
        <w:tab/>
        <w:t>$471.00</w:t>
      </w:r>
    </w:p>
    <w:p>
      <w:pPr>
        <w:pStyle w:val="ListParagraph"/>
        <w:numPr>
          <w:ilvl w:val="0"/>
          <w:numId w:val="148"/>
        </w:numPr>
        <w:tabs>
          <w:tab w:pos="742" w:val="left" w:leader="none"/>
        </w:tabs>
        <w:spacing w:line="240" w:lineRule="auto" w:before="98" w:after="0"/>
        <w:ind w:left="741" w:right="0" w:hanging="194"/>
        <w:jc w:val="left"/>
        <w:rPr>
          <w:sz w:val="15"/>
        </w:rPr>
      </w:pPr>
      <w:r>
        <w:rPr>
          <w:spacing w:val="-1"/>
          <w:w w:val="102"/>
          <w:sz w:val="15"/>
        </w:rPr>
        <w:br w:type="column"/>
      </w:r>
      <w:r>
        <w:rPr>
          <w:sz w:val="15"/>
        </w:rPr>
        <w:t>Dictamen</w:t>
      </w:r>
      <w:r>
        <w:rPr>
          <w:spacing w:val="14"/>
          <w:sz w:val="15"/>
        </w:rPr>
        <w:t> </w:t>
      </w:r>
      <w:r>
        <w:rPr>
          <w:sz w:val="15"/>
        </w:rPr>
        <w:t>de</w:t>
      </w:r>
      <w:r>
        <w:rPr>
          <w:spacing w:val="15"/>
          <w:sz w:val="15"/>
        </w:rPr>
        <w:t> </w:t>
      </w:r>
      <w:r>
        <w:rPr>
          <w:sz w:val="15"/>
        </w:rPr>
        <w:t>operación</w:t>
      </w:r>
      <w:r>
        <w:rPr>
          <w:spacing w:val="14"/>
          <w:sz w:val="15"/>
        </w:rPr>
        <w:t> </w:t>
      </w:r>
      <w:r>
        <w:rPr>
          <w:sz w:val="15"/>
        </w:rPr>
        <w:t>y</w:t>
      </w:r>
      <w:r>
        <w:rPr>
          <w:spacing w:val="15"/>
          <w:sz w:val="15"/>
        </w:rPr>
        <w:t> </w:t>
      </w:r>
      <w:r>
        <w:rPr>
          <w:sz w:val="15"/>
        </w:rPr>
        <w:t>extracción</w:t>
      </w:r>
      <w:r>
        <w:rPr>
          <w:spacing w:val="14"/>
          <w:sz w:val="15"/>
        </w:rPr>
        <w:t> </w:t>
      </w:r>
      <w:r>
        <w:rPr>
          <w:sz w:val="15"/>
        </w:rPr>
        <w:t>de</w:t>
      </w:r>
      <w:r>
        <w:rPr>
          <w:spacing w:val="15"/>
          <w:sz w:val="15"/>
        </w:rPr>
        <w:t> </w:t>
      </w:r>
      <w:r>
        <w:rPr>
          <w:sz w:val="15"/>
        </w:rPr>
        <w:t>bancos</w:t>
      </w:r>
    </w:p>
    <w:p>
      <w:pPr>
        <w:pStyle w:val="BodyText"/>
        <w:tabs>
          <w:tab w:pos="4736" w:val="left" w:leader="none"/>
        </w:tabs>
        <w:spacing w:before="5"/>
        <w:ind w:left="150"/>
      </w:pPr>
      <w:r>
        <w:rPr/>
        <w:t>de</w:t>
      </w:r>
      <w:r>
        <w:rPr>
          <w:spacing w:val="9"/>
        </w:rPr>
        <w:t> </w:t>
      </w:r>
      <w:r>
        <w:rPr/>
        <w:t>material</w:t>
      </w:r>
      <w:r>
        <w:rPr>
          <w:spacing w:val="10"/>
        </w:rPr>
        <w:t> </w:t>
      </w:r>
      <w:r>
        <w:rPr/>
        <w:t>geológico:</w:t>
        <w:tab/>
        <w:t>$10,101.00</w:t>
      </w:r>
    </w:p>
    <w:p>
      <w:pPr>
        <w:spacing w:after="0"/>
        <w:sectPr>
          <w:type w:val="continuous"/>
          <w:pgSz w:w="23250" w:h="15310" w:orient="landscape"/>
          <w:pgMar w:top="0" w:bottom="0" w:left="1880" w:right="1520"/>
          <w:cols w:num="2" w:equalWidth="0">
            <w:col w:w="5548" w:space="6074"/>
            <w:col w:w="8228"/>
          </w:cols>
        </w:sectPr>
      </w:pPr>
    </w:p>
    <w:p>
      <w:pPr>
        <w:pStyle w:val="BodyText"/>
        <w:rPr>
          <w:sz w:val="20"/>
        </w:rPr>
      </w:pPr>
    </w:p>
    <w:p>
      <w:pPr>
        <w:pStyle w:val="BodyText"/>
        <w:spacing w:before="7"/>
        <w:rPr>
          <w:sz w:val="29"/>
        </w:rPr>
      </w:pPr>
    </w:p>
    <w:p>
      <w:pPr>
        <w:spacing w:after="0"/>
        <w:rPr>
          <w:sz w:val="29"/>
        </w:rPr>
        <w:sectPr>
          <w:headerReference w:type="default" r:id="rId93"/>
          <w:pgSz w:w="23250" w:h="15310" w:orient="landscape"/>
          <w:pgMar w:header="881" w:footer="499" w:top="1920" w:bottom="680" w:left="1880" w:right="1520"/>
        </w:sectPr>
      </w:pPr>
    </w:p>
    <w:p>
      <w:pPr>
        <w:pStyle w:val="BodyText"/>
        <w:rPr>
          <w:sz w:val="16"/>
        </w:rPr>
      </w:pPr>
    </w:p>
    <w:p>
      <w:pPr>
        <w:pStyle w:val="BodyText"/>
        <w:spacing w:before="92"/>
        <w:ind w:left="548"/>
      </w:pPr>
      <w:r>
        <w:rPr/>
        <w:t>1. Actualización o certificación anual de este</w:t>
      </w:r>
    </w:p>
    <w:p>
      <w:pPr>
        <w:pStyle w:val="BodyText"/>
        <w:tabs>
          <w:tab w:pos="4736" w:val="left" w:leader="none"/>
        </w:tabs>
        <w:spacing w:before="5"/>
        <w:ind w:left="150"/>
      </w:pPr>
      <w:r>
        <w:rPr/>
        <w:t>dictamen:</w:t>
        <w:tab/>
        <w:t>$10,101.00</w:t>
      </w:r>
    </w:p>
    <w:p>
      <w:pPr>
        <w:pStyle w:val="BodyText"/>
        <w:spacing w:before="98"/>
        <w:ind w:left="150"/>
      </w:pPr>
      <w:r>
        <w:rPr/>
        <w:br w:type="column"/>
      </w:r>
      <w:r>
        <w:rPr/>
        <w:t>fracción VI, de esta ley, según su capacidad:</w:t>
      </w:r>
    </w:p>
    <w:p>
      <w:pPr>
        <w:pStyle w:val="BodyText"/>
        <w:spacing w:before="10"/>
      </w:pPr>
    </w:p>
    <w:p>
      <w:pPr>
        <w:pStyle w:val="BodyText"/>
        <w:tabs>
          <w:tab w:pos="4950" w:val="left" w:leader="none"/>
        </w:tabs>
        <w:ind w:left="548"/>
      </w:pPr>
      <w:r>
        <w:rPr/>
        <w:t>a) Hasta</w:t>
      </w:r>
      <w:r>
        <w:rPr>
          <w:spacing w:val="14"/>
        </w:rPr>
        <w:t> </w:t>
      </w:r>
      <w:r>
        <w:rPr/>
        <w:t>250</w:t>
      </w:r>
      <w:r>
        <w:rPr>
          <w:spacing w:val="8"/>
        </w:rPr>
        <w:t> </w:t>
      </w:r>
      <w:r>
        <w:rPr/>
        <w:t>personas:</w:t>
        <w:tab/>
        <w:t>$564.00</w:t>
      </w:r>
    </w:p>
    <w:p>
      <w:pPr>
        <w:spacing w:after="0"/>
        <w:sectPr>
          <w:type w:val="continuous"/>
          <w:pgSz w:w="23250" w:h="15310" w:orient="landscape"/>
          <w:pgMar w:top="0" w:bottom="0" w:left="1880" w:right="1520"/>
          <w:cols w:num="2" w:equalWidth="0">
            <w:col w:w="5548" w:space="6075"/>
            <w:col w:w="8227"/>
          </w:cols>
        </w:sectPr>
      </w:pPr>
    </w:p>
    <w:p>
      <w:pPr>
        <w:pStyle w:val="BodyText"/>
        <w:spacing w:before="9" w:after="1"/>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2"/>
        <w:gridCol w:w="4528"/>
        <w:gridCol w:w="7360"/>
        <w:gridCol w:w="1181"/>
      </w:tblGrid>
      <w:tr>
        <w:trPr>
          <w:trHeight w:val="617" w:hRule="atLeast"/>
        </w:trPr>
        <w:tc>
          <w:tcPr>
            <w:tcW w:w="4012" w:type="dxa"/>
          </w:tcPr>
          <w:p>
            <w:pPr>
              <w:pStyle w:val="TableParagraph"/>
              <w:spacing w:line="247" w:lineRule="auto"/>
              <w:ind w:left="50" w:right="91" w:firstLine="397"/>
              <w:jc w:val="both"/>
              <w:rPr>
                <w:sz w:val="15"/>
              </w:rPr>
            </w:pPr>
            <w:r>
              <w:rPr>
                <w:sz w:val="15"/>
              </w:rPr>
              <w:t>c) Dictamen de informe preventivo de impacto ambiental para fraccionamientos, gasolineras, centros comerciales y otros:</w:t>
            </w:r>
          </w:p>
        </w:tc>
        <w:tc>
          <w:tcPr>
            <w:tcW w:w="11888" w:type="dxa"/>
            <w:gridSpan w:val="2"/>
          </w:tcPr>
          <w:p>
            <w:pPr>
              <w:pStyle w:val="TableParagraph"/>
              <w:numPr>
                <w:ilvl w:val="0"/>
                <w:numId w:val="149"/>
              </w:numPr>
              <w:tabs>
                <w:tab w:pos="8238" w:val="left" w:leader="none"/>
              </w:tabs>
              <w:spacing w:line="171" w:lineRule="exact" w:before="0" w:after="0"/>
              <w:ind w:left="8237" w:right="0" w:hanging="181"/>
              <w:jc w:val="left"/>
              <w:rPr>
                <w:sz w:val="15"/>
              </w:rPr>
            </w:pPr>
            <w:r>
              <w:rPr>
                <w:sz w:val="15"/>
              </w:rPr>
              <w:t>De más de 251 a 1,000</w:t>
            </w:r>
            <w:r>
              <w:rPr>
                <w:spacing w:val="13"/>
                <w:sz w:val="15"/>
              </w:rPr>
              <w:t> </w:t>
            </w:r>
            <w:r>
              <w:rPr>
                <w:sz w:val="15"/>
              </w:rPr>
              <w:t>personas:</w:t>
            </w:r>
          </w:p>
          <w:p>
            <w:pPr>
              <w:pStyle w:val="TableParagraph"/>
              <w:spacing w:before="9"/>
              <w:rPr>
                <w:sz w:val="15"/>
              </w:rPr>
            </w:pPr>
          </w:p>
          <w:p>
            <w:pPr>
              <w:pStyle w:val="TableParagraph"/>
              <w:numPr>
                <w:ilvl w:val="0"/>
                <w:numId w:val="149"/>
              </w:numPr>
              <w:tabs>
                <w:tab w:pos="8229" w:val="left" w:leader="none"/>
              </w:tabs>
              <w:spacing w:line="240" w:lineRule="auto" w:before="0" w:after="0"/>
              <w:ind w:left="8228" w:right="0" w:hanging="172"/>
              <w:jc w:val="left"/>
              <w:rPr>
                <w:sz w:val="15"/>
              </w:rPr>
            </w:pPr>
            <w:r>
              <w:rPr>
                <w:sz w:val="15"/>
              </w:rPr>
              <w:t>De más de 1,001 a 5,000</w:t>
            </w:r>
            <w:r>
              <w:rPr>
                <w:spacing w:val="14"/>
                <w:sz w:val="15"/>
              </w:rPr>
              <w:t> </w:t>
            </w:r>
            <w:r>
              <w:rPr>
                <w:sz w:val="15"/>
              </w:rPr>
              <w:t>personas:</w:t>
            </w:r>
          </w:p>
        </w:tc>
        <w:tc>
          <w:tcPr>
            <w:tcW w:w="1181" w:type="dxa"/>
          </w:tcPr>
          <w:p>
            <w:pPr>
              <w:pStyle w:val="TableParagraph"/>
              <w:spacing w:line="171" w:lineRule="exact"/>
              <w:ind w:left="573"/>
              <w:rPr>
                <w:sz w:val="15"/>
              </w:rPr>
            </w:pPr>
            <w:r>
              <w:rPr>
                <w:sz w:val="15"/>
              </w:rPr>
              <w:t>$646.00</w:t>
            </w:r>
          </w:p>
          <w:p>
            <w:pPr>
              <w:pStyle w:val="TableParagraph"/>
              <w:spacing w:before="9"/>
              <w:rPr>
                <w:sz w:val="15"/>
              </w:rPr>
            </w:pPr>
          </w:p>
          <w:p>
            <w:pPr>
              <w:pStyle w:val="TableParagraph"/>
              <w:ind w:left="573"/>
              <w:rPr>
                <w:sz w:val="15"/>
              </w:rPr>
            </w:pPr>
            <w:r>
              <w:rPr>
                <w:sz w:val="15"/>
              </w:rPr>
              <w:t>$936.00</w:t>
            </w:r>
          </w:p>
        </w:tc>
      </w:tr>
      <w:tr>
        <w:trPr>
          <w:trHeight w:val="265" w:hRule="atLeast"/>
        </w:trPr>
        <w:tc>
          <w:tcPr>
            <w:tcW w:w="4012" w:type="dxa"/>
          </w:tcPr>
          <w:p>
            <w:pPr>
              <w:pStyle w:val="TableParagraph"/>
              <w:spacing w:line="156" w:lineRule="exact" w:before="90"/>
              <w:ind w:left="447"/>
              <w:rPr>
                <w:sz w:val="15"/>
              </w:rPr>
            </w:pPr>
            <w:r>
              <w:rPr>
                <w:sz w:val="15"/>
              </w:rPr>
              <w:t>1.- Centros Comerciales y Fraccionamientos:</w:t>
            </w:r>
          </w:p>
        </w:tc>
        <w:tc>
          <w:tcPr>
            <w:tcW w:w="4528" w:type="dxa"/>
          </w:tcPr>
          <w:p>
            <w:pPr>
              <w:pStyle w:val="TableParagraph"/>
              <w:spacing w:line="156" w:lineRule="exact" w:before="90"/>
              <w:ind w:left="-1" w:right="3131"/>
              <w:jc w:val="right"/>
              <w:rPr>
                <w:sz w:val="15"/>
              </w:rPr>
            </w:pPr>
            <w:r>
              <w:rPr>
                <w:sz w:val="15"/>
              </w:rPr>
              <w:t>$22,400.00</w:t>
            </w:r>
          </w:p>
        </w:tc>
        <w:tc>
          <w:tcPr>
            <w:tcW w:w="7360" w:type="dxa"/>
          </w:tcPr>
          <w:p>
            <w:pPr>
              <w:pStyle w:val="TableParagraph"/>
              <w:spacing w:line="156" w:lineRule="exact" w:before="89"/>
              <w:ind w:left="3529"/>
              <w:rPr>
                <w:sz w:val="15"/>
              </w:rPr>
            </w:pPr>
            <w:r>
              <w:rPr>
                <w:sz w:val="15"/>
              </w:rPr>
              <w:t>d) De más de 5,001 a 10,000 personas:</w:t>
            </w:r>
          </w:p>
        </w:tc>
        <w:tc>
          <w:tcPr>
            <w:tcW w:w="1181" w:type="dxa"/>
          </w:tcPr>
          <w:p>
            <w:pPr>
              <w:pStyle w:val="TableParagraph"/>
              <w:spacing w:line="156" w:lineRule="exact" w:before="89"/>
              <w:ind w:right="50"/>
              <w:jc w:val="right"/>
              <w:rPr>
                <w:sz w:val="15"/>
              </w:rPr>
            </w:pPr>
            <w:r>
              <w:rPr>
                <w:sz w:val="15"/>
              </w:rPr>
              <w:t>$1,827.00</w:t>
            </w:r>
          </w:p>
        </w:tc>
      </w:tr>
      <w:tr>
        <w:trPr>
          <w:trHeight w:val="176" w:hRule="atLeast"/>
        </w:trPr>
        <w:tc>
          <w:tcPr>
            <w:tcW w:w="4012" w:type="dxa"/>
          </w:tcPr>
          <w:p>
            <w:pPr>
              <w:pStyle w:val="TableParagraph"/>
              <w:spacing w:line="156" w:lineRule="exact"/>
              <w:ind w:left="447"/>
              <w:rPr>
                <w:sz w:val="15"/>
              </w:rPr>
            </w:pPr>
            <w:r>
              <w:rPr>
                <w:sz w:val="15"/>
              </w:rPr>
              <w:t>2.- Gasolineras, Bodegas y otros:</w:t>
            </w:r>
          </w:p>
        </w:tc>
        <w:tc>
          <w:tcPr>
            <w:tcW w:w="4528" w:type="dxa"/>
          </w:tcPr>
          <w:p>
            <w:pPr>
              <w:pStyle w:val="TableParagraph"/>
              <w:spacing w:line="156" w:lineRule="exact"/>
              <w:ind w:left="-1" w:right="3131"/>
              <w:jc w:val="right"/>
              <w:rPr>
                <w:sz w:val="15"/>
              </w:rPr>
            </w:pPr>
            <w:r>
              <w:rPr>
                <w:sz w:val="15"/>
              </w:rPr>
              <w:t>$ 19,239.00</w:t>
            </w:r>
          </w:p>
        </w:tc>
        <w:tc>
          <w:tcPr>
            <w:tcW w:w="7360" w:type="dxa"/>
          </w:tcPr>
          <w:p>
            <w:pPr>
              <w:pStyle w:val="TableParagraph"/>
              <w:rPr>
                <w:rFonts w:ascii="Times New Roman"/>
                <w:sz w:val="10"/>
              </w:rPr>
            </w:pPr>
          </w:p>
        </w:tc>
        <w:tc>
          <w:tcPr>
            <w:tcW w:w="1181" w:type="dxa"/>
          </w:tcPr>
          <w:p>
            <w:pPr>
              <w:pStyle w:val="TableParagraph"/>
              <w:rPr>
                <w:rFonts w:ascii="Times New Roman"/>
                <w:sz w:val="10"/>
              </w:rPr>
            </w:pPr>
          </w:p>
        </w:tc>
      </w:tr>
      <w:tr>
        <w:trPr>
          <w:trHeight w:val="177" w:hRule="atLeast"/>
        </w:trPr>
        <w:tc>
          <w:tcPr>
            <w:tcW w:w="4012" w:type="dxa"/>
          </w:tcPr>
          <w:p>
            <w:pPr>
              <w:pStyle w:val="TableParagraph"/>
              <w:rPr>
                <w:rFonts w:ascii="Times New Roman"/>
                <w:sz w:val="10"/>
              </w:rPr>
            </w:pPr>
          </w:p>
        </w:tc>
        <w:tc>
          <w:tcPr>
            <w:tcW w:w="4528" w:type="dxa"/>
          </w:tcPr>
          <w:p>
            <w:pPr>
              <w:pStyle w:val="TableParagraph"/>
              <w:rPr>
                <w:rFonts w:ascii="Times New Roman"/>
                <w:sz w:val="10"/>
              </w:rPr>
            </w:pPr>
          </w:p>
        </w:tc>
        <w:tc>
          <w:tcPr>
            <w:tcW w:w="7360" w:type="dxa"/>
          </w:tcPr>
          <w:p>
            <w:pPr>
              <w:pStyle w:val="TableParagraph"/>
              <w:spacing w:line="156" w:lineRule="exact" w:before="1"/>
              <w:ind w:left="3529"/>
              <w:rPr>
                <w:sz w:val="15"/>
              </w:rPr>
            </w:pPr>
            <w:r>
              <w:rPr>
                <w:sz w:val="15"/>
              </w:rPr>
              <w:t>e) De más de 10,000 personas:</w:t>
            </w:r>
          </w:p>
        </w:tc>
        <w:tc>
          <w:tcPr>
            <w:tcW w:w="1181" w:type="dxa"/>
          </w:tcPr>
          <w:p>
            <w:pPr>
              <w:pStyle w:val="TableParagraph"/>
              <w:spacing w:line="156" w:lineRule="exact" w:before="1"/>
              <w:ind w:right="50"/>
              <w:jc w:val="right"/>
              <w:rPr>
                <w:sz w:val="15"/>
              </w:rPr>
            </w:pPr>
            <w:r>
              <w:rPr>
                <w:sz w:val="15"/>
              </w:rPr>
              <w:t>$3,511.00</w:t>
            </w:r>
          </w:p>
        </w:tc>
      </w:tr>
      <w:tr>
        <w:trPr>
          <w:trHeight w:val="177" w:hRule="atLeast"/>
        </w:trPr>
        <w:tc>
          <w:tcPr>
            <w:tcW w:w="4012" w:type="dxa"/>
          </w:tcPr>
          <w:p>
            <w:pPr>
              <w:pStyle w:val="TableParagraph"/>
              <w:spacing w:line="156" w:lineRule="exact" w:before="1"/>
              <w:ind w:right="48"/>
              <w:jc w:val="right"/>
              <w:rPr>
                <w:sz w:val="15"/>
              </w:rPr>
            </w:pPr>
            <w:r>
              <w:rPr>
                <w:sz w:val="15"/>
              </w:rPr>
              <w:t>d) Dictamen de factibilidad para micro, pequeñas y</w:t>
            </w:r>
          </w:p>
        </w:tc>
        <w:tc>
          <w:tcPr>
            <w:tcW w:w="4528" w:type="dxa"/>
          </w:tcPr>
          <w:p>
            <w:pPr>
              <w:pStyle w:val="TableParagraph"/>
              <w:spacing w:line="156" w:lineRule="exact" w:before="1"/>
              <w:ind w:left="-1" w:right="3131"/>
              <w:jc w:val="right"/>
              <w:rPr>
                <w:sz w:val="15"/>
              </w:rPr>
            </w:pPr>
            <w:r>
              <w:rPr>
                <w:sz w:val="15"/>
              </w:rPr>
              <w:t>medianas</w:t>
            </w:r>
            <w:r>
              <w:rPr>
                <w:spacing w:val="27"/>
                <w:sz w:val="15"/>
              </w:rPr>
              <w:t> </w:t>
            </w:r>
            <w:r>
              <w:rPr>
                <w:sz w:val="15"/>
              </w:rPr>
              <w:t>empresas</w:t>
            </w:r>
          </w:p>
        </w:tc>
        <w:tc>
          <w:tcPr>
            <w:tcW w:w="7360" w:type="dxa"/>
          </w:tcPr>
          <w:p>
            <w:pPr>
              <w:pStyle w:val="TableParagraph"/>
              <w:rPr>
                <w:rFonts w:ascii="Times New Roman"/>
                <w:sz w:val="10"/>
              </w:rPr>
            </w:pPr>
          </w:p>
        </w:tc>
        <w:tc>
          <w:tcPr>
            <w:tcW w:w="1181" w:type="dxa"/>
          </w:tcPr>
          <w:p>
            <w:pPr>
              <w:pStyle w:val="TableParagraph"/>
              <w:rPr>
                <w:rFonts w:ascii="Times New Roman"/>
                <w:sz w:val="10"/>
              </w:rPr>
            </w:pPr>
          </w:p>
        </w:tc>
      </w:tr>
      <w:tr>
        <w:trPr>
          <w:trHeight w:val="177" w:hRule="atLeast"/>
        </w:trPr>
        <w:tc>
          <w:tcPr>
            <w:tcW w:w="4012" w:type="dxa"/>
          </w:tcPr>
          <w:p>
            <w:pPr>
              <w:pStyle w:val="TableParagraph"/>
              <w:spacing w:line="156" w:lineRule="exact" w:before="1"/>
              <w:ind w:left="50" w:right="-15"/>
              <w:rPr>
                <w:sz w:val="15"/>
              </w:rPr>
            </w:pPr>
            <w:r>
              <w:rPr>
                <w:sz w:val="15"/>
              </w:rPr>
              <w:t>legalmente</w:t>
            </w:r>
            <w:r>
              <w:rPr>
                <w:spacing w:val="12"/>
                <w:sz w:val="15"/>
              </w:rPr>
              <w:t> </w:t>
            </w:r>
            <w:r>
              <w:rPr>
                <w:sz w:val="15"/>
              </w:rPr>
              <w:t>a</w:t>
            </w:r>
            <w:r>
              <w:rPr>
                <w:spacing w:val="13"/>
                <w:sz w:val="15"/>
              </w:rPr>
              <w:t> </w:t>
            </w:r>
            <w:r>
              <w:rPr>
                <w:sz w:val="15"/>
              </w:rPr>
              <w:t>establecerse</w:t>
            </w:r>
            <w:r>
              <w:rPr>
                <w:spacing w:val="12"/>
                <w:sz w:val="15"/>
              </w:rPr>
              <w:t> </w:t>
            </w:r>
            <w:r>
              <w:rPr>
                <w:sz w:val="15"/>
              </w:rPr>
              <w:t>bajo</w:t>
            </w:r>
            <w:r>
              <w:rPr>
                <w:spacing w:val="13"/>
                <w:sz w:val="15"/>
              </w:rPr>
              <w:t> </w:t>
            </w:r>
            <w:r>
              <w:rPr>
                <w:sz w:val="15"/>
              </w:rPr>
              <w:t>la</w:t>
            </w:r>
            <w:r>
              <w:rPr>
                <w:spacing w:val="11"/>
                <w:sz w:val="15"/>
              </w:rPr>
              <w:t> </w:t>
            </w:r>
            <w:r>
              <w:rPr>
                <w:sz w:val="15"/>
              </w:rPr>
              <w:t>siguiente</w:t>
            </w:r>
            <w:r>
              <w:rPr>
                <w:spacing w:val="13"/>
                <w:sz w:val="15"/>
              </w:rPr>
              <w:t> </w:t>
            </w:r>
            <w:r>
              <w:rPr>
                <w:sz w:val="15"/>
              </w:rPr>
              <w:t>estratificación:</w:t>
            </w:r>
          </w:p>
        </w:tc>
        <w:tc>
          <w:tcPr>
            <w:tcW w:w="4528" w:type="dxa"/>
          </w:tcPr>
          <w:p>
            <w:pPr>
              <w:pStyle w:val="TableParagraph"/>
              <w:rPr>
                <w:rFonts w:ascii="Times New Roman"/>
                <w:sz w:val="10"/>
              </w:rPr>
            </w:pPr>
          </w:p>
        </w:tc>
        <w:tc>
          <w:tcPr>
            <w:tcW w:w="7360" w:type="dxa"/>
          </w:tcPr>
          <w:p>
            <w:pPr>
              <w:pStyle w:val="TableParagraph"/>
              <w:spacing w:line="156" w:lineRule="exact" w:before="1"/>
              <w:ind w:right="357"/>
              <w:jc w:val="right"/>
              <w:rPr>
                <w:sz w:val="15"/>
              </w:rPr>
            </w:pPr>
            <w:r>
              <w:rPr>
                <w:sz w:val="15"/>
              </w:rPr>
              <w:t>XXXIV. Certificación de publicación de edictos en</w:t>
            </w:r>
          </w:p>
        </w:tc>
        <w:tc>
          <w:tcPr>
            <w:tcW w:w="1181" w:type="dxa"/>
          </w:tcPr>
          <w:p>
            <w:pPr>
              <w:pStyle w:val="TableParagraph"/>
              <w:rPr>
                <w:rFonts w:ascii="Times New Roman"/>
                <w:sz w:val="10"/>
              </w:rPr>
            </w:pPr>
          </w:p>
        </w:tc>
      </w:tr>
      <w:tr>
        <w:trPr>
          <w:trHeight w:val="353" w:hRule="atLeast"/>
        </w:trPr>
        <w:tc>
          <w:tcPr>
            <w:tcW w:w="4012" w:type="dxa"/>
          </w:tcPr>
          <w:p>
            <w:pPr>
              <w:pStyle w:val="TableParagraph"/>
              <w:spacing w:before="5"/>
              <w:rPr>
                <w:sz w:val="15"/>
              </w:rPr>
            </w:pPr>
          </w:p>
          <w:p>
            <w:pPr>
              <w:pStyle w:val="TableParagraph"/>
              <w:spacing w:line="156" w:lineRule="exact"/>
              <w:ind w:left="447"/>
              <w:rPr>
                <w:sz w:val="15"/>
              </w:rPr>
            </w:pPr>
            <w:r>
              <w:rPr>
                <w:sz w:val="15"/>
              </w:rPr>
              <w:t>1. Para la microempresa de 0 a 10 trabajadores:</w:t>
            </w:r>
          </w:p>
        </w:tc>
        <w:tc>
          <w:tcPr>
            <w:tcW w:w="4528" w:type="dxa"/>
          </w:tcPr>
          <w:p>
            <w:pPr>
              <w:pStyle w:val="TableParagraph"/>
              <w:spacing w:before="5"/>
              <w:rPr>
                <w:sz w:val="15"/>
              </w:rPr>
            </w:pPr>
          </w:p>
          <w:p>
            <w:pPr>
              <w:pStyle w:val="TableParagraph"/>
              <w:spacing w:line="156" w:lineRule="exact"/>
              <w:ind w:left="-1" w:right="3131"/>
              <w:jc w:val="right"/>
              <w:rPr>
                <w:sz w:val="15"/>
              </w:rPr>
            </w:pPr>
            <w:r>
              <w:rPr>
                <w:sz w:val="15"/>
              </w:rPr>
              <w:t>$203.00</w:t>
            </w:r>
          </w:p>
        </w:tc>
        <w:tc>
          <w:tcPr>
            <w:tcW w:w="7360" w:type="dxa"/>
          </w:tcPr>
          <w:p>
            <w:pPr>
              <w:pStyle w:val="TableParagraph"/>
              <w:spacing w:line="176" w:lineRule="exact" w:before="1"/>
              <w:ind w:left="3132" w:right="367"/>
              <w:rPr>
                <w:sz w:val="15"/>
              </w:rPr>
            </w:pPr>
            <w:r>
              <w:rPr>
                <w:sz w:val="15"/>
              </w:rPr>
              <w:t>los estrados del Centro Administrativo Tlajomulco, excepto por juicios en materia agraria y</w:t>
            </w:r>
            <w:r>
              <w:rPr>
                <w:spacing w:val="10"/>
                <w:sz w:val="15"/>
              </w:rPr>
              <w:t> </w:t>
            </w:r>
            <w:r>
              <w:rPr>
                <w:sz w:val="15"/>
              </w:rPr>
              <w:t>regularización</w:t>
            </w:r>
          </w:p>
        </w:tc>
        <w:tc>
          <w:tcPr>
            <w:tcW w:w="1181" w:type="dxa"/>
          </w:tcPr>
          <w:p>
            <w:pPr>
              <w:pStyle w:val="TableParagraph"/>
              <w:rPr>
                <w:rFonts w:ascii="Times New Roman"/>
                <w:sz w:val="14"/>
              </w:rPr>
            </w:pPr>
          </w:p>
        </w:tc>
      </w:tr>
      <w:tr>
        <w:trPr>
          <w:trHeight w:val="177" w:hRule="atLeast"/>
        </w:trPr>
        <w:tc>
          <w:tcPr>
            <w:tcW w:w="4012" w:type="dxa"/>
          </w:tcPr>
          <w:p>
            <w:pPr>
              <w:pStyle w:val="TableParagraph"/>
              <w:rPr>
                <w:rFonts w:ascii="Times New Roman"/>
                <w:sz w:val="10"/>
              </w:rPr>
            </w:pPr>
          </w:p>
        </w:tc>
        <w:tc>
          <w:tcPr>
            <w:tcW w:w="4528" w:type="dxa"/>
          </w:tcPr>
          <w:p>
            <w:pPr>
              <w:pStyle w:val="TableParagraph"/>
              <w:rPr>
                <w:rFonts w:ascii="Times New Roman"/>
                <w:sz w:val="10"/>
              </w:rPr>
            </w:pPr>
          </w:p>
        </w:tc>
        <w:tc>
          <w:tcPr>
            <w:tcW w:w="7360" w:type="dxa"/>
          </w:tcPr>
          <w:p>
            <w:pPr>
              <w:pStyle w:val="TableParagraph"/>
              <w:spacing w:line="156" w:lineRule="exact" w:before="1"/>
              <w:ind w:left="3132"/>
              <w:rPr>
                <w:sz w:val="15"/>
              </w:rPr>
            </w:pPr>
            <w:r>
              <w:rPr>
                <w:sz w:val="15"/>
              </w:rPr>
              <w:t>de predios rústicos:</w:t>
            </w:r>
          </w:p>
        </w:tc>
        <w:tc>
          <w:tcPr>
            <w:tcW w:w="1181" w:type="dxa"/>
          </w:tcPr>
          <w:p>
            <w:pPr>
              <w:pStyle w:val="TableParagraph"/>
              <w:spacing w:line="156" w:lineRule="exact" w:before="1"/>
              <w:ind w:right="49"/>
              <w:jc w:val="right"/>
              <w:rPr>
                <w:sz w:val="15"/>
              </w:rPr>
            </w:pPr>
            <w:r>
              <w:rPr>
                <w:sz w:val="15"/>
              </w:rPr>
              <w:t>$173.00</w:t>
            </w:r>
          </w:p>
        </w:tc>
      </w:tr>
      <w:tr>
        <w:trPr>
          <w:trHeight w:val="177" w:hRule="atLeast"/>
        </w:trPr>
        <w:tc>
          <w:tcPr>
            <w:tcW w:w="4012" w:type="dxa"/>
          </w:tcPr>
          <w:p>
            <w:pPr>
              <w:pStyle w:val="TableParagraph"/>
              <w:spacing w:line="156" w:lineRule="exact" w:before="1"/>
              <w:ind w:left="447"/>
              <w:rPr>
                <w:sz w:val="15"/>
              </w:rPr>
            </w:pPr>
            <w:r>
              <w:rPr>
                <w:sz w:val="15"/>
              </w:rPr>
              <w:t>2. Para la pequeña empresa 11 a 50 trabajadores:</w:t>
            </w:r>
          </w:p>
        </w:tc>
        <w:tc>
          <w:tcPr>
            <w:tcW w:w="4528" w:type="dxa"/>
          </w:tcPr>
          <w:p>
            <w:pPr>
              <w:pStyle w:val="TableParagraph"/>
              <w:rPr>
                <w:rFonts w:ascii="Times New Roman"/>
                <w:sz w:val="10"/>
              </w:rPr>
            </w:pPr>
          </w:p>
        </w:tc>
        <w:tc>
          <w:tcPr>
            <w:tcW w:w="7360" w:type="dxa"/>
          </w:tcPr>
          <w:p>
            <w:pPr>
              <w:pStyle w:val="TableParagraph"/>
              <w:rPr>
                <w:rFonts w:ascii="Times New Roman"/>
                <w:sz w:val="10"/>
              </w:rPr>
            </w:pPr>
          </w:p>
        </w:tc>
        <w:tc>
          <w:tcPr>
            <w:tcW w:w="1181" w:type="dxa"/>
          </w:tcPr>
          <w:p>
            <w:pPr>
              <w:pStyle w:val="TableParagraph"/>
              <w:rPr>
                <w:rFonts w:ascii="Times New Roman"/>
                <w:sz w:val="10"/>
              </w:rPr>
            </w:pPr>
          </w:p>
        </w:tc>
      </w:tr>
      <w:tr>
        <w:trPr>
          <w:trHeight w:val="177" w:hRule="atLeast"/>
        </w:trPr>
        <w:tc>
          <w:tcPr>
            <w:tcW w:w="4012" w:type="dxa"/>
          </w:tcPr>
          <w:p>
            <w:pPr>
              <w:pStyle w:val="TableParagraph"/>
              <w:rPr>
                <w:rFonts w:ascii="Times New Roman"/>
                <w:sz w:val="10"/>
              </w:rPr>
            </w:pPr>
          </w:p>
        </w:tc>
        <w:tc>
          <w:tcPr>
            <w:tcW w:w="4528" w:type="dxa"/>
          </w:tcPr>
          <w:p>
            <w:pPr>
              <w:pStyle w:val="TableParagraph"/>
              <w:spacing w:line="156" w:lineRule="exact" w:before="1"/>
              <w:ind w:left="-1" w:right="3131"/>
              <w:jc w:val="right"/>
              <w:rPr>
                <w:sz w:val="15"/>
              </w:rPr>
            </w:pPr>
            <w:r>
              <w:rPr>
                <w:sz w:val="15"/>
              </w:rPr>
              <w:t>$1,009.00</w:t>
            </w:r>
          </w:p>
        </w:tc>
        <w:tc>
          <w:tcPr>
            <w:tcW w:w="7360" w:type="dxa"/>
          </w:tcPr>
          <w:p>
            <w:pPr>
              <w:pStyle w:val="TableParagraph"/>
              <w:tabs>
                <w:tab w:pos="670" w:val="left" w:leader="none"/>
                <w:tab w:pos="1151" w:val="left" w:leader="none"/>
                <w:tab w:pos="2161" w:val="left" w:leader="none"/>
                <w:tab w:pos="2478" w:val="left" w:leader="none"/>
              </w:tabs>
              <w:spacing w:line="156" w:lineRule="exact" w:before="1"/>
              <w:ind w:right="358"/>
              <w:jc w:val="right"/>
              <w:rPr>
                <w:sz w:val="15"/>
              </w:rPr>
            </w:pPr>
            <w:r>
              <w:rPr>
                <w:spacing w:val="-3"/>
                <w:sz w:val="15"/>
              </w:rPr>
              <w:t>XXXV.</w:t>
              <w:tab/>
            </w:r>
            <w:r>
              <w:rPr>
                <w:sz w:val="15"/>
              </w:rPr>
              <w:t>Los</w:t>
              <w:tab/>
              <w:t>certificados</w:t>
              <w:tab/>
              <w:t>o</w:t>
              <w:tab/>
              <w:t>autorizaciones</w:t>
            </w:r>
          </w:p>
        </w:tc>
        <w:tc>
          <w:tcPr>
            <w:tcW w:w="1181" w:type="dxa"/>
          </w:tcPr>
          <w:p>
            <w:pPr>
              <w:pStyle w:val="TableParagraph"/>
              <w:rPr>
                <w:rFonts w:ascii="Times New Roman"/>
                <w:sz w:val="10"/>
              </w:rPr>
            </w:pPr>
          </w:p>
        </w:tc>
      </w:tr>
      <w:tr>
        <w:trPr>
          <w:trHeight w:val="353" w:hRule="atLeast"/>
        </w:trPr>
        <w:tc>
          <w:tcPr>
            <w:tcW w:w="4012" w:type="dxa"/>
          </w:tcPr>
          <w:p>
            <w:pPr>
              <w:pStyle w:val="TableParagraph"/>
              <w:spacing w:before="5"/>
              <w:rPr>
                <w:sz w:val="15"/>
              </w:rPr>
            </w:pPr>
          </w:p>
          <w:p>
            <w:pPr>
              <w:pStyle w:val="TableParagraph"/>
              <w:spacing w:line="156" w:lineRule="exact"/>
              <w:ind w:right="93"/>
              <w:jc w:val="right"/>
              <w:rPr>
                <w:sz w:val="15"/>
              </w:rPr>
            </w:pPr>
            <w:r>
              <w:rPr>
                <w:sz w:val="15"/>
              </w:rPr>
              <w:t>3. Para la mediana empresa: de 51 a 250</w:t>
            </w:r>
          </w:p>
        </w:tc>
        <w:tc>
          <w:tcPr>
            <w:tcW w:w="4528" w:type="dxa"/>
          </w:tcPr>
          <w:p>
            <w:pPr>
              <w:pStyle w:val="TableParagraph"/>
              <w:rPr>
                <w:rFonts w:ascii="Times New Roman"/>
                <w:sz w:val="14"/>
              </w:rPr>
            </w:pPr>
          </w:p>
        </w:tc>
        <w:tc>
          <w:tcPr>
            <w:tcW w:w="7360" w:type="dxa"/>
          </w:tcPr>
          <w:p>
            <w:pPr>
              <w:pStyle w:val="TableParagraph"/>
              <w:spacing w:line="176" w:lineRule="exact" w:before="1"/>
              <w:ind w:left="3132" w:right="367"/>
              <w:rPr>
                <w:sz w:val="15"/>
              </w:rPr>
            </w:pPr>
            <w:r>
              <w:rPr>
                <w:sz w:val="15"/>
              </w:rPr>
              <w:t>especiales no previstos en esta sección, causarán derechos por cada uno:</w:t>
            </w:r>
          </w:p>
        </w:tc>
        <w:tc>
          <w:tcPr>
            <w:tcW w:w="1181" w:type="dxa"/>
          </w:tcPr>
          <w:p>
            <w:pPr>
              <w:pStyle w:val="TableParagraph"/>
              <w:spacing w:before="4"/>
              <w:rPr>
                <w:sz w:val="15"/>
              </w:rPr>
            </w:pPr>
          </w:p>
          <w:p>
            <w:pPr>
              <w:pStyle w:val="TableParagraph"/>
              <w:spacing w:line="156" w:lineRule="exact" w:before="1"/>
              <w:ind w:right="50"/>
              <w:jc w:val="right"/>
              <w:rPr>
                <w:sz w:val="15"/>
              </w:rPr>
            </w:pPr>
            <w:r>
              <w:rPr>
                <w:sz w:val="15"/>
              </w:rPr>
              <w:t>$140.00</w:t>
            </w:r>
          </w:p>
        </w:tc>
      </w:tr>
      <w:tr>
        <w:trPr>
          <w:trHeight w:val="177" w:hRule="atLeast"/>
        </w:trPr>
        <w:tc>
          <w:tcPr>
            <w:tcW w:w="4012" w:type="dxa"/>
          </w:tcPr>
          <w:p>
            <w:pPr>
              <w:pStyle w:val="TableParagraph"/>
              <w:spacing w:line="156" w:lineRule="exact" w:before="1"/>
              <w:ind w:left="50"/>
              <w:rPr>
                <w:sz w:val="15"/>
              </w:rPr>
            </w:pPr>
            <w:r>
              <w:rPr>
                <w:sz w:val="15"/>
              </w:rPr>
              <w:t>trabajadores:</w:t>
            </w:r>
          </w:p>
        </w:tc>
        <w:tc>
          <w:tcPr>
            <w:tcW w:w="4528" w:type="dxa"/>
          </w:tcPr>
          <w:p>
            <w:pPr>
              <w:pStyle w:val="TableParagraph"/>
              <w:spacing w:line="156" w:lineRule="exact" w:before="1"/>
              <w:ind w:left="-1" w:right="3131"/>
              <w:jc w:val="right"/>
              <w:rPr>
                <w:sz w:val="15"/>
              </w:rPr>
            </w:pPr>
            <w:r>
              <w:rPr>
                <w:sz w:val="15"/>
              </w:rPr>
              <w:t>$2,022.00</w:t>
            </w:r>
          </w:p>
        </w:tc>
        <w:tc>
          <w:tcPr>
            <w:tcW w:w="7360" w:type="dxa"/>
          </w:tcPr>
          <w:p>
            <w:pPr>
              <w:pStyle w:val="TableParagraph"/>
              <w:rPr>
                <w:rFonts w:ascii="Times New Roman"/>
                <w:sz w:val="10"/>
              </w:rPr>
            </w:pPr>
          </w:p>
        </w:tc>
        <w:tc>
          <w:tcPr>
            <w:tcW w:w="1181" w:type="dxa"/>
          </w:tcPr>
          <w:p>
            <w:pPr>
              <w:pStyle w:val="TableParagraph"/>
              <w:rPr>
                <w:rFonts w:ascii="Times New Roman"/>
                <w:sz w:val="10"/>
              </w:rPr>
            </w:pPr>
          </w:p>
        </w:tc>
      </w:tr>
      <w:tr>
        <w:trPr>
          <w:trHeight w:val="174" w:hRule="atLeast"/>
        </w:trPr>
        <w:tc>
          <w:tcPr>
            <w:tcW w:w="4012" w:type="dxa"/>
          </w:tcPr>
          <w:p>
            <w:pPr>
              <w:pStyle w:val="TableParagraph"/>
              <w:rPr>
                <w:rFonts w:ascii="Times New Roman"/>
                <w:sz w:val="10"/>
              </w:rPr>
            </w:pPr>
          </w:p>
        </w:tc>
        <w:tc>
          <w:tcPr>
            <w:tcW w:w="4528" w:type="dxa"/>
          </w:tcPr>
          <w:p>
            <w:pPr>
              <w:pStyle w:val="TableParagraph"/>
              <w:rPr>
                <w:rFonts w:ascii="Times New Roman"/>
                <w:sz w:val="10"/>
              </w:rPr>
            </w:pPr>
          </w:p>
        </w:tc>
        <w:tc>
          <w:tcPr>
            <w:tcW w:w="7360" w:type="dxa"/>
          </w:tcPr>
          <w:p>
            <w:pPr>
              <w:pStyle w:val="TableParagraph"/>
              <w:spacing w:line="153" w:lineRule="exact" w:before="1"/>
              <w:ind w:right="359"/>
              <w:jc w:val="right"/>
              <w:rPr>
                <w:sz w:val="15"/>
              </w:rPr>
            </w:pPr>
            <w:r>
              <w:rPr>
                <w:sz w:val="15"/>
              </w:rPr>
              <w:t>XXXVI. Certificación Desarrollo Orientado a las</w:t>
            </w:r>
          </w:p>
        </w:tc>
        <w:tc>
          <w:tcPr>
            <w:tcW w:w="1181" w:type="dxa"/>
          </w:tcPr>
          <w:p>
            <w:pPr>
              <w:pStyle w:val="TableParagraph"/>
              <w:rPr>
                <w:rFonts w:ascii="Times New Roman"/>
                <w:sz w:val="10"/>
              </w:rPr>
            </w:pPr>
          </w:p>
        </w:tc>
      </w:tr>
      <w:tr>
        <w:trPr>
          <w:trHeight w:val="180" w:hRule="atLeast"/>
        </w:trPr>
        <w:tc>
          <w:tcPr>
            <w:tcW w:w="8540" w:type="dxa"/>
            <w:gridSpan w:val="2"/>
          </w:tcPr>
          <w:p>
            <w:pPr>
              <w:pStyle w:val="TableParagraph"/>
              <w:spacing w:line="155" w:lineRule="exact"/>
              <w:ind w:left="447"/>
              <w:rPr>
                <w:sz w:val="15"/>
              </w:rPr>
            </w:pPr>
            <w:r>
              <w:rPr>
                <w:sz w:val="15"/>
              </w:rPr>
              <w:t>e) Dictamen de factibilidad para industrias, comercios y prestadores a</w:t>
            </w:r>
          </w:p>
        </w:tc>
        <w:tc>
          <w:tcPr>
            <w:tcW w:w="7360" w:type="dxa"/>
          </w:tcPr>
          <w:p>
            <w:pPr>
              <w:pStyle w:val="TableParagraph"/>
              <w:spacing w:line="155" w:lineRule="exact"/>
              <w:ind w:right="360"/>
              <w:jc w:val="right"/>
              <w:rPr>
                <w:sz w:val="15"/>
              </w:rPr>
            </w:pPr>
            <w:r>
              <w:rPr>
                <w:sz w:val="15"/>
              </w:rPr>
              <w:t>Personas(DOP) para los Proyectos Definitivos de</w:t>
            </w:r>
          </w:p>
        </w:tc>
        <w:tc>
          <w:tcPr>
            <w:tcW w:w="1181" w:type="dxa"/>
          </w:tcPr>
          <w:p>
            <w:pPr>
              <w:pStyle w:val="TableParagraph"/>
              <w:rPr>
                <w:rFonts w:ascii="Times New Roman"/>
                <w:sz w:val="10"/>
              </w:rPr>
            </w:pPr>
          </w:p>
        </w:tc>
      </w:tr>
      <w:tr>
        <w:trPr>
          <w:trHeight w:val="177" w:hRule="atLeast"/>
        </w:trPr>
        <w:tc>
          <w:tcPr>
            <w:tcW w:w="8540" w:type="dxa"/>
            <w:gridSpan w:val="2"/>
          </w:tcPr>
          <w:p>
            <w:pPr>
              <w:pStyle w:val="TableParagraph"/>
              <w:spacing w:line="156" w:lineRule="exact" w:before="1"/>
              <w:ind w:left="50"/>
              <w:rPr>
                <w:sz w:val="15"/>
              </w:rPr>
            </w:pPr>
            <w:r>
              <w:rPr>
                <w:sz w:val="15"/>
              </w:rPr>
              <w:t>establecerse bajo la siguiente estratificación:</w:t>
            </w:r>
          </w:p>
        </w:tc>
        <w:tc>
          <w:tcPr>
            <w:tcW w:w="7360" w:type="dxa"/>
          </w:tcPr>
          <w:p>
            <w:pPr>
              <w:pStyle w:val="TableParagraph"/>
              <w:spacing w:line="156" w:lineRule="exact" w:before="1"/>
              <w:ind w:right="358"/>
              <w:jc w:val="right"/>
              <w:rPr>
                <w:sz w:val="15"/>
              </w:rPr>
            </w:pPr>
            <w:r>
              <w:rPr>
                <w:sz w:val="15"/>
              </w:rPr>
              <w:t>Urbanización o Ejecutivos de Obra, que emita la</w:t>
            </w:r>
          </w:p>
        </w:tc>
        <w:tc>
          <w:tcPr>
            <w:tcW w:w="1181" w:type="dxa"/>
          </w:tcPr>
          <w:p>
            <w:pPr>
              <w:pStyle w:val="TableParagraph"/>
              <w:spacing w:line="156" w:lineRule="exact" w:before="1"/>
              <w:ind w:right="50"/>
              <w:jc w:val="right"/>
              <w:rPr>
                <w:sz w:val="15"/>
              </w:rPr>
            </w:pPr>
            <w:r>
              <w:rPr>
                <w:sz w:val="15"/>
              </w:rPr>
              <w:t>$65,000.00</w:t>
            </w:r>
          </w:p>
        </w:tc>
      </w:tr>
      <w:tr>
        <w:trPr>
          <w:trHeight w:val="353" w:hRule="atLeast"/>
        </w:trPr>
        <w:tc>
          <w:tcPr>
            <w:tcW w:w="8540" w:type="dxa"/>
            <w:gridSpan w:val="2"/>
          </w:tcPr>
          <w:p>
            <w:pPr>
              <w:pStyle w:val="TableParagraph"/>
              <w:spacing w:before="5"/>
              <w:rPr>
                <w:sz w:val="15"/>
              </w:rPr>
            </w:pPr>
          </w:p>
          <w:p>
            <w:pPr>
              <w:pStyle w:val="TableParagraph"/>
              <w:tabs>
                <w:tab w:pos="4636" w:val="left" w:leader="none"/>
              </w:tabs>
              <w:spacing w:line="156" w:lineRule="exact"/>
              <w:ind w:left="447"/>
              <w:rPr>
                <w:sz w:val="15"/>
              </w:rPr>
            </w:pPr>
            <w:r>
              <w:rPr>
                <w:sz w:val="15"/>
              </w:rPr>
              <w:t>1. Para la industria de 251 a </w:t>
            </w:r>
            <w:r>
              <w:rPr>
                <w:spacing w:val="10"/>
                <w:sz w:val="15"/>
              </w:rPr>
              <w:t> </w:t>
            </w:r>
            <w:r>
              <w:rPr>
                <w:sz w:val="15"/>
              </w:rPr>
              <w:t>300</w:t>
            </w:r>
            <w:r>
              <w:rPr>
                <w:spacing w:val="8"/>
                <w:sz w:val="15"/>
              </w:rPr>
              <w:t> </w:t>
            </w:r>
            <w:r>
              <w:rPr>
                <w:sz w:val="15"/>
              </w:rPr>
              <w:t>trabajadores:</w:t>
              <w:tab/>
              <w:t>$10,101.00</w:t>
            </w:r>
          </w:p>
        </w:tc>
        <w:tc>
          <w:tcPr>
            <w:tcW w:w="7360" w:type="dxa"/>
          </w:tcPr>
          <w:p>
            <w:pPr>
              <w:pStyle w:val="TableParagraph"/>
              <w:spacing w:before="1"/>
              <w:ind w:left="3132"/>
              <w:rPr>
                <w:sz w:val="15"/>
              </w:rPr>
            </w:pPr>
            <w:r>
              <w:rPr>
                <w:sz w:val="15"/>
              </w:rPr>
              <w:t>Dirección General de Vivienda, tendrá un costo de:</w:t>
            </w:r>
          </w:p>
        </w:tc>
        <w:tc>
          <w:tcPr>
            <w:tcW w:w="1181" w:type="dxa"/>
          </w:tcPr>
          <w:p>
            <w:pPr>
              <w:pStyle w:val="TableParagraph"/>
              <w:rPr>
                <w:rFonts w:ascii="Times New Roman"/>
                <w:sz w:val="14"/>
              </w:rPr>
            </w:pPr>
          </w:p>
        </w:tc>
      </w:tr>
      <w:tr>
        <w:trPr>
          <w:trHeight w:val="177" w:hRule="atLeast"/>
        </w:trPr>
        <w:tc>
          <w:tcPr>
            <w:tcW w:w="8540" w:type="dxa"/>
            <w:gridSpan w:val="2"/>
          </w:tcPr>
          <w:p>
            <w:pPr>
              <w:pStyle w:val="TableParagraph"/>
              <w:rPr>
                <w:rFonts w:ascii="Times New Roman"/>
                <w:sz w:val="10"/>
              </w:rPr>
            </w:pPr>
          </w:p>
        </w:tc>
        <w:tc>
          <w:tcPr>
            <w:tcW w:w="7360" w:type="dxa"/>
          </w:tcPr>
          <w:p>
            <w:pPr>
              <w:pStyle w:val="TableParagraph"/>
              <w:spacing w:line="156" w:lineRule="exact" w:before="1"/>
              <w:ind w:left="3529"/>
              <w:rPr>
                <w:sz w:val="15"/>
              </w:rPr>
            </w:pPr>
            <w:r>
              <w:rPr>
                <w:sz w:val="15"/>
              </w:rPr>
              <w:t>XXXVII. Autorización de Carta de Introductor:</w:t>
            </w:r>
          </w:p>
        </w:tc>
        <w:tc>
          <w:tcPr>
            <w:tcW w:w="1181" w:type="dxa"/>
          </w:tcPr>
          <w:p>
            <w:pPr>
              <w:pStyle w:val="TableParagraph"/>
              <w:spacing w:line="156" w:lineRule="exact" w:before="1"/>
              <w:ind w:right="50"/>
              <w:jc w:val="right"/>
              <w:rPr>
                <w:sz w:val="15"/>
              </w:rPr>
            </w:pPr>
            <w:r>
              <w:rPr>
                <w:sz w:val="15"/>
              </w:rPr>
              <w:t>$200.00</w:t>
            </w:r>
          </w:p>
        </w:tc>
      </w:tr>
      <w:tr>
        <w:trPr>
          <w:trHeight w:val="177" w:hRule="atLeast"/>
        </w:trPr>
        <w:tc>
          <w:tcPr>
            <w:tcW w:w="8540" w:type="dxa"/>
            <w:gridSpan w:val="2"/>
          </w:tcPr>
          <w:p>
            <w:pPr>
              <w:pStyle w:val="TableParagraph"/>
              <w:spacing w:line="156" w:lineRule="exact" w:before="1"/>
              <w:ind w:left="447"/>
              <w:rPr>
                <w:sz w:val="15"/>
              </w:rPr>
            </w:pPr>
            <w:r>
              <w:rPr>
                <w:sz w:val="15"/>
              </w:rPr>
              <w:t>2. Para el comercio y prestadores de servicios de</w:t>
            </w:r>
          </w:p>
        </w:tc>
        <w:tc>
          <w:tcPr>
            <w:tcW w:w="7360" w:type="dxa"/>
          </w:tcPr>
          <w:p>
            <w:pPr>
              <w:pStyle w:val="TableParagraph"/>
              <w:rPr>
                <w:rFonts w:ascii="Times New Roman"/>
                <w:sz w:val="10"/>
              </w:rPr>
            </w:pPr>
          </w:p>
        </w:tc>
        <w:tc>
          <w:tcPr>
            <w:tcW w:w="1181" w:type="dxa"/>
          </w:tcPr>
          <w:p>
            <w:pPr>
              <w:pStyle w:val="TableParagraph"/>
              <w:rPr>
                <w:rFonts w:ascii="Times New Roman"/>
                <w:sz w:val="10"/>
              </w:rPr>
            </w:pPr>
          </w:p>
        </w:tc>
      </w:tr>
      <w:tr>
        <w:trPr>
          <w:trHeight w:val="177" w:hRule="atLeast"/>
        </w:trPr>
        <w:tc>
          <w:tcPr>
            <w:tcW w:w="8540" w:type="dxa"/>
            <w:gridSpan w:val="2"/>
          </w:tcPr>
          <w:p>
            <w:pPr>
              <w:pStyle w:val="TableParagraph"/>
              <w:tabs>
                <w:tab w:pos="4635" w:val="left" w:leader="none"/>
              </w:tabs>
              <w:spacing w:line="156" w:lineRule="exact" w:before="1"/>
              <w:ind w:left="50"/>
              <w:rPr>
                <w:sz w:val="15"/>
              </w:rPr>
            </w:pPr>
            <w:r>
              <w:rPr>
                <w:sz w:val="15"/>
              </w:rPr>
              <w:t>101 a</w:t>
            </w:r>
            <w:r>
              <w:rPr>
                <w:spacing w:val="16"/>
                <w:sz w:val="15"/>
              </w:rPr>
              <w:t> </w:t>
            </w:r>
            <w:r>
              <w:rPr>
                <w:sz w:val="15"/>
              </w:rPr>
              <w:t>300</w:t>
            </w:r>
            <w:r>
              <w:rPr>
                <w:spacing w:val="8"/>
                <w:sz w:val="15"/>
              </w:rPr>
              <w:t> </w:t>
            </w:r>
            <w:r>
              <w:rPr>
                <w:sz w:val="15"/>
              </w:rPr>
              <w:t>trabajadores:</w:t>
              <w:tab/>
              <w:t>$10,101.00</w:t>
            </w:r>
          </w:p>
        </w:tc>
        <w:tc>
          <w:tcPr>
            <w:tcW w:w="7360" w:type="dxa"/>
          </w:tcPr>
          <w:p>
            <w:pPr>
              <w:pStyle w:val="TableParagraph"/>
              <w:spacing w:line="156" w:lineRule="exact" w:before="1"/>
              <w:ind w:right="357"/>
              <w:jc w:val="right"/>
              <w:rPr>
                <w:sz w:val="15"/>
              </w:rPr>
            </w:pPr>
            <w:r>
              <w:rPr>
                <w:sz w:val="15"/>
              </w:rPr>
              <w:t>XXXVIII. Las personas físicas o jurídicas que</w:t>
            </w:r>
          </w:p>
        </w:tc>
        <w:tc>
          <w:tcPr>
            <w:tcW w:w="1181" w:type="dxa"/>
          </w:tcPr>
          <w:p>
            <w:pPr>
              <w:pStyle w:val="TableParagraph"/>
              <w:rPr>
                <w:rFonts w:ascii="Times New Roman"/>
                <w:sz w:val="10"/>
              </w:rPr>
            </w:pPr>
          </w:p>
        </w:tc>
      </w:tr>
      <w:tr>
        <w:trPr>
          <w:trHeight w:val="353" w:hRule="atLeast"/>
        </w:trPr>
        <w:tc>
          <w:tcPr>
            <w:tcW w:w="8540" w:type="dxa"/>
            <w:gridSpan w:val="2"/>
          </w:tcPr>
          <w:p>
            <w:pPr>
              <w:pStyle w:val="TableParagraph"/>
              <w:spacing w:before="5"/>
              <w:rPr>
                <w:sz w:val="15"/>
              </w:rPr>
            </w:pPr>
          </w:p>
          <w:p>
            <w:pPr>
              <w:pStyle w:val="TableParagraph"/>
              <w:spacing w:line="156" w:lineRule="exact"/>
              <w:ind w:left="447"/>
              <w:rPr>
                <w:sz w:val="15"/>
              </w:rPr>
            </w:pPr>
            <w:r>
              <w:rPr>
                <w:sz w:val="15"/>
              </w:rPr>
              <w:t>3. Para la industria, comercio, prestadores de servicios, incluyendo</w:t>
            </w:r>
          </w:p>
        </w:tc>
        <w:tc>
          <w:tcPr>
            <w:tcW w:w="7360" w:type="dxa"/>
          </w:tcPr>
          <w:p>
            <w:pPr>
              <w:pStyle w:val="TableParagraph"/>
              <w:spacing w:line="176" w:lineRule="exact" w:before="1"/>
              <w:ind w:left="3132" w:right="367"/>
              <w:rPr>
                <w:sz w:val="15"/>
              </w:rPr>
            </w:pPr>
            <w:r>
              <w:rPr>
                <w:sz w:val="15"/>
              </w:rPr>
              <w:t>requieran dictamen de la Dirección de Movilidad, causarán derechos de acuerdo a lo</w:t>
            </w:r>
            <w:r>
              <w:rPr>
                <w:spacing w:val="21"/>
                <w:sz w:val="15"/>
              </w:rPr>
              <w:t> </w:t>
            </w:r>
            <w:r>
              <w:rPr>
                <w:sz w:val="15"/>
              </w:rPr>
              <w:t>siguiente:</w:t>
            </w:r>
          </w:p>
        </w:tc>
        <w:tc>
          <w:tcPr>
            <w:tcW w:w="1181" w:type="dxa"/>
          </w:tcPr>
          <w:p>
            <w:pPr>
              <w:pStyle w:val="TableParagraph"/>
              <w:rPr>
                <w:rFonts w:ascii="Times New Roman"/>
                <w:sz w:val="14"/>
              </w:rPr>
            </w:pPr>
          </w:p>
        </w:tc>
      </w:tr>
      <w:tr>
        <w:trPr>
          <w:trHeight w:val="177" w:hRule="atLeast"/>
        </w:trPr>
        <w:tc>
          <w:tcPr>
            <w:tcW w:w="8540" w:type="dxa"/>
            <w:gridSpan w:val="2"/>
          </w:tcPr>
          <w:p>
            <w:pPr>
              <w:pStyle w:val="TableParagraph"/>
              <w:spacing w:line="156" w:lineRule="exact" w:before="1"/>
              <w:ind w:left="50"/>
              <w:rPr>
                <w:sz w:val="15"/>
              </w:rPr>
            </w:pPr>
            <w:r>
              <w:rPr>
                <w:sz w:val="15"/>
              </w:rPr>
              <w:t>productores agrícolas, ganaderos, forestales, pescadores, acuicultores,</w:t>
            </w:r>
          </w:p>
        </w:tc>
        <w:tc>
          <w:tcPr>
            <w:tcW w:w="7360" w:type="dxa"/>
          </w:tcPr>
          <w:p>
            <w:pPr>
              <w:pStyle w:val="TableParagraph"/>
              <w:rPr>
                <w:rFonts w:ascii="Times New Roman"/>
                <w:sz w:val="10"/>
              </w:rPr>
            </w:pPr>
          </w:p>
        </w:tc>
        <w:tc>
          <w:tcPr>
            <w:tcW w:w="1181" w:type="dxa"/>
          </w:tcPr>
          <w:p>
            <w:pPr>
              <w:pStyle w:val="TableParagraph"/>
              <w:rPr>
                <w:rFonts w:ascii="Times New Roman"/>
                <w:sz w:val="10"/>
              </w:rPr>
            </w:pPr>
          </w:p>
        </w:tc>
      </w:tr>
      <w:tr>
        <w:trPr>
          <w:trHeight w:val="177" w:hRule="atLeast"/>
        </w:trPr>
        <w:tc>
          <w:tcPr>
            <w:tcW w:w="8540" w:type="dxa"/>
            <w:gridSpan w:val="2"/>
          </w:tcPr>
          <w:p>
            <w:pPr>
              <w:pStyle w:val="TableParagraph"/>
              <w:spacing w:line="156" w:lineRule="exact" w:before="1"/>
              <w:ind w:left="50"/>
              <w:rPr>
                <w:sz w:val="15"/>
              </w:rPr>
            </w:pPr>
            <w:r>
              <w:rPr>
                <w:sz w:val="15"/>
              </w:rPr>
              <w:t>mineros, artesanos y prestadores de servicios turísticos:</w:t>
            </w:r>
          </w:p>
        </w:tc>
        <w:tc>
          <w:tcPr>
            <w:tcW w:w="7360" w:type="dxa"/>
          </w:tcPr>
          <w:p>
            <w:pPr>
              <w:pStyle w:val="TableParagraph"/>
              <w:spacing w:line="156" w:lineRule="exact" w:before="1"/>
              <w:ind w:right="356"/>
              <w:jc w:val="right"/>
              <w:rPr>
                <w:sz w:val="15"/>
              </w:rPr>
            </w:pPr>
            <w:r>
              <w:rPr>
                <w:sz w:val="15"/>
              </w:rPr>
              <w:t>a) Por la emisión de Estudio de Impacto al tránsito</w:t>
            </w:r>
          </w:p>
        </w:tc>
        <w:tc>
          <w:tcPr>
            <w:tcW w:w="1181" w:type="dxa"/>
          </w:tcPr>
          <w:p>
            <w:pPr>
              <w:pStyle w:val="TableParagraph"/>
              <w:spacing w:line="156" w:lineRule="exact" w:before="1"/>
              <w:ind w:right="50"/>
              <w:jc w:val="right"/>
              <w:rPr>
                <w:sz w:val="15"/>
              </w:rPr>
            </w:pPr>
            <w:r>
              <w:rPr>
                <w:sz w:val="15"/>
              </w:rPr>
              <w:t>$600.00</w:t>
            </w:r>
          </w:p>
        </w:tc>
      </w:tr>
      <w:tr>
        <w:trPr>
          <w:trHeight w:val="177" w:hRule="atLeast"/>
        </w:trPr>
        <w:tc>
          <w:tcPr>
            <w:tcW w:w="8540" w:type="dxa"/>
            <w:gridSpan w:val="2"/>
          </w:tcPr>
          <w:p>
            <w:pPr>
              <w:pStyle w:val="TableParagraph"/>
              <w:rPr>
                <w:rFonts w:ascii="Times New Roman"/>
                <w:sz w:val="10"/>
              </w:rPr>
            </w:pPr>
          </w:p>
        </w:tc>
        <w:tc>
          <w:tcPr>
            <w:tcW w:w="7360" w:type="dxa"/>
          </w:tcPr>
          <w:p>
            <w:pPr>
              <w:pStyle w:val="TableParagraph"/>
              <w:spacing w:line="156" w:lineRule="exact" w:before="1"/>
              <w:ind w:left="3132"/>
              <w:rPr>
                <w:sz w:val="15"/>
              </w:rPr>
            </w:pPr>
            <w:r>
              <w:rPr>
                <w:sz w:val="15"/>
              </w:rPr>
              <w:t>de:</w:t>
            </w:r>
          </w:p>
        </w:tc>
        <w:tc>
          <w:tcPr>
            <w:tcW w:w="1181" w:type="dxa"/>
          </w:tcPr>
          <w:p>
            <w:pPr>
              <w:pStyle w:val="TableParagraph"/>
              <w:rPr>
                <w:rFonts w:ascii="Times New Roman"/>
                <w:sz w:val="10"/>
              </w:rPr>
            </w:pPr>
          </w:p>
        </w:tc>
      </w:tr>
      <w:tr>
        <w:trPr>
          <w:trHeight w:val="174" w:hRule="atLeast"/>
        </w:trPr>
        <w:tc>
          <w:tcPr>
            <w:tcW w:w="8540" w:type="dxa"/>
            <w:gridSpan w:val="2"/>
          </w:tcPr>
          <w:p>
            <w:pPr>
              <w:pStyle w:val="TableParagraph"/>
              <w:tabs>
                <w:tab w:pos="4635" w:val="left" w:leader="none"/>
              </w:tabs>
              <w:spacing w:line="153" w:lineRule="exact" w:before="1"/>
              <w:ind w:left="447"/>
              <w:rPr>
                <w:sz w:val="15"/>
              </w:rPr>
            </w:pPr>
            <w:r>
              <w:rPr>
                <w:sz w:val="15"/>
              </w:rPr>
              <w:t>3.1 De 301 a</w:t>
            </w:r>
            <w:r>
              <w:rPr>
                <w:spacing w:val="30"/>
                <w:sz w:val="15"/>
              </w:rPr>
              <w:t> </w:t>
            </w:r>
            <w:r>
              <w:rPr>
                <w:sz w:val="15"/>
              </w:rPr>
              <w:t>500</w:t>
            </w:r>
            <w:r>
              <w:rPr>
                <w:spacing w:val="7"/>
                <w:sz w:val="15"/>
              </w:rPr>
              <w:t> </w:t>
            </w:r>
            <w:r>
              <w:rPr>
                <w:sz w:val="15"/>
              </w:rPr>
              <w:t>trabajadores:</w:t>
              <w:tab/>
              <w:t>$16,162.00</w:t>
            </w:r>
          </w:p>
        </w:tc>
        <w:tc>
          <w:tcPr>
            <w:tcW w:w="7360" w:type="dxa"/>
          </w:tcPr>
          <w:p>
            <w:pPr>
              <w:pStyle w:val="TableParagraph"/>
              <w:spacing w:line="153" w:lineRule="exact" w:before="1"/>
              <w:ind w:right="360"/>
              <w:jc w:val="right"/>
              <w:rPr>
                <w:sz w:val="15"/>
              </w:rPr>
            </w:pPr>
            <w:r>
              <w:rPr>
                <w:sz w:val="15"/>
              </w:rPr>
              <w:t>b) Por la emisión de Dictamen de entradas y</w:t>
            </w:r>
          </w:p>
        </w:tc>
        <w:tc>
          <w:tcPr>
            <w:tcW w:w="1181" w:type="dxa"/>
          </w:tcPr>
          <w:p>
            <w:pPr>
              <w:pStyle w:val="TableParagraph"/>
              <w:spacing w:line="153" w:lineRule="exact" w:before="1"/>
              <w:ind w:right="50"/>
              <w:jc w:val="right"/>
              <w:rPr>
                <w:sz w:val="15"/>
              </w:rPr>
            </w:pPr>
            <w:r>
              <w:rPr>
                <w:sz w:val="15"/>
              </w:rPr>
              <w:t>$600.00</w:t>
            </w:r>
          </w:p>
        </w:tc>
      </w:tr>
    </w:tbl>
    <w:p>
      <w:pPr>
        <w:spacing w:after="0" w:line="153" w:lineRule="exact"/>
        <w:jc w:val="right"/>
        <w:rPr>
          <w:sz w:val="15"/>
        </w:rPr>
        <w:sectPr>
          <w:type w:val="continuous"/>
          <w:pgSz w:w="23250" w:h="15310" w:orient="landscape"/>
          <w:pgMar w:top="0" w:bottom="0" w:left="1880" w:right="1520"/>
        </w:sectPr>
      </w:pPr>
    </w:p>
    <w:p>
      <w:pPr>
        <w:pStyle w:val="BodyText"/>
        <w:spacing w:before="7"/>
      </w:pPr>
    </w:p>
    <w:p>
      <w:pPr>
        <w:pStyle w:val="BodyText"/>
        <w:tabs>
          <w:tab w:pos="4736" w:val="left" w:leader="none"/>
        </w:tabs>
        <w:ind w:left="548"/>
      </w:pPr>
      <w:r>
        <w:rPr/>
        <w:t>3.2 De 501 a</w:t>
      </w:r>
      <w:r>
        <w:rPr>
          <w:spacing w:val="31"/>
        </w:rPr>
        <w:t> </w:t>
      </w:r>
      <w:r>
        <w:rPr/>
        <w:t>2000</w:t>
      </w:r>
      <w:r>
        <w:rPr>
          <w:spacing w:val="8"/>
        </w:rPr>
        <w:t> </w:t>
      </w:r>
      <w:r>
        <w:rPr/>
        <w:t>trabajadores:</w:t>
        <w:tab/>
        <w:t>$20,201.00</w:t>
      </w:r>
    </w:p>
    <w:p>
      <w:pPr>
        <w:pStyle w:val="BodyText"/>
        <w:spacing w:before="10"/>
      </w:pPr>
    </w:p>
    <w:p>
      <w:pPr>
        <w:pStyle w:val="BodyText"/>
        <w:tabs>
          <w:tab w:pos="4736" w:val="left" w:leader="none"/>
        </w:tabs>
        <w:ind w:left="548"/>
      </w:pPr>
      <w:r>
        <w:rPr/>
        <w:t>3.3 De 2,001 a</w:t>
      </w:r>
      <w:r>
        <w:rPr>
          <w:spacing w:val="33"/>
        </w:rPr>
        <w:t> </w:t>
      </w:r>
      <w:r>
        <w:rPr/>
        <w:t>5,000</w:t>
      </w:r>
      <w:r>
        <w:rPr>
          <w:spacing w:val="8"/>
        </w:rPr>
        <w:t> </w:t>
      </w:r>
      <w:r>
        <w:rPr/>
        <w:t>trabajadores:</w:t>
        <w:tab/>
        <w:t>$30,301.00</w:t>
      </w:r>
    </w:p>
    <w:p>
      <w:pPr>
        <w:pStyle w:val="BodyText"/>
        <w:spacing w:before="9"/>
      </w:pPr>
    </w:p>
    <w:p>
      <w:pPr>
        <w:pStyle w:val="BodyText"/>
        <w:tabs>
          <w:tab w:pos="4737" w:val="left" w:leader="none"/>
        </w:tabs>
        <w:spacing w:before="1"/>
        <w:ind w:left="548"/>
      </w:pPr>
      <w:r>
        <w:rPr/>
        <w:t>3.4 Más de</w:t>
      </w:r>
      <w:r>
        <w:rPr>
          <w:spacing w:val="26"/>
        </w:rPr>
        <w:t> </w:t>
      </w:r>
      <w:r>
        <w:rPr/>
        <w:t>5,000</w:t>
      </w:r>
      <w:r>
        <w:rPr>
          <w:spacing w:val="9"/>
        </w:rPr>
        <w:t> </w:t>
      </w:r>
      <w:r>
        <w:rPr/>
        <w:t>trabajadores:</w:t>
        <w:tab/>
        <w:t>$40,403.00</w:t>
      </w:r>
    </w:p>
    <w:p>
      <w:pPr>
        <w:pStyle w:val="BodyText"/>
        <w:spacing w:before="8"/>
      </w:pPr>
    </w:p>
    <w:p>
      <w:pPr>
        <w:pStyle w:val="ListParagraph"/>
        <w:numPr>
          <w:ilvl w:val="0"/>
          <w:numId w:val="150"/>
        </w:numPr>
        <w:tabs>
          <w:tab w:pos="695" w:val="left" w:leader="none"/>
        </w:tabs>
        <w:spacing w:line="240" w:lineRule="auto" w:before="0" w:after="0"/>
        <w:ind w:left="694" w:right="0" w:hanging="147"/>
        <w:jc w:val="left"/>
        <w:rPr>
          <w:sz w:val="15"/>
        </w:rPr>
      </w:pPr>
      <w:r>
        <w:rPr>
          <w:sz w:val="15"/>
        </w:rPr>
        <w:t>Dictámenes para particulares, en el</w:t>
      </w:r>
      <w:r>
        <w:rPr>
          <w:spacing w:val="-7"/>
          <w:sz w:val="15"/>
        </w:rPr>
        <w:t> </w:t>
      </w:r>
      <w:r>
        <w:rPr>
          <w:sz w:val="15"/>
        </w:rPr>
        <w:t>régimen</w:t>
      </w:r>
    </w:p>
    <w:p>
      <w:pPr>
        <w:pStyle w:val="BodyText"/>
        <w:spacing w:before="4"/>
        <w:ind w:left="548"/>
        <w:jc w:val="both"/>
      </w:pPr>
      <w:r>
        <w:rPr/>
        <w:br w:type="column"/>
      </w:r>
      <w:r>
        <w:rPr/>
        <w:t>salidas de:</w:t>
      </w:r>
    </w:p>
    <w:p>
      <w:pPr>
        <w:pStyle w:val="ListParagraph"/>
        <w:numPr>
          <w:ilvl w:val="1"/>
          <w:numId w:val="150"/>
        </w:numPr>
        <w:tabs>
          <w:tab w:pos="1112" w:val="left" w:leader="none"/>
        </w:tabs>
        <w:spacing w:line="247" w:lineRule="auto" w:before="3" w:after="0"/>
        <w:ind w:left="548" w:right="38" w:firstLine="343"/>
        <w:jc w:val="both"/>
        <w:rPr>
          <w:sz w:val="15"/>
        </w:rPr>
      </w:pPr>
      <w:r>
        <w:rPr>
          <w:sz w:val="15"/>
        </w:rPr>
        <w:t>Por el reingreso de Dictamen de estudio de impacto al tránsito cuando el plazo señalado para hacer cambios y/o adecuaciones haya concluido</w:t>
      </w:r>
      <w:r>
        <w:rPr>
          <w:spacing w:val="20"/>
          <w:sz w:val="15"/>
        </w:rPr>
        <w:t> </w:t>
      </w:r>
      <w:r>
        <w:rPr>
          <w:sz w:val="15"/>
        </w:rPr>
        <w:t>de:</w:t>
      </w:r>
    </w:p>
    <w:p>
      <w:pPr>
        <w:pStyle w:val="ListParagraph"/>
        <w:numPr>
          <w:ilvl w:val="1"/>
          <w:numId w:val="150"/>
        </w:numPr>
        <w:tabs>
          <w:tab w:pos="1119" w:val="left" w:leader="none"/>
        </w:tabs>
        <w:spacing w:line="247" w:lineRule="auto" w:before="97" w:after="0"/>
        <w:ind w:left="548" w:right="38" w:firstLine="343"/>
        <w:jc w:val="both"/>
        <w:rPr>
          <w:sz w:val="15"/>
        </w:rPr>
      </w:pPr>
      <w:r>
        <w:rPr>
          <w:sz w:val="15"/>
        </w:rPr>
        <w:t>Por el reingreso de Dictamen de entradas y salidas cuando el plazo señalado para  hacer  cambios y/o adecuaciones haya concluido</w:t>
      </w:r>
      <w:r>
        <w:rPr>
          <w:spacing w:val="9"/>
          <w:sz w:val="15"/>
        </w:rPr>
        <w:t> </w:t>
      </w:r>
      <w:r>
        <w:rPr>
          <w:sz w:val="15"/>
        </w:rPr>
        <w:t>de:</w:t>
      </w:r>
    </w:p>
    <w:p>
      <w:pPr>
        <w:pStyle w:val="BodyText"/>
        <w:spacing w:before="7"/>
      </w:pPr>
      <w:r>
        <w:rPr/>
        <w:br w:type="column"/>
      </w:r>
      <w:r>
        <w:rPr/>
      </w:r>
    </w:p>
    <w:p>
      <w:pPr>
        <w:pStyle w:val="BodyText"/>
        <w:ind w:left="548"/>
      </w:pPr>
      <w:r>
        <w:rPr/>
        <w:t>$200.00</w:t>
      </w:r>
    </w:p>
    <w:p>
      <w:pPr>
        <w:pStyle w:val="BodyText"/>
        <w:rPr>
          <w:sz w:val="16"/>
        </w:rPr>
      </w:pPr>
    </w:p>
    <w:p>
      <w:pPr>
        <w:pStyle w:val="BodyText"/>
        <w:spacing w:before="9"/>
        <w:rPr>
          <w:sz w:val="23"/>
        </w:rPr>
      </w:pPr>
    </w:p>
    <w:p>
      <w:pPr>
        <w:pStyle w:val="BodyText"/>
        <w:ind w:left="548"/>
      </w:pPr>
      <w:r>
        <w:rPr/>
        <w:t>$200.00</w:t>
      </w:r>
    </w:p>
    <w:p>
      <w:pPr>
        <w:spacing w:after="0"/>
        <w:sectPr>
          <w:type w:val="continuous"/>
          <w:pgSz w:w="23250" w:h="15310" w:orient="landscape"/>
          <w:pgMar w:top="0" w:bottom="0" w:left="1880" w:right="1520"/>
          <w:cols w:num="3" w:equalWidth="0">
            <w:col w:w="5548" w:space="5676"/>
            <w:col w:w="4457" w:space="343"/>
            <w:col w:w="3826"/>
          </w:cols>
        </w:sectPr>
      </w:pPr>
    </w:p>
    <w:p>
      <w:pPr>
        <w:pStyle w:val="BodyText"/>
        <w:tabs>
          <w:tab w:pos="12073" w:val="left" w:leader="none"/>
          <w:tab w:pos="16572" w:val="left" w:leader="none"/>
        </w:tabs>
        <w:spacing w:line="179" w:lineRule="exact" w:before="5"/>
        <w:ind w:left="151"/>
      </w:pPr>
      <w:r>
        <w:rPr>
          <w:position w:val="2"/>
        </w:rPr>
        <w:t>de </w:t>
      </w:r>
      <w:r>
        <w:rPr>
          <w:spacing w:val="26"/>
          <w:position w:val="2"/>
        </w:rPr>
        <w:t> </w:t>
      </w:r>
      <w:r>
        <w:rPr>
          <w:position w:val="2"/>
        </w:rPr>
        <w:t>autoempleo </w:t>
      </w:r>
      <w:r>
        <w:rPr>
          <w:spacing w:val="26"/>
          <w:position w:val="2"/>
        </w:rPr>
        <w:t> </w:t>
      </w:r>
      <w:r>
        <w:rPr>
          <w:position w:val="2"/>
        </w:rPr>
        <w:t>o </w:t>
      </w:r>
      <w:r>
        <w:rPr>
          <w:spacing w:val="25"/>
          <w:position w:val="2"/>
        </w:rPr>
        <w:t> </w:t>
      </w:r>
      <w:r>
        <w:rPr>
          <w:position w:val="2"/>
        </w:rPr>
        <w:t>dueños </w:t>
      </w:r>
      <w:r>
        <w:rPr>
          <w:spacing w:val="26"/>
          <w:position w:val="2"/>
        </w:rPr>
        <w:t> </w:t>
      </w:r>
      <w:r>
        <w:rPr>
          <w:position w:val="2"/>
        </w:rPr>
        <w:t>de </w:t>
      </w:r>
      <w:r>
        <w:rPr>
          <w:spacing w:val="26"/>
          <w:position w:val="2"/>
        </w:rPr>
        <w:t> </w:t>
      </w:r>
      <w:r>
        <w:rPr>
          <w:position w:val="2"/>
        </w:rPr>
        <w:t>microempresas, </w:t>
      </w:r>
      <w:r>
        <w:rPr>
          <w:spacing w:val="26"/>
          <w:position w:val="2"/>
        </w:rPr>
        <w:t> </w:t>
      </w:r>
      <w:r>
        <w:rPr>
          <w:position w:val="2"/>
        </w:rPr>
        <w:t>y </w:t>
      </w:r>
      <w:r>
        <w:rPr>
          <w:spacing w:val="26"/>
          <w:position w:val="2"/>
        </w:rPr>
        <w:t> </w:t>
      </w:r>
      <w:r>
        <w:rPr>
          <w:position w:val="2"/>
        </w:rPr>
        <w:t>que</w:t>
        <w:tab/>
      </w:r>
      <w:r>
        <w:rPr/>
        <w:t>e) Por la emisión de Dictamen </w:t>
      </w:r>
      <w:r>
        <w:rPr>
          <w:spacing w:val="6"/>
        </w:rPr>
        <w:t> </w:t>
      </w:r>
      <w:r>
        <w:rPr/>
        <w:t>de</w:t>
      </w:r>
      <w:r>
        <w:rPr>
          <w:spacing w:val="8"/>
        </w:rPr>
        <w:t> </w:t>
      </w:r>
      <w:r>
        <w:rPr/>
        <w:t>Movilidad:</w:t>
        <w:tab/>
        <w:t>$600.00</w:t>
      </w:r>
    </w:p>
    <w:p>
      <w:pPr>
        <w:spacing w:after="0" w:line="179" w:lineRule="exact"/>
        <w:sectPr>
          <w:type w:val="continuous"/>
          <w:pgSz w:w="23250" w:h="15310" w:orient="landscape"/>
          <w:pgMar w:top="0" w:bottom="0" w:left="1880" w:right="1520"/>
        </w:sectPr>
      </w:pPr>
    </w:p>
    <w:p>
      <w:pPr>
        <w:pStyle w:val="BodyText"/>
        <w:spacing w:line="171" w:lineRule="exact"/>
        <w:ind w:left="151"/>
      </w:pPr>
      <w:r>
        <w:rPr/>
        <w:t>tengan </w:t>
      </w:r>
      <w:r>
        <w:rPr>
          <w:spacing w:val="12"/>
        </w:rPr>
        <w:t> </w:t>
      </w:r>
      <w:r>
        <w:rPr/>
        <w:t>de </w:t>
      </w:r>
      <w:r>
        <w:rPr>
          <w:spacing w:val="11"/>
        </w:rPr>
        <w:t> </w:t>
      </w:r>
      <w:r>
        <w:rPr/>
        <w:t>1 </w:t>
      </w:r>
      <w:r>
        <w:rPr>
          <w:spacing w:val="12"/>
        </w:rPr>
        <w:t> </w:t>
      </w:r>
      <w:r>
        <w:rPr/>
        <w:t>a </w:t>
      </w:r>
      <w:r>
        <w:rPr>
          <w:spacing w:val="13"/>
        </w:rPr>
        <w:t> </w:t>
      </w:r>
      <w:r>
        <w:rPr/>
        <w:t>10 </w:t>
      </w:r>
      <w:r>
        <w:rPr>
          <w:spacing w:val="12"/>
        </w:rPr>
        <w:t> </w:t>
      </w:r>
      <w:r>
        <w:rPr/>
        <w:t>personas</w:t>
      </w:r>
      <w:r>
        <w:rPr>
          <w:spacing w:val="6"/>
        </w:rPr>
        <w:t> </w:t>
      </w:r>
      <w:r>
        <w:rPr/>
        <w:t>trabajando:</w:t>
      </w:r>
    </w:p>
    <w:p>
      <w:pPr>
        <w:pStyle w:val="BodyText"/>
        <w:rPr>
          <w:sz w:val="16"/>
        </w:rPr>
      </w:pPr>
    </w:p>
    <w:p>
      <w:pPr>
        <w:pStyle w:val="BodyText"/>
        <w:spacing w:before="1"/>
      </w:pPr>
    </w:p>
    <w:p>
      <w:pPr>
        <w:pStyle w:val="ListParagraph"/>
        <w:numPr>
          <w:ilvl w:val="0"/>
          <w:numId w:val="150"/>
        </w:numPr>
        <w:tabs>
          <w:tab w:pos="765" w:val="left" w:leader="none"/>
        </w:tabs>
        <w:spacing w:line="247" w:lineRule="auto" w:before="1" w:after="0"/>
        <w:ind w:left="151" w:right="38" w:firstLine="397"/>
        <w:jc w:val="both"/>
        <w:rPr>
          <w:sz w:val="15"/>
        </w:rPr>
      </w:pPr>
      <w:r>
        <w:rPr>
          <w:sz w:val="15"/>
        </w:rPr>
        <w:t>Para la actualización o certificación anual de dictámenes de los incisos d), e) y f), se cobrará el </w:t>
      </w:r>
      <w:r>
        <w:rPr>
          <w:spacing w:val="-5"/>
          <w:sz w:val="15"/>
        </w:rPr>
        <w:t>50%   </w:t>
      </w:r>
      <w:r>
        <w:rPr>
          <w:sz w:val="15"/>
        </w:rPr>
        <w:t>de la tarifa que corresponde a cada</w:t>
      </w:r>
      <w:r>
        <w:rPr>
          <w:spacing w:val="18"/>
          <w:sz w:val="15"/>
        </w:rPr>
        <w:t> </w:t>
      </w:r>
      <w:r>
        <w:rPr>
          <w:sz w:val="15"/>
        </w:rPr>
        <w:t>caso.</w:t>
      </w:r>
    </w:p>
    <w:p>
      <w:pPr>
        <w:pStyle w:val="BodyText"/>
        <w:spacing w:before="3"/>
      </w:pPr>
    </w:p>
    <w:p>
      <w:pPr>
        <w:pStyle w:val="ListParagraph"/>
        <w:numPr>
          <w:ilvl w:val="0"/>
          <w:numId w:val="150"/>
        </w:numPr>
        <w:tabs>
          <w:tab w:pos="751" w:val="left" w:leader="none"/>
        </w:tabs>
        <w:spacing w:line="153" w:lineRule="exact" w:before="0" w:after="0"/>
        <w:ind w:left="750" w:right="0" w:hanging="203"/>
        <w:jc w:val="left"/>
        <w:rPr>
          <w:sz w:val="15"/>
        </w:rPr>
      </w:pPr>
      <w:r>
        <w:rPr>
          <w:sz w:val="15"/>
        </w:rPr>
        <w:t>Dictámenes en general no comprendidos</w:t>
      </w:r>
      <w:r>
        <w:rPr>
          <w:spacing w:val="17"/>
          <w:sz w:val="15"/>
        </w:rPr>
        <w:t> </w:t>
      </w:r>
      <w:r>
        <w:rPr>
          <w:sz w:val="15"/>
        </w:rPr>
        <w:t>en</w:t>
      </w:r>
    </w:p>
    <w:p>
      <w:pPr>
        <w:pStyle w:val="BodyText"/>
        <w:spacing w:before="3"/>
      </w:pPr>
      <w:r>
        <w:rPr/>
        <w:br w:type="column"/>
      </w:r>
      <w:r>
        <w:rPr/>
      </w:r>
    </w:p>
    <w:p>
      <w:pPr>
        <w:pStyle w:val="BodyText"/>
        <w:ind w:left="151"/>
      </w:pPr>
      <w:r>
        <w:rPr/>
        <w:t>$203.00</w:t>
      </w:r>
    </w:p>
    <w:p>
      <w:pPr>
        <w:pStyle w:val="ListParagraph"/>
        <w:numPr>
          <w:ilvl w:val="0"/>
          <w:numId w:val="151"/>
        </w:numPr>
        <w:tabs>
          <w:tab w:pos="662" w:val="left" w:leader="none"/>
        </w:tabs>
        <w:spacing w:line="247" w:lineRule="auto" w:before="51" w:after="0"/>
        <w:ind w:left="151" w:right="38" w:firstLine="343"/>
        <w:jc w:val="both"/>
        <w:rPr>
          <w:sz w:val="15"/>
        </w:rPr>
      </w:pPr>
      <w:r>
        <w:rPr>
          <w:spacing w:val="-1"/>
          <w:w w:val="102"/>
          <w:sz w:val="15"/>
        </w:rPr>
        <w:br w:type="column"/>
      </w:r>
      <w:r>
        <w:rPr>
          <w:sz w:val="15"/>
        </w:rPr>
        <w:t>Por Dictamen de cierre vial por obra en la vía pública</w:t>
      </w:r>
      <w:r>
        <w:rPr>
          <w:spacing w:val="1"/>
          <w:sz w:val="15"/>
        </w:rPr>
        <w:t> </w:t>
      </w:r>
      <w:r>
        <w:rPr>
          <w:sz w:val="15"/>
        </w:rPr>
        <w:t>de:</w:t>
      </w:r>
    </w:p>
    <w:p>
      <w:pPr>
        <w:pStyle w:val="ListParagraph"/>
        <w:numPr>
          <w:ilvl w:val="0"/>
          <w:numId w:val="151"/>
        </w:numPr>
        <w:tabs>
          <w:tab w:pos="784" w:val="left" w:leader="none"/>
        </w:tabs>
        <w:spacing w:line="247" w:lineRule="auto" w:before="65" w:after="0"/>
        <w:ind w:left="151" w:right="39" w:firstLine="343"/>
        <w:jc w:val="both"/>
        <w:rPr>
          <w:sz w:val="15"/>
        </w:rPr>
      </w:pPr>
      <w:r>
        <w:rPr>
          <w:sz w:val="15"/>
        </w:rPr>
        <w:t>Dictamen para anual de estacionamiento exclusivo en vía pública emitido por la Dirección de Movilidad de acuerdo a lasZonas establecidas en los Programas y Planes Parciales de Desarrollo</w:t>
      </w:r>
      <w:r>
        <w:rPr>
          <w:spacing w:val="10"/>
          <w:sz w:val="15"/>
        </w:rPr>
        <w:t> </w:t>
      </w:r>
      <w:r>
        <w:rPr>
          <w:sz w:val="15"/>
        </w:rPr>
        <w:t>Urbanos:</w:t>
      </w:r>
    </w:p>
    <w:p>
      <w:pPr>
        <w:pStyle w:val="BodyText"/>
        <w:spacing w:before="51"/>
        <w:ind w:left="151"/>
      </w:pPr>
      <w:r>
        <w:rPr/>
        <w:br w:type="column"/>
      </w:r>
      <w:r>
        <w:rPr/>
        <w:t>$400.00</w:t>
      </w:r>
    </w:p>
    <w:p>
      <w:pPr>
        <w:spacing w:after="0"/>
        <w:sectPr>
          <w:type w:val="continuous"/>
          <w:pgSz w:w="23250" w:h="15310" w:orient="landscape"/>
          <w:pgMar w:top="0" w:bottom="0" w:left="1880" w:right="1520"/>
          <w:cols w:num="4" w:equalWidth="0">
            <w:col w:w="4060" w:space="740"/>
            <w:col w:w="748" w:space="6074"/>
            <w:col w:w="4061" w:space="739"/>
            <w:col w:w="3428"/>
          </w:cols>
        </w:sectPr>
      </w:pPr>
    </w:p>
    <w:p>
      <w:pPr>
        <w:pStyle w:val="BodyText"/>
        <w:tabs>
          <w:tab w:pos="4822" w:val="left" w:leader="none"/>
        </w:tabs>
        <w:spacing w:before="23"/>
        <w:ind w:left="150"/>
      </w:pPr>
      <w:r>
        <w:rPr/>
        <w:t>los</w:t>
      </w:r>
      <w:r>
        <w:rPr>
          <w:spacing w:val="9"/>
        </w:rPr>
        <w:t> </w:t>
      </w:r>
      <w:r>
        <w:rPr/>
        <w:t>incisos</w:t>
      </w:r>
      <w:r>
        <w:rPr>
          <w:spacing w:val="9"/>
        </w:rPr>
        <w:t> </w:t>
      </w:r>
      <w:r>
        <w:rPr/>
        <w:t>anteriores:</w:t>
        <w:tab/>
        <w:t>$3,476.00</w:t>
      </w:r>
    </w:p>
    <w:p>
      <w:pPr>
        <w:pStyle w:val="BodyText"/>
        <w:spacing w:before="9"/>
      </w:pPr>
    </w:p>
    <w:p>
      <w:pPr>
        <w:pStyle w:val="BodyText"/>
        <w:spacing w:line="247" w:lineRule="auto"/>
        <w:ind w:left="151" w:right="33" w:firstLine="397"/>
      </w:pPr>
      <w:r>
        <w:rPr/>
        <w:t>XXXIII. Certificado de operatividad a los establecimientos destinados a presentar  espectáculos  públicos,  de  acuerdo  a lo  previsto en  el  artículo</w:t>
      </w:r>
      <w:r>
        <w:rPr>
          <w:spacing w:val="32"/>
        </w:rPr>
        <w:t> </w:t>
      </w:r>
      <w:r>
        <w:rPr/>
        <w:t>16,</w:t>
      </w:r>
    </w:p>
    <w:p>
      <w:pPr>
        <w:pStyle w:val="BodyText"/>
        <w:spacing w:line="244" w:lineRule="auto"/>
        <w:ind w:left="150" w:right="133"/>
      </w:pPr>
      <w:r>
        <w:rPr/>
        <w:br w:type="column"/>
      </w:r>
      <w:r>
        <w:rPr/>
        <w:t>1.- Zona A comprende vialidades principales y corredores centrales:</w:t>
      </w:r>
    </w:p>
    <w:p>
      <w:pPr>
        <w:pStyle w:val="BodyText"/>
        <w:spacing w:line="244" w:lineRule="auto" w:before="67"/>
        <w:ind w:left="150" w:right="133"/>
      </w:pPr>
      <w:r>
        <w:rPr/>
        <w:t>2.- Zona B comprende vialidades colectoras, subcolectoras y corredores distritales:</w:t>
      </w:r>
    </w:p>
    <w:p>
      <w:pPr>
        <w:pStyle w:val="BodyText"/>
        <w:spacing w:before="87"/>
        <w:ind w:left="150"/>
      </w:pPr>
      <w:r>
        <w:rPr/>
        <w:br w:type="column"/>
      </w:r>
      <w:r>
        <w:rPr/>
        <w:t>$1,500.00</w:t>
      </w:r>
    </w:p>
    <w:p>
      <w:pPr>
        <w:pStyle w:val="BodyText"/>
        <w:spacing w:before="5"/>
        <w:rPr>
          <w:sz w:val="21"/>
        </w:rPr>
      </w:pPr>
    </w:p>
    <w:p>
      <w:pPr>
        <w:pStyle w:val="BodyText"/>
        <w:spacing w:before="1"/>
        <w:ind w:left="150"/>
      </w:pPr>
      <w:r>
        <w:rPr/>
        <w:t>$1,000.00</w:t>
      </w:r>
    </w:p>
    <w:p>
      <w:pPr>
        <w:spacing w:after="0"/>
        <w:sectPr>
          <w:type w:val="continuous"/>
          <w:pgSz w:w="23250" w:h="15310" w:orient="landscape"/>
          <w:pgMar w:top="0" w:bottom="0" w:left="1880" w:right="1520"/>
          <w:cols w:num="3" w:equalWidth="0">
            <w:col w:w="5548" w:space="6112"/>
            <w:col w:w="4545" w:space="118"/>
            <w:col w:w="3527"/>
          </w:cols>
        </w:sectPr>
      </w:pPr>
    </w:p>
    <w:p>
      <w:pPr>
        <w:pStyle w:val="BodyText"/>
        <w:rPr>
          <w:sz w:val="20"/>
        </w:rPr>
      </w:pPr>
    </w:p>
    <w:p>
      <w:pPr>
        <w:pStyle w:val="BodyText"/>
        <w:rPr>
          <w:sz w:val="20"/>
        </w:rPr>
      </w:pPr>
    </w:p>
    <w:p>
      <w:pPr>
        <w:spacing w:after="0"/>
        <w:rPr>
          <w:sz w:val="20"/>
        </w:rPr>
        <w:sectPr>
          <w:headerReference w:type="default" r:id="rId94"/>
          <w:pgSz w:w="23250" w:h="15310" w:orient="landscape"/>
          <w:pgMar w:header="881" w:footer="499" w:top="1920" w:bottom="680" w:left="1880" w:right="1520"/>
        </w:sectPr>
      </w:pPr>
    </w:p>
    <w:p>
      <w:pPr>
        <w:pStyle w:val="BodyText"/>
        <w:rPr>
          <w:sz w:val="21"/>
        </w:rPr>
      </w:pPr>
    </w:p>
    <w:p>
      <w:pPr>
        <w:pStyle w:val="BodyText"/>
        <w:spacing w:line="247" w:lineRule="auto"/>
        <w:ind w:left="189"/>
      </w:pPr>
      <w:r>
        <w:rPr/>
        <w:t>3.-Zona C comprende vialidades locales, corredores barriales y vecinales:</w:t>
      </w:r>
    </w:p>
    <w:p>
      <w:pPr>
        <w:pStyle w:val="BodyText"/>
        <w:spacing w:before="2"/>
        <w:rPr>
          <w:sz w:val="18"/>
        </w:rPr>
      </w:pPr>
    </w:p>
    <w:p>
      <w:pPr>
        <w:pStyle w:val="BodyText"/>
        <w:spacing w:line="244" w:lineRule="auto" w:before="1"/>
        <w:ind w:left="150" w:right="563" w:firstLine="397"/>
        <w:jc w:val="both"/>
      </w:pPr>
      <w:r>
        <w:rPr/>
        <w:t>XXXIX. Por la expedición de constancias de siniestro por la Coordinación General de Protección Civil y Bomberos, a solicitud de</w:t>
      </w:r>
      <w:r>
        <w:rPr>
          <w:spacing w:val="10"/>
        </w:rPr>
        <w:t> </w:t>
      </w:r>
      <w:r>
        <w:rPr/>
        <w:t>parte:</w:t>
      </w:r>
    </w:p>
    <w:p>
      <w:pPr>
        <w:pStyle w:val="BodyText"/>
        <w:rPr>
          <w:sz w:val="16"/>
        </w:rPr>
      </w:pPr>
      <w:r>
        <w:rPr/>
        <w:br w:type="column"/>
      </w:r>
      <w:r>
        <w:rPr>
          <w:sz w:val="16"/>
        </w:rPr>
      </w:r>
    </w:p>
    <w:p>
      <w:pPr>
        <w:pStyle w:val="BodyText"/>
        <w:spacing w:before="9"/>
        <w:rPr>
          <w:sz w:val="12"/>
        </w:rPr>
      </w:pPr>
    </w:p>
    <w:p>
      <w:pPr>
        <w:pStyle w:val="BodyText"/>
        <w:ind w:left="150"/>
      </w:pPr>
      <w:r>
        <w:rPr/>
        <w:t>$500.00</w:t>
      </w:r>
    </w:p>
    <w:p>
      <w:pPr>
        <w:pStyle w:val="BodyText"/>
        <w:tabs>
          <w:tab w:pos="4852" w:val="left" w:leader="none"/>
        </w:tabs>
        <w:spacing w:line="370" w:lineRule="atLeast" w:before="28"/>
        <w:ind w:left="548" w:right="2682" w:hanging="359"/>
      </w:pPr>
      <w:r>
        <w:rPr/>
        <w:br w:type="column"/>
      </w:r>
      <w:r>
        <w:rPr/>
        <w:t>3.- De 400.01 m2</w:t>
      </w:r>
      <w:r>
        <w:rPr>
          <w:spacing w:val="29"/>
        </w:rPr>
        <w:t> </w:t>
      </w:r>
      <w:r>
        <w:rPr/>
        <w:t>en</w:t>
      </w:r>
      <w:r>
        <w:rPr>
          <w:spacing w:val="7"/>
        </w:rPr>
        <w:t> </w:t>
      </w:r>
      <w:r>
        <w:rPr/>
        <w:t>adelante</w:t>
        <w:tab/>
        <w:t>$9,392.00 XLI.</w:t>
      </w:r>
      <w:r>
        <w:rPr>
          <w:spacing w:val="19"/>
        </w:rPr>
        <w:t> </w:t>
      </w:r>
      <w:r>
        <w:rPr/>
        <w:t>Certificación</w:t>
      </w:r>
      <w:r>
        <w:rPr>
          <w:spacing w:val="19"/>
        </w:rPr>
        <w:t> </w:t>
      </w:r>
      <w:r>
        <w:rPr/>
        <w:t>para</w:t>
      </w:r>
      <w:r>
        <w:rPr>
          <w:spacing w:val="18"/>
        </w:rPr>
        <w:t> </w:t>
      </w:r>
      <w:r>
        <w:rPr/>
        <w:t>uso</w:t>
      </w:r>
      <w:r>
        <w:rPr>
          <w:spacing w:val="19"/>
        </w:rPr>
        <w:t> </w:t>
      </w:r>
      <w:r>
        <w:rPr/>
        <w:t>y</w:t>
      </w:r>
      <w:r>
        <w:rPr>
          <w:spacing w:val="18"/>
        </w:rPr>
        <w:t> </w:t>
      </w:r>
      <w:r>
        <w:rPr/>
        <w:t>quema</w:t>
      </w:r>
      <w:r>
        <w:rPr>
          <w:spacing w:val="19"/>
        </w:rPr>
        <w:t> </w:t>
      </w:r>
      <w:r>
        <w:rPr/>
        <w:t>de</w:t>
      </w:r>
      <w:r>
        <w:rPr>
          <w:spacing w:val="19"/>
        </w:rPr>
        <w:t> </w:t>
      </w:r>
      <w:r>
        <w:rPr/>
        <w:t>pirotecnia</w:t>
      </w:r>
    </w:p>
    <w:p>
      <w:pPr>
        <w:pStyle w:val="BodyText"/>
        <w:spacing w:before="5"/>
        <w:ind w:left="150"/>
      </w:pPr>
      <w:r>
        <w:rPr/>
        <w:t>en   espacios   abiertos   expedido   por   la   Dirección</w:t>
      </w:r>
      <w:r>
        <w:rPr>
          <w:spacing w:val="41"/>
        </w:rPr>
        <w:t> </w:t>
      </w:r>
      <w:r>
        <w:rPr/>
        <w:t>de</w:t>
      </w:r>
    </w:p>
    <w:p>
      <w:pPr>
        <w:pStyle w:val="BodyText"/>
        <w:tabs>
          <w:tab w:pos="4950" w:val="left" w:leader="none"/>
        </w:tabs>
        <w:spacing w:before="4"/>
        <w:ind w:left="150"/>
      </w:pPr>
      <w:r>
        <w:rPr/>
        <w:t>Bomberos y</w:t>
      </w:r>
      <w:r>
        <w:rPr>
          <w:spacing w:val="19"/>
        </w:rPr>
        <w:t> </w:t>
      </w:r>
      <w:r>
        <w:rPr/>
        <w:t>Protección</w:t>
      </w:r>
      <w:r>
        <w:rPr>
          <w:spacing w:val="9"/>
        </w:rPr>
        <w:t> </w:t>
      </w:r>
      <w:r>
        <w:rPr/>
        <w:t>Civil:</w:t>
        <w:tab/>
        <w:t>$959.00</w:t>
      </w:r>
    </w:p>
    <w:p>
      <w:pPr>
        <w:pStyle w:val="BodyText"/>
        <w:spacing w:before="9"/>
      </w:pPr>
    </w:p>
    <w:p>
      <w:pPr>
        <w:pStyle w:val="BodyText"/>
        <w:ind w:left="548"/>
      </w:pPr>
      <w:r>
        <w:rPr/>
        <w:t>XLII. Dictamen técnico emitido por la Jefatura de</w:t>
      </w:r>
    </w:p>
    <w:p>
      <w:pPr>
        <w:spacing w:after="0"/>
        <w:sectPr>
          <w:type w:val="continuous"/>
          <w:pgSz w:w="23250" w:h="15310" w:orient="landscape"/>
          <w:pgMar w:top="0" w:bottom="0" w:left="1880" w:right="1520"/>
          <w:cols w:num="3" w:equalWidth="0">
            <w:col w:w="4583" w:space="247"/>
            <w:col w:w="748" w:space="6044"/>
            <w:col w:w="8228"/>
          </w:cols>
        </w:sectPr>
      </w:pPr>
    </w:p>
    <w:p>
      <w:pPr>
        <w:pStyle w:val="ListParagraph"/>
        <w:numPr>
          <w:ilvl w:val="0"/>
          <w:numId w:val="152"/>
        </w:numPr>
        <w:tabs>
          <w:tab w:pos="331" w:val="left" w:leader="none"/>
          <w:tab w:pos="4949" w:val="left" w:leader="none"/>
        </w:tabs>
        <w:spacing w:line="240" w:lineRule="auto" w:before="38" w:after="0"/>
        <w:ind w:left="330" w:right="0" w:hanging="181"/>
        <w:jc w:val="left"/>
        <w:rPr>
          <w:sz w:val="15"/>
        </w:rPr>
      </w:pPr>
      <w:r>
        <w:rPr>
          <w:sz w:val="15"/>
        </w:rPr>
        <w:t>Casa habitación o departamento, </w:t>
      </w:r>
      <w:r>
        <w:rPr>
          <w:spacing w:val="12"/>
          <w:sz w:val="15"/>
        </w:rPr>
        <w:t> </w:t>
      </w:r>
      <w:r>
        <w:rPr>
          <w:sz w:val="15"/>
        </w:rPr>
        <w:t>cada</w:t>
      </w:r>
      <w:r>
        <w:rPr>
          <w:spacing w:val="13"/>
          <w:sz w:val="15"/>
        </w:rPr>
        <w:t> </w:t>
      </w:r>
      <w:r>
        <w:rPr>
          <w:sz w:val="15"/>
        </w:rPr>
        <w:t>uno:</w:t>
        <w:tab/>
        <w:t>$207.00</w:t>
      </w:r>
    </w:p>
    <w:p>
      <w:pPr>
        <w:pStyle w:val="ListParagraph"/>
        <w:numPr>
          <w:ilvl w:val="0"/>
          <w:numId w:val="152"/>
        </w:numPr>
        <w:tabs>
          <w:tab w:pos="331" w:val="left" w:leader="none"/>
          <w:tab w:pos="4822" w:val="left" w:leader="none"/>
        </w:tabs>
        <w:spacing w:line="240" w:lineRule="auto" w:before="38" w:after="0"/>
        <w:ind w:left="330" w:right="0" w:hanging="181"/>
        <w:jc w:val="left"/>
        <w:rPr>
          <w:sz w:val="15"/>
        </w:rPr>
      </w:pPr>
      <w:r>
        <w:rPr>
          <w:sz w:val="15"/>
        </w:rPr>
        <w:t>Comercio</w:t>
      </w:r>
      <w:r>
        <w:rPr>
          <w:spacing w:val="16"/>
          <w:sz w:val="15"/>
        </w:rPr>
        <w:t> </w:t>
      </w:r>
      <w:r>
        <w:rPr>
          <w:sz w:val="15"/>
        </w:rPr>
        <w:t>y</w:t>
      </w:r>
      <w:r>
        <w:rPr>
          <w:spacing w:val="17"/>
          <w:sz w:val="15"/>
        </w:rPr>
        <w:t> </w:t>
      </w:r>
      <w:r>
        <w:rPr>
          <w:sz w:val="15"/>
        </w:rPr>
        <w:t>oficinas:</w:t>
        <w:tab/>
        <w:t>$1,066.00</w:t>
      </w:r>
    </w:p>
    <w:p>
      <w:pPr>
        <w:pStyle w:val="BodyText"/>
        <w:tabs>
          <w:tab w:pos="4950" w:val="left" w:leader="none"/>
        </w:tabs>
        <w:spacing w:before="5"/>
        <w:ind w:left="150"/>
      </w:pPr>
      <w:r>
        <w:rPr/>
        <w:br w:type="column"/>
      </w:r>
      <w:r>
        <w:rPr/>
        <w:t>Patrimonio</w:t>
      </w:r>
      <w:r>
        <w:rPr>
          <w:spacing w:val="11"/>
        </w:rPr>
        <w:t> </w:t>
      </w:r>
      <w:r>
        <w:rPr/>
        <w:t>Cultural:</w:t>
        <w:tab/>
        <w:t>$600.00</w:t>
      </w:r>
    </w:p>
    <w:p>
      <w:pPr>
        <w:pStyle w:val="BodyText"/>
        <w:spacing w:before="10"/>
      </w:pPr>
    </w:p>
    <w:p>
      <w:pPr>
        <w:pStyle w:val="BodyText"/>
        <w:spacing w:line="100" w:lineRule="exact"/>
        <w:ind w:left="548"/>
      </w:pPr>
      <w:r>
        <w:rPr/>
        <w:t>XLIII. Dictamen técnico de Gradualidad de</w:t>
      </w:r>
    </w:p>
    <w:p>
      <w:pPr>
        <w:spacing w:after="0" w:line="100" w:lineRule="exact"/>
        <w:sectPr>
          <w:type w:val="continuous"/>
          <w:pgSz w:w="23250" w:h="15310" w:orient="landscape"/>
          <w:pgMar w:top="0" w:bottom="0" w:left="1880" w:right="1520"/>
          <w:cols w:num="2" w:equalWidth="0">
            <w:col w:w="5548" w:space="6074"/>
            <w:col w:w="8228"/>
          </w:cols>
        </w:sectPr>
      </w:pPr>
    </w:p>
    <w:p>
      <w:pPr>
        <w:pStyle w:val="ListParagraph"/>
        <w:numPr>
          <w:ilvl w:val="0"/>
          <w:numId w:val="152"/>
        </w:numPr>
        <w:tabs>
          <w:tab w:pos="323" w:val="left" w:leader="none"/>
        </w:tabs>
        <w:spacing w:line="171" w:lineRule="exact" w:before="0" w:after="0"/>
        <w:ind w:left="322" w:right="0" w:hanging="173"/>
        <w:jc w:val="left"/>
        <w:rPr>
          <w:sz w:val="15"/>
        </w:rPr>
      </w:pPr>
      <w:r>
        <w:rPr>
          <w:sz w:val="15"/>
        </w:rPr>
        <w:t>Para Industrias o fábricas</w:t>
      </w:r>
      <w:r>
        <w:rPr>
          <w:spacing w:val="6"/>
          <w:sz w:val="15"/>
        </w:rPr>
        <w:t> </w:t>
      </w:r>
      <w:r>
        <w:rPr>
          <w:sz w:val="15"/>
        </w:rPr>
        <w:t>de:</w:t>
      </w:r>
    </w:p>
    <w:p>
      <w:pPr>
        <w:pStyle w:val="BodyText"/>
        <w:tabs>
          <w:tab w:pos="4822" w:val="left" w:leader="none"/>
        </w:tabs>
        <w:spacing w:before="34"/>
        <w:ind w:left="150"/>
      </w:pPr>
      <w:r>
        <w:rPr/>
        <w:t>1.- Hasta</w:t>
      </w:r>
      <w:r>
        <w:rPr>
          <w:spacing w:val="10"/>
        </w:rPr>
        <w:t> </w:t>
      </w:r>
      <w:r>
        <w:rPr/>
        <w:t>500</w:t>
      </w:r>
      <w:r>
        <w:rPr>
          <w:spacing w:val="6"/>
        </w:rPr>
        <w:t> </w:t>
      </w:r>
      <w:r>
        <w:rPr/>
        <w:t>m</w:t>
      </w:r>
      <w:r>
        <w:rPr>
          <w:position w:val="5"/>
          <w:sz w:val="10"/>
        </w:rPr>
        <w:t>2</w:t>
      </w:r>
      <w:r>
        <w:rPr/>
        <w:t>.</w:t>
        <w:tab/>
        <w:t>$4,194.00</w:t>
      </w:r>
    </w:p>
    <w:p>
      <w:pPr>
        <w:pStyle w:val="BodyText"/>
        <w:tabs>
          <w:tab w:pos="4822" w:val="left" w:leader="none"/>
        </w:tabs>
        <w:spacing w:before="35"/>
        <w:ind w:left="150"/>
      </w:pPr>
      <w:r>
        <w:rPr/>
        <w:t>2.-De 500.01 a</w:t>
      </w:r>
      <w:r>
        <w:rPr>
          <w:spacing w:val="19"/>
        </w:rPr>
        <w:t> </w:t>
      </w:r>
      <w:r>
        <w:rPr/>
        <w:t>1,000</w:t>
      </w:r>
      <w:r>
        <w:rPr>
          <w:spacing w:val="7"/>
        </w:rPr>
        <w:t> </w:t>
      </w:r>
      <w:r>
        <w:rPr/>
        <w:t>m</w:t>
      </w:r>
      <w:r>
        <w:rPr>
          <w:position w:val="5"/>
          <w:sz w:val="10"/>
        </w:rPr>
        <w:t>2</w:t>
      </w:r>
      <w:r>
        <w:rPr/>
        <w:t>.</w:t>
        <w:tab/>
        <w:t>$8,258.00</w:t>
      </w:r>
    </w:p>
    <w:p>
      <w:pPr>
        <w:pStyle w:val="BodyText"/>
        <w:tabs>
          <w:tab w:pos="4736" w:val="left" w:leader="none"/>
        </w:tabs>
        <w:spacing w:line="158" w:lineRule="exact" w:before="37"/>
        <w:ind w:left="150"/>
      </w:pPr>
      <w:r>
        <w:rPr/>
        <w:t>3.- de 1,000.01 m2</w:t>
      </w:r>
      <w:r>
        <w:rPr>
          <w:spacing w:val="29"/>
        </w:rPr>
        <w:t> </w:t>
      </w:r>
      <w:r>
        <w:rPr/>
        <w:t>en</w:t>
      </w:r>
      <w:r>
        <w:rPr>
          <w:spacing w:val="8"/>
        </w:rPr>
        <w:t> </w:t>
      </w:r>
      <w:r>
        <w:rPr/>
        <w:t>adelante</w:t>
        <w:tab/>
        <w:t>$12,320.00</w:t>
      </w:r>
    </w:p>
    <w:p>
      <w:pPr>
        <w:pStyle w:val="BodyText"/>
        <w:spacing w:line="247" w:lineRule="auto" w:before="76"/>
        <w:ind w:left="150"/>
      </w:pPr>
      <w:r>
        <w:rPr/>
        <w:br w:type="column"/>
      </w:r>
      <w:r>
        <w:rPr/>
        <w:t>Equipamiento de la Dirección de Planeación Territorial y Urbana:</w:t>
      </w:r>
    </w:p>
    <w:p>
      <w:pPr>
        <w:pStyle w:val="BodyText"/>
        <w:spacing w:before="4"/>
      </w:pPr>
    </w:p>
    <w:p>
      <w:pPr>
        <w:pStyle w:val="BodyText"/>
        <w:ind w:left="548"/>
      </w:pPr>
      <w:r>
        <w:rPr/>
        <w:t>XLIV. Dictamen técnico para determinación de</w:t>
      </w:r>
    </w:p>
    <w:p>
      <w:pPr>
        <w:pStyle w:val="BodyText"/>
        <w:spacing w:before="76"/>
        <w:ind w:left="150"/>
      </w:pPr>
      <w:r>
        <w:rPr/>
        <w:br w:type="column"/>
      </w:r>
      <w:r>
        <w:rPr/>
        <w:t>$8,150.00</w:t>
      </w:r>
    </w:p>
    <w:p>
      <w:pPr>
        <w:spacing w:after="0"/>
        <w:sectPr>
          <w:type w:val="continuous"/>
          <w:pgSz w:w="23250" w:h="15310" w:orient="landscape"/>
          <w:pgMar w:top="0" w:bottom="0" w:left="1880" w:right="1520"/>
          <w:cols w:num="3" w:equalWidth="0">
            <w:col w:w="5548" w:space="6074"/>
            <w:col w:w="4059" w:space="611"/>
            <w:col w:w="3558"/>
          </w:cols>
        </w:sectPr>
      </w:pPr>
    </w:p>
    <w:p>
      <w:pPr>
        <w:pStyle w:val="ListParagraph"/>
        <w:numPr>
          <w:ilvl w:val="0"/>
          <w:numId w:val="152"/>
        </w:numPr>
        <w:tabs>
          <w:tab w:pos="331" w:val="left" w:leader="none"/>
          <w:tab w:pos="4821" w:val="left" w:leader="none"/>
        </w:tabs>
        <w:spacing w:line="240" w:lineRule="auto" w:before="52" w:after="0"/>
        <w:ind w:left="330" w:right="0" w:hanging="181"/>
        <w:jc w:val="left"/>
        <w:rPr>
          <w:sz w:val="15"/>
        </w:rPr>
      </w:pPr>
      <w:r>
        <w:rPr>
          <w:sz w:val="15"/>
        </w:rPr>
        <w:t>Vehículo y/o árbol caído </w:t>
      </w:r>
      <w:r>
        <w:rPr>
          <w:spacing w:val="10"/>
          <w:sz w:val="15"/>
        </w:rPr>
        <w:t> </w:t>
      </w:r>
      <w:r>
        <w:rPr>
          <w:sz w:val="15"/>
        </w:rPr>
        <w:t>sobre</w:t>
      </w:r>
      <w:r>
        <w:rPr>
          <w:spacing w:val="13"/>
          <w:sz w:val="15"/>
        </w:rPr>
        <w:t> </w:t>
      </w:r>
      <w:r>
        <w:rPr>
          <w:sz w:val="15"/>
        </w:rPr>
        <w:t>vehículo:</w:t>
        <w:tab/>
        <w:t>$1,403.00</w:t>
      </w:r>
    </w:p>
    <w:p>
      <w:pPr>
        <w:pStyle w:val="BodyText"/>
        <w:spacing w:before="9"/>
      </w:pPr>
    </w:p>
    <w:p>
      <w:pPr>
        <w:pStyle w:val="BodyText"/>
        <w:spacing w:line="244" w:lineRule="auto" w:before="1"/>
        <w:ind w:left="150" w:right="38"/>
        <w:jc w:val="both"/>
      </w:pPr>
      <w:r>
        <w:rPr/>
        <w:t>Si a criterio del Director de Protección Civil y Bomberos estima que como consecuencia del siniestro hubo pérdida considerable del patrimonio, el dictamen podrá entregarse sin costo, previa petición expresa del  afectado</w:t>
      </w:r>
      <w:r>
        <w:rPr>
          <w:spacing w:val="10"/>
        </w:rPr>
        <w:t> </w:t>
      </w:r>
      <w:r>
        <w:rPr/>
        <w:t>sin</w:t>
      </w:r>
      <w:r>
        <w:rPr>
          <w:spacing w:val="10"/>
        </w:rPr>
        <w:t> </w:t>
      </w:r>
      <w:r>
        <w:rPr/>
        <w:t>que</w:t>
      </w:r>
      <w:r>
        <w:rPr>
          <w:spacing w:val="11"/>
        </w:rPr>
        <w:t> </w:t>
      </w:r>
      <w:r>
        <w:rPr/>
        <w:t>medie</w:t>
      </w:r>
      <w:r>
        <w:rPr>
          <w:spacing w:val="11"/>
        </w:rPr>
        <w:t> </w:t>
      </w:r>
      <w:r>
        <w:rPr/>
        <w:t>persona</w:t>
      </w:r>
      <w:r>
        <w:rPr>
          <w:spacing w:val="11"/>
        </w:rPr>
        <w:t> </w:t>
      </w:r>
      <w:r>
        <w:rPr/>
        <w:t>física</w:t>
      </w:r>
      <w:r>
        <w:rPr>
          <w:spacing w:val="10"/>
        </w:rPr>
        <w:t> </w:t>
      </w:r>
      <w:r>
        <w:rPr/>
        <w:t>o</w:t>
      </w:r>
      <w:r>
        <w:rPr>
          <w:spacing w:val="11"/>
        </w:rPr>
        <w:t> </w:t>
      </w:r>
      <w:r>
        <w:rPr/>
        <w:t>moral,</w:t>
      </w:r>
      <w:r>
        <w:rPr>
          <w:spacing w:val="11"/>
        </w:rPr>
        <w:t> </w:t>
      </w:r>
      <w:r>
        <w:rPr/>
        <w:t>el</w:t>
      </w:r>
      <w:r>
        <w:rPr>
          <w:spacing w:val="11"/>
        </w:rPr>
        <w:t> </w:t>
      </w:r>
      <w:r>
        <w:rPr/>
        <w:t>dictamen</w:t>
      </w:r>
      <w:r>
        <w:rPr>
          <w:spacing w:val="11"/>
        </w:rPr>
        <w:t> </w:t>
      </w:r>
      <w:r>
        <w:rPr/>
        <w:t>deberá</w:t>
      </w:r>
      <w:r>
        <w:rPr>
          <w:spacing w:val="11"/>
        </w:rPr>
        <w:t> </w:t>
      </w:r>
      <w:r>
        <w:rPr/>
        <w:t>ser</w:t>
      </w:r>
      <w:r>
        <w:rPr>
          <w:spacing w:val="9"/>
        </w:rPr>
        <w:t> </w:t>
      </w:r>
      <w:r>
        <w:rPr/>
        <w:t>entregado</w:t>
      </w:r>
      <w:r>
        <w:rPr>
          <w:spacing w:val="11"/>
        </w:rPr>
        <w:t> </w:t>
      </w:r>
      <w:r>
        <w:rPr/>
        <w:t>expresamente</w:t>
      </w:r>
      <w:r>
        <w:rPr>
          <w:spacing w:val="11"/>
        </w:rPr>
        <w:t> </w:t>
      </w:r>
      <w:r>
        <w:rPr/>
        <w:t>al</w:t>
      </w:r>
      <w:r>
        <w:rPr>
          <w:spacing w:val="11"/>
        </w:rPr>
        <w:t> </w:t>
      </w:r>
      <w:r>
        <w:rPr/>
        <w:t>interesado.</w:t>
      </w:r>
    </w:p>
    <w:p>
      <w:pPr>
        <w:pStyle w:val="BodyText"/>
        <w:spacing w:before="7"/>
      </w:pPr>
    </w:p>
    <w:p>
      <w:pPr>
        <w:pStyle w:val="BodyText"/>
        <w:spacing w:line="247" w:lineRule="auto"/>
        <w:ind w:left="150" w:firstLine="397"/>
      </w:pPr>
      <w:r>
        <w:rPr/>
        <w:t>XL. Por la expedición de dictamen de supervisión de medidas de seguridad y equipos contra incendios otorgado por la Dirección de Protección Civil y Bomberos a solicitud de parte:</w:t>
      </w:r>
    </w:p>
    <w:p>
      <w:pPr>
        <w:pStyle w:val="BodyText"/>
        <w:spacing w:before="3"/>
      </w:pPr>
    </w:p>
    <w:p>
      <w:pPr>
        <w:pStyle w:val="ListParagraph"/>
        <w:numPr>
          <w:ilvl w:val="0"/>
          <w:numId w:val="153"/>
        </w:numPr>
        <w:tabs>
          <w:tab w:pos="331" w:val="left" w:leader="none"/>
        </w:tabs>
        <w:spacing w:line="240" w:lineRule="auto" w:before="0" w:after="0"/>
        <w:ind w:left="330" w:right="0" w:hanging="181"/>
        <w:jc w:val="left"/>
        <w:rPr>
          <w:sz w:val="15"/>
        </w:rPr>
      </w:pPr>
      <w:r>
        <w:rPr>
          <w:sz w:val="15"/>
        </w:rPr>
        <w:t>Escuelas, colegios, e instituciones educativas</w:t>
      </w:r>
      <w:r>
        <w:rPr>
          <w:spacing w:val="7"/>
          <w:sz w:val="15"/>
        </w:rPr>
        <w:t> </w:t>
      </w:r>
      <w:r>
        <w:rPr>
          <w:sz w:val="15"/>
        </w:rPr>
        <w:t>particulares:</w:t>
      </w:r>
    </w:p>
    <w:p>
      <w:pPr>
        <w:pStyle w:val="BodyText"/>
        <w:tabs>
          <w:tab w:pos="4981" w:val="left" w:leader="none"/>
        </w:tabs>
        <w:spacing w:before="22"/>
        <w:ind w:left="189"/>
        <w:jc w:val="both"/>
      </w:pPr>
      <w:r>
        <w:rPr/>
        <w:t>1.- Hasta</w:t>
      </w:r>
      <w:r>
        <w:rPr>
          <w:spacing w:val="12"/>
        </w:rPr>
        <w:t> </w:t>
      </w:r>
      <w:r>
        <w:rPr/>
        <w:t>de</w:t>
      </w:r>
      <w:r>
        <w:rPr>
          <w:spacing w:val="6"/>
        </w:rPr>
        <w:t> </w:t>
      </w:r>
      <w:r>
        <w:rPr/>
        <w:t>200:</w:t>
        <w:tab/>
        <w:t>$471.00</w:t>
      </w:r>
    </w:p>
    <w:p>
      <w:pPr>
        <w:pStyle w:val="BodyText"/>
        <w:tabs>
          <w:tab w:pos="4852" w:val="left" w:leader="none"/>
        </w:tabs>
        <w:spacing w:line="75" w:lineRule="exact" w:before="37"/>
        <w:ind w:left="189"/>
        <w:jc w:val="both"/>
      </w:pPr>
      <w:r>
        <w:rPr/>
        <w:t>2.- De 200.01</w:t>
      </w:r>
      <w:r>
        <w:rPr>
          <w:spacing w:val="17"/>
        </w:rPr>
        <w:t> </w:t>
      </w:r>
      <w:r>
        <w:rPr/>
        <w:t>a</w:t>
      </w:r>
      <w:r>
        <w:rPr>
          <w:spacing w:val="6"/>
        </w:rPr>
        <w:t> </w:t>
      </w:r>
      <w:r>
        <w:rPr/>
        <w:t>400:</w:t>
        <w:tab/>
        <w:t>$1,515.00</w:t>
      </w:r>
    </w:p>
    <w:p>
      <w:pPr>
        <w:pStyle w:val="BodyText"/>
        <w:tabs>
          <w:tab w:pos="4950" w:val="left" w:leader="none"/>
        </w:tabs>
        <w:spacing w:line="171" w:lineRule="exact"/>
        <w:ind w:left="150"/>
      </w:pPr>
      <w:r>
        <w:rPr/>
        <w:br w:type="column"/>
      </w:r>
      <w:r>
        <w:rPr/>
        <w:t>cuota de</w:t>
      </w:r>
      <w:r>
        <w:rPr>
          <w:spacing w:val="13"/>
        </w:rPr>
        <w:t> </w:t>
      </w:r>
      <w:r>
        <w:rPr/>
        <w:t>agua</w:t>
      </w:r>
      <w:r>
        <w:rPr>
          <w:spacing w:val="7"/>
        </w:rPr>
        <w:t> </w:t>
      </w:r>
      <w:r>
        <w:rPr/>
        <w:t>potable:</w:t>
        <w:tab/>
        <w:t>$790.00</w:t>
      </w:r>
    </w:p>
    <w:p>
      <w:pPr>
        <w:pStyle w:val="BodyText"/>
        <w:spacing w:before="8"/>
      </w:pPr>
    </w:p>
    <w:p>
      <w:pPr>
        <w:pStyle w:val="BodyText"/>
        <w:spacing w:line="247" w:lineRule="auto"/>
        <w:ind w:left="150" w:right="512" w:firstLine="397"/>
        <w:jc w:val="both"/>
      </w:pPr>
      <w:r>
        <w:rPr/>
        <w:t>Los documentos a que alude el presente artículo se entregarán en un plazo de 5 días hábiles contados      a partir del día siguiente al de la fecha de recepción de la solicitud acompañada del recibo de pago correspondiente.</w:t>
      </w:r>
    </w:p>
    <w:p>
      <w:pPr>
        <w:pStyle w:val="BodyText"/>
        <w:spacing w:before="4"/>
      </w:pPr>
    </w:p>
    <w:p>
      <w:pPr>
        <w:pStyle w:val="Heading4"/>
        <w:ind w:left="1840" w:right="2192"/>
      </w:pPr>
      <w:r>
        <w:rPr/>
        <w:t>SECCIÓN DÉCIMA SEXTA</w:t>
      </w:r>
    </w:p>
    <w:p>
      <w:pPr>
        <w:spacing w:before="5"/>
        <w:ind w:left="1836" w:right="2192" w:firstLine="0"/>
        <w:jc w:val="center"/>
        <w:rPr>
          <w:b/>
          <w:sz w:val="15"/>
        </w:rPr>
      </w:pPr>
      <w:r>
        <w:rPr>
          <w:b/>
          <w:sz w:val="15"/>
        </w:rPr>
        <w:t>De los Servicios de la Dirección de Catastro Municipal</w:t>
      </w:r>
    </w:p>
    <w:p>
      <w:pPr>
        <w:pStyle w:val="BodyText"/>
        <w:spacing w:before="8"/>
        <w:rPr>
          <w:b/>
        </w:rPr>
      </w:pPr>
    </w:p>
    <w:p>
      <w:pPr>
        <w:pStyle w:val="BodyText"/>
        <w:spacing w:line="247" w:lineRule="auto"/>
        <w:ind w:left="150" w:right="509" w:firstLine="397"/>
        <w:jc w:val="both"/>
      </w:pPr>
      <w:r>
        <w:rPr>
          <w:b/>
        </w:rPr>
        <w:t>Artículo 112.- </w:t>
      </w:r>
      <w:r>
        <w:rPr/>
        <w:t>Las personas físicas o jurídicas que requieran de los servicios de la Dirección de Catastro Municipal que en esta sección se enumeran, pagarán los derechos correspondientes  conforme  a  las  siguientes:</w:t>
      </w:r>
    </w:p>
    <w:p>
      <w:pPr>
        <w:spacing w:after="0" w:line="247" w:lineRule="auto"/>
        <w:jc w:val="both"/>
        <w:sectPr>
          <w:type w:val="continuous"/>
          <w:pgSz w:w="23250" w:h="15310" w:orient="landscape"/>
          <w:pgMar w:top="0" w:bottom="0" w:left="1880" w:right="1520"/>
          <w:cols w:num="2" w:equalWidth="0">
            <w:col w:w="7751" w:space="3870"/>
            <w:col w:w="8229"/>
          </w:cols>
        </w:sectPr>
      </w:pPr>
    </w:p>
    <w:p>
      <w:pPr>
        <w:pStyle w:val="BodyText"/>
        <w:tabs>
          <w:tab w:pos="4852" w:val="left" w:leader="none"/>
        </w:tabs>
        <w:spacing w:before="135"/>
        <w:ind w:left="189"/>
      </w:pPr>
      <w:r>
        <w:rPr/>
        <w:pict>
          <v:shape style="position:absolute;margin-left:99.025665pt;margin-top:25.350256pt;width:274.4pt;height:130.1pt;mso-position-horizontal-relative:page;mso-position-vertical-relative:paragraph;z-index:2517022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7"/>
                    <w:gridCol w:w="2040"/>
                  </w:tblGrid>
                  <w:tr>
                    <w:trPr>
                      <w:trHeight w:val="422" w:hRule="atLeast"/>
                    </w:trPr>
                    <w:tc>
                      <w:tcPr>
                        <w:tcW w:w="3447" w:type="dxa"/>
                      </w:tcPr>
                      <w:p>
                        <w:pPr>
                          <w:pStyle w:val="TableParagraph"/>
                          <w:numPr>
                            <w:ilvl w:val="0"/>
                            <w:numId w:val="154"/>
                          </w:numPr>
                          <w:tabs>
                            <w:tab w:pos="269" w:val="left" w:leader="none"/>
                          </w:tabs>
                          <w:spacing w:line="171" w:lineRule="exact" w:before="0" w:after="0"/>
                          <w:ind w:left="268" w:right="0" w:hanging="180"/>
                          <w:jc w:val="left"/>
                          <w:rPr>
                            <w:sz w:val="15"/>
                          </w:rPr>
                        </w:pPr>
                        <w:r>
                          <w:rPr>
                            <w:sz w:val="15"/>
                          </w:rPr>
                          <w:t>Centros nocturnos,</w:t>
                        </w:r>
                        <w:r>
                          <w:rPr>
                            <w:spacing w:val="3"/>
                            <w:sz w:val="15"/>
                          </w:rPr>
                          <w:t> </w:t>
                        </w:r>
                        <w:r>
                          <w:rPr>
                            <w:sz w:val="15"/>
                          </w:rPr>
                          <w:t>de:</w:t>
                        </w:r>
                      </w:p>
                      <w:p>
                        <w:pPr>
                          <w:pStyle w:val="TableParagraph"/>
                          <w:numPr>
                            <w:ilvl w:val="0"/>
                            <w:numId w:val="154"/>
                          </w:numPr>
                          <w:tabs>
                            <w:tab w:pos="222" w:val="left" w:leader="none"/>
                          </w:tabs>
                          <w:spacing w:line="240" w:lineRule="auto" w:before="5" w:after="0"/>
                          <w:ind w:left="221" w:right="0" w:hanging="172"/>
                          <w:jc w:val="left"/>
                          <w:rPr>
                            <w:sz w:val="15"/>
                          </w:rPr>
                        </w:pPr>
                        <w:r>
                          <w:rPr>
                            <w:sz w:val="15"/>
                          </w:rPr>
                          <w:t>Estacionamientos,</w:t>
                        </w:r>
                        <w:r>
                          <w:rPr>
                            <w:spacing w:val="1"/>
                            <w:sz w:val="15"/>
                          </w:rPr>
                          <w:t> </w:t>
                        </w:r>
                        <w:r>
                          <w:rPr>
                            <w:sz w:val="15"/>
                          </w:rPr>
                          <w:t>de:</w:t>
                        </w:r>
                      </w:p>
                    </w:tc>
                    <w:tc>
                      <w:tcPr>
                        <w:tcW w:w="2040" w:type="dxa"/>
                      </w:tcPr>
                      <w:p>
                        <w:pPr>
                          <w:pStyle w:val="TableParagraph"/>
                          <w:spacing w:line="83" w:lineRule="exact"/>
                          <w:ind w:right="48"/>
                          <w:jc w:val="right"/>
                          <w:rPr>
                            <w:sz w:val="15"/>
                          </w:rPr>
                        </w:pPr>
                        <w:r>
                          <w:rPr>
                            <w:sz w:val="15"/>
                          </w:rPr>
                          <w:t>$2,435.00</w:t>
                        </w:r>
                      </w:p>
                    </w:tc>
                  </w:tr>
                  <w:tr>
                    <w:trPr>
                      <w:trHeight w:val="263" w:hRule="atLeast"/>
                    </w:trPr>
                    <w:tc>
                      <w:tcPr>
                        <w:tcW w:w="3447" w:type="dxa"/>
                      </w:tcPr>
                      <w:p>
                        <w:pPr>
                          <w:pStyle w:val="TableParagraph"/>
                          <w:spacing w:before="71"/>
                          <w:ind w:left="88"/>
                          <w:rPr>
                            <w:sz w:val="15"/>
                          </w:rPr>
                        </w:pPr>
                        <w:r>
                          <w:rPr>
                            <w:sz w:val="15"/>
                          </w:rPr>
                          <w:t>1.- Hasta 20 cajones</w:t>
                        </w:r>
                      </w:p>
                    </w:tc>
                    <w:tc>
                      <w:tcPr>
                        <w:tcW w:w="2040" w:type="dxa"/>
                      </w:tcPr>
                      <w:p>
                        <w:pPr>
                          <w:pStyle w:val="TableParagraph"/>
                          <w:spacing w:before="71"/>
                          <w:ind w:right="47"/>
                          <w:jc w:val="right"/>
                          <w:rPr>
                            <w:sz w:val="15"/>
                          </w:rPr>
                        </w:pPr>
                        <w:r>
                          <w:rPr>
                            <w:sz w:val="15"/>
                          </w:rPr>
                          <w:t>$1,596.00</w:t>
                        </w:r>
                      </w:p>
                    </w:tc>
                  </w:tr>
                  <w:tr>
                    <w:trPr>
                      <w:trHeight w:val="209" w:hRule="atLeast"/>
                    </w:trPr>
                    <w:tc>
                      <w:tcPr>
                        <w:tcW w:w="3447" w:type="dxa"/>
                      </w:tcPr>
                      <w:p>
                        <w:pPr>
                          <w:pStyle w:val="TableParagraph"/>
                          <w:spacing w:before="17"/>
                          <w:ind w:left="88"/>
                          <w:rPr>
                            <w:sz w:val="15"/>
                          </w:rPr>
                        </w:pPr>
                        <w:r>
                          <w:rPr>
                            <w:sz w:val="15"/>
                          </w:rPr>
                          <w:t>2.- De 21 a 50 cajones</w:t>
                        </w:r>
                      </w:p>
                    </w:tc>
                    <w:tc>
                      <w:tcPr>
                        <w:tcW w:w="2040" w:type="dxa"/>
                      </w:tcPr>
                      <w:p>
                        <w:pPr>
                          <w:pStyle w:val="TableParagraph"/>
                          <w:spacing w:before="17"/>
                          <w:ind w:right="47"/>
                          <w:jc w:val="right"/>
                          <w:rPr>
                            <w:sz w:val="15"/>
                          </w:rPr>
                        </w:pPr>
                        <w:r>
                          <w:rPr>
                            <w:sz w:val="15"/>
                          </w:rPr>
                          <w:t>$2,068.00</w:t>
                        </w:r>
                      </w:p>
                    </w:tc>
                  </w:tr>
                  <w:tr>
                    <w:trPr>
                      <w:trHeight w:val="298" w:hRule="atLeast"/>
                    </w:trPr>
                    <w:tc>
                      <w:tcPr>
                        <w:tcW w:w="3447" w:type="dxa"/>
                      </w:tcPr>
                      <w:p>
                        <w:pPr>
                          <w:pStyle w:val="TableParagraph"/>
                          <w:spacing w:before="17"/>
                          <w:ind w:left="88"/>
                          <w:rPr>
                            <w:sz w:val="15"/>
                          </w:rPr>
                        </w:pPr>
                        <w:r>
                          <w:rPr>
                            <w:sz w:val="15"/>
                          </w:rPr>
                          <w:t>3.- De 51 cajones en adelante</w:t>
                        </w:r>
                      </w:p>
                    </w:tc>
                    <w:tc>
                      <w:tcPr>
                        <w:tcW w:w="2040" w:type="dxa"/>
                      </w:tcPr>
                      <w:p>
                        <w:pPr>
                          <w:pStyle w:val="TableParagraph"/>
                          <w:spacing w:before="17"/>
                          <w:ind w:right="48"/>
                          <w:jc w:val="right"/>
                          <w:rPr>
                            <w:sz w:val="15"/>
                          </w:rPr>
                        </w:pPr>
                        <w:r>
                          <w:rPr>
                            <w:sz w:val="15"/>
                          </w:rPr>
                          <w:t>$2,435.00</w:t>
                        </w:r>
                      </w:p>
                    </w:tc>
                  </w:tr>
                  <w:tr>
                    <w:trPr>
                      <w:trHeight w:val="378" w:hRule="atLeast"/>
                    </w:trPr>
                    <w:tc>
                      <w:tcPr>
                        <w:tcW w:w="3447" w:type="dxa"/>
                      </w:tcPr>
                      <w:p>
                        <w:pPr>
                          <w:pStyle w:val="TableParagraph"/>
                          <w:spacing w:before="106"/>
                          <w:ind w:left="88"/>
                          <w:rPr>
                            <w:sz w:val="15"/>
                          </w:rPr>
                        </w:pPr>
                        <w:r>
                          <w:rPr>
                            <w:sz w:val="15"/>
                          </w:rPr>
                          <w:t>d) Estaciones de servicio, de:</w:t>
                        </w:r>
                      </w:p>
                    </w:tc>
                    <w:tc>
                      <w:tcPr>
                        <w:tcW w:w="2040" w:type="dxa"/>
                      </w:tcPr>
                      <w:p>
                        <w:pPr>
                          <w:pStyle w:val="TableParagraph"/>
                          <w:spacing w:before="106"/>
                          <w:ind w:right="48"/>
                          <w:jc w:val="right"/>
                          <w:rPr>
                            <w:sz w:val="15"/>
                          </w:rPr>
                        </w:pPr>
                        <w:r>
                          <w:rPr>
                            <w:sz w:val="15"/>
                          </w:rPr>
                          <w:t>$3,608.00</w:t>
                        </w:r>
                      </w:p>
                    </w:tc>
                  </w:tr>
                  <w:tr>
                    <w:trPr>
                      <w:trHeight w:val="362" w:hRule="atLeast"/>
                    </w:trPr>
                    <w:tc>
                      <w:tcPr>
                        <w:tcW w:w="3447" w:type="dxa"/>
                      </w:tcPr>
                      <w:p>
                        <w:pPr>
                          <w:pStyle w:val="TableParagraph"/>
                          <w:spacing w:before="98"/>
                          <w:ind w:left="88"/>
                          <w:rPr>
                            <w:sz w:val="15"/>
                          </w:rPr>
                        </w:pPr>
                        <w:r>
                          <w:rPr>
                            <w:sz w:val="15"/>
                          </w:rPr>
                          <w:t>e) Fuegos pirotécnicos, de:</w:t>
                        </w:r>
                      </w:p>
                    </w:tc>
                    <w:tc>
                      <w:tcPr>
                        <w:tcW w:w="2040" w:type="dxa"/>
                      </w:tcPr>
                      <w:p>
                        <w:pPr>
                          <w:pStyle w:val="TableParagraph"/>
                          <w:spacing w:before="9"/>
                          <w:ind w:right="48"/>
                          <w:jc w:val="right"/>
                          <w:rPr>
                            <w:sz w:val="15"/>
                          </w:rPr>
                        </w:pPr>
                        <w:r>
                          <w:rPr>
                            <w:sz w:val="15"/>
                          </w:rPr>
                          <w:t>$3,700.00</w:t>
                        </w:r>
                      </w:p>
                    </w:tc>
                  </w:tr>
                  <w:tr>
                    <w:trPr>
                      <w:trHeight w:val="475" w:hRule="atLeast"/>
                    </w:trPr>
                    <w:tc>
                      <w:tcPr>
                        <w:tcW w:w="3447" w:type="dxa"/>
                      </w:tcPr>
                      <w:p>
                        <w:pPr>
                          <w:pStyle w:val="TableParagraph"/>
                          <w:spacing w:line="190" w:lineRule="atLeast" w:before="72"/>
                          <w:ind w:left="88" w:right="2175" w:hanging="39"/>
                          <w:rPr>
                            <w:sz w:val="15"/>
                          </w:rPr>
                        </w:pPr>
                        <w:r>
                          <w:rPr>
                            <w:sz w:val="15"/>
                          </w:rPr>
                          <w:t>f) Tlapalerías, de: 1.- Hasta 150 m2</w:t>
                        </w:r>
                      </w:p>
                    </w:tc>
                    <w:tc>
                      <w:tcPr>
                        <w:tcW w:w="2040" w:type="dxa"/>
                      </w:tcPr>
                      <w:p>
                        <w:pPr>
                          <w:pStyle w:val="TableParagraph"/>
                          <w:rPr>
                            <w:sz w:val="16"/>
                          </w:rPr>
                        </w:pPr>
                      </w:p>
                      <w:p>
                        <w:pPr>
                          <w:pStyle w:val="TableParagraph"/>
                          <w:spacing w:before="99"/>
                          <w:ind w:right="48"/>
                          <w:jc w:val="right"/>
                          <w:rPr>
                            <w:sz w:val="15"/>
                          </w:rPr>
                        </w:pPr>
                        <w:r>
                          <w:rPr>
                            <w:sz w:val="15"/>
                          </w:rPr>
                          <w:t>$1,596.00</w:t>
                        </w:r>
                      </w:p>
                    </w:tc>
                  </w:tr>
                  <w:tr>
                    <w:trPr>
                      <w:trHeight w:val="190" w:hRule="atLeast"/>
                    </w:trPr>
                    <w:tc>
                      <w:tcPr>
                        <w:tcW w:w="3447" w:type="dxa"/>
                      </w:tcPr>
                      <w:p>
                        <w:pPr>
                          <w:pStyle w:val="TableParagraph"/>
                          <w:spacing w:line="153" w:lineRule="exact" w:before="17"/>
                          <w:ind w:left="88"/>
                          <w:rPr>
                            <w:sz w:val="15"/>
                          </w:rPr>
                        </w:pPr>
                        <w:r>
                          <w:rPr>
                            <w:sz w:val="15"/>
                          </w:rPr>
                          <w:t>2.- De 150.01 m2 en adelante</w:t>
                        </w:r>
                      </w:p>
                    </w:tc>
                    <w:tc>
                      <w:tcPr>
                        <w:tcW w:w="2040" w:type="dxa"/>
                      </w:tcPr>
                      <w:p>
                        <w:pPr>
                          <w:pStyle w:val="TableParagraph"/>
                          <w:spacing w:line="153" w:lineRule="exact" w:before="17"/>
                          <w:ind w:right="48"/>
                          <w:jc w:val="right"/>
                          <w:rPr>
                            <w:sz w:val="15"/>
                          </w:rPr>
                        </w:pPr>
                        <w:r>
                          <w:rPr>
                            <w:sz w:val="15"/>
                          </w:rPr>
                          <w:t>$3,750.00</w:t>
                        </w:r>
                      </w:p>
                    </w:tc>
                  </w:tr>
                </w:tbl>
                <w:p>
                  <w:pPr>
                    <w:pStyle w:val="BodyText"/>
                  </w:pPr>
                </w:p>
              </w:txbxContent>
            </v:textbox>
            <w10:wrap type="none"/>
          </v:shape>
        </w:pict>
      </w:r>
      <w:r>
        <w:rPr/>
        <w:t>3.- de 400</w:t>
      </w:r>
      <w:r>
        <w:rPr>
          <w:spacing w:val="19"/>
        </w:rPr>
        <w:t> </w:t>
      </w:r>
      <w:r>
        <w:rPr/>
        <w:t>en</w:t>
      </w:r>
      <w:r>
        <w:rPr>
          <w:spacing w:val="7"/>
        </w:rPr>
        <w:t> </w:t>
      </w:r>
      <w:r>
        <w:rPr/>
        <w:t>adelante:</w:t>
        <w:tab/>
        <w:t>$2,540.00</w:t>
      </w:r>
    </w:p>
    <w:p>
      <w:pPr>
        <w:pStyle w:val="BodyText"/>
        <w:spacing w:before="2"/>
      </w:pPr>
      <w:r>
        <w:rPr/>
        <w:br w:type="column"/>
      </w:r>
      <w:r>
        <w:rPr/>
      </w:r>
    </w:p>
    <w:p>
      <w:pPr>
        <w:pStyle w:val="ListParagraph"/>
        <w:numPr>
          <w:ilvl w:val="1"/>
          <w:numId w:val="153"/>
        </w:numPr>
        <w:tabs>
          <w:tab w:pos="696" w:val="left" w:leader="none"/>
        </w:tabs>
        <w:spacing w:line="240" w:lineRule="auto" w:before="1" w:after="0"/>
        <w:ind w:left="695" w:right="0" w:hanging="130"/>
        <w:jc w:val="left"/>
        <w:rPr>
          <w:sz w:val="15"/>
        </w:rPr>
      </w:pPr>
      <w:r>
        <w:rPr>
          <w:sz w:val="15"/>
        </w:rPr>
        <w:t>Copia de</w:t>
      </w:r>
      <w:r>
        <w:rPr>
          <w:spacing w:val="2"/>
          <w:sz w:val="15"/>
        </w:rPr>
        <w:t> </w:t>
      </w:r>
      <w:r>
        <w:rPr>
          <w:sz w:val="15"/>
        </w:rPr>
        <w:t>planos:</w:t>
      </w:r>
    </w:p>
    <w:p>
      <w:pPr>
        <w:pStyle w:val="BodyText"/>
        <w:spacing w:before="9"/>
      </w:pPr>
    </w:p>
    <w:p>
      <w:pPr>
        <w:pStyle w:val="ListParagraph"/>
        <w:numPr>
          <w:ilvl w:val="0"/>
          <w:numId w:val="155"/>
        </w:numPr>
        <w:tabs>
          <w:tab w:pos="747" w:val="left" w:leader="none"/>
          <w:tab w:pos="5052" w:val="left" w:leader="none"/>
        </w:tabs>
        <w:spacing w:line="240" w:lineRule="auto" w:before="0" w:after="0"/>
        <w:ind w:left="746" w:right="0" w:hanging="181"/>
        <w:jc w:val="left"/>
        <w:rPr>
          <w:sz w:val="15"/>
        </w:rPr>
      </w:pPr>
      <w:r>
        <w:rPr>
          <w:sz w:val="15"/>
        </w:rPr>
        <w:t>De manzana, por</w:t>
      </w:r>
      <w:r>
        <w:rPr>
          <w:spacing w:val="36"/>
          <w:sz w:val="15"/>
        </w:rPr>
        <w:t> </w:t>
      </w:r>
      <w:r>
        <w:rPr>
          <w:sz w:val="15"/>
        </w:rPr>
        <w:t>cada</w:t>
      </w:r>
      <w:r>
        <w:rPr>
          <w:spacing w:val="13"/>
          <w:sz w:val="15"/>
        </w:rPr>
        <w:t> </w:t>
      </w:r>
      <w:r>
        <w:rPr>
          <w:sz w:val="15"/>
        </w:rPr>
        <w:t>lámina:</w:t>
        <w:tab/>
      </w:r>
      <w:r>
        <w:rPr>
          <w:spacing w:val="-3"/>
          <w:sz w:val="15"/>
        </w:rPr>
        <w:t>$132.00</w:t>
      </w:r>
    </w:p>
    <w:p>
      <w:pPr>
        <w:pStyle w:val="BodyText"/>
        <w:spacing w:before="9"/>
      </w:pPr>
    </w:p>
    <w:p>
      <w:pPr>
        <w:pStyle w:val="ListParagraph"/>
        <w:numPr>
          <w:ilvl w:val="0"/>
          <w:numId w:val="155"/>
        </w:numPr>
        <w:tabs>
          <w:tab w:pos="773" w:val="left" w:leader="none"/>
        </w:tabs>
        <w:spacing w:line="247" w:lineRule="auto" w:before="0" w:after="0"/>
        <w:ind w:left="189" w:right="892" w:firstLine="377"/>
        <w:jc w:val="left"/>
        <w:rPr>
          <w:sz w:val="15"/>
        </w:rPr>
      </w:pPr>
      <w:r>
        <w:rPr>
          <w:sz w:val="15"/>
        </w:rPr>
        <w:t>Plano general de población, fraccionamiento o de zona catastral, por cada lámina, según</w:t>
      </w:r>
      <w:r>
        <w:rPr>
          <w:spacing w:val="11"/>
          <w:sz w:val="15"/>
        </w:rPr>
        <w:t> </w:t>
      </w:r>
      <w:r>
        <w:rPr>
          <w:sz w:val="15"/>
        </w:rPr>
        <w:t>tamaño:</w:t>
      </w:r>
    </w:p>
    <w:p>
      <w:pPr>
        <w:pStyle w:val="BodyText"/>
        <w:spacing w:line="171" w:lineRule="exact"/>
        <w:ind w:left="189"/>
      </w:pPr>
      <w:r>
        <w:rPr/>
        <w:br w:type="column"/>
      </w:r>
      <w:r>
        <w:rPr/>
        <w:t>TARIFAS</w:t>
      </w:r>
    </w:p>
    <w:p>
      <w:pPr>
        <w:spacing w:after="0" w:line="171" w:lineRule="exact"/>
        <w:sectPr>
          <w:type w:val="continuous"/>
          <w:pgSz w:w="23250" w:h="15310" w:orient="landscape"/>
          <w:pgMar w:top="0" w:bottom="0" w:left="1880" w:right="1520"/>
          <w:cols w:num="3" w:equalWidth="0">
            <w:col w:w="5578" w:space="6024"/>
            <w:col w:w="5609" w:space="43"/>
            <w:col w:w="2596"/>
          </w:cols>
        </w:sectPr>
      </w:pPr>
    </w:p>
    <w:p>
      <w:pPr>
        <w:pStyle w:val="BodyText"/>
        <w:spacing w:before="5"/>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5"/>
        <w:gridCol w:w="7574"/>
        <w:gridCol w:w="4366"/>
        <w:gridCol w:w="778"/>
      </w:tblGrid>
      <w:tr>
        <w:trPr>
          <w:trHeight w:val="439" w:hRule="atLeast"/>
        </w:trPr>
        <w:tc>
          <w:tcPr>
            <w:tcW w:w="16385" w:type="dxa"/>
            <w:gridSpan w:val="3"/>
          </w:tcPr>
          <w:p>
            <w:pPr>
              <w:pStyle w:val="TableParagraph"/>
              <w:spacing w:line="171" w:lineRule="exact"/>
              <w:ind w:right="1533"/>
              <w:jc w:val="right"/>
              <w:rPr>
                <w:sz w:val="15"/>
              </w:rPr>
            </w:pPr>
            <w:r>
              <w:rPr>
                <w:sz w:val="15"/>
              </w:rPr>
              <w:t>1. ISO AO 84.10 por 118.90 centímetros:</w:t>
            </w:r>
          </w:p>
        </w:tc>
        <w:tc>
          <w:tcPr>
            <w:tcW w:w="778" w:type="dxa"/>
          </w:tcPr>
          <w:p>
            <w:pPr>
              <w:pStyle w:val="TableParagraph"/>
              <w:spacing w:before="3"/>
              <w:rPr>
                <w:sz w:val="15"/>
              </w:rPr>
            </w:pPr>
          </w:p>
          <w:p>
            <w:pPr>
              <w:pStyle w:val="TableParagraph"/>
              <w:ind w:right="51"/>
              <w:jc w:val="right"/>
              <w:rPr>
                <w:sz w:val="15"/>
              </w:rPr>
            </w:pPr>
            <w:r>
              <w:rPr>
                <w:sz w:val="15"/>
              </w:rPr>
              <w:t>$202.00</w:t>
            </w:r>
          </w:p>
        </w:tc>
      </w:tr>
      <w:tr>
        <w:trPr>
          <w:trHeight w:val="354" w:hRule="atLeast"/>
        </w:trPr>
        <w:tc>
          <w:tcPr>
            <w:tcW w:w="16385" w:type="dxa"/>
            <w:gridSpan w:val="3"/>
          </w:tcPr>
          <w:p>
            <w:pPr>
              <w:pStyle w:val="TableParagraph"/>
              <w:spacing w:before="89"/>
              <w:ind w:right="1642"/>
              <w:jc w:val="right"/>
              <w:rPr>
                <w:sz w:val="15"/>
              </w:rPr>
            </w:pPr>
            <w:r>
              <w:rPr>
                <w:sz w:val="15"/>
              </w:rPr>
              <w:t>2. ISO A1 84.10 por 59.40 centímetros:</w:t>
            </w:r>
          </w:p>
        </w:tc>
        <w:tc>
          <w:tcPr>
            <w:tcW w:w="778" w:type="dxa"/>
          </w:tcPr>
          <w:p>
            <w:pPr>
              <w:pStyle w:val="TableParagraph"/>
              <w:spacing w:before="89"/>
              <w:ind w:right="49"/>
              <w:jc w:val="right"/>
              <w:rPr>
                <w:sz w:val="15"/>
              </w:rPr>
            </w:pPr>
            <w:r>
              <w:rPr>
                <w:sz w:val="15"/>
              </w:rPr>
              <w:t>$153.00</w:t>
            </w:r>
          </w:p>
        </w:tc>
      </w:tr>
      <w:tr>
        <w:trPr>
          <w:trHeight w:val="354" w:hRule="atLeast"/>
        </w:trPr>
        <w:tc>
          <w:tcPr>
            <w:tcW w:w="16385" w:type="dxa"/>
            <w:gridSpan w:val="3"/>
          </w:tcPr>
          <w:p>
            <w:pPr>
              <w:pStyle w:val="TableParagraph"/>
              <w:spacing w:before="90"/>
              <w:ind w:right="1642"/>
              <w:jc w:val="right"/>
              <w:rPr>
                <w:sz w:val="15"/>
              </w:rPr>
            </w:pPr>
            <w:r>
              <w:rPr>
                <w:sz w:val="15"/>
              </w:rPr>
              <w:t>3. ISO A2 59.40 por 42.00 centímetros:</w:t>
            </w:r>
          </w:p>
        </w:tc>
        <w:tc>
          <w:tcPr>
            <w:tcW w:w="778" w:type="dxa"/>
          </w:tcPr>
          <w:p>
            <w:pPr>
              <w:pStyle w:val="TableParagraph"/>
              <w:spacing w:before="90"/>
              <w:ind w:right="50"/>
              <w:jc w:val="right"/>
              <w:rPr>
                <w:sz w:val="15"/>
              </w:rPr>
            </w:pPr>
            <w:r>
              <w:rPr>
                <w:sz w:val="15"/>
              </w:rPr>
              <w:t>$102.00</w:t>
            </w:r>
          </w:p>
        </w:tc>
      </w:tr>
      <w:tr>
        <w:trPr>
          <w:trHeight w:val="354" w:hRule="atLeast"/>
        </w:trPr>
        <w:tc>
          <w:tcPr>
            <w:tcW w:w="16385" w:type="dxa"/>
            <w:gridSpan w:val="3"/>
          </w:tcPr>
          <w:p>
            <w:pPr>
              <w:pStyle w:val="TableParagraph"/>
              <w:spacing w:before="90"/>
              <w:ind w:right="1348"/>
              <w:jc w:val="right"/>
              <w:rPr>
                <w:sz w:val="15"/>
              </w:rPr>
            </w:pPr>
            <w:r>
              <w:rPr>
                <w:sz w:val="15"/>
              </w:rPr>
              <w:t>4. Doble carta 43.18 por 42.00 centímetros:</w:t>
            </w:r>
          </w:p>
        </w:tc>
        <w:tc>
          <w:tcPr>
            <w:tcW w:w="778" w:type="dxa"/>
          </w:tcPr>
          <w:p>
            <w:pPr>
              <w:pStyle w:val="TableParagraph"/>
              <w:spacing w:before="90"/>
              <w:ind w:right="49"/>
              <w:jc w:val="right"/>
              <w:rPr>
                <w:sz w:val="15"/>
              </w:rPr>
            </w:pPr>
            <w:r>
              <w:rPr>
                <w:sz w:val="15"/>
              </w:rPr>
              <w:t>$68.00</w:t>
            </w:r>
          </w:p>
        </w:tc>
      </w:tr>
      <w:tr>
        <w:trPr>
          <w:trHeight w:val="354" w:hRule="atLeast"/>
        </w:trPr>
        <w:tc>
          <w:tcPr>
            <w:tcW w:w="16385" w:type="dxa"/>
            <w:gridSpan w:val="3"/>
          </w:tcPr>
          <w:p>
            <w:pPr>
              <w:pStyle w:val="TableParagraph"/>
              <w:spacing w:before="89"/>
              <w:ind w:right="2649"/>
              <w:jc w:val="right"/>
              <w:rPr>
                <w:sz w:val="15"/>
              </w:rPr>
            </w:pPr>
            <w:r>
              <w:rPr>
                <w:sz w:val="15"/>
              </w:rPr>
              <w:t>5. Tamaño carta y oficio:</w:t>
            </w:r>
          </w:p>
        </w:tc>
        <w:tc>
          <w:tcPr>
            <w:tcW w:w="778" w:type="dxa"/>
          </w:tcPr>
          <w:p>
            <w:pPr>
              <w:pStyle w:val="TableParagraph"/>
              <w:spacing w:before="89"/>
              <w:ind w:right="49"/>
              <w:jc w:val="right"/>
              <w:rPr>
                <w:sz w:val="15"/>
              </w:rPr>
            </w:pPr>
            <w:r>
              <w:rPr>
                <w:sz w:val="15"/>
              </w:rPr>
              <w:t>$51.00</w:t>
            </w:r>
          </w:p>
        </w:tc>
      </w:tr>
      <w:tr>
        <w:trPr>
          <w:trHeight w:val="325" w:hRule="atLeast"/>
        </w:trPr>
        <w:tc>
          <w:tcPr>
            <w:tcW w:w="16385" w:type="dxa"/>
            <w:gridSpan w:val="3"/>
          </w:tcPr>
          <w:p>
            <w:pPr>
              <w:pStyle w:val="TableParagraph"/>
              <w:tabs>
                <w:tab w:pos="4751" w:val="left" w:leader="none"/>
                <w:tab w:pos="12068" w:val="left" w:leader="none"/>
              </w:tabs>
              <w:spacing w:line="262" w:lineRule="exact"/>
              <w:ind w:left="88"/>
              <w:rPr>
                <w:sz w:val="15"/>
              </w:rPr>
            </w:pPr>
            <w:r>
              <w:rPr>
                <w:position w:val="6"/>
                <w:sz w:val="15"/>
              </w:rPr>
              <w:t>g) Centros</w:t>
            </w:r>
            <w:r>
              <w:rPr>
                <w:spacing w:val="14"/>
                <w:position w:val="6"/>
                <w:sz w:val="15"/>
              </w:rPr>
              <w:t> </w:t>
            </w:r>
            <w:r>
              <w:rPr>
                <w:position w:val="6"/>
                <w:sz w:val="15"/>
              </w:rPr>
              <w:t>comerciales,</w:t>
            </w:r>
            <w:r>
              <w:rPr>
                <w:spacing w:val="6"/>
                <w:position w:val="6"/>
                <w:sz w:val="15"/>
              </w:rPr>
              <w:t> </w:t>
            </w:r>
            <w:r>
              <w:rPr>
                <w:position w:val="6"/>
                <w:sz w:val="15"/>
              </w:rPr>
              <w:t>de:</w:t>
              <w:tab/>
            </w:r>
            <w:r>
              <w:rPr>
                <w:position w:val="15"/>
                <w:sz w:val="15"/>
              </w:rPr>
              <w:t>$8,921.00</w:t>
              <w:tab/>
            </w:r>
            <w:r>
              <w:rPr>
                <w:sz w:val="15"/>
              </w:rPr>
              <w:t>c)</w:t>
            </w:r>
            <w:r>
              <w:rPr>
                <w:spacing w:val="13"/>
                <w:sz w:val="15"/>
              </w:rPr>
              <w:t> </w:t>
            </w:r>
            <w:r>
              <w:rPr>
                <w:sz w:val="15"/>
              </w:rPr>
              <w:t>De</w:t>
            </w:r>
            <w:r>
              <w:rPr>
                <w:spacing w:val="13"/>
                <w:sz w:val="15"/>
              </w:rPr>
              <w:t> </w:t>
            </w:r>
            <w:r>
              <w:rPr>
                <w:sz w:val="15"/>
              </w:rPr>
              <w:t>plano</w:t>
            </w:r>
            <w:r>
              <w:rPr>
                <w:spacing w:val="14"/>
                <w:sz w:val="15"/>
              </w:rPr>
              <w:t> </w:t>
            </w:r>
            <w:r>
              <w:rPr>
                <w:sz w:val="15"/>
              </w:rPr>
              <w:t>general</w:t>
            </w:r>
            <w:r>
              <w:rPr>
                <w:spacing w:val="13"/>
                <w:sz w:val="15"/>
              </w:rPr>
              <w:t> </w:t>
            </w:r>
            <w:r>
              <w:rPr>
                <w:sz w:val="15"/>
              </w:rPr>
              <w:t>de</w:t>
            </w:r>
            <w:r>
              <w:rPr>
                <w:spacing w:val="13"/>
                <w:sz w:val="15"/>
              </w:rPr>
              <w:t> </w:t>
            </w:r>
            <w:r>
              <w:rPr>
                <w:sz w:val="15"/>
              </w:rPr>
              <w:t>población,</w:t>
            </w:r>
            <w:r>
              <w:rPr>
                <w:spacing w:val="13"/>
                <w:sz w:val="15"/>
              </w:rPr>
              <w:t> </w:t>
            </w:r>
            <w:r>
              <w:rPr>
                <w:sz w:val="15"/>
              </w:rPr>
              <w:t>fraccionamiento</w:t>
            </w:r>
            <w:r>
              <w:rPr>
                <w:spacing w:val="13"/>
                <w:sz w:val="15"/>
              </w:rPr>
              <w:t> </w:t>
            </w:r>
            <w:r>
              <w:rPr>
                <w:sz w:val="15"/>
              </w:rPr>
              <w:t>o</w:t>
            </w:r>
            <w:r>
              <w:rPr>
                <w:spacing w:val="13"/>
                <w:sz w:val="15"/>
              </w:rPr>
              <w:t> </w:t>
            </w:r>
            <w:r>
              <w:rPr>
                <w:sz w:val="15"/>
              </w:rPr>
              <w:t>de</w:t>
            </w:r>
          </w:p>
        </w:tc>
        <w:tc>
          <w:tcPr>
            <w:tcW w:w="778" w:type="dxa"/>
          </w:tcPr>
          <w:p>
            <w:pPr>
              <w:pStyle w:val="TableParagraph"/>
              <w:rPr>
                <w:rFonts w:ascii="Times New Roman"/>
                <w:sz w:val="14"/>
              </w:rPr>
            </w:pPr>
          </w:p>
        </w:tc>
      </w:tr>
      <w:tr>
        <w:trPr>
          <w:trHeight w:val="245" w:hRule="atLeast"/>
        </w:trPr>
        <w:tc>
          <w:tcPr>
            <w:tcW w:w="4445" w:type="dxa"/>
          </w:tcPr>
          <w:p>
            <w:pPr>
              <w:pStyle w:val="TableParagraph"/>
              <w:spacing w:line="164" w:lineRule="exact" w:before="61"/>
              <w:ind w:left="88"/>
              <w:rPr>
                <w:sz w:val="15"/>
              </w:rPr>
            </w:pPr>
            <w:r>
              <w:rPr>
                <w:sz w:val="15"/>
              </w:rPr>
              <w:t>h) Hoteles y otros servicios, de:</w:t>
            </w:r>
          </w:p>
        </w:tc>
        <w:tc>
          <w:tcPr>
            <w:tcW w:w="7574" w:type="dxa"/>
          </w:tcPr>
          <w:p>
            <w:pPr>
              <w:pStyle w:val="TableParagraph"/>
              <w:spacing w:line="114" w:lineRule="exact"/>
              <w:ind w:right="-15"/>
              <w:jc w:val="right"/>
              <w:rPr>
                <w:sz w:val="15"/>
              </w:rPr>
            </w:pPr>
            <w:r>
              <w:rPr>
                <w:sz w:val="15"/>
              </w:rPr>
              <w:t>zona</w:t>
            </w:r>
          </w:p>
        </w:tc>
        <w:tc>
          <w:tcPr>
            <w:tcW w:w="4366" w:type="dxa"/>
          </w:tcPr>
          <w:p>
            <w:pPr>
              <w:pStyle w:val="TableParagraph"/>
              <w:spacing w:line="114" w:lineRule="exact"/>
              <w:ind w:left="49"/>
              <w:rPr>
                <w:sz w:val="15"/>
              </w:rPr>
            </w:pPr>
            <w:r>
              <w:rPr>
                <w:sz w:val="15"/>
              </w:rPr>
              <w:t>catastral, o con ortofoto, por cada lámina:</w:t>
            </w:r>
          </w:p>
        </w:tc>
        <w:tc>
          <w:tcPr>
            <w:tcW w:w="778" w:type="dxa"/>
          </w:tcPr>
          <w:p>
            <w:pPr>
              <w:pStyle w:val="TableParagraph"/>
              <w:rPr>
                <w:rFonts w:ascii="Times New Roman"/>
                <w:sz w:val="14"/>
              </w:rPr>
            </w:pPr>
          </w:p>
        </w:tc>
      </w:tr>
      <w:tr>
        <w:trPr>
          <w:trHeight w:val="221" w:hRule="atLeast"/>
        </w:trPr>
        <w:tc>
          <w:tcPr>
            <w:tcW w:w="4445" w:type="dxa"/>
          </w:tcPr>
          <w:p>
            <w:pPr>
              <w:pStyle w:val="TableParagraph"/>
              <w:spacing w:before="9"/>
              <w:ind w:left="88"/>
              <w:rPr>
                <w:sz w:val="15"/>
              </w:rPr>
            </w:pPr>
            <w:r>
              <w:rPr>
                <w:sz w:val="15"/>
              </w:rPr>
              <w:t>1.- Hasta 500 m2.</w:t>
            </w:r>
          </w:p>
        </w:tc>
        <w:tc>
          <w:tcPr>
            <w:tcW w:w="7574" w:type="dxa"/>
          </w:tcPr>
          <w:p>
            <w:pPr>
              <w:pStyle w:val="TableParagraph"/>
              <w:spacing w:before="9"/>
              <w:ind w:left="306"/>
              <w:rPr>
                <w:sz w:val="15"/>
              </w:rPr>
            </w:pPr>
            <w:r>
              <w:rPr>
                <w:sz w:val="15"/>
              </w:rPr>
              <w:t>$1,596.00</w:t>
            </w:r>
          </w:p>
        </w:tc>
        <w:tc>
          <w:tcPr>
            <w:tcW w:w="4366" w:type="dxa"/>
          </w:tcPr>
          <w:p>
            <w:pPr>
              <w:pStyle w:val="TableParagraph"/>
              <w:spacing w:line="152" w:lineRule="exact" w:before="49"/>
              <w:ind w:left="49"/>
              <w:rPr>
                <w:sz w:val="15"/>
              </w:rPr>
            </w:pPr>
            <w:r>
              <w:rPr>
                <w:sz w:val="15"/>
              </w:rPr>
              <w:t>1. ISO A0:</w:t>
            </w:r>
          </w:p>
        </w:tc>
        <w:tc>
          <w:tcPr>
            <w:tcW w:w="778" w:type="dxa"/>
          </w:tcPr>
          <w:p>
            <w:pPr>
              <w:pStyle w:val="TableParagraph"/>
              <w:spacing w:line="152" w:lineRule="exact" w:before="49"/>
              <w:ind w:right="50"/>
              <w:jc w:val="right"/>
              <w:rPr>
                <w:sz w:val="15"/>
              </w:rPr>
            </w:pPr>
            <w:r>
              <w:rPr>
                <w:sz w:val="15"/>
              </w:rPr>
              <w:t>$504.00</w:t>
            </w:r>
          </w:p>
        </w:tc>
      </w:tr>
      <w:tr>
        <w:trPr>
          <w:trHeight w:val="177" w:hRule="atLeast"/>
        </w:trPr>
        <w:tc>
          <w:tcPr>
            <w:tcW w:w="4445" w:type="dxa"/>
          </w:tcPr>
          <w:p>
            <w:pPr>
              <w:pStyle w:val="TableParagraph"/>
              <w:spacing w:line="157" w:lineRule="exact"/>
              <w:ind w:left="88"/>
              <w:rPr>
                <w:sz w:val="15"/>
              </w:rPr>
            </w:pPr>
            <w:r>
              <w:rPr>
                <w:sz w:val="15"/>
              </w:rPr>
              <w:t>2.- De 500.01 a 1,000 m2.</w:t>
            </w:r>
          </w:p>
        </w:tc>
        <w:tc>
          <w:tcPr>
            <w:tcW w:w="7574" w:type="dxa"/>
          </w:tcPr>
          <w:p>
            <w:pPr>
              <w:pStyle w:val="TableParagraph"/>
              <w:spacing w:line="157" w:lineRule="exact"/>
              <w:ind w:left="306"/>
              <w:rPr>
                <w:sz w:val="15"/>
              </w:rPr>
            </w:pPr>
            <w:r>
              <w:rPr>
                <w:sz w:val="15"/>
              </w:rPr>
              <w:t>$5,259.00</w:t>
            </w:r>
          </w:p>
        </w:tc>
        <w:tc>
          <w:tcPr>
            <w:tcW w:w="4366" w:type="dxa"/>
          </w:tcPr>
          <w:p>
            <w:pPr>
              <w:pStyle w:val="TableParagraph"/>
              <w:rPr>
                <w:rFonts w:ascii="Times New Roman"/>
                <w:sz w:val="10"/>
              </w:rPr>
            </w:pPr>
          </w:p>
        </w:tc>
        <w:tc>
          <w:tcPr>
            <w:tcW w:w="778" w:type="dxa"/>
          </w:tcPr>
          <w:p>
            <w:pPr>
              <w:pStyle w:val="TableParagraph"/>
              <w:rPr>
                <w:rFonts w:ascii="Times New Roman"/>
                <w:sz w:val="10"/>
              </w:rPr>
            </w:pPr>
          </w:p>
        </w:tc>
      </w:tr>
      <w:tr>
        <w:trPr>
          <w:trHeight w:val="282" w:hRule="atLeast"/>
        </w:trPr>
        <w:tc>
          <w:tcPr>
            <w:tcW w:w="4445" w:type="dxa"/>
          </w:tcPr>
          <w:p>
            <w:pPr>
              <w:pStyle w:val="TableParagraph"/>
              <w:spacing w:before="30"/>
              <w:ind w:left="88"/>
              <w:rPr>
                <w:sz w:val="15"/>
              </w:rPr>
            </w:pPr>
            <w:r>
              <w:rPr>
                <w:sz w:val="15"/>
              </w:rPr>
              <w:t>3.- De 1,000.01 m2 en adelante</w:t>
            </w:r>
          </w:p>
        </w:tc>
        <w:tc>
          <w:tcPr>
            <w:tcW w:w="7574" w:type="dxa"/>
          </w:tcPr>
          <w:p>
            <w:pPr>
              <w:pStyle w:val="TableParagraph"/>
              <w:spacing w:before="30"/>
              <w:ind w:left="306"/>
              <w:rPr>
                <w:sz w:val="15"/>
              </w:rPr>
            </w:pPr>
            <w:r>
              <w:rPr>
                <w:sz w:val="15"/>
              </w:rPr>
              <w:t>$8,533.00</w:t>
            </w:r>
          </w:p>
        </w:tc>
        <w:tc>
          <w:tcPr>
            <w:tcW w:w="4366" w:type="dxa"/>
          </w:tcPr>
          <w:p>
            <w:pPr>
              <w:pStyle w:val="TableParagraph"/>
              <w:spacing w:before="5"/>
              <w:ind w:left="49"/>
              <w:rPr>
                <w:sz w:val="15"/>
              </w:rPr>
            </w:pPr>
            <w:r>
              <w:rPr>
                <w:sz w:val="15"/>
              </w:rPr>
              <w:t>2. ISO A1:</w:t>
            </w:r>
          </w:p>
        </w:tc>
        <w:tc>
          <w:tcPr>
            <w:tcW w:w="778" w:type="dxa"/>
          </w:tcPr>
          <w:p>
            <w:pPr>
              <w:pStyle w:val="TableParagraph"/>
              <w:spacing w:before="5"/>
              <w:ind w:right="50"/>
              <w:jc w:val="right"/>
              <w:rPr>
                <w:sz w:val="15"/>
              </w:rPr>
            </w:pPr>
            <w:r>
              <w:rPr>
                <w:sz w:val="15"/>
              </w:rPr>
              <w:t>$337.00</w:t>
            </w:r>
          </w:p>
        </w:tc>
      </w:tr>
      <w:tr>
        <w:trPr>
          <w:trHeight w:val="302" w:hRule="atLeast"/>
        </w:trPr>
        <w:tc>
          <w:tcPr>
            <w:tcW w:w="4445" w:type="dxa"/>
          </w:tcPr>
          <w:p>
            <w:pPr>
              <w:pStyle w:val="TableParagraph"/>
              <w:spacing w:line="164" w:lineRule="exact" w:before="118"/>
              <w:ind w:left="50"/>
              <w:rPr>
                <w:sz w:val="15"/>
              </w:rPr>
            </w:pPr>
            <w:r>
              <w:rPr>
                <w:sz w:val="15"/>
              </w:rPr>
              <w:t>i) Otros servicios en lugares no especificados anteriormente</w:t>
            </w:r>
          </w:p>
        </w:tc>
        <w:tc>
          <w:tcPr>
            <w:tcW w:w="7574" w:type="dxa"/>
          </w:tcPr>
          <w:p>
            <w:pPr>
              <w:pStyle w:val="TableParagraph"/>
              <w:rPr>
                <w:rFonts w:ascii="Times New Roman"/>
                <w:sz w:val="14"/>
              </w:rPr>
            </w:pPr>
          </w:p>
        </w:tc>
        <w:tc>
          <w:tcPr>
            <w:tcW w:w="4366" w:type="dxa"/>
          </w:tcPr>
          <w:p>
            <w:pPr>
              <w:pStyle w:val="TableParagraph"/>
              <w:spacing w:before="77"/>
              <w:ind w:left="49"/>
              <w:rPr>
                <w:sz w:val="15"/>
              </w:rPr>
            </w:pPr>
            <w:r>
              <w:rPr>
                <w:sz w:val="15"/>
              </w:rPr>
              <w:t>3. ISO A2:</w:t>
            </w:r>
          </w:p>
        </w:tc>
        <w:tc>
          <w:tcPr>
            <w:tcW w:w="778" w:type="dxa"/>
          </w:tcPr>
          <w:p>
            <w:pPr>
              <w:pStyle w:val="TableParagraph"/>
              <w:spacing w:before="77"/>
              <w:ind w:right="50"/>
              <w:jc w:val="right"/>
              <w:rPr>
                <w:sz w:val="15"/>
              </w:rPr>
            </w:pPr>
            <w:r>
              <w:rPr>
                <w:sz w:val="15"/>
              </w:rPr>
              <w:t>$254.00</w:t>
            </w:r>
          </w:p>
        </w:tc>
      </w:tr>
      <w:tr>
        <w:trPr>
          <w:trHeight w:val="201" w:hRule="atLeast"/>
        </w:trPr>
        <w:tc>
          <w:tcPr>
            <w:tcW w:w="4445" w:type="dxa"/>
          </w:tcPr>
          <w:p>
            <w:pPr>
              <w:pStyle w:val="TableParagraph"/>
              <w:spacing w:line="171" w:lineRule="exact"/>
              <w:ind w:left="88"/>
              <w:rPr>
                <w:sz w:val="15"/>
              </w:rPr>
            </w:pPr>
            <w:r>
              <w:rPr>
                <w:sz w:val="15"/>
              </w:rPr>
              <w:t>1.- Hasta 200 m2</w:t>
            </w:r>
          </w:p>
        </w:tc>
        <w:tc>
          <w:tcPr>
            <w:tcW w:w="12718" w:type="dxa"/>
            <w:gridSpan w:val="3"/>
          </w:tcPr>
          <w:p>
            <w:pPr>
              <w:pStyle w:val="TableParagraph"/>
              <w:spacing w:line="171" w:lineRule="exact"/>
              <w:ind w:left="434"/>
              <w:rPr>
                <w:sz w:val="15"/>
              </w:rPr>
            </w:pPr>
            <w:r>
              <w:rPr>
                <w:sz w:val="15"/>
              </w:rPr>
              <w:t>$200.00</w:t>
            </w:r>
          </w:p>
        </w:tc>
      </w:tr>
      <w:tr>
        <w:trPr>
          <w:trHeight w:val="190" w:hRule="atLeast"/>
        </w:trPr>
        <w:tc>
          <w:tcPr>
            <w:tcW w:w="4445" w:type="dxa"/>
          </w:tcPr>
          <w:p>
            <w:pPr>
              <w:pStyle w:val="TableParagraph"/>
              <w:spacing w:line="153" w:lineRule="exact" w:before="17"/>
              <w:ind w:left="88"/>
              <w:rPr>
                <w:sz w:val="15"/>
              </w:rPr>
            </w:pPr>
            <w:r>
              <w:rPr>
                <w:sz w:val="15"/>
              </w:rPr>
              <w:t>2.- De 200.01 m2 a 400 m2</w:t>
            </w:r>
          </w:p>
        </w:tc>
        <w:tc>
          <w:tcPr>
            <w:tcW w:w="12718" w:type="dxa"/>
            <w:gridSpan w:val="3"/>
          </w:tcPr>
          <w:p>
            <w:pPr>
              <w:pStyle w:val="TableParagraph"/>
              <w:tabs>
                <w:tab w:pos="7623" w:val="left" w:leader="none"/>
                <w:tab w:pos="12109" w:val="left" w:leader="none"/>
              </w:tabs>
              <w:spacing w:line="112" w:lineRule="auto"/>
              <w:ind w:left="306"/>
              <w:rPr>
                <w:sz w:val="15"/>
              </w:rPr>
            </w:pPr>
            <w:r>
              <w:rPr>
                <w:position w:val="-8"/>
                <w:sz w:val="15"/>
              </w:rPr>
              <w:t>$5,494.00</w:t>
              <w:tab/>
            </w:r>
            <w:r>
              <w:rPr>
                <w:sz w:val="15"/>
              </w:rPr>
              <w:t>4.</w:t>
            </w:r>
            <w:r>
              <w:rPr>
                <w:spacing w:val="4"/>
                <w:sz w:val="15"/>
              </w:rPr>
              <w:t> </w:t>
            </w:r>
            <w:r>
              <w:rPr>
                <w:sz w:val="15"/>
              </w:rPr>
              <w:t>Doble</w:t>
            </w:r>
            <w:r>
              <w:rPr>
                <w:spacing w:val="5"/>
                <w:sz w:val="15"/>
              </w:rPr>
              <w:t> </w:t>
            </w:r>
            <w:r>
              <w:rPr>
                <w:sz w:val="15"/>
              </w:rPr>
              <w:t>carta:</w:t>
              <w:tab/>
              <w:t>$153.00</w:t>
            </w:r>
          </w:p>
        </w:tc>
      </w:tr>
    </w:tbl>
    <w:p>
      <w:pPr>
        <w:spacing w:after="0" w:line="112" w:lineRule="auto"/>
        <w:rPr>
          <w:sz w:val="15"/>
        </w:rPr>
        <w:sectPr>
          <w:type w:val="continuous"/>
          <w:pgSz w:w="23250" w:h="15310" w:orient="landscape"/>
          <w:pgMar w:top="0" w:bottom="0" w:left="1880" w:right="1520"/>
        </w:sectPr>
      </w:pPr>
    </w:p>
    <w:p>
      <w:pPr>
        <w:pStyle w:val="BodyText"/>
        <w:rPr>
          <w:sz w:val="20"/>
        </w:rPr>
      </w:pPr>
    </w:p>
    <w:p>
      <w:pPr>
        <w:pStyle w:val="BodyText"/>
        <w:rPr>
          <w:sz w:val="20"/>
        </w:rPr>
      </w:pPr>
    </w:p>
    <w:p>
      <w:pPr>
        <w:pStyle w:val="BodyText"/>
        <w:spacing w:before="3" w:after="1"/>
        <w:rPr>
          <w:sz w:val="18"/>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0"/>
        <w:gridCol w:w="3893"/>
        <w:gridCol w:w="8573"/>
      </w:tblGrid>
      <w:tr>
        <w:trPr>
          <w:trHeight w:val="263" w:hRule="atLeast"/>
        </w:trPr>
        <w:tc>
          <w:tcPr>
            <w:tcW w:w="4680" w:type="dxa"/>
          </w:tcPr>
          <w:p>
            <w:pPr>
              <w:pStyle w:val="TableParagraph"/>
              <w:spacing w:line="171" w:lineRule="exact"/>
              <w:ind w:left="427"/>
              <w:rPr>
                <w:sz w:val="15"/>
              </w:rPr>
            </w:pPr>
            <w:r>
              <w:rPr>
                <w:sz w:val="15"/>
              </w:rPr>
              <w:t>5. Carta y oficio:</w:t>
            </w:r>
          </w:p>
        </w:tc>
        <w:tc>
          <w:tcPr>
            <w:tcW w:w="3893" w:type="dxa"/>
          </w:tcPr>
          <w:p>
            <w:pPr>
              <w:pStyle w:val="TableParagraph"/>
              <w:spacing w:line="171" w:lineRule="exact"/>
              <w:ind w:right="3101"/>
              <w:jc w:val="right"/>
              <w:rPr>
                <w:sz w:val="15"/>
              </w:rPr>
            </w:pPr>
            <w:r>
              <w:rPr>
                <w:sz w:val="15"/>
              </w:rPr>
              <w:t>$102.00</w:t>
            </w:r>
          </w:p>
        </w:tc>
        <w:tc>
          <w:tcPr>
            <w:tcW w:w="8573" w:type="dxa"/>
          </w:tcPr>
          <w:p>
            <w:pPr>
              <w:pStyle w:val="TableParagraph"/>
              <w:spacing w:line="171" w:lineRule="exact"/>
              <w:ind w:left="3476"/>
              <w:rPr>
                <w:sz w:val="15"/>
              </w:rPr>
            </w:pPr>
            <w:r>
              <w:rPr>
                <w:sz w:val="15"/>
              </w:rPr>
              <w:t>e) Certificado de no-inscripción de propietario:</w:t>
            </w:r>
          </w:p>
        </w:tc>
      </w:tr>
      <w:tr>
        <w:trPr>
          <w:trHeight w:val="442" w:hRule="atLeast"/>
        </w:trPr>
        <w:tc>
          <w:tcPr>
            <w:tcW w:w="4680" w:type="dxa"/>
          </w:tcPr>
          <w:p>
            <w:pPr>
              <w:pStyle w:val="TableParagraph"/>
              <w:spacing w:line="170" w:lineRule="atLeast" w:before="90"/>
              <w:ind w:left="50" w:firstLine="377"/>
              <w:rPr>
                <w:sz w:val="15"/>
              </w:rPr>
            </w:pPr>
            <w:r>
              <w:rPr>
                <w:sz w:val="15"/>
              </w:rPr>
              <w:t>d) Juego de planos, que contienen las tablas de valores unitarios de terrenos y construcciones de las localidades que</w:t>
            </w:r>
          </w:p>
        </w:tc>
        <w:tc>
          <w:tcPr>
            <w:tcW w:w="3893" w:type="dxa"/>
          </w:tcPr>
          <w:p>
            <w:pPr>
              <w:pStyle w:val="TableParagraph"/>
              <w:rPr>
                <w:rFonts w:ascii="Times New Roman"/>
                <w:sz w:val="14"/>
              </w:rPr>
            </w:pPr>
          </w:p>
        </w:tc>
        <w:tc>
          <w:tcPr>
            <w:tcW w:w="8573" w:type="dxa"/>
          </w:tcPr>
          <w:p>
            <w:pPr>
              <w:pStyle w:val="TableParagraph"/>
              <w:tabs>
                <w:tab w:pos="4570" w:val="left" w:leader="none"/>
              </w:tabs>
              <w:spacing w:before="89"/>
              <w:ind w:right="52"/>
              <w:jc w:val="right"/>
              <w:rPr>
                <w:sz w:val="15"/>
              </w:rPr>
            </w:pPr>
            <w:r>
              <w:rPr>
                <w:sz w:val="15"/>
              </w:rPr>
              <w:t>1. Por</w:t>
            </w:r>
            <w:r>
              <w:rPr>
                <w:spacing w:val="15"/>
                <w:sz w:val="15"/>
              </w:rPr>
              <w:t> </w:t>
            </w:r>
            <w:r>
              <w:rPr>
                <w:sz w:val="15"/>
              </w:rPr>
              <w:t>cada</w:t>
            </w:r>
            <w:r>
              <w:rPr>
                <w:spacing w:val="8"/>
                <w:sz w:val="15"/>
              </w:rPr>
              <w:t> </w:t>
            </w:r>
            <w:r>
              <w:rPr>
                <w:sz w:val="15"/>
              </w:rPr>
              <w:t>certificado:</w:t>
              <w:tab/>
              <w:t>$45.00</w:t>
            </w:r>
          </w:p>
        </w:tc>
      </w:tr>
      <w:tr>
        <w:trPr>
          <w:trHeight w:val="265" w:hRule="atLeast"/>
        </w:trPr>
        <w:tc>
          <w:tcPr>
            <w:tcW w:w="4680" w:type="dxa"/>
          </w:tcPr>
          <w:p>
            <w:pPr>
              <w:pStyle w:val="TableParagraph"/>
              <w:spacing w:before="1"/>
              <w:ind w:left="50"/>
              <w:rPr>
                <w:sz w:val="15"/>
              </w:rPr>
            </w:pPr>
            <w:r>
              <w:rPr>
                <w:sz w:val="15"/>
              </w:rPr>
              <w:t>comprendan el Municipio:</w:t>
            </w:r>
          </w:p>
        </w:tc>
        <w:tc>
          <w:tcPr>
            <w:tcW w:w="3893" w:type="dxa"/>
          </w:tcPr>
          <w:p>
            <w:pPr>
              <w:pStyle w:val="TableParagraph"/>
              <w:spacing w:before="1"/>
              <w:ind w:right="3101"/>
              <w:jc w:val="right"/>
              <w:rPr>
                <w:sz w:val="15"/>
              </w:rPr>
            </w:pPr>
            <w:r>
              <w:rPr>
                <w:sz w:val="15"/>
              </w:rPr>
              <w:t>$1,134.00</w:t>
            </w:r>
          </w:p>
        </w:tc>
        <w:tc>
          <w:tcPr>
            <w:tcW w:w="8573" w:type="dxa"/>
          </w:tcPr>
          <w:p>
            <w:pPr>
              <w:pStyle w:val="TableParagraph"/>
              <w:spacing w:before="1"/>
              <w:ind w:left="3476"/>
              <w:rPr>
                <w:sz w:val="15"/>
              </w:rPr>
            </w:pPr>
            <w:r>
              <w:rPr>
                <w:sz w:val="15"/>
              </w:rPr>
              <w:t>III. Informes:</w:t>
            </w:r>
          </w:p>
        </w:tc>
      </w:tr>
      <w:tr>
        <w:trPr>
          <w:trHeight w:val="265" w:hRule="atLeast"/>
        </w:trPr>
        <w:tc>
          <w:tcPr>
            <w:tcW w:w="4680" w:type="dxa"/>
          </w:tcPr>
          <w:p>
            <w:pPr>
              <w:pStyle w:val="TableParagraph"/>
              <w:spacing w:line="156" w:lineRule="exact" w:before="90"/>
              <w:ind w:right="105"/>
              <w:jc w:val="right"/>
              <w:rPr>
                <w:sz w:val="15"/>
              </w:rPr>
            </w:pPr>
            <w:r>
              <w:rPr>
                <w:sz w:val="15"/>
              </w:rPr>
              <w:t>e) Tablas de valores unitarios de terrenos y construcciones,</w:t>
            </w:r>
          </w:p>
        </w:tc>
        <w:tc>
          <w:tcPr>
            <w:tcW w:w="3893" w:type="dxa"/>
          </w:tcPr>
          <w:p>
            <w:pPr>
              <w:pStyle w:val="TableParagraph"/>
              <w:rPr>
                <w:rFonts w:ascii="Times New Roman"/>
                <w:sz w:val="14"/>
              </w:rPr>
            </w:pPr>
          </w:p>
        </w:tc>
        <w:tc>
          <w:tcPr>
            <w:tcW w:w="8573" w:type="dxa"/>
          </w:tcPr>
          <w:p>
            <w:pPr>
              <w:pStyle w:val="TableParagraph"/>
              <w:tabs>
                <w:tab w:pos="4570" w:val="left" w:leader="none"/>
              </w:tabs>
              <w:spacing w:line="156" w:lineRule="exact" w:before="89"/>
              <w:ind w:right="52"/>
              <w:jc w:val="right"/>
              <w:rPr>
                <w:sz w:val="15"/>
              </w:rPr>
            </w:pPr>
            <w:r>
              <w:rPr>
                <w:sz w:val="15"/>
              </w:rPr>
              <w:t>a) Informes catastrales, por</w:t>
            </w:r>
            <w:r>
              <w:rPr>
                <w:spacing w:val="35"/>
                <w:sz w:val="15"/>
              </w:rPr>
              <w:t> </w:t>
            </w:r>
            <w:r>
              <w:rPr>
                <w:sz w:val="15"/>
              </w:rPr>
              <w:t>cada</w:t>
            </w:r>
            <w:r>
              <w:rPr>
                <w:spacing w:val="9"/>
                <w:sz w:val="15"/>
              </w:rPr>
              <w:t> </w:t>
            </w:r>
            <w:r>
              <w:rPr>
                <w:sz w:val="15"/>
              </w:rPr>
              <w:t>predio:</w:t>
              <w:tab/>
              <w:t>$60.00</w:t>
            </w:r>
          </w:p>
        </w:tc>
      </w:tr>
      <w:tr>
        <w:trPr>
          <w:trHeight w:val="177" w:hRule="atLeast"/>
        </w:trPr>
        <w:tc>
          <w:tcPr>
            <w:tcW w:w="4680" w:type="dxa"/>
          </w:tcPr>
          <w:p>
            <w:pPr>
              <w:pStyle w:val="TableParagraph"/>
              <w:spacing w:line="156" w:lineRule="exact" w:before="1"/>
              <w:ind w:left="50"/>
              <w:rPr>
                <w:sz w:val="15"/>
              </w:rPr>
            </w:pPr>
            <w:r>
              <w:rPr>
                <w:sz w:val="15"/>
              </w:rPr>
              <w:t>en archivo digital:</w:t>
            </w:r>
          </w:p>
        </w:tc>
        <w:tc>
          <w:tcPr>
            <w:tcW w:w="3893" w:type="dxa"/>
          </w:tcPr>
          <w:p>
            <w:pPr>
              <w:pStyle w:val="TableParagraph"/>
              <w:spacing w:line="156" w:lineRule="exact" w:before="1"/>
              <w:ind w:right="3141"/>
              <w:jc w:val="right"/>
              <w:rPr>
                <w:sz w:val="15"/>
              </w:rPr>
            </w:pPr>
            <w:r>
              <w:rPr>
                <w:sz w:val="15"/>
              </w:rPr>
              <w:t>$636.00</w:t>
            </w:r>
          </w:p>
        </w:tc>
        <w:tc>
          <w:tcPr>
            <w:tcW w:w="8573" w:type="dxa"/>
          </w:tcPr>
          <w:p>
            <w:pPr>
              <w:pStyle w:val="TableParagraph"/>
              <w:rPr>
                <w:rFonts w:ascii="Times New Roman"/>
                <w:sz w:val="10"/>
              </w:rPr>
            </w:pPr>
          </w:p>
        </w:tc>
      </w:tr>
      <w:tr>
        <w:trPr>
          <w:trHeight w:val="353" w:hRule="atLeast"/>
        </w:trPr>
        <w:tc>
          <w:tcPr>
            <w:tcW w:w="4680" w:type="dxa"/>
          </w:tcPr>
          <w:p>
            <w:pPr>
              <w:pStyle w:val="TableParagraph"/>
              <w:spacing w:before="5"/>
              <w:rPr>
                <w:sz w:val="15"/>
              </w:rPr>
            </w:pPr>
          </w:p>
          <w:p>
            <w:pPr>
              <w:pStyle w:val="TableParagraph"/>
              <w:spacing w:line="156" w:lineRule="exact"/>
              <w:ind w:right="104"/>
              <w:jc w:val="right"/>
              <w:rPr>
                <w:sz w:val="15"/>
              </w:rPr>
            </w:pPr>
            <w:r>
              <w:rPr>
                <w:sz w:val="15"/>
              </w:rPr>
              <w:t>f) Cuando a los servicios a que se refieren estos incisos</w:t>
            </w:r>
          </w:p>
        </w:tc>
        <w:tc>
          <w:tcPr>
            <w:tcW w:w="3893" w:type="dxa"/>
          </w:tcPr>
          <w:p>
            <w:pPr>
              <w:pStyle w:val="TableParagraph"/>
              <w:rPr>
                <w:rFonts w:ascii="Times New Roman"/>
                <w:sz w:val="14"/>
              </w:rPr>
            </w:pPr>
          </w:p>
        </w:tc>
        <w:tc>
          <w:tcPr>
            <w:tcW w:w="8573" w:type="dxa"/>
          </w:tcPr>
          <w:p>
            <w:pPr>
              <w:pStyle w:val="TableParagraph"/>
              <w:spacing w:before="1"/>
              <w:ind w:left="3476"/>
              <w:rPr>
                <w:sz w:val="15"/>
              </w:rPr>
            </w:pPr>
            <w:r>
              <w:rPr>
                <w:sz w:val="15"/>
              </w:rPr>
              <w:t>b) Expedición de fotocopias del microfilme, por cada</w:t>
            </w:r>
          </w:p>
          <w:p>
            <w:pPr>
              <w:pStyle w:val="TableParagraph"/>
              <w:tabs>
                <w:tab w:pos="8049" w:val="left" w:leader="none"/>
              </w:tabs>
              <w:spacing w:line="156" w:lineRule="exact" w:before="4"/>
              <w:ind w:left="3099"/>
              <w:rPr>
                <w:sz w:val="15"/>
              </w:rPr>
            </w:pPr>
            <w:r>
              <w:rPr>
                <w:sz w:val="15"/>
              </w:rPr>
              <w:t>hoja</w:t>
            </w:r>
            <w:r>
              <w:rPr>
                <w:spacing w:val="7"/>
                <w:sz w:val="15"/>
              </w:rPr>
              <w:t> </w:t>
            </w:r>
            <w:r>
              <w:rPr>
                <w:sz w:val="15"/>
              </w:rPr>
              <w:t>simple:</w:t>
              <w:tab/>
              <w:t>$60.00</w:t>
            </w:r>
          </w:p>
        </w:tc>
      </w:tr>
      <w:tr>
        <w:trPr>
          <w:trHeight w:val="177" w:hRule="atLeast"/>
        </w:trPr>
        <w:tc>
          <w:tcPr>
            <w:tcW w:w="4680" w:type="dxa"/>
          </w:tcPr>
          <w:p>
            <w:pPr>
              <w:pStyle w:val="TableParagraph"/>
              <w:spacing w:line="156" w:lineRule="exact" w:before="1"/>
              <w:ind w:left="50"/>
              <w:rPr>
                <w:sz w:val="15"/>
              </w:rPr>
            </w:pPr>
            <w:r>
              <w:rPr>
                <w:sz w:val="15"/>
              </w:rPr>
              <w:t>se soliciten en papel denominado maduro, se cobrarán además</w:t>
            </w:r>
          </w:p>
        </w:tc>
        <w:tc>
          <w:tcPr>
            <w:tcW w:w="3893" w:type="dxa"/>
          </w:tcPr>
          <w:p>
            <w:pPr>
              <w:pStyle w:val="TableParagraph"/>
              <w:spacing w:line="156" w:lineRule="exact" w:before="1"/>
              <w:ind w:right="3102"/>
              <w:jc w:val="right"/>
              <w:rPr>
                <w:sz w:val="15"/>
              </w:rPr>
            </w:pPr>
            <w:r>
              <w:rPr>
                <w:sz w:val="15"/>
              </w:rPr>
              <w:t>$93.00</w:t>
            </w:r>
          </w:p>
        </w:tc>
        <w:tc>
          <w:tcPr>
            <w:tcW w:w="8573" w:type="dxa"/>
          </w:tcPr>
          <w:p>
            <w:pPr>
              <w:pStyle w:val="TableParagraph"/>
              <w:rPr>
                <w:rFonts w:ascii="Times New Roman"/>
                <w:sz w:val="10"/>
              </w:rPr>
            </w:pPr>
          </w:p>
        </w:tc>
      </w:tr>
      <w:tr>
        <w:trPr>
          <w:trHeight w:val="177" w:hRule="atLeast"/>
        </w:trPr>
        <w:tc>
          <w:tcPr>
            <w:tcW w:w="4680" w:type="dxa"/>
          </w:tcPr>
          <w:p>
            <w:pPr>
              <w:pStyle w:val="TableParagraph"/>
              <w:spacing w:line="156" w:lineRule="exact" w:before="1"/>
              <w:ind w:left="50"/>
              <w:rPr>
                <w:sz w:val="15"/>
              </w:rPr>
            </w:pPr>
            <w:r>
              <w:rPr>
                <w:sz w:val="15"/>
              </w:rPr>
              <w:t>de las cuotas previstas:</w:t>
            </w:r>
          </w:p>
        </w:tc>
        <w:tc>
          <w:tcPr>
            <w:tcW w:w="3893" w:type="dxa"/>
          </w:tcPr>
          <w:p>
            <w:pPr>
              <w:pStyle w:val="TableParagraph"/>
              <w:rPr>
                <w:rFonts w:ascii="Times New Roman"/>
                <w:sz w:val="10"/>
              </w:rPr>
            </w:pPr>
          </w:p>
        </w:tc>
        <w:tc>
          <w:tcPr>
            <w:tcW w:w="8573" w:type="dxa"/>
          </w:tcPr>
          <w:p>
            <w:pPr>
              <w:pStyle w:val="TableParagraph"/>
              <w:spacing w:line="156" w:lineRule="exact" w:before="1"/>
              <w:ind w:left="3476"/>
              <w:rPr>
                <w:sz w:val="15"/>
              </w:rPr>
            </w:pPr>
            <w:r>
              <w:rPr>
                <w:sz w:val="15"/>
              </w:rPr>
              <w:t>c) Informes catastrales, por datos técnicos, por cada</w:t>
            </w:r>
          </w:p>
        </w:tc>
      </w:tr>
      <w:tr>
        <w:trPr>
          <w:trHeight w:val="177" w:hRule="atLeast"/>
        </w:trPr>
        <w:tc>
          <w:tcPr>
            <w:tcW w:w="4680" w:type="dxa"/>
          </w:tcPr>
          <w:p>
            <w:pPr>
              <w:pStyle w:val="TableParagraph"/>
              <w:rPr>
                <w:rFonts w:ascii="Times New Roman"/>
                <w:sz w:val="10"/>
              </w:rPr>
            </w:pPr>
          </w:p>
        </w:tc>
        <w:tc>
          <w:tcPr>
            <w:tcW w:w="3893" w:type="dxa"/>
          </w:tcPr>
          <w:p>
            <w:pPr>
              <w:pStyle w:val="TableParagraph"/>
              <w:rPr>
                <w:rFonts w:ascii="Times New Roman"/>
                <w:sz w:val="10"/>
              </w:rPr>
            </w:pPr>
          </w:p>
        </w:tc>
        <w:tc>
          <w:tcPr>
            <w:tcW w:w="8573" w:type="dxa"/>
          </w:tcPr>
          <w:p>
            <w:pPr>
              <w:pStyle w:val="TableParagraph"/>
              <w:tabs>
                <w:tab w:pos="4950" w:val="left" w:leader="none"/>
              </w:tabs>
              <w:spacing w:line="156" w:lineRule="exact" w:before="1"/>
              <w:ind w:right="52"/>
              <w:jc w:val="right"/>
              <w:rPr>
                <w:sz w:val="15"/>
              </w:rPr>
            </w:pPr>
            <w:r>
              <w:rPr>
                <w:sz w:val="15"/>
              </w:rPr>
              <w:t>predio:</w:t>
              <w:tab/>
            </w:r>
            <w:r>
              <w:rPr>
                <w:spacing w:val="-1"/>
                <w:sz w:val="15"/>
              </w:rPr>
              <w:t>$93.00</w:t>
            </w:r>
          </w:p>
        </w:tc>
      </w:tr>
      <w:tr>
        <w:trPr>
          <w:trHeight w:val="353" w:hRule="atLeast"/>
        </w:trPr>
        <w:tc>
          <w:tcPr>
            <w:tcW w:w="4680" w:type="dxa"/>
          </w:tcPr>
          <w:p>
            <w:pPr>
              <w:pStyle w:val="TableParagraph"/>
              <w:spacing w:before="1"/>
              <w:ind w:left="427"/>
              <w:rPr>
                <w:sz w:val="15"/>
              </w:rPr>
            </w:pPr>
            <w:r>
              <w:rPr>
                <w:sz w:val="15"/>
              </w:rPr>
              <w:t>II. Certificaciones catastrales:</w:t>
            </w:r>
          </w:p>
        </w:tc>
        <w:tc>
          <w:tcPr>
            <w:tcW w:w="3893" w:type="dxa"/>
          </w:tcPr>
          <w:p>
            <w:pPr>
              <w:pStyle w:val="TableParagraph"/>
              <w:rPr>
                <w:rFonts w:ascii="Times New Roman"/>
                <w:sz w:val="14"/>
              </w:rPr>
            </w:pPr>
          </w:p>
        </w:tc>
        <w:tc>
          <w:tcPr>
            <w:tcW w:w="8573" w:type="dxa"/>
          </w:tcPr>
          <w:p>
            <w:pPr>
              <w:pStyle w:val="TableParagraph"/>
              <w:spacing w:before="4"/>
              <w:rPr>
                <w:sz w:val="15"/>
              </w:rPr>
            </w:pPr>
          </w:p>
          <w:p>
            <w:pPr>
              <w:pStyle w:val="TableParagraph"/>
              <w:spacing w:line="156" w:lineRule="exact" w:before="1"/>
              <w:ind w:right="53"/>
              <w:jc w:val="right"/>
              <w:rPr>
                <w:sz w:val="15"/>
              </w:rPr>
            </w:pPr>
            <w:r>
              <w:rPr>
                <w:sz w:val="15"/>
              </w:rPr>
              <w:t>Si los servicios enumerados en las fracciones I, II y III del presente artículo son</w:t>
            </w:r>
          </w:p>
        </w:tc>
      </w:tr>
      <w:tr>
        <w:trPr>
          <w:trHeight w:val="177" w:hRule="atLeast"/>
        </w:trPr>
        <w:tc>
          <w:tcPr>
            <w:tcW w:w="4680" w:type="dxa"/>
          </w:tcPr>
          <w:p>
            <w:pPr>
              <w:pStyle w:val="TableParagraph"/>
              <w:spacing w:line="156" w:lineRule="exact" w:before="1"/>
              <w:ind w:left="427"/>
              <w:rPr>
                <w:sz w:val="15"/>
              </w:rPr>
            </w:pPr>
            <w:r>
              <w:rPr>
                <w:sz w:val="15"/>
              </w:rPr>
              <w:t>a) Certificado de inscripción de propiedad, por cada predio:</w:t>
            </w:r>
          </w:p>
        </w:tc>
        <w:tc>
          <w:tcPr>
            <w:tcW w:w="3893" w:type="dxa"/>
          </w:tcPr>
          <w:p>
            <w:pPr>
              <w:pStyle w:val="TableParagraph"/>
              <w:spacing w:line="156" w:lineRule="exact" w:before="1"/>
              <w:ind w:right="3102"/>
              <w:jc w:val="right"/>
              <w:rPr>
                <w:sz w:val="15"/>
              </w:rPr>
            </w:pPr>
            <w:r>
              <w:rPr>
                <w:sz w:val="15"/>
              </w:rPr>
              <w:t>$93.00</w:t>
            </w:r>
          </w:p>
        </w:tc>
        <w:tc>
          <w:tcPr>
            <w:tcW w:w="8573" w:type="dxa"/>
          </w:tcPr>
          <w:p>
            <w:pPr>
              <w:pStyle w:val="TableParagraph"/>
              <w:spacing w:line="156" w:lineRule="exact" w:before="1"/>
              <w:ind w:right="53"/>
              <w:jc w:val="right"/>
              <w:rPr>
                <w:sz w:val="15"/>
              </w:rPr>
            </w:pPr>
            <w:r>
              <w:rPr>
                <w:sz w:val="15"/>
              </w:rPr>
              <w:t>solicitados como urgentes se cobrará el doble del costo establecido en dichas</w:t>
            </w:r>
          </w:p>
        </w:tc>
      </w:tr>
      <w:tr>
        <w:trPr>
          <w:trHeight w:val="177" w:hRule="atLeast"/>
        </w:trPr>
        <w:tc>
          <w:tcPr>
            <w:tcW w:w="4680" w:type="dxa"/>
          </w:tcPr>
          <w:p>
            <w:pPr>
              <w:pStyle w:val="TableParagraph"/>
              <w:rPr>
                <w:rFonts w:ascii="Times New Roman"/>
                <w:sz w:val="10"/>
              </w:rPr>
            </w:pPr>
          </w:p>
        </w:tc>
        <w:tc>
          <w:tcPr>
            <w:tcW w:w="3893" w:type="dxa"/>
          </w:tcPr>
          <w:p>
            <w:pPr>
              <w:pStyle w:val="TableParagraph"/>
              <w:rPr>
                <w:rFonts w:ascii="Times New Roman"/>
                <w:sz w:val="10"/>
              </w:rPr>
            </w:pPr>
          </w:p>
        </w:tc>
        <w:tc>
          <w:tcPr>
            <w:tcW w:w="8573" w:type="dxa"/>
          </w:tcPr>
          <w:p>
            <w:pPr>
              <w:pStyle w:val="TableParagraph"/>
              <w:spacing w:line="156" w:lineRule="exact" w:before="1"/>
              <w:ind w:left="3099"/>
              <w:rPr>
                <w:sz w:val="15"/>
              </w:rPr>
            </w:pPr>
            <w:r>
              <w:rPr>
                <w:sz w:val="15"/>
              </w:rPr>
              <w:t>fracciones.</w:t>
            </w:r>
          </w:p>
        </w:tc>
      </w:tr>
      <w:tr>
        <w:trPr>
          <w:trHeight w:val="177" w:hRule="atLeast"/>
        </w:trPr>
        <w:tc>
          <w:tcPr>
            <w:tcW w:w="4680" w:type="dxa"/>
          </w:tcPr>
          <w:p>
            <w:pPr>
              <w:pStyle w:val="TableParagraph"/>
              <w:spacing w:line="156" w:lineRule="exact" w:before="1"/>
              <w:ind w:right="105"/>
              <w:jc w:val="right"/>
              <w:rPr>
                <w:sz w:val="15"/>
              </w:rPr>
            </w:pPr>
            <w:r>
              <w:rPr>
                <w:sz w:val="15"/>
              </w:rPr>
              <w:t>1. Si además se solicita historial catastral, se cobrará por</w:t>
            </w:r>
          </w:p>
        </w:tc>
        <w:tc>
          <w:tcPr>
            <w:tcW w:w="3893" w:type="dxa"/>
          </w:tcPr>
          <w:p>
            <w:pPr>
              <w:pStyle w:val="TableParagraph"/>
              <w:spacing w:line="156" w:lineRule="exact" w:before="1"/>
              <w:ind w:right="3102"/>
              <w:jc w:val="right"/>
              <w:rPr>
                <w:sz w:val="15"/>
              </w:rPr>
            </w:pPr>
            <w:r>
              <w:rPr>
                <w:sz w:val="15"/>
              </w:rPr>
              <w:t>$45.00</w:t>
            </w:r>
          </w:p>
        </w:tc>
        <w:tc>
          <w:tcPr>
            <w:tcW w:w="8573" w:type="dxa"/>
          </w:tcPr>
          <w:p>
            <w:pPr>
              <w:pStyle w:val="TableParagraph"/>
              <w:rPr>
                <w:rFonts w:ascii="Times New Roman"/>
                <w:sz w:val="10"/>
              </w:rPr>
            </w:pPr>
          </w:p>
        </w:tc>
      </w:tr>
      <w:tr>
        <w:trPr>
          <w:trHeight w:val="353" w:hRule="atLeast"/>
        </w:trPr>
        <w:tc>
          <w:tcPr>
            <w:tcW w:w="4680" w:type="dxa"/>
          </w:tcPr>
          <w:p>
            <w:pPr>
              <w:pStyle w:val="TableParagraph"/>
              <w:spacing w:before="1"/>
              <w:ind w:left="50"/>
              <w:rPr>
                <w:sz w:val="15"/>
              </w:rPr>
            </w:pPr>
            <w:r>
              <w:rPr>
                <w:sz w:val="15"/>
              </w:rPr>
              <w:t>cada búsqueda de antecedentes adicionales:</w:t>
            </w:r>
          </w:p>
        </w:tc>
        <w:tc>
          <w:tcPr>
            <w:tcW w:w="3893" w:type="dxa"/>
          </w:tcPr>
          <w:p>
            <w:pPr>
              <w:pStyle w:val="TableParagraph"/>
              <w:rPr>
                <w:rFonts w:ascii="Times New Roman"/>
                <w:sz w:val="14"/>
              </w:rPr>
            </w:pPr>
          </w:p>
        </w:tc>
        <w:tc>
          <w:tcPr>
            <w:tcW w:w="8573" w:type="dxa"/>
          </w:tcPr>
          <w:p>
            <w:pPr>
              <w:pStyle w:val="TableParagraph"/>
              <w:spacing w:line="176" w:lineRule="exact" w:before="1"/>
              <w:ind w:left="3099" w:right="103"/>
              <w:rPr>
                <w:sz w:val="15"/>
              </w:rPr>
            </w:pPr>
            <w:r>
              <w:rPr>
                <w:sz w:val="15"/>
              </w:rPr>
              <w:t>La entrega de cualquiera de los documentos mencionados en  el  párrafo  anterior que sea pagado como urgente se efectuará tres días</w:t>
            </w:r>
            <w:r>
              <w:rPr>
                <w:spacing w:val="24"/>
                <w:sz w:val="15"/>
              </w:rPr>
              <w:t> </w:t>
            </w:r>
            <w:r>
              <w:rPr>
                <w:sz w:val="15"/>
              </w:rPr>
              <w:t>hábiles</w:t>
            </w:r>
          </w:p>
        </w:tc>
      </w:tr>
      <w:tr>
        <w:trPr>
          <w:trHeight w:val="266" w:hRule="atLeast"/>
        </w:trPr>
        <w:tc>
          <w:tcPr>
            <w:tcW w:w="4680" w:type="dxa"/>
          </w:tcPr>
          <w:p>
            <w:pPr>
              <w:pStyle w:val="TableParagraph"/>
              <w:spacing w:before="1"/>
              <w:ind w:left="427"/>
              <w:rPr>
                <w:sz w:val="15"/>
              </w:rPr>
            </w:pPr>
            <w:r>
              <w:rPr>
                <w:sz w:val="15"/>
              </w:rPr>
              <w:t>b) Certificado de no-inscripción de predio:</w:t>
            </w:r>
          </w:p>
        </w:tc>
        <w:tc>
          <w:tcPr>
            <w:tcW w:w="3893" w:type="dxa"/>
          </w:tcPr>
          <w:p>
            <w:pPr>
              <w:pStyle w:val="TableParagraph"/>
              <w:rPr>
                <w:rFonts w:ascii="Times New Roman"/>
                <w:sz w:val="14"/>
              </w:rPr>
            </w:pPr>
          </w:p>
        </w:tc>
        <w:tc>
          <w:tcPr>
            <w:tcW w:w="8573" w:type="dxa"/>
          </w:tcPr>
          <w:p>
            <w:pPr>
              <w:pStyle w:val="TableParagraph"/>
              <w:spacing w:before="1"/>
              <w:ind w:left="3099"/>
              <w:rPr>
                <w:sz w:val="15"/>
              </w:rPr>
            </w:pPr>
            <w:r>
              <w:rPr>
                <w:sz w:val="15"/>
              </w:rPr>
              <w:t>posteriores a la fecha de la solicitud.</w:t>
            </w:r>
          </w:p>
        </w:tc>
      </w:tr>
      <w:tr>
        <w:trPr>
          <w:trHeight w:val="354" w:hRule="atLeast"/>
        </w:trPr>
        <w:tc>
          <w:tcPr>
            <w:tcW w:w="4680" w:type="dxa"/>
          </w:tcPr>
          <w:p>
            <w:pPr>
              <w:pStyle w:val="TableParagraph"/>
              <w:spacing w:before="90"/>
              <w:ind w:left="427"/>
              <w:rPr>
                <w:sz w:val="15"/>
              </w:rPr>
            </w:pPr>
            <w:r>
              <w:rPr>
                <w:sz w:val="15"/>
              </w:rPr>
              <w:t>1. Por cada certificado:</w:t>
            </w:r>
          </w:p>
        </w:tc>
        <w:tc>
          <w:tcPr>
            <w:tcW w:w="3893" w:type="dxa"/>
          </w:tcPr>
          <w:p>
            <w:pPr>
              <w:pStyle w:val="TableParagraph"/>
              <w:spacing w:before="90"/>
              <w:ind w:right="3101"/>
              <w:jc w:val="right"/>
              <w:rPr>
                <w:sz w:val="15"/>
              </w:rPr>
            </w:pPr>
            <w:r>
              <w:rPr>
                <w:sz w:val="15"/>
              </w:rPr>
              <w:t>$89.00</w:t>
            </w:r>
          </w:p>
        </w:tc>
        <w:tc>
          <w:tcPr>
            <w:tcW w:w="8573" w:type="dxa"/>
          </w:tcPr>
          <w:p>
            <w:pPr>
              <w:pStyle w:val="TableParagraph"/>
              <w:spacing w:before="89"/>
              <w:ind w:left="3476"/>
              <w:rPr>
                <w:sz w:val="15"/>
              </w:rPr>
            </w:pPr>
            <w:r>
              <w:rPr>
                <w:sz w:val="15"/>
              </w:rPr>
              <w:t>IV. Por la apertura de cuenta:</w:t>
            </w:r>
          </w:p>
        </w:tc>
      </w:tr>
      <w:tr>
        <w:trPr>
          <w:trHeight w:val="442" w:hRule="atLeast"/>
        </w:trPr>
        <w:tc>
          <w:tcPr>
            <w:tcW w:w="4680" w:type="dxa"/>
          </w:tcPr>
          <w:p>
            <w:pPr>
              <w:pStyle w:val="TableParagraph"/>
              <w:spacing w:before="90"/>
              <w:ind w:left="427"/>
              <w:rPr>
                <w:sz w:val="15"/>
              </w:rPr>
            </w:pPr>
            <w:r>
              <w:rPr>
                <w:sz w:val="15"/>
              </w:rPr>
              <w:t>c) Por certificación en copias:</w:t>
            </w:r>
          </w:p>
        </w:tc>
        <w:tc>
          <w:tcPr>
            <w:tcW w:w="3893" w:type="dxa"/>
          </w:tcPr>
          <w:p>
            <w:pPr>
              <w:pStyle w:val="TableParagraph"/>
              <w:spacing w:before="90"/>
              <w:ind w:right="3101"/>
              <w:jc w:val="right"/>
              <w:rPr>
                <w:sz w:val="15"/>
              </w:rPr>
            </w:pPr>
            <w:r>
              <w:rPr>
                <w:sz w:val="15"/>
              </w:rPr>
              <w:t>$51.00</w:t>
            </w:r>
          </w:p>
        </w:tc>
        <w:tc>
          <w:tcPr>
            <w:tcW w:w="8573" w:type="dxa"/>
          </w:tcPr>
          <w:p>
            <w:pPr>
              <w:pStyle w:val="TableParagraph"/>
              <w:spacing w:before="89"/>
              <w:ind w:left="3476"/>
              <w:rPr>
                <w:sz w:val="15"/>
              </w:rPr>
            </w:pPr>
            <w:r>
              <w:rPr>
                <w:sz w:val="15"/>
              </w:rPr>
              <w:t>a) Por cada lote, unidad condominal o rectificación a los</w:t>
            </w:r>
          </w:p>
          <w:p>
            <w:pPr>
              <w:pStyle w:val="TableParagraph"/>
              <w:tabs>
                <w:tab w:pos="7963" w:val="left" w:leader="none"/>
              </w:tabs>
              <w:spacing w:line="156" w:lineRule="exact" w:before="4"/>
              <w:ind w:left="3099"/>
              <w:rPr>
                <w:sz w:val="15"/>
              </w:rPr>
            </w:pPr>
            <w:r>
              <w:rPr>
                <w:sz w:val="15"/>
              </w:rPr>
              <w:t>mismos:</w:t>
              <w:tab/>
              <w:t>$153.00</w:t>
            </w:r>
          </w:p>
        </w:tc>
      </w:tr>
      <w:tr>
        <w:trPr>
          <w:trHeight w:val="177" w:hRule="atLeast"/>
        </w:trPr>
        <w:tc>
          <w:tcPr>
            <w:tcW w:w="4680" w:type="dxa"/>
          </w:tcPr>
          <w:p>
            <w:pPr>
              <w:pStyle w:val="TableParagraph"/>
              <w:spacing w:line="156" w:lineRule="exact" w:before="1"/>
              <w:ind w:left="427"/>
              <w:rPr>
                <w:sz w:val="15"/>
              </w:rPr>
            </w:pPr>
            <w:r>
              <w:rPr>
                <w:sz w:val="15"/>
              </w:rPr>
              <w:t>1. Dos copias:</w:t>
            </w:r>
          </w:p>
        </w:tc>
        <w:tc>
          <w:tcPr>
            <w:tcW w:w="3893" w:type="dxa"/>
          </w:tcPr>
          <w:p>
            <w:pPr>
              <w:pStyle w:val="TableParagraph"/>
              <w:spacing w:line="156" w:lineRule="exact" w:before="1"/>
              <w:ind w:right="3101"/>
              <w:jc w:val="right"/>
              <w:rPr>
                <w:sz w:val="15"/>
              </w:rPr>
            </w:pPr>
            <w:r>
              <w:rPr>
                <w:sz w:val="15"/>
              </w:rPr>
              <w:t>$93.00</w:t>
            </w:r>
          </w:p>
        </w:tc>
        <w:tc>
          <w:tcPr>
            <w:tcW w:w="8573" w:type="dxa"/>
          </w:tcPr>
          <w:p>
            <w:pPr>
              <w:pStyle w:val="TableParagraph"/>
              <w:rPr>
                <w:rFonts w:ascii="Times New Roman"/>
                <w:sz w:val="10"/>
              </w:rPr>
            </w:pPr>
          </w:p>
        </w:tc>
      </w:tr>
      <w:tr>
        <w:trPr>
          <w:trHeight w:val="177" w:hRule="atLeast"/>
        </w:trPr>
        <w:tc>
          <w:tcPr>
            <w:tcW w:w="4680" w:type="dxa"/>
          </w:tcPr>
          <w:p>
            <w:pPr>
              <w:pStyle w:val="TableParagraph"/>
              <w:rPr>
                <w:rFonts w:ascii="Times New Roman"/>
                <w:sz w:val="10"/>
              </w:rPr>
            </w:pPr>
          </w:p>
        </w:tc>
        <w:tc>
          <w:tcPr>
            <w:tcW w:w="3893" w:type="dxa"/>
          </w:tcPr>
          <w:p>
            <w:pPr>
              <w:pStyle w:val="TableParagraph"/>
              <w:rPr>
                <w:rFonts w:ascii="Times New Roman"/>
                <w:sz w:val="10"/>
              </w:rPr>
            </w:pPr>
          </w:p>
        </w:tc>
        <w:tc>
          <w:tcPr>
            <w:tcW w:w="8573" w:type="dxa"/>
          </w:tcPr>
          <w:p>
            <w:pPr>
              <w:pStyle w:val="TableParagraph"/>
              <w:spacing w:line="156" w:lineRule="exact" w:before="1"/>
              <w:ind w:right="53"/>
              <w:jc w:val="right"/>
              <w:rPr>
                <w:sz w:val="15"/>
              </w:rPr>
            </w:pPr>
            <w:r>
              <w:rPr>
                <w:sz w:val="15"/>
              </w:rPr>
              <w:t>V. Por cada dictamen de valor practicado por el área de catastro, a</w:t>
            </w:r>
          </w:p>
        </w:tc>
      </w:tr>
      <w:tr>
        <w:trPr>
          <w:trHeight w:val="265" w:hRule="atLeast"/>
        </w:trPr>
        <w:tc>
          <w:tcPr>
            <w:tcW w:w="4680" w:type="dxa"/>
          </w:tcPr>
          <w:p>
            <w:pPr>
              <w:pStyle w:val="TableParagraph"/>
              <w:spacing w:before="1"/>
              <w:ind w:left="427"/>
              <w:rPr>
                <w:sz w:val="15"/>
              </w:rPr>
            </w:pPr>
            <w:r>
              <w:rPr>
                <w:sz w:val="15"/>
              </w:rPr>
              <w:t>2. Tres copias:</w:t>
            </w:r>
          </w:p>
        </w:tc>
        <w:tc>
          <w:tcPr>
            <w:tcW w:w="3893" w:type="dxa"/>
          </w:tcPr>
          <w:p>
            <w:pPr>
              <w:pStyle w:val="TableParagraph"/>
              <w:spacing w:before="1"/>
              <w:ind w:right="3101"/>
              <w:jc w:val="right"/>
              <w:rPr>
                <w:sz w:val="15"/>
              </w:rPr>
            </w:pPr>
            <w:r>
              <w:rPr>
                <w:sz w:val="15"/>
              </w:rPr>
              <w:t>$131.00</w:t>
            </w:r>
          </w:p>
        </w:tc>
        <w:tc>
          <w:tcPr>
            <w:tcW w:w="8573" w:type="dxa"/>
          </w:tcPr>
          <w:p>
            <w:pPr>
              <w:pStyle w:val="TableParagraph"/>
              <w:spacing w:before="1"/>
              <w:ind w:left="3099"/>
              <w:rPr>
                <w:sz w:val="15"/>
              </w:rPr>
            </w:pPr>
            <w:r>
              <w:rPr>
                <w:sz w:val="15"/>
              </w:rPr>
              <w:t>solicitud, se cobrará de acuerdo a la siguiente:</w:t>
            </w:r>
          </w:p>
        </w:tc>
      </w:tr>
      <w:tr>
        <w:trPr>
          <w:trHeight w:val="354" w:hRule="atLeast"/>
        </w:trPr>
        <w:tc>
          <w:tcPr>
            <w:tcW w:w="4680" w:type="dxa"/>
          </w:tcPr>
          <w:p>
            <w:pPr>
              <w:pStyle w:val="TableParagraph"/>
              <w:spacing w:before="89"/>
              <w:ind w:left="427"/>
              <w:rPr>
                <w:sz w:val="15"/>
              </w:rPr>
            </w:pPr>
            <w:r>
              <w:rPr>
                <w:sz w:val="15"/>
              </w:rPr>
              <w:t>3. Cuatro copias:</w:t>
            </w:r>
          </w:p>
        </w:tc>
        <w:tc>
          <w:tcPr>
            <w:tcW w:w="3893" w:type="dxa"/>
          </w:tcPr>
          <w:p>
            <w:pPr>
              <w:pStyle w:val="TableParagraph"/>
              <w:spacing w:before="89"/>
              <w:ind w:right="3101"/>
              <w:jc w:val="right"/>
              <w:rPr>
                <w:sz w:val="15"/>
              </w:rPr>
            </w:pPr>
            <w:r>
              <w:rPr>
                <w:sz w:val="15"/>
              </w:rPr>
              <w:t>$161.00</w:t>
            </w:r>
          </w:p>
        </w:tc>
        <w:tc>
          <w:tcPr>
            <w:tcW w:w="8573" w:type="dxa"/>
          </w:tcPr>
          <w:p>
            <w:pPr>
              <w:pStyle w:val="TableParagraph"/>
              <w:tabs>
                <w:tab w:pos="4444" w:val="left" w:leader="none"/>
              </w:tabs>
              <w:spacing w:before="89"/>
              <w:ind w:right="93"/>
              <w:jc w:val="right"/>
              <w:rPr>
                <w:sz w:val="15"/>
              </w:rPr>
            </w:pPr>
            <w:r>
              <w:rPr>
                <w:sz w:val="15"/>
              </w:rPr>
              <w:t>a) Hasta $30,000.00</w:t>
            </w:r>
            <w:r>
              <w:rPr>
                <w:spacing w:val="23"/>
                <w:sz w:val="15"/>
              </w:rPr>
              <w:t> </w:t>
            </w:r>
            <w:r>
              <w:rPr>
                <w:sz w:val="15"/>
              </w:rPr>
              <w:t>de</w:t>
            </w:r>
            <w:r>
              <w:rPr>
                <w:spacing w:val="7"/>
                <w:sz w:val="15"/>
              </w:rPr>
              <w:t> </w:t>
            </w:r>
            <w:r>
              <w:rPr>
                <w:sz w:val="15"/>
              </w:rPr>
              <w:t>valor:</w:t>
              <w:tab/>
              <w:t>$383.00</w:t>
            </w:r>
          </w:p>
        </w:tc>
      </w:tr>
      <w:tr>
        <w:trPr>
          <w:trHeight w:val="265" w:hRule="atLeast"/>
        </w:trPr>
        <w:tc>
          <w:tcPr>
            <w:tcW w:w="4680" w:type="dxa"/>
          </w:tcPr>
          <w:p>
            <w:pPr>
              <w:pStyle w:val="TableParagraph"/>
              <w:spacing w:line="156" w:lineRule="exact" w:before="90"/>
              <w:ind w:left="427"/>
              <w:rPr>
                <w:sz w:val="15"/>
              </w:rPr>
            </w:pPr>
            <w:r>
              <w:rPr>
                <w:sz w:val="15"/>
              </w:rPr>
              <w:t>4. Cinco copias:</w:t>
            </w:r>
          </w:p>
        </w:tc>
        <w:tc>
          <w:tcPr>
            <w:tcW w:w="3893" w:type="dxa"/>
          </w:tcPr>
          <w:p>
            <w:pPr>
              <w:pStyle w:val="TableParagraph"/>
              <w:spacing w:line="156" w:lineRule="exact" w:before="90"/>
              <w:ind w:right="3101"/>
              <w:jc w:val="right"/>
              <w:rPr>
                <w:sz w:val="15"/>
              </w:rPr>
            </w:pPr>
            <w:r>
              <w:rPr>
                <w:sz w:val="15"/>
              </w:rPr>
              <w:t>$186.00</w:t>
            </w:r>
          </w:p>
        </w:tc>
        <w:tc>
          <w:tcPr>
            <w:tcW w:w="8573" w:type="dxa"/>
          </w:tcPr>
          <w:p>
            <w:pPr>
              <w:pStyle w:val="TableParagraph"/>
              <w:spacing w:line="156" w:lineRule="exact" w:before="89"/>
              <w:ind w:right="53"/>
              <w:jc w:val="right"/>
              <w:rPr>
                <w:sz w:val="15"/>
              </w:rPr>
            </w:pPr>
            <w:r>
              <w:rPr>
                <w:sz w:val="15"/>
              </w:rPr>
              <w:t>b) De $30,000.01 a $1’000,000.00 se cobrará la cantidad del inciso</w:t>
            </w:r>
          </w:p>
        </w:tc>
      </w:tr>
      <w:tr>
        <w:trPr>
          <w:trHeight w:val="177" w:hRule="atLeast"/>
        </w:trPr>
        <w:tc>
          <w:tcPr>
            <w:tcW w:w="4680" w:type="dxa"/>
          </w:tcPr>
          <w:p>
            <w:pPr>
              <w:pStyle w:val="TableParagraph"/>
              <w:rPr>
                <w:rFonts w:ascii="Times New Roman"/>
                <w:sz w:val="10"/>
              </w:rPr>
            </w:pPr>
          </w:p>
        </w:tc>
        <w:tc>
          <w:tcPr>
            <w:tcW w:w="3893" w:type="dxa"/>
          </w:tcPr>
          <w:p>
            <w:pPr>
              <w:pStyle w:val="TableParagraph"/>
              <w:rPr>
                <w:rFonts w:ascii="Times New Roman"/>
                <w:sz w:val="10"/>
              </w:rPr>
            </w:pPr>
          </w:p>
        </w:tc>
        <w:tc>
          <w:tcPr>
            <w:tcW w:w="8573" w:type="dxa"/>
          </w:tcPr>
          <w:p>
            <w:pPr>
              <w:pStyle w:val="TableParagraph"/>
              <w:spacing w:line="156" w:lineRule="exact" w:before="1"/>
              <w:ind w:left="3099"/>
              <w:rPr>
                <w:sz w:val="15"/>
              </w:rPr>
            </w:pPr>
            <w:r>
              <w:rPr>
                <w:sz w:val="15"/>
              </w:rPr>
              <w:t>anterior, más el 2 al millar sobre el excedente a:$38,288.00</w:t>
            </w:r>
          </w:p>
        </w:tc>
      </w:tr>
      <w:tr>
        <w:trPr>
          <w:trHeight w:val="177" w:hRule="atLeast"/>
        </w:trPr>
        <w:tc>
          <w:tcPr>
            <w:tcW w:w="4680" w:type="dxa"/>
          </w:tcPr>
          <w:p>
            <w:pPr>
              <w:pStyle w:val="TableParagraph"/>
              <w:spacing w:line="156" w:lineRule="exact" w:before="1"/>
              <w:ind w:left="427"/>
              <w:rPr>
                <w:sz w:val="15"/>
              </w:rPr>
            </w:pPr>
            <w:r>
              <w:rPr>
                <w:sz w:val="15"/>
              </w:rPr>
              <w:t>5. Seis copias:</w:t>
            </w:r>
          </w:p>
        </w:tc>
        <w:tc>
          <w:tcPr>
            <w:tcW w:w="3893" w:type="dxa"/>
          </w:tcPr>
          <w:p>
            <w:pPr>
              <w:pStyle w:val="TableParagraph"/>
              <w:spacing w:line="156" w:lineRule="exact" w:before="1"/>
              <w:ind w:right="3099"/>
              <w:jc w:val="right"/>
              <w:rPr>
                <w:sz w:val="15"/>
              </w:rPr>
            </w:pPr>
            <w:r>
              <w:rPr>
                <w:sz w:val="15"/>
              </w:rPr>
              <w:t>$202.00</w:t>
            </w:r>
          </w:p>
        </w:tc>
        <w:tc>
          <w:tcPr>
            <w:tcW w:w="8573" w:type="dxa"/>
          </w:tcPr>
          <w:p>
            <w:pPr>
              <w:pStyle w:val="TableParagraph"/>
              <w:rPr>
                <w:rFonts w:ascii="Times New Roman"/>
                <w:sz w:val="10"/>
              </w:rPr>
            </w:pPr>
          </w:p>
        </w:tc>
      </w:tr>
      <w:tr>
        <w:trPr>
          <w:trHeight w:val="353" w:hRule="atLeast"/>
        </w:trPr>
        <w:tc>
          <w:tcPr>
            <w:tcW w:w="4680" w:type="dxa"/>
          </w:tcPr>
          <w:p>
            <w:pPr>
              <w:pStyle w:val="TableParagraph"/>
              <w:spacing w:before="5"/>
              <w:rPr>
                <w:sz w:val="15"/>
              </w:rPr>
            </w:pPr>
          </w:p>
          <w:p>
            <w:pPr>
              <w:pStyle w:val="TableParagraph"/>
              <w:spacing w:line="156" w:lineRule="exact"/>
              <w:ind w:left="427"/>
              <w:rPr>
                <w:sz w:val="15"/>
              </w:rPr>
            </w:pPr>
            <w:r>
              <w:rPr>
                <w:sz w:val="15"/>
              </w:rPr>
              <w:t>6. Siete copias:</w:t>
            </w:r>
          </w:p>
        </w:tc>
        <w:tc>
          <w:tcPr>
            <w:tcW w:w="3893" w:type="dxa"/>
          </w:tcPr>
          <w:p>
            <w:pPr>
              <w:pStyle w:val="TableParagraph"/>
              <w:spacing w:before="5"/>
              <w:rPr>
                <w:sz w:val="15"/>
              </w:rPr>
            </w:pPr>
          </w:p>
          <w:p>
            <w:pPr>
              <w:pStyle w:val="TableParagraph"/>
              <w:spacing w:line="156" w:lineRule="exact"/>
              <w:ind w:right="3101"/>
              <w:jc w:val="right"/>
              <w:rPr>
                <w:sz w:val="15"/>
              </w:rPr>
            </w:pPr>
            <w:r>
              <w:rPr>
                <w:sz w:val="15"/>
              </w:rPr>
              <w:t>$225.00</w:t>
            </w:r>
          </w:p>
        </w:tc>
        <w:tc>
          <w:tcPr>
            <w:tcW w:w="8573" w:type="dxa"/>
          </w:tcPr>
          <w:p>
            <w:pPr>
              <w:pStyle w:val="TableParagraph"/>
              <w:spacing w:line="176" w:lineRule="exact" w:before="1"/>
              <w:ind w:left="3099" w:firstLine="377"/>
              <w:rPr>
                <w:sz w:val="15"/>
              </w:rPr>
            </w:pPr>
            <w:r>
              <w:rPr>
                <w:sz w:val="15"/>
              </w:rPr>
              <w:t>c) De $1’000,000.01 a $5’000,000.00 se cobrará la cantidad del inciso anterior más el 1.6 al millar sobre el excedente a:</w:t>
            </w:r>
          </w:p>
        </w:tc>
      </w:tr>
      <w:tr>
        <w:trPr>
          <w:trHeight w:val="177" w:hRule="atLeast"/>
        </w:trPr>
        <w:tc>
          <w:tcPr>
            <w:tcW w:w="4680" w:type="dxa"/>
          </w:tcPr>
          <w:p>
            <w:pPr>
              <w:pStyle w:val="TableParagraph"/>
              <w:rPr>
                <w:rFonts w:ascii="Times New Roman"/>
                <w:sz w:val="10"/>
              </w:rPr>
            </w:pPr>
          </w:p>
        </w:tc>
        <w:tc>
          <w:tcPr>
            <w:tcW w:w="3893" w:type="dxa"/>
          </w:tcPr>
          <w:p>
            <w:pPr>
              <w:pStyle w:val="TableParagraph"/>
              <w:rPr>
                <w:rFonts w:ascii="Times New Roman"/>
                <w:sz w:val="10"/>
              </w:rPr>
            </w:pPr>
          </w:p>
        </w:tc>
        <w:tc>
          <w:tcPr>
            <w:tcW w:w="8573" w:type="dxa"/>
          </w:tcPr>
          <w:p>
            <w:pPr>
              <w:pStyle w:val="TableParagraph"/>
              <w:spacing w:line="156" w:lineRule="exact" w:before="1"/>
              <w:ind w:right="53"/>
              <w:jc w:val="right"/>
              <w:rPr>
                <w:sz w:val="15"/>
              </w:rPr>
            </w:pPr>
            <w:r>
              <w:rPr>
                <w:sz w:val="15"/>
              </w:rPr>
              <w:t>$1’276,281.00</w:t>
            </w:r>
          </w:p>
        </w:tc>
      </w:tr>
      <w:tr>
        <w:trPr>
          <w:trHeight w:val="177" w:hRule="atLeast"/>
        </w:trPr>
        <w:tc>
          <w:tcPr>
            <w:tcW w:w="4680" w:type="dxa"/>
          </w:tcPr>
          <w:p>
            <w:pPr>
              <w:pStyle w:val="TableParagraph"/>
              <w:spacing w:line="156" w:lineRule="exact" w:before="1"/>
              <w:ind w:left="427"/>
              <w:rPr>
                <w:sz w:val="15"/>
              </w:rPr>
            </w:pPr>
            <w:r>
              <w:rPr>
                <w:sz w:val="15"/>
              </w:rPr>
              <w:t>7. Ocho copias:</w:t>
            </w:r>
          </w:p>
        </w:tc>
        <w:tc>
          <w:tcPr>
            <w:tcW w:w="3893" w:type="dxa"/>
          </w:tcPr>
          <w:p>
            <w:pPr>
              <w:pStyle w:val="TableParagraph"/>
              <w:spacing w:line="156" w:lineRule="exact" w:before="1"/>
              <w:ind w:right="3141"/>
              <w:jc w:val="right"/>
              <w:rPr>
                <w:sz w:val="15"/>
              </w:rPr>
            </w:pPr>
            <w:r>
              <w:rPr>
                <w:sz w:val="15"/>
              </w:rPr>
              <w:t>$240.00</w:t>
            </w:r>
          </w:p>
        </w:tc>
        <w:tc>
          <w:tcPr>
            <w:tcW w:w="8573" w:type="dxa"/>
          </w:tcPr>
          <w:p>
            <w:pPr>
              <w:pStyle w:val="TableParagraph"/>
              <w:rPr>
                <w:rFonts w:ascii="Times New Roman"/>
                <w:sz w:val="10"/>
              </w:rPr>
            </w:pPr>
          </w:p>
        </w:tc>
      </w:tr>
      <w:tr>
        <w:trPr>
          <w:trHeight w:val="177" w:hRule="atLeast"/>
        </w:trPr>
        <w:tc>
          <w:tcPr>
            <w:tcW w:w="4680" w:type="dxa"/>
          </w:tcPr>
          <w:p>
            <w:pPr>
              <w:pStyle w:val="TableParagraph"/>
              <w:rPr>
                <w:rFonts w:ascii="Times New Roman"/>
                <w:sz w:val="10"/>
              </w:rPr>
            </w:pPr>
          </w:p>
        </w:tc>
        <w:tc>
          <w:tcPr>
            <w:tcW w:w="3893" w:type="dxa"/>
          </w:tcPr>
          <w:p>
            <w:pPr>
              <w:pStyle w:val="TableParagraph"/>
              <w:rPr>
                <w:rFonts w:ascii="Times New Roman"/>
                <w:sz w:val="10"/>
              </w:rPr>
            </w:pPr>
          </w:p>
        </w:tc>
        <w:tc>
          <w:tcPr>
            <w:tcW w:w="8573" w:type="dxa"/>
          </w:tcPr>
          <w:p>
            <w:pPr>
              <w:pStyle w:val="TableParagraph"/>
              <w:spacing w:line="156" w:lineRule="exact" w:before="1"/>
              <w:ind w:right="52"/>
              <w:jc w:val="right"/>
              <w:rPr>
                <w:sz w:val="15"/>
              </w:rPr>
            </w:pPr>
            <w:r>
              <w:rPr>
                <w:sz w:val="15"/>
              </w:rPr>
              <w:t>d) De $5’000,000.01 en adelante se cobrará la cantidad del inciso</w:t>
            </w:r>
          </w:p>
        </w:tc>
      </w:tr>
      <w:tr>
        <w:trPr>
          <w:trHeight w:val="353" w:hRule="atLeast"/>
        </w:trPr>
        <w:tc>
          <w:tcPr>
            <w:tcW w:w="4680" w:type="dxa"/>
          </w:tcPr>
          <w:p>
            <w:pPr>
              <w:pStyle w:val="TableParagraph"/>
              <w:spacing w:before="1"/>
              <w:ind w:left="427"/>
              <w:rPr>
                <w:sz w:val="15"/>
              </w:rPr>
            </w:pPr>
            <w:r>
              <w:rPr>
                <w:sz w:val="15"/>
              </w:rPr>
              <w:t>8. Nueve copias:</w:t>
            </w:r>
          </w:p>
        </w:tc>
        <w:tc>
          <w:tcPr>
            <w:tcW w:w="3893" w:type="dxa"/>
          </w:tcPr>
          <w:p>
            <w:pPr>
              <w:pStyle w:val="TableParagraph"/>
              <w:spacing w:before="1"/>
              <w:ind w:right="3101"/>
              <w:jc w:val="right"/>
              <w:rPr>
                <w:sz w:val="15"/>
              </w:rPr>
            </w:pPr>
            <w:r>
              <w:rPr>
                <w:sz w:val="15"/>
              </w:rPr>
              <w:t>$271.00</w:t>
            </w:r>
          </w:p>
        </w:tc>
        <w:tc>
          <w:tcPr>
            <w:tcW w:w="8573" w:type="dxa"/>
          </w:tcPr>
          <w:p>
            <w:pPr>
              <w:pStyle w:val="TableParagraph"/>
              <w:spacing w:before="1"/>
              <w:ind w:left="3099"/>
              <w:rPr>
                <w:sz w:val="15"/>
              </w:rPr>
            </w:pPr>
            <w:r>
              <w:rPr>
                <w:sz w:val="15"/>
              </w:rPr>
              <w:t>anterior más el 0.8 al millar sobre el excedente a:</w:t>
            </w:r>
          </w:p>
          <w:p>
            <w:pPr>
              <w:pStyle w:val="TableParagraph"/>
              <w:spacing w:line="156" w:lineRule="exact" w:before="4"/>
              <w:ind w:left="7526"/>
              <w:rPr>
                <w:sz w:val="15"/>
              </w:rPr>
            </w:pPr>
            <w:r>
              <w:rPr>
                <w:sz w:val="15"/>
              </w:rPr>
              <w:t>$6´381,408.00</w:t>
            </w:r>
          </w:p>
        </w:tc>
      </w:tr>
      <w:tr>
        <w:trPr>
          <w:trHeight w:val="177" w:hRule="atLeast"/>
        </w:trPr>
        <w:tc>
          <w:tcPr>
            <w:tcW w:w="4680" w:type="dxa"/>
          </w:tcPr>
          <w:p>
            <w:pPr>
              <w:pStyle w:val="TableParagraph"/>
              <w:spacing w:line="156" w:lineRule="exact" w:before="1"/>
              <w:ind w:left="427"/>
              <w:rPr>
                <w:sz w:val="15"/>
              </w:rPr>
            </w:pPr>
            <w:r>
              <w:rPr>
                <w:sz w:val="15"/>
              </w:rPr>
              <w:t>9. Diez copias:</w:t>
            </w:r>
          </w:p>
        </w:tc>
        <w:tc>
          <w:tcPr>
            <w:tcW w:w="3893" w:type="dxa"/>
          </w:tcPr>
          <w:p>
            <w:pPr>
              <w:pStyle w:val="TableParagraph"/>
              <w:spacing w:line="156" w:lineRule="exact" w:before="1"/>
              <w:ind w:right="3101"/>
              <w:jc w:val="right"/>
              <w:rPr>
                <w:sz w:val="15"/>
              </w:rPr>
            </w:pPr>
            <w:r>
              <w:rPr>
                <w:sz w:val="15"/>
              </w:rPr>
              <w:t>$268.00</w:t>
            </w:r>
          </w:p>
        </w:tc>
        <w:tc>
          <w:tcPr>
            <w:tcW w:w="8573" w:type="dxa"/>
          </w:tcPr>
          <w:p>
            <w:pPr>
              <w:pStyle w:val="TableParagraph"/>
              <w:rPr>
                <w:rFonts w:ascii="Times New Roman"/>
                <w:sz w:val="10"/>
              </w:rPr>
            </w:pPr>
          </w:p>
        </w:tc>
      </w:tr>
      <w:tr>
        <w:trPr>
          <w:trHeight w:val="177" w:hRule="atLeast"/>
        </w:trPr>
        <w:tc>
          <w:tcPr>
            <w:tcW w:w="4680" w:type="dxa"/>
          </w:tcPr>
          <w:p>
            <w:pPr>
              <w:pStyle w:val="TableParagraph"/>
              <w:rPr>
                <w:rFonts w:ascii="Times New Roman"/>
                <w:sz w:val="10"/>
              </w:rPr>
            </w:pPr>
          </w:p>
        </w:tc>
        <w:tc>
          <w:tcPr>
            <w:tcW w:w="3893" w:type="dxa"/>
          </w:tcPr>
          <w:p>
            <w:pPr>
              <w:pStyle w:val="TableParagraph"/>
              <w:rPr>
                <w:rFonts w:ascii="Times New Roman"/>
                <w:sz w:val="10"/>
              </w:rPr>
            </w:pPr>
          </w:p>
        </w:tc>
        <w:tc>
          <w:tcPr>
            <w:tcW w:w="8573" w:type="dxa"/>
          </w:tcPr>
          <w:p>
            <w:pPr>
              <w:pStyle w:val="TableParagraph"/>
              <w:spacing w:line="156" w:lineRule="exact" w:before="1"/>
              <w:ind w:left="3476"/>
              <w:rPr>
                <w:sz w:val="15"/>
              </w:rPr>
            </w:pPr>
            <w:r>
              <w:rPr>
                <w:sz w:val="15"/>
              </w:rPr>
              <w:t>VI. Por la revisión ordinaria del área de catastro de cada</w:t>
            </w:r>
          </w:p>
        </w:tc>
      </w:tr>
      <w:tr>
        <w:trPr>
          <w:trHeight w:val="177" w:hRule="atLeast"/>
        </w:trPr>
        <w:tc>
          <w:tcPr>
            <w:tcW w:w="4680" w:type="dxa"/>
          </w:tcPr>
          <w:p>
            <w:pPr>
              <w:pStyle w:val="TableParagraph"/>
              <w:spacing w:line="156" w:lineRule="exact" w:before="1"/>
              <w:ind w:left="427"/>
              <w:rPr>
                <w:sz w:val="15"/>
              </w:rPr>
            </w:pPr>
            <w:r>
              <w:rPr>
                <w:sz w:val="15"/>
              </w:rPr>
              <w:t>10. Por cada hoja adicional:</w:t>
            </w:r>
          </w:p>
        </w:tc>
        <w:tc>
          <w:tcPr>
            <w:tcW w:w="3893" w:type="dxa"/>
          </w:tcPr>
          <w:p>
            <w:pPr>
              <w:pStyle w:val="TableParagraph"/>
              <w:spacing w:line="156" w:lineRule="exact" w:before="1"/>
              <w:ind w:right="3101"/>
              <w:jc w:val="right"/>
              <w:rPr>
                <w:sz w:val="15"/>
              </w:rPr>
            </w:pPr>
            <w:r>
              <w:rPr>
                <w:sz w:val="15"/>
              </w:rPr>
              <w:t>$19.00</w:t>
            </w:r>
          </w:p>
        </w:tc>
        <w:tc>
          <w:tcPr>
            <w:tcW w:w="8573" w:type="dxa"/>
          </w:tcPr>
          <w:p>
            <w:pPr>
              <w:pStyle w:val="TableParagraph"/>
              <w:spacing w:line="156" w:lineRule="exact" w:before="1"/>
              <w:ind w:left="3099"/>
              <w:rPr>
                <w:sz w:val="15"/>
              </w:rPr>
            </w:pPr>
            <w:r>
              <w:rPr>
                <w:sz w:val="15"/>
              </w:rPr>
              <w:t>avalúo practicado por otras instituciones o valuadores</w:t>
            </w:r>
          </w:p>
        </w:tc>
      </w:tr>
      <w:tr>
        <w:trPr>
          <w:trHeight w:val="177" w:hRule="atLeast"/>
        </w:trPr>
        <w:tc>
          <w:tcPr>
            <w:tcW w:w="4680" w:type="dxa"/>
          </w:tcPr>
          <w:p>
            <w:pPr>
              <w:pStyle w:val="TableParagraph"/>
              <w:rPr>
                <w:rFonts w:ascii="Times New Roman"/>
                <w:sz w:val="10"/>
              </w:rPr>
            </w:pPr>
          </w:p>
        </w:tc>
        <w:tc>
          <w:tcPr>
            <w:tcW w:w="3893" w:type="dxa"/>
          </w:tcPr>
          <w:p>
            <w:pPr>
              <w:pStyle w:val="TableParagraph"/>
              <w:rPr>
                <w:rFonts w:ascii="Times New Roman"/>
                <w:sz w:val="10"/>
              </w:rPr>
            </w:pPr>
          </w:p>
        </w:tc>
        <w:tc>
          <w:tcPr>
            <w:tcW w:w="8573" w:type="dxa"/>
          </w:tcPr>
          <w:p>
            <w:pPr>
              <w:pStyle w:val="TableParagraph"/>
              <w:spacing w:line="156" w:lineRule="exact" w:before="1"/>
              <w:ind w:left="3099"/>
              <w:rPr>
                <w:sz w:val="15"/>
              </w:rPr>
            </w:pPr>
            <w:r>
              <w:rPr>
                <w:sz w:val="15"/>
              </w:rPr>
              <w:t>independientes autorizados por la Dirección de Catastro</w:t>
            </w:r>
          </w:p>
        </w:tc>
      </w:tr>
      <w:tr>
        <w:trPr>
          <w:trHeight w:val="265" w:hRule="atLeast"/>
        </w:trPr>
        <w:tc>
          <w:tcPr>
            <w:tcW w:w="4680" w:type="dxa"/>
          </w:tcPr>
          <w:p>
            <w:pPr>
              <w:pStyle w:val="TableParagraph"/>
              <w:spacing w:before="1"/>
              <w:ind w:left="427"/>
              <w:rPr>
                <w:sz w:val="15"/>
              </w:rPr>
            </w:pPr>
            <w:r>
              <w:rPr>
                <w:sz w:val="15"/>
              </w:rPr>
              <w:t>11. Por copia simple, por cada hoja:</w:t>
            </w:r>
          </w:p>
        </w:tc>
        <w:tc>
          <w:tcPr>
            <w:tcW w:w="3893" w:type="dxa"/>
          </w:tcPr>
          <w:p>
            <w:pPr>
              <w:pStyle w:val="TableParagraph"/>
              <w:spacing w:before="1"/>
              <w:ind w:right="3102"/>
              <w:jc w:val="right"/>
              <w:rPr>
                <w:sz w:val="15"/>
              </w:rPr>
            </w:pPr>
            <w:r>
              <w:rPr>
                <w:sz w:val="15"/>
              </w:rPr>
              <w:t>$21.00</w:t>
            </w:r>
          </w:p>
        </w:tc>
        <w:tc>
          <w:tcPr>
            <w:tcW w:w="8573" w:type="dxa"/>
          </w:tcPr>
          <w:p>
            <w:pPr>
              <w:pStyle w:val="TableParagraph"/>
              <w:tabs>
                <w:tab w:pos="4863" w:val="left" w:leader="none"/>
              </w:tabs>
              <w:spacing w:before="1"/>
              <w:ind w:right="51"/>
              <w:jc w:val="right"/>
              <w:rPr>
                <w:sz w:val="15"/>
              </w:rPr>
            </w:pPr>
            <w:r>
              <w:rPr>
                <w:sz w:val="15"/>
              </w:rPr>
              <w:t>Municipal:</w:t>
              <w:tab/>
              <w:t>$140.00</w:t>
            </w:r>
          </w:p>
        </w:tc>
      </w:tr>
      <w:tr>
        <w:trPr>
          <w:trHeight w:val="265" w:hRule="atLeast"/>
        </w:trPr>
        <w:tc>
          <w:tcPr>
            <w:tcW w:w="4680" w:type="dxa"/>
          </w:tcPr>
          <w:p>
            <w:pPr>
              <w:pStyle w:val="TableParagraph"/>
              <w:spacing w:line="156" w:lineRule="exact" w:before="89"/>
              <w:ind w:left="427"/>
              <w:rPr>
                <w:sz w:val="15"/>
              </w:rPr>
            </w:pPr>
            <w:r>
              <w:rPr>
                <w:sz w:val="15"/>
              </w:rPr>
              <w:t>d) Por certificación en planos:</w:t>
            </w:r>
          </w:p>
        </w:tc>
        <w:tc>
          <w:tcPr>
            <w:tcW w:w="3893" w:type="dxa"/>
          </w:tcPr>
          <w:p>
            <w:pPr>
              <w:pStyle w:val="TableParagraph"/>
              <w:spacing w:line="156" w:lineRule="exact" w:before="89"/>
              <w:ind w:right="3101"/>
              <w:jc w:val="right"/>
              <w:rPr>
                <w:sz w:val="15"/>
              </w:rPr>
            </w:pPr>
            <w:r>
              <w:rPr>
                <w:sz w:val="15"/>
              </w:rPr>
              <w:t>$93.00</w:t>
            </w:r>
          </w:p>
        </w:tc>
        <w:tc>
          <w:tcPr>
            <w:tcW w:w="8573" w:type="dxa"/>
          </w:tcPr>
          <w:p>
            <w:pPr>
              <w:pStyle w:val="TableParagraph"/>
              <w:spacing w:line="156" w:lineRule="exact" w:before="89"/>
              <w:ind w:left="3476"/>
              <w:rPr>
                <w:sz w:val="15"/>
              </w:rPr>
            </w:pPr>
            <w:r>
              <w:rPr>
                <w:sz w:val="15"/>
              </w:rPr>
              <w:t>a) Por la revisión urgente de cada avalúo practicado por</w:t>
            </w:r>
          </w:p>
        </w:tc>
      </w:tr>
      <w:tr>
        <w:trPr>
          <w:trHeight w:val="174" w:hRule="atLeast"/>
        </w:trPr>
        <w:tc>
          <w:tcPr>
            <w:tcW w:w="4680" w:type="dxa"/>
          </w:tcPr>
          <w:p>
            <w:pPr>
              <w:pStyle w:val="TableParagraph"/>
              <w:rPr>
                <w:rFonts w:ascii="Times New Roman"/>
                <w:sz w:val="10"/>
              </w:rPr>
            </w:pPr>
          </w:p>
        </w:tc>
        <w:tc>
          <w:tcPr>
            <w:tcW w:w="3893" w:type="dxa"/>
          </w:tcPr>
          <w:p>
            <w:pPr>
              <w:pStyle w:val="TableParagraph"/>
              <w:rPr>
                <w:rFonts w:ascii="Times New Roman"/>
                <w:sz w:val="10"/>
              </w:rPr>
            </w:pPr>
          </w:p>
        </w:tc>
        <w:tc>
          <w:tcPr>
            <w:tcW w:w="8573" w:type="dxa"/>
          </w:tcPr>
          <w:p>
            <w:pPr>
              <w:pStyle w:val="TableParagraph"/>
              <w:spacing w:line="153" w:lineRule="exact" w:before="1"/>
              <w:ind w:left="3099"/>
              <w:rPr>
                <w:sz w:val="15"/>
              </w:rPr>
            </w:pPr>
            <w:r>
              <w:rPr>
                <w:sz w:val="15"/>
              </w:rPr>
              <w:t>otras instituciones o valuadores independientes autorizados por la</w:t>
            </w:r>
          </w:p>
        </w:tc>
      </w:tr>
    </w:tbl>
    <w:p>
      <w:pPr>
        <w:spacing w:after="0" w:line="153" w:lineRule="exact"/>
        <w:rPr>
          <w:sz w:val="15"/>
        </w:rPr>
        <w:sectPr>
          <w:headerReference w:type="default" r:id="rId95"/>
          <w:pgSz w:w="23250" w:h="15310" w:orient="landscape"/>
          <w:pgMar w:header="881" w:footer="499" w:top="1920" w:bottom="680" w:left="1880" w:right="1520"/>
        </w:sectPr>
      </w:pPr>
    </w:p>
    <w:p>
      <w:pPr>
        <w:pStyle w:val="BodyText"/>
        <w:spacing w:line="247" w:lineRule="auto" w:before="4"/>
        <w:ind w:left="170" w:right="38" w:firstLine="377"/>
        <w:jc w:val="both"/>
      </w:pPr>
      <w:r>
        <w:rPr/>
        <w:t>A los pensionados, jubilados, personas con discapacidad y a los que obtengan algún crédito del Instituto del Fondo Nacional de la Vivienda para los Trabajadores (INFONAVIT), o del Instituto de Pensiones del Estado, que  soliciten los servicios señalados en esta fracción serán considerados con el beneficio a cubrir del 50% de los derechos</w:t>
      </w:r>
      <w:r>
        <w:rPr>
          <w:spacing w:val="25"/>
        </w:rPr>
        <w:t> </w:t>
      </w:r>
      <w:r>
        <w:rPr/>
        <w:t>correspondientes.</w:t>
      </w:r>
    </w:p>
    <w:p>
      <w:pPr>
        <w:pStyle w:val="BodyText"/>
        <w:tabs>
          <w:tab w:pos="5032" w:val="left" w:leader="none"/>
        </w:tabs>
        <w:spacing w:before="4"/>
        <w:ind w:left="170"/>
      </w:pPr>
      <w:r>
        <w:rPr/>
        <w:br w:type="column"/>
      </w:r>
      <w:r>
        <w:rPr/>
        <w:t>Dirección de</w:t>
      </w:r>
      <w:r>
        <w:rPr>
          <w:spacing w:val="18"/>
        </w:rPr>
        <w:t> </w:t>
      </w:r>
      <w:r>
        <w:rPr/>
        <w:t>Catastro</w:t>
      </w:r>
      <w:r>
        <w:rPr>
          <w:spacing w:val="10"/>
        </w:rPr>
        <w:t> </w:t>
      </w:r>
      <w:r>
        <w:rPr/>
        <w:t>Municipal:</w:t>
        <w:tab/>
        <w:t>$280.00</w:t>
      </w:r>
    </w:p>
    <w:p>
      <w:pPr>
        <w:pStyle w:val="BodyText"/>
        <w:spacing w:before="8"/>
      </w:pPr>
    </w:p>
    <w:p>
      <w:pPr>
        <w:pStyle w:val="BodyText"/>
        <w:spacing w:line="247" w:lineRule="auto"/>
        <w:ind w:left="170" w:right="3664" w:firstLine="377"/>
      </w:pPr>
      <w:r>
        <w:rPr/>
        <w:t>La entrega del avalúo pagado como urgente se efectuará al día hábil siguiente del ingreso de la solicitud.</w:t>
      </w:r>
    </w:p>
    <w:p>
      <w:pPr>
        <w:pStyle w:val="BodyText"/>
        <w:spacing w:before="4"/>
      </w:pPr>
    </w:p>
    <w:p>
      <w:pPr>
        <w:pStyle w:val="BodyText"/>
        <w:ind w:left="547"/>
      </w:pPr>
      <w:r>
        <w:rPr/>
        <w:t>b) Por la revisión y autorización de valores referidos dentro</w:t>
      </w:r>
    </w:p>
    <w:p>
      <w:pPr>
        <w:spacing w:after="0"/>
        <w:sectPr>
          <w:type w:val="continuous"/>
          <w:pgSz w:w="23250" w:h="15310" w:orient="landscape"/>
          <w:pgMar w:top="0" w:bottom="0" w:left="1880" w:right="1520"/>
          <w:cols w:num="2" w:equalWidth="0">
            <w:col w:w="5630" w:space="5992"/>
            <w:col w:w="8228"/>
          </w:cols>
        </w:sectPr>
      </w:pPr>
    </w:p>
    <w:p>
      <w:pPr>
        <w:pStyle w:val="BodyText"/>
        <w:rPr>
          <w:sz w:val="20"/>
        </w:rPr>
      </w:pPr>
    </w:p>
    <w:p>
      <w:pPr>
        <w:pStyle w:val="BodyText"/>
        <w:spacing w:before="7"/>
        <w:rPr>
          <w:sz w:val="29"/>
        </w:rPr>
      </w:pPr>
    </w:p>
    <w:p>
      <w:pPr>
        <w:spacing w:after="0"/>
        <w:rPr>
          <w:sz w:val="29"/>
        </w:rPr>
        <w:sectPr>
          <w:headerReference w:type="default" r:id="rId96"/>
          <w:pgSz w:w="23250" w:h="15310" w:orient="landscape"/>
          <w:pgMar w:header="881" w:footer="499" w:top="1920" w:bottom="680" w:left="1880" w:right="1520"/>
        </w:sectPr>
      </w:pPr>
    </w:p>
    <w:p>
      <w:pPr>
        <w:pStyle w:val="BodyText"/>
        <w:spacing w:before="99"/>
        <w:ind w:left="170"/>
      </w:pPr>
      <w:r>
        <w:rPr/>
        <w:t>del avalúo practicado por perito o valuador independiente por</w:t>
      </w:r>
    </w:p>
    <w:p>
      <w:pPr>
        <w:pStyle w:val="BodyText"/>
        <w:tabs>
          <w:tab w:pos="5032" w:val="left" w:leader="none"/>
        </w:tabs>
        <w:spacing w:before="4"/>
        <w:ind w:left="170"/>
      </w:pPr>
      <w:r>
        <w:rPr/>
        <w:t>cada valor referido</w:t>
      </w:r>
      <w:r>
        <w:rPr>
          <w:spacing w:val="26"/>
        </w:rPr>
        <w:t> </w:t>
      </w:r>
      <w:r>
        <w:rPr/>
        <w:t>se</w:t>
      </w:r>
      <w:r>
        <w:rPr>
          <w:spacing w:val="8"/>
        </w:rPr>
        <w:t> </w:t>
      </w:r>
      <w:r>
        <w:rPr/>
        <w:t>cobrará:</w:t>
        <w:tab/>
        <w:t>$140.00</w:t>
      </w:r>
    </w:p>
    <w:p>
      <w:pPr>
        <w:pStyle w:val="ListParagraph"/>
        <w:numPr>
          <w:ilvl w:val="0"/>
          <w:numId w:val="156"/>
        </w:numPr>
        <w:tabs>
          <w:tab w:pos="822" w:val="left" w:leader="none"/>
          <w:tab w:pos="5119" w:val="left" w:leader="none"/>
        </w:tabs>
        <w:spacing w:line="240" w:lineRule="auto" w:before="5" w:after="0"/>
        <w:ind w:left="821" w:right="0" w:hanging="275"/>
        <w:jc w:val="left"/>
        <w:rPr>
          <w:sz w:val="15"/>
        </w:rPr>
      </w:pPr>
      <w:r>
        <w:rPr>
          <w:sz w:val="15"/>
        </w:rPr>
        <w:t>Dictamen de opinión de uso </w:t>
      </w:r>
      <w:r>
        <w:rPr>
          <w:spacing w:val="5"/>
          <w:sz w:val="15"/>
        </w:rPr>
        <w:t> </w:t>
      </w:r>
      <w:r>
        <w:rPr>
          <w:sz w:val="15"/>
        </w:rPr>
        <w:t>de</w:t>
      </w:r>
      <w:r>
        <w:rPr>
          <w:spacing w:val="10"/>
          <w:sz w:val="15"/>
        </w:rPr>
        <w:t> </w:t>
      </w:r>
      <w:r>
        <w:rPr>
          <w:sz w:val="15"/>
        </w:rPr>
        <w:t>suelo:</w:t>
        <w:tab/>
        <w:t>$95.00</w:t>
      </w:r>
    </w:p>
    <w:p>
      <w:pPr>
        <w:pStyle w:val="BodyText"/>
        <w:spacing w:before="9"/>
      </w:pPr>
    </w:p>
    <w:p>
      <w:pPr>
        <w:pStyle w:val="ListParagraph"/>
        <w:numPr>
          <w:ilvl w:val="0"/>
          <w:numId w:val="156"/>
        </w:numPr>
        <w:tabs>
          <w:tab w:pos="920" w:val="left" w:leader="none"/>
        </w:tabs>
        <w:spacing w:line="247" w:lineRule="auto" w:before="0" w:after="0"/>
        <w:ind w:left="170" w:right="933" w:firstLine="377"/>
        <w:jc w:val="left"/>
        <w:rPr>
          <w:sz w:val="15"/>
        </w:rPr>
      </w:pPr>
      <w:r>
        <w:rPr>
          <w:sz w:val="15"/>
        </w:rPr>
        <w:t>No se causará el pago de derechos por servicios catastrales:</w:t>
      </w:r>
    </w:p>
    <w:p>
      <w:pPr>
        <w:pStyle w:val="BodyText"/>
        <w:spacing w:line="247" w:lineRule="auto" w:before="98"/>
        <w:ind w:left="170"/>
        <w:jc w:val="both"/>
      </w:pPr>
      <w:r>
        <w:rPr/>
        <w:br w:type="column"/>
      </w:r>
      <w:r>
        <w:rPr/>
        <w:t>Dirección de Catastro Municipal, con información relativa a área título, superficie de construcción, clasificación de construcción,  nivel de construcción y clave catastral, por acceso</w:t>
      </w:r>
      <w:r>
        <w:rPr>
          <w:spacing w:val="35"/>
        </w:rPr>
        <w:t> </w:t>
      </w:r>
      <w:r>
        <w:rPr/>
        <w:t>anual:</w:t>
      </w:r>
    </w:p>
    <w:p>
      <w:pPr>
        <w:pStyle w:val="BodyText"/>
        <w:rPr>
          <w:sz w:val="16"/>
        </w:rPr>
      </w:pPr>
    </w:p>
    <w:p>
      <w:pPr>
        <w:pStyle w:val="BodyText"/>
        <w:spacing w:before="7"/>
        <w:rPr>
          <w:sz w:val="14"/>
        </w:rPr>
      </w:pPr>
    </w:p>
    <w:p>
      <w:pPr>
        <w:pStyle w:val="BodyText"/>
        <w:spacing w:before="1"/>
        <w:ind w:left="547"/>
      </w:pPr>
      <w:r>
        <w:rPr/>
        <w:t>e) Consulta única de datos catastrales por predio con</w:t>
      </w:r>
    </w:p>
    <w:p>
      <w:pPr>
        <w:pStyle w:val="BodyText"/>
        <w:rPr>
          <w:sz w:val="16"/>
        </w:rPr>
      </w:pPr>
      <w:r>
        <w:rPr/>
        <w:br w:type="column"/>
      </w:r>
      <w:r>
        <w:rPr>
          <w:sz w:val="16"/>
        </w:rPr>
      </w:r>
    </w:p>
    <w:p>
      <w:pPr>
        <w:pStyle w:val="BodyText"/>
        <w:rPr>
          <w:sz w:val="16"/>
        </w:rPr>
      </w:pPr>
    </w:p>
    <w:p>
      <w:pPr>
        <w:pStyle w:val="BodyText"/>
        <w:spacing w:before="8"/>
        <w:rPr>
          <w:sz w:val="22"/>
        </w:rPr>
      </w:pPr>
    </w:p>
    <w:p>
      <w:pPr>
        <w:pStyle w:val="BodyText"/>
        <w:ind w:left="82"/>
      </w:pPr>
      <w:r>
        <w:rPr/>
        <w:t>$8,682.00</w:t>
      </w:r>
    </w:p>
    <w:p>
      <w:pPr>
        <w:spacing w:after="0"/>
        <w:sectPr>
          <w:type w:val="continuous"/>
          <w:pgSz w:w="23250" w:h="15310" w:orient="landscape"/>
          <w:pgMar w:top="0" w:bottom="0" w:left="1880" w:right="1520"/>
          <w:cols w:num="3" w:equalWidth="0">
            <w:col w:w="5631" w:space="5991"/>
            <w:col w:w="4696" w:space="40"/>
            <w:col w:w="3492"/>
          </w:cols>
        </w:sectPr>
      </w:pPr>
    </w:p>
    <w:p>
      <w:pPr>
        <w:pStyle w:val="BodyText"/>
        <w:spacing w:before="4"/>
      </w:pPr>
    </w:p>
    <w:p>
      <w:pPr>
        <w:pStyle w:val="ListParagraph"/>
        <w:numPr>
          <w:ilvl w:val="0"/>
          <w:numId w:val="157"/>
        </w:numPr>
        <w:tabs>
          <w:tab w:pos="745" w:val="left" w:leader="none"/>
        </w:tabs>
        <w:spacing w:line="247" w:lineRule="auto" w:before="0" w:after="0"/>
        <w:ind w:left="170" w:right="38" w:firstLine="377"/>
        <w:jc w:val="both"/>
        <w:rPr>
          <w:sz w:val="15"/>
        </w:rPr>
      </w:pPr>
      <w:r>
        <w:rPr>
          <w:sz w:val="15"/>
        </w:rPr>
        <w:t>Cuando las certificaciones, copias certificadas o informes se expidan  por las autoridades, siempre y cuando no sean a petición de</w:t>
      </w:r>
      <w:r>
        <w:rPr>
          <w:spacing w:val="1"/>
          <w:sz w:val="15"/>
        </w:rPr>
        <w:t> </w:t>
      </w:r>
      <w:r>
        <w:rPr>
          <w:sz w:val="15"/>
        </w:rPr>
        <w:t>parte;</w:t>
      </w:r>
    </w:p>
    <w:p>
      <w:pPr>
        <w:pStyle w:val="BodyText"/>
        <w:spacing w:before="3"/>
      </w:pPr>
    </w:p>
    <w:p>
      <w:pPr>
        <w:pStyle w:val="ListParagraph"/>
        <w:numPr>
          <w:ilvl w:val="0"/>
          <w:numId w:val="157"/>
        </w:numPr>
        <w:tabs>
          <w:tab w:pos="740" w:val="left" w:leader="none"/>
        </w:tabs>
        <w:spacing w:line="247" w:lineRule="auto" w:before="0" w:after="0"/>
        <w:ind w:left="170" w:right="39" w:firstLine="377"/>
        <w:jc w:val="both"/>
        <w:rPr>
          <w:sz w:val="15"/>
        </w:rPr>
      </w:pPr>
      <w:r>
        <w:rPr>
          <w:sz w:val="15"/>
        </w:rPr>
        <w:t>Las que estén destinadas a exhibirse ante los Tribunales del Trabajo, los Penales o el Ministerio Público, cuando éste actúe en el orden penal y se expidan para el juicio de</w:t>
      </w:r>
      <w:r>
        <w:rPr>
          <w:spacing w:val="7"/>
          <w:sz w:val="15"/>
        </w:rPr>
        <w:t> </w:t>
      </w:r>
      <w:r>
        <w:rPr>
          <w:sz w:val="15"/>
        </w:rPr>
        <w:t>amparo;</w:t>
      </w:r>
    </w:p>
    <w:p>
      <w:pPr>
        <w:pStyle w:val="BodyText"/>
        <w:spacing w:before="2"/>
      </w:pPr>
    </w:p>
    <w:p>
      <w:pPr>
        <w:pStyle w:val="ListParagraph"/>
        <w:numPr>
          <w:ilvl w:val="0"/>
          <w:numId w:val="157"/>
        </w:numPr>
        <w:tabs>
          <w:tab w:pos="728" w:val="left" w:leader="none"/>
        </w:tabs>
        <w:spacing w:line="247" w:lineRule="auto" w:before="0" w:after="0"/>
        <w:ind w:left="170" w:right="39" w:firstLine="377"/>
        <w:jc w:val="both"/>
        <w:rPr>
          <w:sz w:val="15"/>
        </w:rPr>
      </w:pPr>
      <w:r>
        <w:rPr>
          <w:sz w:val="15"/>
        </w:rPr>
        <w:t>Las que tengan por objeto probar hechos relacionados con demandas de indemnización civil provenientes de</w:t>
      </w:r>
      <w:r>
        <w:rPr>
          <w:spacing w:val="10"/>
          <w:sz w:val="15"/>
        </w:rPr>
        <w:t> </w:t>
      </w:r>
      <w:r>
        <w:rPr>
          <w:sz w:val="15"/>
        </w:rPr>
        <w:t>delito;</w:t>
      </w:r>
    </w:p>
    <w:p>
      <w:pPr>
        <w:pStyle w:val="BodyText"/>
        <w:spacing w:before="4"/>
      </w:pPr>
    </w:p>
    <w:p>
      <w:pPr>
        <w:pStyle w:val="ListParagraph"/>
        <w:numPr>
          <w:ilvl w:val="0"/>
          <w:numId w:val="157"/>
        </w:numPr>
        <w:tabs>
          <w:tab w:pos="734" w:val="left" w:leader="none"/>
        </w:tabs>
        <w:spacing w:line="247" w:lineRule="auto" w:before="0" w:after="0"/>
        <w:ind w:left="170" w:right="39" w:firstLine="377"/>
        <w:jc w:val="both"/>
        <w:rPr>
          <w:sz w:val="15"/>
        </w:rPr>
      </w:pPr>
      <w:r>
        <w:rPr>
          <w:sz w:val="15"/>
        </w:rPr>
        <w:t>Las que se expidan para juicios de alimentos, cuando sean solicitados por el acreedor alimentista;</w:t>
      </w:r>
      <w:r>
        <w:rPr>
          <w:spacing w:val="5"/>
          <w:sz w:val="15"/>
        </w:rPr>
        <w:t> </w:t>
      </w:r>
      <w:r>
        <w:rPr>
          <w:sz w:val="15"/>
        </w:rPr>
        <w:t>o</w:t>
      </w:r>
    </w:p>
    <w:p>
      <w:pPr>
        <w:pStyle w:val="BodyText"/>
        <w:spacing w:before="3"/>
      </w:pPr>
    </w:p>
    <w:p>
      <w:pPr>
        <w:pStyle w:val="ListParagraph"/>
        <w:numPr>
          <w:ilvl w:val="0"/>
          <w:numId w:val="157"/>
        </w:numPr>
        <w:tabs>
          <w:tab w:pos="752" w:val="left" w:leader="none"/>
        </w:tabs>
        <w:spacing w:line="247" w:lineRule="auto" w:before="0" w:after="0"/>
        <w:ind w:left="170" w:right="38" w:firstLine="377"/>
        <w:jc w:val="both"/>
        <w:rPr>
          <w:sz w:val="15"/>
        </w:rPr>
      </w:pPr>
      <w:r>
        <w:rPr>
          <w:sz w:val="15"/>
        </w:rPr>
        <w:t>Cuando los servicios se deriven de actos, contratos de operaciones celebradas con la intervención de organismos públicos de seguridad social, o    la Comisión para la Regularización de la </w:t>
      </w:r>
      <w:r>
        <w:rPr>
          <w:spacing w:val="-3"/>
          <w:sz w:val="15"/>
        </w:rPr>
        <w:t>Tenencia </w:t>
      </w:r>
      <w:r>
        <w:rPr>
          <w:sz w:val="15"/>
        </w:rPr>
        <w:t>de la Tierra, la Federación, Estado o</w:t>
      </w:r>
      <w:r>
        <w:rPr>
          <w:spacing w:val="2"/>
          <w:sz w:val="15"/>
        </w:rPr>
        <w:t> </w:t>
      </w:r>
      <w:r>
        <w:rPr>
          <w:sz w:val="15"/>
        </w:rPr>
        <w:t>Municipios.</w:t>
      </w:r>
    </w:p>
    <w:p>
      <w:pPr>
        <w:pStyle w:val="BodyText"/>
        <w:tabs>
          <w:tab w:pos="4900" w:val="left" w:leader="none"/>
        </w:tabs>
        <w:spacing w:line="171" w:lineRule="exact"/>
        <w:ind w:left="189"/>
      </w:pPr>
      <w:r>
        <w:rPr/>
        <w:br w:type="column"/>
      </w:r>
      <w:r>
        <w:rPr/>
        <w:t>generación</w:t>
      </w:r>
      <w:r>
        <w:rPr>
          <w:spacing w:val="8"/>
        </w:rPr>
        <w:t> </w:t>
      </w:r>
      <w:r>
        <w:rPr/>
        <w:t>de</w:t>
      </w:r>
      <w:r>
        <w:rPr>
          <w:spacing w:val="9"/>
        </w:rPr>
        <w:t> </w:t>
      </w:r>
      <w:r>
        <w:rPr/>
        <w:t>archivo</w:t>
      </w:r>
      <w:r>
        <w:rPr>
          <w:spacing w:val="9"/>
        </w:rPr>
        <w:t> </w:t>
      </w:r>
      <w:r>
        <w:rPr/>
        <w:t>digital</w:t>
      </w:r>
      <w:r>
        <w:rPr>
          <w:spacing w:val="10"/>
        </w:rPr>
        <w:t> </w:t>
      </w:r>
      <w:r>
        <w:rPr/>
        <w:t>para</w:t>
      </w:r>
      <w:r>
        <w:rPr>
          <w:spacing w:val="9"/>
        </w:rPr>
        <w:t> </w:t>
      </w:r>
      <w:r>
        <w:rPr/>
        <w:t>impresión,</w:t>
      </w:r>
      <w:r>
        <w:rPr>
          <w:spacing w:val="9"/>
        </w:rPr>
        <w:t> </w:t>
      </w:r>
      <w:r>
        <w:rPr/>
        <w:t>por</w:t>
      </w:r>
      <w:r>
        <w:rPr>
          <w:spacing w:val="10"/>
        </w:rPr>
        <w:t> </w:t>
      </w:r>
      <w:r>
        <w:rPr/>
        <w:t>cada</w:t>
      </w:r>
      <w:r>
        <w:rPr>
          <w:spacing w:val="9"/>
        </w:rPr>
        <w:t> </w:t>
      </w:r>
      <w:r>
        <w:rPr/>
        <w:t>una:</w:t>
        <w:tab/>
        <w:t>$435.00</w:t>
      </w:r>
    </w:p>
    <w:p>
      <w:pPr>
        <w:pStyle w:val="BodyText"/>
        <w:spacing w:before="9"/>
      </w:pPr>
    </w:p>
    <w:p>
      <w:pPr>
        <w:pStyle w:val="BodyText"/>
        <w:spacing w:line="244" w:lineRule="auto"/>
        <w:ind w:left="170" w:right="509" w:firstLine="397"/>
        <w:jc w:val="both"/>
      </w:pPr>
      <w:r>
        <w:rPr/>
        <w:t>Los servicios establecidos en las fracciones IX y X incluyen capacitación para su operación, misma que    se impartirá en el lugar y horario que establezca el</w:t>
      </w:r>
      <w:r>
        <w:rPr>
          <w:spacing w:val="17"/>
        </w:rPr>
        <w:t> </w:t>
      </w:r>
      <w:r>
        <w:rPr/>
        <w:t>Municipio.</w:t>
      </w:r>
    </w:p>
    <w:p>
      <w:pPr>
        <w:pStyle w:val="BodyText"/>
        <w:spacing w:before="6"/>
      </w:pPr>
    </w:p>
    <w:p>
      <w:pPr>
        <w:pStyle w:val="BodyText"/>
        <w:spacing w:before="1"/>
        <w:ind w:left="170"/>
      </w:pPr>
      <w:r>
        <w:rPr/>
        <w:t>XI. Por el dictamen señalado en los artículos 34, fracción I, inciso</w:t>
      </w:r>
    </w:p>
    <w:p>
      <w:pPr>
        <w:pStyle w:val="BodyText"/>
        <w:tabs>
          <w:tab w:pos="5044" w:val="left" w:leader="none"/>
        </w:tabs>
        <w:spacing w:before="4"/>
        <w:ind w:left="170"/>
      </w:pPr>
      <w:r>
        <w:rPr/>
        <w:t>a) y b) punto 2; y 41</w:t>
      </w:r>
      <w:r>
        <w:rPr>
          <w:spacing w:val="37"/>
        </w:rPr>
        <w:t> </w:t>
      </w:r>
      <w:r>
        <w:rPr/>
        <w:t>fracción</w:t>
      </w:r>
      <w:r>
        <w:rPr>
          <w:spacing w:val="5"/>
        </w:rPr>
        <w:t> </w:t>
      </w:r>
      <w:r>
        <w:rPr>
          <w:spacing w:val="-3"/>
        </w:rPr>
        <w:t>V:</w:t>
        <w:tab/>
      </w:r>
      <w:r>
        <w:rPr/>
        <w:t>$95.00</w:t>
      </w:r>
    </w:p>
    <w:p>
      <w:pPr>
        <w:pStyle w:val="BodyText"/>
        <w:spacing w:before="10"/>
      </w:pPr>
    </w:p>
    <w:p>
      <w:pPr>
        <w:pStyle w:val="Heading4"/>
        <w:ind w:left="2699" w:right="3038"/>
      </w:pPr>
      <w:r>
        <w:rPr/>
        <w:t>CAPÍTULO CUARTO</w:t>
      </w:r>
    </w:p>
    <w:p>
      <w:pPr>
        <w:spacing w:before="5"/>
        <w:ind w:left="2699" w:right="3038" w:firstLine="0"/>
        <w:jc w:val="center"/>
        <w:rPr>
          <w:b/>
          <w:sz w:val="15"/>
        </w:rPr>
      </w:pPr>
      <w:r>
        <w:rPr>
          <w:b/>
          <w:sz w:val="15"/>
        </w:rPr>
        <w:t>De Otros Derechos</w:t>
      </w:r>
    </w:p>
    <w:p>
      <w:pPr>
        <w:pStyle w:val="BodyText"/>
        <w:spacing w:before="9"/>
        <w:rPr>
          <w:b/>
        </w:rPr>
      </w:pPr>
    </w:p>
    <w:p>
      <w:pPr>
        <w:spacing w:before="0"/>
        <w:ind w:left="2701" w:right="3035" w:firstLine="0"/>
        <w:jc w:val="center"/>
        <w:rPr>
          <w:b/>
          <w:sz w:val="15"/>
        </w:rPr>
      </w:pPr>
      <w:r>
        <w:rPr>
          <w:b/>
          <w:sz w:val="15"/>
        </w:rPr>
        <w:t>SECCIÓN ÚNICA</w:t>
      </w:r>
    </w:p>
    <w:p>
      <w:pPr>
        <w:spacing w:before="5"/>
        <w:ind w:left="2701" w:right="3038" w:firstLine="0"/>
        <w:jc w:val="center"/>
        <w:rPr>
          <w:b/>
          <w:sz w:val="15"/>
        </w:rPr>
      </w:pPr>
      <w:r>
        <w:rPr>
          <w:b/>
          <w:sz w:val="15"/>
        </w:rPr>
        <w:t>De los Derechos No Especificados</w:t>
      </w:r>
    </w:p>
    <w:p>
      <w:pPr>
        <w:pStyle w:val="BodyText"/>
        <w:spacing w:before="8"/>
        <w:rPr>
          <w:b/>
        </w:rPr>
      </w:pPr>
    </w:p>
    <w:p>
      <w:pPr>
        <w:pStyle w:val="BodyText"/>
        <w:spacing w:line="247" w:lineRule="auto"/>
        <w:ind w:left="170" w:right="509" w:firstLine="397"/>
        <w:jc w:val="both"/>
      </w:pPr>
      <w:r>
        <w:rPr>
          <w:b/>
        </w:rPr>
        <w:t>Artículo 113.- </w:t>
      </w:r>
      <w:r>
        <w:rPr/>
        <w:t>Los otros servicios que provengan de la autoridad municipal, que no contravengan las disposiciones del Convenio de Coordinación Fiscal en materia de derechos, y que no estén previstos en este título, se cobrarán según la importancia del servicio que se preste, conforme a las siguientes:</w:t>
      </w:r>
    </w:p>
    <w:p>
      <w:pPr>
        <w:pStyle w:val="BodyText"/>
        <w:spacing w:before="3"/>
      </w:pPr>
    </w:p>
    <w:p>
      <w:pPr>
        <w:pStyle w:val="BodyText"/>
        <w:ind w:right="1789"/>
        <w:jc w:val="right"/>
      </w:pPr>
      <w:r>
        <w:rPr/>
        <w:t>TARIFAS</w:t>
      </w:r>
    </w:p>
    <w:p>
      <w:pPr>
        <w:spacing w:after="0"/>
        <w:jc w:val="right"/>
        <w:sectPr>
          <w:type w:val="continuous"/>
          <w:pgSz w:w="23250" w:h="15310" w:orient="landscape"/>
          <w:pgMar w:top="0" w:bottom="0" w:left="1880" w:right="1520"/>
          <w:cols w:num="2" w:equalWidth="0">
            <w:col w:w="5630" w:space="5973"/>
            <w:col w:w="8247"/>
          </w:cols>
        </w:sectPr>
      </w:pPr>
    </w:p>
    <w:p>
      <w:pPr>
        <w:pStyle w:val="BodyText"/>
        <w:spacing w:line="247" w:lineRule="auto" w:before="4"/>
        <w:ind w:left="170" w:right="38" w:firstLine="377"/>
        <w:jc w:val="both"/>
      </w:pPr>
      <w:r>
        <w:rPr/>
        <w:t>IX. De los servicios en línea exclusivos para notarios y peritos valuadores registrados en el Municipio, mediante solicitud escrita ante la Dirección de Catastro, en formato preestablecido:</w:t>
      </w:r>
    </w:p>
    <w:p>
      <w:pPr>
        <w:pStyle w:val="BodyText"/>
        <w:spacing w:before="4"/>
      </w:pPr>
    </w:p>
    <w:p>
      <w:pPr>
        <w:pStyle w:val="ListParagraph"/>
        <w:numPr>
          <w:ilvl w:val="0"/>
          <w:numId w:val="158"/>
        </w:numPr>
        <w:tabs>
          <w:tab w:pos="799" w:val="left" w:leader="none"/>
        </w:tabs>
        <w:spacing w:line="244" w:lineRule="auto" w:before="0" w:after="0"/>
        <w:ind w:left="170" w:right="930" w:firstLine="377"/>
        <w:jc w:val="left"/>
        <w:rPr>
          <w:sz w:val="15"/>
        </w:rPr>
      </w:pPr>
      <w:r>
        <w:rPr>
          <w:sz w:val="15"/>
        </w:rPr>
        <w:t>Consulta plataforma digital del Municipio, tablas de valores 2020, con ortofoto versión baja resolución, por</w:t>
      </w:r>
      <w:r>
        <w:rPr>
          <w:spacing w:val="6"/>
          <w:sz w:val="15"/>
        </w:rPr>
        <w:t> </w:t>
      </w:r>
      <w:r>
        <w:rPr>
          <w:sz w:val="15"/>
        </w:rPr>
        <w:t>acceso</w:t>
      </w:r>
    </w:p>
    <w:p>
      <w:pPr>
        <w:pStyle w:val="BodyText"/>
        <w:tabs>
          <w:tab w:pos="4818" w:val="left" w:leader="none"/>
        </w:tabs>
        <w:spacing w:before="2"/>
        <w:ind w:left="170"/>
      </w:pPr>
      <w:r>
        <w:rPr/>
        <w:t>anual:</w:t>
        <w:tab/>
        <w:t>$1,737.00</w:t>
      </w:r>
    </w:p>
    <w:p>
      <w:pPr>
        <w:pStyle w:val="BodyText"/>
        <w:spacing w:before="9"/>
      </w:pPr>
    </w:p>
    <w:p>
      <w:pPr>
        <w:pStyle w:val="ListParagraph"/>
        <w:numPr>
          <w:ilvl w:val="0"/>
          <w:numId w:val="158"/>
        </w:numPr>
        <w:tabs>
          <w:tab w:pos="799" w:val="left" w:leader="none"/>
        </w:tabs>
        <w:spacing w:line="247" w:lineRule="auto" w:before="0" w:after="0"/>
        <w:ind w:left="170" w:right="933" w:firstLine="377"/>
        <w:jc w:val="left"/>
        <w:rPr>
          <w:sz w:val="15"/>
        </w:rPr>
      </w:pPr>
      <w:r>
        <w:rPr>
          <w:sz w:val="15"/>
        </w:rPr>
        <w:t>Consulta plataforma digital del Municipio, tablas de valores</w:t>
      </w:r>
      <w:r>
        <w:rPr>
          <w:spacing w:val="11"/>
          <w:sz w:val="15"/>
        </w:rPr>
        <w:t> </w:t>
      </w:r>
      <w:r>
        <w:rPr>
          <w:sz w:val="15"/>
        </w:rPr>
        <w:t>2020,</w:t>
      </w:r>
      <w:r>
        <w:rPr>
          <w:spacing w:val="11"/>
          <w:sz w:val="15"/>
        </w:rPr>
        <w:t> </w:t>
      </w:r>
      <w:r>
        <w:rPr>
          <w:sz w:val="15"/>
        </w:rPr>
        <w:t>con</w:t>
      </w:r>
      <w:r>
        <w:rPr>
          <w:spacing w:val="11"/>
          <w:sz w:val="15"/>
        </w:rPr>
        <w:t> </w:t>
      </w:r>
      <w:r>
        <w:rPr>
          <w:sz w:val="15"/>
        </w:rPr>
        <w:t>ortofoto</w:t>
      </w:r>
      <w:r>
        <w:rPr>
          <w:spacing w:val="11"/>
          <w:sz w:val="15"/>
        </w:rPr>
        <w:t> </w:t>
      </w:r>
      <w:r>
        <w:rPr>
          <w:sz w:val="15"/>
        </w:rPr>
        <w:t>versión</w:t>
      </w:r>
      <w:r>
        <w:rPr>
          <w:spacing w:val="10"/>
          <w:sz w:val="15"/>
        </w:rPr>
        <w:t> </w:t>
      </w:r>
      <w:r>
        <w:rPr>
          <w:sz w:val="15"/>
        </w:rPr>
        <w:t>alta</w:t>
      </w:r>
      <w:r>
        <w:rPr>
          <w:spacing w:val="12"/>
          <w:sz w:val="15"/>
        </w:rPr>
        <w:t> </w:t>
      </w:r>
      <w:r>
        <w:rPr>
          <w:sz w:val="15"/>
        </w:rPr>
        <w:t>resolución,</w:t>
      </w:r>
      <w:r>
        <w:rPr>
          <w:spacing w:val="11"/>
          <w:sz w:val="15"/>
        </w:rPr>
        <w:t> </w:t>
      </w:r>
      <w:r>
        <w:rPr>
          <w:sz w:val="15"/>
        </w:rPr>
        <w:t>por</w:t>
      </w:r>
      <w:r>
        <w:rPr>
          <w:spacing w:val="10"/>
          <w:sz w:val="15"/>
        </w:rPr>
        <w:t> </w:t>
      </w:r>
      <w:r>
        <w:rPr>
          <w:sz w:val="15"/>
        </w:rPr>
        <w:t>acceso</w:t>
      </w:r>
    </w:p>
    <w:p>
      <w:pPr>
        <w:pStyle w:val="BodyText"/>
        <w:tabs>
          <w:tab w:pos="4818" w:val="left" w:leader="none"/>
        </w:tabs>
        <w:spacing w:line="172" w:lineRule="exact"/>
        <w:ind w:left="170"/>
      </w:pPr>
      <w:r>
        <w:rPr/>
        <w:t>anual:</w:t>
        <w:tab/>
        <w:t>$2,894.00</w:t>
      </w:r>
    </w:p>
    <w:p>
      <w:pPr>
        <w:pStyle w:val="ListParagraph"/>
        <w:numPr>
          <w:ilvl w:val="0"/>
          <w:numId w:val="159"/>
        </w:numPr>
        <w:tabs>
          <w:tab w:pos="697" w:val="left" w:leader="none"/>
        </w:tabs>
        <w:spacing w:line="247" w:lineRule="auto" w:before="4" w:after="0"/>
        <w:ind w:left="170" w:right="38" w:firstLine="397"/>
        <w:jc w:val="left"/>
        <w:rPr>
          <w:sz w:val="15"/>
        </w:rPr>
      </w:pPr>
      <w:r>
        <w:rPr>
          <w:w w:val="102"/>
          <w:sz w:val="15"/>
        </w:rPr>
        <w:br w:type="column"/>
      </w:r>
      <w:r>
        <w:rPr>
          <w:sz w:val="15"/>
        </w:rPr>
        <w:t>Servicios que se presten en días hábiles de 09:00 a 15:00 horas, por cada uno,</w:t>
      </w:r>
      <w:r>
        <w:rPr>
          <w:spacing w:val="6"/>
          <w:sz w:val="15"/>
        </w:rPr>
        <w:t> </w:t>
      </w:r>
      <w:r>
        <w:rPr>
          <w:sz w:val="15"/>
        </w:rPr>
        <w:t>de:</w:t>
      </w:r>
    </w:p>
    <w:p>
      <w:pPr>
        <w:pStyle w:val="BodyText"/>
        <w:spacing w:before="4"/>
      </w:pPr>
    </w:p>
    <w:p>
      <w:pPr>
        <w:pStyle w:val="ListParagraph"/>
        <w:numPr>
          <w:ilvl w:val="0"/>
          <w:numId w:val="159"/>
        </w:numPr>
        <w:tabs>
          <w:tab w:pos="740" w:val="left" w:leader="none"/>
        </w:tabs>
        <w:spacing w:line="247" w:lineRule="auto" w:before="0" w:after="0"/>
        <w:ind w:left="170" w:right="217" w:firstLine="397"/>
        <w:jc w:val="left"/>
        <w:rPr>
          <w:sz w:val="15"/>
        </w:rPr>
      </w:pPr>
      <w:r>
        <w:rPr>
          <w:sz w:val="15"/>
        </w:rPr>
        <w:t>Servicios que se presten en días y horas inhábiles, por cada uno,</w:t>
      </w:r>
      <w:r>
        <w:rPr>
          <w:spacing w:val="2"/>
          <w:sz w:val="15"/>
        </w:rPr>
        <w:t> </w:t>
      </w:r>
      <w:r>
        <w:rPr>
          <w:sz w:val="15"/>
        </w:rPr>
        <w:t>de:</w:t>
      </w:r>
    </w:p>
    <w:p>
      <w:pPr>
        <w:pStyle w:val="BodyText"/>
        <w:spacing w:before="3"/>
      </w:pPr>
    </w:p>
    <w:p>
      <w:pPr>
        <w:pStyle w:val="BodyText"/>
        <w:spacing w:line="247" w:lineRule="auto"/>
        <w:ind w:left="218" w:right="122" w:firstLine="386"/>
        <w:jc w:val="both"/>
      </w:pPr>
      <w:r>
        <w:rPr/>
        <w:t>a) Personal de Dirección de Bomberos y Protección Civil así como de la Comisaria de la Policía Preventiva Municipal,   que acude como interventor a eventos  de  espectáculos  públicos celebrados en el</w:t>
      </w:r>
      <w:r>
        <w:rPr>
          <w:spacing w:val="6"/>
        </w:rPr>
        <w:t> </w:t>
      </w:r>
      <w:r>
        <w:rPr/>
        <w:t>municipio.</w:t>
      </w:r>
    </w:p>
    <w:p>
      <w:pPr>
        <w:pStyle w:val="BodyText"/>
        <w:spacing w:line="247" w:lineRule="auto" w:before="4"/>
        <w:ind w:left="170" w:right="2591" w:firstLine="214"/>
      </w:pPr>
      <w:r>
        <w:rPr/>
        <w:br w:type="column"/>
      </w:r>
      <w:r>
        <w:rPr/>
        <w:t>$42.00  a</w:t>
      </w:r>
      <w:r>
        <w:rPr>
          <w:spacing w:val="21"/>
        </w:rPr>
        <w:t> </w:t>
      </w:r>
      <w:r>
        <w:rPr>
          <w:spacing w:val="-3"/>
        </w:rPr>
        <w:t>$508.00</w:t>
      </w:r>
    </w:p>
    <w:p>
      <w:pPr>
        <w:pStyle w:val="BodyText"/>
        <w:spacing w:before="4"/>
      </w:pPr>
    </w:p>
    <w:p>
      <w:pPr>
        <w:pStyle w:val="BodyText"/>
        <w:spacing w:line="247" w:lineRule="auto"/>
        <w:ind w:left="170" w:right="2591" w:firstLine="128"/>
      </w:pPr>
      <w:r>
        <w:rPr/>
        <w:t>$108.00 a</w:t>
      </w:r>
      <w:r>
        <w:rPr>
          <w:spacing w:val="21"/>
        </w:rPr>
        <w:t> </w:t>
      </w:r>
      <w:r>
        <w:rPr>
          <w:spacing w:val="-3"/>
        </w:rPr>
        <w:t>$714.00</w:t>
      </w:r>
    </w:p>
    <w:p>
      <w:pPr>
        <w:pStyle w:val="BodyText"/>
        <w:rPr>
          <w:sz w:val="16"/>
        </w:rPr>
      </w:pPr>
    </w:p>
    <w:p>
      <w:pPr>
        <w:pStyle w:val="BodyText"/>
        <w:rPr>
          <w:sz w:val="16"/>
        </w:rPr>
      </w:pPr>
    </w:p>
    <w:p>
      <w:pPr>
        <w:pStyle w:val="BodyText"/>
        <w:spacing w:before="1"/>
        <w:rPr>
          <w:sz w:val="14"/>
        </w:rPr>
      </w:pPr>
    </w:p>
    <w:p>
      <w:pPr>
        <w:pStyle w:val="BodyText"/>
        <w:ind w:left="257"/>
      </w:pPr>
      <w:r>
        <w:rPr/>
        <w:t>$940.00</w:t>
      </w:r>
    </w:p>
    <w:p>
      <w:pPr>
        <w:spacing w:after="0"/>
        <w:sectPr>
          <w:type w:val="continuous"/>
          <w:pgSz w:w="23250" w:h="15310" w:orient="landscape"/>
          <w:pgMar w:top="0" w:bottom="0" w:left="1880" w:right="1520"/>
          <w:cols w:num="3" w:equalWidth="0">
            <w:col w:w="5629" w:space="5974"/>
            <w:col w:w="4698" w:space="54"/>
            <w:col w:w="3495"/>
          </w:cols>
        </w:sectPr>
      </w:pPr>
    </w:p>
    <w:p>
      <w:pPr>
        <w:pStyle w:val="BodyText"/>
        <w:spacing w:before="8"/>
      </w:pPr>
    </w:p>
    <w:p>
      <w:pPr>
        <w:pStyle w:val="BodyText"/>
        <w:spacing w:line="247" w:lineRule="auto" w:before="1"/>
        <w:ind w:left="170" w:right="104" w:firstLine="377"/>
      </w:pPr>
      <w:r>
        <w:rPr/>
        <w:t>X. Los usuarios que soliciten los servicios señalados en la  fracción  anterior podrán, adicionalmente, acceder a lo</w:t>
      </w:r>
      <w:r>
        <w:rPr>
          <w:spacing w:val="17"/>
        </w:rPr>
        <w:t> </w:t>
      </w:r>
      <w:r>
        <w:rPr/>
        <w:t>siguiente:</w:t>
      </w:r>
    </w:p>
    <w:p>
      <w:pPr>
        <w:pStyle w:val="BodyText"/>
        <w:spacing w:before="3"/>
      </w:pPr>
    </w:p>
    <w:p>
      <w:pPr>
        <w:pStyle w:val="ListParagraph"/>
        <w:numPr>
          <w:ilvl w:val="0"/>
          <w:numId w:val="160"/>
        </w:numPr>
        <w:tabs>
          <w:tab w:pos="808" w:val="left" w:leader="none"/>
        </w:tabs>
        <w:spacing w:line="244" w:lineRule="auto" w:before="1" w:after="0"/>
        <w:ind w:left="170" w:right="931" w:firstLine="377"/>
        <w:jc w:val="left"/>
        <w:rPr>
          <w:sz w:val="15"/>
        </w:rPr>
      </w:pPr>
      <w:r>
        <w:rPr>
          <w:sz w:val="15"/>
        </w:rPr>
        <w:t>Acceso a impresiones en formato PDF desde la plataforma</w:t>
      </w:r>
      <w:r>
        <w:rPr>
          <w:spacing w:val="13"/>
          <w:sz w:val="15"/>
        </w:rPr>
        <w:t> </w:t>
      </w:r>
      <w:r>
        <w:rPr>
          <w:sz w:val="15"/>
        </w:rPr>
        <w:t>digital</w:t>
      </w:r>
      <w:r>
        <w:rPr>
          <w:spacing w:val="13"/>
          <w:sz w:val="15"/>
        </w:rPr>
        <w:t> </w:t>
      </w:r>
      <w:r>
        <w:rPr>
          <w:sz w:val="15"/>
        </w:rPr>
        <w:t>del</w:t>
      </w:r>
      <w:r>
        <w:rPr>
          <w:spacing w:val="14"/>
          <w:sz w:val="15"/>
        </w:rPr>
        <w:t> </w:t>
      </w:r>
      <w:r>
        <w:rPr>
          <w:sz w:val="15"/>
        </w:rPr>
        <w:t>Municipio,</w:t>
      </w:r>
      <w:r>
        <w:rPr>
          <w:spacing w:val="13"/>
          <w:sz w:val="15"/>
        </w:rPr>
        <w:t> </w:t>
      </w:r>
      <w:r>
        <w:rPr>
          <w:sz w:val="15"/>
        </w:rPr>
        <w:t>por</w:t>
      </w:r>
      <w:r>
        <w:rPr>
          <w:spacing w:val="13"/>
          <w:sz w:val="15"/>
        </w:rPr>
        <w:t> </w:t>
      </w:r>
      <w:r>
        <w:rPr>
          <w:sz w:val="15"/>
        </w:rPr>
        <w:t>manzana,</w:t>
      </w:r>
      <w:r>
        <w:rPr>
          <w:spacing w:val="14"/>
          <w:sz w:val="15"/>
        </w:rPr>
        <w:t> </w:t>
      </w:r>
      <w:r>
        <w:rPr>
          <w:sz w:val="15"/>
        </w:rPr>
        <w:t>por</w:t>
      </w:r>
      <w:r>
        <w:rPr>
          <w:spacing w:val="12"/>
          <w:sz w:val="15"/>
        </w:rPr>
        <w:t> </w:t>
      </w:r>
      <w:r>
        <w:rPr>
          <w:sz w:val="15"/>
        </w:rPr>
        <w:t>acceso</w:t>
      </w:r>
    </w:p>
    <w:p>
      <w:pPr>
        <w:pStyle w:val="BodyText"/>
        <w:tabs>
          <w:tab w:pos="4818" w:val="left" w:leader="none"/>
        </w:tabs>
        <w:spacing w:before="1"/>
        <w:ind w:left="170"/>
      </w:pPr>
      <w:r>
        <w:rPr/>
        <w:t>ilimitado</w:t>
      </w:r>
      <w:r>
        <w:rPr>
          <w:spacing w:val="7"/>
        </w:rPr>
        <w:t> </w:t>
      </w:r>
      <w:r>
        <w:rPr/>
        <w:t>anual:</w:t>
        <w:tab/>
        <w:t>$1,737.00</w:t>
      </w:r>
    </w:p>
    <w:p>
      <w:pPr>
        <w:pStyle w:val="BodyText"/>
        <w:spacing w:before="10"/>
      </w:pPr>
    </w:p>
    <w:p>
      <w:pPr>
        <w:pStyle w:val="ListParagraph"/>
        <w:numPr>
          <w:ilvl w:val="0"/>
          <w:numId w:val="160"/>
        </w:numPr>
        <w:tabs>
          <w:tab w:pos="734" w:val="left" w:leader="none"/>
        </w:tabs>
        <w:spacing w:line="247" w:lineRule="auto" w:before="0" w:after="0"/>
        <w:ind w:left="170" w:right="932" w:firstLine="377"/>
        <w:jc w:val="left"/>
        <w:rPr>
          <w:sz w:val="15"/>
        </w:rPr>
      </w:pPr>
      <w:r>
        <w:rPr>
          <w:sz w:val="15"/>
        </w:rPr>
        <w:t>Consulta a la base cartográfica predial de la Dirección de Catastro,</w:t>
      </w:r>
      <w:r>
        <w:rPr>
          <w:spacing w:val="21"/>
          <w:sz w:val="15"/>
        </w:rPr>
        <w:t> </w:t>
      </w:r>
      <w:r>
        <w:rPr>
          <w:sz w:val="15"/>
        </w:rPr>
        <w:t>con</w:t>
      </w:r>
      <w:r>
        <w:rPr>
          <w:spacing w:val="21"/>
          <w:sz w:val="15"/>
        </w:rPr>
        <w:t> </w:t>
      </w:r>
      <w:r>
        <w:rPr>
          <w:sz w:val="15"/>
        </w:rPr>
        <w:t>información</w:t>
      </w:r>
      <w:r>
        <w:rPr>
          <w:spacing w:val="21"/>
          <w:sz w:val="15"/>
        </w:rPr>
        <w:t> </w:t>
      </w:r>
      <w:r>
        <w:rPr>
          <w:sz w:val="15"/>
        </w:rPr>
        <w:t>relativa</w:t>
      </w:r>
      <w:r>
        <w:rPr>
          <w:spacing w:val="21"/>
          <w:sz w:val="15"/>
        </w:rPr>
        <w:t> </w:t>
      </w:r>
      <w:r>
        <w:rPr>
          <w:sz w:val="15"/>
        </w:rPr>
        <w:t>a</w:t>
      </w:r>
      <w:r>
        <w:rPr>
          <w:spacing w:val="22"/>
          <w:sz w:val="15"/>
        </w:rPr>
        <w:t> </w:t>
      </w:r>
      <w:r>
        <w:rPr>
          <w:sz w:val="15"/>
        </w:rPr>
        <w:t>los</w:t>
      </w:r>
      <w:r>
        <w:rPr>
          <w:spacing w:val="21"/>
          <w:sz w:val="15"/>
        </w:rPr>
        <w:t> </w:t>
      </w:r>
      <w:r>
        <w:rPr>
          <w:sz w:val="15"/>
        </w:rPr>
        <w:t>límites</w:t>
      </w:r>
      <w:r>
        <w:rPr>
          <w:spacing w:val="21"/>
          <w:sz w:val="15"/>
        </w:rPr>
        <w:t> </w:t>
      </w:r>
      <w:r>
        <w:rPr>
          <w:sz w:val="15"/>
        </w:rPr>
        <w:t>y</w:t>
      </w:r>
      <w:r>
        <w:rPr>
          <w:spacing w:val="21"/>
          <w:sz w:val="15"/>
        </w:rPr>
        <w:t> </w:t>
      </w:r>
      <w:r>
        <w:rPr>
          <w:sz w:val="15"/>
        </w:rPr>
        <w:t>número</w:t>
      </w:r>
      <w:r>
        <w:rPr>
          <w:spacing w:val="21"/>
          <w:sz w:val="15"/>
        </w:rPr>
        <w:t> </w:t>
      </w:r>
      <w:r>
        <w:rPr>
          <w:sz w:val="15"/>
        </w:rPr>
        <w:t>de</w:t>
      </w:r>
    </w:p>
    <w:p>
      <w:pPr>
        <w:pStyle w:val="BodyText"/>
        <w:tabs>
          <w:tab w:pos="4819" w:val="left" w:leader="none"/>
        </w:tabs>
        <w:spacing w:line="172" w:lineRule="exact"/>
        <w:ind w:left="170"/>
      </w:pPr>
      <w:r>
        <w:rPr/>
        <w:t>predio, por</w:t>
      </w:r>
      <w:r>
        <w:rPr>
          <w:spacing w:val="15"/>
        </w:rPr>
        <w:t> </w:t>
      </w:r>
      <w:r>
        <w:rPr/>
        <w:t>acceso</w:t>
      </w:r>
      <w:r>
        <w:rPr>
          <w:spacing w:val="9"/>
        </w:rPr>
        <w:t> </w:t>
      </w:r>
      <w:r>
        <w:rPr/>
        <w:t>anual:</w:t>
        <w:tab/>
        <w:t>$2,894.00</w:t>
      </w:r>
    </w:p>
    <w:p>
      <w:pPr>
        <w:pStyle w:val="BodyText"/>
        <w:spacing w:before="8"/>
      </w:pPr>
    </w:p>
    <w:p>
      <w:pPr>
        <w:pStyle w:val="ListParagraph"/>
        <w:numPr>
          <w:ilvl w:val="0"/>
          <w:numId w:val="160"/>
        </w:numPr>
        <w:tabs>
          <w:tab w:pos="801" w:val="left" w:leader="none"/>
        </w:tabs>
        <w:spacing w:line="247" w:lineRule="auto" w:before="0" w:after="0"/>
        <w:ind w:left="170" w:right="931" w:firstLine="377"/>
        <w:jc w:val="left"/>
        <w:rPr>
          <w:sz w:val="15"/>
        </w:rPr>
      </w:pPr>
      <w:r>
        <w:rPr>
          <w:sz w:val="15"/>
        </w:rPr>
        <w:t>Acceso a impresiones en formato PDF desde la plataforma digital del Municipio, por predio, por acceso</w:t>
      </w:r>
      <w:r>
        <w:rPr>
          <w:spacing w:val="-5"/>
          <w:sz w:val="15"/>
        </w:rPr>
        <w:t> </w:t>
      </w:r>
      <w:r>
        <w:rPr>
          <w:sz w:val="15"/>
        </w:rPr>
        <w:t>ilimitado</w:t>
      </w:r>
    </w:p>
    <w:p>
      <w:pPr>
        <w:pStyle w:val="BodyText"/>
        <w:tabs>
          <w:tab w:pos="4818" w:val="left" w:leader="none"/>
        </w:tabs>
        <w:spacing w:line="172" w:lineRule="exact"/>
        <w:ind w:left="170"/>
      </w:pPr>
      <w:r>
        <w:rPr/>
        <w:t>anual:</w:t>
        <w:tab/>
        <w:t>$1,158.00</w:t>
      </w:r>
    </w:p>
    <w:p>
      <w:pPr>
        <w:pStyle w:val="BodyText"/>
        <w:spacing w:before="9"/>
      </w:pPr>
    </w:p>
    <w:p>
      <w:pPr>
        <w:pStyle w:val="BodyText"/>
        <w:spacing w:line="247" w:lineRule="auto"/>
        <w:ind w:left="170" w:right="979" w:firstLine="377"/>
      </w:pPr>
      <w:r>
        <w:rPr/>
        <w:t>Este servicio requiere el acceso a la consulta predial  señalada en el inciso</w:t>
      </w:r>
      <w:r>
        <w:rPr>
          <w:spacing w:val="5"/>
        </w:rPr>
        <w:t> </w:t>
      </w:r>
      <w:r>
        <w:rPr/>
        <w:t>b).</w:t>
      </w:r>
    </w:p>
    <w:p>
      <w:pPr>
        <w:pStyle w:val="BodyText"/>
        <w:spacing w:before="4"/>
      </w:pPr>
    </w:p>
    <w:p>
      <w:pPr>
        <w:pStyle w:val="ListParagraph"/>
        <w:numPr>
          <w:ilvl w:val="0"/>
          <w:numId w:val="160"/>
        </w:numPr>
        <w:tabs>
          <w:tab w:pos="755" w:val="left" w:leader="none"/>
        </w:tabs>
        <w:spacing w:line="240" w:lineRule="auto" w:before="0" w:after="0"/>
        <w:ind w:left="754" w:right="0" w:hanging="208"/>
        <w:jc w:val="left"/>
        <w:rPr>
          <w:sz w:val="15"/>
        </w:rPr>
      </w:pPr>
      <w:r>
        <w:rPr>
          <w:sz w:val="15"/>
        </w:rPr>
        <w:t>Consulta</w:t>
      </w:r>
      <w:r>
        <w:rPr>
          <w:spacing w:val="32"/>
          <w:sz w:val="15"/>
        </w:rPr>
        <w:t> </w:t>
      </w:r>
      <w:r>
        <w:rPr>
          <w:sz w:val="15"/>
        </w:rPr>
        <w:t>de</w:t>
      </w:r>
      <w:r>
        <w:rPr>
          <w:spacing w:val="32"/>
          <w:sz w:val="15"/>
        </w:rPr>
        <w:t> </w:t>
      </w:r>
      <w:r>
        <w:rPr>
          <w:sz w:val="15"/>
        </w:rPr>
        <w:t>datos</w:t>
      </w:r>
      <w:r>
        <w:rPr>
          <w:spacing w:val="32"/>
          <w:sz w:val="15"/>
        </w:rPr>
        <w:t> </w:t>
      </w:r>
      <w:r>
        <w:rPr>
          <w:sz w:val="15"/>
        </w:rPr>
        <w:t>técnicos</w:t>
      </w:r>
      <w:r>
        <w:rPr>
          <w:spacing w:val="33"/>
          <w:sz w:val="15"/>
        </w:rPr>
        <w:t> </w:t>
      </w:r>
      <w:r>
        <w:rPr>
          <w:sz w:val="15"/>
        </w:rPr>
        <w:t>de</w:t>
      </w:r>
      <w:r>
        <w:rPr>
          <w:spacing w:val="31"/>
          <w:sz w:val="15"/>
        </w:rPr>
        <w:t> </w:t>
      </w:r>
      <w:r>
        <w:rPr>
          <w:sz w:val="15"/>
        </w:rPr>
        <w:t>cartografía</w:t>
      </w:r>
      <w:r>
        <w:rPr>
          <w:spacing w:val="31"/>
          <w:sz w:val="15"/>
        </w:rPr>
        <w:t> </w:t>
      </w:r>
      <w:r>
        <w:rPr>
          <w:sz w:val="15"/>
        </w:rPr>
        <w:t>predial</w:t>
      </w:r>
      <w:r>
        <w:rPr>
          <w:spacing w:val="32"/>
          <w:sz w:val="15"/>
        </w:rPr>
        <w:t> </w:t>
      </w:r>
      <w:r>
        <w:rPr>
          <w:sz w:val="15"/>
        </w:rPr>
        <w:t>de</w:t>
      </w:r>
      <w:r>
        <w:rPr>
          <w:spacing w:val="31"/>
          <w:sz w:val="15"/>
        </w:rPr>
        <w:t> </w:t>
      </w:r>
      <w:r>
        <w:rPr>
          <w:sz w:val="15"/>
        </w:rPr>
        <w:t>la</w:t>
      </w:r>
    </w:p>
    <w:p>
      <w:pPr>
        <w:pStyle w:val="BodyText"/>
        <w:spacing w:line="247" w:lineRule="auto" w:before="4"/>
        <w:ind w:left="170" w:right="2631" w:firstLine="397"/>
        <w:jc w:val="both"/>
      </w:pPr>
      <w:r>
        <w:rPr/>
        <w:br w:type="column"/>
      </w:r>
      <w:r>
        <w:rPr/>
        <w:t>Para el caso de los servicios señalados en la presente fracción, se  otorgará participación económica al personal que cubra dichos servicios, por cada servicio: 100% de la cuota</w:t>
      </w:r>
      <w:r>
        <w:rPr>
          <w:spacing w:val="11"/>
        </w:rPr>
        <w:t> </w:t>
      </w:r>
      <w:r>
        <w:rPr/>
        <w:t>cobrada.</w:t>
      </w:r>
    </w:p>
    <w:p>
      <w:pPr>
        <w:pStyle w:val="BodyText"/>
        <w:spacing w:before="3"/>
      </w:pPr>
    </w:p>
    <w:p>
      <w:pPr>
        <w:pStyle w:val="BodyText"/>
        <w:ind w:left="567"/>
      </w:pPr>
      <w:r>
        <w:rPr/>
        <w:t>III. Servicio de tala, poda o corte de raíces de los árboles:</w:t>
      </w:r>
    </w:p>
    <w:p>
      <w:pPr>
        <w:pStyle w:val="BodyText"/>
        <w:spacing w:before="8"/>
      </w:pPr>
    </w:p>
    <w:p>
      <w:pPr>
        <w:pStyle w:val="ListParagraph"/>
        <w:numPr>
          <w:ilvl w:val="0"/>
          <w:numId w:val="161"/>
        </w:numPr>
        <w:tabs>
          <w:tab w:pos="754" w:val="left" w:leader="none"/>
        </w:tabs>
        <w:spacing w:line="247" w:lineRule="auto" w:before="1" w:after="0"/>
        <w:ind w:left="170" w:right="3561" w:firstLine="397"/>
        <w:jc w:val="both"/>
        <w:rPr>
          <w:sz w:val="15"/>
        </w:rPr>
      </w:pPr>
      <w:r>
        <w:rPr>
          <w:sz w:val="15"/>
        </w:rPr>
        <w:t>Poda y retiro del material vegetal de árboles hasta de 10 metros de altura, por cada uno: pago en especie de 3 árboles (especie</w:t>
      </w:r>
      <w:r>
        <w:rPr>
          <w:spacing w:val="9"/>
          <w:sz w:val="15"/>
        </w:rPr>
        <w:t> </w:t>
      </w:r>
      <w:r>
        <w:rPr>
          <w:sz w:val="15"/>
        </w:rPr>
        <w:t>sugerida</w:t>
      </w:r>
      <w:r>
        <w:rPr>
          <w:spacing w:val="12"/>
          <w:sz w:val="15"/>
        </w:rPr>
        <w:t> </w:t>
      </w:r>
      <w:r>
        <w:rPr>
          <w:sz w:val="15"/>
        </w:rPr>
        <w:t>en</w:t>
      </w:r>
      <w:r>
        <w:rPr>
          <w:spacing w:val="11"/>
          <w:sz w:val="15"/>
        </w:rPr>
        <w:t> </w:t>
      </w:r>
      <w:r>
        <w:rPr>
          <w:sz w:val="15"/>
        </w:rPr>
        <w:t>el</w:t>
      </w:r>
      <w:r>
        <w:rPr>
          <w:spacing w:val="10"/>
          <w:sz w:val="15"/>
        </w:rPr>
        <w:t> </w:t>
      </w:r>
      <w:r>
        <w:rPr>
          <w:sz w:val="15"/>
        </w:rPr>
        <w:t>momento)</w:t>
      </w:r>
      <w:r>
        <w:rPr>
          <w:spacing w:val="11"/>
          <w:sz w:val="15"/>
        </w:rPr>
        <w:t> </w:t>
      </w:r>
      <w:r>
        <w:rPr>
          <w:sz w:val="15"/>
        </w:rPr>
        <w:t>de</w:t>
      </w:r>
      <w:r>
        <w:rPr>
          <w:spacing w:val="11"/>
          <w:sz w:val="15"/>
        </w:rPr>
        <w:t> </w:t>
      </w:r>
      <w:r>
        <w:rPr>
          <w:sz w:val="15"/>
        </w:rPr>
        <w:t>2</w:t>
      </w:r>
      <w:r>
        <w:rPr>
          <w:spacing w:val="11"/>
          <w:sz w:val="15"/>
        </w:rPr>
        <w:t> </w:t>
      </w:r>
      <w:r>
        <w:rPr>
          <w:sz w:val="15"/>
        </w:rPr>
        <w:t>metros</w:t>
      </w:r>
      <w:r>
        <w:rPr>
          <w:spacing w:val="10"/>
          <w:sz w:val="15"/>
        </w:rPr>
        <w:t> </w:t>
      </w:r>
      <w:r>
        <w:rPr>
          <w:sz w:val="15"/>
        </w:rPr>
        <w:t>de</w:t>
      </w:r>
      <w:r>
        <w:rPr>
          <w:spacing w:val="11"/>
          <w:sz w:val="15"/>
        </w:rPr>
        <w:t> </w:t>
      </w:r>
      <w:r>
        <w:rPr>
          <w:sz w:val="15"/>
        </w:rPr>
        <w:t>altura</w:t>
      </w:r>
      <w:r>
        <w:rPr>
          <w:spacing w:val="11"/>
          <w:sz w:val="15"/>
        </w:rPr>
        <w:t> </w:t>
      </w:r>
      <w:r>
        <w:rPr>
          <w:sz w:val="15"/>
        </w:rPr>
        <w:t>mínima</w:t>
      </w:r>
      <w:r>
        <w:rPr>
          <w:spacing w:val="11"/>
          <w:sz w:val="15"/>
        </w:rPr>
        <w:t> </w:t>
      </w:r>
      <w:r>
        <w:rPr>
          <w:sz w:val="15"/>
        </w:rPr>
        <w:t>y</w:t>
      </w:r>
    </w:p>
    <w:p>
      <w:pPr>
        <w:pStyle w:val="BodyText"/>
        <w:tabs>
          <w:tab w:pos="5051" w:val="left" w:leader="none"/>
        </w:tabs>
        <w:spacing w:line="171" w:lineRule="exact"/>
        <w:ind w:left="170"/>
        <w:jc w:val="both"/>
      </w:pPr>
      <w:r>
        <w:rPr/>
        <w:t>el</w:t>
      </w:r>
      <w:r>
        <w:rPr>
          <w:spacing w:val="4"/>
        </w:rPr>
        <w:t> </w:t>
      </w:r>
      <w:r>
        <w:rPr/>
        <w:t>pago</w:t>
      </w:r>
      <w:r>
        <w:rPr>
          <w:spacing w:val="4"/>
        </w:rPr>
        <w:t> </w:t>
      </w:r>
      <w:r>
        <w:rPr/>
        <w:t>de:</w:t>
        <w:tab/>
        <w:t>$927.00</w:t>
      </w:r>
    </w:p>
    <w:p>
      <w:pPr>
        <w:pStyle w:val="BodyText"/>
        <w:spacing w:before="8"/>
      </w:pPr>
    </w:p>
    <w:p>
      <w:pPr>
        <w:pStyle w:val="ListParagraph"/>
        <w:numPr>
          <w:ilvl w:val="0"/>
          <w:numId w:val="161"/>
        </w:numPr>
        <w:tabs>
          <w:tab w:pos="762" w:val="left" w:leader="none"/>
        </w:tabs>
        <w:spacing w:line="247" w:lineRule="auto" w:before="0" w:after="0"/>
        <w:ind w:left="170" w:right="3561" w:firstLine="397"/>
        <w:jc w:val="both"/>
        <w:rPr>
          <w:sz w:val="15"/>
        </w:rPr>
      </w:pPr>
      <w:r>
        <w:rPr>
          <w:sz w:val="15"/>
        </w:rPr>
        <w:t>Poda y retiro del material vegetal de árboles de más de  10 metros de altura, por cada uno: pago en especie de 5 árboles (especie</w:t>
      </w:r>
      <w:r>
        <w:rPr>
          <w:spacing w:val="9"/>
          <w:sz w:val="15"/>
        </w:rPr>
        <w:t> </w:t>
      </w:r>
      <w:r>
        <w:rPr>
          <w:sz w:val="15"/>
        </w:rPr>
        <w:t>sugerida</w:t>
      </w:r>
      <w:r>
        <w:rPr>
          <w:spacing w:val="12"/>
          <w:sz w:val="15"/>
        </w:rPr>
        <w:t> </w:t>
      </w:r>
      <w:r>
        <w:rPr>
          <w:sz w:val="15"/>
        </w:rPr>
        <w:t>en</w:t>
      </w:r>
      <w:r>
        <w:rPr>
          <w:spacing w:val="11"/>
          <w:sz w:val="15"/>
        </w:rPr>
        <w:t> </w:t>
      </w:r>
      <w:r>
        <w:rPr>
          <w:sz w:val="15"/>
        </w:rPr>
        <w:t>el</w:t>
      </w:r>
      <w:r>
        <w:rPr>
          <w:spacing w:val="10"/>
          <w:sz w:val="15"/>
        </w:rPr>
        <w:t> </w:t>
      </w:r>
      <w:r>
        <w:rPr>
          <w:sz w:val="15"/>
        </w:rPr>
        <w:t>momento)</w:t>
      </w:r>
      <w:r>
        <w:rPr>
          <w:spacing w:val="11"/>
          <w:sz w:val="15"/>
        </w:rPr>
        <w:t> </w:t>
      </w:r>
      <w:r>
        <w:rPr>
          <w:sz w:val="15"/>
        </w:rPr>
        <w:t>de</w:t>
      </w:r>
      <w:r>
        <w:rPr>
          <w:spacing w:val="11"/>
          <w:sz w:val="15"/>
        </w:rPr>
        <w:t> </w:t>
      </w:r>
      <w:r>
        <w:rPr>
          <w:sz w:val="15"/>
        </w:rPr>
        <w:t>2</w:t>
      </w:r>
      <w:r>
        <w:rPr>
          <w:spacing w:val="11"/>
          <w:sz w:val="15"/>
        </w:rPr>
        <w:t> </w:t>
      </w:r>
      <w:r>
        <w:rPr>
          <w:sz w:val="15"/>
        </w:rPr>
        <w:t>metros</w:t>
      </w:r>
      <w:r>
        <w:rPr>
          <w:spacing w:val="10"/>
          <w:sz w:val="15"/>
        </w:rPr>
        <w:t> </w:t>
      </w:r>
      <w:r>
        <w:rPr>
          <w:sz w:val="15"/>
        </w:rPr>
        <w:t>de</w:t>
      </w:r>
      <w:r>
        <w:rPr>
          <w:spacing w:val="11"/>
          <w:sz w:val="15"/>
        </w:rPr>
        <w:t> </w:t>
      </w:r>
      <w:r>
        <w:rPr>
          <w:sz w:val="15"/>
        </w:rPr>
        <w:t>altura</w:t>
      </w:r>
      <w:r>
        <w:rPr>
          <w:spacing w:val="11"/>
          <w:sz w:val="15"/>
        </w:rPr>
        <w:t> </w:t>
      </w:r>
      <w:r>
        <w:rPr>
          <w:sz w:val="15"/>
        </w:rPr>
        <w:t>mínima</w:t>
      </w:r>
      <w:r>
        <w:rPr>
          <w:spacing w:val="11"/>
          <w:sz w:val="15"/>
        </w:rPr>
        <w:t> </w:t>
      </w:r>
      <w:r>
        <w:rPr>
          <w:sz w:val="15"/>
        </w:rPr>
        <w:t>y</w:t>
      </w:r>
    </w:p>
    <w:p>
      <w:pPr>
        <w:pStyle w:val="BodyText"/>
        <w:tabs>
          <w:tab w:pos="4922" w:val="left" w:leader="none"/>
        </w:tabs>
        <w:spacing w:line="171" w:lineRule="exact"/>
        <w:ind w:left="170"/>
        <w:jc w:val="both"/>
      </w:pPr>
      <w:r>
        <w:rPr/>
        <w:t>el pago de la</w:t>
      </w:r>
      <w:r>
        <w:rPr>
          <w:spacing w:val="23"/>
        </w:rPr>
        <w:t> </w:t>
      </w:r>
      <w:r>
        <w:rPr/>
        <w:t>cantidad</w:t>
      </w:r>
      <w:r>
        <w:rPr>
          <w:spacing w:val="5"/>
        </w:rPr>
        <w:t> </w:t>
      </w:r>
      <w:r>
        <w:rPr/>
        <w:t>de:</w:t>
        <w:tab/>
        <w:t>$1,327.00</w:t>
      </w:r>
    </w:p>
    <w:p>
      <w:pPr>
        <w:pStyle w:val="BodyText"/>
        <w:spacing w:before="9"/>
      </w:pPr>
    </w:p>
    <w:p>
      <w:pPr>
        <w:pStyle w:val="ListParagraph"/>
        <w:numPr>
          <w:ilvl w:val="0"/>
          <w:numId w:val="161"/>
        </w:numPr>
        <w:tabs>
          <w:tab w:pos="754" w:val="left" w:leader="none"/>
        </w:tabs>
        <w:spacing w:line="247" w:lineRule="auto" w:before="0" w:after="0"/>
        <w:ind w:left="170" w:right="3561" w:firstLine="397"/>
        <w:jc w:val="both"/>
        <w:rPr>
          <w:sz w:val="15"/>
        </w:rPr>
      </w:pPr>
      <w:r>
        <w:rPr>
          <w:sz w:val="15"/>
        </w:rPr>
        <w:t>Derribo y retiro del material vegetal de árboles de hasta  10 metros de altura, por cada uno: pago en especie de 5 árboles (especie</w:t>
      </w:r>
      <w:r>
        <w:rPr>
          <w:spacing w:val="9"/>
          <w:sz w:val="15"/>
        </w:rPr>
        <w:t> </w:t>
      </w:r>
      <w:r>
        <w:rPr>
          <w:sz w:val="15"/>
        </w:rPr>
        <w:t>sugerida</w:t>
      </w:r>
      <w:r>
        <w:rPr>
          <w:spacing w:val="12"/>
          <w:sz w:val="15"/>
        </w:rPr>
        <w:t> </w:t>
      </w:r>
      <w:r>
        <w:rPr>
          <w:sz w:val="15"/>
        </w:rPr>
        <w:t>en</w:t>
      </w:r>
      <w:r>
        <w:rPr>
          <w:spacing w:val="11"/>
          <w:sz w:val="15"/>
        </w:rPr>
        <w:t> </w:t>
      </w:r>
      <w:r>
        <w:rPr>
          <w:sz w:val="15"/>
        </w:rPr>
        <w:t>el</w:t>
      </w:r>
      <w:r>
        <w:rPr>
          <w:spacing w:val="10"/>
          <w:sz w:val="15"/>
        </w:rPr>
        <w:t> </w:t>
      </w:r>
      <w:r>
        <w:rPr>
          <w:sz w:val="15"/>
        </w:rPr>
        <w:t>momento)</w:t>
      </w:r>
      <w:r>
        <w:rPr>
          <w:spacing w:val="11"/>
          <w:sz w:val="15"/>
        </w:rPr>
        <w:t> </w:t>
      </w:r>
      <w:r>
        <w:rPr>
          <w:sz w:val="15"/>
        </w:rPr>
        <w:t>de</w:t>
      </w:r>
      <w:r>
        <w:rPr>
          <w:spacing w:val="11"/>
          <w:sz w:val="15"/>
        </w:rPr>
        <w:t> </w:t>
      </w:r>
      <w:r>
        <w:rPr>
          <w:sz w:val="15"/>
        </w:rPr>
        <w:t>2</w:t>
      </w:r>
      <w:r>
        <w:rPr>
          <w:spacing w:val="11"/>
          <w:sz w:val="15"/>
        </w:rPr>
        <w:t> </w:t>
      </w:r>
      <w:r>
        <w:rPr>
          <w:sz w:val="15"/>
        </w:rPr>
        <w:t>metros</w:t>
      </w:r>
      <w:r>
        <w:rPr>
          <w:spacing w:val="10"/>
          <w:sz w:val="15"/>
        </w:rPr>
        <w:t> </w:t>
      </w:r>
      <w:r>
        <w:rPr>
          <w:sz w:val="15"/>
        </w:rPr>
        <w:t>de</w:t>
      </w:r>
      <w:r>
        <w:rPr>
          <w:spacing w:val="11"/>
          <w:sz w:val="15"/>
        </w:rPr>
        <w:t> </w:t>
      </w:r>
      <w:r>
        <w:rPr>
          <w:sz w:val="15"/>
        </w:rPr>
        <w:t>altura</w:t>
      </w:r>
      <w:r>
        <w:rPr>
          <w:spacing w:val="11"/>
          <w:sz w:val="15"/>
        </w:rPr>
        <w:t> </w:t>
      </w:r>
      <w:r>
        <w:rPr>
          <w:sz w:val="15"/>
        </w:rPr>
        <w:t>mínima</w:t>
      </w:r>
      <w:r>
        <w:rPr>
          <w:spacing w:val="11"/>
          <w:sz w:val="15"/>
        </w:rPr>
        <w:t> </w:t>
      </w:r>
      <w:r>
        <w:rPr>
          <w:sz w:val="15"/>
        </w:rPr>
        <w:t>y</w:t>
      </w:r>
    </w:p>
    <w:p>
      <w:pPr>
        <w:pStyle w:val="BodyText"/>
        <w:tabs>
          <w:tab w:pos="4922" w:val="left" w:leader="none"/>
        </w:tabs>
        <w:spacing w:line="171" w:lineRule="exact"/>
        <w:ind w:left="170"/>
        <w:jc w:val="both"/>
      </w:pPr>
      <w:r>
        <w:rPr/>
        <w:t>el pago de la</w:t>
      </w:r>
      <w:r>
        <w:rPr>
          <w:spacing w:val="23"/>
        </w:rPr>
        <w:t> </w:t>
      </w:r>
      <w:r>
        <w:rPr/>
        <w:t>cantidad</w:t>
      </w:r>
      <w:r>
        <w:rPr>
          <w:spacing w:val="5"/>
        </w:rPr>
        <w:t> </w:t>
      </w:r>
      <w:r>
        <w:rPr/>
        <w:t>de:</w:t>
        <w:tab/>
        <w:t>$1,327.00</w:t>
      </w:r>
    </w:p>
    <w:p>
      <w:pPr>
        <w:spacing w:after="0" w:line="171" w:lineRule="exact"/>
        <w:jc w:val="both"/>
        <w:sectPr>
          <w:type w:val="continuous"/>
          <w:pgSz w:w="23250" w:h="15310" w:orient="landscape"/>
          <w:pgMar w:top="0" w:bottom="0" w:left="1880" w:right="1520"/>
          <w:cols w:num="2" w:equalWidth="0">
            <w:col w:w="5629" w:space="5973"/>
            <w:col w:w="8248"/>
          </w:cols>
        </w:sectPr>
      </w:pPr>
    </w:p>
    <w:p>
      <w:pPr>
        <w:pStyle w:val="BodyText"/>
        <w:rPr>
          <w:sz w:val="20"/>
        </w:rPr>
      </w:pPr>
    </w:p>
    <w:p>
      <w:pPr>
        <w:pStyle w:val="BodyText"/>
        <w:spacing w:before="7"/>
        <w:rPr>
          <w:sz w:val="29"/>
        </w:rPr>
      </w:pPr>
    </w:p>
    <w:p>
      <w:pPr>
        <w:spacing w:after="0"/>
        <w:rPr>
          <w:sz w:val="29"/>
        </w:rPr>
        <w:sectPr>
          <w:headerReference w:type="default" r:id="rId97"/>
          <w:pgSz w:w="23250" w:h="15310" w:orient="landscape"/>
          <w:pgMar w:header="881" w:footer="499" w:top="1920" w:bottom="680" w:left="1880" w:right="1520"/>
        </w:sectPr>
      </w:pPr>
    </w:p>
    <w:p>
      <w:pPr>
        <w:pStyle w:val="BodyText"/>
        <w:rPr>
          <w:sz w:val="16"/>
        </w:rPr>
      </w:pPr>
    </w:p>
    <w:p>
      <w:pPr>
        <w:pStyle w:val="ListParagraph"/>
        <w:numPr>
          <w:ilvl w:val="0"/>
          <w:numId w:val="161"/>
        </w:numPr>
        <w:tabs>
          <w:tab w:pos="730" w:val="left" w:leader="none"/>
        </w:tabs>
        <w:spacing w:line="247" w:lineRule="auto" w:before="92" w:after="0"/>
        <w:ind w:left="150" w:right="969" w:firstLine="397"/>
        <w:jc w:val="both"/>
        <w:rPr>
          <w:sz w:val="15"/>
        </w:rPr>
      </w:pPr>
      <w:r>
        <w:rPr>
          <w:sz w:val="15"/>
        </w:rPr>
        <w:t>Derribo y retiro del material vegetal de árboles de más de 10 metros de altura, por cada uno: pago en especie de 8 árboles (especie</w:t>
      </w:r>
      <w:r>
        <w:rPr>
          <w:spacing w:val="10"/>
          <w:sz w:val="15"/>
        </w:rPr>
        <w:t> </w:t>
      </w:r>
      <w:r>
        <w:rPr>
          <w:sz w:val="15"/>
        </w:rPr>
        <w:t>sugerida</w:t>
      </w:r>
      <w:r>
        <w:rPr>
          <w:spacing w:val="11"/>
          <w:sz w:val="15"/>
        </w:rPr>
        <w:t> </w:t>
      </w:r>
      <w:r>
        <w:rPr>
          <w:sz w:val="15"/>
        </w:rPr>
        <w:t>en</w:t>
      </w:r>
      <w:r>
        <w:rPr>
          <w:spacing w:val="11"/>
          <w:sz w:val="15"/>
        </w:rPr>
        <w:t> </w:t>
      </w:r>
      <w:r>
        <w:rPr>
          <w:sz w:val="15"/>
        </w:rPr>
        <w:t>el</w:t>
      </w:r>
      <w:r>
        <w:rPr>
          <w:spacing w:val="10"/>
          <w:sz w:val="15"/>
        </w:rPr>
        <w:t> </w:t>
      </w:r>
      <w:r>
        <w:rPr>
          <w:sz w:val="15"/>
        </w:rPr>
        <w:t>momento)</w:t>
      </w:r>
      <w:r>
        <w:rPr>
          <w:spacing w:val="11"/>
          <w:sz w:val="15"/>
        </w:rPr>
        <w:t> </w:t>
      </w:r>
      <w:r>
        <w:rPr>
          <w:sz w:val="15"/>
        </w:rPr>
        <w:t>de</w:t>
      </w:r>
      <w:r>
        <w:rPr>
          <w:spacing w:val="12"/>
          <w:sz w:val="15"/>
        </w:rPr>
        <w:t> </w:t>
      </w:r>
      <w:r>
        <w:rPr>
          <w:sz w:val="15"/>
        </w:rPr>
        <w:t>2</w:t>
      </w:r>
      <w:r>
        <w:rPr>
          <w:spacing w:val="11"/>
          <w:sz w:val="15"/>
        </w:rPr>
        <w:t> </w:t>
      </w:r>
      <w:r>
        <w:rPr>
          <w:sz w:val="15"/>
        </w:rPr>
        <w:t>metros</w:t>
      </w:r>
      <w:r>
        <w:rPr>
          <w:spacing w:val="10"/>
          <w:sz w:val="15"/>
        </w:rPr>
        <w:t> </w:t>
      </w:r>
      <w:r>
        <w:rPr>
          <w:sz w:val="15"/>
        </w:rPr>
        <w:t>de</w:t>
      </w:r>
      <w:r>
        <w:rPr>
          <w:spacing w:val="11"/>
          <w:sz w:val="15"/>
        </w:rPr>
        <w:t> </w:t>
      </w:r>
      <w:r>
        <w:rPr>
          <w:sz w:val="15"/>
        </w:rPr>
        <w:t>altura</w:t>
      </w:r>
      <w:r>
        <w:rPr>
          <w:spacing w:val="11"/>
          <w:sz w:val="15"/>
        </w:rPr>
        <w:t> </w:t>
      </w:r>
      <w:r>
        <w:rPr>
          <w:sz w:val="15"/>
        </w:rPr>
        <w:t>mínima</w:t>
      </w:r>
      <w:r>
        <w:rPr>
          <w:spacing w:val="12"/>
          <w:sz w:val="15"/>
        </w:rPr>
        <w:t> </w:t>
      </w:r>
      <w:r>
        <w:rPr>
          <w:sz w:val="15"/>
        </w:rPr>
        <w:t>y</w:t>
      </w:r>
    </w:p>
    <w:p>
      <w:pPr>
        <w:pStyle w:val="BodyText"/>
        <w:tabs>
          <w:tab w:pos="4903" w:val="left" w:leader="none"/>
        </w:tabs>
        <w:spacing w:line="170" w:lineRule="exact"/>
        <w:ind w:left="150"/>
        <w:jc w:val="both"/>
      </w:pPr>
      <w:r>
        <w:rPr/>
        <w:t>el pago de la</w:t>
      </w:r>
      <w:r>
        <w:rPr>
          <w:spacing w:val="23"/>
        </w:rPr>
        <w:t> </w:t>
      </w:r>
      <w:r>
        <w:rPr/>
        <w:t>cantidad</w:t>
      </w:r>
      <w:r>
        <w:rPr>
          <w:spacing w:val="5"/>
        </w:rPr>
        <w:t> </w:t>
      </w:r>
      <w:r>
        <w:rPr/>
        <w:t>de:</w:t>
        <w:tab/>
        <w:t>$2,206.00</w:t>
      </w:r>
    </w:p>
    <w:p>
      <w:pPr>
        <w:pStyle w:val="BodyText"/>
        <w:spacing w:before="9"/>
      </w:pPr>
    </w:p>
    <w:p>
      <w:pPr>
        <w:pStyle w:val="BodyText"/>
        <w:spacing w:line="247" w:lineRule="auto"/>
        <w:ind w:left="150" w:right="38" w:firstLine="397"/>
        <w:jc w:val="both"/>
      </w:pPr>
      <w:r>
        <w:rPr/>
        <w:t>Tratándose de poda, tala o derribo de árboles ubicados en la vía pública, que representen un riesgo para la seguridad de la ciudadanía en su persona o bienes, así como para la infraestructura de los servicios públicos instalados, previo dictamen de factibilidad forestal de la Dirección General de Protección y Sustentabilidad Ambiental, el servicio será gratuito;</w:t>
      </w:r>
    </w:p>
    <w:p>
      <w:pPr>
        <w:pStyle w:val="BodyText"/>
        <w:spacing w:before="2"/>
      </w:pPr>
    </w:p>
    <w:p>
      <w:pPr>
        <w:pStyle w:val="ListParagraph"/>
        <w:numPr>
          <w:ilvl w:val="0"/>
          <w:numId w:val="161"/>
        </w:numPr>
        <w:tabs>
          <w:tab w:pos="756" w:val="left" w:leader="none"/>
        </w:tabs>
        <w:spacing w:line="247" w:lineRule="auto" w:before="0" w:after="0"/>
        <w:ind w:left="150" w:right="968" w:firstLine="397"/>
        <w:jc w:val="both"/>
        <w:rPr>
          <w:sz w:val="15"/>
        </w:rPr>
      </w:pPr>
      <w:r>
        <w:rPr>
          <w:sz w:val="15"/>
        </w:rPr>
        <w:t>Autorización a particulares para la poda, o derribo de árboles, trasplante de árboles en zonas urbanas o retiro, previo dictamen de factibilidad forestal de la Dirección General de Protección y Sustentabilidad Ambiental, de conformidad con el</w:t>
      </w:r>
    </w:p>
    <w:p>
      <w:pPr>
        <w:pStyle w:val="BodyText"/>
        <w:tabs>
          <w:tab w:pos="5031" w:val="left" w:leader="none"/>
        </w:tabs>
        <w:spacing w:line="170" w:lineRule="exact"/>
        <w:ind w:left="150"/>
        <w:jc w:val="both"/>
      </w:pPr>
      <w:r>
        <w:rPr/>
        <w:t>reglamento</w:t>
      </w:r>
      <w:r>
        <w:rPr>
          <w:spacing w:val="16"/>
        </w:rPr>
        <w:t> </w:t>
      </w:r>
      <w:r>
        <w:rPr/>
        <w:t>correspondiente:</w:t>
        <w:tab/>
        <w:t>$281.00</w:t>
      </w:r>
    </w:p>
    <w:p>
      <w:pPr>
        <w:pStyle w:val="BodyText"/>
        <w:spacing w:before="9"/>
      </w:pPr>
    </w:p>
    <w:p>
      <w:pPr>
        <w:pStyle w:val="ListParagraph"/>
        <w:numPr>
          <w:ilvl w:val="0"/>
          <w:numId w:val="161"/>
        </w:numPr>
        <w:tabs>
          <w:tab w:pos="763" w:val="left" w:leader="none"/>
        </w:tabs>
        <w:spacing w:line="244" w:lineRule="auto" w:before="1" w:after="0"/>
        <w:ind w:left="150" w:right="968" w:firstLine="397"/>
        <w:jc w:val="both"/>
        <w:rPr>
          <w:sz w:val="15"/>
        </w:rPr>
      </w:pPr>
      <w:r>
        <w:rPr>
          <w:sz w:val="15"/>
        </w:rPr>
        <w:t>Permiso a particulares para realizar desmontes  en predios rústicos, previo dictamen de factibilidad forestal, por hectárea, de conformidad con el reglamento</w:t>
      </w:r>
      <w:r>
        <w:rPr>
          <w:spacing w:val="5"/>
          <w:sz w:val="15"/>
        </w:rPr>
        <w:t> </w:t>
      </w:r>
      <w:r>
        <w:rPr>
          <w:sz w:val="15"/>
        </w:rPr>
        <w:t>correspondiente:</w:t>
      </w:r>
    </w:p>
    <w:p>
      <w:pPr>
        <w:pStyle w:val="BodyText"/>
        <w:spacing w:line="247" w:lineRule="auto" w:before="99"/>
        <w:ind w:left="150" w:right="509"/>
        <w:jc w:val="both"/>
      </w:pPr>
      <w:r>
        <w:rPr/>
        <w:br w:type="column"/>
      </w:r>
      <w:r>
        <w:rPr/>
        <w:t>encuentren en situación económica vulnerable, deberán presentar una solicitud  ante  la Tesorería  Municipal para acceder a un descuento de 50%, acompañando a la petición visto bueno emitido por el sistema </w:t>
      </w:r>
      <w:r>
        <w:rPr>
          <w:spacing w:val="-5"/>
        </w:rPr>
        <w:t>DIF, </w:t>
      </w:r>
      <w:r>
        <w:rPr/>
        <w:t>tratándose de personas de la tercera edad, identificación oficial vigente y documento que compruebe su edad.  En los casos de las personas con discapacidad deberán presentar credencial de discapacidad emitida por el Sistema Nacional para el Desarrollo Integral de la Familia (DIF) o constancia o certificado médico expedido      por alguna institución pública de salud o de seguridad</w:t>
      </w:r>
      <w:r>
        <w:rPr>
          <w:spacing w:val="16"/>
        </w:rPr>
        <w:t> </w:t>
      </w:r>
      <w:r>
        <w:rPr/>
        <w:t>social.</w:t>
      </w:r>
    </w:p>
    <w:p>
      <w:pPr>
        <w:pStyle w:val="BodyText"/>
        <w:spacing w:before="1"/>
      </w:pPr>
    </w:p>
    <w:p>
      <w:pPr>
        <w:pStyle w:val="BodyText"/>
        <w:spacing w:line="244" w:lineRule="auto"/>
        <w:ind w:left="150" w:right="507" w:firstLine="397"/>
        <w:jc w:val="both"/>
      </w:pPr>
      <w:r>
        <w:rPr/>
        <w:t>En aquellos casos donde el sujeto forestal represente riesgo para la infraestructura del bien inmueble o     la red de drenaje o tuberías, previo dictamen de Riesgo emitido por la Dirección de Protección  Civil  y  Bomberos, el dictamen no tendrá</w:t>
      </w:r>
      <w:r>
        <w:rPr>
          <w:spacing w:val="7"/>
        </w:rPr>
        <w:t> </w:t>
      </w:r>
      <w:r>
        <w:rPr/>
        <w:t>costo.</w:t>
      </w:r>
    </w:p>
    <w:p>
      <w:pPr>
        <w:pStyle w:val="BodyText"/>
        <w:spacing w:before="8"/>
      </w:pPr>
    </w:p>
    <w:p>
      <w:pPr>
        <w:pStyle w:val="BodyText"/>
        <w:spacing w:line="247" w:lineRule="auto"/>
        <w:ind w:left="150" w:right="508" w:firstLine="397"/>
        <w:jc w:val="both"/>
      </w:pPr>
      <w:r>
        <w:rPr/>
        <w:t>Así mismo, el servicio o permiso para el derribo o poda se realizará sin costo, en aquellos casos en que  sus raíces, fuste, ramas o follaje ocasionen daño a la infraestructura urbana pública o privada, instalaciones aéreas y del subsuelo, en propiedad particular, o implique un inminente peligro o este se encuentre totalmente seco. Tratándose de las escuelas públicas o entidades públicas,  los permisos de poda y/o derribo de árboles    se realizarán sin</w:t>
      </w:r>
      <w:r>
        <w:rPr>
          <w:spacing w:val="3"/>
        </w:rPr>
        <w:t> </w:t>
      </w:r>
      <w:r>
        <w:rPr/>
        <w:t>costo.</w:t>
      </w:r>
    </w:p>
    <w:p>
      <w:pPr>
        <w:pStyle w:val="BodyText"/>
        <w:spacing w:before="1"/>
      </w:pPr>
    </w:p>
    <w:p>
      <w:pPr>
        <w:pStyle w:val="BodyText"/>
        <w:spacing w:line="244" w:lineRule="auto" w:before="1"/>
        <w:ind w:left="150" w:right="510" w:firstLine="397"/>
        <w:jc w:val="both"/>
      </w:pPr>
      <w:r>
        <w:rPr>
          <w:spacing w:val="-8"/>
        </w:rPr>
        <w:t>V.  </w:t>
      </w:r>
      <w:r>
        <w:rPr/>
        <w:t>Por la revisión por parte de personal técnico de la Dirección de Alumbrado Público de los proyectos     de acciones urbanísticas desarrolladas privadas, respecto del alumbrado público que se pretende establecer     en</w:t>
      </w:r>
      <w:r>
        <w:rPr>
          <w:spacing w:val="3"/>
        </w:rPr>
        <w:t> </w:t>
      </w:r>
      <w:r>
        <w:rPr/>
        <w:t>éstas,</w:t>
      </w:r>
      <w:r>
        <w:rPr>
          <w:spacing w:val="3"/>
        </w:rPr>
        <w:t> </w:t>
      </w:r>
      <w:r>
        <w:rPr/>
        <w:t>las</w:t>
      </w:r>
      <w:r>
        <w:rPr>
          <w:spacing w:val="4"/>
        </w:rPr>
        <w:t> </w:t>
      </w:r>
      <w:r>
        <w:rPr/>
        <w:t>cantidades,</w:t>
      </w:r>
      <w:r>
        <w:rPr>
          <w:spacing w:val="3"/>
        </w:rPr>
        <w:t> </w:t>
      </w:r>
      <w:r>
        <w:rPr/>
        <w:t>según</w:t>
      </w:r>
      <w:r>
        <w:rPr>
          <w:spacing w:val="4"/>
        </w:rPr>
        <w:t> </w:t>
      </w:r>
      <w:r>
        <w:rPr/>
        <w:t>sea</w:t>
      </w:r>
      <w:r>
        <w:rPr>
          <w:spacing w:val="3"/>
        </w:rPr>
        <w:t> </w:t>
      </w:r>
      <w:r>
        <w:rPr/>
        <w:t>el</w:t>
      </w:r>
      <w:r>
        <w:rPr>
          <w:spacing w:val="4"/>
        </w:rPr>
        <w:t> </w:t>
      </w:r>
      <w:r>
        <w:rPr/>
        <w:t>caso,</w:t>
      </w:r>
      <w:r>
        <w:rPr>
          <w:spacing w:val="3"/>
        </w:rPr>
        <w:t> </w:t>
      </w:r>
      <w:r>
        <w:rPr/>
        <w:t>de</w:t>
      </w:r>
      <w:r>
        <w:rPr>
          <w:spacing w:val="4"/>
        </w:rPr>
        <w:t> </w:t>
      </w:r>
      <w:r>
        <w:rPr/>
        <w:t>lotes</w:t>
      </w:r>
      <w:r>
        <w:rPr>
          <w:spacing w:val="3"/>
        </w:rPr>
        <w:t> </w:t>
      </w:r>
      <w:r>
        <w:rPr/>
        <w:t>o</w:t>
      </w:r>
      <w:r>
        <w:rPr>
          <w:spacing w:val="4"/>
        </w:rPr>
        <w:t> </w:t>
      </w:r>
      <w:r>
        <w:rPr/>
        <w:t>viviendas</w:t>
      </w:r>
      <w:r>
        <w:rPr>
          <w:spacing w:val="3"/>
        </w:rPr>
        <w:t> </w:t>
      </w:r>
      <w:r>
        <w:rPr/>
        <w:t>por</w:t>
      </w:r>
      <w:r>
        <w:rPr>
          <w:spacing w:val="3"/>
        </w:rPr>
        <w:t> </w:t>
      </w:r>
      <w:r>
        <w:rPr/>
        <w:t>etapa</w:t>
      </w:r>
      <w:r>
        <w:rPr>
          <w:spacing w:val="4"/>
        </w:rPr>
        <w:t> </w:t>
      </w:r>
      <w:r>
        <w:rPr/>
        <w:t>por</w:t>
      </w:r>
      <w:r>
        <w:rPr>
          <w:spacing w:val="3"/>
        </w:rPr>
        <w:t> </w:t>
      </w:r>
      <w:r>
        <w:rPr/>
        <w:t>cada</w:t>
      </w:r>
      <w:r>
        <w:rPr>
          <w:spacing w:val="4"/>
        </w:rPr>
        <w:t> </w:t>
      </w:r>
      <w:r>
        <w:rPr/>
        <w:t>visita:</w:t>
      </w:r>
    </w:p>
    <w:p>
      <w:pPr>
        <w:spacing w:after="0" w:line="244" w:lineRule="auto"/>
        <w:jc w:val="both"/>
        <w:sectPr>
          <w:type w:val="continuous"/>
          <w:pgSz w:w="23250" w:h="15310" w:orient="landscape"/>
          <w:pgMar w:top="0" w:bottom="0" w:left="1880" w:right="1520"/>
          <w:cols w:num="2" w:equalWidth="0">
            <w:col w:w="5630" w:space="5992"/>
            <w:col w:w="8228"/>
          </w:cols>
        </w:sectPr>
      </w:pPr>
    </w:p>
    <w:p>
      <w:pPr>
        <w:pStyle w:val="BodyText"/>
        <w:rPr>
          <w:sz w:val="16"/>
        </w:rPr>
      </w:pPr>
    </w:p>
    <w:p>
      <w:pPr>
        <w:pStyle w:val="BodyText"/>
      </w:pPr>
    </w:p>
    <w:p>
      <w:pPr>
        <w:pStyle w:val="ListParagraph"/>
        <w:numPr>
          <w:ilvl w:val="0"/>
          <w:numId w:val="161"/>
        </w:numPr>
        <w:tabs>
          <w:tab w:pos="781" w:val="left" w:leader="none"/>
        </w:tabs>
        <w:spacing w:line="247" w:lineRule="auto" w:before="1" w:after="0"/>
        <w:ind w:left="150" w:right="38" w:firstLine="397"/>
        <w:jc w:val="both"/>
        <w:rPr>
          <w:sz w:val="15"/>
        </w:rPr>
      </w:pPr>
      <w:r>
        <w:rPr>
          <w:sz w:val="15"/>
        </w:rPr>
        <w:t>La poda de raíces, previo dictamen de la autoridad competente y el retiro del material vegetal, por cada metro cubico  el pago en especie de 2 árboles (especie sugerida en  el  momento)</w:t>
      </w:r>
      <w:r>
        <w:rPr>
          <w:spacing w:val="21"/>
          <w:sz w:val="15"/>
        </w:rPr>
        <w:t> </w:t>
      </w:r>
      <w:r>
        <w:rPr>
          <w:sz w:val="15"/>
        </w:rPr>
        <w:t>de</w:t>
      </w:r>
      <w:r>
        <w:rPr>
          <w:spacing w:val="22"/>
          <w:sz w:val="15"/>
        </w:rPr>
        <w:t> </w:t>
      </w:r>
      <w:r>
        <w:rPr>
          <w:sz w:val="15"/>
        </w:rPr>
        <w:t>2</w:t>
      </w:r>
      <w:r>
        <w:rPr>
          <w:spacing w:val="22"/>
          <w:sz w:val="15"/>
        </w:rPr>
        <w:t> </w:t>
      </w:r>
      <w:r>
        <w:rPr>
          <w:sz w:val="15"/>
        </w:rPr>
        <w:t>metros</w:t>
      </w:r>
      <w:r>
        <w:rPr>
          <w:spacing w:val="21"/>
          <w:sz w:val="15"/>
        </w:rPr>
        <w:t> </w:t>
      </w:r>
      <w:r>
        <w:rPr>
          <w:sz w:val="15"/>
        </w:rPr>
        <w:t>de</w:t>
      </w:r>
      <w:r>
        <w:rPr>
          <w:spacing w:val="22"/>
          <w:sz w:val="15"/>
        </w:rPr>
        <w:t> </w:t>
      </w:r>
      <w:r>
        <w:rPr>
          <w:sz w:val="15"/>
        </w:rPr>
        <w:t>altura</w:t>
      </w:r>
      <w:r>
        <w:rPr>
          <w:spacing w:val="22"/>
          <w:sz w:val="15"/>
        </w:rPr>
        <w:t> </w:t>
      </w:r>
      <w:r>
        <w:rPr>
          <w:sz w:val="15"/>
        </w:rPr>
        <w:t>mínima</w:t>
      </w:r>
      <w:r>
        <w:rPr>
          <w:spacing w:val="22"/>
          <w:sz w:val="15"/>
        </w:rPr>
        <w:t> </w:t>
      </w:r>
      <w:r>
        <w:rPr>
          <w:sz w:val="15"/>
        </w:rPr>
        <w:t>y</w:t>
      </w:r>
      <w:r>
        <w:rPr>
          <w:spacing w:val="22"/>
          <w:sz w:val="15"/>
        </w:rPr>
        <w:t> </w:t>
      </w:r>
      <w:r>
        <w:rPr>
          <w:sz w:val="15"/>
        </w:rPr>
        <w:t>el</w:t>
      </w:r>
      <w:r>
        <w:rPr>
          <w:spacing w:val="22"/>
          <w:sz w:val="15"/>
        </w:rPr>
        <w:t> </w:t>
      </w:r>
      <w:r>
        <w:rPr>
          <w:sz w:val="15"/>
        </w:rPr>
        <w:t>pago</w:t>
      </w:r>
      <w:r>
        <w:rPr>
          <w:spacing w:val="22"/>
          <w:sz w:val="15"/>
        </w:rPr>
        <w:t> </w:t>
      </w:r>
      <w:r>
        <w:rPr>
          <w:sz w:val="15"/>
        </w:rPr>
        <w:t>dela</w:t>
      </w:r>
      <w:r>
        <w:rPr>
          <w:spacing w:val="21"/>
          <w:sz w:val="15"/>
        </w:rPr>
        <w:t> </w:t>
      </w:r>
      <w:r>
        <w:rPr>
          <w:sz w:val="15"/>
        </w:rPr>
        <w:t>cantidad</w:t>
      </w:r>
    </w:p>
    <w:p>
      <w:pPr>
        <w:pStyle w:val="BodyText"/>
        <w:spacing w:before="3"/>
        <w:ind w:left="150"/>
      </w:pPr>
      <w:r>
        <w:rPr/>
        <w:br w:type="column"/>
      </w:r>
      <w:r>
        <w:rPr/>
        <w:t>$4,405.00</w:t>
      </w:r>
    </w:p>
    <w:p>
      <w:pPr>
        <w:pStyle w:val="BodyText"/>
        <w:tabs>
          <w:tab w:pos="4446" w:val="left" w:leader="none"/>
        </w:tabs>
        <w:spacing w:before="22"/>
        <w:ind w:left="150"/>
      </w:pPr>
      <w:r>
        <w:rPr/>
        <w:br w:type="column"/>
      </w:r>
      <w:r>
        <w:rPr/>
        <w:t>a) De 0</w:t>
      </w:r>
      <w:r>
        <w:rPr>
          <w:spacing w:val="11"/>
        </w:rPr>
        <w:t> </w:t>
      </w:r>
      <w:r>
        <w:rPr/>
        <w:t>a</w:t>
      </w:r>
      <w:r>
        <w:rPr>
          <w:spacing w:val="4"/>
        </w:rPr>
        <w:t> </w:t>
      </w:r>
      <w:r>
        <w:rPr/>
        <w:t>50:</w:t>
        <w:tab/>
        <w:t>$</w:t>
      </w:r>
      <w:r>
        <w:rPr>
          <w:spacing w:val="18"/>
        </w:rPr>
        <w:t> </w:t>
      </w:r>
      <w:r>
        <w:rPr/>
        <w:t>7,371.00</w:t>
      </w:r>
    </w:p>
    <w:p>
      <w:pPr>
        <w:pStyle w:val="BodyText"/>
        <w:spacing w:before="10"/>
        <w:rPr>
          <w:sz w:val="23"/>
        </w:rPr>
      </w:pPr>
    </w:p>
    <w:p>
      <w:pPr>
        <w:pStyle w:val="BodyText"/>
        <w:tabs>
          <w:tab w:pos="4403" w:val="left" w:leader="none"/>
        </w:tabs>
        <w:ind w:left="150"/>
      </w:pPr>
      <w:r>
        <w:rPr/>
        <w:t>b) De 51</w:t>
      </w:r>
      <w:r>
        <w:rPr>
          <w:spacing w:val="13"/>
        </w:rPr>
        <w:t> </w:t>
      </w:r>
      <w:r>
        <w:rPr/>
        <w:t>a</w:t>
      </w:r>
      <w:r>
        <w:rPr>
          <w:spacing w:val="5"/>
        </w:rPr>
        <w:t> </w:t>
      </w:r>
      <w:r>
        <w:rPr/>
        <w:t>100:</w:t>
        <w:tab/>
        <w:t>$10,519.00</w:t>
      </w:r>
    </w:p>
    <w:p>
      <w:pPr>
        <w:pStyle w:val="BodyText"/>
        <w:rPr>
          <w:sz w:val="16"/>
        </w:rPr>
      </w:pPr>
    </w:p>
    <w:p>
      <w:pPr>
        <w:pStyle w:val="BodyText"/>
        <w:tabs>
          <w:tab w:pos="4403" w:val="left" w:leader="none"/>
        </w:tabs>
        <w:spacing w:line="140" w:lineRule="exact" w:before="101"/>
        <w:ind w:left="150"/>
      </w:pPr>
      <w:r>
        <w:rPr/>
        <w:t>c) De 101</w:t>
      </w:r>
      <w:r>
        <w:rPr>
          <w:spacing w:val="14"/>
        </w:rPr>
        <w:t> </w:t>
      </w:r>
      <w:r>
        <w:rPr/>
        <w:t>a</w:t>
      </w:r>
      <w:r>
        <w:rPr>
          <w:spacing w:val="5"/>
        </w:rPr>
        <w:t> </w:t>
      </w:r>
      <w:r>
        <w:rPr/>
        <w:t>300:</w:t>
        <w:tab/>
        <w:t>$12,395.00</w:t>
      </w:r>
    </w:p>
    <w:p>
      <w:pPr>
        <w:spacing w:after="0" w:line="140" w:lineRule="exact"/>
        <w:sectPr>
          <w:type w:val="continuous"/>
          <w:pgSz w:w="23250" w:h="15310" w:orient="landscape"/>
          <w:pgMar w:top="0" w:bottom="0" w:left="1880" w:right="1520"/>
          <w:cols w:num="3" w:equalWidth="0">
            <w:col w:w="4701" w:space="52"/>
            <w:col w:w="876" w:space="6389"/>
            <w:col w:w="7832"/>
          </w:cols>
        </w:sectPr>
      </w:pPr>
    </w:p>
    <w:p>
      <w:pPr>
        <w:pStyle w:val="BodyText"/>
        <w:tabs>
          <w:tab w:pos="5032" w:val="left" w:leader="none"/>
        </w:tabs>
        <w:spacing w:line="170" w:lineRule="exact"/>
        <w:ind w:left="150"/>
        <w:jc w:val="both"/>
      </w:pPr>
      <w:r>
        <w:rPr/>
        <w:t>de:</w:t>
        <w:tab/>
        <w:t>$422.00</w:t>
      </w:r>
    </w:p>
    <w:p>
      <w:pPr>
        <w:pStyle w:val="BodyText"/>
        <w:spacing w:before="9"/>
      </w:pPr>
    </w:p>
    <w:p>
      <w:pPr>
        <w:pStyle w:val="ListParagraph"/>
        <w:numPr>
          <w:ilvl w:val="0"/>
          <w:numId w:val="161"/>
        </w:numPr>
        <w:tabs>
          <w:tab w:pos="737" w:val="left" w:leader="none"/>
        </w:tabs>
        <w:spacing w:line="247" w:lineRule="auto" w:before="0" w:after="0"/>
        <w:ind w:left="150" w:right="3092" w:firstLine="397"/>
        <w:jc w:val="both"/>
        <w:rPr>
          <w:sz w:val="15"/>
        </w:rPr>
      </w:pPr>
      <w:r>
        <w:rPr>
          <w:sz w:val="15"/>
        </w:rPr>
        <w:t>Por la poda de raíces de más de 2.5 dos centímetros de diámetro y el retiro del material vegetal, se solicitará como compensación ambiental 2 dos árboles de la especie sugerida en el</w:t>
      </w:r>
      <w:r>
        <w:rPr>
          <w:spacing w:val="7"/>
          <w:sz w:val="15"/>
        </w:rPr>
        <w:t> </w:t>
      </w:r>
      <w:r>
        <w:rPr>
          <w:sz w:val="15"/>
        </w:rPr>
        <w:t>momento,</w:t>
      </w:r>
      <w:r>
        <w:rPr>
          <w:spacing w:val="7"/>
          <w:sz w:val="15"/>
        </w:rPr>
        <w:t> </w:t>
      </w:r>
      <w:r>
        <w:rPr>
          <w:sz w:val="15"/>
        </w:rPr>
        <w:t>con</w:t>
      </w:r>
      <w:r>
        <w:rPr>
          <w:spacing w:val="8"/>
          <w:sz w:val="15"/>
        </w:rPr>
        <w:t> </w:t>
      </w:r>
      <w:r>
        <w:rPr>
          <w:sz w:val="15"/>
        </w:rPr>
        <w:t>una</w:t>
      </w:r>
      <w:r>
        <w:rPr>
          <w:spacing w:val="7"/>
          <w:sz w:val="15"/>
        </w:rPr>
        <w:t> </w:t>
      </w:r>
      <w:r>
        <w:rPr>
          <w:sz w:val="15"/>
        </w:rPr>
        <w:t>altura</w:t>
      </w:r>
      <w:r>
        <w:rPr>
          <w:spacing w:val="8"/>
          <w:sz w:val="15"/>
        </w:rPr>
        <w:t> </w:t>
      </w:r>
      <w:r>
        <w:rPr>
          <w:sz w:val="15"/>
        </w:rPr>
        <w:t>mínima</w:t>
      </w:r>
      <w:r>
        <w:rPr>
          <w:spacing w:val="7"/>
          <w:sz w:val="15"/>
        </w:rPr>
        <w:t> </w:t>
      </w:r>
      <w:r>
        <w:rPr>
          <w:sz w:val="15"/>
        </w:rPr>
        <w:t>de</w:t>
      </w:r>
      <w:r>
        <w:rPr>
          <w:spacing w:val="8"/>
          <w:sz w:val="15"/>
        </w:rPr>
        <w:t> </w:t>
      </w:r>
      <w:r>
        <w:rPr>
          <w:sz w:val="15"/>
        </w:rPr>
        <w:t>2</w:t>
      </w:r>
      <w:r>
        <w:rPr>
          <w:spacing w:val="7"/>
          <w:sz w:val="15"/>
        </w:rPr>
        <w:t> </w:t>
      </w:r>
      <w:r>
        <w:rPr>
          <w:sz w:val="15"/>
        </w:rPr>
        <w:t>dos</w:t>
      </w:r>
      <w:r>
        <w:rPr>
          <w:spacing w:val="8"/>
          <w:sz w:val="15"/>
        </w:rPr>
        <w:t> </w:t>
      </w:r>
      <w:r>
        <w:rPr>
          <w:sz w:val="15"/>
        </w:rPr>
        <w:t>metros</w:t>
      </w:r>
      <w:r>
        <w:rPr>
          <w:spacing w:val="7"/>
          <w:sz w:val="15"/>
        </w:rPr>
        <w:t> </w:t>
      </w:r>
      <w:r>
        <w:rPr>
          <w:sz w:val="15"/>
        </w:rPr>
        <w:t>y</w:t>
      </w:r>
      <w:r>
        <w:rPr>
          <w:spacing w:val="8"/>
          <w:sz w:val="15"/>
        </w:rPr>
        <w:t> </w:t>
      </w:r>
      <w:r>
        <w:rPr>
          <w:sz w:val="15"/>
        </w:rPr>
        <w:t>el</w:t>
      </w:r>
      <w:r>
        <w:rPr>
          <w:spacing w:val="7"/>
          <w:sz w:val="15"/>
        </w:rPr>
        <w:t> </w:t>
      </w:r>
      <w:r>
        <w:rPr>
          <w:sz w:val="15"/>
        </w:rPr>
        <w:t>pago</w:t>
      </w:r>
      <w:r>
        <w:rPr>
          <w:spacing w:val="8"/>
          <w:sz w:val="15"/>
        </w:rPr>
        <w:t> </w:t>
      </w:r>
      <w:r>
        <w:rPr>
          <w:sz w:val="15"/>
        </w:rPr>
        <w:t>por</w:t>
      </w:r>
    </w:p>
    <w:p>
      <w:pPr>
        <w:pStyle w:val="BodyText"/>
        <w:tabs>
          <w:tab w:pos="5032" w:val="left" w:leader="none"/>
        </w:tabs>
        <w:spacing w:line="170" w:lineRule="exact"/>
        <w:ind w:left="150"/>
        <w:jc w:val="both"/>
      </w:pPr>
      <w:r>
        <w:rPr/>
        <w:t>la</w:t>
      </w:r>
      <w:r>
        <w:rPr>
          <w:spacing w:val="6"/>
        </w:rPr>
        <w:t> </w:t>
      </w:r>
      <w:r>
        <w:rPr/>
        <w:t>cantidad</w:t>
      </w:r>
      <w:r>
        <w:rPr>
          <w:spacing w:val="5"/>
        </w:rPr>
        <w:t> </w:t>
      </w:r>
      <w:r>
        <w:rPr/>
        <w:t>de:</w:t>
        <w:tab/>
        <w:t>$422.00</w:t>
      </w:r>
    </w:p>
    <w:p>
      <w:pPr>
        <w:pStyle w:val="BodyText"/>
        <w:rPr>
          <w:sz w:val="16"/>
        </w:rPr>
      </w:pPr>
    </w:p>
    <w:p>
      <w:pPr>
        <w:pStyle w:val="BodyText"/>
        <w:spacing w:before="2"/>
      </w:pPr>
    </w:p>
    <w:p>
      <w:pPr>
        <w:pStyle w:val="BodyText"/>
        <w:ind w:left="548"/>
      </w:pPr>
      <w:r>
        <w:rPr/>
        <w:t>IV. Permiso para podar, talar o cortar las raíces de los árboles:</w:t>
      </w:r>
    </w:p>
    <w:p>
      <w:pPr>
        <w:pStyle w:val="BodyText"/>
        <w:spacing w:before="9"/>
      </w:pPr>
    </w:p>
    <w:p>
      <w:pPr>
        <w:pStyle w:val="BodyText"/>
        <w:spacing w:line="247" w:lineRule="auto" w:before="1"/>
        <w:ind w:left="150" w:right="38" w:firstLine="397"/>
        <w:jc w:val="both"/>
      </w:pPr>
      <w:r>
        <w:rPr/>
        <w:t>a) Permiso a particulares para la poda, o derribo de árboles, corte de raíces, trasplante de árboles en zonas urbanas; retiro y limpieza del área del material vegetativo, previo dictamen de factibilidad forestal de la Dirección General de Protección y Sustentabilidad Ambiental, de conformidad con el reglamento  correspondiente:</w:t>
      </w:r>
    </w:p>
    <w:p>
      <w:pPr>
        <w:pStyle w:val="BodyText"/>
        <w:spacing w:before="2"/>
      </w:pPr>
    </w:p>
    <w:p>
      <w:pPr>
        <w:pStyle w:val="BodyText"/>
        <w:ind w:left="189"/>
        <w:jc w:val="both"/>
      </w:pPr>
      <w:r>
        <w:rPr/>
        <w:t>1.- Permiso para poda de árboles en propiedad</w:t>
      </w:r>
    </w:p>
    <w:p>
      <w:pPr>
        <w:pStyle w:val="BodyText"/>
        <w:rPr>
          <w:sz w:val="16"/>
        </w:rPr>
      </w:pPr>
      <w:r>
        <w:rPr/>
        <w:br w:type="column"/>
      </w:r>
      <w:r>
        <w:rPr>
          <w:sz w:val="16"/>
        </w:rPr>
      </w:r>
    </w:p>
    <w:p>
      <w:pPr>
        <w:pStyle w:val="BodyText"/>
        <w:tabs>
          <w:tab w:pos="4800" w:val="left" w:leader="none"/>
        </w:tabs>
        <w:spacing w:before="121"/>
        <w:ind w:left="547"/>
      </w:pPr>
      <w:r>
        <w:rPr/>
        <w:t>d) De 301</w:t>
      </w:r>
      <w:r>
        <w:rPr>
          <w:spacing w:val="19"/>
        </w:rPr>
        <w:t> </w:t>
      </w:r>
      <w:r>
        <w:rPr/>
        <w:t>en</w:t>
      </w:r>
      <w:r>
        <w:rPr>
          <w:spacing w:val="7"/>
        </w:rPr>
        <w:t> </w:t>
      </w:r>
      <w:r>
        <w:rPr/>
        <w:t>adelante:</w:t>
        <w:tab/>
        <w:t>$16,550.00</w:t>
      </w:r>
    </w:p>
    <w:p>
      <w:pPr>
        <w:pStyle w:val="BodyText"/>
        <w:spacing w:before="4"/>
        <w:rPr>
          <w:sz w:val="20"/>
        </w:rPr>
      </w:pPr>
    </w:p>
    <w:p>
      <w:pPr>
        <w:pStyle w:val="ListParagraph"/>
        <w:numPr>
          <w:ilvl w:val="0"/>
          <w:numId w:val="162"/>
        </w:numPr>
        <w:tabs>
          <w:tab w:pos="819" w:val="left" w:leader="none"/>
        </w:tabs>
        <w:spacing w:line="247" w:lineRule="auto" w:before="0" w:after="0"/>
        <w:ind w:left="150" w:right="508" w:firstLine="397"/>
        <w:jc w:val="both"/>
        <w:rPr>
          <w:sz w:val="15"/>
        </w:rPr>
      </w:pPr>
      <w:r>
        <w:rPr>
          <w:sz w:val="15"/>
        </w:rPr>
        <w:t>Por la relocalización de postes, registros, transformadores, o cualquier elemento de alumbrado  público, a solicitud de parte, la cantidad que determine la Dirección de Alumbrado Público, con base en los estudios técnicos realizados para tal</w:t>
      </w:r>
      <w:r>
        <w:rPr>
          <w:spacing w:val="7"/>
          <w:sz w:val="15"/>
        </w:rPr>
        <w:t> </w:t>
      </w:r>
      <w:r>
        <w:rPr>
          <w:sz w:val="15"/>
        </w:rPr>
        <w:t>efecto.</w:t>
      </w:r>
    </w:p>
    <w:p>
      <w:pPr>
        <w:pStyle w:val="BodyText"/>
        <w:spacing w:before="2"/>
      </w:pPr>
    </w:p>
    <w:p>
      <w:pPr>
        <w:pStyle w:val="ListParagraph"/>
        <w:numPr>
          <w:ilvl w:val="0"/>
          <w:numId w:val="162"/>
        </w:numPr>
        <w:tabs>
          <w:tab w:pos="825" w:val="left" w:leader="none"/>
        </w:tabs>
        <w:spacing w:line="240" w:lineRule="auto" w:before="0" w:after="0"/>
        <w:ind w:left="824" w:right="0" w:hanging="278"/>
        <w:jc w:val="left"/>
        <w:rPr>
          <w:sz w:val="15"/>
        </w:rPr>
      </w:pPr>
      <w:r>
        <w:rPr>
          <w:sz w:val="15"/>
        </w:rPr>
        <w:t>Servicio de balizamiento para estacionamiento</w:t>
      </w:r>
      <w:r>
        <w:rPr>
          <w:spacing w:val="24"/>
          <w:sz w:val="15"/>
        </w:rPr>
        <w:t> </w:t>
      </w:r>
      <w:r>
        <w:rPr>
          <w:sz w:val="15"/>
        </w:rPr>
        <w:t>exclusivo</w:t>
      </w:r>
    </w:p>
    <w:p>
      <w:pPr>
        <w:pStyle w:val="BodyText"/>
        <w:tabs>
          <w:tab w:pos="4932" w:val="left" w:leader="none"/>
        </w:tabs>
        <w:spacing w:before="5"/>
        <w:ind w:left="170"/>
      </w:pPr>
      <w:r>
        <w:rPr/>
        <w:t>en la vía pública por cada </w:t>
      </w:r>
      <w:r>
        <w:rPr>
          <w:spacing w:val="1"/>
        </w:rPr>
        <w:t> </w:t>
      </w:r>
      <w:r>
        <w:rPr/>
        <w:t>metro</w:t>
      </w:r>
      <w:r>
        <w:rPr>
          <w:spacing w:val="8"/>
        </w:rPr>
        <w:t> </w:t>
      </w:r>
      <w:r>
        <w:rPr/>
        <w:t>lineal:</w:t>
        <w:tab/>
        <w:t>$150.00</w:t>
      </w:r>
    </w:p>
    <w:p>
      <w:pPr>
        <w:pStyle w:val="BodyText"/>
        <w:spacing w:before="9"/>
      </w:pPr>
    </w:p>
    <w:p>
      <w:pPr>
        <w:pStyle w:val="ListParagraph"/>
        <w:numPr>
          <w:ilvl w:val="0"/>
          <w:numId w:val="162"/>
        </w:numPr>
        <w:tabs>
          <w:tab w:pos="866" w:val="left" w:leader="none"/>
        </w:tabs>
        <w:spacing w:line="247" w:lineRule="auto" w:before="1" w:after="0"/>
        <w:ind w:left="150" w:right="512" w:firstLine="397"/>
        <w:jc w:val="both"/>
        <w:rPr>
          <w:sz w:val="15"/>
        </w:rPr>
      </w:pPr>
      <w:r>
        <w:rPr>
          <w:sz w:val="15"/>
        </w:rPr>
        <w:t>Por el servicio de grúa o similares, por el traslado de vehículos abandonados, chocados o detenidos por</w:t>
      </w:r>
      <w:r>
        <w:rPr>
          <w:spacing w:val="4"/>
          <w:sz w:val="15"/>
        </w:rPr>
        <w:t> </w:t>
      </w:r>
      <w:r>
        <w:rPr>
          <w:sz w:val="15"/>
        </w:rPr>
        <w:t>orden</w:t>
      </w:r>
      <w:r>
        <w:rPr>
          <w:spacing w:val="4"/>
          <w:sz w:val="15"/>
        </w:rPr>
        <w:t> </w:t>
      </w:r>
      <w:r>
        <w:rPr>
          <w:sz w:val="15"/>
        </w:rPr>
        <w:t>judicial</w:t>
      </w:r>
      <w:r>
        <w:rPr>
          <w:spacing w:val="5"/>
          <w:sz w:val="15"/>
        </w:rPr>
        <w:t> </w:t>
      </w:r>
      <w:r>
        <w:rPr>
          <w:sz w:val="15"/>
        </w:rPr>
        <w:t>o</w:t>
      </w:r>
      <w:r>
        <w:rPr>
          <w:spacing w:val="4"/>
          <w:sz w:val="15"/>
        </w:rPr>
        <w:t> </w:t>
      </w:r>
      <w:r>
        <w:rPr>
          <w:sz w:val="15"/>
        </w:rPr>
        <w:t>que</w:t>
      </w:r>
      <w:r>
        <w:rPr>
          <w:spacing w:val="4"/>
          <w:sz w:val="15"/>
        </w:rPr>
        <w:t> </w:t>
      </w:r>
      <w:r>
        <w:rPr>
          <w:sz w:val="15"/>
        </w:rPr>
        <w:t>violen</w:t>
      </w:r>
      <w:r>
        <w:rPr>
          <w:spacing w:val="4"/>
          <w:sz w:val="15"/>
        </w:rPr>
        <w:t> </w:t>
      </w:r>
      <w:r>
        <w:rPr>
          <w:sz w:val="15"/>
        </w:rPr>
        <w:t>las</w:t>
      </w:r>
      <w:r>
        <w:rPr>
          <w:spacing w:val="5"/>
          <w:sz w:val="15"/>
        </w:rPr>
        <w:t> </w:t>
      </w:r>
      <w:r>
        <w:rPr>
          <w:sz w:val="15"/>
        </w:rPr>
        <w:t>disposiciones</w:t>
      </w:r>
      <w:r>
        <w:rPr>
          <w:spacing w:val="3"/>
          <w:sz w:val="15"/>
        </w:rPr>
        <w:t> </w:t>
      </w:r>
      <w:r>
        <w:rPr>
          <w:sz w:val="15"/>
        </w:rPr>
        <w:t>vigentes</w:t>
      </w:r>
      <w:r>
        <w:rPr>
          <w:spacing w:val="4"/>
          <w:sz w:val="15"/>
        </w:rPr>
        <w:t> </w:t>
      </w:r>
      <w:r>
        <w:rPr>
          <w:sz w:val="15"/>
        </w:rPr>
        <w:t>en</w:t>
      </w:r>
      <w:r>
        <w:rPr>
          <w:spacing w:val="5"/>
          <w:sz w:val="15"/>
        </w:rPr>
        <w:t> </w:t>
      </w:r>
      <w:r>
        <w:rPr>
          <w:sz w:val="15"/>
        </w:rPr>
        <w:t>materia</w:t>
      </w:r>
      <w:r>
        <w:rPr>
          <w:spacing w:val="4"/>
          <w:sz w:val="15"/>
        </w:rPr>
        <w:t> </w:t>
      </w:r>
      <w:r>
        <w:rPr>
          <w:sz w:val="15"/>
        </w:rPr>
        <w:t>de</w:t>
      </w:r>
      <w:r>
        <w:rPr>
          <w:spacing w:val="5"/>
          <w:sz w:val="15"/>
        </w:rPr>
        <w:t> </w:t>
      </w:r>
      <w:r>
        <w:rPr>
          <w:sz w:val="15"/>
        </w:rPr>
        <w:t>movilidad</w:t>
      </w:r>
      <w:r>
        <w:rPr>
          <w:spacing w:val="4"/>
          <w:sz w:val="15"/>
        </w:rPr>
        <w:t> </w:t>
      </w:r>
      <w:r>
        <w:rPr>
          <w:sz w:val="15"/>
        </w:rPr>
        <w:t>y</w:t>
      </w:r>
      <w:r>
        <w:rPr>
          <w:spacing w:val="5"/>
          <w:sz w:val="15"/>
        </w:rPr>
        <w:t> </w:t>
      </w:r>
      <w:r>
        <w:rPr>
          <w:sz w:val="15"/>
        </w:rPr>
        <w:t>tránsito</w:t>
      </w:r>
      <w:r>
        <w:rPr>
          <w:spacing w:val="4"/>
          <w:sz w:val="15"/>
        </w:rPr>
        <w:t> </w:t>
      </w:r>
      <w:r>
        <w:rPr>
          <w:sz w:val="15"/>
        </w:rPr>
        <w:t>de:</w:t>
      </w:r>
    </w:p>
    <w:p>
      <w:pPr>
        <w:pStyle w:val="BodyText"/>
        <w:spacing w:before="3"/>
        <w:rPr>
          <w:sz w:val="16"/>
        </w:rPr>
      </w:pPr>
    </w:p>
    <w:p>
      <w:pPr>
        <w:pStyle w:val="BodyText"/>
        <w:tabs>
          <w:tab w:pos="4852" w:val="left" w:leader="none"/>
        </w:tabs>
        <w:ind w:left="189"/>
      </w:pPr>
      <w:r>
        <w:rPr/>
        <w:t>1.- Autobuses, camiones, remolques </w:t>
      </w:r>
      <w:r>
        <w:rPr>
          <w:spacing w:val="3"/>
        </w:rPr>
        <w:t> </w:t>
      </w:r>
      <w:r>
        <w:rPr/>
        <w:t>o</w:t>
      </w:r>
      <w:r>
        <w:rPr>
          <w:spacing w:val="12"/>
        </w:rPr>
        <w:t> </w:t>
      </w:r>
      <w:r>
        <w:rPr/>
        <w:t>tractores</w:t>
        <w:tab/>
        <w:t>$1,960.00</w:t>
      </w:r>
    </w:p>
    <w:p>
      <w:pPr>
        <w:pStyle w:val="BodyText"/>
        <w:tabs>
          <w:tab w:pos="4981" w:val="left" w:leader="none"/>
        </w:tabs>
        <w:spacing w:before="26"/>
        <w:ind w:left="189"/>
      </w:pPr>
      <w:r>
        <w:rPr/>
        <w:t>2.- Automóviles</w:t>
      </w:r>
      <w:r>
        <w:rPr>
          <w:spacing w:val="20"/>
        </w:rPr>
        <w:t> </w:t>
      </w:r>
      <w:r>
        <w:rPr/>
        <w:t>y</w:t>
      </w:r>
      <w:r>
        <w:rPr>
          <w:spacing w:val="10"/>
        </w:rPr>
        <w:t> </w:t>
      </w:r>
      <w:r>
        <w:rPr/>
        <w:t>camionetas:</w:t>
        <w:tab/>
        <w:t>$660.00</w:t>
      </w:r>
    </w:p>
    <w:p>
      <w:pPr>
        <w:pStyle w:val="BodyText"/>
        <w:tabs>
          <w:tab w:pos="4981" w:val="left" w:leader="none"/>
        </w:tabs>
        <w:spacing w:line="116" w:lineRule="exact" w:before="28"/>
        <w:ind w:left="189"/>
      </w:pPr>
      <w:r>
        <w:rPr/>
        <w:t>3.-</w:t>
      </w:r>
      <w:r>
        <w:rPr>
          <w:spacing w:val="9"/>
        </w:rPr>
        <w:t> </w:t>
      </w:r>
      <w:r>
        <w:rPr/>
        <w:t>Motocicletas</w:t>
        <w:tab/>
        <w:t>$400.00</w:t>
      </w:r>
    </w:p>
    <w:p>
      <w:pPr>
        <w:spacing w:after="0" w:line="116" w:lineRule="exact"/>
        <w:sectPr>
          <w:type w:val="continuous"/>
          <w:pgSz w:w="23250" w:h="15310" w:orient="landscape"/>
          <w:pgMar w:top="0" w:bottom="0" w:left="1880" w:right="1520"/>
          <w:cols w:num="2" w:equalWidth="0">
            <w:col w:w="7752" w:space="3870"/>
            <w:col w:w="8228"/>
          </w:cols>
        </w:sectPr>
      </w:pPr>
    </w:p>
    <w:p>
      <w:pPr>
        <w:pStyle w:val="BodyText"/>
        <w:spacing w:line="247" w:lineRule="auto"/>
        <w:ind w:left="189" w:right="39"/>
        <w:jc w:val="both"/>
      </w:pPr>
      <w:r>
        <w:rPr/>
        <w:t>particular, previo dictamen técnico forestal, por cada uno:</w:t>
      </w:r>
    </w:p>
    <w:p>
      <w:pPr>
        <w:pStyle w:val="BodyText"/>
        <w:spacing w:line="244" w:lineRule="auto"/>
        <w:ind w:left="189" w:right="39"/>
        <w:jc w:val="both"/>
      </w:pPr>
      <w:r>
        <w:rPr/>
        <w:t>2.- Permiso para tala de árboles en propiedad particular, previo dictamen técnico forestal, por cada uno:</w:t>
      </w:r>
    </w:p>
    <w:p>
      <w:pPr>
        <w:pStyle w:val="BodyText"/>
        <w:spacing w:line="244" w:lineRule="auto" w:before="51"/>
        <w:ind w:left="189" w:right="38"/>
        <w:jc w:val="both"/>
      </w:pPr>
      <w:r>
        <w:rPr/>
        <w:t>3.- Permiso para limpieza de maleza en propiedad particular, previo dictamen, por hectárea:</w:t>
      </w:r>
    </w:p>
    <w:p>
      <w:pPr>
        <w:pStyle w:val="BodyText"/>
        <w:spacing w:line="244" w:lineRule="auto" w:before="52"/>
        <w:ind w:left="189" w:right="38"/>
        <w:jc w:val="both"/>
      </w:pPr>
      <w:r>
        <w:rPr/>
        <w:t>4.- Permiso para corte de raíces de árboles en propiedad particular, previo dictamen  </w:t>
      </w:r>
      <w:r>
        <w:rPr>
          <w:spacing w:val="-3"/>
        </w:rPr>
        <w:t>técnico  </w:t>
      </w:r>
      <w:r>
        <w:rPr/>
        <w:t>forestal, por cada</w:t>
      </w:r>
      <w:r>
        <w:rPr>
          <w:spacing w:val="3"/>
        </w:rPr>
        <w:t> </w:t>
      </w:r>
      <w:r>
        <w:rPr/>
        <w:t>uno:</w:t>
      </w:r>
    </w:p>
    <w:p>
      <w:pPr>
        <w:pStyle w:val="BodyText"/>
        <w:spacing w:line="171" w:lineRule="exact"/>
        <w:ind w:left="189"/>
      </w:pPr>
      <w:r>
        <w:rPr/>
        <w:br w:type="column"/>
      </w:r>
      <w:r>
        <w:rPr/>
        <w:t>$150.00</w:t>
      </w:r>
    </w:p>
    <w:p>
      <w:pPr>
        <w:pStyle w:val="BodyText"/>
        <w:rPr>
          <w:sz w:val="16"/>
        </w:rPr>
      </w:pPr>
    </w:p>
    <w:p>
      <w:pPr>
        <w:pStyle w:val="BodyText"/>
        <w:spacing w:before="1"/>
      </w:pPr>
    </w:p>
    <w:p>
      <w:pPr>
        <w:pStyle w:val="BodyText"/>
        <w:spacing w:before="1"/>
        <w:ind w:left="189"/>
      </w:pPr>
      <w:r>
        <w:rPr/>
        <w:t>$300.00</w:t>
      </w:r>
    </w:p>
    <w:p>
      <w:pPr>
        <w:pStyle w:val="BodyText"/>
        <w:rPr>
          <w:sz w:val="16"/>
        </w:rPr>
      </w:pPr>
    </w:p>
    <w:p>
      <w:pPr>
        <w:pStyle w:val="BodyText"/>
        <w:spacing w:before="136"/>
        <w:ind w:left="189"/>
      </w:pPr>
      <w:r>
        <w:rPr/>
        <w:t>$150.00</w:t>
      </w:r>
    </w:p>
    <w:p>
      <w:pPr>
        <w:pStyle w:val="BodyText"/>
        <w:rPr>
          <w:sz w:val="16"/>
        </w:rPr>
      </w:pPr>
    </w:p>
    <w:p>
      <w:pPr>
        <w:pStyle w:val="BodyText"/>
        <w:spacing w:before="137"/>
        <w:ind w:left="189"/>
      </w:pPr>
      <w:r>
        <w:rPr/>
        <w:t>$150.00</w:t>
      </w:r>
    </w:p>
    <w:p>
      <w:pPr>
        <w:pStyle w:val="BodyText"/>
        <w:tabs>
          <w:tab w:pos="5019" w:val="left" w:leader="none"/>
        </w:tabs>
        <w:spacing w:before="82"/>
        <w:ind w:left="228"/>
      </w:pPr>
      <w:r>
        <w:rPr/>
        <w:br w:type="column"/>
      </w:r>
      <w:r>
        <w:rPr/>
        <w:t>4.-</w:t>
      </w:r>
      <w:r>
        <w:rPr>
          <w:spacing w:val="7"/>
        </w:rPr>
        <w:t> </w:t>
      </w:r>
      <w:r>
        <w:rPr/>
        <w:t>Bicicletas</w:t>
        <w:tab/>
        <w:t>$150.00</w:t>
      </w:r>
    </w:p>
    <w:p>
      <w:pPr>
        <w:pStyle w:val="BodyText"/>
        <w:spacing w:before="9"/>
        <w:rPr>
          <w:sz w:val="16"/>
        </w:rPr>
      </w:pPr>
    </w:p>
    <w:p>
      <w:pPr>
        <w:pStyle w:val="ListParagraph"/>
        <w:numPr>
          <w:ilvl w:val="0"/>
          <w:numId w:val="162"/>
        </w:numPr>
        <w:tabs>
          <w:tab w:pos="820" w:val="left" w:leader="none"/>
        </w:tabs>
        <w:spacing w:line="247" w:lineRule="auto" w:before="0" w:after="0"/>
        <w:ind w:left="189" w:right="509" w:firstLine="397"/>
        <w:jc w:val="both"/>
        <w:rPr>
          <w:sz w:val="15"/>
        </w:rPr>
      </w:pPr>
      <w:r>
        <w:rPr>
          <w:sz w:val="15"/>
        </w:rPr>
        <w:t>Por la revisión por parte de personal técnico de la Dirección General de Agua Potable y Saneamiento del IMHAB de los proyectos de acciones urbanísticas privadas, desarrolladas o a desarrollar de  la  infraestructura de Agua  Potable que se pretende establecer en éstas, las cantidades, según sea el caso, de  lotes o viviendas por</w:t>
      </w:r>
      <w:r>
        <w:rPr>
          <w:spacing w:val="5"/>
          <w:sz w:val="15"/>
        </w:rPr>
        <w:t> </w:t>
      </w:r>
      <w:r>
        <w:rPr>
          <w:sz w:val="15"/>
        </w:rPr>
        <w:t>etapa:</w:t>
      </w:r>
    </w:p>
    <w:p>
      <w:pPr>
        <w:pStyle w:val="BodyText"/>
        <w:tabs>
          <w:tab w:pos="4800" w:val="left" w:leader="none"/>
        </w:tabs>
        <w:spacing w:before="18"/>
        <w:ind w:left="586"/>
        <w:jc w:val="both"/>
      </w:pPr>
      <w:r>
        <w:rPr/>
        <w:t>a) De 0</w:t>
      </w:r>
      <w:r>
        <w:rPr>
          <w:spacing w:val="11"/>
        </w:rPr>
        <w:t> </w:t>
      </w:r>
      <w:r>
        <w:rPr/>
        <w:t>a</w:t>
      </w:r>
      <w:r>
        <w:rPr>
          <w:spacing w:val="4"/>
        </w:rPr>
        <w:t> </w:t>
      </w:r>
      <w:r>
        <w:rPr/>
        <w:t>50:</w:t>
        <w:tab/>
        <w:t>$</w:t>
      </w:r>
      <w:r>
        <w:rPr>
          <w:spacing w:val="18"/>
        </w:rPr>
        <w:t> </w:t>
      </w:r>
      <w:r>
        <w:rPr/>
        <w:t>7,371.00</w:t>
      </w:r>
    </w:p>
    <w:p>
      <w:pPr>
        <w:pStyle w:val="BodyText"/>
        <w:rPr>
          <w:sz w:val="16"/>
        </w:rPr>
      </w:pPr>
    </w:p>
    <w:p>
      <w:pPr>
        <w:pStyle w:val="BodyText"/>
        <w:tabs>
          <w:tab w:pos="4757" w:val="left" w:leader="none"/>
        </w:tabs>
        <w:spacing w:before="93"/>
        <w:ind w:left="586"/>
        <w:jc w:val="both"/>
      </w:pPr>
      <w:r>
        <w:rPr/>
        <w:t>b) De 51</w:t>
      </w:r>
      <w:r>
        <w:rPr>
          <w:spacing w:val="13"/>
        </w:rPr>
        <w:t> </w:t>
      </w:r>
      <w:r>
        <w:rPr/>
        <w:t>a</w:t>
      </w:r>
      <w:r>
        <w:rPr>
          <w:spacing w:val="5"/>
        </w:rPr>
        <w:t> </w:t>
      </w:r>
      <w:r>
        <w:rPr/>
        <w:t>100:</w:t>
        <w:tab/>
        <w:t>$10,519.00</w:t>
      </w:r>
    </w:p>
    <w:p>
      <w:pPr>
        <w:spacing w:after="0"/>
        <w:jc w:val="both"/>
        <w:sectPr>
          <w:type w:val="continuous"/>
          <w:pgSz w:w="23250" w:h="15310" w:orient="landscape"/>
          <w:pgMar w:top="0" w:bottom="0" w:left="1880" w:right="1520"/>
          <w:cols w:num="3" w:equalWidth="0">
            <w:col w:w="3825" w:space="869"/>
            <w:col w:w="787" w:space="6103"/>
            <w:col w:w="8266"/>
          </w:cols>
        </w:sectPr>
      </w:pPr>
    </w:p>
    <w:p>
      <w:pPr>
        <w:pStyle w:val="BodyText"/>
        <w:spacing w:before="8"/>
      </w:pPr>
    </w:p>
    <w:p>
      <w:pPr>
        <w:pStyle w:val="BodyText"/>
        <w:ind w:left="548"/>
      </w:pPr>
      <w:r>
        <w:rPr/>
        <w:t>En aquellos casos en que el solicitante requiera del servicio o permiso de derribo y/o poda y se</w:t>
      </w:r>
    </w:p>
    <w:p>
      <w:pPr>
        <w:spacing w:after="0"/>
        <w:sectPr>
          <w:type w:val="continuous"/>
          <w:pgSz w:w="23250" w:h="15310" w:orient="landscape"/>
          <w:pgMar w:top="0" w:bottom="0" w:left="1880" w:right="1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ind w:left="151"/>
      </w:pPr>
      <w:r>
        <w:rPr/>
        <w:pict>
          <v:shape style="position:absolute;margin-left:99.05201pt;margin-top:-105.451775pt;width:853.95pt;height:272.350pt;mso-position-horizontal-relative:page;mso-position-vertical-relative:paragraph;z-index:25170329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29"/>
                    <w:gridCol w:w="7490"/>
                    <w:gridCol w:w="3918"/>
                    <w:gridCol w:w="1141"/>
                  </w:tblGrid>
                  <w:tr>
                    <w:trPr>
                      <w:trHeight w:val="200" w:hRule="atLeast"/>
                    </w:trPr>
                    <w:tc>
                      <w:tcPr>
                        <w:tcW w:w="4529" w:type="dxa"/>
                      </w:tcPr>
                      <w:p>
                        <w:pPr>
                          <w:pStyle w:val="TableParagraph"/>
                          <w:spacing w:line="162" w:lineRule="exact" w:before="18"/>
                          <w:ind w:left="446"/>
                          <w:rPr>
                            <w:sz w:val="15"/>
                          </w:rPr>
                        </w:pPr>
                        <w:r>
                          <w:rPr>
                            <w:sz w:val="15"/>
                          </w:rPr>
                          <w:t>c) De 101 a 300:</w:t>
                        </w:r>
                      </w:p>
                    </w:tc>
                    <w:tc>
                      <w:tcPr>
                        <w:tcW w:w="7490" w:type="dxa"/>
                      </w:tcPr>
                      <w:p>
                        <w:pPr>
                          <w:pStyle w:val="TableParagraph"/>
                          <w:spacing w:line="162" w:lineRule="exact" w:before="18"/>
                          <w:ind w:right="6628"/>
                          <w:jc w:val="right"/>
                          <w:rPr>
                            <w:sz w:val="15"/>
                          </w:rPr>
                        </w:pPr>
                        <w:r>
                          <w:rPr>
                            <w:sz w:val="15"/>
                          </w:rPr>
                          <w:t>$12,396.00</w:t>
                        </w:r>
                      </w:p>
                    </w:tc>
                    <w:tc>
                      <w:tcPr>
                        <w:tcW w:w="3918" w:type="dxa"/>
                      </w:tcPr>
                      <w:p>
                        <w:pPr>
                          <w:pStyle w:val="TableParagraph"/>
                          <w:spacing w:line="171" w:lineRule="exact"/>
                          <w:ind w:left="50"/>
                          <w:rPr>
                            <w:sz w:val="15"/>
                          </w:rPr>
                        </w:pPr>
                        <w:r>
                          <w:rPr>
                            <w:sz w:val="15"/>
                          </w:rPr>
                          <w:t>h ) Aplicación de yeso corto (incluye material)</w:t>
                        </w:r>
                      </w:p>
                    </w:tc>
                    <w:tc>
                      <w:tcPr>
                        <w:tcW w:w="1141" w:type="dxa"/>
                      </w:tcPr>
                      <w:p>
                        <w:pPr>
                          <w:pStyle w:val="TableParagraph"/>
                          <w:spacing w:line="171" w:lineRule="exact"/>
                          <w:ind w:right="48"/>
                          <w:jc w:val="right"/>
                          <w:rPr>
                            <w:sz w:val="15"/>
                          </w:rPr>
                        </w:pPr>
                        <w:r>
                          <w:rPr>
                            <w:sz w:val="15"/>
                          </w:rPr>
                          <w:t>$497.00</w:t>
                        </w:r>
                      </w:p>
                    </w:tc>
                  </w:tr>
                  <w:tr>
                    <w:trPr>
                      <w:trHeight w:val="199" w:hRule="atLeast"/>
                    </w:trPr>
                    <w:tc>
                      <w:tcPr>
                        <w:tcW w:w="4529" w:type="dxa"/>
                      </w:tcPr>
                      <w:p>
                        <w:pPr>
                          <w:pStyle w:val="TableParagraph"/>
                          <w:rPr>
                            <w:rFonts w:ascii="Times New Roman"/>
                            <w:sz w:val="12"/>
                          </w:rPr>
                        </w:pPr>
                      </w:p>
                    </w:tc>
                    <w:tc>
                      <w:tcPr>
                        <w:tcW w:w="7490" w:type="dxa"/>
                      </w:tcPr>
                      <w:p>
                        <w:pPr>
                          <w:pStyle w:val="TableParagraph"/>
                          <w:rPr>
                            <w:rFonts w:ascii="Times New Roman"/>
                            <w:sz w:val="12"/>
                          </w:rPr>
                        </w:pPr>
                      </w:p>
                    </w:tc>
                    <w:tc>
                      <w:tcPr>
                        <w:tcW w:w="3918" w:type="dxa"/>
                      </w:tcPr>
                      <w:p>
                        <w:pPr>
                          <w:pStyle w:val="TableParagraph"/>
                          <w:spacing w:before="7"/>
                          <w:ind w:left="50"/>
                          <w:rPr>
                            <w:sz w:val="15"/>
                          </w:rPr>
                        </w:pPr>
                        <w:r>
                          <w:rPr>
                            <w:sz w:val="15"/>
                          </w:rPr>
                          <w:t>i) Aplicación de yeso largo (incluye material)</w:t>
                        </w:r>
                      </w:p>
                    </w:tc>
                    <w:tc>
                      <w:tcPr>
                        <w:tcW w:w="1141" w:type="dxa"/>
                      </w:tcPr>
                      <w:p>
                        <w:pPr>
                          <w:pStyle w:val="TableParagraph"/>
                          <w:spacing w:before="7"/>
                          <w:ind w:right="47"/>
                          <w:jc w:val="right"/>
                          <w:rPr>
                            <w:sz w:val="15"/>
                          </w:rPr>
                        </w:pPr>
                        <w:r>
                          <w:rPr>
                            <w:sz w:val="15"/>
                          </w:rPr>
                          <w:t>$717.00</w:t>
                        </w:r>
                      </w:p>
                    </w:tc>
                  </w:tr>
                  <w:tr>
                    <w:trPr>
                      <w:trHeight w:val="240" w:hRule="atLeast"/>
                    </w:trPr>
                    <w:tc>
                      <w:tcPr>
                        <w:tcW w:w="4529" w:type="dxa"/>
                      </w:tcPr>
                      <w:p>
                        <w:pPr>
                          <w:pStyle w:val="TableParagraph"/>
                          <w:spacing w:line="153" w:lineRule="exact" w:before="67"/>
                          <w:ind w:left="446"/>
                          <w:rPr>
                            <w:sz w:val="15"/>
                          </w:rPr>
                        </w:pPr>
                        <w:r>
                          <w:rPr>
                            <w:sz w:val="15"/>
                          </w:rPr>
                          <w:t>d) De 301 en adelante:</w:t>
                        </w:r>
                      </w:p>
                    </w:tc>
                    <w:tc>
                      <w:tcPr>
                        <w:tcW w:w="7490" w:type="dxa"/>
                      </w:tcPr>
                      <w:p>
                        <w:pPr>
                          <w:pStyle w:val="TableParagraph"/>
                          <w:spacing w:line="153" w:lineRule="exact" w:before="67"/>
                          <w:ind w:right="6628"/>
                          <w:jc w:val="right"/>
                          <w:rPr>
                            <w:sz w:val="15"/>
                          </w:rPr>
                        </w:pPr>
                        <w:r>
                          <w:rPr>
                            <w:sz w:val="15"/>
                          </w:rPr>
                          <w:t>$16,550.00</w:t>
                        </w:r>
                      </w:p>
                    </w:tc>
                    <w:tc>
                      <w:tcPr>
                        <w:tcW w:w="3918" w:type="dxa"/>
                      </w:tcPr>
                      <w:p>
                        <w:pPr>
                          <w:pStyle w:val="TableParagraph"/>
                          <w:spacing w:before="17"/>
                          <w:ind w:left="50"/>
                          <w:rPr>
                            <w:sz w:val="15"/>
                          </w:rPr>
                        </w:pPr>
                        <w:r>
                          <w:rPr>
                            <w:sz w:val="15"/>
                          </w:rPr>
                          <w:t>j) Dextrostix</w:t>
                        </w:r>
                      </w:p>
                    </w:tc>
                    <w:tc>
                      <w:tcPr>
                        <w:tcW w:w="1141" w:type="dxa"/>
                      </w:tcPr>
                      <w:p>
                        <w:pPr>
                          <w:pStyle w:val="TableParagraph"/>
                          <w:spacing w:before="17"/>
                          <w:ind w:right="47"/>
                          <w:jc w:val="right"/>
                          <w:rPr>
                            <w:sz w:val="15"/>
                          </w:rPr>
                        </w:pPr>
                        <w:r>
                          <w:rPr>
                            <w:sz w:val="15"/>
                          </w:rPr>
                          <w:t>$39.00</w:t>
                        </w:r>
                      </w:p>
                    </w:tc>
                  </w:tr>
                  <w:tr>
                    <w:trPr>
                      <w:trHeight w:val="179" w:hRule="atLeast"/>
                    </w:trPr>
                    <w:tc>
                      <w:tcPr>
                        <w:tcW w:w="15937" w:type="dxa"/>
                        <w:gridSpan w:val="3"/>
                      </w:tcPr>
                      <w:p>
                        <w:pPr>
                          <w:pStyle w:val="TableParagraph"/>
                          <w:tabs>
                            <w:tab w:pos="12069" w:val="left" w:leader="none"/>
                          </w:tabs>
                          <w:spacing w:line="168" w:lineRule="exact" w:before="3"/>
                          <w:ind w:left="447"/>
                          <w:rPr>
                            <w:sz w:val="15"/>
                          </w:rPr>
                        </w:pPr>
                        <w:r>
                          <w:rPr>
                            <w:sz w:val="15"/>
                          </w:rPr>
                          <w:t>X.</w:t>
                        </w:r>
                        <w:r>
                          <w:rPr>
                            <w:spacing w:val="27"/>
                            <w:sz w:val="15"/>
                          </w:rPr>
                          <w:t> </w:t>
                        </w:r>
                        <w:r>
                          <w:rPr>
                            <w:sz w:val="15"/>
                          </w:rPr>
                          <w:t>Para</w:t>
                        </w:r>
                        <w:r>
                          <w:rPr>
                            <w:spacing w:val="28"/>
                            <w:sz w:val="15"/>
                          </w:rPr>
                          <w:t> </w:t>
                        </w:r>
                        <w:r>
                          <w:rPr>
                            <w:sz w:val="15"/>
                          </w:rPr>
                          <w:t>los</w:t>
                        </w:r>
                        <w:r>
                          <w:rPr>
                            <w:spacing w:val="28"/>
                            <w:sz w:val="15"/>
                          </w:rPr>
                          <w:t> </w:t>
                        </w:r>
                        <w:r>
                          <w:rPr>
                            <w:sz w:val="15"/>
                          </w:rPr>
                          <w:t>efectos</w:t>
                        </w:r>
                        <w:r>
                          <w:rPr>
                            <w:spacing w:val="28"/>
                            <w:sz w:val="15"/>
                          </w:rPr>
                          <w:t> </w:t>
                        </w:r>
                        <w:r>
                          <w:rPr>
                            <w:sz w:val="15"/>
                          </w:rPr>
                          <w:t>de</w:t>
                        </w:r>
                        <w:r>
                          <w:rPr>
                            <w:spacing w:val="27"/>
                            <w:sz w:val="15"/>
                          </w:rPr>
                          <w:t> </w:t>
                        </w:r>
                        <w:r>
                          <w:rPr>
                            <w:sz w:val="15"/>
                          </w:rPr>
                          <w:t>este</w:t>
                        </w:r>
                        <w:r>
                          <w:rPr>
                            <w:spacing w:val="28"/>
                            <w:sz w:val="15"/>
                          </w:rPr>
                          <w:t> </w:t>
                        </w:r>
                        <w:r>
                          <w:rPr>
                            <w:sz w:val="15"/>
                          </w:rPr>
                          <w:t>artículo,</w:t>
                        </w:r>
                        <w:r>
                          <w:rPr>
                            <w:spacing w:val="28"/>
                            <w:sz w:val="15"/>
                          </w:rPr>
                          <w:t> </w:t>
                        </w:r>
                        <w:r>
                          <w:rPr>
                            <w:sz w:val="15"/>
                          </w:rPr>
                          <w:t>se</w:t>
                        </w:r>
                        <w:r>
                          <w:rPr>
                            <w:spacing w:val="28"/>
                            <w:sz w:val="15"/>
                          </w:rPr>
                          <w:t> </w:t>
                        </w:r>
                        <w:r>
                          <w:rPr>
                            <w:sz w:val="15"/>
                          </w:rPr>
                          <w:t>consideran</w:t>
                        </w:r>
                        <w:r>
                          <w:rPr>
                            <w:spacing w:val="28"/>
                            <w:sz w:val="15"/>
                          </w:rPr>
                          <w:t> </w:t>
                        </w:r>
                        <w:r>
                          <w:rPr>
                            <w:sz w:val="15"/>
                          </w:rPr>
                          <w:t>como</w:t>
                        </w:r>
                        <w:r>
                          <w:rPr>
                            <w:spacing w:val="28"/>
                            <w:sz w:val="15"/>
                          </w:rPr>
                          <w:t> </w:t>
                        </w:r>
                        <w:r>
                          <w:rPr>
                            <w:sz w:val="15"/>
                          </w:rPr>
                          <w:t>horas</w:t>
                        </w:r>
                        <w:r>
                          <w:rPr>
                            <w:spacing w:val="32"/>
                            <w:sz w:val="15"/>
                          </w:rPr>
                          <w:t> </w:t>
                        </w:r>
                        <w:r>
                          <w:rPr>
                            <w:sz w:val="15"/>
                          </w:rPr>
                          <w:t>hábiles,</w:t>
                        </w:r>
                        <w:r>
                          <w:rPr>
                            <w:spacing w:val="28"/>
                            <w:sz w:val="15"/>
                          </w:rPr>
                          <w:t> </w:t>
                        </w:r>
                        <w:r>
                          <w:rPr>
                            <w:sz w:val="15"/>
                          </w:rPr>
                          <w:t>las</w:t>
                        </w:r>
                        <w:r>
                          <w:rPr>
                            <w:spacing w:val="28"/>
                            <w:sz w:val="15"/>
                          </w:rPr>
                          <w:t> </w:t>
                        </w:r>
                        <w:r>
                          <w:rPr>
                            <w:sz w:val="15"/>
                          </w:rPr>
                          <w:t>comprendidas</w:t>
                        </w:r>
                        <w:r>
                          <w:rPr>
                            <w:spacing w:val="28"/>
                            <w:sz w:val="15"/>
                          </w:rPr>
                          <w:t> </w:t>
                        </w:r>
                        <w:r>
                          <w:rPr>
                            <w:sz w:val="15"/>
                          </w:rPr>
                          <w:t>de</w:t>
                        </w:r>
                        <w:r>
                          <w:rPr>
                            <w:spacing w:val="27"/>
                            <w:sz w:val="15"/>
                          </w:rPr>
                          <w:t> </w:t>
                        </w:r>
                        <w:r>
                          <w:rPr>
                            <w:sz w:val="15"/>
                          </w:rPr>
                          <w:t>lunes</w:t>
                        </w:r>
                        <w:r>
                          <w:rPr>
                            <w:spacing w:val="26"/>
                            <w:sz w:val="15"/>
                          </w:rPr>
                          <w:t> </w:t>
                        </w:r>
                        <w:r>
                          <w:rPr>
                            <w:sz w:val="15"/>
                          </w:rPr>
                          <w:t>a</w:t>
                          <w:tab/>
                        </w:r>
                        <w:r>
                          <w:rPr>
                            <w:position w:val="6"/>
                            <w:sz w:val="15"/>
                          </w:rPr>
                          <w:t>k) Utilización de oxígeno por</w:t>
                        </w:r>
                        <w:r>
                          <w:rPr>
                            <w:spacing w:val="13"/>
                            <w:position w:val="6"/>
                            <w:sz w:val="15"/>
                          </w:rPr>
                          <w:t> </w:t>
                        </w:r>
                        <w:r>
                          <w:rPr>
                            <w:position w:val="6"/>
                            <w:sz w:val="15"/>
                          </w:rPr>
                          <w:t>hora</w:t>
                        </w:r>
                      </w:p>
                    </w:tc>
                    <w:tc>
                      <w:tcPr>
                        <w:tcW w:w="1141" w:type="dxa"/>
                      </w:tcPr>
                      <w:p>
                        <w:pPr>
                          <w:pStyle w:val="TableParagraph"/>
                          <w:spacing w:line="171" w:lineRule="exact"/>
                          <w:ind w:right="48"/>
                          <w:jc w:val="right"/>
                          <w:rPr>
                            <w:sz w:val="15"/>
                          </w:rPr>
                        </w:pPr>
                        <w:r>
                          <w:rPr>
                            <w:sz w:val="15"/>
                          </w:rPr>
                          <w:t>$83.00</w:t>
                        </w:r>
                      </w:p>
                    </w:tc>
                  </w:tr>
                  <w:tr>
                    <w:trPr>
                      <w:trHeight w:val="225" w:hRule="atLeast"/>
                    </w:trPr>
                    <w:tc>
                      <w:tcPr>
                        <w:tcW w:w="12019" w:type="dxa"/>
                        <w:gridSpan w:val="2"/>
                      </w:tcPr>
                      <w:p>
                        <w:pPr>
                          <w:pStyle w:val="TableParagraph"/>
                          <w:spacing w:line="156" w:lineRule="exact" w:before="30"/>
                          <w:ind w:left="50"/>
                          <w:rPr>
                            <w:sz w:val="15"/>
                          </w:rPr>
                        </w:pPr>
                        <w:r>
                          <w:rPr>
                            <w:sz w:val="15"/>
                          </w:rPr>
                          <w:t>viernes, de 9:00 a 15:00 horas para la atención al público.</w:t>
                        </w:r>
                      </w:p>
                    </w:tc>
                    <w:tc>
                      <w:tcPr>
                        <w:tcW w:w="3918" w:type="dxa"/>
                      </w:tcPr>
                      <w:p>
                        <w:pPr>
                          <w:pStyle w:val="TableParagraph"/>
                          <w:spacing w:line="171" w:lineRule="exact"/>
                          <w:ind w:left="50"/>
                          <w:rPr>
                            <w:sz w:val="15"/>
                          </w:rPr>
                        </w:pPr>
                        <w:r>
                          <w:rPr>
                            <w:sz w:val="15"/>
                          </w:rPr>
                          <w:t>l) Nebulización</w:t>
                        </w:r>
                      </w:p>
                    </w:tc>
                    <w:tc>
                      <w:tcPr>
                        <w:tcW w:w="1141" w:type="dxa"/>
                      </w:tcPr>
                      <w:p>
                        <w:pPr>
                          <w:pStyle w:val="TableParagraph"/>
                          <w:spacing w:line="171" w:lineRule="exact"/>
                          <w:ind w:right="48"/>
                          <w:jc w:val="right"/>
                          <w:rPr>
                            <w:sz w:val="15"/>
                          </w:rPr>
                        </w:pPr>
                        <w:r>
                          <w:rPr>
                            <w:sz w:val="15"/>
                          </w:rPr>
                          <w:t>$41.00</w:t>
                        </w:r>
                      </w:p>
                    </w:tc>
                  </w:tr>
                  <w:tr>
                    <w:trPr>
                      <w:trHeight w:val="176" w:hRule="atLeast"/>
                    </w:trPr>
                    <w:tc>
                      <w:tcPr>
                        <w:tcW w:w="12019" w:type="dxa"/>
                        <w:gridSpan w:val="2"/>
                      </w:tcPr>
                      <w:p>
                        <w:pPr>
                          <w:pStyle w:val="TableParagraph"/>
                          <w:rPr>
                            <w:rFonts w:ascii="Times New Roman"/>
                            <w:sz w:val="10"/>
                          </w:rPr>
                        </w:pPr>
                      </w:p>
                    </w:tc>
                    <w:tc>
                      <w:tcPr>
                        <w:tcW w:w="3918" w:type="dxa"/>
                      </w:tcPr>
                      <w:p>
                        <w:pPr>
                          <w:pStyle w:val="TableParagraph"/>
                          <w:spacing w:line="155" w:lineRule="exact" w:before="1"/>
                          <w:ind w:left="50"/>
                          <w:rPr>
                            <w:sz w:val="15"/>
                          </w:rPr>
                        </w:pPr>
                        <w:r>
                          <w:rPr>
                            <w:sz w:val="15"/>
                          </w:rPr>
                          <w:t>m) Parto (fortuito)</w:t>
                        </w:r>
                      </w:p>
                    </w:tc>
                    <w:tc>
                      <w:tcPr>
                        <w:tcW w:w="1141" w:type="dxa"/>
                      </w:tcPr>
                      <w:p>
                        <w:pPr>
                          <w:pStyle w:val="TableParagraph"/>
                          <w:spacing w:line="155" w:lineRule="exact" w:before="1"/>
                          <w:ind w:left="276"/>
                          <w:rPr>
                            <w:sz w:val="15"/>
                          </w:rPr>
                        </w:pPr>
                        <w:r>
                          <w:rPr>
                            <w:sz w:val="15"/>
                          </w:rPr>
                          <w:t>$1,477.00</w:t>
                        </w:r>
                      </w:p>
                    </w:tc>
                  </w:tr>
                  <w:tr>
                    <w:trPr>
                      <w:trHeight w:val="227" w:hRule="atLeast"/>
                    </w:trPr>
                    <w:tc>
                      <w:tcPr>
                        <w:tcW w:w="12019" w:type="dxa"/>
                        <w:gridSpan w:val="2"/>
                      </w:tcPr>
                      <w:p>
                        <w:pPr>
                          <w:pStyle w:val="TableParagraph"/>
                          <w:ind w:left="447"/>
                          <w:rPr>
                            <w:sz w:val="15"/>
                          </w:rPr>
                        </w:pPr>
                        <w:r>
                          <w:rPr>
                            <w:b/>
                            <w:sz w:val="15"/>
                          </w:rPr>
                          <w:t>Artículo 114.- </w:t>
                        </w:r>
                        <w:r>
                          <w:rPr>
                            <w:sz w:val="15"/>
                          </w:rPr>
                          <w:t>A las personas que soliciten el trámite de pasaporte en la oficina de enlace municipal con</w:t>
                        </w:r>
                      </w:p>
                    </w:tc>
                    <w:tc>
                      <w:tcPr>
                        <w:tcW w:w="3918" w:type="dxa"/>
                      </w:tcPr>
                      <w:p>
                        <w:pPr>
                          <w:pStyle w:val="TableParagraph"/>
                          <w:spacing w:before="35"/>
                          <w:ind w:left="50"/>
                          <w:rPr>
                            <w:sz w:val="15"/>
                          </w:rPr>
                        </w:pPr>
                        <w:r>
                          <w:rPr>
                            <w:sz w:val="15"/>
                          </w:rPr>
                          <w:t>n) Retiro de Puntos</w:t>
                        </w:r>
                      </w:p>
                    </w:tc>
                    <w:tc>
                      <w:tcPr>
                        <w:tcW w:w="1141" w:type="dxa"/>
                      </w:tcPr>
                      <w:p>
                        <w:pPr>
                          <w:pStyle w:val="TableParagraph"/>
                          <w:spacing w:before="35"/>
                          <w:ind w:right="47"/>
                          <w:jc w:val="right"/>
                          <w:rPr>
                            <w:sz w:val="15"/>
                          </w:rPr>
                        </w:pPr>
                        <w:r>
                          <w:rPr>
                            <w:sz w:val="15"/>
                          </w:rPr>
                          <w:t>$22.00</w:t>
                        </w:r>
                      </w:p>
                    </w:tc>
                  </w:tr>
                  <w:tr>
                    <w:trPr>
                      <w:trHeight w:val="298" w:hRule="atLeast"/>
                    </w:trPr>
                    <w:tc>
                      <w:tcPr>
                        <w:tcW w:w="15937" w:type="dxa"/>
                        <w:gridSpan w:val="3"/>
                      </w:tcPr>
                      <w:p>
                        <w:pPr>
                          <w:pStyle w:val="TableParagraph"/>
                          <w:tabs>
                            <w:tab w:pos="6302" w:val="left" w:leader="none"/>
                            <w:tab w:pos="12069" w:val="left" w:leader="none"/>
                          </w:tabs>
                          <w:spacing w:line="122" w:lineRule="auto"/>
                          <w:ind w:left="49"/>
                          <w:rPr>
                            <w:sz w:val="15"/>
                          </w:rPr>
                        </w:pPr>
                        <w:r>
                          <w:rPr>
                            <w:sz w:val="15"/>
                          </w:rPr>
                          <w:t>la</w:t>
                        </w:r>
                        <w:r>
                          <w:rPr>
                            <w:spacing w:val="10"/>
                            <w:sz w:val="15"/>
                          </w:rPr>
                          <w:t> </w:t>
                        </w:r>
                        <w:r>
                          <w:rPr>
                            <w:sz w:val="15"/>
                          </w:rPr>
                          <w:t>Secretaría</w:t>
                        </w:r>
                        <w:r>
                          <w:rPr>
                            <w:spacing w:val="10"/>
                            <w:sz w:val="15"/>
                          </w:rPr>
                          <w:t> </w:t>
                        </w:r>
                        <w:r>
                          <w:rPr>
                            <w:sz w:val="15"/>
                          </w:rPr>
                          <w:t>de</w:t>
                        </w:r>
                        <w:r>
                          <w:rPr>
                            <w:spacing w:val="11"/>
                            <w:sz w:val="15"/>
                          </w:rPr>
                          <w:t> </w:t>
                        </w:r>
                        <w:r>
                          <w:rPr>
                            <w:sz w:val="15"/>
                          </w:rPr>
                          <w:t>Relaciones</w:t>
                        </w:r>
                        <w:r>
                          <w:rPr>
                            <w:spacing w:val="10"/>
                            <w:sz w:val="15"/>
                          </w:rPr>
                          <w:t> </w:t>
                        </w:r>
                        <w:r>
                          <w:rPr>
                            <w:sz w:val="15"/>
                          </w:rPr>
                          <w:t>Exteriores</w:t>
                        </w:r>
                        <w:r>
                          <w:rPr>
                            <w:spacing w:val="10"/>
                            <w:sz w:val="15"/>
                          </w:rPr>
                          <w:t> </w:t>
                        </w:r>
                        <w:r>
                          <w:rPr>
                            <w:sz w:val="15"/>
                          </w:rPr>
                          <w:t>(S.R.E),</w:t>
                        </w:r>
                        <w:r>
                          <w:rPr>
                            <w:spacing w:val="11"/>
                            <w:sz w:val="15"/>
                          </w:rPr>
                          <w:t> </w:t>
                        </w:r>
                        <w:r>
                          <w:rPr>
                            <w:sz w:val="15"/>
                          </w:rPr>
                          <w:t>pagarán</w:t>
                        </w:r>
                        <w:r>
                          <w:rPr>
                            <w:spacing w:val="10"/>
                            <w:sz w:val="15"/>
                          </w:rPr>
                          <w:t> </w:t>
                        </w:r>
                        <w:r>
                          <w:rPr>
                            <w:sz w:val="15"/>
                          </w:rPr>
                          <w:t>previamente,</w:t>
                        </w:r>
                        <w:r>
                          <w:rPr>
                            <w:spacing w:val="11"/>
                            <w:sz w:val="15"/>
                          </w:rPr>
                          <w:t> </w:t>
                        </w:r>
                        <w:r>
                          <w:rPr>
                            <w:sz w:val="15"/>
                          </w:rPr>
                          <w:t>por</w:t>
                        </w:r>
                        <w:r>
                          <w:rPr>
                            <w:spacing w:val="10"/>
                            <w:sz w:val="15"/>
                          </w:rPr>
                          <w:t> </w:t>
                        </w:r>
                        <w:r>
                          <w:rPr>
                            <w:sz w:val="15"/>
                          </w:rPr>
                          <w:t>cada</w:t>
                        </w:r>
                        <w:r>
                          <w:rPr>
                            <w:spacing w:val="10"/>
                            <w:sz w:val="15"/>
                          </w:rPr>
                          <w:t> </w:t>
                        </w:r>
                        <w:r>
                          <w:rPr>
                            <w:sz w:val="15"/>
                          </w:rPr>
                          <w:t>uno:</w:t>
                          <w:tab/>
                          <w:t>$230.00</w:t>
                          <w:tab/>
                        </w:r>
                        <w:r>
                          <w:rPr>
                            <w:position w:val="-6"/>
                            <w:sz w:val="15"/>
                          </w:rPr>
                          <w:t>o) Aplicación de</w:t>
                        </w:r>
                        <w:r>
                          <w:rPr>
                            <w:spacing w:val="7"/>
                            <w:position w:val="-6"/>
                            <w:sz w:val="15"/>
                          </w:rPr>
                          <w:t> </w:t>
                        </w:r>
                        <w:r>
                          <w:rPr>
                            <w:position w:val="-6"/>
                            <w:sz w:val="15"/>
                          </w:rPr>
                          <w:t>Inyección</w:t>
                        </w:r>
                      </w:p>
                    </w:tc>
                    <w:tc>
                      <w:tcPr>
                        <w:tcW w:w="1141" w:type="dxa"/>
                      </w:tcPr>
                      <w:p>
                        <w:pPr>
                          <w:pStyle w:val="TableParagraph"/>
                          <w:spacing w:line="171" w:lineRule="exact"/>
                          <w:ind w:right="47"/>
                          <w:jc w:val="right"/>
                          <w:rPr>
                            <w:sz w:val="15"/>
                          </w:rPr>
                        </w:pPr>
                        <w:r>
                          <w:rPr>
                            <w:sz w:val="15"/>
                          </w:rPr>
                          <w:t>$17.00</w:t>
                        </w:r>
                      </w:p>
                    </w:tc>
                  </w:tr>
                  <w:tr>
                    <w:trPr>
                      <w:trHeight w:val="282" w:hRule="atLeast"/>
                    </w:trPr>
                    <w:tc>
                      <w:tcPr>
                        <w:tcW w:w="15937" w:type="dxa"/>
                        <w:gridSpan w:val="3"/>
                      </w:tcPr>
                      <w:p>
                        <w:pPr>
                          <w:pStyle w:val="TableParagraph"/>
                          <w:tabs>
                            <w:tab w:pos="12069" w:val="left" w:leader="none"/>
                          </w:tabs>
                          <w:spacing w:line="208" w:lineRule="auto" w:before="11"/>
                          <w:ind w:left="447"/>
                          <w:rPr>
                            <w:sz w:val="15"/>
                          </w:rPr>
                        </w:pPr>
                        <w:r>
                          <w:rPr>
                            <w:b/>
                            <w:sz w:val="15"/>
                          </w:rPr>
                          <w:t>Artículo  115.-  </w:t>
                        </w:r>
                        <w:r>
                          <w:rPr>
                            <w:sz w:val="15"/>
                          </w:rPr>
                          <w:t>Las  personas  físicas  o  jurídicas  que  requieran  servicios  de  la  Dirección  </w:t>
                        </w:r>
                        <w:r>
                          <w:rPr>
                            <w:spacing w:val="4"/>
                            <w:sz w:val="15"/>
                          </w:rPr>
                          <w:t> </w:t>
                        </w:r>
                        <w:r>
                          <w:rPr>
                            <w:sz w:val="15"/>
                          </w:rPr>
                          <w:t>General </w:t>
                        </w:r>
                        <w:r>
                          <w:rPr>
                            <w:spacing w:val="3"/>
                            <w:sz w:val="15"/>
                          </w:rPr>
                          <w:t> </w:t>
                        </w:r>
                        <w:r>
                          <w:rPr>
                            <w:sz w:val="15"/>
                          </w:rPr>
                          <w:t>de</w:t>
                          <w:tab/>
                        </w:r>
                        <w:r>
                          <w:rPr>
                            <w:position w:val="-9"/>
                            <w:sz w:val="15"/>
                          </w:rPr>
                          <w:t>IV.</w:t>
                        </w:r>
                        <w:r>
                          <w:rPr>
                            <w:spacing w:val="1"/>
                            <w:position w:val="-9"/>
                            <w:sz w:val="15"/>
                          </w:rPr>
                          <w:t> </w:t>
                        </w:r>
                        <w:r>
                          <w:rPr>
                            <w:position w:val="-9"/>
                            <w:sz w:val="15"/>
                          </w:rPr>
                          <w:t>Pediatría:</w:t>
                        </w:r>
                      </w:p>
                    </w:tc>
                    <w:tc>
                      <w:tcPr>
                        <w:tcW w:w="1141" w:type="dxa"/>
                      </w:tcPr>
                      <w:p>
                        <w:pPr>
                          <w:pStyle w:val="TableParagraph"/>
                          <w:rPr>
                            <w:rFonts w:ascii="Times New Roman"/>
                            <w:sz w:val="14"/>
                          </w:rPr>
                        </w:pPr>
                      </w:p>
                    </w:tc>
                  </w:tr>
                  <w:tr>
                    <w:trPr>
                      <w:trHeight w:val="281" w:hRule="atLeast"/>
                    </w:trPr>
                    <w:tc>
                      <w:tcPr>
                        <w:tcW w:w="15937" w:type="dxa"/>
                        <w:gridSpan w:val="3"/>
                      </w:tcPr>
                      <w:p>
                        <w:pPr>
                          <w:pStyle w:val="TableParagraph"/>
                          <w:tabs>
                            <w:tab w:pos="12069" w:val="left" w:leader="none"/>
                          </w:tabs>
                          <w:spacing w:line="69" w:lineRule="auto"/>
                          <w:ind w:left="49"/>
                          <w:rPr>
                            <w:sz w:val="15"/>
                          </w:rPr>
                        </w:pPr>
                        <w:r>
                          <w:rPr>
                            <w:sz w:val="15"/>
                          </w:rPr>
                          <w:t>Servicios   Médicos   Municipales,  que   en   este  artículo  se  enumeran,   pagarán   previamente</w:t>
                        </w:r>
                        <w:r>
                          <w:rPr>
                            <w:spacing w:val="22"/>
                            <w:sz w:val="15"/>
                          </w:rPr>
                          <w:t> </w:t>
                        </w:r>
                        <w:r>
                          <w:rPr>
                            <w:sz w:val="15"/>
                          </w:rPr>
                          <w:t>los </w:t>
                        </w:r>
                        <w:r>
                          <w:rPr>
                            <w:spacing w:val="21"/>
                            <w:sz w:val="15"/>
                          </w:rPr>
                          <w:t> </w:t>
                        </w:r>
                        <w:r>
                          <w:rPr>
                            <w:sz w:val="15"/>
                          </w:rPr>
                          <w:t>derechos</w:t>
                          <w:tab/>
                        </w:r>
                        <w:r>
                          <w:rPr>
                            <w:position w:val="-9"/>
                            <w:sz w:val="15"/>
                          </w:rPr>
                          <w:t>a) Consulta especialidad</w:t>
                        </w:r>
                        <w:r>
                          <w:rPr>
                            <w:spacing w:val="8"/>
                            <w:position w:val="-9"/>
                            <w:sz w:val="15"/>
                          </w:rPr>
                          <w:t> </w:t>
                        </w:r>
                        <w:r>
                          <w:rPr>
                            <w:position w:val="-9"/>
                            <w:sz w:val="15"/>
                          </w:rPr>
                          <w:t>Pediatría</w:t>
                        </w:r>
                      </w:p>
                    </w:tc>
                    <w:tc>
                      <w:tcPr>
                        <w:tcW w:w="1141" w:type="dxa"/>
                      </w:tcPr>
                      <w:p>
                        <w:pPr>
                          <w:pStyle w:val="TableParagraph"/>
                          <w:spacing w:before="1"/>
                          <w:ind w:right="48"/>
                          <w:jc w:val="right"/>
                          <w:rPr>
                            <w:sz w:val="15"/>
                          </w:rPr>
                        </w:pPr>
                        <w:r>
                          <w:rPr>
                            <w:sz w:val="15"/>
                          </w:rPr>
                          <w:t>$74.00</w:t>
                        </w:r>
                      </w:p>
                    </w:tc>
                  </w:tr>
                  <w:tr>
                    <w:trPr>
                      <w:trHeight w:val="279" w:hRule="atLeast"/>
                    </w:trPr>
                    <w:tc>
                      <w:tcPr>
                        <w:tcW w:w="15937" w:type="dxa"/>
                        <w:gridSpan w:val="3"/>
                      </w:tcPr>
                      <w:p>
                        <w:pPr>
                          <w:pStyle w:val="TableParagraph"/>
                          <w:tabs>
                            <w:tab w:pos="12069" w:val="left" w:leader="none"/>
                          </w:tabs>
                          <w:spacing w:line="153" w:lineRule="exact" w:before="105"/>
                          <w:ind w:left="5612"/>
                          <w:rPr>
                            <w:sz w:val="15"/>
                          </w:rPr>
                        </w:pPr>
                        <w:r>
                          <w:rPr>
                            <w:spacing w:val="-3"/>
                            <w:position w:val="-3"/>
                            <w:sz w:val="15"/>
                          </w:rPr>
                          <w:t>TARIFAS</w:t>
                          <w:tab/>
                        </w:r>
                        <w:r>
                          <w:rPr>
                            <w:sz w:val="15"/>
                          </w:rPr>
                          <w:t>V. Medicina</w:t>
                        </w:r>
                        <w:r>
                          <w:rPr>
                            <w:spacing w:val="4"/>
                            <w:sz w:val="15"/>
                          </w:rPr>
                          <w:t> </w:t>
                        </w:r>
                        <w:r>
                          <w:rPr>
                            <w:sz w:val="15"/>
                          </w:rPr>
                          <w:t>interna:</w:t>
                        </w:r>
                      </w:p>
                    </w:tc>
                    <w:tc>
                      <w:tcPr>
                        <w:tcW w:w="1141" w:type="dxa"/>
                      </w:tcPr>
                      <w:p>
                        <w:pPr>
                          <w:pStyle w:val="TableParagraph"/>
                          <w:rPr>
                            <w:rFonts w:ascii="Times New Roman"/>
                            <w:sz w:val="14"/>
                          </w:rPr>
                        </w:pPr>
                      </w:p>
                    </w:tc>
                  </w:tr>
                  <w:tr>
                    <w:trPr>
                      <w:trHeight w:val="307" w:hRule="atLeast"/>
                    </w:trPr>
                    <w:tc>
                      <w:tcPr>
                        <w:tcW w:w="4529" w:type="dxa"/>
                      </w:tcPr>
                      <w:p>
                        <w:pPr>
                          <w:pStyle w:val="TableParagraph"/>
                          <w:spacing w:before="43"/>
                          <w:ind w:left="447"/>
                          <w:rPr>
                            <w:sz w:val="15"/>
                          </w:rPr>
                        </w:pPr>
                        <w:r>
                          <w:rPr>
                            <w:sz w:val="15"/>
                          </w:rPr>
                          <w:t>I. Atención pre-hospitalaria:</w:t>
                        </w:r>
                      </w:p>
                    </w:tc>
                    <w:tc>
                      <w:tcPr>
                        <w:tcW w:w="7490" w:type="dxa"/>
                      </w:tcPr>
                      <w:p>
                        <w:pPr>
                          <w:pStyle w:val="TableParagraph"/>
                          <w:rPr>
                            <w:rFonts w:ascii="Times New Roman"/>
                            <w:sz w:val="14"/>
                          </w:rPr>
                        </w:pPr>
                      </w:p>
                    </w:tc>
                    <w:tc>
                      <w:tcPr>
                        <w:tcW w:w="3918" w:type="dxa"/>
                      </w:tcPr>
                      <w:p>
                        <w:pPr>
                          <w:pStyle w:val="TableParagraph"/>
                          <w:spacing w:line="171" w:lineRule="exact"/>
                          <w:ind w:left="50"/>
                          <w:rPr>
                            <w:sz w:val="15"/>
                          </w:rPr>
                        </w:pPr>
                        <w:r>
                          <w:rPr>
                            <w:sz w:val="15"/>
                          </w:rPr>
                          <w:t>a) Consulta especialidad Medicina interna</w:t>
                        </w:r>
                      </w:p>
                    </w:tc>
                    <w:tc>
                      <w:tcPr>
                        <w:tcW w:w="1141" w:type="dxa"/>
                      </w:tcPr>
                      <w:p>
                        <w:pPr>
                          <w:pStyle w:val="TableParagraph"/>
                          <w:spacing w:line="171" w:lineRule="exact"/>
                          <w:ind w:right="47"/>
                          <w:jc w:val="right"/>
                          <w:rPr>
                            <w:sz w:val="15"/>
                          </w:rPr>
                        </w:pPr>
                        <w:r>
                          <w:rPr>
                            <w:sz w:val="15"/>
                          </w:rPr>
                          <w:t>$74.00</w:t>
                        </w:r>
                      </w:p>
                    </w:tc>
                  </w:tr>
                  <w:tr>
                    <w:trPr>
                      <w:trHeight w:val="448" w:hRule="atLeast"/>
                    </w:trPr>
                    <w:tc>
                      <w:tcPr>
                        <w:tcW w:w="4529" w:type="dxa"/>
                      </w:tcPr>
                      <w:p>
                        <w:pPr>
                          <w:pStyle w:val="TableParagraph"/>
                          <w:spacing w:line="170" w:lineRule="atLeast" w:before="94"/>
                          <w:ind w:left="50" w:right="86" w:firstLine="397"/>
                          <w:rPr>
                            <w:sz w:val="15"/>
                          </w:rPr>
                        </w:pPr>
                        <w:r>
                          <w:rPr>
                            <w:sz w:val="15"/>
                          </w:rPr>
                          <w:t>a)   Cuando se requiera la presencia y servicio a eventos    o</w:t>
                        </w:r>
                        <w:r>
                          <w:rPr>
                            <w:spacing w:val="32"/>
                            <w:sz w:val="15"/>
                          </w:rPr>
                          <w:t> </w:t>
                        </w:r>
                        <w:r>
                          <w:rPr>
                            <w:sz w:val="15"/>
                          </w:rPr>
                          <w:t>espectáculos</w:t>
                        </w:r>
                        <w:r>
                          <w:rPr>
                            <w:spacing w:val="32"/>
                            <w:sz w:val="15"/>
                          </w:rPr>
                          <w:t> </w:t>
                        </w:r>
                        <w:r>
                          <w:rPr>
                            <w:sz w:val="15"/>
                          </w:rPr>
                          <w:t>públicos,</w:t>
                        </w:r>
                        <w:r>
                          <w:rPr>
                            <w:spacing w:val="32"/>
                            <w:sz w:val="15"/>
                          </w:rPr>
                          <w:t> </w:t>
                        </w:r>
                        <w:r>
                          <w:rPr>
                            <w:sz w:val="15"/>
                          </w:rPr>
                          <w:t>a</w:t>
                        </w:r>
                        <w:r>
                          <w:rPr>
                            <w:spacing w:val="32"/>
                            <w:sz w:val="15"/>
                          </w:rPr>
                          <w:t> </w:t>
                        </w:r>
                        <w:r>
                          <w:rPr>
                            <w:sz w:val="15"/>
                          </w:rPr>
                          <w:t>solicitud</w:t>
                        </w:r>
                        <w:r>
                          <w:rPr>
                            <w:spacing w:val="32"/>
                            <w:sz w:val="15"/>
                          </w:rPr>
                          <w:t> </w:t>
                        </w:r>
                        <w:r>
                          <w:rPr>
                            <w:sz w:val="15"/>
                          </w:rPr>
                          <w:t>de</w:t>
                        </w:r>
                        <w:r>
                          <w:rPr>
                            <w:spacing w:val="32"/>
                            <w:sz w:val="15"/>
                          </w:rPr>
                          <w:t> </w:t>
                        </w:r>
                        <w:r>
                          <w:rPr>
                            <w:sz w:val="15"/>
                          </w:rPr>
                          <w:t>particulares,</w:t>
                        </w:r>
                        <w:r>
                          <w:rPr>
                            <w:spacing w:val="32"/>
                            <w:sz w:val="15"/>
                          </w:rPr>
                          <w:t> </w:t>
                        </w:r>
                        <w:r>
                          <w:rPr>
                            <w:sz w:val="15"/>
                          </w:rPr>
                          <w:t>dentro</w:t>
                        </w:r>
                        <w:r>
                          <w:rPr>
                            <w:spacing w:val="32"/>
                            <w:sz w:val="15"/>
                          </w:rPr>
                          <w:t> </w:t>
                        </w:r>
                        <w:r>
                          <w:rPr>
                            <w:sz w:val="15"/>
                          </w:rPr>
                          <w:t>del</w:t>
                        </w:r>
                      </w:p>
                    </w:tc>
                    <w:tc>
                      <w:tcPr>
                        <w:tcW w:w="7490" w:type="dxa"/>
                      </w:tcPr>
                      <w:p>
                        <w:pPr>
                          <w:pStyle w:val="TableParagraph"/>
                          <w:rPr>
                            <w:rFonts w:ascii="Times New Roman"/>
                            <w:sz w:val="14"/>
                          </w:rPr>
                        </w:pPr>
                      </w:p>
                    </w:tc>
                    <w:tc>
                      <w:tcPr>
                        <w:tcW w:w="3918" w:type="dxa"/>
                      </w:tcPr>
                      <w:p>
                        <w:pPr>
                          <w:pStyle w:val="TableParagraph"/>
                          <w:spacing w:before="84"/>
                          <w:ind w:left="50"/>
                          <w:rPr>
                            <w:sz w:val="15"/>
                          </w:rPr>
                        </w:pPr>
                        <w:r>
                          <w:rPr>
                            <w:sz w:val="15"/>
                          </w:rPr>
                          <w:t>VI. Ginecología:</w:t>
                        </w:r>
                      </w:p>
                      <w:p>
                        <w:pPr>
                          <w:pStyle w:val="TableParagraph"/>
                          <w:spacing w:line="167" w:lineRule="exact" w:before="4"/>
                          <w:ind w:left="50"/>
                          <w:rPr>
                            <w:sz w:val="15"/>
                          </w:rPr>
                        </w:pPr>
                        <w:r>
                          <w:rPr>
                            <w:sz w:val="15"/>
                          </w:rPr>
                          <w:t>a) Consulta especialidad Ginecología</w:t>
                        </w:r>
                      </w:p>
                    </w:tc>
                    <w:tc>
                      <w:tcPr>
                        <w:tcW w:w="1141" w:type="dxa"/>
                      </w:tcPr>
                      <w:p>
                        <w:pPr>
                          <w:pStyle w:val="TableParagraph"/>
                          <w:spacing w:before="8"/>
                          <w:rPr>
                            <w:sz w:val="22"/>
                          </w:rPr>
                        </w:pPr>
                      </w:p>
                      <w:p>
                        <w:pPr>
                          <w:pStyle w:val="TableParagraph"/>
                          <w:spacing w:line="167" w:lineRule="exact"/>
                          <w:ind w:right="48"/>
                          <w:jc w:val="right"/>
                          <w:rPr>
                            <w:sz w:val="15"/>
                          </w:rPr>
                        </w:pPr>
                        <w:r>
                          <w:rPr>
                            <w:sz w:val="15"/>
                          </w:rPr>
                          <w:t>$74.00</w:t>
                        </w:r>
                      </w:p>
                    </w:tc>
                  </w:tr>
                  <w:tr>
                    <w:trPr>
                      <w:trHeight w:val="177" w:hRule="atLeast"/>
                    </w:trPr>
                    <w:tc>
                      <w:tcPr>
                        <w:tcW w:w="4529" w:type="dxa"/>
                      </w:tcPr>
                      <w:p>
                        <w:pPr>
                          <w:pStyle w:val="TableParagraph"/>
                          <w:spacing w:line="156" w:lineRule="exact" w:before="1"/>
                          <w:ind w:left="50"/>
                          <w:rPr>
                            <w:sz w:val="15"/>
                          </w:rPr>
                        </w:pPr>
                        <w:r>
                          <w:rPr>
                            <w:sz w:val="15"/>
                          </w:rPr>
                          <w:t>Municipio; por cada paramédico y con una duración de hasta 6</w:t>
                        </w:r>
                      </w:p>
                    </w:tc>
                    <w:tc>
                      <w:tcPr>
                        <w:tcW w:w="7490" w:type="dxa"/>
                      </w:tcPr>
                      <w:p>
                        <w:pPr>
                          <w:pStyle w:val="TableParagraph"/>
                          <w:rPr>
                            <w:rFonts w:ascii="Times New Roman"/>
                            <w:sz w:val="10"/>
                          </w:rPr>
                        </w:pPr>
                      </w:p>
                    </w:tc>
                    <w:tc>
                      <w:tcPr>
                        <w:tcW w:w="3918" w:type="dxa"/>
                      </w:tcPr>
                      <w:p>
                        <w:pPr>
                          <w:pStyle w:val="TableParagraph"/>
                          <w:rPr>
                            <w:rFonts w:ascii="Times New Roman"/>
                            <w:sz w:val="10"/>
                          </w:rPr>
                        </w:pPr>
                      </w:p>
                    </w:tc>
                    <w:tc>
                      <w:tcPr>
                        <w:tcW w:w="1141" w:type="dxa"/>
                      </w:tcPr>
                      <w:p>
                        <w:pPr>
                          <w:pStyle w:val="TableParagraph"/>
                          <w:rPr>
                            <w:rFonts w:ascii="Times New Roman"/>
                            <w:sz w:val="10"/>
                          </w:rPr>
                        </w:pPr>
                      </w:p>
                    </w:tc>
                  </w:tr>
                  <w:tr>
                    <w:trPr>
                      <w:trHeight w:val="199" w:hRule="atLeast"/>
                    </w:trPr>
                    <w:tc>
                      <w:tcPr>
                        <w:tcW w:w="4529" w:type="dxa"/>
                      </w:tcPr>
                      <w:p>
                        <w:pPr>
                          <w:pStyle w:val="TableParagraph"/>
                          <w:spacing w:before="1"/>
                          <w:ind w:left="50"/>
                          <w:rPr>
                            <w:sz w:val="15"/>
                          </w:rPr>
                        </w:pPr>
                        <w:r>
                          <w:rPr>
                            <w:sz w:val="15"/>
                          </w:rPr>
                          <w:t>horas:</w:t>
                        </w:r>
                      </w:p>
                    </w:tc>
                    <w:tc>
                      <w:tcPr>
                        <w:tcW w:w="7490" w:type="dxa"/>
                      </w:tcPr>
                      <w:p>
                        <w:pPr>
                          <w:pStyle w:val="TableParagraph"/>
                          <w:spacing w:before="1"/>
                          <w:ind w:right="6610"/>
                          <w:jc w:val="right"/>
                          <w:rPr>
                            <w:sz w:val="15"/>
                          </w:rPr>
                        </w:pPr>
                        <w:r>
                          <w:rPr>
                            <w:sz w:val="15"/>
                          </w:rPr>
                          <w:t>$940.00</w:t>
                        </w:r>
                      </w:p>
                    </w:tc>
                    <w:tc>
                      <w:tcPr>
                        <w:tcW w:w="3918" w:type="dxa"/>
                      </w:tcPr>
                      <w:p>
                        <w:pPr>
                          <w:pStyle w:val="TableParagraph"/>
                          <w:spacing w:line="156" w:lineRule="exact" w:before="23"/>
                          <w:ind w:left="50"/>
                          <w:rPr>
                            <w:sz w:val="15"/>
                          </w:rPr>
                        </w:pPr>
                        <w:r>
                          <w:rPr>
                            <w:sz w:val="15"/>
                          </w:rPr>
                          <w:t>VII. Nutrición:</w:t>
                        </w:r>
                      </w:p>
                    </w:tc>
                    <w:tc>
                      <w:tcPr>
                        <w:tcW w:w="1141" w:type="dxa"/>
                      </w:tcPr>
                      <w:p>
                        <w:pPr>
                          <w:pStyle w:val="TableParagraph"/>
                          <w:rPr>
                            <w:rFonts w:ascii="Times New Roman"/>
                            <w:sz w:val="12"/>
                          </w:rPr>
                        </w:pPr>
                      </w:p>
                    </w:tc>
                  </w:tr>
                  <w:tr>
                    <w:trPr>
                      <w:trHeight w:val="182" w:hRule="atLeast"/>
                    </w:trPr>
                    <w:tc>
                      <w:tcPr>
                        <w:tcW w:w="4529" w:type="dxa"/>
                      </w:tcPr>
                      <w:p>
                        <w:pPr>
                          <w:pStyle w:val="TableParagraph"/>
                          <w:rPr>
                            <w:rFonts w:ascii="Times New Roman"/>
                            <w:sz w:val="12"/>
                          </w:rPr>
                        </w:pPr>
                      </w:p>
                    </w:tc>
                    <w:tc>
                      <w:tcPr>
                        <w:tcW w:w="7490" w:type="dxa"/>
                      </w:tcPr>
                      <w:p>
                        <w:pPr>
                          <w:pStyle w:val="TableParagraph"/>
                          <w:rPr>
                            <w:rFonts w:ascii="Times New Roman"/>
                            <w:sz w:val="12"/>
                          </w:rPr>
                        </w:pPr>
                      </w:p>
                    </w:tc>
                    <w:tc>
                      <w:tcPr>
                        <w:tcW w:w="3918" w:type="dxa"/>
                      </w:tcPr>
                      <w:p>
                        <w:pPr>
                          <w:pStyle w:val="TableParagraph"/>
                          <w:spacing w:line="161" w:lineRule="exact" w:before="1"/>
                          <w:ind w:left="50"/>
                          <w:rPr>
                            <w:sz w:val="15"/>
                          </w:rPr>
                        </w:pPr>
                        <w:r>
                          <w:rPr>
                            <w:sz w:val="15"/>
                          </w:rPr>
                          <w:t>a) Consulta de Nutrición</w:t>
                        </w:r>
                      </w:p>
                    </w:tc>
                    <w:tc>
                      <w:tcPr>
                        <w:tcW w:w="1141" w:type="dxa"/>
                      </w:tcPr>
                      <w:p>
                        <w:pPr>
                          <w:pStyle w:val="TableParagraph"/>
                          <w:spacing w:line="161" w:lineRule="exact" w:before="1"/>
                          <w:ind w:right="48"/>
                          <w:jc w:val="right"/>
                          <w:rPr>
                            <w:sz w:val="15"/>
                          </w:rPr>
                        </w:pPr>
                        <w:r>
                          <w:rPr>
                            <w:sz w:val="15"/>
                          </w:rPr>
                          <w:t>$71.00</w:t>
                        </w:r>
                      </w:p>
                    </w:tc>
                  </w:tr>
                  <w:tr>
                    <w:trPr>
                      <w:trHeight w:val="182" w:hRule="atLeast"/>
                    </w:trPr>
                    <w:tc>
                      <w:tcPr>
                        <w:tcW w:w="4529" w:type="dxa"/>
                      </w:tcPr>
                      <w:p>
                        <w:pPr>
                          <w:pStyle w:val="TableParagraph"/>
                          <w:spacing w:line="156" w:lineRule="exact" w:before="6"/>
                          <w:ind w:left="447"/>
                          <w:rPr>
                            <w:sz w:val="15"/>
                          </w:rPr>
                        </w:pPr>
                        <w:r>
                          <w:rPr>
                            <w:sz w:val="15"/>
                          </w:rPr>
                          <w:t>b) Cuando se requiera la presencia y servicio a eventos o</w:t>
                        </w:r>
                      </w:p>
                    </w:tc>
                    <w:tc>
                      <w:tcPr>
                        <w:tcW w:w="7490" w:type="dxa"/>
                      </w:tcPr>
                      <w:p>
                        <w:pPr>
                          <w:pStyle w:val="TableParagraph"/>
                          <w:rPr>
                            <w:rFonts w:ascii="Times New Roman"/>
                            <w:sz w:val="12"/>
                          </w:rPr>
                        </w:pPr>
                      </w:p>
                    </w:tc>
                    <w:tc>
                      <w:tcPr>
                        <w:tcW w:w="3918" w:type="dxa"/>
                      </w:tcPr>
                      <w:p>
                        <w:pPr>
                          <w:pStyle w:val="TableParagraph"/>
                          <w:rPr>
                            <w:rFonts w:ascii="Times New Roman"/>
                            <w:sz w:val="12"/>
                          </w:rPr>
                        </w:pPr>
                      </w:p>
                    </w:tc>
                    <w:tc>
                      <w:tcPr>
                        <w:tcW w:w="1141" w:type="dxa"/>
                      </w:tcPr>
                      <w:p>
                        <w:pPr>
                          <w:pStyle w:val="TableParagraph"/>
                          <w:rPr>
                            <w:rFonts w:ascii="Times New Roman"/>
                            <w:sz w:val="12"/>
                          </w:rPr>
                        </w:pPr>
                      </w:p>
                    </w:tc>
                  </w:tr>
                  <w:tr>
                    <w:trPr>
                      <w:trHeight w:val="364" w:hRule="atLeast"/>
                    </w:trPr>
                    <w:tc>
                      <w:tcPr>
                        <w:tcW w:w="4529" w:type="dxa"/>
                      </w:tcPr>
                      <w:p>
                        <w:pPr>
                          <w:pStyle w:val="TableParagraph"/>
                          <w:spacing w:line="176" w:lineRule="exact" w:before="1"/>
                          <w:ind w:left="50"/>
                          <w:rPr>
                            <w:sz w:val="15"/>
                          </w:rPr>
                        </w:pPr>
                        <w:r>
                          <w:rPr>
                            <w:sz w:val="15"/>
                          </w:rPr>
                          <w:t>espectáculos públicos, a solicitud de asociaciones civiles e instituciones no gubernamentales; por cada paramédico y con</w:t>
                        </w:r>
                      </w:p>
                    </w:tc>
                    <w:tc>
                      <w:tcPr>
                        <w:tcW w:w="7490" w:type="dxa"/>
                      </w:tcPr>
                      <w:p>
                        <w:pPr>
                          <w:pStyle w:val="TableParagraph"/>
                          <w:rPr>
                            <w:rFonts w:ascii="Times New Roman"/>
                            <w:sz w:val="14"/>
                          </w:rPr>
                        </w:pPr>
                      </w:p>
                    </w:tc>
                    <w:tc>
                      <w:tcPr>
                        <w:tcW w:w="3918" w:type="dxa"/>
                      </w:tcPr>
                      <w:p>
                        <w:pPr>
                          <w:pStyle w:val="TableParagraph"/>
                          <w:spacing w:before="22"/>
                          <w:ind w:left="50"/>
                          <w:rPr>
                            <w:sz w:val="15"/>
                          </w:rPr>
                        </w:pPr>
                        <w:r>
                          <w:rPr>
                            <w:sz w:val="15"/>
                          </w:rPr>
                          <w:t>VIII. Psicología:</w:t>
                        </w:r>
                      </w:p>
                      <w:p>
                        <w:pPr>
                          <w:pStyle w:val="TableParagraph"/>
                          <w:spacing w:line="145" w:lineRule="exact" w:before="5"/>
                          <w:ind w:left="50"/>
                          <w:rPr>
                            <w:sz w:val="15"/>
                          </w:rPr>
                        </w:pPr>
                        <w:r>
                          <w:rPr>
                            <w:sz w:val="15"/>
                          </w:rPr>
                          <w:t>a) Consulta de Psicología</w:t>
                        </w:r>
                      </w:p>
                    </w:tc>
                    <w:tc>
                      <w:tcPr>
                        <w:tcW w:w="1141" w:type="dxa"/>
                      </w:tcPr>
                      <w:p>
                        <w:pPr>
                          <w:pStyle w:val="TableParagraph"/>
                          <w:spacing w:before="4"/>
                          <w:rPr>
                            <w:sz w:val="17"/>
                          </w:rPr>
                        </w:pPr>
                      </w:p>
                      <w:p>
                        <w:pPr>
                          <w:pStyle w:val="TableParagraph"/>
                          <w:spacing w:line="145" w:lineRule="exact"/>
                          <w:ind w:right="47"/>
                          <w:jc w:val="right"/>
                          <w:rPr>
                            <w:sz w:val="15"/>
                          </w:rPr>
                        </w:pPr>
                        <w:r>
                          <w:rPr>
                            <w:sz w:val="15"/>
                          </w:rPr>
                          <w:t>$68.00</w:t>
                        </w:r>
                      </w:p>
                    </w:tc>
                  </w:tr>
                  <w:tr>
                    <w:trPr>
                      <w:trHeight w:val="193" w:hRule="atLeast"/>
                    </w:trPr>
                    <w:tc>
                      <w:tcPr>
                        <w:tcW w:w="4529" w:type="dxa"/>
                      </w:tcPr>
                      <w:p>
                        <w:pPr>
                          <w:pStyle w:val="TableParagraph"/>
                          <w:spacing w:line="163" w:lineRule="exact"/>
                          <w:ind w:left="50"/>
                          <w:rPr>
                            <w:sz w:val="15"/>
                          </w:rPr>
                        </w:pPr>
                        <w:r>
                          <w:rPr>
                            <w:sz w:val="15"/>
                          </w:rPr>
                          <w:t>una duración de hasta 6 horas:</w:t>
                        </w:r>
                      </w:p>
                    </w:tc>
                    <w:tc>
                      <w:tcPr>
                        <w:tcW w:w="7490" w:type="dxa"/>
                      </w:tcPr>
                      <w:p>
                        <w:pPr>
                          <w:pStyle w:val="TableParagraph"/>
                          <w:spacing w:line="163" w:lineRule="exact"/>
                          <w:ind w:right="6611"/>
                          <w:jc w:val="right"/>
                          <w:rPr>
                            <w:sz w:val="15"/>
                          </w:rPr>
                        </w:pPr>
                        <w:r>
                          <w:rPr>
                            <w:sz w:val="15"/>
                          </w:rPr>
                          <w:t>$537.00</w:t>
                        </w:r>
                      </w:p>
                    </w:tc>
                    <w:tc>
                      <w:tcPr>
                        <w:tcW w:w="3918" w:type="dxa"/>
                      </w:tcPr>
                      <w:p>
                        <w:pPr>
                          <w:pStyle w:val="TableParagraph"/>
                          <w:rPr>
                            <w:rFonts w:ascii="Times New Roman"/>
                            <w:sz w:val="12"/>
                          </w:rPr>
                        </w:pPr>
                      </w:p>
                    </w:tc>
                    <w:tc>
                      <w:tcPr>
                        <w:tcW w:w="1141" w:type="dxa"/>
                      </w:tcPr>
                      <w:p>
                        <w:pPr>
                          <w:pStyle w:val="TableParagraph"/>
                          <w:rPr>
                            <w:rFonts w:ascii="Times New Roman"/>
                            <w:sz w:val="12"/>
                          </w:rPr>
                        </w:pPr>
                      </w:p>
                    </w:tc>
                  </w:tr>
                  <w:tr>
                    <w:trPr>
                      <w:trHeight w:val="204" w:hRule="atLeast"/>
                    </w:trPr>
                    <w:tc>
                      <w:tcPr>
                        <w:tcW w:w="15937" w:type="dxa"/>
                        <w:gridSpan w:val="3"/>
                      </w:tcPr>
                      <w:p>
                        <w:pPr>
                          <w:pStyle w:val="TableParagraph"/>
                          <w:spacing w:line="156" w:lineRule="exact" w:before="28"/>
                          <w:ind w:right="2708"/>
                          <w:jc w:val="right"/>
                          <w:rPr>
                            <w:sz w:val="15"/>
                          </w:rPr>
                        </w:pPr>
                        <w:r>
                          <w:rPr>
                            <w:sz w:val="15"/>
                          </w:rPr>
                          <w:t>IX. Odontología:</w:t>
                        </w:r>
                      </w:p>
                    </w:tc>
                    <w:tc>
                      <w:tcPr>
                        <w:tcW w:w="1141" w:type="dxa"/>
                      </w:tcPr>
                      <w:p>
                        <w:pPr>
                          <w:pStyle w:val="TableParagraph"/>
                          <w:rPr>
                            <w:rFonts w:ascii="Times New Roman"/>
                            <w:sz w:val="14"/>
                          </w:rPr>
                        </w:pPr>
                      </w:p>
                    </w:tc>
                  </w:tr>
                  <w:tr>
                    <w:trPr>
                      <w:trHeight w:val="193" w:hRule="atLeast"/>
                    </w:trPr>
                    <w:tc>
                      <w:tcPr>
                        <w:tcW w:w="15937" w:type="dxa"/>
                        <w:gridSpan w:val="3"/>
                      </w:tcPr>
                      <w:p>
                        <w:pPr>
                          <w:pStyle w:val="TableParagraph"/>
                          <w:tabs>
                            <w:tab w:pos="12069" w:val="left" w:leader="none"/>
                          </w:tabs>
                          <w:spacing w:line="146" w:lineRule="auto"/>
                          <w:ind w:left="50"/>
                          <w:rPr>
                            <w:sz w:val="15"/>
                          </w:rPr>
                        </w:pPr>
                        <w:r>
                          <w:rPr>
                            <w:sz w:val="15"/>
                          </w:rPr>
                          <w:t>Para</w:t>
                        </w:r>
                        <w:r>
                          <w:rPr>
                            <w:spacing w:val="8"/>
                            <w:sz w:val="15"/>
                          </w:rPr>
                          <w:t> </w:t>
                        </w:r>
                        <w:r>
                          <w:rPr>
                            <w:sz w:val="15"/>
                          </w:rPr>
                          <w:t>el</w:t>
                        </w:r>
                        <w:r>
                          <w:rPr>
                            <w:spacing w:val="9"/>
                            <w:sz w:val="15"/>
                          </w:rPr>
                          <w:t> </w:t>
                        </w:r>
                        <w:r>
                          <w:rPr>
                            <w:sz w:val="15"/>
                          </w:rPr>
                          <w:t>caso</w:t>
                        </w:r>
                        <w:r>
                          <w:rPr>
                            <w:spacing w:val="9"/>
                            <w:sz w:val="15"/>
                          </w:rPr>
                          <w:t> </w:t>
                        </w:r>
                        <w:r>
                          <w:rPr>
                            <w:sz w:val="15"/>
                          </w:rPr>
                          <w:t>de</w:t>
                        </w:r>
                        <w:r>
                          <w:rPr>
                            <w:spacing w:val="9"/>
                            <w:sz w:val="15"/>
                          </w:rPr>
                          <w:t> </w:t>
                        </w:r>
                        <w:r>
                          <w:rPr>
                            <w:sz w:val="15"/>
                          </w:rPr>
                          <w:t>los</w:t>
                        </w:r>
                        <w:r>
                          <w:rPr>
                            <w:spacing w:val="8"/>
                            <w:sz w:val="15"/>
                          </w:rPr>
                          <w:t> </w:t>
                        </w:r>
                        <w:r>
                          <w:rPr>
                            <w:sz w:val="15"/>
                          </w:rPr>
                          <w:t>servicios</w:t>
                        </w:r>
                        <w:r>
                          <w:rPr>
                            <w:spacing w:val="9"/>
                            <w:sz w:val="15"/>
                          </w:rPr>
                          <w:t> </w:t>
                        </w:r>
                        <w:r>
                          <w:rPr>
                            <w:sz w:val="15"/>
                          </w:rPr>
                          <w:t>señalados</w:t>
                        </w:r>
                        <w:r>
                          <w:rPr>
                            <w:spacing w:val="9"/>
                            <w:sz w:val="15"/>
                          </w:rPr>
                          <w:t> </w:t>
                        </w:r>
                        <w:r>
                          <w:rPr>
                            <w:sz w:val="15"/>
                          </w:rPr>
                          <w:t>en</w:t>
                        </w:r>
                        <w:r>
                          <w:rPr>
                            <w:spacing w:val="9"/>
                            <w:sz w:val="15"/>
                          </w:rPr>
                          <w:t> </w:t>
                        </w:r>
                        <w:r>
                          <w:rPr>
                            <w:sz w:val="15"/>
                          </w:rPr>
                          <w:t>los</w:t>
                        </w:r>
                        <w:r>
                          <w:rPr>
                            <w:spacing w:val="9"/>
                            <w:sz w:val="15"/>
                          </w:rPr>
                          <w:t> </w:t>
                        </w:r>
                        <w:r>
                          <w:rPr>
                            <w:sz w:val="15"/>
                          </w:rPr>
                          <w:t>incisos</w:t>
                        </w:r>
                        <w:r>
                          <w:rPr>
                            <w:spacing w:val="8"/>
                            <w:sz w:val="15"/>
                          </w:rPr>
                          <w:t> </w:t>
                        </w:r>
                        <w:r>
                          <w:rPr>
                            <w:sz w:val="15"/>
                          </w:rPr>
                          <w:t>a)</w:t>
                        </w:r>
                        <w:r>
                          <w:rPr>
                            <w:spacing w:val="9"/>
                            <w:sz w:val="15"/>
                          </w:rPr>
                          <w:t> </w:t>
                        </w:r>
                        <w:r>
                          <w:rPr>
                            <w:sz w:val="15"/>
                          </w:rPr>
                          <w:t>y</w:t>
                        </w:r>
                        <w:r>
                          <w:rPr>
                            <w:spacing w:val="9"/>
                            <w:sz w:val="15"/>
                          </w:rPr>
                          <w:t> </w:t>
                        </w:r>
                        <w:r>
                          <w:rPr>
                            <w:sz w:val="15"/>
                          </w:rPr>
                          <w:t>b)</w:t>
                        </w:r>
                        <w:r>
                          <w:rPr>
                            <w:spacing w:val="11"/>
                            <w:sz w:val="15"/>
                          </w:rPr>
                          <w:t> </w:t>
                        </w:r>
                        <w:r>
                          <w:rPr>
                            <w:sz w:val="15"/>
                          </w:rPr>
                          <w:t>de</w:t>
                          <w:tab/>
                        </w:r>
                        <w:r>
                          <w:rPr>
                            <w:position w:val="-4"/>
                            <w:sz w:val="15"/>
                          </w:rPr>
                          <w:t>a) Consulta</w:t>
                        </w:r>
                        <w:r>
                          <w:rPr>
                            <w:spacing w:val="8"/>
                            <w:position w:val="-4"/>
                            <w:sz w:val="15"/>
                          </w:rPr>
                          <w:t> </w:t>
                        </w:r>
                        <w:r>
                          <w:rPr>
                            <w:position w:val="-4"/>
                            <w:sz w:val="15"/>
                          </w:rPr>
                          <w:t>Odontología</w:t>
                        </w:r>
                      </w:p>
                    </w:tc>
                    <w:tc>
                      <w:tcPr>
                        <w:tcW w:w="1141" w:type="dxa"/>
                      </w:tcPr>
                      <w:p>
                        <w:pPr>
                          <w:pStyle w:val="TableParagraph"/>
                          <w:spacing w:before="1"/>
                          <w:ind w:right="47"/>
                          <w:jc w:val="right"/>
                          <w:rPr>
                            <w:sz w:val="15"/>
                          </w:rPr>
                        </w:pPr>
                        <w:r>
                          <w:rPr>
                            <w:sz w:val="15"/>
                          </w:rPr>
                          <w:t>$56.00</w:t>
                        </w:r>
                      </w:p>
                    </w:tc>
                  </w:tr>
                  <w:tr>
                    <w:trPr>
                      <w:trHeight w:val="209" w:hRule="atLeast"/>
                    </w:trPr>
                    <w:tc>
                      <w:tcPr>
                        <w:tcW w:w="15937" w:type="dxa"/>
                        <w:gridSpan w:val="3"/>
                      </w:tcPr>
                      <w:p>
                        <w:pPr>
                          <w:pStyle w:val="TableParagraph"/>
                          <w:tabs>
                            <w:tab w:pos="12069" w:val="left" w:leader="none"/>
                          </w:tabs>
                          <w:spacing w:line="120" w:lineRule="auto"/>
                          <w:ind w:left="50"/>
                          <w:rPr>
                            <w:sz w:val="15"/>
                          </w:rPr>
                        </w:pPr>
                        <w:r>
                          <w:rPr>
                            <w:sz w:val="15"/>
                          </w:rPr>
                          <w:t>esta  fracción,  se  otorgará  participación  económica</w:t>
                        </w:r>
                        <w:r>
                          <w:rPr>
                            <w:spacing w:val="-6"/>
                            <w:sz w:val="15"/>
                          </w:rPr>
                          <w:t> </w:t>
                        </w:r>
                        <w:r>
                          <w:rPr>
                            <w:sz w:val="15"/>
                          </w:rPr>
                          <w:t>al</w:t>
                        </w:r>
                        <w:r>
                          <w:rPr>
                            <w:spacing w:val="34"/>
                            <w:sz w:val="15"/>
                          </w:rPr>
                          <w:t> </w:t>
                        </w:r>
                        <w:r>
                          <w:rPr>
                            <w:sz w:val="15"/>
                          </w:rPr>
                          <w:t>personal</w:t>
                          <w:tab/>
                        </w:r>
                        <w:r>
                          <w:rPr>
                            <w:position w:val="-8"/>
                            <w:sz w:val="15"/>
                          </w:rPr>
                          <w:t>b) Aplicación tópica de</w:t>
                        </w:r>
                        <w:r>
                          <w:rPr>
                            <w:spacing w:val="9"/>
                            <w:position w:val="-8"/>
                            <w:sz w:val="15"/>
                          </w:rPr>
                          <w:t> </w:t>
                        </w:r>
                        <w:r>
                          <w:rPr>
                            <w:position w:val="-8"/>
                            <w:sz w:val="15"/>
                          </w:rPr>
                          <w:t>flúor</w:t>
                        </w:r>
                      </w:p>
                    </w:tc>
                    <w:tc>
                      <w:tcPr>
                        <w:tcW w:w="1141" w:type="dxa"/>
                      </w:tcPr>
                      <w:p>
                        <w:pPr>
                          <w:pStyle w:val="TableParagraph"/>
                          <w:spacing w:before="17"/>
                          <w:ind w:right="48"/>
                          <w:jc w:val="right"/>
                          <w:rPr>
                            <w:sz w:val="15"/>
                          </w:rPr>
                        </w:pPr>
                        <w:r>
                          <w:rPr>
                            <w:sz w:val="15"/>
                          </w:rPr>
                          <w:t>$56.00</w:t>
                        </w:r>
                      </w:p>
                    </w:tc>
                  </w:tr>
                  <w:tr>
                    <w:trPr>
                      <w:trHeight w:val="190" w:hRule="atLeast"/>
                    </w:trPr>
                    <w:tc>
                      <w:tcPr>
                        <w:tcW w:w="15937" w:type="dxa"/>
                        <w:gridSpan w:val="3"/>
                      </w:tcPr>
                      <w:p>
                        <w:pPr>
                          <w:pStyle w:val="TableParagraph"/>
                          <w:tabs>
                            <w:tab w:pos="12069" w:val="left" w:leader="none"/>
                          </w:tabs>
                          <w:spacing w:line="153" w:lineRule="exact" w:before="17"/>
                          <w:ind w:left="50"/>
                          <w:rPr>
                            <w:sz w:val="15"/>
                          </w:rPr>
                        </w:pPr>
                        <w:r>
                          <w:rPr>
                            <w:position w:val="-5"/>
                            <w:sz w:val="15"/>
                          </w:rPr>
                          <w:t>cobrada.</w:t>
                          <w:tab/>
                        </w:r>
                        <w:r>
                          <w:rPr>
                            <w:sz w:val="15"/>
                          </w:rPr>
                          <w:t>c) Cementado de incrustaciones, coronas o</w:t>
                        </w:r>
                        <w:r>
                          <w:rPr>
                            <w:spacing w:val="4"/>
                            <w:sz w:val="15"/>
                          </w:rPr>
                          <w:t> </w:t>
                        </w:r>
                        <w:r>
                          <w:rPr>
                            <w:sz w:val="15"/>
                          </w:rPr>
                          <w:t>prótesis</w:t>
                        </w:r>
                      </w:p>
                    </w:tc>
                    <w:tc>
                      <w:tcPr>
                        <w:tcW w:w="1141" w:type="dxa"/>
                      </w:tcPr>
                      <w:p>
                        <w:pPr>
                          <w:pStyle w:val="TableParagraph"/>
                          <w:spacing w:line="153" w:lineRule="exact" w:before="17"/>
                          <w:ind w:right="48"/>
                          <w:jc w:val="right"/>
                          <w:rPr>
                            <w:sz w:val="15"/>
                          </w:rPr>
                        </w:pPr>
                        <w:r>
                          <w:rPr>
                            <w:sz w:val="15"/>
                          </w:rPr>
                          <w:t>$88.00</w:t>
                        </w:r>
                      </w:p>
                    </w:tc>
                  </w:tr>
                </w:tbl>
                <w:p>
                  <w:pPr>
                    <w:pStyle w:val="BodyText"/>
                  </w:pPr>
                </w:p>
              </w:txbxContent>
            </v:textbox>
            <w10:wrap type="none"/>
          </v:shape>
        </w:pict>
      </w:r>
      <w:r>
        <w:rPr/>
        <w:t>correspondientes de conformidad con las siguientes: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after="0"/>
        <w:rPr>
          <w:sz w:val="21"/>
        </w:rPr>
        <w:sectPr>
          <w:headerReference w:type="default" r:id="rId98"/>
          <w:pgSz w:w="23250" w:h="15310" w:orient="landscape"/>
          <w:pgMar w:header="881" w:footer="499" w:top="1920" w:bottom="680" w:left="1880" w:right="1520"/>
        </w:sectPr>
      </w:pPr>
    </w:p>
    <w:p>
      <w:pPr>
        <w:pStyle w:val="BodyText"/>
        <w:spacing w:before="99"/>
        <w:ind w:left="151"/>
      </w:pPr>
      <w:r>
        <w:rPr/>
        <w:t>que cubra dichos servicios, por cada servicio: 100% de la cuota</w:t>
      </w:r>
    </w:p>
    <w:p>
      <w:pPr>
        <w:pStyle w:val="BodyText"/>
        <w:rPr>
          <w:sz w:val="16"/>
        </w:rPr>
      </w:pPr>
    </w:p>
    <w:p>
      <w:pPr>
        <w:pStyle w:val="BodyText"/>
        <w:spacing w:before="3"/>
      </w:pPr>
    </w:p>
    <w:p>
      <w:pPr>
        <w:pStyle w:val="ListParagraph"/>
        <w:numPr>
          <w:ilvl w:val="0"/>
          <w:numId w:val="163"/>
        </w:numPr>
        <w:tabs>
          <w:tab w:pos="827" w:val="left" w:leader="none"/>
        </w:tabs>
        <w:spacing w:line="240" w:lineRule="auto" w:before="0" w:after="0"/>
        <w:ind w:left="826" w:right="0" w:hanging="279"/>
        <w:jc w:val="left"/>
        <w:rPr>
          <w:sz w:val="15"/>
        </w:rPr>
      </w:pPr>
      <w:r>
        <w:rPr>
          <w:sz w:val="15"/>
        </w:rPr>
        <w:t>Traslado de pacientes en ambulancia, dentro</w:t>
      </w:r>
      <w:r>
        <w:rPr>
          <w:spacing w:val="-3"/>
          <w:sz w:val="15"/>
        </w:rPr>
        <w:t> </w:t>
      </w:r>
      <w:r>
        <w:rPr>
          <w:sz w:val="15"/>
        </w:rPr>
        <w:t>del</w:t>
      </w:r>
    </w:p>
    <w:p>
      <w:pPr>
        <w:pStyle w:val="BodyText"/>
        <w:tabs>
          <w:tab w:pos="4950" w:val="left" w:leader="none"/>
        </w:tabs>
        <w:spacing w:before="5"/>
        <w:ind w:left="151"/>
      </w:pPr>
      <w:r>
        <w:rPr/>
        <w:t>Municipio, por</w:t>
      </w:r>
      <w:r>
        <w:rPr>
          <w:spacing w:val="18"/>
        </w:rPr>
        <w:t> </w:t>
      </w:r>
      <w:r>
        <w:rPr/>
        <w:t>cada</w:t>
      </w:r>
      <w:r>
        <w:rPr>
          <w:spacing w:val="9"/>
        </w:rPr>
        <w:t> </w:t>
      </w:r>
      <w:r>
        <w:rPr/>
        <w:t>evento:</w:t>
        <w:tab/>
        <w:t>$551.00</w:t>
      </w:r>
    </w:p>
    <w:p>
      <w:pPr>
        <w:pStyle w:val="BodyText"/>
        <w:rPr>
          <w:sz w:val="16"/>
        </w:rPr>
      </w:pPr>
      <w:r>
        <w:rPr/>
        <w:br w:type="column"/>
      </w:r>
      <w:r>
        <w:rPr>
          <w:sz w:val="16"/>
        </w:rPr>
      </w:r>
    </w:p>
    <w:p>
      <w:pPr>
        <w:pStyle w:val="BodyText"/>
        <w:spacing w:before="4"/>
        <w:rPr>
          <w:sz w:val="21"/>
        </w:rPr>
      </w:pPr>
    </w:p>
    <w:p>
      <w:pPr>
        <w:pStyle w:val="ListParagraph"/>
        <w:numPr>
          <w:ilvl w:val="0"/>
          <w:numId w:val="163"/>
        </w:numPr>
        <w:tabs>
          <w:tab w:pos="374" w:val="left" w:leader="none"/>
          <w:tab w:pos="4553" w:val="left" w:leader="none"/>
        </w:tabs>
        <w:spacing w:line="240" w:lineRule="auto" w:before="1" w:after="0"/>
        <w:ind w:left="373" w:right="0" w:hanging="223"/>
        <w:jc w:val="left"/>
        <w:rPr>
          <w:sz w:val="15"/>
        </w:rPr>
      </w:pPr>
      <w:r>
        <w:rPr>
          <w:sz w:val="15"/>
        </w:rPr>
        <w:t>Extracción de pieza </w:t>
      </w:r>
      <w:r>
        <w:rPr>
          <w:spacing w:val="4"/>
          <w:sz w:val="15"/>
        </w:rPr>
        <w:t> </w:t>
      </w:r>
      <w:r>
        <w:rPr>
          <w:sz w:val="15"/>
        </w:rPr>
        <w:t>permanente</w:t>
      </w:r>
      <w:r>
        <w:rPr>
          <w:spacing w:val="15"/>
          <w:sz w:val="15"/>
        </w:rPr>
        <w:t> </w:t>
      </w:r>
      <w:r>
        <w:rPr>
          <w:sz w:val="15"/>
        </w:rPr>
        <w:t>simple</w:t>
        <w:tab/>
        <w:t>$124.00</w:t>
      </w:r>
    </w:p>
    <w:p>
      <w:pPr>
        <w:pStyle w:val="ListParagraph"/>
        <w:numPr>
          <w:ilvl w:val="0"/>
          <w:numId w:val="163"/>
        </w:numPr>
        <w:tabs>
          <w:tab w:pos="374" w:val="left" w:leader="none"/>
          <w:tab w:pos="4639" w:val="left" w:leader="none"/>
        </w:tabs>
        <w:spacing w:line="240" w:lineRule="auto" w:before="37" w:after="0"/>
        <w:ind w:left="373" w:right="0" w:hanging="223"/>
        <w:jc w:val="left"/>
        <w:rPr>
          <w:sz w:val="15"/>
        </w:rPr>
      </w:pPr>
      <w:r>
        <w:rPr>
          <w:sz w:val="15"/>
        </w:rPr>
        <w:t>Extracción  de</w:t>
      </w:r>
      <w:r>
        <w:rPr>
          <w:spacing w:val="-13"/>
          <w:sz w:val="15"/>
        </w:rPr>
        <w:t> </w:t>
      </w:r>
      <w:r>
        <w:rPr>
          <w:sz w:val="15"/>
        </w:rPr>
        <w:t>pieza</w:t>
      </w:r>
      <w:r>
        <w:rPr>
          <w:spacing w:val="15"/>
          <w:sz w:val="15"/>
        </w:rPr>
        <w:t> </w:t>
      </w:r>
      <w:r>
        <w:rPr>
          <w:sz w:val="15"/>
        </w:rPr>
        <w:t>temporal</w:t>
        <w:tab/>
        <w:t>$98.00</w:t>
      </w:r>
    </w:p>
    <w:p>
      <w:pPr>
        <w:pStyle w:val="ListParagraph"/>
        <w:numPr>
          <w:ilvl w:val="0"/>
          <w:numId w:val="163"/>
        </w:numPr>
        <w:tabs>
          <w:tab w:pos="332" w:val="left" w:leader="none"/>
          <w:tab w:pos="4639" w:val="left" w:leader="none"/>
        </w:tabs>
        <w:spacing w:line="240" w:lineRule="auto" w:before="38" w:after="0"/>
        <w:ind w:left="331" w:right="0" w:hanging="181"/>
        <w:jc w:val="left"/>
        <w:rPr>
          <w:sz w:val="15"/>
        </w:rPr>
      </w:pPr>
      <w:r>
        <w:rPr>
          <w:sz w:val="15"/>
        </w:rPr>
        <w:t>Obturación con amalgama </w:t>
      </w:r>
      <w:r>
        <w:rPr>
          <w:spacing w:val="1"/>
          <w:sz w:val="15"/>
        </w:rPr>
        <w:t> </w:t>
      </w:r>
      <w:r>
        <w:rPr>
          <w:sz w:val="15"/>
        </w:rPr>
        <w:t>de</w:t>
      </w:r>
      <w:r>
        <w:rPr>
          <w:spacing w:val="15"/>
          <w:sz w:val="15"/>
        </w:rPr>
        <w:t> </w:t>
      </w:r>
      <w:r>
        <w:rPr>
          <w:sz w:val="15"/>
        </w:rPr>
        <w:t>plata</w:t>
        <w:tab/>
        <w:t>$88.00</w:t>
      </w:r>
    </w:p>
    <w:p>
      <w:pPr>
        <w:spacing w:after="0" w:line="240" w:lineRule="auto"/>
        <w:jc w:val="left"/>
        <w:rPr>
          <w:sz w:val="15"/>
        </w:rPr>
        <w:sectPr>
          <w:type w:val="continuous"/>
          <w:pgSz w:w="23250" w:h="15310" w:orient="landscape"/>
          <w:pgMar w:top="0" w:bottom="0" w:left="1880" w:right="1520"/>
          <w:cols w:num="2" w:equalWidth="0">
            <w:col w:w="5548" w:space="6472"/>
            <w:col w:w="7830"/>
          </w:cols>
        </w:sectPr>
      </w:pPr>
    </w:p>
    <w:p>
      <w:pPr>
        <w:pStyle w:val="BodyText"/>
        <w:rPr>
          <w:sz w:val="20"/>
        </w:rPr>
      </w:pPr>
    </w:p>
    <w:p>
      <w:pPr>
        <w:pStyle w:val="BodyText"/>
        <w:spacing w:before="2"/>
        <w:rPr>
          <w:sz w:val="17"/>
        </w:rPr>
      </w:pPr>
    </w:p>
    <w:p>
      <w:pPr>
        <w:pStyle w:val="BodyText"/>
        <w:tabs>
          <w:tab w:pos="5036" w:val="left" w:leader="none"/>
        </w:tabs>
        <w:spacing w:before="98"/>
        <w:ind w:left="151"/>
      </w:pPr>
      <w:r>
        <w:rPr/>
        <w:pict>
          <v:shape style="position:absolute;margin-left:101.55201pt;margin-top:-19.456802pt;width:851.45pt;height:189.35pt;mso-position-horizontal-relative:page;mso-position-vertical-relative:paragraph;z-index:2517043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8"/>
                    <w:gridCol w:w="4731"/>
                    <w:gridCol w:w="7664"/>
                    <w:gridCol w:w="875"/>
                  </w:tblGrid>
                  <w:tr>
                    <w:trPr>
                      <w:trHeight w:val="190" w:hRule="atLeast"/>
                    </w:trPr>
                    <w:tc>
                      <w:tcPr>
                        <w:tcW w:w="16153" w:type="dxa"/>
                        <w:gridSpan w:val="3"/>
                      </w:tcPr>
                      <w:p>
                        <w:pPr>
                          <w:pStyle w:val="TableParagraph"/>
                          <w:spacing w:line="171" w:lineRule="exact"/>
                          <w:ind w:right="1639"/>
                          <w:jc w:val="right"/>
                          <w:rPr>
                            <w:sz w:val="15"/>
                          </w:rPr>
                        </w:pPr>
                        <w:r>
                          <w:rPr>
                            <w:sz w:val="15"/>
                          </w:rPr>
                          <w:t>g) Obturación con resina fotocurable</w:t>
                        </w:r>
                      </w:p>
                    </w:tc>
                    <w:tc>
                      <w:tcPr>
                        <w:tcW w:w="875" w:type="dxa"/>
                      </w:tcPr>
                      <w:p>
                        <w:pPr>
                          <w:pStyle w:val="TableParagraph"/>
                          <w:spacing w:line="171" w:lineRule="exact"/>
                          <w:ind w:right="47"/>
                          <w:jc w:val="right"/>
                          <w:rPr>
                            <w:sz w:val="15"/>
                          </w:rPr>
                        </w:pPr>
                        <w:r>
                          <w:rPr>
                            <w:sz w:val="15"/>
                          </w:rPr>
                          <w:t>$127.00</w:t>
                        </w:r>
                      </w:p>
                    </w:tc>
                  </w:tr>
                  <w:tr>
                    <w:trPr>
                      <w:trHeight w:val="209" w:hRule="atLeast"/>
                    </w:trPr>
                    <w:tc>
                      <w:tcPr>
                        <w:tcW w:w="16153" w:type="dxa"/>
                        <w:gridSpan w:val="3"/>
                      </w:tcPr>
                      <w:p>
                        <w:pPr>
                          <w:pStyle w:val="TableParagraph"/>
                          <w:tabs>
                            <w:tab w:pos="12019" w:val="left" w:leader="none"/>
                          </w:tabs>
                          <w:spacing w:line="139" w:lineRule="auto"/>
                          <w:ind w:left="397"/>
                          <w:rPr>
                            <w:sz w:val="15"/>
                          </w:rPr>
                        </w:pPr>
                        <w:r>
                          <w:rPr>
                            <w:sz w:val="15"/>
                          </w:rPr>
                          <w:t>d)    Traslado   de   pacientes   en   ambulancia,  </w:t>
                        </w:r>
                        <w:r>
                          <w:rPr>
                            <w:spacing w:val="9"/>
                            <w:sz w:val="15"/>
                          </w:rPr>
                          <w:t> </w:t>
                        </w:r>
                        <w:r>
                          <w:rPr>
                            <w:sz w:val="15"/>
                          </w:rPr>
                          <w:t>fuera  </w:t>
                        </w:r>
                        <w:r>
                          <w:rPr>
                            <w:spacing w:val="1"/>
                            <w:sz w:val="15"/>
                          </w:rPr>
                          <w:t> </w:t>
                        </w:r>
                        <w:r>
                          <w:rPr>
                            <w:sz w:val="15"/>
                          </w:rPr>
                          <w:t>del</w:t>
                          <w:tab/>
                        </w:r>
                        <w:r>
                          <w:rPr>
                            <w:position w:val="-7"/>
                            <w:sz w:val="15"/>
                          </w:rPr>
                          <w:t>h) Obturación temporal con</w:t>
                        </w:r>
                        <w:r>
                          <w:rPr>
                            <w:spacing w:val="10"/>
                            <w:position w:val="-7"/>
                            <w:sz w:val="15"/>
                          </w:rPr>
                          <w:t> </w:t>
                        </w:r>
                        <w:r>
                          <w:rPr>
                            <w:position w:val="-7"/>
                            <w:sz w:val="15"/>
                          </w:rPr>
                          <w:t>cemento</w:t>
                        </w:r>
                      </w:p>
                    </w:tc>
                    <w:tc>
                      <w:tcPr>
                        <w:tcW w:w="875" w:type="dxa"/>
                      </w:tcPr>
                      <w:p>
                        <w:pPr>
                          <w:pStyle w:val="TableParagraph"/>
                          <w:spacing w:before="17"/>
                          <w:ind w:right="47"/>
                          <w:jc w:val="right"/>
                          <w:rPr>
                            <w:sz w:val="15"/>
                          </w:rPr>
                        </w:pPr>
                        <w:r>
                          <w:rPr>
                            <w:sz w:val="15"/>
                          </w:rPr>
                          <w:t>$88.00</w:t>
                        </w:r>
                      </w:p>
                    </w:tc>
                  </w:tr>
                  <w:tr>
                    <w:trPr>
                      <w:trHeight w:val="209" w:hRule="atLeast"/>
                    </w:trPr>
                    <w:tc>
                      <w:tcPr>
                        <w:tcW w:w="16153" w:type="dxa"/>
                        <w:gridSpan w:val="3"/>
                      </w:tcPr>
                      <w:p>
                        <w:pPr>
                          <w:pStyle w:val="TableParagraph"/>
                          <w:tabs>
                            <w:tab w:pos="12019" w:val="left" w:leader="none"/>
                          </w:tabs>
                          <w:spacing w:line="84" w:lineRule="auto"/>
                          <w:rPr>
                            <w:sz w:val="15"/>
                          </w:rPr>
                        </w:pPr>
                        <w:r>
                          <w:rPr>
                            <w:sz w:val="15"/>
                          </w:rPr>
                          <w:t>Municipio,</w:t>
                        </w:r>
                        <w:r>
                          <w:rPr>
                            <w:spacing w:val="33"/>
                            <w:sz w:val="15"/>
                          </w:rPr>
                          <w:t> </w:t>
                        </w:r>
                        <w:r>
                          <w:rPr>
                            <w:sz w:val="15"/>
                          </w:rPr>
                          <w:t>además</w:t>
                        </w:r>
                        <w:r>
                          <w:rPr>
                            <w:spacing w:val="34"/>
                            <w:sz w:val="15"/>
                          </w:rPr>
                          <w:t> </w:t>
                        </w:r>
                        <w:r>
                          <w:rPr>
                            <w:sz w:val="15"/>
                          </w:rPr>
                          <w:t>del</w:t>
                        </w:r>
                        <w:r>
                          <w:rPr>
                            <w:spacing w:val="33"/>
                            <w:sz w:val="15"/>
                          </w:rPr>
                          <w:t> </w:t>
                        </w:r>
                        <w:r>
                          <w:rPr>
                            <w:sz w:val="15"/>
                          </w:rPr>
                          <w:t>pago</w:t>
                        </w:r>
                        <w:r>
                          <w:rPr>
                            <w:spacing w:val="34"/>
                            <w:sz w:val="15"/>
                          </w:rPr>
                          <w:t> </w:t>
                        </w:r>
                        <w:r>
                          <w:rPr>
                            <w:sz w:val="15"/>
                          </w:rPr>
                          <w:t>de</w:t>
                        </w:r>
                        <w:r>
                          <w:rPr>
                            <w:spacing w:val="34"/>
                            <w:sz w:val="15"/>
                          </w:rPr>
                          <w:t> </w:t>
                        </w:r>
                        <w:r>
                          <w:rPr>
                            <w:sz w:val="15"/>
                          </w:rPr>
                          <w:t>los</w:t>
                        </w:r>
                        <w:r>
                          <w:rPr>
                            <w:spacing w:val="33"/>
                            <w:sz w:val="15"/>
                          </w:rPr>
                          <w:t> </w:t>
                        </w:r>
                        <w:r>
                          <w:rPr>
                            <w:sz w:val="15"/>
                          </w:rPr>
                          <w:t>derechos</w:t>
                        </w:r>
                        <w:r>
                          <w:rPr>
                            <w:spacing w:val="34"/>
                            <w:sz w:val="15"/>
                          </w:rPr>
                          <w:t> </w:t>
                        </w:r>
                        <w:r>
                          <w:rPr>
                            <w:sz w:val="15"/>
                          </w:rPr>
                          <w:t>señalados</w:t>
                        </w:r>
                        <w:r>
                          <w:rPr>
                            <w:spacing w:val="34"/>
                            <w:sz w:val="15"/>
                          </w:rPr>
                          <w:t> </w:t>
                        </w:r>
                        <w:r>
                          <w:rPr>
                            <w:sz w:val="15"/>
                          </w:rPr>
                          <w:t>en</w:t>
                        </w:r>
                        <w:r>
                          <w:rPr>
                            <w:spacing w:val="33"/>
                            <w:sz w:val="15"/>
                          </w:rPr>
                          <w:t> </w:t>
                        </w:r>
                        <w:r>
                          <w:rPr>
                            <w:sz w:val="15"/>
                          </w:rPr>
                          <w:t>el</w:t>
                          <w:tab/>
                        </w:r>
                        <w:r>
                          <w:rPr>
                            <w:position w:val="-10"/>
                            <w:sz w:val="15"/>
                          </w:rPr>
                          <w:t>i) Rayos X</w:t>
                        </w:r>
                        <w:r>
                          <w:rPr>
                            <w:spacing w:val="6"/>
                            <w:position w:val="-10"/>
                            <w:sz w:val="15"/>
                          </w:rPr>
                          <w:t> </w:t>
                        </w:r>
                        <w:r>
                          <w:rPr>
                            <w:position w:val="-10"/>
                            <w:sz w:val="15"/>
                          </w:rPr>
                          <w:t>periapical</w:t>
                        </w:r>
                      </w:p>
                    </w:tc>
                    <w:tc>
                      <w:tcPr>
                        <w:tcW w:w="875" w:type="dxa"/>
                      </w:tcPr>
                      <w:p>
                        <w:pPr>
                          <w:pStyle w:val="TableParagraph"/>
                          <w:spacing w:before="17"/>
                          <w:ind w:right="48"/>
                          <w:jc w:val="right"/>
                          <w:rPr>
                            <w:sz w:val="15"/>
                          </w:rPr>
                        </w:pPr>
                        <w:r>
                          <w:rPr>
                            <w:sz w:val="15"/>
                          </w:rPr>
                          <w:t>$93.00</w:t>
                        </w:r>
                      </w:p>
                    </w:tc>
                  </w:tr>
                  <w:tr>
                    <w:trPr>
                      <w:trHeight w:val="209" w:hRule="atLeast"/>
                    </w:trPr>
                    <w:tc>
                      <w:tcPr>
                        <w:tcW w:w="3758" w:type="dxa"/>
                      </w:tcPr>
                      <w:p>
                        <w:pPr>
                          <w:pStyle w:val="TableParagraph"/>
                          <w:rPr>
                            <w:rFonts w:ascii="Times New Roman"/>
                            <w:sz w:val="12"/>
                          </w:rPr>
                        </w:pPr>
                      </w:p>
                    </w:tc>
                    <w:tc>
                      <w:tcPr>
                        <w:tcW w:w="4731" w:type="dxa"/>
                      </w:tcPr>
                      <w:p>
                        <w:pPr>
                          <w:pStyle w:val="TableParagraph"/>
                          <w:rPr>
                            <w:rFonts w:ascii="Times New Roman"/>
                            <w:sz w:val="12"/>
                          </w:rPr>
                        </w:pPr>
                      </w:p>
                    </w:tc>
                    <w:tc>
                      <w:tcPr>
                        <w:tcW w:w="7664" w:type="dxa"/>
                      </w:tcPr>
                      <w:p>
                        <w:pPr>
                          <w:pStyle w:val="TableParagraph"/>
                          <w:spacing w:line="171" w:lineRule="exact"/>
                          <w:ind w:left="3530"/>
                          <w:rPr>
                            <w:sz w:val="15"/>
                          </w:rPr>
                        </w:pPr>
                        <w:r>
                          <w:rPr>
                            <w:sz w:val="15"/>
                          </w:rPr>
                          <w:t>j) Recubrimientos pulpares</w:t>
                        </w:r>
                      </w:p>
                    </w:tc>
                    <w:tc>
                      <w:tcPr>
                        <w:tcW w:w="875" w:type="dxa"/>
                      </w:tcPr>
                      <w:p>
                        <w:pPr>
                          <w:pStyle w:val="TableParagraph"/>
                          <w:spacing w:line="171" w:lineRule="exact"/>
                          <w:ind w:right="47"/>
                          <w:jc w:val="right"/>
                          <w:rPr>
                            <w:sz w:val="15"/>
                          </w:rPr>
                        </w:pPr>
                        <w:r>
                          <w:rPr>
                            <w:sz w:val="15"/>
                          </w:rPr>
                          <w:t>$56.00</w:t>
                        </w:r>
                      </w:p>
                    </w:tc>
                  </w:tr>
                  <w:tr>
                    <w:trPr>
                      <w:trHeight w:val="227" w:hRule="atLeast"/>
                    </w:trPr>
                    <w:tc>
                      <w:tcPr>
                        <w:tcW w:w="3758" w:type="dxa"/>
                      </w:tcPr>
                      <w:p>
                        <w:pPr>
                          <w:pStyle w:val="TableParagraph"/>
                          <w:spacing w:line="154" w:lineRule="exact" w:before="53"/>
                          <w:ind w:left="397"/>
                          <w:rPr>
                            <w:sz w:val="15"/>
                          </w:rPr>
                        </w:pPr>
                        <w:r>
                          <w:rPr>
                            <w:sz w:val="15"/>
                          </w:rPr>
                          <w:t>II. Consulta Externa:</w:t>
                        </w:r>
                      </w:p>
                    </w:tc>
                    <w:tc>
                      <w:tcPr>
                        <w:tcW w:w="4731" w:type="dxa"/>
                      </w:tcPr>
                      <w:p>
                        <w:pPr>
                          <w:pStyle w:val="TableParagraph"/>
                          <w:rPr>
                            <w:rFonts w:ascii="Times New Roman"/>
                            <w:sz w:val="14"/>
                          </w:rPr>
                        </w:pPr>
                      </w:p>
                    </w:tc>
                    <w:tc>
                      <w:tcPr>
                        <w:tcW w:w="7664" w:type="dxa"/>
                      </w:tcPr>
                      <w:p>
                        <w:pPr>
                          <w:pStyle w:val="TableParagraph"/>
                          <w:spacing w:before="17"/>
                          <w:ind w:left="3530"/>
                          <w:rPr>
                            <w:sz w:val="15"/>
                          </w:rPr>
                        </w:pPr>
                        <w:r>
                          <w:rPr>
                            <w:sz w:val="15"/>
                          </w:rPr>
                          <w:t>k) Sellado de fosas y fisuras</w:t>
                        </w:r>
                      </w:p>
                    </w:tc>
                    <w:tc>
                      <w:tcPr>
                        <w:tcW w:w="875" w:type="dxa"/>
                      </w:tcPr>
                      <w:p>
                        <w:pPr>
                          <w:pStyle w:val="TableParagraph"/>
                          <w:spacing w:before="17"/>
                          <w:ind w:right="47"/>
                          <w:jc w:val="right"/>
                          <w:rPr>
                            <w:sz w:val="15"/>
                          </w:rPr>
                        </w:pPr>
                        <w:r>
                          <w:rPr>
                            <w:sz w:val="15"/>
                          </w:rPr>
                          <w:t>$91.00</w:t>
                        </w:r>
                      </w:p>
                    </w:tc>
                  </w:tr>
                  <w:tr>
                    <w:trPr>
                      <w:trHeight w:val="209" w:hRule="atLeast"/>
                    </w:trPr>
                    <w:tc>
                      <w:tcPr>
                        <w:tcW w:w="3758" w:type="dxa"/>
                      </w:tcPr>
                      <w:p>
                        <w:pPr>
                          <w:pStyle w:val="TableParagraph"/>
                          <w:spacing w:line="154" w:lineRule="exact" w:before="35"/>
                          <w:ind w:left="397"/>
                          <w:rPr>
                            <w:sz w:val="15"/>
                          </w:rPr>
                        </w:pPr>
                        <w:r>
                          <w:rPr>
                            <w:sz w:val="15"/>
                          </w:rPr>
                          <w:t>a) Consulta General</w:t>
                        </w:r>
                      </w:p>
                    </w:tc>
                    <w:tc>
                      <w:tcPr>
                        <w:tcW w:w="4731" w:type="dxa"/>
                      </w:tcPr>
                      <w:p>
                        <w:pPr>
                          <w:pStyle w:val="TableParagraph"/>
                          <w:spacing w:line="154" w:lineRule="exact" w:before="35"/>
                          <w:ind w:left="1127"/>
                          <w:rPr>
                            <w:sz w:val="15"/>
                          </w:rPr>
                        </w:pPr>
                        <w:r>
                          <w:rPr>
                            <w:sz w:val="15"/>
                          </w:rPr>
                          <w:t>$52.00</w:t>
                        </w:r>
                      </w:p>
                    </w:tc>
                    <w:tc>
                      <w:tcPr>
                        <w:tcW w:w="7664" w:type="dxa"/>
                      </w:tcPr>
                      <w:p>
                        <w:pPr>
                          <w:pStyle w:val="TableParagraph"/>
                          <w:spacing w:line="172" w:lineRule="exact"/>
                          <w:ind w:left="3530"/>
                          <w:rPr>
                            <w:sz w:val="15"/>
                          </w:rPr>
                        </w:pPr>
                        <w:r>
                          <w:rPr>
                            <w:sz w:val="15"/>
                          </w:rPr>
                          <w:t>l) Profilaxis con cavitron</w:t>
                        </w:r>
                      </w:p>
                    </w:tc>
                    <w:tc>
                      <w:tcPr>
                        <w:tcW w:w="875" w:type="dxa"/>
                      </w:tcPr>
                      <w:p>
                        <w:pPr>
                          <w:pStyle w:val="TableParagraph"/>
                          <w:spacing w:line="172" w:lineRule="exact"/>
                          <w:ind w:right="47"/>
                          <w:jc w:val="right"/>
                          <w:rPr>
                            <w:sz w:val="15"/>
                          </w:rPr>
                        </w:pPr>
                        <w:r>
                          <w:rPr>
                            <w:sz w:val="15"/>
                          </w:rPr>
                          <w:t>$132.00</w:t>
                        </w:r>
                      </w:p>
                    </w:tc>
                  </w:tr>
                  <w:tr>
                    <w:trPr>
                      <w:trHeight w:val="209" w:hRule="atLeast"/>
                    </w:trPr>
                    <w:tc>
                      <w:tcPr>
                        <w:tcW w:w="3758" w:type="dxa"/>
                      </w:tcPr>
                      <w:p>
                        <w:pPr>
                          <w:pStyle w:val="TableParagraph"/>
                          <w:spacing w:line="154" w:lineRule="exact" w:before="35"/>
                          <w:ind w:left="397"/>
                          <w:rPr>
                            <w:sz w:val="15"/>
                          </w:rPr>
                        </w:pPr>
                        <w:r>
                          <w:rPr>
                            <w:sz w:val="15"/>
                          </w:rPr>
                          <w:t>b) Consulta de Especialidad</w:t>
                        </w:r>
                      </w:p>
                    </w:tc>
                    <w:tc>
                      <w:tcPr>
                        <w:tcW w:w="4731" w:type="dxa"/>
                      </w:tcPr>
                      <w:p>
                        <w:pPr>
                          <w:pStyle w:val="TableParagraph"/>
                          <w:spacing w:line="154" w:lineRule="exact" w:before="35"/>
                          <w:ind w:left="1126"/>
                          <w:rPr>
                            <w:sz w:val="15"/>
                          </w:rPr>
                        </w:pPr>
                        <w:r>
                          <w:rPr>
                            <w:sz w:val="15"/>
                          </w:rPr>
                          <w:t>$83.00</w:t>
                        </w:r>
                      </w:p>
                    </w:tc>
                    <w:tc>
                      <w:tcPr>
                        <w:tcW w:w="7664" w:type="dxa"/>
                      </w:tcPr>
                      <w:p>
                        <w:pPr>
                          <w:pStyle w:val="TableParagraph"/>
                          <w:spacing w:line="172" w:lineRule="exact"/>
                          <w:ind w:left="3530"/>
                          <w:rPr>
                            <w:sz w:val="15"/>
                          </w:rPr>
                        </w:pPr>
                        <w:r>
                          <w:rPr>
                            <w:sz w:val="15"/>
                          </w:rPr>
                          <w:t>m) Exodoncia simple</w:t>
                        </w:r>
                      </w:p>
                    </w:tc>
                    <w:tc>
                      <w:tcPr>
                        <w:tcW w:w="875" w:type="dxa"/>
                      </w:tcPr>
                      <w:p>
                        <w:pPr>
                          <w:pStyle w:val="TableParagraph"/>
                          <w:spacing w:line="172" w:lineRule="exact"/>
                          <w:ind w:right="47"/>
                          <w:jc w:val="right"/>
                          <w:rPr>
                            <w:sz w:val="15"/>
                          </w:rPr>
                        </w:pPr>
                        <w:r>
                          <w:rPr>
                            <w:sz w:val="15"/>
                          </w:rPr>
                          <w:t>$141.00</w:t>
                        </w:r>
                      </w:p>
                    </w:tc>
                  </w:tr>
                  <w:tr>
                    <w:trPr>
                      <w:trHeight w:val="209" w:hRule="atLeast"/>
                    </w:trPr>
                    <w:tc>
                      <w:tcPr>
                        <w:tcW w:w="3758" w:type="dxa"/>
                      </w:tcPr>
                      <w:p>
                        <w:pPr>
                          <w:pStyle w:val="TableParagraph"/>
                          <w:spacing w:line="154" w:lineRule="exact" w:before="35"/>
                          <w:ind w:left="397"/>
                          <w:rPr>
                            <w:sz w:val="15"/>
                          </w:rPr>
                        </w:pPr>
                        <w:r>
                          <w:rPr>
                            <w:sz w:val="15"/>
                          </w:rPr>
                          <w:t>c) Consulta de Urgencias</w:t>
                        </w:r>
                      </w:p>
                    </w:tc>
                    <w:tc>
                      <w:tcPr>
                        <w:tcW w:w="4731" w:type="dxa"/>
                      </w:tcPr>
                      <w:p>
                        <w:pPr>
                          <w:pStyle w:val="TableParagraph"/>
                          <w:spacing w:line="154" w:lineRule="exact" w:before="35"/>
                          <w:ind w:left="1127"/>
                          <w:rPr>
                            <w:sz w:val="15"/>
                          </w:rPr>
                        </w:pPr>
                        <w:r>
                          <w:rPr>
                            <w:sz w:val="15"/>
                          </w:rPr>
                          <w:t>$64.00</w:t>
                        </w:r>
                      </w:p>
                    </w:tc>
                    <w:tc>
                      <w:tcPr>
                        <w:tcW w:w="7664" w:type="dxa"/>
                      </w:tcPr>
                      <w:p>
                        <w:pPr>
                          <w:pStyle w:val="TableParagraph"/>
                          <w:spacing w:line="172" w:lineRule="exact"/>
                          <w:ind w:left="3530"/>
                          <w:rPr>
                            <w:sz w:val="15"/>
                          </w:rPr>
                        </w:pPr>
                        <w:r>
                          <w:rPr>
                            <w:sz w:val="15"/>
                          </w:rPr>
                          <w:t>n) Exodoncia por disección</w:t>
                        </w:r>
                      </w:p>
                    </w:tc>
                    <w:tc>
                      <w:tcPr>
                        <w:tcW w:w="875" w:type="dxa"/>
                      </w:tcPr>
                      <w:p>
                        <w:pPr>
                          <w:pStyle w:val="TableParagraph"/>
                          <w:spacing w:line="172" w:lineRule="exact"/>
                          <w:ind w:right="47"/>
                          <w:jc w:val="right"/>
                          <w:rPr>
                            <w:sz w:val="15"/>
                          </w:rPr>
                        </w:pPr>
                        <w:r>
                          <w:rPr>
                            <w:sz w:val="15"/>
                          </w:rPr>
                          <w:t>$298.00</w:t>
                        </w:r>
                      </w:p>
                    </w:tc>
                  </w:tr>
                  <w:tr>
                    <w:trPr>
                      <w:trHeight w:val="191" w:hRule="atLeast"/>
                    </w:trPr>
                    <w:tc>
                      <w:tcPr>
                        <w:tcW w:w="3758" w:type="dxa"/>
                      </w:tcPr>
                      <w:p>
                        <w:pPr>
                          <w:pStyle w:val="TableParagraph"/>
                          <w:rPr>
                            <w:rFonts w:ascii="Times New Roman"/>
                            <w:sz w:val="12"/>
                          </w:rPr>
                        </w:pPr>
                      </w:p>
                    </w:tc>
                    <w:tc>
                      <w:tcPr>
                        <w:tcW w:w="4731" w:type="dxa"/>
                      </w:tcPr>
                      <w:p>
                        <w:pPr>
                          <w:pStyle w:val="TableParagraph"/>
                          <w:rPr>
                            <w:rFonts w:ascii="Times New Roman"/>
                            <w:sz w:val="12"/>
                          </w:rPr>
                        </w:pPr>
                      </w:p>
                    </w:tc>
                    <w:tc>
                      <w:tcPr>
                        <w:tcW w:w="7664" w:type="dxa"/>
                      </w:tcPr>
                      <w:p>
                        <w:pPr>
                          <w:pStyle w:val="TableParagraph"/>
                          <w:spacing w:line="172" w:lineRule="exact"/>
                          <w:ind w:left="3530"/>
                          <w:rPr>
                            <w:sz w:val="15"/>
                          </w:rPr>
                        </w:pPr>
                        <w:r>
                          <w:rPr>
                            <w:sz w:val="15"/>
                          </w:rPr>
                          <w:t>o) Curaciones dentales</w:t>
                        </w:r>
                      </w:p>
                    </w:tc>
                    <w:tc>
                      <w:tcPr>
                        <w:tcW w:w="875" w:type="dxa"/>
                      </w:tcPr>
                      <w:p>
                        <w:pPr>
                          <w:pStyle w:val="TableParagraph"/>
                          <w:spacing w:line="172" w:lineRule="exact"/>
                          <w:ind w:right="47"/>
                          <w:jc w:val="right"/>
                          <w:rPr>
                            <w:sz w:val="15"/>
                          </w:rPr>
                        </w:pPr>
                        <w:r>
                          <w:rPr>
                            <w:sz w:val="15"/>
                          </w:rPr>
                          <w:t>$78.00</w:t>
                        </w:r>
                      </w:p>
                    </w:tc>
                  </w:tr>
                  <w:tr>
                    <w:trPr>
                      <w:trHeight w:val="196" w:hRule="atLeast"/>
                    </w:trPr>
                    <w:tc>
                      <w:tcPr>
                        <w:tcW w:w="3758" w:type="dxa"/>
                      </w:tcPr>
                      <w:p>
                        <w:pPr>
                          <w:pStyle w:val="TableParagraph"/>
                          <w:spacing w:line="156" w:lineRule="exact" w:before="21"/>
                          <w:ind w:left="397"/>
                          <w:rPr>
                            <w:sz w:val="15"/>
                          </w:rPr>
                        </w:pPr>
                        <w:r>
                          <w:rPr>
                            <w:sz w:val="15"/>
                          </w:rPr>
                          <w:t>III. Urgencias:</w:t>
                        </w:r>
                      </w:p>
                    </w:tc>
                    <w:tc>
                      <w:tcPr>
                        <w:tcW w:w="4731" w:type="dxa"/>
                      </w:tcPr>
                      <w:p>
                        <w:pPr>
                          <w:pStyle w:val="TableParagraph"/>
                          <w:rPr>
                            <w:rFonts w:ascii="Times New Roman"/>
                            <w:sz w:val="12"/>
                          </w:rPr>
                        </w:pPr>
                      </w:p>
                    </w:tc>
                    <w:tc>
                      <w:tcPr>
                        <w:tcW w:w="7664" w:type="dxa"/>
                      </w:tcPr>
                      <w:p>
                        <w:pPr>
                          <w:pStyle w:val="TableParagraph"/>
                          <w:spacing w:line="159" w:lineRule="exact" w:before="17"/>
                          <w:ind w:left="3530"/>
                          <w:rPr>
                            <w:sz w:val="15"/>
                          </w:rPr>
                        </w:pPr>
                        <w:r>
                          <w:rPr>
                            <w:sz w:val="15"/>
                          </w:rPr>
                          <w:t>p) Sutura dental</w:t>
                        </w:r>
                      </w:p>
                    </w:tc>
                    <w:tc>
                      <w:tcPr>
                        <w:tcW w:w="875" w:type="dxa"/>
                      </w:tcPr>
                      <w:p>
                        <w:pPr>
                          <w:pStyle w:val="TableParagraph"/>
                          <w:spacing w:line="159" w:lineRule="exact" w:before="17"/>
                          <w:ind w:right="47"/>
                          <w:jc w:val="right"/>
                          <w:rPr>
                            <w:sz w:val="15"/>
                          </w:rPr>
                        </w:pPr>
                        <w:r>
                          <w:rPr>
                            <w:sz w:val="15"/>
                          </w:rPr>
                          <w:t>$138.00</w:t>
                        </w:r>
                      </w:p>
                    </w:tc>
                  </w:tr>
                  <w:tr>
                    <w:trPr>
                      <w:trHeight w:val="208" w:hRule="atLeast"/>
                    </w:trPr>
                    <w:tc>
                      <w:tcPr>
                        <w:tcW w:w="3758" w:type="dxa"/>
                      </w:tcPr>
                      <w:p>
                        <w:pPr>
                          <w:pStyle w:val="TableParagraph"/>
                          <w:spacing w:before="1"/>
                          <w:ind w:left="397"/>
                          <w:rPr>
                            <w:sz w:val="15"/>
                          </w:rPr>
                        </w:pPr>
                        <w:r>
                          <w:rPr>
                            <w:sz w:val="15"/>
                          </w:rPr>
                          <w:t>a) Consulta de Urgencias Adultos</w:t>
                        </w:r>
                      </w:p>
                    </w:tc>
                    <w:tc>
                      <w:tcPr>
                        <w:tcW w:w="4731" w:type="dxa"/>
                      </w:tcPr>
                      <w:p>
                        <w:pPr>
                          <w:pStyle w:val="TableParagraph"/>
                          <w:spacing w:before="1"/>
                          <w:ind w:left="1126"/>
                          <w:rPr>
                            <w:sz w:val="15"/>
                          </w:rPr>
                        </w:pPr>
                        <w:r>
                          <w:rPr>
                            <w:sz w:val="15"/>
                          </w:rPr>
                          <w:t>$64.00</w:t>
                        </w:r>
                      </w:p>
                    </w:tc>
                    <w:tc>
                      <w:tcPr>
                        <w:tcW w:w="7664" w:type="dxa"/>
                      </w:tcPr>
                      <w:p>
                        <w:pPr>
                          <w:pStyle w:val="TableParagraph"/>
                          <w:spacing w:line="158" w:lineRule="exact" w:before="30"/>
                          <w:ind w:left="3530"/>
                          <w:rPr>
                            <w:sz w:val="15"/>
                          </w:rPr>
                        </w:pPr>
                        <w:r>
                          <w:rPr>
                            <w:sz w:val="15"/>
                          </w:rPr>
                          <w:t>q) Endodoncia en Molares</w:t>
                        </w:r>
                      </w:p>
                    </w:tc>
                    <w:tc>
                      <w:tcPr>
                        <w:tcW w:w="875" w:type="dxa"/>
                      </w:tcPr>
                      <w:p>
                        <w:pPr>
                          <w:pStyle w:val="TableParagraph"/>
                          <w:spacing w:line="158" w:lineRule="exact" w:before="30"/>
                          <w:ind w:right="47"/>
                          <w:jc w:val="right"/>
                          <w:rPr>
                            <w:sz w:val="15"/>
                          </w:rPr>
                        </w:pPr>
                        <w:r>
                          <w:rPr>
                            <w:sz w:val="15"/>
                          </w:rPr>
                          <w:t>$972.00</w:t>
                        </w:r>
                      </w:p>
                    </w:tc>
                  </w:tr>
                  <w:tr>
                    <w:trPr>
                      <w:trHeight w:val="209" w:hRule="atLeast"/>
                    </w:trPr>
                    <w:tc>
                      <w:tcPr>
                        <w:tcW w:w="3758" w:type="dxa"/>
                      </w:tcPr>
                      <w:p>
                        <w:pPr>
                          <w:pStyle w:val="TableParagraph"/>
                          <w:spacing w:before="3"/>
                          <w:ind w:left="397"/>
                          <w:rPr>
                            <w:sz w:val="15"/>
                          </w:rPr>
                        </w:pPr>
                        <w:r>
                          <w:rPr>
                            <w:sz w:val="15"/>
                          </w:rPr>
                          <w:t>b) Consulta de Urgencia Pediatría</w:t>
                        </w:r>
                      </w:p>
                    </w:tc>
                    <w:tc>
                      <w:tcPr>
                        <w:tcW w:w="4731" w:type="dxa"/>
                      </w:tcPr>
                      <w:p>
                        <w:pPr>
                          <w:pStyle w:val="TableParagraph"/>
                          <w:spacing w:before="3"/>
                          <w:ind w:left="1126"/>
                          <w:rPr>
                            <w:sz w:val="15"/>
                          </w:rPr>
                        </w:pPr>
                        <w:r>
                          <w:rPr>
                            <w:sz w:val="15"/>
                          </w:rPr>
                          <w:t>$64.00</w:t>
                        </w:r>
                      </w:p>
                    </w:tc>
                    <w:tc>
                      <w:tcPr>
                        <w:tcW w:w="7664" w:type="dxa"/>
                      </w:tcPr>
                      <w:p>
                        <w:pPr>
                          <w:pStyle w:val="TableParagraph"/>
                          <w:spacing w:line="158" w:lineRule="exact" w:before="32"/>
                          <w:ind w:left="3530"/>
                          <w:rPr>
                            <w:sz w:val="15"/>
                          </w:rPr>
                        </w:pPr>
                        <w:r>
                          <w:rPr>
                            <w:sz w:val="15"/>
                          </w:rPr>
                          <w:t>r) Endodoncia en centrales, Laterales y Caninos</w:t>
                        </w:r>
                      </w:p>
                    </w:tc>
                    <w:tc>
                      <w:tcPr>
                        <w:tcW w:w="875" w:type="dxa"/>
                      </w:tcPr>
                      <w:p>
                        <w:pPr>
                          <w:pStyle w:val="TableParagraph"/>
                          <w:spacing w:line="158" w:lineRule="exact" w:before="32"/>
                          <w:ind w:right="48"/>
                          <w:jc w:val="right"/>
                          <w:rPr>
                            <w:sz w:val="15"/>
                          </w:rPr>
                        </w:pPr>
                        <w:r>
                          <w:rPr>
                            <w:sz w:val="15"/>
                          </w:rPr>
                          <w:t>$609.00</w:t>
                        </w:r>
                      </w:p>
                    </w:tc>
                  </w:tr>
                  <w:tr>
                    <w:trPr>
                      <w:trHeight w:val="193" w:hRule="atLeast"/>
                    </w:trPr>
                    <w:tc>
                      <w:tcPr>
                        <w:tcW w:w="3758" w:type="dxa"/>
                      </w:tcPr>
                      <w:p>
                        <w:pPr>
                          <w:pStyle w:val="TableParagraph"/>
                          <w:spacing w:line="171" w:lineRule="exact" w:before="3"/>
                          <w:ind w:left="397"/>
                          <w:rPr>
                            <w:sz w:val="15"/>
                          </w:rPr>
                        </w:pPr>
                        <w:r>
                          <w:rPr>
                            <w:sz w:val="15"/>
                          </w:rPr>
                          <w:t>c) Hospitalización de cama:</w:t>
                        </w:r>
                      </w:p>
                    </w:tc>
                    <w:tc>
                      <w:tcPr>
                        <w:tcW w:w="4731" w:type="dxa"/>
                      </w:tcPr>
                      <w:p>
                        <w:pPr>
                          <w:pStyle w:val="TableParagraph"/>
                          <w:rPr>
                            <w:rFonts w:ascii="Times New Roman"/>
                            <w:sz w:val="12"/>
                          </w:rPr>
                        </w:pPr>
                      </w:p>
                    </w:tc>
                    <w:tc>
                      <w:tcPr>
                        <w:tcW w:w="7664" w:type="dxa"/>
                      </w:tcPr>
                      <w:p>
                        <w:pPr>
                          <w:pStyle w:val="TableParagraph"/>
                          <w:rPr>
                            <w:rFonts w:ascii="Times New Roman"/>
                            <w:sz w:val="12"/>
                          </w:rPr>
                        </w:pPr>
                      </w:p>
                    </w:tc>
                    <w:tc>
                      <w:tcPr>
                        <w:tcW w:w="875" w:type="dxa"/>
                      </w:tcPr>
                      <w:p>
                        <w:pPr>
                          <w:pStyle w:val="TableParagraph"/>
                          <w:rPr>
                            <w:rFonts w:ascii="Times New Roman"/>
                            <w:sz w:val="12"/>
                          </w:rPr>
                        </w:pPr>
                      </w:p>
                    </w:tc>
                  </w:tr>
                  <w:tr>
                    <w:trPr>
                      <w:trHeight w:val="193" w:hRule="atLeast"/>
                    </w:trPr>
                    <w:tc>
                      <w:tcPr>
                        <w:tcW w:w="3758" w:type="dxa"/>
                      </w:tcPr>
                      <w:p>
                        <w:pPr>
                          <w:pStyle w:val="TableParagraph"/>
                          <w:spacing w:line="154" w:lineRule="exact" w:before="19"/>
                          <w:ind w:left="397"/>
                          <w:rPr>
                            <w:sz w:val="15"/>
                          </w:rPr>
                        </w:pPr>
                        <w:r>
                          <w:rPr>
                            <w:sz w:val="15"/>
                          </w:rPr>
                          <w:t>1. Por día completo</w:t>
                        </w:r>
                      </w:p>
                    </w:tc>
                    <w:tc>
                      <w:tcPr>
                        <w:tcW w:w="4731" w:type="dxa"/>
                      </w:tcPr>
                      <w:p>
                        <w:pPr>
                          <w:pStyle w:val="TableParagraph"/>
                          <w:spacing w:line="154" w:lineRule="exact" w:before="19"/>
                          <w:ind w:left="1041"/>
                          <w:rPr>
                            <w:sz w:val="15"/>
                          </w:rPr>
                        </w:pPr>
                        <w:r>
                          <w:rPr>
                            <w:sz w:val="15"/>
                          </w:rPr>
                          <w:t>$827.00</w:t>
                        </w:r>
                      </w:p>
                    </w:tc>
                    <w:tc>
                      <w:tcPr>
                        <w:tcW w:w="7664" w:type="dxa"/>
                      </w:tcPr>
                      <w:p>
                        <w:pPr>
                          <w:pStyle w:val="TableParagraph"/>
                          <w:spacing w:line="157" w:lineRule="exact" w:before="16"/>
                          <w:ind w:left="3530"/>
                          <w:rPr>
                            <w:sz w:val="15"/>
                          </w:rPr>
                        </w:pPr>
                        <w:r>
                          <w:rPr>
                            <w:sz w:val="15"/>
                          </w:rPr>
                          <w:t>X. Ortopedia y traumatología (procedimientos y cirugía</w:t>
                        </w:r>
                      </w:p>
                    </w:tc>
                    <w:tc>
                      <w:tcPr>
                        <w:tcW w:w="875" w:type="dxa"/>
                      </w:tcPr>
                      <w:p>
                        <w:pPr>
                          <w:pStyle w:val="TableParagraph"/>
                          <w:rPr>
                            <w:rFonts w:ascii="Times New Roman"/>
                            <w:sz w:val="12"/>
                          </w:rPr>
                        </w:pPr>
                      </w:p>
                    </w:tc>
                  </w:tr>
                  <w:tr>
                    <w:trPr>
                      <w:trHeight w:val="193" w:hRule="atLeast"/>
                    </w:trPr>
                    <w:tc>
                      <w:tcPr>
                        <w:tcW w:w="3758" w:type="dxa"/>
                      </w:tcPr>
                      <w:p>
                        <w:pPr>
                          <w:pStyle w:val="TableParagraph"/>
                          <w:spacing w:line="138" w:lineRule="exact" w:before="36"/>
                          <w:ind w:left="397"/>
                          <w:rPr>
                            <w:sz w:val="15"/>
                          </w:rPr>
                        </w:pPr>
                        <w:r>
                          <w:rPr>
                            <w:sz w:val="15"/>
                          </w:rPr>
                          <w:t>2. Por hora</w:t>
                        </w:r>
                      </w:p>
                    </w:tc>
                    <w:tc>
                      <w:tcPr>
                        <w:tcW w:w="4731" w:type="dxa"/>
                      </w:tcPr>
                      <w:p>
                        <w:pPr>
                          <w:pStyle w:val="TableParagraph"/>
                          <w:spacing w:line="138" w:lineRule="exact" w:before="36"/>
                          <w:ind w:left="1127"/>
                          <w:rPr>
                            <w:sz w:val="15"/>
                          </w:rPr>
                        </w:pPr>
                        <w:r>
                          <w:rPr>
                            <w:sz w:val="15"/>
                          </w:rPr>
                          <w:t>$44.00</w:t>
                        </w:r>
                      </w:p>
                    </w:tc>
                    <w:tc>
                      <w:tcPr>
                        <w:tcW w:w="7664" w:type="dxa"/>
                      </w:tcPr>
                      <w:p>
                        <w:pPr>
                          <w:pStyle w:val="TableParagraph"/>
                          <w:spacing w:line="172" w:lineRule="exact"/>
                          <w:ind w:left="3132"/>
                          <w:rPr>
                            <w:sz w:val="15"/>
                          </w:rPr>
                        </w:pPr>
                        <w:r>
                          <w:rPr>
                            <w:sz w:val="15"/>
                          </w:rPr>
                          <w:t>ambulatoria):</w:t>
                        </w:r>
                      </w:p>
                    </w:tc>
                    <w:tc>
                      <w:tcPr>
                        <w:tcW w:w="875" w:type="dxa"/>
                      </w:tcPr>
                      <w:p>
                        <w:pPr>
                          <w:pStyle w:val="TableParagraph"/>
                          <w:rPr>
                            <w:rFonts w:ascii="Times New Roman"/>
                            <w:sz w:val="12"/>
                          </w:rPr>
                        </w:pPr>
                      </w:p>
                    </w:tc>
                  </w:tr>
                  <w:tr>
                    <w:trPr>
                      <w:trHeight w:val="175" w:hRule="atLeast"/>
                    </w:trPr>
                    <w:tc>
                      <w:tcPr>
                        <w:tcW w:w="16153" w:type="dxa"/>
                        <w:gridSpan w:val="3"/>
                      </w:tcPr>
                      <w:p>
                        <w:pPr>
                          <w:pStyle w:val="TableParagraph"/>
                          <w:tabs>
                            <w:tab w:pos="4884" w:val="left" w:leader="none"/>
                            <w:tab w:pos="12019" w:val="left" w:leader="none"/>
                          </w:tabs>
                          <w:spacing w:line="171" w:lineRule="exact"/>
                          <w:ind w:left="397"/>
                          <w:rPr>
                            <w:sz w:val="15"/>
                          </w:rPr>
                        </w:pPr>
                        <w:r>
                          <w:rPr>
                            <w:sz w:val="15"/>
                          </w:rPr>
                          <w:t>d) Sutura (por punto)</w:t>
                        </w:r>
                        <w:r>
                          <w:rPr>
                            <w:spacing w:val="30"/>
                            <w:sz w:val="15"/>
                          </w:rPr>
                          <w:t> </w:t>
                        </w:r>
                        <w:r>
                          <w:rPr>
                            <w:sz w:val="15"/>
                          </w:rPr>
                          <w:t>más</w:t>
                        </w:r>
                        <w:r>
                          <w:rPr>
                            <w:spacing w:val="7"/>
                            <w:sz w:val="15"/>
                          </w:rPr>
                          <w:t> </w:t>
                        </w:r>
                        <w:r>
                          <w:rPr>
                            <w:sz w:val="15"/>
                          </w:rPr>
                          <w:t>material</w:t>
                          <w:tab/>
                          <w:t>$38.00</w:t>
                          <w:tab/>
                        </w:r>
                        <w:r>
                          <w:rPr>
                            <w:position w:val="7"/>
                            <w:sz w:val="15"/>
                          </w:rPr>
                          <w:t>a) Consulta especialidad</w:t>
                        </w:r>
                        <w:r>
                          <w:rPr>
                            <w:spacing w:val="5"/>
                            <w:position w:val="7"/>
                            <w:sz w:val="15"/>
                          </w:rPr>
                          <w:t> </w:t>
                        </w:r>
                        <w:r>
                          <w:rPr>
                            <w:position w:val="7"/>
                            <w:sz w:val="15"/>
                          </w:rPr>
                          <w:t>Ortopedia</w:t>
                        </w:r>
                      </w:p>
                    </w:tc>
                    <w:tc>
                      <w:tcPr>
                        <w:tcW w:w="875" w:type="dxa"/>
                      </w:tcPr>
                      <w:p>
                        <w:pPr>
                          <w:pStyle w:val="TableParagraph"/>
                          <w:spacing w:line="171" w:lineRule="exact"/>
                          <w:ind w:right="48"/>
                          <w:jc w:val="right"/>
                          <w:rPr>
                            <w:sz w:val="15"/>
                          </w:rPr>
                        </w:pPr>
                        <w:r>
                          <w:rPr>
                            <w:sz w:val="15"/>
                          </w:rPr>
                          <w:t>$74.00</w:t>
                        </w:r>
                      </w:p>
                    </w:tc>
                  </w:tr>
                  <w:tr>
                    <w:trPr>
                      <w:trHeight w:val="190" w:hRule="atLeast"/>
                    </w:trPr>
                    <w:tc>
                      <w:tcPr>
                        <w:tcW w:w="16153" w:type="dxa"/>
                        <w:gridSpan w:val="3"/>
                      </w:tcPr>
                      <w:p>
                        <w:pPr>
                          <w:pStyle w:val="TableParagraph"/>
                          <w:tabs>
                            <w:tab w:pos="4885" w:val="left" w:leader="none"/>
                            <w:tab w:pos="12019" w:val="left" w:leader="none"/>
                          </w:tabs>
                          <w:spacing w:line="153" w:lineRule="exact" w:before="17"/>
                          <w:ind w:left="397"/>
                          <w:rPr>
                            <w:sz w:val="15"/>
                          </w:rPr>
                        </w:pPr>
                        <w:r>
                          <w:rPr>
                            <w:position w:val="-6"/>
                            <w:sz w:val="15"/>
                          </w:rPr>
                          <w:t>e)   Curación</w:t>
                        </w:r>
                        <w:r>
                          <w:rPr>
                            <w:spacing w:val="-22"/>
                            <w:position w:val="-6"/>
                            <w:sz w:val="15"/>
                          </w:rPr>
                          <w:t> </w:t>
                        </w:r>
                        <w:r>
                          <w:rPr>
                            <w:position w:val="-6"/>
                            <w:sz w:val="15"/>
                          </w:rPr>
                          <w:t>(sin</w:t>
                        </w:r>
                        <w:r>
                          <w:rPr>
                            <w:spacing w:val="6"/>
                            <w:position w:val="-6"/>
                            <w:sz w:val="15"/>
                          </w:rPr>
                          <w:t> </w:t>
                        </w:r>
                        <w:r>
                          <w:rPr>
                            <w:position w:val="-6"/>
                            <w:sz w:val="15"/>
                          </w:rPr>
                          <w:t>material)</w:t>
                          <w:tab/>
                          <w:t>$38.00</w:t>
                          <w:tab/>
                        </w:r>
                        <w:r>
                          <w:rPr>
                            <w:sz w:val="15"/>
                          </w:rPr>
                          <w:t>b)</w:t>
                        </w:r>
                        <w:r>
                          <w:rPr>
                            <w:spacing w:val="8"/>
                            <w:sz w:val="15"/>
                          </w:rPr>
                          <w:t> </w:t>
                        </w:r>
                        <w:r>
                          <w:rPr>
                            <w:sz w:val="15"/>
                          </w:rPr>
                          <w:t>Aplicación</w:t>
                        </w:r>
                        <w:r>
                          <w:rPr>
                            <w:spacing w:val="17"/>
                            <w:sz w:val="15"/>
                          </w:rPr>
                          <w:t> </w:t>
                        </w:r>
                        <w:r>
                          <w:rPr>
                            <w:sz w:val="15"/>
                          </w:rPr>
                          <w:t>de</w:t>
                        </w:r>
                        <w:r>
                          <w:rPr>
                            <w:spacing w:val="18"/>
                            <w:sz w:val="15"/>
                          </w:rPr>
                          <w:t> </w:t>
                        </w:r>
                        <w:r>
                          <w:rPr>
                            <w:sz w:val="15"/>
                          </w:rPr>
                          <w:t>fijadores</w:t>
                        </w:r>
                        <w:r>
                          <w:rPr>
                            <w:spacing w:val="18"/>
                            <w:sz w:val="15"/>
                          </w:rPr>
                          <w:t> </w:t>
                        </w:r>
                        <w:r>
                          <w:rPr>
                            <w:sz w:val="15"/>
                          </w:rPr>
                          <w:t>externos</w:t>
                        </w:r>
                        <w:r>
                          <w:rPr>
                            <w:spacing w:val="16"/>
                            <w:sz w:val="15"/>
                          </w:rPr>
                          <w:t> </w:t>
                        </w:r>
                        <w:r>
                          <w:rPr>
                            <w:sz w:val="15"/>
                          </w:rPr>
                          <w:t>(no</w:t>
                        </w:r>
                        <w:r>
                          <w:rPr>
                            <w:spacing w:val="18"/>
                            <w:sz w:val="15"/>
                          </w:rPr>
                          <w:t> </w:t>
                        </w:r>
                        <w:r>
                          <w:rPr>
                            <w:sz w:val="15"/>
                          </w:rPr>
                          <w:t>incluye</w:t>
                        </w:r>
                        <w:r>
                          <w:rPr>
                            <w:spacing w:val="18"/>
                            <w:sz w:val="15"/>
                          </w:rPr>
                          <w:t> </w:t>
                        </w:r>
                        <w:r>
                          <w:rPr>
                            <w:sz w:val="15"/>
                          </w:rPr>
                          <w:t>fijadores</w:t>
                        </w:r>
                        <w:r>
                          <w:rPr>
                            <w:spacing w:val="17"/>
                            <w:sz w:val="15"/>
                          </w:rPr>
                          <w:t> </w:t>
                        </w:r>
                        <w:r>
                          <w:rPr>
                            <w:sz w:val="15"/>
                          </w:rPr>
                          <w:t>ni</w:t>
                        </w:r>
                      </w:p>
                    </w:tc>
                    <w:tc>
                      <w:tcPr>
                        <w:tcW w:w="875" w:type="dxa"/>
                      </w:tcPr>
                      <w:p>
                        <w:pPr>
                          <w:pStyle w:val="TableParagraph"/>
                          <w:spacing w:line="153" w:lineRule="exact" w:before="17"/>
                          <w:ind w:right="47"/>
                          <w:jc w:val="right"/>
                          <w:rPr>
                            <w:sz w:val="15"/>
                          </w:rPr>
                        </w:pPr>
                        <w:r>
                          <w:rPr>
                            <w:sz w:val="15"/>
                          </w:rPr>
                          <w:t>$3,319.00</w:t>
                        </w:r>
                      </w:p>
                    </w:tc>
                  </w:tr>
                  <w:tr>
                    <w:trPr>
                      <w:trHeight w:val="231" w:hRule="atLeast"/>
                    </w:trPr>
                    <w:tc>
                      <w:tcPr>
                        <w:tcW w:w="3758" w:type="dxa"/>
                      </w:tcPr>
                      <w:p>
                        <w:pPr>
                          <w:pStyle w:val="TableParagraph"/>
                          <w:spacing w:line="105" w:lineRule="exact" w:before="106"/>
                          <w:ind w:left="397"/>
                          <w:rPr>
                            <w:sz w:val="15"/>
                          </w:rPr>
                        </w:pPr>
                        <w:r>
                          <w:rPr>
                            <w:sz w:val="15"/>
                          </w:rPr>
                          <w:t>f) Extracción de cuerpos extraños</w:t>
                        </w:r>
                      </w:p>
                    </w:tc>
                    <w:tc>
                      <w:tcPr>
                        <w:tcW w:w="4731" w:type="dxa"/>
                      </w:tcPr>
                      <w:p>
                        <w:pPr>
                          <w:pStyle w:val="TableParagraph"/>
                          <w:spacing w:line="105" w:lineRule="exact" w:before="106"/>
                          <w:ind w:left="1041"/>
                          <w:rPr>
                            <w:sz w:val="15"/>
                          </w:rPr>
                        </w:pPr>
                        <w:r>
                          <w:rPr>
                            <w:sz w:val="15"/>
                          </w:rPr>
                          <w:t>$497.00</w:t>
                        </w:r>
                      </w:p>
                    </w:tc>
                    <w:tc>
                      <w:tcPr>
                        <w:tcW w:w="7664" w:type="dxa"/>
                      </w:tcPr>
                      <w:p>
                        <w:pPr>
                          <w:pStyle w:val="TableParagraph"/>
                          <w:spacing w:before="4"/>
                          <w:ind w:left="3132"/>
                          <w:rPr>
                            <w:sz w:val="15"/>
                          </w:rPr>
                        </w:pPr>
                        <w:r>
                          <w:rPr>
                            <w:sz w:val="15"/>
                          </w:rPr>
                          <w:t>clavos)</w:t>
                        </w:r>
                      </w:p>
                    </w:tc>
                    <w:tc>
                      <w:tcPr>
                        <w:tcW w:w="875" w:type="dxa"/>
                      </w:tcPr>
                      <w:p>
                        <w:pPr>
                          <w:pStyle w:val="TableParagraph"/>
                          <w:rPr>
                            <w:rFonts w:ascii="Times New Roman"/>
                            <w:sz w:val="14"/>
                          </w:rPr>
                        </w:pPr>
                      </w:p>
                    </w:tc>
                  </w:tr>
                  <w:tr>
                    <w:trPr>
                      <w:trHeight w:val="123" w:hRule="atLeast"/>
                    </w:trPr>
                    <w:tc>
                      <w:tcPr>
                        <w:tcW w:w="16153" w:type="dxa"/>
                        <w:gridSpan w:val="3"/>
                      </w:tcPr>
                      <w:p>
                        <w:pPr>
                          <w:pStyle w:val="TableParagraph"/>
                          <w:spacing w:line="103" w:lineRule="exact"/>
                          <w:ind w:right="2847"/>
                          <w:jc w:val="right"/>
                          <w:rPr>
                            <w:sz w:val="15"/>
                          </w:rPr>
                        </w:pPr>
                        <w:r>
                          <w:rPr>
                            <w:sz w:val="15"/>
                          </w:rPr>
                          <w:t>c) Aseo quirúrgico</w:t>
                        </w:r>
                      </w:p>
                    </w:tc>
                    <w:tc>
                      <w:tcPr>
                        <w:tcW w:w="875" w:type="dxa"/>
                      </w:tcPr>
                      <w:p>
                        <w:pPr>
                          <w:pStyle w:val="TableParagraph"/>
                          <w:spacing w:line="103" w:lineRule="exact"/>
                          <w:ind w:right="47"/>
                          <w:jc w:val="right"/>
                          <w:rPr>
                            <w:sz w:val="15"/>
                          </w:rPr>
                        </w:pPr>
                        <w:r>
                          <w:rPr>
                            <w:sz w:val="15"/>
                          </w:rPr>
                          <w:t>$2,403.00</w:t>
                        </w:r>
                      </w:p>
                    </w:tc>
                  </w:tr>
                </w:tbl>
                <w:p>
                  <w:pPr>
                    <w:pStyle w:val="BodyText"/>
                  </w:pPr>
                </w:p>
              </w:txbxContent>
            </v:textbox>
            <w10:wrap type="none"/>
          </v:shape>
        </w:pict>
      </w:r>
      <w:r>
        <w:rPr/>
        <w:t>punto anterior, se cobrará por </w:t>
      </w:r>
      <w:r>
        <w:rPr>
          <w:spacing w:val="18"/>
        </w:rPr>
        <w:t> </w:t>
      </w:r>
      <w:r>
        <w:rPr/>
        <w:t>cada kilómetro</w:t>
      </w:r>
      <w:r>
        <w:rPr>
          <w:spacing w:val="10"/>
        </w:rPr>
        <w:t> </w:t>
      </w:r>
      <w:r>
        <w:rPr/>
        <w:t>recorrido:</w:t>
        <w:tab/>
        <w:t>$27.00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1"/>
        <w:gridCol w:w="1618"/>
      </w:tblGrid>
      <w:tr>
        <w:trPr>
          <w:trHeight w:val="190" w:hRule="atLeast"/>
        </w:trPr>
        <w:tc>
          <w:tcPr>
            <w:tcW w:w="3441" w:type="dxa"/>
          </w:tcPr>
          <w:p>
            <w:pPr>
              <w:pStyle w:val="TableParagraph"/>
              <w:rPr>
                <w:rFonts w:ascii="Times New Roman"/>
                <w:sz w:val="12"/>
              </w:rPr>
            </w:pPr>
          </w:p>
        </w:tc>
        <w:tc>
          <w:tcPr>
            <w:tcW w:w="1618" w:type="dxa"/>
          </w:tcPr>
          <w:p>
            <w:pPr>
              <w:pStyle w:val="TableParagraph"/>
              <w:rPr>
                <w:rFonts w:ascii="Times New Roman"/>
                <w:sz w:val="12"/>
              </w:rPr>
            </w:pPr>
          </w:p>
        </w:tc>
      </w:tr>
      <w:tr>
        <w:trPr>
          <w:trHeight w:val="209" w:hRule="atLeast"/>
        </w:trPr>
        <w:tc>
          <w:tcPr>
            <w:tcW w:w="3441" w:type="dxa"/>
          </w:tcPr>
          <w:p>
            <w:pPr>
              <w:pStyle w:val="TableParagraph"/>
              <w:rPr>
                <w:rFonts w:ascii="Times New Roman"/>
                <w:sz w:val="14"/>
              </w:rPr>
            </w:pPr>
          </w:p>
        </w:tc>
        <w:tc>
          <w:tcPr>
            <w:tcW w:w="1618" w:type="dxa"/>
          </w:tcPr>
          <w:p>
            <w:pPr>
              <w:pStyle w:val="TableParagraph"/>
              <w:rPr>
                <w:rFonts w:ascii="Times New Roman"/>
                <w:sz w:val="14"/>
              </w:rPr>
            </w:pPr>
          </w:p>
        </w:tc>
      </w:tr>
      <w:tr>
        <w:trPr>
          <w:trHeight w:val="209" w:hRule="atLeast"/>
        </w:trPr>
        <w:tc>
          <w:tcPr>
            <w:tcW w:w="3441" w:type="dxa"/>
          </w:tcPr>
          <w:p>
            <w:pPr>
              <w:pStyle w:val="TableParagraph"/>
              <w:rPr>
                <w:rFonts w:ascii="Times New Roman"/>
                <w:sz w:val="14"/>
              </w:rPr>
            </w:pPr>
          </w:p>
        </w:tc>
        <w:tc>
          <w:tcPr>
            <w:tcW w:w="1618" w:type="dxa"/>
          </w:tcPr>
          <w:p>
            <w:pPr>
              <w:pStyle w:val="TableParagraph"/>
              <w:rPr>
                <w:rFonts w:ascii="Times New Roman"/>
                <w:sz w:val="14"/>
              </w:rPr>
            </w:pPr>
          </w:p>
        </w:tc>
      </w:tr>
      <w:tr>
        <w:trPr>
          <w:trHeight w:val="190" w:hRule="atLeast"/>
        </w:trPr>
        <w:tc>
          <w:tcPr>
            <w:tcW w:w="3441" w:type="dxa"/>
          </w:tcPr>
          <w:p>
            <w:pPr>
              <w:pStyle w:val="TableParagraph"/>
              <w:spacing w:line="153" w:lineRule="exact" w:before="17"/>
              <w:ind w:left="50"/>
              <w:rPr>
                <w:sz w:val="15"/>
              </w:rPr>
            </w:pPr>
            <w:r>
              <w:rPr>
                <w:sz w:val="15"/>
              </w:rPr>
              <w:t>g) Electrocardiograma</w:t>
            </w:r>
          </w:p>
        </w:tc>
        <w:tc>
          <w:tcPr>
            <w:tcW w:w="1618" w:type="dxa"/>
          </w:tcPr>
          <w:p>
            <w:pPr>
              <w:pStyle w:val="TableParagraph"/>
              <w:spacing w:line="153" w:lineRule="exact" w:before="17"/>
              <w:ind w:left="1011"/>
              <w:rPr>
                <w:sz w:val="15"/>
              </w:rPr>
            </w:pPr>
            <w:r>
              <w:rPr>
                <w:sz w:val="15"/>
              </w:rPr>
              <w:t>$250.00</w:t>
            </w:r>
          </w:p>
        </w:tc>
      </w:tr>
    </w:tbl>
    <w:p>
      <w:pPr>
        <w:spacing w:after="0" w:line="153" w:lineRule="exact"/>
        <w:rPr>
          <w:sz w:val="15"/>
        </w:rPr>
        <w:sectPr>
          <w:type w:val="continuous"/>
          <w:pgSz w:w="23250" w:h="15310" w:orient="landscape"/>
          <w:pgMar w:top="0" w:bottom="0" w:left="1880" w:right="1520"/>
        </w:sectPr>
      </w:pPr>
    </w:p>
    <w:p>
      <w:pPr>
        <w:pStyle w:val="BodyText"/>
        <w:rPr>
          <w:sz w:val="20"/>
        </w:rPr>
      </w:pPr>
    </w:p>
    <w:p>
      <w:pPr>
        <w:pStyle w:val="BodyText"/>
        <w:rPr>
          <w:sz w:val="20"/>
        </w:rPr>
      </w:pPr>
    </w:p>
    <w:p>
      <w:pPr>
        <w:pStyle w:val="BodyText"/>
        <w:spacing w:before="3"/>
        <w:rPr>
          <w:sz w:val="18"/>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30"/>
        <w:gridCol w:w="877"/>
        <w:gridCol w:w="9306"/>
        <w:gridCol w:w="2316"/>
      </w:tblGrid>
      <w:tr>
        <w:trPr>
          <w:trHeight w:val="191" w:hRule="atLeast"/>
        </w:trPr>
        <w:tc>
          <w:tcPr>
            <w:tcW w:w="4530" w:type="dxa"/>
          </w:tcPr>
          <w:p>
            <w:pPr>
              <w:pStyle w:val="TableParagraph"/>
              <w:spacing w:line="171" w:lineRule="exact"/>
              <w:ind w:left="397"/>
              <w:rPr>
                <w:sz w:val="15"/>
              </w:rPr>
            </w:pPr>
            <w:r>
              <w:rPr>
                <w:sz w:val="15"/>
              </w:rPr>
              <w:t>d) Biopsia esiccional (quiste sinovial o tumor óseo)</w:t>
            </w:r>
          </w:p>
        </w:tc>
        <w:tc>
          <w:tcPr>
            <w:tcW w:w="877" w:type="dxa"/>
          </w:tcPr>
          <w:p>
            <w:pPr>
              <w:pStyle w:val="TableParagraph"/>
              <w:spacing w:line="171" w:lineRule="exact"/>
              <w:ind w:right="49"/>
              <w:jc w:val="right"/>
              <w:rPr>
                <w:sz w:val="15"/>
              </w:rPr>
            </w:pPr>
            <w:r>
              <w:rPr>
                <w:sz w:val="15"/>
              </w:rPr>
              <w:t>$3,064.00</w:t>
            </w:r>
          </w:p>
        </w:tc>
        <w:tc>
          <w:tcPr>
            <w:tcW w:w="9306" w:type="dxa"/>
          </w:tcPr>
          <w:p>
            <w:pPr>
              <w:pStyle w:val="TableParagraph"/>
              <w:spacing w:line="171" w:lineRule="exact"/>
              <w:ind w:left="6612"/>
              <w:rPr>
                <w:sz w:val="15"/>
              </w:rPr>
            </w:pPr>
            <w:r>
              <w:rPr>
                <w:sz w:val="15"/>
              </w:rPr>
              <w:t>j) Onicoplastía</w:t>
            </w:r>
          </w:p>
        </w:tc>
        <w:tc>
          <w:tcPr>
            <w:tcW w:w="2316" w:type="dxa"/>
          </w:tcPr>
          <w:p>
            <w:pPr>
              <w:pStyle w:val="TableParagraph"/>
              <w:spacing w:line="171" w:lineRule="exact"/>
              <w:ind w:right="48"/>
              <w:jc w:val="right"/>
              <w:rPr>
                <w:sz w:val="15"/>
              </w:rPr>
            </w:pPr>
            <w:r>
              <w:rPr>
                <w:sz w:val="15"/>
              </w:rPr>
              <w:t>$204.00</w:t>
            </w:r>
          </w:p>
        </w:tc>
      </w:tr>
      <w:tr>
        <w:trPr>
          <w:trHeight w:val="282" w:hRule="atLeast"/>
        </w:trPr>
        <w:tc>
          <w:tcPr>
            <w:tcW w:w="4530" w:type="dxa"/>
          </w:tcPr>
          <w:p>
            <w:pPr>
              <w:pStyle w:val="TableParagraph"/>
              <w:spacing w:before="18"/>
              <w:ind w:right="142"/>
              <w:jc w:val="right"/>
              <w:rPr>
                <w:sz w:val="15"/>
              </w:rPr>
            </w:pPr>
            <w:r>
              <w:rPr>
                <w:sz w:val="15"/>
              </w:rPr>
              <w:t>e) Cirugía mínima invasiva bilateral (hallusvalgus, dedos</w:t>
            </w:r>
          </w:p>
        </w:tc>
        <w:tc>
          <w:tcPr>
            <w:tcW w:w="877" w:type="dxa"/>
          </w:tcPr>
          <w:p>
            <w:pPr>
              <w:pStyle w:val="TableParagraph"/>
              <w:spacing w:before="18"/>
              <w:ind w:right="48"/>
              <w:jc w:val="right"/>
              <w:rPr>
                <w:sz w:val="15"/>
              </w:rPr>
            </w:pPr>
            <w:r>
              <w:rPr>
                <w:sz w:val="15"/>
              </w:rPr>
              <w:t>$4,595.00</w:t>
            </w:r>
          </w:p>
        </w:tc>
        <w:tc>
          <w:tcPr>
            <w:tcW w:w="9306" w:type="dxa"/>
          </w:tcPr>
          <w:p>
            <w:pPr>
              <w:pStyle w:val="TableParagraph"/>
              <w:spacing w:before="17"/>
              <w:ind w:left="6612"/>
              <w:rPr>
                <w:sz w:val="15"/>
              </w:rPr>
            </w:pPr>
            <w:r>
              <w:rPr>
                <w:sz w:val="15"/>
              </w:rPr>
              <w:t>k) Lipomas</w:t>
            </w:r>
          </w:p>
        </w:tc>
        <w:tc>
          <w:tcPr>
            <w:tcW w:w="2316" w:type="dxa"/>
          </w:tcPr>
          <w:p>
            <w:pPr>
              <w:pStyle w:val="TableParagraph"/>
              <w:spacing w:before="17"/>
              <w:ind w:right="48"/>
              <w:jc w:val="right"/>
              <w:rPr>
                <w:sz w:val="15"/>
              </w:rPr>
            </w:pPr>
            <w:r>
              <w:rPr>
                <w:sz w:val="15"/>
              </w:rPr>
              <w:t>$818.00</w:t>
            </w:r>
          </w:p>
        </w:tc>
      </w:tr>
      <w:tr>
        <w:trPr>
          <w:trHeight w:val="263" w:hRule="atLeast"/>
        </w:trPr>
        <w:tc>
          <w:tcPr>
            <w:tcW w:w="4530" w:type="dxa"/>
          </w:tcPr>
          <w:p>
            <w:pPr>
              <w:pStyle w:val="TableParagraph"/>
              <w:spacing w:line="153" w:lineRule="exact" w:before="90"/>
              <w:ind w:right="139"/>
              <w:jc w:val="right"/>
              <w:rPr>
                <w:sz w:val="15"/>
              </w:rPr>
            </w:pPr>
            <w:r>
              <w:rPr>
                <w:sz w:val="15"/>
              </w:rPr>
              <w:t>f) Cirugía mínima invasiva unilateral (hallusvalgus, dedos</w:t>
            </w:r>
          </w:p>
        </w:tc>
        <w:tc>
          <w:tcPr>
            <w:tcW w:w="12499" w:type="dxa"/>
            <w:gridSpan w:val="3"/>
          </w:tcPr>
          <w:p>
            <w:pPr>
              <w:pStyle w:val="TableParagraph"/>
              <w:tabs>
                <w:tab w:pos="11890" w:val="left" w:leader="none"/>
              </w:tabs>
              <w:spacing w:line="101" w:lineRule="exact"/>
              <w:ind w:left="7489"/>
              <w:rPr>
                <w:sz w:val="15"/>
              </w:rPr>
            </w:pPr>
            <w:r>
              <w:rPr>
                <w:sz w:val="15"/>
              </w:rPr>
              <w:t>l) Extirpación de</w:t>
            </w:r>
            <w:r>
              <w:rPr>
                <w:spacing w:val="23"/>
                <w:sz w:val="15"/>
              </w:rPr>
              <w:t> </w:t>
            </w:r>
            <w:r>
              <w:rPr>
                <w:sz w:val="15"/>
              </w:rPr>
              <w:t>verrugas</w:t>
            </w:r>
            <w:r>
              <w:rPr>
                <w:spacing w:val="8"/>
                <w:sz w:val="15"/>
              </w:rPr>
              <w:t> </w:t>
            </w:r>
            <w:r>
              <w:rPr>
                <w:sz w:val="15"/>
              </w:rPr>
              <w:t>qx</w:t>
              <w:tab/>
              <w:t>$613.00</w:t>
            </w:r>
          </w:p>
          <w:p>
            <w:pPr>
              <w:pStyle w:val="TableParagraph"/>
              <w:tabs>
                <w:tab w:pos="7489" w:val="left" w:leader="none"/>
                <w:tab w:pos="11891" w:val="left" w:leader="none"/>
              </w:tabs>
              <w:spacing w:line="142" w:lineRule="exact"/>
              <w:ind w:left="141"/>
              <w:rPr>
                <w:sz w:val="15"/>
              </w:rPr>
            </w:pPr>
            <w:r>
              <w:rPr>
                <w:position w:val="7"/>
                <w:sz w:val="15"/>
              </w:rPr>
              <w:t>$4,595.00</w:t>
              <w:tab/>
            </w:r>
            <w:r>
              <w:rPr>
                <w:sz w:val="15"/>
              </w:rPr>
              <w:t>m)   Extirpación</w:t>
            </w:r>
            <w:r>
              <w:rPr>
                <w:spacing w:val="-22"/>
                <w:sz w:val="15"/>
              </w:rPr>
              <w:t> </w:t>
            </w:r>
            <w:r>
              <w:rPr>
                <w:sz w:val="15"/>
              </w:rPr>
              <w:t>de</w:t>
            </w:r>
            <w:r>
              <w:rPr>
                <w:spacing w:val="6"/>
                <w:sz w:val="15"/>
              </w:rPr>
              <w:t> </w:t>
            </w:r>
            <w:r>
              <w:rPr>
                <w:sz w:val="15"/>
              </w:rPr>
              <w:t>lunares</w:t>
              <w:tab/>
              <w:t>$613.00</w:t>
            </w:r>
          </w:p>
        </w:tc>
      </w:tr>
      <w:tr>
        <w:trPr>
          <w:trHeight w:val="176" w:hRule="atLeast"/>
        </w:trPr>
        <w:tc>
          <w:tcPr>
            <w:tcW w:w="4530" w:type="dxa"/>
          </w:tcPr>
          <w:p>
            <w:pPr>
              <w:pStyle w:val="TableParagraph"/>
              <w:spacing w:line="153" w:lineRule="exact" w:before="3"/>
              <w:rPr>
                <w:sz w:val="15"/>
              </w:rPr>
            </w:pPr>
            <w:r>
              <w:rPr>
                <w:sz w:val="15"/>
              </w:rPr>
              <w:t>en garra)</w:t>
            </w:r>
          </w:p>
        </w:tc>
        <w:tc>
          <w:tcPr>
            <w:tcW w:w="877" w:type="dxa"/>
          </w:tcPr>
          <w:p>
            <w:pPr>
              <w:pStyle w:val="TableParagraph"/>
              <w:rPr>
                <w:rFonts w:ascii="Times New Roman"/>
                <w:sz w:val="10"/>
              </w:rPr>
            </w:pPr>
          </w:p>
        </w:tc>
        <w:tc>
          <w:tcPr>
            <w:tcW w:w="9306" w:type="dxa"/>
          </w:tcPr>
          <w:p>
            <w:pPr>
              <w:pStyle w:val="TableParagraph"/>
              <w:rPr>
                <w:rFonts w:ascii="Times New Roman"/>
                <w:sz w:val="10"/>
              </w:rPr>
            </w:pPr>
          </w:p>
        </w:tc>
        <w:tc>
          <w:tcPr>
            <w:tcW w:w="2316" w:type="dxa"/>
          </w:tcPr>
          <w:p>
            <w:pPr>
              <w:pStyle w:val="TableParagraph"/>
              <w:rPr>
                <w:rFonts w:ascii="Times New Roman"/>
                <w:sz w:val="10"/>
              </w:rPr>
            </w:pPr>
          </w:p>
        </w:tc>
      </w:tr>
      <w:tr>
        <w:trPr>
          <w:trHeight w:val="177" w:hRule="atLeast"/>
        </w:trPr>
        <w:tc>
          <w:tcPr>
            <w:tcW w:w="4530" w:type="dxa"/>
          </w:tcPr>
          <w:p>
            <w:pPr>
              <w:pStyle w:val="TableParagraph"/>
              <w:spacing w:line="152" w:lineRule="exact"/>
              <w:ind w:right="139"/>
              <w:jc w:val="right"/>
              <w:rPr>
                <w:sz w:val="15"/>
              </w:rPr>
            </w:pPr>
            <w:r>
              <w:rPr>
                <w:sz w:val="15"/>
              </w:rPr>
              <w:t>g) Diagnóstico y tratamiento quirúrgico del pie equino varo</w:t>
            </w:r>
          </w:p>
        </w:tc>
        <w:tc>
          <w:tcPr>
            <w:tcW w:w="12499" w:type="dxa"/>
            <w:gridSpan w:val="3"/>
          </w:tcPr>
          <w:p>
            <w:pPr>
              <w:pStyle w:val="TableParagraph"/>
              <w:tabs>
                <w:tab w:pos="7489" w:val="left" w:leader="none"/>
              </w:tabs>
              <w:spacing w:line="152" w:lineRule="exact"/>
              <w:ind w:left="141"/>
              <w:rPr>
                <w:sz w:val="15"/>
              </w:rPr>
            </w:pPr>
            <w:r>
              <w:rPr>
                <w:position w:val="10"/>
                <w:sz w:val="15"/>
              </w:rPr>
              <w:t>$5,616.00</w:t>
              <w:tab/>
            </w:r>
            <w:r>
              <w:rPr>
                <w:sz w:val="15"/>
              </w:rPr>
              <w:t>XV. Laboratorio de análisis</w:t>
            </w:r>
            <w:r>
              <w:rPr>
                <w:spacing w:val="7"/>
                <w:sz w:val="15"/>
              </w:rPr>
              <w:t> </w:t>
            </w:r>
            <w:r>
              <w:rPr>
                <w:sz w:val="15"/>
              </w:rPr>
              <w:t>clínicos:</w:t>
            </w:r>
          </w:p>
        </w:tc>
      </w:tr>
    </w:tbl>
    <w:p>
      <w:pPr>
        <w:pStyle w:val="BodyText"/>
        <w:spacing w:before="2"/>
        <w:rPr>
          <w:sz w:val="7"/>
        </w:rPr>
      </w:pPr>
    </w:p>
    <w:p>
      <w:pPr>
        <w:pStyle w:val="BodyText"/>
        <w:tabs>
          <w:tab w:pos="4822" w:val="left" w:leader="none"/>
        </w:tabs>
        <w:spacing w:before="98"/>
        <w:ind w:left="548"/>
      </w:pPr>
      <w:r>
        <w:rPr/>
        <w:pict>
          <v:shape style="position:absolute;margin-left:99.047989pt;margin-top:-37.672653pt;width:853.95pt;height:135.9pt;mso-position-horizontal-relative:page;mso-position-vertical-relative:paragraph;z-index:2517073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80"/>
                    <w:gridCol w:w="7440"/>
                    <w:gridCol w:w="2614"/>
                    <w:gridCol w:w="2449"/>
                  </w:tblGrid>
                  <w:tr>
                    <w:trPr>
                      <w:trHeight w:val="190" w:hRule="atLeast"/>
                    </w:trPr>
                    <w:tc>
                      <w:tcPr>
                        <w:tcW w:w="14634" w:type="dxa"/>
                        <w:gridSpan w:val="3"/>
                      </w:tcPr>
                      <w:p>
                        <w:pPr>
                          <w:pStyle w:val="TableParagraph"/>
                          <w:spacing w:line="139" w:lineRule="exact"/>
                          <w:ind w:left="50"/>
                          <w:rPr>
                            <w:sz w:val="15"/>
                          </w:rPr>
                        </w:pPr>
                        <w:r>
                          <w:rPr>
                            <w:sz w:val="15"/>
                          </w:rPr>
                          <w:t>en garra)</w:t>
                        </w:r>
                      </w:p>
                    </w:tc>
                    <w:tc>
                      <w:tcPr>
                        <w:tcW w:w="2449" w:type="dxa"/>
                        <w:vMerge w:val="restart"/>
                      </w:tcPr>
                      <w:p>
                        <w:pPr>
                          <w:pStyle w:val="TableParagraph"/>
                          <w:rPr>
                            <w:rFonts w:ascii="Times New Roman"/>
                            <w:sz w:val="14"/>
                          </w:rPr>
                        </w:pPr>
                      </w:p>
                    </w:tc>
                  </w:tr>
                  <w:tr>
                    <w:trPr>
                      <w:trHeight w:val="298" w:hRule="atLeast"/>
                    </w:trPr>
                    <w:tc>
                      <w:tcPr>
                        <w:tcW w:w="14634" w:type="dxa"/>
                        <w:gridSpan w:val="3"/>
                      </w:tcPr>
                      <w:p>
                        <w:pPr>
                          <w:pStyle w:val="TableParagraph"/>
                          <w:rPr>
                            <w:rFonts w:ascii="Times New Roman"/>
                            <w:sz w:val="14"/>
                          </w:rPr>
                        </w:pPr>
                      </w:p>
                    </w:tc>
                    <w:tc>
                      <w:tcPr>
                        <w:tcW w:w="2449" w:type="dxa"/>
                        <w:vMerge/>
                        <w:tcBorders>
                          <w:top w:val="nil"/>
                        </w:tcBorders>
                      </w:tcPr>
                      <w:p>
                        <w:pPr>
                          <w:rPr>
                            <w:sz w:val="2"/>
                            <w:szCs w:val="2"/>
                          </w:rPr>
                        </w:pPr>
                      </w:p>
                    </w:tc>
                  </w:tr>
                  <w:tr>
                    <w:trPr>
                      <w:trHeight w:val="282" w:hRule="atLeast"/>
                    </w:trPr>
                    <w:tc>
                      <w:tcPr>
                        <w:tcW w:w="14634" w:type="dxa"/>
                        <w:gridSpan w:val="3"/>
                      </w:tcPr>
                      <w:p>
                        <w:pPr>
                          <w:pStyle w:val="TableParagraph"/>
                          <w:rPr>
                            <w:rFonts w:ascii="Times New Roman"/>
                            <w:sz w:val="14"/>
                          </w:rPr>
                        </w:pPr>
                      </w:p>
                    </w:tc>
                    <w:tc>
                      <w:tcPr>
                        <w:tcW w:w="2449" w:type="dxa"/>
                        <w:vMerge/>
                        <w:tcBorders>
                          <w:top w:val="nil"/>
                        </w:tcBorders>
                      </w:tcPr>
                      <w:p>
                        <w:pPr>
                          <w:rPr>
                            <w:sz w:val="2"/>
                            <w:szCs w:val="2"/>
                          </w:rPr>
                        </w:pPr>
                      </w:p>
                    </w:tc>
                  </w:tr>
                  <w:tr>
                    <w:trPr>
                      <w:trHeight w:val="193" w:hRule="atLeast"/>
                    </w:trPr>
                    <w:tc>
                      <w:tcPr>
                        <w:tcW w:w="14634" w:type="dxa"/>
                        <w:gridSpan w:val="3"/>
                      </w:tcPr>
                      <w:p>
                        <w:pPr>
                          <w:pStyle w:val="TableParagraph"/>
                          <w:tabs>
                            <w:tab w:pos="12069" w:val="left" w:leader="none"/>
                          </w:tabs>
                          <w:ind w:left="50"/>
                          <w:rPr>
                            <w:sz w:val="15"/>
                          </w:rPr>
                        </w:pPr>
                        <w:r>
                          <w:rPr>
                            <w:position w:val="10"/>
                            <w:sz w:val="15"/>
                          </w:rPr>
                          <w:t>en</w:t>
                        </w:r>
                        <w:r>
                          <w:rPr>
                            <w:spacing w:val="4"/>
                            <w:position w:val="10"/>
                            <w:sz w:val="15"/>
                          </w:rPr>
                          <w:t> </w:t>
                        </w:r>
                        <w:r>
                          <w:rPr>
                            <w:position w:val="10"/>
                            <w:sz w:val="15"/>
                          </w:rPr>
                          <w:t>niños</w:t>
                          <w:tab/>
                        </w:r>
                        <w:r>
                          <w:rPr>
                            <w:sz w:val="15"/>
                          </w:rPr>
                          <w:t>a)Bacteriología:</w:t>
                        </w:r>
                      </w:p>
                    </w:tc>
                    <w:tc>
                      <w:tcPr>
                        <w:tcW w:w="2449" w:type="dxa"/>
                        <w:vMerge/>
                        <w:tcBorders>
                          <w:top w:val="nil"/>
                        </w:tcBorders>
                      </w:tcPr>
                      <w:p>
                        <w:pPr>
                          <w:rPr>
                            <w:sz w:val="2"/>
                            <w:szCs w:val="2"/>
                          </w:rPr>
                        </w:pPr>
                      </w:p>
                    </w:tc>
                  </w:tr>
                  <w:tr>
                    <w:trPr>
                      <w:trHeight w:val="153" w:hRule="atLeast"/>
                    </w:trPr>
                    <w:tc>
                      <w:tcPr>
                        <w:tcW w:w="4580" w:type="dxa"/>
                      </w:tcPr>
                      <w:p>
                        <w:pPr>
                          <w:pStyle w:val="TableParagraph"/>
                          <w:spacing w:line="115" w:lineRule="exact"/>
                          <w:ind w:left="50"/>
                          <w:rPr>
                            <w:sz w:val="15"/>
                          </w:rPr>
                        </w:pPr>
                        <w:r>
                          <w:rPr>
                            <w:sz w:val="15"/>
                          </w:rPr>
                          <w:t>antebrazo</w:t>
                        </w:r>
                      </w:p>
                    </w:tc>
                    <w:tc>
                      <w:tcPr>
                        <w:tcW w:w="7440" w:type="dxa"/>
                      </w:tcPr>
                      <w:p>
                        <w:pPr>
                          <w:pStyle w:val="TableParagraph"/>
                          <w:rPr>
                            <w:rFonts w:ascii="Times New Roman"/>
                            <w:sz w:val="8"/>
                          </w:rPr>
                        </w:pPr>
                      </w:p>
                    </w:tc>
                    <w:tc>
                      <w:tcPr>
                        <w:tcW w:w="2614" w:type="dxa"/>
                      </w:tcPr>
                      <w:p>
                        <w:pPr>
                          <w:pStyle w:val="TableParagraph"/>
                          <w:spacing w:line="92" w:lineRule="exact"/>
                          <w:ind w:left="49"/>
                          <w:rPr>
                            <w:sz w:val="15"/>
                          </w:rPr>
                        </w:pPr>
                        <w:r>
                          <w:rPr>
                            <w:sz w:val="15"/>
                          </w:rPr>
                          <w:t>1. Cultivo general</w:t>
                        </w:r>
                      </w:p>
                    </w:tc>
                    <w:tc>
                      <w:tcPr>
                        <w:tcW w:w="2449" w:type="dxa"/>
                      </w:tcPr>
                      <w:p>
                        <w:pPr>
                          <w:pStyle w:val="TableParagraph"/>
                          <w:spacing w:line="92" w:lineRule="exact"/>
                          <w:ind w:right="52"/>
                          <w:jc w:val="right"/>
                          <w:rPr>
                            <w:sz w:val="15"/>
                          </w:rPr>
                        </w:pPr>
                        <w:r>
                          <w:rPr>
                            <w:sz w:val="15"/>
                          </w:rPr>
                          <w:t>$331.00</w:t>
                        </w:r>
                      </w:p>
                    </w:tc>
                  </w:tr>
                  <w:tr>
                    <w:trPr>
                      <w:trHeight w:val="193" w:hRule="atLeast"/>
                    </w:trPr>
                    <w:tc>
                      <w:tcPr>
                        <w:tcW w:w="4580" w:type="dxa"/>
                      </w:tcPr>
                      <w:p>
                        <w:pPr>
                          <w:pStyle w:val="TableParagraph"/>
                          <w:spacing w:line="166" w:lineRule="exact" w:before="7"/>
                          <w:ind w:left="447"/>
                          <w:rPr>
                            <w:sz w:val="15"/>
                          </w:rPr>
                        </w:pPr>
                        <w:r>
                          <w:rPr>
                            <w:sz w:val="15"/>
                          </w:rPr>
                          <w:t>i) Liberación del túnel carpal o tendinosas bilateral</w:t>
                        </w:r>
                      </w:p>
                    </w:tc>
                    <w:tc>
                      <w:tcPr>
                        <w:tcW w:w="7440" w:type="dxa"/>
                      </w:tcPr>
                      <w:p>
                        <w:pPr>
                          <w:pStyle w:val="TableParagraph"/>
                          <w:spacing w:line="166" w:lineRule="exact" w:before="7"/>
                          <w:ind w:right="6612"/>
                          <w:jc w:val="right"/>
                          <w:rPr>
                            <w:sz w:val="15"/>
                          </w:rPr>
                        </w:pPr>
                        <w:r>
                          <w:rPr>
                            <w:sz w:val="15"/>
                          </w:rPr>
                          <w:t>$3,574.00</w:t>
                        </w:r>
                      </w:p>
                    </w:tc>
                    <w:tc>
                      <w:tcPr>
                        <w:tcW w:w="2614" w:type="dxa"/>
                      </w:tcPr>
                      <w:p>
                        <w:pPr>
                          <w:pStyle w:val="TableParagraph"/>
                          <w:spacing w:line="167" w:lineRule="exact"/>
                          <w:ind w:left="49"/>
                          <w:rPr>
                            <w:sz w:val="15"/>
                          </w:rPr>
                        </w:pPr>
                        <w:r>
                          <w:rPr>
                            <w:sz w:val="15"/>
                          </w:rPr>
                          <w:t>2. Coprocultivo</w:t>
                        </w:r>
                      </w:p>
                    </w:tc>
                    <w:tc>
                      <w:tcPr>
                        <w:tcW w:w="2449" w:type="dxa"/>
                      </w:tcPr>
                      <w:p>
                        <w:pPr>
                          <w:pStyle w:val="TableParagraph"/>
                          <w:spacing w:line="167" w:lineRule="exact"/>
                          <w:ind w:right="52"/>
                          <w:jc w:val="right"/>
                          <w:rPr>
                            <w:sz w:val="15"/>
                          </w:rPr>
                        </w:pPr>
                        <w:r>
                          <w:rPr>
                            <w:sz w:val="15"/>
                          </w:rPr>
                          <w:t>$309.00</w:t>
                        </w:r>
                      </w:p>
                    </w:tc>
                  </w:tr>
                  <w:tr>
                    <w:trPr>
                      <w:trHeight w:val="209" w:hRule="atLeast"/>
                    </w:trPr>
                    <w:tc>
                      <w:tcPr>
                        <w:tcW w:w="4580" w:type="dxa"/>
                      </w:tcPr>
                      <w:p>
                        <w:pPr>
                          <w:pStyle w:val="TableParagraph"/>
                          <w:spacing w:line="166" w:lineRule="exact" w:before="24"/>
                          <w:ind w:left="447"/>
                          <w:rPr>
                            <w:sz w:val="15"/>
                          </w:rPr>
                        </w:pPr>
                        <w:r>
                          <w:rPr>
                            <w:sz w:val="15"/>
                          </w:rPr>
                          <w:t>j) Liberación del túnel carpal o tendinosas unilateral</w:t>
                        </w:r>
                      </w:p>
                    </w:tc>
                    <w:tc>
                      <w:tcPr>
                        <w:tcW w:w="7440" w:type="dxa"/>
                      </w:tcPr>
                      <w:p>
                        <w:pPr>
                          <w:pStyle w:val="TableParagraph"/>
                          <w:spacing w:line="166" w:lineRule="exact" w:before="24"/>
                          <w:ind w:right="6611"/>
                          <w:jc w:val="right"/>
                          <w:rPr>
                            <w:sz w:val="15"/>
                          </w:rPr>
                        </w:pPr>
                        <w:r>
                          <w:rPr>
                            <w:sz w:val="15"/>
                          </w:rPr>
                          <w:t>$3,574.00</w:t>
                        </w:r>
                      </w:p>
                    </w:tc>
                    <w:tc>
                      <w:tcPr>
                        <w:tcW w:w="2614" w:type="dxa"/>
                      </w:tcPr>
                      <w:p>
                        <w:pPr>
                          <w:pStyle w:val="TableParagraph"/>
                          <w:spacing w:before="11"/>
                          <w:ind w:left="49"/>
                          <w:rPr>
                            <w:sz w:val="15"/>
                          </w:rPr>
                        </w:pPr>
                        <w:r>
                          <w:rPr>
                            <w:sz w:val="15"/>
                          </w:rPr>
                          <w:t>3. Baciloscopia</w:t>
                        </w:r>
                      </w:p>
                    </w:tc>
                    <w:tc>
                      <w:tcPr>
                        <w:tcW w:w="2449" w:type="dxa"/>
                      </w:tcPr>
                      <w:p>
                        <w:pPr>
                          <w:pStyle w:val="TableParagraph"/>
                          <w:spacing w:before="11"/>
                          <w:ind w:right="52"/>
                          <w:jc w:val="right"/>
                          <w:rPr>
                            <w:sz w:val="15"/>
                          </w:rPr>
                        </w:pPr>
                        <w:r>
                          <w:rPr>
                            <w:sz w:val="15"/>
                          </w:rPr>
                          <w:t>$66.00</w:t>
                        </w:r>
                      </w:p>
                    </w:tc>
                  </w:tr>
                  <w:tr>
                    <w:trPr>
                      <w:trHeight w:val="199" w:hRule="atLeast"/>
                    </w:trPr>
                    <w:tc>
                      <w:tcPr>
                        <w:tcW w:w="4580" w:type="dxa"/>
                      </w:tcPr>
                      <w:p>
                        <w:pPr>
                          <w:pStyle w:val="TableParagraph"/>
                          <w:spacing w:line="156" w:lineRule="exact" w:before="24"/>
                          <w:ind w:right="139"/>
                          <w:jc w:val="right"/>
                          <w:rPr>
                            <w:sz w:val="15"/>
                          </w:rPr>
                        </w:pPr>
                        <w:r>
                          <w:rPr>
                            <w:sz w:val="15"/>
                          </w:rPr>
                          <w:t>k) Reducción cerrada e inmovilización externa (humero,</w:t>
                        </w:r>
                      </w:p>
                    </w:tc>
                    <w:tc>
                      <w:tcPr>
                        <w:tcW w:w="7440" w:type="dxa"/>
                      </w:tcPr>
                      <w:p>
                        <w:pPr>
                          <w:pStyle w:val="TableParagraph"/>
                          <w:spacing w:line="156" w:lineRule="exact" w:before="24"/>
                          <w:ind w:right="6611"/>
                          <w:jc w:val="right"/>
                          <w:rPr>
                            <w:sz w:val="15"/>
                          </w:rPr>
                        </w:pPr>
                        <w:r>
                          <w:rPr>
                            <w:sz w:val="15"/>
                          </w:rPr>
                          <w:t>$1,328.00</w:t>
                        </w:r>
                      </w:p>
                    </w:tc>
                    <w:tc>
                      <w:tcPr>
                        <w:tcW w:w="2614" w:type="dxa"/>
                      </w:tcPr>
                      <w:p>
                        <w:pPr>
                          <w:pStyle w:val="TableParagraph"/>
                          <w:spacing w:line="169" w:lineRule="exact" w:before="11"/>
                          <w:ind w:left="49"/>
                          <w:rPr>
                            <w:sz w:val="15"/>
                          </w:rPr>
                        </w:pPr>
                        <w:r>
                          <w:rPr>
                            <w:sz w:val="15"/>
                          </w:rPr>
                          <w:t>4. Urocultivo</w:t>
                        </w:r>
                      </w:p>
                    </w:tc>
                    <w:tc>
                      <w:tcPr>
                        <w:tcW w:w="2449" w:type="dxa"/>
                      </w:tcPr>
                      <w:p>
                        <w:pPr>
                          <w:pStyle w:val="TableParagraph"/>
                          <w:spacing w:line="169" w:lineRule="exact" w:before="11"/>
                          <w:ind w:right="52"/>
                          <w:jc w:val="right"/>
                          <w:rPr>
                            <w:sz w:val="15"/>
                          </w:rPr>
                        </w:pPr>
                        <w:r>
                          <w:rPr>
                            <w:sz w:val="15"/>
                          </w:rPr>
                          <w:t>$309.00</w:t>
                        </w:r>
                      </w:p>
                    </w:tc>
                  </w:tr>
                  <w:tr>
                    <w:trPr>
                      <w:trHeight w:val="194" w:hRule="atLeast"/>
                    </w:trPr>
                    <w:tc>
                      <w:tcPr>
                        <w:tcW w:w="4580" w:type="dxa"/>
                      </w:tcPr>
                      <w:p>
                        <w:pPr>
                          <w:pStyle w:val="TableParagraph"/>
                          <w:spacing w:before="1"/>
                          <w:ind w:left="50"/>
                          <w:rPr>
                            <w:sz w:val="15"/>
                          </w:rPr>
                        </w:pPr>
                        <w:r>
                          <w:rPr>
                            <w:sz w:val="15"/>
                          </w:rPr>
                          <w:t>radio, cubito, tobillo y fémur)</w:t>
                        </w:r>
                      </w:p>
                    </w:tc>
                    <w:tc>
                      <w:tcPr>
                        <w:tcW w:w="7440" w:type="dxa"/>
                      </w:tcPr>
                      <w:p>
                        <w:pPr>
                          <w:pStyle w:val="TableParagraph"/>
                          <w:rPr>
                            <w:rFonts w:ascii="Times New Roman"/>
                            <w:sz w:val="12"/>
                          </w:rPr>
                        </w:pPr>
                      </w:p>
                    </w:tc>
                    <w:tc>
                      <w:tcPr>
                        <w:tcW w:w="2614" w:type="dxa"/>
                      </w:tcPr>
                      <w:p>
                        <w:pPr>
                          <w:pStyle w:val="TableParagraph"/>
                          <w:spacing w:line="153" w:lineRule="exact" w:before="21"/>
                          <w:ind w:left="49"/>
                          <w:rPr>
                            <w:sz w:val="15"/>
                          </w:rPr>
                        </w:pPr>
                        <w:r>
                          <w:rPr>
                            <w:sz w:val="15"/>
                          </w:rPr>
                          <w:t>5. Hemocultivo</w:t>
                        </w:r>
                      </w:p>
                    </w:tc>
                    <w:tc>
                      <w:tcPr>
                        <w:tcW w:w="2449" w:type="dxa"/>
                      </w:tcPr>
                      <w:p>
                        <w:pPr>
                          <w:pStyle w:val="TableParagraph"/>
                          <w:spacing w:line="153" w:lineRule="exact" w:before="21"/>
                          <w:ind w:right="54"/>
                          <w:jc w:val="right"/>
                          <w:rPr>
                            <w:sz w:val="15"/>
                          </w:rPr>
                        </w:pPr>
                        <w:r>
                          <w:rPr>
                            <w:sz w:val="15"/>
                          </w:rPr>
                          <w:t>$342.00</w:t>
                        </w:r>
                      </w:p>
                    </w:tc>
                  </w:tr>
                  <w:tr>
                    <w:trPr>
                      <w:trHeight w:val="202" w:hRule="atLeast"/>
                    </w:trPr>
                    <w:tc>
                      <w:tcPr>
                        <w:tcW w:w="4580" w:type="dxa"/>
                      </w:tcPr>
                      <w:p>
                        <w:pPr>
                          <w:pStyle w:val="TableParagraph"/>
                          <w:spacing w:line="171" w:lineRule="exact"/>
                          <w:ind w:left="447"/>
                          <w:rPr>
                            <w:sz w:val="15"/>
                          </w:rPr>
                        </w:pPr>
                        <w:r>
                          <w:rPr>
                            <w:sz w:val="15"/>
                          </w:rPr>
                          <w:t>l) Retiro de yeso</w:t>
                        </w:r>
                      </w:p>
                    </w:tc>
                    <w:tc>
                      <w:tcPr>
                        <w:tcW w:w="7440" w:type="dxa"/>
                      </w:tcPr>
                      <w:p>
                        <w:pPr>
                          <w:pStyle w:val="TableParagraph"/>
                          <w:spacing w:line="171" w:lineRule="exact"/>
                          <w:ind w:right="6611"/>
                          <w:jc w:val="right"/>
                          <w:rPr>
                            <w:sz w:val="15"/>
                          </w:rPr>
                        </w:pPr>
                        <w:r>
                          <w:rPr>
                            <w:sz w:val="15"/>
                          </w:rPr>
                          <w:t>$39.00</w:t>
                        </w:r>
                      </w:p>
                    </w:tc>
                    <w:tc>
                      <w:tcPr>
                        <w:tcW w:w="2614" w:type="dxa"/>
                      </w:tcPr>
                      <w:p>
                        <w:pPr>
                          <w:pStyle w:val="TableParagraph"/>
                          <w:spacing w:line="146" w:lineRule="exact" w:before="52"/>
                          <w:ind w:left="49"/>
                          <w:rPr>
                            <w:sz w:val="15"/>
                          </w:rPr>
                        </w:pPr>
                        <w:r>
                          <w:rPr>
                            <w:sz w:val="15"/>
                          </w:rPr>
                          <w:t>6. Cultivo exudado faríngeo</w:t>
                        </w:r>
                      </w:p>
                    </w:tc>
                    <w:tc>
                      <w:tcPr>
                        <w:tcW w:w="2449" w:type="dxa"/>
                      </w:tcPr>
                      <w:p>
                        <w:pPr>
                          <w:pStyle w:val="TableParagraph"/>
                          <w:spacing w:line="146" w:lineRule="exact" w:before="52"/>
                          <w:ind w:right="52"/>
                          <w:jc w:val="right"/>
                          <w:rPr>
                            <w:sz w:val="15"/>
                          </w:rPr>
                        </w:pPr>
                        <w:r>
                          <w:rPr>
                            <w:sz w:val="15"/>
                          </w:rPr>
                          <w:t>$309.00</w:t>
                        </w:r>
                      </w:p>
                    </w:tc>
                  </w:tr>
                  <w:tr>
                    <w:trPr>
                      <w:trHeight w:val="282" w:hRule="atLeast"/>
                    </w:trPr>
                    <w:tc>
                      <w:tcPr>
                        <w:tcW w:w="4580" w:type="dxa"/>
                      </w:tcPr>
                      <w:p>
                        <w:pPr>
                          <w:pStyle w:val="TableParagraph"/>
                          <w:spacing w:line="163" w:lineRule="exact"/>
                          <w:ind w:left="447"/>
                          <w:rPr>
                            <w:sz w:val="15"/>
                          </w:rPr>
                        </w:pPr>
                        <w:r>
                          <w:rPr>
                            <w:sz w:val="15"/>
                          </w:rPr>
                          <w:t>m) Tratamiento de fractura de mano (no incluye material</w:t>
                        </w:r>
                      </w:p>
                      <w:p>
                        <w:pPr>
                          <w:pStyle w:val="TableParagraph"/>
                          <w:spacing w:line="94" w:lineRule="exact" w:before="4"/>
                          <w:ind w:left="50"/>
                          <w:rPr>
                            <w:sz w:val="15"/>
                          </w:rPr>
                        </w:pPr>
                        <w:r>
                          <w:rPr>
                            <w:sz w:val="15"/>
                          </w:rPr>
                          <w:t>de osteosíntesis)</w:t>
                        </w:r>
                      </w:p>
                    </w:tc>
                    <w:tc>
                      <w:tcPr>
                        <w:tcW w:w="7440" w:type="dxa"/>
                      </w:tcPr>
                      <w:p>
                        <w:pPr>
                          <w:pStyle w:val="TableParagraph"/>
                          <w:spacing w:line="163" w:lineRule="exact"/>
                          <w:ind w:right="6611"/>
                          <w:jc w:val="right"/>
                          <w:rPr>
                            <w:sz w:val="15"/>
                          </w:rPr>
                        </w:pPr>
                        <w:r>
                          <w:rPr>
                            <w:sz w:val="15"/>
                          </w:rPr>
                          <w:t>$2,144.00</w:t>
                        </w:r>
                      </w:p>
                    </w:tc>
                    <w:tc>
                      <w:tcPr>
                        <w:tcW w:w="2614" w:type="dxa"/>
                      </w:tcPr>
                      <w:p>
                        <w:pPr>
                          <w:pStyle w:val="TableParagraph"/>
                          <w:spacing w:before="44"/>
                          <w:ind w:left="49"/>
                          <w:rPr>
                            <w:sz w:val="15"/>
                          </w:rPr>
                        </w:pPr>
                        <w:r>
                          <w:rPr>
                            <w:sz w:val="15"/>
                          </w:rPr>
                          <w:t>7. Cultivo exudado vaginal</w:t>
                        </w:r>
                      </w:p>
                    </w:tc>
                    <w:tc>
                      <w:tcPr>
                        <w:tcW w:w="2449" w:type="dxa"/>
                      </w:tcPr>
                      <w:p>
                        <w:pPr>
                          <w:pStyle w:val="TableParagraph"/>
                          <w:spacing w:before="44"/>
                          <w:ind w:right="52"/>
                          <w:jc w:val="right"/>
                          <w:rPr>
                            <w:sz w:val="15"/>
                          </w:rPr>
                        </w:pPr>
                        <w:r>
                          <w:rPr>
                            <w:sz w:val="15"/>
                          </w:rPr>
                          <w:t>$309.00</w:t>
                        </w:r>
                      </w:p>
                    </w:tc>
                  </w:tr>
                  <w:tr>
                    <w:trPr>
                      <w:trHeight w:val="236" w:hRule="atLeast"/>
                    </w:trPr>
                    <w:tc>
                      <w:tcPr>
                        <w:tcW w:w="4580" w:type="dxa"/>
                      </w:tcPr>
                      <w:p>
                        <w:pPr>
                          <w:pStyle w:val="TableParagraph"/>
                          <w:spacing w:line="153" w:lineRule="exact" w:before="63"/>
                          <w:ind w:right="136"/>
                          <w:jc w:val="right"/>
                          <w:rPr>
                            <w:sz w:val="15"/>
                          </w:rPr>
                        </w:pPr>
                        <w:r>
                          <w:rPr>
                            <w:sz w:val="15"/>
                          </w:rPr>
                          <w:t>n) Tratamiento de fractura de tobillo (no incluye material</w:t>
                        </w:r>
                      </w:p>
                    </w:tc>
                    <w:tc>
                      <w:tcPr>
                        <w:tcW w:w="12503" w:type="dxa"/>
                        <w:gridSpan w:val="3"/>
                      </w:tcPr>
                      <w:p>
                        <w:pPr>
                          <w:pStyle w:val="TableParagraph"/>
                          <w:tabs>
                            <w:tab w:pos="7489" w:val="left" w:leader="none"/>
                            <w:tab w:pos="11976" w:val="left" w:leader="none"/>
                          </w:tabs>
                          <w:spacing w:line="192" w:lineRule="auto"/>
                          <w:ind w:left="141"/>
                          <w:rPr>
                            <w:sz w:val="15"/>
                          </w:rPr>
                        </w:pPr>
                        <w:r>
                          <w:rPr>
                            <w:position w:val="-8"/>
                            <w:sz w:val="15"/>
                          </w:rPr>
                          <w:t>$2,144.00</w:t>
                          <w:tab/>
                        </w:r>
                        <w:r>
                          <w:rPr>
                            <w:sz w:val="15"/>
                          </w:rPr>
                          <w:t>8. Tinción de gram</w:t>
                        </w:r>
                        <w:r>
                          <w:rPr>
                            <w:spacing w:val="23"/>
                            <w:sz w:val="15"/>
                          </w:rPr>
                          <w:t> </w:t>
                        </w:r>
                        <w:r>
                          <w:rPr>
                            <w:sz w:val="15"/>
                          </w:rPr>
                          <w:t>en</w:t>
                        </w:r>
                        <w:r>
                          <w:rPr>
                            <w:spacing w:val="6"/>
                            <w:sz w:val="15"/>
                          </w:rPr>
                          <w:t> </w:t>
                        </w:r>
                        <w:r>
                          <w:rPr>
                            <w:sz w:val="15"/>
                          </w:rPr>
                          <w:t>orina</w:t>
                          <w:tab/>
                          <w:t>$44.00</w:t>
                        </w:r>
                      </w:p>
                    </w:tc>
                  </w:tr>
                </w:tbl>
                <w:p>
                  <w:pPr>
                    <w:pStyle w:val="BodyText"/>
                  </w:pPr>
                </w:p>
              </w:txbxContent>
            </v:textbox>
            <w10:wrap type="none"/>
          </v:shape>
        </w:pict>
      </w:r>
      <w:r>
        <w:rPr/>
        <w:t>h)  Fijación  de  fractura:   tobillo,   tibia,  fémur,  </w:t>
      </w:r>
      <w:r>
        <w:rPr>
          <w:spacing w:val="22"/>
        </w:rPr>
        <w:t> </w:t>
      </w:r>
      <w:r>
        <w:rPr/>
        <w:t>humero </w:t>
      </w:r>
      <w:r>
        <w:rPr>
          <w:spacing w:val="21"/>
        </w:rPr>
        <w:t> </w:t>
      </w:r>
      <w:r>
        <w:rPr/>
        <w:t>y</w:t>
        <w:tab/>
        <w:t>$2,403.00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99"/>
          <w:pgSz w:w="23250" w:h="15310" w:orient="landscape"/>
          <w:pgMar w:header="881" w:footer="499" w:top="1920" w:bottom="680" w:left="1880" w:right="1520"/>
        </w:sectPr>
      </w:pPr>
    </w:p>
    <w:p>
      <w:pPr>
        <w:pStyle w:val="BodyText"/>
        <w:rPr>
          <w:sz w:val="16"/>
        </w:rPr>
      </w:pPr>
    </w:p>
    <w:p>
      <w:pPr>
        <w:pStyle w:val="BodyText"/>
        <w:spacing w:before="134"/>
        <w:ind w:left="150"/>
      </w:pPr>
      <w:r>
        <w:rPr/>
        <w:t>de osteosíntesis)</w:t>
      </w:r>
    </w:p>
    <w:p>
      <w:pPr>
        <w:pStyle w:val="BodyText"/>
        <w:spacing w:line="247" w:lineRule="auto" w:before="4"/>
        <w:ind w:left="150" w:right="83" w:firstLine="397"/>
      </w:pPr>
      <w:r>
        <w:rPr/>
        <w:t>o) Tratamiento de fractura de antebrazo (no incluye  material de</w:t>
      </w:r>
      <w:r>
        <w:rPr>
          <w:spacing w:val="3"/>
        </w:rPr>
        <w:t> </w:t>
      </w:r>
      <w:r>
        <w:rPr/>
        <w:t>osteosíntesis)</w:t>
      </w:r>
    </w:p>
    <w:p>
      <w:pPr>
        <w:pStyle w:val="BodyText"/>
        <w:rPr>
          <w:sz w:val="16"/>
        </w:rPr>
      </w:pPr>
      <w:r>
        <w:rPr/>
        <w:br w:type="column"/>
      </w:r>
      <w:r>
        <w:rPr>
          <w:sz w:val="16"/>
        </w:rPr>
      </w:r>
    </w:p>
    <w:p>
      <w:pPr>
        <w:pStyle w:val="BodyText"/>
        <w:rPr>
          <w:sz w:val="16"/>
        </w:rPr>
      </w:pPr>
    </w:p>
    <w:p>
      <w:pPr>
        <w:pStyle w:val="BodyText"/>
        <w:spacing w:before="126"/>
        <w:ind w:left="150"/>
      </w:pPr>
      <w:r>
        <w:rPr/>
        <w:t>$2,144.00</w:t>
      </w:r>
    </w:p>
    <w:p>
      <w:pPr>
        <w:pStyle w:val="BodyText"/>
        <w:spacing w:before="6"/>
        <w:rPr>
          <w:sz w:val="22"/>
        </w:rPr>
      </w:pPr>
      <w:r>
        <w:rPr/>
        <w:br w:type="column"/>
      </w:r>
      <w:r>
        <w:rPr>
          <w:sz w:val="22"/>
        </w:rPr>
      </w:r>
    </w:p>
    <w:p>
      <w:pPr>
        <w:pStyle w:val="BodyText"/>
        <w:tabs>
          <w:tab w:pos="4638" w:val="left" w:leader="none"/>
        </w:tabs>
        <w:ind w:left="150"/>
      </w:pPr>
      <w:r>
        <w:rPr/>
        <w:t>9.</w:t>
      </w:r>
      <w:r>
        <w:rPr>
          <w:spacing w:val="10"/>
        </w:rPr>
        <w:t> </w:t>
      </w:r>
      <w:r>
        <w:rPr/>
        <w:t>Azucares</w:t>
      </w:r>
      <w:r>
        <w:rPr>
          <w:spacing w:val="8"/>
        </w:rPr>
        <w:t> </w:t>
      </w:r>
      <w:r>
        <w:rPr/>
        <w:t>reductores</w:t>
        <w:tab/>
        <w:t>$78.00</w:t>
      </w:r>
    </w:p>
    <w:p>
      <w:pPr>
        <w:pStyle w:val="ListParagraph"/>
        <w:numPr>
          <w:ilvl w:val="0"/>
          <w:numId w:val="164"/>
        </w:numPr>
        <w:tabs>
          <w:tab w:pos="331" w:val="left" w:leader="none"/>
        </w:tabs>
        <w:spacing w:line="240" w:lineRule="auto" w:before="38" w:after="0"/>
        <w:ind w:left="330" w:right="0" w:hanging="181"/>
        <w:jc w:val="left"/>
        <w:rPr>
          <w:sz w:val="15"/>
        </w:rPr>
      </w:pPr>
      <w:r>
        <w:rPr>
          <w:sz w:val="15"/>
        </w:rPr>
        <w:t>Bioquímica:</w:t>
      </w:r>
    </w:p>
    <w:p>
      <w:pPr>
        <w:pStyle w:val="ListParagraph"/>
        <w:numPr>
          <w:ilvl w:val="0"/>
          <w:numId w:val="165"/>
        </w:numPr>
        <w:tabs>
          <w:tab w:pos="281" w:val="left" w:leader="none"/>
          <w:tab w:pos="4639" w:val="left" w:leader="none"/>
        </w:tabs>
        <w:spacing w:line="240" w:lineRule="auto" w:before="37" w:after="0"/>
        <w:ind w:left="280" w:right="0" w:hanging="131"/>
        <w:jc w:val="left"/>
        <w:rPr>
          <w:sz w:val="15"/>
        </w:rPr>
      </w:pPr>
      <w:r>
        <w:rPr>
          <w:sz w:val="15"/>
        </w:rPr>
        <w:t>Ácido</w:t>
      </w:r>
      <w:r>
        <w:rPr>
          <w:spacing w:val="18"/>
          <w:sz w:val="15"/>
        </w:rPr>
        <w:t> </w:t>
      </w:r>
      <w:r>
        <w:rPr>
          <w:sz w:val="15"/>
        </w:rPr>
        <w:t>úrico</w:t>
        <w:tab/>
        <w:t>$78.00</w:t>
      </w:r>
    </w:p>
    <w:p>
      <w:pPr>
        <w:pStyle w:val="ListParagraph"/>
        <w:numPr>
          <w:ilvl w:val="0"/>
          <w:numId w:val="165"/>
        </w:numPr>
        <w:tabs>
          <w:tab w:pos="323" w:val="left" w:leader="none"/>
          <w:tab w:pos="4638" w:val="left" w:leader="none"/>
        </w:tabs>
        <w:spacing w:line="240" w:lineRule="auto" w:before="38" w:after="0"/>
        <w:ind w:left="322" w:right="0" w:hanging="173"/>
        <w:jc w:val="left"/>
        <w:rPr>
          <w:sz w:val="15"/>
        </w:rPr>
      </w:pPr>
      <w:r>
        <w:rPr/>
        <w:pict>
          <v:shape style="position:absolute;margin-left:118.916298pt;margin-top:17.671799pt;width:253pt;height:40.1pt;mso-position-horizontal-relative:page;mso-position-vertical-relative:paragraph;z-index:2517063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8"/>
                    <w:gridCol w:w="1632"/>
                  </w:tblGrid>
                  <w:tr>
                    <w:trPr>
                      <w:trHeight w:val="190" w:hRule="atLeast"/>
                    </w:trPr>
                    <w:tc>
                      <w:tcPr>
                        <w:tcW w:w="3428" w:type="dxa"/>
                      </w:tcPr>
                      <w:p>
                        <w:pPr>
                          <w:pStyle w:val="TableParagraph"/>
                          <w:spacing w:line="171" w:lineRule="exact"/>
                          <w:ind w:left="50"/>
                          <w:rPr>
                            <w:sz w:val="15"/>
                          </w:rPr>
                        </w:pPr>
                        <w:r>
                          <w:rPr>
                            <w:sz w:val="15"/>
                          </w:rPr>
                          <w:t>a) Tenorrafia</w:t>
                        </w:r>
                      </w:p>
                    </w:tc>
                    <w:tc>
                      <w:tcPr>
                        <w:tcW w:w="1632" w:type="dxa"/>
                      </w:tcPr>
                      <w:p>
                        <w:pPr>
                          <w:pStyle w:val="TableParagraph"/>
                          <w:spacing w:line="171" w:lineRule="exact"/>
                          <w:ind w:right="49"/>
                          <w:jc w:val="right"/>
                          <w:rPr>
                            <w:sz w:val="15"/>
                          </w:rPr>
                        </w:pPr>
                        <w:r>
                          <w:rPr>
                            <w:sz w:val="15"/>
                          </w:rPr>
                          <w:t>$1,940.00</w:t>
                        </w:r>
                      </w:p>
                    </w:tc>
                  </w:tr>
                  <w:tr>
                    <w:trPr>
                      <w:trHeight w:val="209" w:hRule="atLeast"/>
                    </w:trPr>
                    <w:tc>
                      <w:tcPr>
                        <w:tcW w:w="3428" w:type="dxa"/>
                      </w:tcPr>
                      <w:p>
                        <w:pPr>
                          <w:pStyle w:val="TableParagraph"/>
                          <w:spacing w:before="17"/>
                          <w:ind w:left="50"/>
                          <w:rPr>
                            <w:sz w:val="15"/>
                          </w:rPr>
                        </w:pPr>
                        <w:r>
                          <w:rPr>
                            <w:sz w:val="15"/>
                          </w:rPr>
                          <w:t>b) Neurorrafia</w:t>
                        </w:r>
                      </w:p>
                    </w:tc>
                    <w:tc>
                      <w:tcPr>
                        <w:tcW w:w="1632" w:type="dxa"/>
                      </w:tcPr>
                      <w:p>
                        <w:pPr>
                          <w:pStyle w:val="TableParagraph"/>
                          <w:spacing w:before="17"/>
                          <w:ind w:right="49"/>
                          <w:jc w:val="right"/>
                          <w:rPr>
                            <w:sz w:val="15"/>
                          </w:rPr>
                        </w:pPr>
                        <w:r>
                          <w:rPr>
                            <w:sz w:val="15"/>
                          </w:rPr>
                          <w:t>$1,940.00</w:t>
                        </w:r>
                      </w:p>
                    </w:tc>
                  </w:tr>
                  <w:tr>
                    <w:trPr>
                      <w:trHeight w:val="209" w:hRule="atLeast"/>
                    </w:trPr>
                    <w:tc>
                      <w:tcPr>
                        <w:tcW w:w="3428" w:type="dxa"/>
                      </w:tcPr>
                      <w:p>
                        <w:pPr>
                          <w:pStyle w:val="TableParagraph"/>
                          <w:spacing w:before="17"/>
                          <w:ind w:left="50"/>
                          <w:rPr>
                            <w:sz w:val="15"/>
                          </w:rPr>
                        </w:pPr>
                        <w:r>
                          <w:rPr>
                            <w:sz w:val="15"/>
                          </w:rPr>
                          <w:t>c) Amputación de brazo o antebrazo</w:t>
                        </w:r>
                      </w:p>
                    </w:tc>
                    <w:tc>
                      <w:tcPr>
                        <w:tcW w:w="1632" w:type="dxa"/>
                      </w:tcPr>
                      <w:p>
                        <w:pPr>
                          <w:pStyle w:val="TableParagraph"/>
                          <w:spacing w:before="17"/>
                          <w:ind w:right="49"/>
                          <w:jc w:val="right"/>
                          <w:rPr>
                            <w:sz w:val="15"/>
                          </w:rPr>
                        </w:pPr>
                        <w:r>
                          <w:rPr>
                            <w:sz w:val="15"/>
                          </w:rPr>
                          <w:t>$3,574.00</w:t>
                        </w:r>
                      </w:p>
                    </w:tc>
                  </w:tr>
                  <w:tr>
                    <w:trPr>
                      <w:trHeight w:val="190" w:hRule="atLeast"/>
                    </w:trPr>
                    <w:tc>
                      <w:tcPr>
                        <w:tcW w:w="3428" w:type="dxa"/>
                      </w:tcPr>
                      <w:p>
                        <w:pPr>
                          <w:pStyle w:val="TableParagraph"/>
                          <w:spacing w:line="153" w:lineRule="exact" w:before="17"/>
                          <w:ind w:left="50"/>
                          <w:rPr>
                            <w:sz w:val="15"/>
                          </w:rPr>
                        </w:pPr>
                        <w:r>
                          <w:rPr>
                            <w:sz w:val="15"/>
                          </w:rPr>
                          <w:t>d) Osteosíntesis hueso de mano</w:t>
                        </w:r>
                      </w:p>
                    </w:tc>
                    <w:tc>
                      <w:tcPr>
                        <w:tcW w:w="1632" w:type="dxa"/>
                      </w:tcPr>
                      <w:p>
                        <w:pPr>
                          <w:pStyle w:val="TableParagraph"/>
                          <w:spacing w:line="153" w:lineRule="exact" w:before="17"/>
                          <w:ind w:right="48"/>
                          <w:jc w:val="right"/>
                          <w:rPr>
                            <w:sz w:val="15"/>
                          </w:rPr>
                        </w:pPr>
                        <w:r>
                          <w:rPr>
                            <w:sz w:val="15"/>
                          </w:rPr>
                          <w:t>$1,022.00</w:t>
                        </w:r>
                      </w:p>
                    </w:tc>
                  </w:tr>
                </w:tbl>
                <w:p>
                  <w:pPr>
                    <w:pStyle w:val="BodyText"/>
                  </w:pPr>
                </w:p>
              </w:txbxContent>
            </v:textbox>
            <w10:wrap type="none"/>
          </v:shape>
        </w:pict>
      </w:r>
      <w:r>
        <w:rPr>
          <w:sz w:val="15"/>
        </w:rPr>
        <w:t>Albumina</w:t>
        <w:tab/>
        <w:t>$78.00</w:t>
      </w:r>
    </w:p>
    <w:p>
      <w:pPr>
        <w:spacing w:after="0" w:line="240" w:lineRule="auto"/>
        <w:jc w:val="left"/>
        <w:rPr>
          <w:sz w:val="15"/>
        </w:rPr>
        <w:sectPr>
          <w:type w:val="continuous"/>
          <w:pgSz w:w="23250" w:h="15310" w:orient="landscape"/>
          <w:pgMar w:top="0" w:bottom="0" w:left="1880" w:right="1520"/>
          <w:cols w:num="3" w:equalWidth="0">
            <w:col w:w="4582" w:space="90"/>
            <w:col w:w="876" w:space="6471"/>
            <w:col w:w="7831"/>
          </w:cols>
        </w:sectPr>
      </w:pPr>
    </w:p>
    <w:p>
      <w:pPr>
        <w:pStyle w:val="BodyText"/>
        <w:spacing w:before="4"/>
        <w:rPr>
          <w:sz w:val="3"/>
        </w:rPr>
      </w:pPr>
      <w:r>
        <w:rPr/>
        <w:pict>
          <v:shape style="position:absolute;margin-left:101.547989pt;margin-top:484.178955pt;width:851.45pt;height:147.6pt;mso-position-horizontal-relative:page;mso-position-vertical-relative:page;z-index:2517053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7"/>
                    <w:gridCol w:w="7993"/>
                    <w:gridCol w:w="3945"/>
                    <w:gridCol w:w="1114"/>
                  </w:tblGrid>
                  <w:tr>
                    <w:trPr>
                      <w:trHeight w:val="190" w:hRule="atLeast"/>
                    </w:trPr>
                    <w:tc>
                      <w:tcPr>
                        <w:tcW w:w="15915" w:type="dxa"/>
                        <w:gridSpan w:val="3"/>
                        <w:vMerge w:val="restart"/>
                      </w:tcPr>
                      <w:p>
                        <w:pPr>
                          <w:pStyle w:val="TableParagraph"/>
                          <w:rPr>
                            <w:rFonts w:ascii="Times New Roman"/>
                            <w:sz w:val="14"/>
                          </w:rPr>
                        </w:pPr>
                      </w:p>
                    </w:tc>
                    <w:tc>
                      <w:tcPr>
                        <w:tcW w:w="1114" w:type="dxa"/>
                        <w:vMerge w:val="restart"/>
                      </w:tcPr>
                      <w:p>
                        <w:pPr>
                          <w:pStyle w:val="TableParagraph"/>
                          <w:rPr>
                            <w:rFonts w:ascii="Times New Roman"/>
                            <w:sz w:val="14"/>
                          </w:rPr>
                        </w:pPr>
                      </w:p>
                    </w:tc>
                  </w:tr>
                  <w:tr>
                    <w:trPr>
                      <w:trHeight w:val="209" w:hRule="atLeast"/>
                    </w:trPr>
                    <w:tc>
                      <w:tcPr>
                        <w:tcW w:w="15915" w:type="dxa"/>
                        <w:gridSpan w:val="3"/>
                        <w:vMerge/>
                        <w:tcBorders>
                          <w:top w:val="nil"/>
                        </w:tcBorders>
                      </w:tcPr>
                      <w:p>
                        <w:pPr>
                          <w:rPr>
                            <w:sz w:val="2"/>
                            <w:szCs w:val="2"/>
                          </w:rPr>
                        </w:pPr>
                      </w:p>
                    </w:tc>
                    <w:tc>
                      <w:tcPr>
                        <w:tcW w:w="1114" w:type="dxa"/>
                        <w:vMerge/>
                        <w:tcBorders>
                          <w:top w:val="nil"/>
                        </w:tcBorders>
                      </w:tcPr>
                      <w:p>
                        <w:pPr>
                          <w:rPr>
                            <w:sz w:val="2"/>
                            <w:szCs w:val="2"/>
                          </w:rPr>
                        </w:pPr>
                      </w:p>
                    </w:tc>
                  </w:tr>
                  <w:tr>
                    <w:trPr>
                      <w:trHeight w:val="209" w:hRule="atLeast"/>
                    </w:trPr>
                    <w:tc>
                      <w:tcPr>
                        <w:tcW w:w="15915" w:type="dxa"/>
                        <w:gridSpan w:val="3"/>
                        <w:vMerge/>
                        <w:tcBorders>
                          <w:top w:val="nil"/>
                        </w:tcBorders>
                      </w:tcPr>
                      <w:p>
                        <w:pPr>
                          <w:rPr>
                            <w:sz w:val="2"/>
                            <w:szCs w:val="2"/>
                          </w:rPr>
                        </w:pPr>
                      </w:p>
                    </w:tc>
                    <w:tc>
                      <w:tcPr>
                        <w:tcW w:w="1114" w:type="dxa"/>
                        <w:vMerge/>
                        <w:tcBorders>
                          <w:top w:val="nil"/>
                        </w:tcBorders>
                      </w:tcPr>
                      <w:p>
                        <w:pPr>
                          <w:rPr>
                            <w:sz w:val="2"/>
                            <w:szCs w:val="2"/>
                          </w:rPr>
                        </w:pPr>
                      </w:p>
                    </w:tc>
                  </w:tr>
                  <w:tr>
                    <w:trPr>
                      <w:trHeight w:val="209" w:hRule="atLeast"/>
                    </w:trPr>
                    <w:tc>
                      <w:tcPr>
                        <w:tcW w:w="15915" w:type="dxa"/>
                        <w:gridSpan w:val="3"/>
                        <w:vMerge/>
                        <w:tcBorders>
                          <w:top w:val="nil"/>
                        </w:tcBorders>
                      </w:tcPr>
                      <w:p>
                        <w:pPr>
                          <w:rPr>
                            <w:sz w:val="2"/>
                            <w:szCs w:val="2"/>
                          </w:rPr>
                        </w:pPr>
                      </w:p>
                    </w:tc>
                    <w:tc>
                      <w:tcPr>
                        <w:tcW w:w="1114" w:type="dxa"/>
                        <w:vMerge/>
                        <w:tcBorders>
                          <w:top w:val="nil"/>
                        </w:tcBorders>
                      </w:tcPr>
                      <w:p>
                        <w:pPr>
                          <w:rPr>
                            <w:sz w:val="2"/>
                            <w:szCs w:val="2"/>
                          </w:rPr>
                        </w:pPr>
                      </w:p>
                    </w:tc>
                  </w:tr>
                  <w:tr>
                    <w:trPr>
                      <w:trHeight w:val="209" w:hRule="atLeast"/>
                    </w:trPr>
                    <w:tc>
                      <w:tcPr>
                        <w:tcW w:w="15915" w:type="dxa"/>
                        <w:gridSpan w:val="3"/>
                      </w:tcPr>
                      <w:p>
                        <w:pPr>
                          <w:pStyle w:val="TableParagraph"/>
                          <w:tabs>
                            <w:tab w:pos="12019" w:val="left" w:leader="none"/>
                          </w:tabs>
                          <w:spacing w:line="170" w:lineRule="exact" w:before="20"/>
                          <w:ind w:left="397"/>
                          <w:rPr>
                            <w:sz w:val="15"/>
                          </w:rPr>
                        </w:pPr>
                        <w:r>
                          <w:rPr>
                            <w:sz w:val="15"/>
                          </w:rPr>
                          <w:t>XIV.</w:t>
                        </w:r>
                        <w:r>
                          <w:rPr>
                            <w:spacing w:val="8"/>
                            <w:sz w:val="15"/>
                          </w:rPr>
                          <w:t> </w:t>
                        </w:r>
                        <w:r>
                          <w:rPr>
                            <w:sz w:val="15"/>
                          </w:rPr>
                          <w:t>Cirugía</w:t>
                        </w:r>
                        <w:r>
                          <w:rPr>
                            <w:spacing w:val="7"/>
                            <w:sz w:val="15"/>
                          </w:rPr>
                          <w:t> </w:t>
                        </w:r>
                        <w:r>
                          <w:rPr>
                            <w:sz w:val="15"/>
                          </w:rPr>
                          <w:t>general:</w:t>
                          <w:tab/>
                        </w:r>
                        <w:r>
                          <w:rPr>
                            <w:position w:val="8"/>
                            <w:sz w:val="15"/>
                          </w:rPr>
                          <w:t>22.</w:t>
                        </w:r>
                        <w:r>
                          <w:rPr>
                            <w:spacing w:val="2"/>
                            <w:position w:val="8"/>
                            <w:sz w:val="15"/>
                          </w:rPr>
                          <w:t> </w:t>
                        </w:r>
                        <w:r>
                          <w:rPr>
                            <w:position w:val="8"/>
                            <w:sz w:val="15"/>
                          </w:rPr>
                          <w:t>Amonio</w:t>
                        </w:r>
                      </w:p>
                    </w:tc>
                    <w:tc>
                      <w:tcPr>
                        <w:tcW w:w="1114" w:type="dxa"/>
                      </w:tcPr>
                      <w:p>
                        <w:pPr>
                          <w:pStyle w:val="TableParagraph"/>
                          <w:spacing w:before="17"/>
                          <w:ind w:right="48"/>
                          <w:jc w:val="right"/>
                          <w:rPr>
                            <w:sz w:val="15"/>
                          </w:rPr>
                        </w:pPr>
                        <w:r>
                          <w:rPr>
                            <w:sz w:val="15"/>
                          </w:rPr>
                          <w:t>$276.00</w:t>
                        </w:r>
                      </w:p>
                    </w:tc>
                  </w:tr>
                  <w:tr>
                    <w:trPr>
                      <w:trHeight w:val="235" w:hRule="atLeast"/>
                    </w:trPr>
                    <w:tc>
                      <w:tcPr>
                        <w:tcW w:w="3977" w:type="dxa"/>
                      </w:tcPr>
                      <w:p>
                        <w:pPr>
                          <w:pStyle w:val="TableParagraph"/>
                          <w:spacing w:line="147" w:lineRule="exact" w:before="48"/>
                          <w:ind w:left="397"/>
                          <w:rPr>
                            <w:sz w:val="15"/>
                          </w:rPr>
                        </w:pPr>
                        <w:r>
                          <w:rPr>
                            <w:sz w:val="15"/>
                          </w:rPr>
                          <w:t>a) Apendicectomía (incluye 1 día)</w:t>
                        </w:r>
                      </w:p>
                    </w:tc>
                    <w:tc>
                      <w:tcPr>
                        <w:tcW w:w="7993" w:type="dxa"/>
                      </w:tcPr>
                      <w:p>
                        <w:pPr>
                          <w:pStyle w:val="TableParagraph"/>
                          <w:spacing w:line="147" w:lineRule="exact" w:before="48"/>
                          <w:ind w:left="694"/>
                          <w:rPr>
                            <w:sz w:val="15"/>
                          </w:rPr>
                        </w:pPr>
                        <w:r>
                          <w:rPr>
                            <w:sz w:val="15"/>
                          </w:rPr>
                          <w:t>$8,168.00</w:t>
                        </w:r>
                      </w:p>
                    </w:tc>
                    <w:tc>
                      <w:tcPr>
                        <w:tcW w:w="3945" w:type="dxa"/>
                      </w:tcPr>
                      <w:p>
                        <w:pPr>
                          <w:pStyle w:val="TableParagraph"/>
                          <w:spacing w:line="171" w:lineRule="exact"/>
                          <w:ind w:left="49"/>
                          <w:rPr>
                            <w:sz w:val="15"/>
                          </w:rPr>
                        </w:pPr>
                        <w:r>
                          <w:rPr>
                            <w:sz w:val="15"/>
                          </w:rPr>
                          <w:t>23. Apolipoproteínas A</w:t>
                        </w:r>
                      </w:p>
                    </w:tc>
                    <w:tc>
                      <w:tcPr>
                        <w:tcW w:w="1114" w:type="dxa"/>
                      </w:tcPr>
                      <w:p>
                        <w:pPr>
                          <w:pStyle w:val="TableParagraph"/>
                          <w:spacing w:line="171" w:lineRule="exact"/>
                          <w:ind w:right="48"/>
                          <w:jc w:val="right"/>
                          <w:rPr>
                            <w:sz w:val="15"/>
                          </w:rPr>
                        </w:pPr>
                        <w:r>
                          <w:rPr>
                            <w:sz w:val="15"/>
                          </w:rPr>
                          <w:t>$254.00</w:t>
                        </w:r>
                      </w:p>
                    </w:tc>
                  </w:tr>
                  <w:tr>
                    <w:trPr>
                      <w:trHeight w:val="209" w:hRule="atLeast"/>
                    </w:trPr>
                    <w:tc>
                      <w:tcPr>
                        <w:tcW w:w="3977" w:type="dxa"/>
                      </w:tcPr>
                      <w:p>
                        <w:pPr>
                          <w:pStyle w:val="TableParagraph"/>
                          <w:spacing w:line="147" w:lineRule="exact" w:before="42"/>
                          <w:ind w:left="397"/>
                          <w:rPr>
                            <w:sz w:val="15"/>
                          </w:rPr>
                        </w:pPr>
                        <w:r>
                          <w:rPr>
                            <w:sz w:val="15"/>
                          </w:rPr>
                          <w:t>b) Circuncisión</w:t>
                        </w:r>
                      </w:p>
                    </w:tc>
                    <w:tc>
                      <w:tcPr>
                        <w:tcW w:w="7993" w:type="dxa"/>
                      </w:tcPr>
                      <w:p>
                        <w:pPr>
                          <w:pStyle w:val="TableParagraph"/>
                          <w:spacing w:line="147" w:lineRule="exact" w:before="42"/>
                          <w:ind w:left="694"/>
                          <w:rPr>
                            <w:sz w:val="15"/>
                          </w:rPr>
                        </w:pPr>
                        <w:r>
                          <w:rPr>
                            <w:sz w:val="15"/>
                          </w:rPr>
                          <w:t>$1,328.00</w:t>
                        </w:r>
                      </w:p>
                    </w:tc>
                    <w:tc>
                      <w:tcPr>
                        <w:tcW w:w="3945" w:type="dxa"/>
                      </w:tcPr>
                      <w:p>
                        <w:pPr>
                          <w:pStyle w:val="TableParagraph"/>
                          <w:spacing w:line="165" w:lineRule="exact"/>
                          <w:ind w:left="49"/>
                          <w:rPr>
                            <w:sz w:val="15"/>
                          </w:rPr>
                        </w:pPr>
                        <w:r>
                          <w:rPr>
                            <w:sz w:val="15"/>
                          </w:rPr>
                          <w:t>24. Apolipoproteinas B</w:t>
                        </w:r>
                      </w:p>
                    </w:tc>
                    <w:tc>
                      <w:tcPr>
                        <w:tcW w:w="1114" w:type="dxa"/>
                      </w:tcPr>
                      <w:p>
                        <w:pPr>
                          <w:pStyle w:val="TableParagraph"/>
                          <w:spacing w:line="165" w:lineRule="exact"/>
                          <w:ind w:right="48"/>
                          <w:jc w:val="right"/>
                          <w:rPr>
                            <w:sz w:val="15"/>
                          </w:rPr>
                        </w:pPr>
                        <w:r>
                          <w:rPr>
                            <w:sz w:val="15"/>
                          </w:rPr>
                          <w:t>$238.00</w:t>
                        </w:r>
                      </w:p>
                    </w:tc>
                  </w:tr>
                  <w:tr>
                    <w:trPr>
                      <w:trHeight w:val="209" w:hRule="atLeast"/>
                    </w:trPr>
                    <w:tc>
                      <w:tcPr>
                        <w:tcW w:w="3977" w:type="dxa"/>
                      </w:tcPr>
                      <w:p>
                        <w:pPr>
                          <w:pStyle w:val="TableParagraph"/>
                          <w:spacing w:line="147" w:lineRule="exact" w:before="42"/>
                          <w:ind w:left="397"/>
                          <w:rPr>
                            <w:sz w:val="15"/>
                          </w:rPr>
                        </w:pPr>
                        <w:r>
                          <w:rPr>
                            <w:sz w:val="15"/>
                          </w:rPr>
                          <w:t>c) Vasectomía</w:t>
                        </w:r>
                      </w:p>
                    </w:tc>
                    <w:tc>
                      <w:tcPr>
                        <w:tcW w:w="7993" w:type="dxa"/>
                      </w:tcPr>
                      <w:p>
                        <w:pPr>
                          <w:pStyle w:val="TableParagraph"/>
                          <w:spacing w:line="147" w:lineRule="exact" w:before="42"/>
                          <w:ind w:left="694"/>
                          <w:rPr>
                            <w:sz w:val="15"/>
                          </w:rPr>
                        </w:pPr>
                        <w:r>
                          <w:rPr>
                            <w:sz w:val="15"/>
                          </w:rPr>
                          <w:t>$2,350.00</w:t>
                        </w:r>
                      </w:p>
                    </w:tc>
                    <w:tc>
                      <w:tcPr>
                        <w:tcW w:w="3945" w:type="dxa"/>
                      </w:tcPr>
                      <w:p>
                        <w:pPr>
                          <w:pStyle w:val="TableParagraph"/>
                          <w:spacing w:line="165" w:lineRule="exact"/>
                          <w:ind w:left="49"/>
                          <w:rPr>
                            <w:sz w:val="15"/>
                          </w:rPr>
                        </w:pPr>
                        <w:r>
                          <w:rPr>
                            <w:sz w:val="15"/>
                          </w:rPr>
                          <w:t>25. Electroforesis de proteínas</w:t>
                        </w:r>
                      </w:p>
                    </w:tc>
                    <w:tc>
                      <w:tcPr>
                        <w:tcW w:w="1114" w:type="dxa"/>
                      </w:tcPr>
                      <w:p>
                        <w:pPr>
                          <w:pStyle w:val="TableParagraph"/>
                          <w:spacing w:line="165" w:lineRule="exact"/>
                          <w:ind w:right="48"/>
                          <w:jc w:val="right"/>
                          <w:rPr>
                            <w:sz w:val="15"/>
                          </w:rPr>
                        </w:pPr>
                        <w:r>
                          <w:rPr>
                            <w:sz w:val="15"/>
                          </w:rPr>
                          <w:t>$238.00</w:t>
                        </w:r>
                      </w:p>
                    </w:tc>
                  </w:tr>
                  <w:tr>
                    <w:trPr>
                      <w:trHeight w:val="209" w:hRule="atLeast"/>
                    </w:trPr>
                    <w:tc>
                      <w:tcPr>
                        <w:tcW w:w="3977" w:type="dxa"/>
                      </w:tcPr>
                      <w:p>
                        <w:pPr>
                          <w:pStyle w:val="TableParagraph"/>
                          <w:spacing w:line="147" w:lineRule="exact" w:before="42"/>
                          <w:ind w:left="397"/>
                          <w:rPr>
                            <w:sz w:val="15"/>
                          </w:rPr>
                        </w:pPr>
                        <w:r>
                          <w:rPr>
                            <w:sz w:val="15"/>
                          </w:rPr>
                          <w:t>d) Salpingoclasia</w:t>
                        </w:r>
                      </w:p>
                    </w:tc>
                    <w:tc>
                      <w:tcPr>
                        <w:tcW w:w="7993" w:type="dxa"/>
                      </w:tcPr>
                      <w:p>
                        <w:pPr>
                          <w:pStyle w:val="TableParagraph"/>
                          <w:spacing w:line="147" w:lineRule="exact" w:before="42"/>
                          <w:ind w:left="693"/>
                          <w:rPr>
                            <w:sz w:val="15"/>
                          </w:rPr>
                        </w:pPr>
                        <w:r>
                          <w:rPr>
                            <w:sz w:val="15"/>
                          </w:rPr>
                          <w:t>$2,350.00</w:t>
                        </w:r>
                      </w:p>
                    </w:tc>
                    <w:tc>
                      <w:tcPr>
                        <w:tcW w:w="3945" w:type="dxa"/>
                      </w:tcPr>
                      <w:p>
                        <w:pPr>
                          <w:pStyle w:val="TableParagraph"/>
                          <w:spacing w:line="165" w:lineRule="exact"/>
                          <w:ind w:left="49"/>
                          <w:rPr>
                            <w:sz w:val="15"/>
                          </w:rPr>
                        </w:pPr>
                        <w:r>
                          <w:rPr>
                            <w:sz w:val="15"/>
                          </w:rPr>
                          <w:t>26. Electroforesis de lipoproteínas alfa y pre beta</w:t>
                        </w:r>
                      </w:p>
                    </w:tc>
                    <w:tc>
                      <w:tcPr>
                        <w:tcW w:w="1114" w:type="dxa"/>
                      </w:tcPr>
                      <w:p>
                        <w:pPr>
                          <w:pStyle w:val="TableParagraph"/>
                          <w:spacing w:line="165" w:lineRule="exact"/>
                          <w:ind w:right="48"/>
                          <w:jc w:val="right"/>
                          <w:rPr>
                            <w:sz w:val="15"/>
                          </w:rPr>
                        </w:pPr>
                        <w:r>
                          <w:rPr>
                            <w:sz w:val="15"/>
                          </w:rPr>
                          <w:t>$238.00</w:t>
                        </w:r>
                      </w:p>
                    </w:tc>
                  </w:tr>
                  <w:tr>
                    <w:trPr>
                      <w:trHeight w:val="209" w:hRule="atLeast"/>
                    </w:trPr>
                    <w:tc>
                      <w:tcPr>
                        <w:tcW w:w="3977" w:type="dxa"/>
                      </w:tcPr>
                      <w:p>
                        <w:pPr>
                          <w:pStyle w:val="TableParagraph"/>
                          <w:spacing w:line="147" w:lineRule="exact" w:before="42"/>
                          <w:ind w:left="397"/>
                          <w:rPr>
                            <w:sz w:val="15"/>
                          </w:rPr>
                        </w:pPr>
                        <w:r>
                          <w:rPr>
                            <w:sz w:val="15"/>
                          </w:rPr>
                          <w:t>e) Extirpación de tumores en piel benigno</w:t>
                        </w:r>
                      </w:p>
                    </w:tc>
                    <w:tc>
                      <w:tcPr>
                        <w:tcW w:w="7993" w:type="dxa"/>
                      </w:tcPr>
                      <w:p>
                        <w:pPr>
                          <w:pStyle w:val="TableParagraph"/>
                          <w:spacing w:line="147" w:lineRule="exact" w:before="42"/>
                          <w:ind w:left="693"/>
                          <w:rPr>
                            <w:sz w:val="15"/>
                          </w:rPr>
                        </w:pPr>
                        <w:r>
                          <w:rPr>
                            <w:sz w:val="15"/>
                          </w:rPr>
                          <w:t>$2,350.00</w:t>
                        </w:r>
                      </w:p>
                    </w:tc>
                    <w:tc>
                      <w:tcPr>
                        <w:tcW w:w="3945" w:type="dxa"/>
                      </w:tcPr>
                      <w:p>
                        <w:pPr>
                          <w:pStyle w:val="TableParagraph"/>
                          <w:spacing w:line="165" w:lineRule="exact"/>
                          <w:ind w:left="49"/>
                          <w:rPr>
                            <w:sz w:val="15"/>
                          </w:rPr>
                        </w:pPr>
                        <w:r>
                          <w:rPr>
                            <w:sz w:val="15"/>
                          </w:rPr>
                          <w:t>27. Fragilidad globular</w:t>
                        </w:r>
                      </w:p>
                    </w:tc>
                    <w:tc>
                      <w:tcPr>
                        <w:tcW w:w="1114" w:type="dxa"/>
                      </w:tcPr>
                      <w:p>
                        <w:pPr>
                          <w:pStyle w:val="TableParagraph"/>
                          <w:spacing w:line="165" w:lineRule="exact"/>
                          <w:ind w:right="48"/>
                          <w:jc w:val="right"/>
                          <w:rPr>
                            <w:sz w:val="15"/>
                          </w:rPr>
                        </w:pPr>
                        <w:r>
                          <w:rPr>
                            <w:sz w:val="15"/>
                          </w:rPr>
                          <w:t>$188.00</w:t>
                        </w:r>
                      </w:p>
                    </w:tc>
                  </w:tr>
                  <w:tr>
                    <w:trPr>
                      <w:trHeight w:val="209" w:hRule="atLeast"/>
                    </w:trPr>
                    <w:tc>
                      <w:tcPr>
                        <w:tcW w:w="3977" w:type="dxa"/>
                      </w:tcPr>
                      <w:p>
                        <w:pPr>
                          <w:pStyle w:val="TableParagraph"/>
                          <w:spacing w:line="147" w:lineRule="exact" w:before="42"/>
                          <w:ind w:left="397"/>
                          <w:rPr>
                            <w:sz w:val="15"/>
                          </w:rPr>
                        </w:pPr>
                        <w:r>
                          <w:rPr>
                            <w:sz w:val="15"/>
                          </w:rPr>
                          <w:t>f) Colecistectomía simple abierta</w:t>
                        </w:r>
                      </w:p>
                    </w:tc>
                    <w:tc>
                      <w:tcPr>
                        <w:tcW w:w="7993" w:type="dxa"/>
                      </w:tcPr>
                      <w:p>
                        <w:pPr>
                          <w:pStyle w:val="TableParagraph"/>
                          <w:spacing w:line="147" w:lineRule="exact" w:before="42"/>
                          <w:ind w:left="694"/>
                          <w:rPr>
                            <w:sz w:val="15"/>
                          </w:rPr>
                        </w:pPr>
                        <w:r>
                          <w:rPr>
                            <w:sz w:val="15"/>
                          </w:rPr>
                          <w:t>$5,292.00</w:t>
                        </w:r>
                      </w:p>
                    </w:tc>
                    <w:tc>
                      <w:tcPr>
                        <w:tcW w:w="3945" w:type="dxa"/>
                      </w:tcPr>
                      <w:p>
                        <w:pPr>
                          <w:pStyle w:val="TableParagraph"/>
                          <w:spacing w:line="165" w:lineRule="exact"/>
                          <w:ind w:left="49"/>
                          <w:rPr>
                            <w:sz w:val="15"/>
                          </w:rPr>
                        </w:pPr>
                        <w:r>
                          <w:rPr>
                            <w:sz w:val="15"/>
                          </w:rPr>
                          <w:t>28. Troponina</w:t>
                        </w:r>
                      </w:p>
                    </w:tc>
                    <w:tc>
                      <w:tcPr>
                        <w:tcW w:w="1114" w:type="dxa"/>
                      </w:tcPr>
                      <w:p>
                        <w:pPr>
                          <w:pStyle w:val="TableParagraph"/>
                          <w:spacing w:line="165" w:lineRule="exact"/>
                          <w:ind w:right="48"/>
                          <w:jc w:val="right"/>
                          <w:rPr>
                            <w:sz w:val="15"/>
                          </w:rPr>
                        </w:pPr>
                        <w:r>
                          <w:rPr>
                            <w:sz w:val="15"/>
                          </w:rPr>
                          <w:t>$463.00</w:t>
                        </w:r>
                      </w:p>
                    </w:tc>
                  </w:tr>
                  <w:tr>
                    <w:trPr>
                      <w:trHeight w:val="209" w:hRule="atLeast"/>
                    </w:trPr>
                    <w:tc>
                      <w:tcPr>
                        <w:tcW w:w="3977" w:type="dxa"/>
                      </w:tcPr>
                      <w:p>
                        <w:pPr>
                          <w:pStyle w:val="TableParagraph"/>
                          <w:spacing w:line="147" w:lineRule="exact" w:before="42"/>
                          <w:ind w:left="397"/>
                          <w:rPr>
                            <w:sz w:val="15"/>
                          </w:rPr>
                        </w:pPr>
                        <w:r>
                          <w:rPr>
                            <w:sz w:val="15"/>
                          </w:rPr>
                          <w:t>g) Hernia umbilical</w:t>
                        </w:r>
                      </w:p>
                    </w:tc>
                    <w:tc>
                      <w:tcPr>
                        <w:tcW w:w="7993" w:type="dxa"/>
                      </w:tcPr>
                      <w:p>
                        <w:pPr>
                          <w:pStyle w:val="TableParagraph"/>
                          <w:spacing w:line="147" w:lineRule="exact" w:before="42"/>
                          <w:ind w:left="694"/>
                          <w:rPr>
                            <w:sz w:val="15"/>
                          </w:rPr>
                        </w:pPr>
                        <w:r>
                          <w:rPr>
                            <w:sz w:val="15"/>
                          </w:rPr>
                          <w:t>$5,106.00</w:t>
                        </w:r>
                      </w:p>
                    </w:tc>
                    <w:tc>
                      <w:tcPr>
                        <w:tcW w:w="3945" w:type="dxa"/>
                      </w:tcPr>
                      <w:p>
                        <w:pPr>
                          <w:pStyle w:val="TableParagraph"/>
                          <w:spacing w:line="165" w:lineRule="exact"/>
                          <w:ind w:left="49"/>
                          <w:rPr>
                            <w:sz w:val="15"/>
                          </w:rPr>
                        </w:pPr>
                        <w:r>
                          <w:rPr>
                            <w:sz w:val="15"/>
                          </w:rPr>
                          <w:t>c) Electrolitos:</w:t>
                        </w:r>
                      </w:p>
                    </w:tc>
                    <w:tc>
                      <w:tcPr>
                        <w:tcW w:w="1114" w:type="dxa"/>
                      </w:tcPr>
                      <w:p>
                        <w:pPr>
                          <w:pStyle w:val="TableParagraph"/>
                          <w:rPr>
                            <w:rFonts w:ascii="Times New Roman"/>
                            <w:sz w:val="14"/>
                          </w:rPr>
                        </w:pPr>
                      </w:p>
                    </w:tc>
                  </w:tr>
                  <w:tr>
                    <w:trPr>
                      <w:trHeight w:val="209" w:hRule="atLeast"/>
                    </w:trPr>
                    <w:tc>
                      <w:tcPr>
                        <w:tcW w:w="3977" w:type="dxa"/>
                      </w:tcPr>
                      <w:p>
                        <w:pPr>
                          <w:pStyle w:val="TableParagraph"/>
                          <w:spacing w:line="147" w:lineRule="exact" w:before="42"/>
                          <w:ind w:left="397"/>
                          <w:rPr>
                            <w:sz w:val="15"/>
                          </w:rPr>
                        </w:pPr>
                        <w:r>
                          <w:rPr>
                            <w:sz w:val="15"/>
                          </w:rPr>
                          <w:t>h) Hernia inguinal</w:t>
                        </w:r>
                      </w:p>
                    </w:tc>
                    <w:tc>
                      <w:tcPr>
                        <w:tcW w:w="7993" w:type="dxa"/>
                      </w:tcPr>
                      <w:p>
                        <w:pPr>
                          <w:pStyle w:val="TableParagraph"/>
                          <w:spacing w:line="147" w:lineRule="exact" w:before="42"/>
                          <w:ind w:left="693"/>
                          <w:rPr>
                            <w:sz w:val="15"/>
                          </w:rPr>
                        </w:pPr>
                        <w:r>
                          <w:rPr>
                            <w:sz w:val="15"/>
                          </w:rPr>
                          <w:t>$4,595.00</w:t>
                        </w:r>
                      </w:p>
                    </w:tc>
                    <w:tc>
                      <w:tcPr>
                        <w:tcW w:w="3945" w:type="dxa"/>
                      </w:tcPr>
                      <w:p>
                        <w:pPr>
                          <w:pStyle w:val="TableParagraph"/>
                          <w:spacing w:line="165" w:lineRule="exact"/>
                          <w:ind w:left="49"/>
                          <w:rPr>
                            <w:sz w:val="15"/>
                          </w:rPr>
                        </w:pPr>
                        <w:r>
                          <w:rPr>
                            <w:sz w:val="15"/>
                          </w:rPr>
                          <w:t>1. Calcio</w:t>
                        </w:r>
                      </w:p>
                    </w:tc>
                    <w:tc>
                      <w:tcPr>
                        <w:tcW w:w="1114" w:type="dxa"/>
                      </w:tcPr>
                      <w:p>
                        <w:pPr>
                          <w:pStyle w:val="TableParagraph"/>
                          <w:spacing w:line="165" w:lineRule="exact"/>
                          <w:ind w:right="48"/>
                          <w:jc w:val="right"/>
                          <w:rPr>
                            <w:sz w:val="15"/>
                          </w:rPr>
                        </w:pPr>
                        <w:r>
                          <w:rPr>
                            <w:sz w:val="15"/>
                          </w:rPr>
                          <w:t>$78.00</w:t>
                        </w:r>
                      </w:p>
                    </w:tc>
                  </w:tr>
                  <w:tr>
                    <w:trPr>
                      <w:trHeight w:val="215" w:hRule="atLeast"/>
                    </w:trPr>
                    <w:tc>
                      <w:tcPr>
                        <w:tcW w:w="3977" w:type="dxa"/>
                      </w:tcPr>
                      <w:p>
                        <w:pPr>
                          <w:pStyle w:val="TableParagraph"/>
                          <w:spacing w:line="153" w:lineRule="exact" w:before="42"/>
                          <w:ind w:left="397"/>
                          <w:rPr>
                            <w:sz w:val="15"/>
                          </w:rPr>
                        </w:pPr>
                        <w:r>
                          <w:rPr>
                            <w:sz w:val="15"/>
                          </w:rPr>
                          <w:t>i) Hernia crural</w:t>
                        </w:r>
                      </w:p>
                    </w:tc>
                    <w:tc>
                      <w:tcPr>
                        <w:tcW w:w="7993" w:type="dxa"/>
                      </w:tcPr>
                      <w:p>
                        <w:pPr>
                          <w:pStyle w:val="TableParagraph"/>
                          <w:spacing w:line="153" w:lineRule="exact" w:before="42"/>
                          <w:ind w:left="694"/>
                          <w:rPr>
                            <w:sz w:val="15"/>
                          </w:rPr>
                        </w:pPr>
                        <w:r>
                          <w:rPr>
                            <w:sz w:val="15"/>
                          </w:rPr>
                          <w:t>$4,595.00</w:t>
                        </w:r>
                      </w:p>
                    </w:tc>
                    <w:tc>
                      <w:tcPr>
                        <w:tcW w:w="3945" w:type="dxa"/>
                      </w:tcPr>
                      <w:p>
                        <w:pPr>
                          <w:pStyle w:val="TableParagraph"/>
                          <w:spacing w:line="165" w:lineRule="exact"/>
                          <w:ind w:left="49"/>
                          <w:rPr>
                            <w:sz w:val="15"/>
                          </w:rPr>
                        </w:pPr>
                        <w:r>
                          <w:rPr>
                            <w:sz w:val="15"/>
                          </w:rPr>
                          <w:t>2. Cloro</w:t>
                        </w:r>
                      </w:p>
                    </w:tc>
                    <w:tc>
                      <w:tcPr>
                        <w:tcW w:w="1114" w:type="dxa"/>
                      </w:tcPr>
                      <w:p>
                        <w:pPr>
                          <w:pStyle w:val="TableParagraph"/>
                          <w:spacing w:line="165" w:lineRule="exact"/>
                          <w:ind w:right="48"/>
                          <w:jc w:val="right"/>
                          <w:rPr>
                            <w:sz w:val="15"/>
                          </w:rPr>
                        </w:pPr>
                        <w:r>
                          <w:rPr>
                            <w:sz w:val="15"/>
                          </w:rPr>
                          <w:t>$78.00</w:t>
                        </w:r>
                      </w:p>
                    </w:tc>
                  </w:tr>
                </w:tbl>
                <w:p>
                  <w:pPr>
                    <w:pStyle w:val="BodyText"/>
                  </w:pPr>
                </w:p>
              </w:txbxContent>
            </v:textbox>
            <w10:wrap type="none"/>
          </v:shape>
        </w:pict>
      </w: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31"/>
        <w:gridCol w:w="7439"/>
        <w:gridCol w:w="2673"/>
        <w:gridCol w:w="1389"/>
        <w:gridCol w:w="999"/>
      </w:tblGrid>
      <w:tr>
        <w:trPr>
          <w:trHeight w:val="190" w:hRule="atLeast"/>
        </w:trPr>
        <w:tc>
          <w:tcPr>
            <w:tcW w:w="14643" w:type="dxa"/>
            <w:gridSpan w:val="3"/>
          </w:tcPr>
          <w:p>
            <w:pPr>
              <w:pStyle w:val="TableParagraph"/>
              <w:tabs>
                <w:tab w:pos="12019" w:val="left" w:leader="none"/>
              </w:tabs>
              <w:spacing w:line="171" w:lineRule="exact"/>
              <w:ind w:left="397"/>
              <w:rPr>
                <w:sz w:val="15"/>
              </w:rPr>
            </w:pPr>
            <w:r>
              <w:rPr>
                <w:position w:val="7"/>
                <w:sz w:val="15"/>
              </w:rPr>
              <w:t>XI. Cirugía</w:t>
            </w:r>
            <w:r>
              <w:rPr>
                <w:spacing w:val="12"/>
                <w:position w:val="7"/>
                <w:sz w:val="15"/>
              </w:rPr>
              <w:t> </w:t>
            </w:r>
            <w:r>
              <w:rPr>
                <w:position w:val="7"/>
                <w:sz w:val="15"/>
              </w:rPr>
              <w:t>de</w:t>
            </w:r>
            <w:r>
              <w:rPr>
                <w:spacing w:val="6"/>
                <w:position w:val="7"/>
                <w:sz w:val="15"/>
              </w:rPr>
              <w:t> </w:t>
            </w:r>
            <w:r>
              <w:rPr>
                <w:position w:val="7"/>
                <w:sz w:val="15"/>
              </w:rPr>
              <w:t>mano:</w:t>
              <w:tab/>
            </w:r>
            <w:r>
              <w:rPr>
                <w:sz w:val="15"/>
              </w:rPr>
              <w:t>3. Bilirrubinas directa, indirecta y</w:t>
            </w:r>
            <w:r>
              <w:rPr>
                <w:spacing w:val="3"/>
                <w:sz w:val="15"/>
              </w:rPr>
              <w:t> </w:t>
            </w:r>
            <w:r>
              <w:rPr>
                <w:sz w:val="15"/>
              </w:rPr>
              <w:t>total</w:t>
            </w:r>
          </w:p>
        </w:tc>
        <w:tc>
          <w:tcPr>
            <w:tcW w:w="1389" w:type="dxa"/>
          </w:tcPr>
          <w:p>
            <w:pPr>
              <w:pStyle w:val="TableParagraph"/>
              <w:spacing w:line="171" w:lineRule="exact"/>
              <w:ind w:left="63"/>
              <w:rPr>
                <w:sz w:val="15"/>
              </w:rPr>
            </w:pPr>
            <w:r>
              <w:rPr>
                <w:sz w:val="15"/>
              </w:rPr>
              <w:t>(BD, BI Y BT)</w:t>
            </w:r>
          </w:p>
        </w:tc>
        <w:tc>
          <w:tcPr>
            <w:tcW w:w="999" w:type="dxa"/>
          </w:tcPr>
          <w:p>
            <w:pPr>
              <w:pStyle w:val="TableParagraph"/>
              <w:spacing w:line="171" w:lineRule="exact"/>
              <w:ind w:right="50"/>
              <w:jc w:val="right"/>
              <w:rPr>
                <w:sz w:val="15"/>
              </w:rPr>
            </w:pPr>
            <w:r>
              <w:rPr>
                <w:sz w:val="15"/>
              </w:rPr>
              <w:t>$110.00</w:t>
            </w:r>
          </w:p>
        </w:tc>
      </w:tr>
      <w:tr>
        <w:trPr>
          <w:trHeight w:val="209" w:hRule="atLeast"/>
        </w:trPr>
        <w:tc>
          <w:tcPr>
            <w:tcW w:w="14643" w:type="dxa"/>
            <w:gridSpan w:val="3"/>
          </w:tcPr>
          <w:p>
            <w:pPr>
              <w:pStyle w:val="TableParagraph"/>
              <w:spacing w:before="17"/>
              <w:ind w:right="1637"/>
              <w:jc w:val="right"/>
              <w:rPr>
                <w:sz w:val="15"/>
              </w:rPr>
            </w:pPr>
            <w:r>
              <w:rPr>
                <w:sz w:val="15"/>
              </w:rPr>
              <w:t>4. Citoquímico</w:t>
            </w:r>
          </w:p>
        </w:tc>
        <w:tc>
          <w:tcPr>
            <w:tcW w:w="1389" w:type="dxa"/>
          </w:tcPr>
          <w:p>
            <w:pPr>
              <w:pStyle w:val="TableParagraph"/>
              <w:rPr>
                <w:rFonts w:ascii="Times New Roman"/>
                <w:sz w:val="14"/>
              </w:rPr>
            </w:pPr>
          </w:p>
        </w:tc>
        <w:tc>
          <w:tcPr>
            <w:tcW w:w="999" w:type="dxa"/>
          </w:tcPr>
          <w:p>
            <w:pPr>
              <w:pStyle w:val="TableParagraph"/>
              <w:spacing w:before="17"/>
              <w:ind w:right="50"/>
              <w:jc w:val="right"/>
              <w:rPr>
                <w:sz w:val="15"/>
              </w:rPr>
            </w:pPr>
            <w:r>
              <w:rPr>
                <w:sz w:val="15"/>
              </w:rPr>
              <w:t>$188.00</w:t>
            </w:r>
          </w:p>
        </w:tc>
      </w:tr>
      <w:tr>
        <w:trPr>
          <w:trHeight w:val="209" w:hRule="atLeast"/>
        </w:trPr>
        <w:tc>
          <w:tcPr>
            <w:tcW w:w="14643" w:type="dxa"/>
            <w:gridSpan w:val="3"/>
          </w:tcPr>
          <w:p>
            <w:pPr>
              <w:pStyle w:val="TableParagraph"/>
              <w:spacing w:before="17"/>
              <w:ind w:right="1757"/>
              <w:jc w:val="right"/>
              <w:rPr>
                <w:sz w:val="15"/>
              </w:rPr>
            </w:pPr>
            <w:r>
              <w:rPr>
                <w:sz w:val="15"/>
              </w:rPr>
              <w:t>5. Colesterol</w:t>
            </w:r>
          </w:p>
        </w:tc>
        <w:tc>
          <w:tcPr>
            <w:tcW w:w="1389" w:type="dxa"/>
          </w:tcPr>
          <w:p>
            <w:pPr>
              <w:pStyle w:val="TableParagraph"/>
              <w:rPr>
                <w:rFonts w:ascii="Times New Roman"/>
                <w:sz w:val="14"/>
              </w:rPr>
            </w:pPr>
          </w:p>
        </w:tc>
        <w:tc>
          <w:tcPr>
            <w:tcW w:w="999" w:type="dxa"/>
          </w:tcPr>
          <w:p>
            <w:pPr>
              <w:pStyle w:val="TableParagraph"/>
              <w:spacing w:before="17"/>
              <w:ind w:right="50"/>
              <w:jc w:val="right"/>
              <w:rPr>
                <w:sz w:val="15"/>
              </w:rPr>
            </w:pPr>
            <w:r>
              <w:rPr>
                <w:sz w:val="15"/>
              </w:rPr>
              <w:t>$78.00</w:t>
            </w:r>
          </w:p>
        </w:tc>
      </w:tr>
      <w:tr>
        <w:trPr>
          <w:trHeight w:val="209" w:hRule="atLeast"/>
        </w:trPr>
        <w:tc>
          <w:tcPr>
            <w:tcW w:w="14643" w:type="dxa"/>
            <w:gridSpan w:val="3"/>
          </w:tcPr>
          <w:p>
            <w:pPr>
              <w:pStyle w:val="TableParagraph"/>
              <w:spacing w:before="17"/>
              <w:ind w:right="722"/>
              <w:jc w:val="right"/>
              <w:rPr>
                <w:sz w:val="15"/>
              </w:rPr>
            </w:pPr>
            <w:r>
              <w:rPr>
                <w:sz w:val="15"/>
              </w:rPr>
              <w:t>6. Creatinfosfoquinasa (CK)</w:t>
            </w:r>
          </w:p>
        </w:tc>
        <w:tc>
          <w:tcPr>
            <w:tcW w:w="1389" w:type="dxa"/>
          </w:tcPr>
          <w:p>
            <w:pPr>
              <w:pStyle w:val="TableParagraph"/>
              <w:rPr>
                <w:rFonts w:ascii="Times New Roman"/>
                <w:sz w:val="14"/>
              </w:rPr>
            </w:pPr>
          </w:p>
        </w:tc>
        <w:tc>
          <w:tcPr>
            <w:tcW w:w="999" w:type="dxa"/>
          </w:tcPr>
          <w:p>
            <w:pPr>
              <w:pStyle w:val="TableParagraph"/>
              <w:spacing w:before="17"/>
              <w:ind w:right="51"/>
              <w:jc w:val="right"/>
              <w:rPr>
                <w:sz w:val="15"/>
              </w:rPr>
            </w:pPr>
            <w:r>
              <w:rPr>
                <w:sz w:val="15"/>
              </w:rPr>
              <w:t>$221.00</w:t>
            </w:r>
          </w:p>
        </w:tc>
      </w:tr>
      <w:tr>
        <w:trPr>
          <w:trHeight w:val="209" w:hRule="atLeast"/>
        </w:trPr>
        <w:tc>
          <w:tcPr>
            <w:tcW w:w="14643" w:type="dxa"/>
            <w:gridSpan w:val="3"/>
          </w:tcPr>
          <w:p>
            <w:pPr>
              <w:pStyle w:val="TableParagraph"/>
              <w:spacing w:before="17"/>
              <w:ind w:right="260"/>
              <w:jc w:val="right"/>
              <w:rPr>
                <w:sz w:val="15"/>
              </w:rPr>
            </w:pPr>
            <w:r>
              <w:rPr>
                <w:sz w:val="15"/>
              </w:rPr>
              <w:t>7. CreatinfosfoquinasaMB(CK MB)</w:t>
            </w:r>
          </w:p>
        </w:tc>
        <w:tc>
          <w:tcPr>
            <w:tcW w:w="1389" w:type="dxa"/>
          </w:tcPr>
          <w:p>
            <w:pPr>
              <w:pStyle w:val="TableParagraph"/>
              <w:rPr>
                <w:rFonts w:ascii="Times New Roman"/>
                <w:sz w:val="14"/>
              </w:rPr>
            </w:pPr>
          </w:p>
        </w:tc>
        <w:tc>
          <w:tcPr>
            <w:tcW w:w="999" w:type="dxa"/>
          </w:tcPr>
          <w:p>
            <w:pPr>
              <w:pStyle w:val="TableParagraph"/>
              <w:spacing w:before="17"/>
              <w:ind w:right="51"/>
              <w:jc w:val="right"/>
              <w:rPr>
                <w:sz w:val="15"/>
              </w:rPr>
            </w:pPr>
            <w:r>
              <w:rPr>
                <w:sz w:val="15"/>
              </w:rPr>
              <w:t>$221.00</w:t>
            </w:r>
          </w:p>
        </w:tc>
      </w:tr>
      <w:tr>
        <w:trPr>
          <w:trHeight w:val="209" w:hRule="atLeast"/>
        </w:trPr>
        <w:tc>
          <w:tcPr>
            <w:tcW w:w="14643" w:type="dxa"/>
            <w:gridSpan w:val="3"/>
          </w:tcPr>
          <w:p>
            <w:pPr>
              <w:pStyle w:val="TableParagraph"/>
              <w:tabs>
                <w:tab w:pos="12019" w:val="left" w:leader="none"/>
              </w:tabs>
              <w:spacing w:line="172" w:lineRule="exact" w:before="18"/>
              <w:ind w:left="397"/>
              <w:rPr>
                <w:sz w:val="15"/>
              </w:rPr>
            </w:pPr>
            <w:r>
              <w:rPr>
                <w:sz w:val="15"/>
              </w:rPr>
              <w:t>XII.</w:t>
            </w:r>
            <w:r>
              <w:rPr>
                <w:spacing w:val="11"/>
                <w:sz w:val="15"/>
              </w:rPr>
              <w:t> </w:t>
            </w:r>
            <w:r>
              <w:rPr>
                <w:sz w:val="15"/>
              </w:rPr>
              <w:t>Procedimientos</w:t>
            </w:r>
            <w:r>
              <w:rPr>
                <w:spacing w:val="12"/>
                <w:sz w:val="15"/>
              </w:rPr>
              <w:t> </w:t>
            </w:r>
            <w:r>
              <w:rPr>
                <w:sz w:val="15"/>
              </w:rPr>
              <w:t>diagnósticos:</w:t>
              <w:tab/>
            </w:r>
            <w:r>
              <w:rPr>
                <w:position w:val="7"/>
                <w:sz w:val="15"/>
              </w:rPr>
              <w:t>8.</w:t>
            </w:r>
            <w:r>
              <w:rPr>
                <w:spacing w:val="1"/>
                <w:position w:val="7"/>
                <w:sz w:val="15"/>
              </w:rPr>
              <w:t> </w:t>
            </w:r>
            <w:r>
              <w:rPr>
                <w:position w:val="7"/>
                <w:sz w:val="15"/>
              </w:rPr>
              <w:t>Creatinina</w:t>
            </w:r>
          </w:p>
        </w:tc>
        <w:tc>
          <w:tcPr>
            <w:tcW w:w="1389" w:type="dxa"/>
          </w:tcPr>
          <w:p>
            <w:pPr>
              <w:pStyle w:val="TableParagraph"/>
              <w:rPr>
                <w:rFonts w:ascii="Times New Roman"/>
                <w:sz w:val="14"/>
              </w:rPr>
            </w:pPr>
          </w:p>
        </w:tc>
        <w:tc>
          <w:tcPr>
            <w:tcW w:w="999" w:type="dxa"/>
          </w:tcPr>
          <w:p>
            <w:pPr>
              <w:pStyle w:val="TableParagraph"/>
              <w:spacing w:before="17"/>
              <w:ind w:right="50"/>
              <w:jc w:val="right"/>
              <w:rPr>
                <w:sz w:val="15"/>
              </w:rPr>
            </w:pPr>
            <w:r>
              <w:rPr>
                <w:sz w:val="15"/>
              </w:rPr>
              <w:t>$78.00</w:t>
            </w:r>
          </w:p>
        </w:tc>
      </w:tr>
      <w:tr>
        <w:trPr>
          <w:trHeight w:val="228" w:hRule="atLeast"/>
        </w:trPr>
        <w:tc>
          <w:tcPr>
            <w:tcW w:w="4531" w:type="dxa"/>
          </w:tcPr>
          <w:p>
            <w:pPr>
              <w:pStyle w:val="TableParagraph"/>
              <w:spacing w:line="154" w:lineRule="exact" w:before="36"/>
              <w:ind w:left="397"/>
              <w:rPr>
                <w:sz w:val="15"/>
              </w:rPr>
            </w:pPr>
            <w:r>
              <w:rPr>
                <w:sz w:val="15"/>
              </w:rPr>
              <w:t>a) Punciones, biopsias, drenaje cerrado de tórax</w:t>
            </w:r>
          </w:p>
        </w:tc>
        <w:tc>
          <w:tcPr>
            <w:tcW w:w="7439" w:type="dxa"/>
          </w:tcPr>
          <w:p>
            <w:pPr>
              <w:pStyle w:val="TableParagraph"/>
              <w:spacing w:line="154" w:lineRule="exact" w:before="36"/>
              <w:ind w:right="6612"/>
              <w:jc w:val="right"/>
              <w:rPr>
                <w:sz w:val="15"/>
              </w:rPr>
            </w:pPr>
            <w:r>
              <w:rPr>
                <w:sz w:val="15"/>
              </w:rPr>
              <w:t>$1,225.00</w:t>
            </w:r>
          </w:p>
        </w:tc>
        <w:tc>
          <w:tcPr>
            <w:tcW w:w="2673" w:type="dxa"/>
          </w:tcPr>
          <w:p>
            <w:pPr>
              <w:pStyle w:val="TableParagraph"/>
              <w:spacing w:line="171" w:lineRule="exact"/>
              <w:ind w:left="49"/>
              <w:rPr>
                <w:sz w:val="15"/>
              </w:rPr>
            </w:pPr>
            <w:r>
              <w:rPr>
                <w:sz w:val="15"/>
              </w:rPr>
              <w:t>9. Depuración de creatinina</w:t>
            </w:r>
          </w:p>
        </w:tc>
        <w:tc>
          <w:tcPr>
            <w:tcW w:w="2388" w:type="dxa"/>
            <w:gridSpan w:val="2"/>
          </w:tcPr>
          <w:p>
            <w:pPr>
              <w:pStyle w:val="TableParagraph"/>
              <w:spacing w:line="171" w:lineRule="exact"/>
              <w:ind w:right="50"/>
              <w:jc w:val="right"/>
              <w:rPr>
                <w:sz w:val="15"/>
              </w:rPr>
            </w:pPr>
            <w:r>
              <w:rPr>
                <w:sz w:val="15"/>
              </w:rPr>
              <w:t>$110.00</w:t>
            </w:r>
          </w:p>
        </w:tc>
      </w:tr>
      <w:tr>
        <w:trPr>
          <w:trHeight w:val="191" w:hRule="atLeast"/>
        </w:trPr>
        <w:tc>
          <w:tcPr>
            <w:tcW w:w="4531" w:type="dxa"/>
          </w:tcPr>
          <w:p>
            <w:pPr>
              <w:pStyle w:val="TableParagraph"/>
              <w:rPr>
                <w:rFonts w:ascii="Times New Roman"/>
                <w:sz w:val="12"/>
              </w:rPr>
            </w:pPr>
          </w:p>
        </w:tc>
        <w:tc>
          <w:tcPr>
            <w:tcW w:w="7439" w:type="dxa"/>
          </w:tcPr>
          <w:p>
            <w:pPr>
              <w:pStyle w:val="TableParagraph"/>
              <w:rPr>
                <w:rFonts w:ascii="Times New Roman"/>
                <w:sz w:val="12"/>
              </w:rPr>
            </w:pPr>
          </w:p>
        </w:tc>
        <w:tc>
          <w:tcPr>
            <w:tcW w:w="2673" w:type="dxa"/>
          </w:tcPr>
          <w:p>
            <w:pPr>
              <w:pStyle w:val="TableParagraph"/>
              <w:spacing w:line="171" w:lineRule="exact"/>
              <w:ind w:left="49"/>
              <w:rPr>
                <w:sz w:val="15"/>
              </w:rPr>
            </w:pPr>
            <w:r>
              <w:rPr>
                <w:sz w:val="15"/>
              </w:rPr>
              <w:t>10. Curva de tolerancia a la glucosa</w:t>
            </w:r>
          </w:p>
        </w:tc>
        <w:tc>
          <w:tcPr>
            <w:tcW w:w="2388" w:type="dxa"/>
            <w:gridSpan w:val="2"/>
          </w:tcPr>
          <w:p>
            <w:pPr>
              <w:pStyle w:val="TableParagraph"/>
              <w:spacing w:line="171" w:lineRule="exact"/>
              <w:ind w:right="51"/>
              <w:jc w:val="right"/>
              <w:rPr>
                <w:sz w:val="15"/>
              </w:rPr>
            </w:pPr>
            <w:r>
              <w:rPr>
                <w:sz w:val="15"/>
              </w:rPr>
              <w:t>$276.00</w:t>
            </w:r>
          </w:p>
        </w:tc>
      </w:tr>
      <w:tr>
        <w:trPr>
          <w:trHeight w:val="198" w:hRule="atLeast"/>
        </w:trPr>
        <w:tc>
          <w:tcPr>
            <w:tcW w:w="4531" w:type="dxa"/>
          </w:tcPr>
          <w:p>
            <w:pPr>
              <w:pStyle w:val="TableParagraph"/>
              <w:spacing w:line="156" w:lineRule="exact" w:before="22"/>
              <w:ind w:left="397"/>
              <w:rPr>
                <w:sz w:val="15"/>
              </w:rPr>
            </w:pPr>
            <w:r>
              <w:rPr>
                <w:sz w:val="15"/>
              </w:rPr>
              <w:t>XIII. Otorrinolaringología:</w:t>
            </w:r>
          </w:p>
        </w:tc>
        <w:tc>
          <w:tcPr>
            <w:tcW w:w="7439" w:type="dxa"/>
          </w:tcPr>
          <w:p>
            <w:pPr>
              <w:pStyle w:val="TableParagraph"/>
              <w:rPr>
                <w:rFonts w:ascii="Times New Roman"/>
                <w:sz w:val="12"/>
              </w:rPr>
            </w:pPr>
          </w:p>
        </w:tc>
        <w:tc>
          <w:tcPr>
            <w:tcW w:w="2673" w:type="dxa"/>
          </w:tcPr>
          <w:p>
            <w:pPr>
              <w:pStyle w:val="TableParagraph"/>
              <w:spacing w:line="161" w:lineRule="exact" w:before="17"/>
              <w:ind w:left="49"/>
              <w:rPr>
                <w:sz w:val="15"/>
              </w:rPr>
            </w:pPr>
            <w:r>
              <w:rPr>
                <w:sz w:val="15"/>
              </w:rPr>
              <w:t>11. Gases arteriales (gasometría)</w:t>
            </w:r>
          </w:p>
        </w:tc>
        <w:tc>
          <w:tcPr>
            <w:tcW w:w="2388" w:type="dxa"/>
            <w:gridSpan w:val="2"/>
          </w:tcPr>
          <w:p>
            <w:pPr>
              <w:pStyle w:val="TableParagraph"/>
              <w:spacing w:line="161" w:lineRule="exact" w:before="17"/>
              <w:ind w:right="50"/>
              <w:jc w:val="right"/>
              <w:rPr>
                <w:sz w:val="15"/>
              </w:rPr>
            </w:pPr>
            <w:r>
              <w:rPr>
                <w:sz w:val="15"/>
              </w:rPr>
              <w:t>$563.00</w:t>
            </w:r>
          </w:p>
        </w:tc>
      </w:tr>
      <w:tr>
        <w:trPr>
          <w:trHeight w:val="207" w:hRule="atLeast"/>
        </w:trPr>
        <w:tc>
          <w:tcPr>
            <w:tcW w:w="4531" w:type="dxa"/>
          </w:tcPr>
          <w:p>
            <w:pPr>
              <w:pStyle w:val="TableParagraph"/>
              <w:spacing w:before="1"/>
              <w:ind w:left="397"/>
              <w:rPr>
                <w:sz w:val="15"/>
              </w:rPr>
            </w:pPr>
            <w:r>
              <w:rPr>
                <w:sz w:val="15"/>
              </w:rPr>
              <w:t>a) Consulta de especialidad Otorrinolaringología</w:t>
            </w:r>
          </w:p>
        </w:tc>
        <w:tc>
          <w:tcPr>
            <w:tcW w:w="7439" w:type="dxa"/>
          </w:tcPr>
          <w:p>
            <w:pPr>
              <w:pStyle w:val="TableParagraph"/>
              <w:spacing w:before="1"/>
              <w:ind w:right="6613"/>
              <w:jc w:val="right"/>
              <w:rPr>
                <w:sz w:val="15"/>
              </w:rPr>
            </w:pPr>
            <w:r>
              <w:rPr>
                <w:sz w:val="15"/>
              </w:rPr>
              <w:t>$74.00</w:t>
            </w:r>
          </w:p>
        </w:tc>
        <w:tc>
          <w:tcPr>
            <w:tcW w:w="2673" w:type="dxa"/>
          </w:tcPr>
          <w:p>
            <w:pPr>
              <w:pStyle w:val="TableParagraph"/>
              <w:spacing w:line="158" w:lineRule="exact" w:before="29"/>
              <w:ind w:left="49"/>
              <w:rPr>
                <w:sz w:val="15"/>
              </w:rPr>
            </w:pPr>
            <w:r>
              <w:rPr>
                <w:sz w:val="15"/>
              </w:rPr>
              <w:t>12. Globulinas</w:t>
            </w:r>
          </w:p>
        </w:tc>
        <w:tc>
          <w:tcPr>
            <w:tcW w:w="2388" w:type="dxa"/>
            <w:gridSpan w:val="2"/>
          </w:tcPr>
          <w:p>
            <w:pPr>
              <w:pStyle w:val="TableParagraph"/>
              <w:spacing w:line="158" w:lineRule="exact" w:before="29"/>
              <w:ind w:right="51"/>
              <w:jc w:val="right"/>
              <w:rPr>
                <w:sz w:val="15"/>
              </w:rPr>
            </w:pPr>
            <w:r>
              <w:rPr>
                <w:sz w:val="15"/>
              </w:rPr>
              <w:t>$128.00</w:t>
            </w:r>
          </w:p>
        </w:tc>
      </w:tr>
      <w:tr>
        <w:trPr>
          <w:trHeight w:val="209" w:hRule="atLeast"/>
        </w:trPr>
        <w:tc>
          <w:tcPr>
            <w:tcW w:w="4531" w:type="dxa"/>
          </w:tcPr>
          <w:p>
            <w:pPr>
              <w:pStyle w:val="TableParagraph"/>
              <w:spacing w:before="3"/>
              <w:ind w:left="397"/>
              <w:rPr>
                <w:sz w:val="15"/>
              </w:rPr>
            </w:pPr>
            <w:r>
              <w:rPr>
                <w:sz w:val="15"/>
              </w:rPr>
              <w:t>b) Adenoidectomía</w:t>
            </w:r>
          </w:p>
        </w:tc>
        <w:tc>
          <w:tcPr>
            <w:tcW w:w="7439" w:type="dxa"/>
          </w:tcPr>
          <w:p>
            <w:pPr>
              <w:pStyle w:val="TableParagraph"/>
              <w:spacing w:before="3"/>
              <w:ind w:right="6611"/>
              <w:jc w:val="right"/>
              <w:rPr>
                <w:sz w:val="15"/>
              </w:rPr>
            </w:pPr>
            <w:r>
              <w:rPr>
                <w:sz w:val="15"/>
              </w:rPr>
              <w:t>$3,371.00</w:t>
            </w:r>
          </w:p>
        </w:tc>
        <w:tc>
          <w:tcPr>
            <w:tcW w:w="2673" w:type="dxa"/>
          </w:tcPr>
          <w:p>
            <w:pPr>
              <w:pStyle w:val="TableParagraph"/>
              <w:spacing w:line="158" w:lineRule="exact" w:before="31"/>
              <w:ind w:left="49"/>
              <w:rPr>
                <w:sz w:val="15"/>
              </w:rPr>
            </w:pPr>
            <w:r>
              <w:rPr>
                <w:sz w:val="15"/>
              </w:rPr>
              <w:t>13. Glucosa</w:t>
            </w:r>
          </w:p>
        </w:tc>
        <w:tc>
          <w:tcPr>
            <w:tcW w:w="2388" w:type="dxa"/>
            <w:gridSpan w:val="2"/>
          </w:tcPr>
          <w:p>
            <w:pPr>
              <w:pStyle w:val="TableParagraph"/>
              <w:spacing w:line="158" w:lineRule="exact" w:before="31"/>
              <w:ind w:right="50"/>
              <w:jc w:val="right"/>
              <w:rPr>
                <w:sz w:val="15"/>
              </w:rPr>
            </w:pPr>
            <w:r>
              <w:rPr>
                <w:sz w:val="15"/>
              </w:rPr>
              <w:t>$78.00</w:t>
            </w:r>
          </w:p>
        </w:tc>
      </w:tr>
      <w:tr>
        <w:trPr>
          <w:trHeight w:val="209" w:hRule="atLeast"/>
        </w:trPr>
        <w:tc>
          <w:tcPr>
            <w:tcW w:w="4531" w:type="dxa"/>
          </w:tcPr>
          <w:p>
            <w:pPr>
              <w:pStyle w:val="TableParagraph"/>
              <w:spacing w:before="3"/>
              <w:ind w:left="397"/>
              <w:rPr>
                <w:sz w:val="15"/>
              </w:rPr>
            </w:pPr>
            <w:r>
              <w:rPr>
                <w:sz w:val="15"/>
              </w:rPr>
              <w:t>c) Amigdalectomía</w:t>
            </w:r>
          </w:p>
        </w:tc>
        <w:tc>
          <w:tcPr>
            <w:tcW w:w="7439" w:type="dxa"/>
          </w:tcPr>
          <w:p>
            <w:pPr>
              <w:pStyle w:val="TableParagraph"/>
              <w:spacing w:before="3"/>
              <w:ind w:right="6611"/>
              <w:jc w:val="right"/>
              <w:rPr>
                <w:sz w:val="15"/>
              </w:rPr>
            </w:pPr>
            <w:r>
              <w:rPr>
                <w:sz w:val="15"/>
              </w:rPr>
              <w:t>$6,637.00</w:t>
            </w:r>
          </w:p>
        </w:tc>
        <w:tc>
          <w:tcPr>
            <w:tcW w:w="2673" w:type="dxa"/>
          </w:tcPr>
          <w:p>
            <w:pPr>
              <w:pStyle w:val="TableParagraph"/>
              <w:spacing w:line="158" w:lineRule="exact" w:before="31"/>
              <w:ind w:left="49"/>
              <w:rPr>
                <w:sz w:val="15"/>
              </w:rPr>
            </w:pPr>
            <w:r>
              <w:rPr>
                <w:sz w:val="15"/>
              </w:rPr>
              <w:t>14. Glucosa post-pandrial</w:t>
            </w:r>
          </w:p>
        </w:tc>
        <w:tc>
          <w:tcPr>
            <w:tcW w:w="2388" w:type="dxa"/>
            <w:gridSpan w:val="2"/>
          </w:tcPr>
          <w:p>
            <w:pPr>
              <w:pStyle w:val="TableParagraph"/>
              <w:spacing w:line="158" w:lineRule="exact" w:before="31"/>
              <w:ind w:right="50"/>
              <w:jc w:val="right"/>
              <w:rPr>
                <w:sz w:val="15"/>
              </w:rPr>
            </w:pPr>
            <w:r>
              <w:rPr>
                <w:sz w:val="15"/>
              </w:rPr>
              <w:t>$78.00</w:t>
            </w:r>
          </w:p>
        </w:tc>
      </w:tr>
      <w:tr>
        <w:trPr>
          <w:trHeight w:val="209" w:hRule="atLeast"/>
        </w:trPr>
        <w:tc>
          <w:tcPr>
            <w:tcW w:w="4531" w:type="dxa"/>
          </w:tcPr>
          <w:p>
            <w:pPr>
              <w:pStyle w:val="TableParagraph"/>
              <w:spacing w:before="3"/>
              <w:ind w:left="397"/>
              <w:rPr>
                <w:sz w:val="15"/>
              </w:rPr>
            </w:pPr>
            <w:r>
              <w:rPr>
                <w:sz w:val="15"/>
              </w:rPr>
              <w:t>d) Cirugía de pólipos nasales</w:t>
            </w:r>
          </w:p>
        </w:tc>
        <w:tc>
          <w:tcPr>
            <w:tcW w:w="7439" w:type="dxa"/>
          </w:tcPr>
          <w:p>
            <w:pPr>
              <w:pStyle w:val="TableParagraph"/>
              <w:spacing w:before="3"/>
              <w:ind w:right="6612"/>
              <w:jc w:val="right"/>
              <w:rPr>
                <w:sz w:val="15"/>
              </w:rPr>
            </w:pPr>
            <w:r>
              <w:rPr>
                <w:sz w:val="15"/>
              </w:rPr>
              <w:t>$5,616.00</w:t>
            </w:r>
          </w:p>
        </w:tc>
        <w:tc>
          <w:tcPr>
            <w:tcW w:w="2673" w:type="dxa"/>
          </w:tcPr>
          <w:p>
            <w:pPr>
              <w:pStyle w:val="TableParagraph"/>
              <w:spacing w:line="158" w:lineRule="exact" w:before="31"/>
              <w:ind w:left="49"/>
              <w:rPr>
                <w:sz w:val="15"/>
              </w:rPr>
            </w:pPr>
            <w:r>
              <w:rPr>
                <w:sz w:val="15"/>
              </w:rPr>
              <w:t>15. Hdl</w:t>
            </w:r>
          </w:p>
        </w:tc>
        <w:tc>
          <w:tcPr>
            <w:tcW w:w="2388" w:type="dxa"/>
            <w:gridSpan w:val="2"/>
          </w:tcPr>
          <w:p>
            <w:pPr>
              <w:pStyle w:val="TableParagraph"/>
              <w:spacing w:line="158" w:lineRule="exact" w:before="31"/>
              <w:ind w:right="50"/>
              <w:jc w:val="right"/>
              <w:rPr>
                <w:sz w:val="15"/>
              </w:rPr>
            </w:pPr>
            <w:r>
              <w:rPr>
                <w:sz w:val="15"/>
              </w:rPr>
              <w:t>$88.00</w:t>
            </w:r>
          </w:p>
        </w:tc>
      </w:tr>
      <w:tr>
        <w:trPr>
          <w:trHeight w:val="209" w:hRule="atLeast"/>
        </w:trPr>
        <w:tc>
          <w:tcPr>
            <w:tcW w:w="4531" w:type="dxa"/>
          </w:tcPr>
          <w:p>
            <w:pPr>
              <w:pStyle w:val="TableParagraph"/>
              <w:spacing w:before="3"/>
              <w:ind w:left="397"/>
              <w:rPr>
                <w:sz w:val="15"/>
              </w:rPr>
            </w:pPr>
            <w:r>
              <w:rPr>
                <w:sz w:val="15"/>
              </w:rPr>
              <w:t>e) Extirpación de tumores benignos en fosas nasales</w:t>
            </w:r>
          </w:p>
        </w:tc>
        <w:tc>
          <w:tcPr>
            <w:tcW w:w="7439" w:type="dxa"/>
          </w:tcPr>
          <w:p>
            <w:pPr>
              <w:pStyle w:val="TableParagraph"/>
              <w:spacing w:before="3"/>
              <w:ind w:right="6612"/>
              <w:jc w:val="right"/>
              <w:rPr>
                <w:sz w:val="15"/>
              </w:rPr>
            </w:pPr>
            <w:r>
              <w:rPr>
                <w:sz w:val="15"/>
              </w:rPr>
              <w:t>$3,268.00</w:t>
            </w:r>
          </w:p>
        </w:tc>
        <w:tc>
          <w:tcPr>
            <w:tcW w:w="2673" w:type="dxa"/>
          </w:tcPr>
          <w:p>
            <w:pPr>
              <w:pStyle w:val="TableParagraph"/>
              <w:spacing w:line="158" w:lineRule="exact" w:before="31"/>
              <w:ind w:left="49"/>
              <w:rPr>
                <w:sz w:val="15"/>
              </w:rPr>
            </w:pPr>
            <w:r>
              <w:rPr>
                <w:sz w:val="15"/>
              </w:rPr>
              <w:t>16. Lactato</w:t>
            </w:r>
          </w:p>
        </w:tc>
        <w:tc>
          <w:tcPr>
            <w:tcW w:w="2388" w:type="dxa"/>
            <w:gridSpan w:val="2"/>
          </w:tcPr>
          <w:p>
            <w:pPr>
              <w:pStyle w:val="TableParagraph"/>
              <w:spacing w:line="158" w:lineRule="exact" w:before="31"/>
              <w:ind w:right="50"/>
              <w:jc w:val="right"/>
              <w:rPr>
                <w:sz w:val="15"/>
              </w:rPr>
            </w:pPr>
            <w:r>
              <w:rPr>
                <w:sz w:val="15"/>
              </w:rPr>
              <w:t>$122.00</w:t>
            </w:r>
          </w:p>
        </w:tc>
      </w:tr>
      <w:tr>
        <w:trPr>
          <w:trHeight w:val="282" w:hRule="atLeast"/>
        </w:trPr>
        <w:tc>
          <w:tcPr>
            <w:tcW w:w="4531" w:type="dxa"/>
          </w:tcPr>
          <w:p>
            <w:pPr>
              <w:pStyle w:val="TableParagraph"/>
              <w:spacing w:line="178" w:lineRule="exact" w:before="2"/>
              <w:ind w:right="138" w:firstLine="397"/>
              <w:rPr>
                <w:sz w:val="15"/>
              </w:rPr>
            </w:pPr>
            <w:r>
              <w:rPr>
                <w:sz w:val="15"/>
              </w:rPr>
              <w:t>f) Extracción de cuerpos extraños procedimiento ambulatorio</w:t>
            </w:r>
          </w:p>
        </w:tc>
        <w:tc>
          <w:tcPr>
            <w:tcW w:w="7439" w:type="dxa"/>
          </w:tcPr>
          <w:p>
            <w:pPr>
              <w:pStyle w:val="TableParagraph"/>
              <w:spacing w:before="3"/>
              <w:ind w:right="6611"/>
              <w:jc w:val="right"/>
              <w:rPr>
                <w:sz w:val="15"/>
              </w:rPr>
            </w:pPr>
            <w:r>
              <w:rPr>
                <w:sz w:val="15"/>
              </w:rPr>
              <w:t>$818.00</w:t>
            </w:r>
          </w:p>
        </w:tc>
        <w:tc>
          <w:tcPr>
            <w:tcW w:w="2673" w:type="dxa"/>
          </w:tcPr>
          <w:p>
            <w:pPr>
              <w:pStyle w:val="TableParagraph"/>
              <w:spacing w:before="31"/>
              <w:ind w:left="49"/>
              <w:rPr>
                <w:sz w:val="15"/>
              </w:rPr>
            </w:pPr>
            <w:r>
              <w:rPr>
                <w:sz w:val="15"/>
              </w:rPr>
              <w:t>17. Ldl</w:t>
            </w:r>
          </w:p>
        </w:tc>
        <w:tc>
          <w:tcPr>
            <w:tcW w:w="2388" w:type="dxa"/>
            <w:gridSpan w:val="2"/>
          </w:tcPr>
          <w:p>
            <w:pPr>
              <w:pStyle w:val="TableParagraph"/>
              <w:spacing w:before="31"/>
              <w:ind w:right="50"/>
              <w:jc w:val="right"/>
              <w:rPr>
                <w:sz w:val="15"/>
              </w:rPr>
            </w:pPr>
            <w:r>
              <w:rPr>
                <w:sz w:val="15"/>
              </w:rPr>
              <w:t>$88.00</w:t>
            </w:r>
          </w:p>
        </w:tc>
      </w:tr>
      <w:tr>
        <w:trPr>
          <w:trHeight w:val="192" w:hRule="atLeast"/>
        </w:trPr>
        <w:tc>
          <w:tcPr>
            <w:tcW w:w="4531" w:type="dxa"/>
          </w:tcPr>
          <w:p>
            <w:pPr>
              <w:pStyle w:val="TableParagraph"/>
              <w:ind w:left="397"/>
              <w:rPr>
                <w:sz w:val="15"/>
              </w:rPr>
            </w:pPr>
            <w:r>
              <w:rPr>
                <w:sz w:val="15"/>
              </w:rPr>
              <w:t>g) Extracción de cuerpos extraños en quirófano</w:t>
            </w:r>
          </w:p>
        </w:tc>
        <w:tc>
          <w:tcPr>
            <w:tcW w:w="12500" w:type="dxa"/>
            <w:gridSpan w:val="4"/>
          </w:tcPr>
          <w:p>
            <w:pPr>
              <w:pStyle w:val="TableParagraph"/>
              <w:tabs>
                <w:tab w:pos="11976" w:val="left" w:leader="none"/>
              </w:tabs>
              <w:spacing w:line="30" w:lineRule="exact"/>
              <w:ind w:left="7488"/>
              <w:rPr>
                <w:sz w:val="15"/>
              </w:rPr>
            </w:pPr>
            <w:r>
              <w:rPr>
                <w:sz w:val="15"/>
              </w:rPr>
              <w:t>18. </w:t>
            </w:r>
            <w:r>
              <w:rPr>
                <w:spacing w:val="14"/>
                <w:sz w:val="15"/>
              </w:rPr>
              <w:t> </w:t>
            </w:r>
            <w:r>
              <w:rPr>
                <w:sz w:val="15"/>
              </w:rPr>
              <w:t>Proteínas</w:t>
            </w:r>
            <w:r>
              <w:rPr>
                <w:spacing w:val="8"/>
                <w:sz w:val="15"/>
              </w:rPr>
              <w:t> </w:t>
            </w:r>
            <w:r>
              <w:rPr>
                <w:sz w:val="15"/>
              </w:rPr>
              <w:t>totales</w:t>
              <w:tab/>
              <w:t>$78.00</w:t>
            </w:r>
          </w:p>
          <w:p>
            <w:pPr>
              <w:pStyle w:val="TableParagraph"/>
              <w:tabs>
                <w:tab w:pos="7488" w:val="left" w:leader="none"/>
                <w:tab w:pos="11975" w:val="left" w:leader="none"/>
              </w:tabs>
              <w:spacing w:line="143" w:lineRule="exact"/>
              <w:ind w:left="140"/>
              <w:rPr>
                <w:sz w:val="15"/>
              </w:rPr>
            </w:pPr>
            <w:r>
              <w:rPr>
                <w:position w:val="9"/>
                <w:sz w:val="15"/>
              </w:rPr>
              <w:t>$2,043.00</w:t>
              <w:tab/>
            </w:r>
            <w:r>
              <w:rPr>
                <w:sz w:val="15"/>
              </w:rPr>
              <w:t>19. </w:t>
            </w:r>
            <w:r>
              <w:rPr>
                <w:spacing w:val="11"/>
                <w:sz w:val="15"/>
              </w:rPr>
              <w:t> </w:t>
            </w:r>
            <w:r>
              <w:rPr>
                <w:sz w:val="15"/>
              </w:rPr>
              <w:t>Triglicéridos</w:t>
              <w:tab/>
              <w:t>$78.00</w:t>
            </w:r>
          </w:p>
        </w:tc>
      </w:tr>
      <w:tr>
        <w:trPr>
          <w:trHeight w:val="209" w:hRule="atLeast"/>
        </w:trPr>
        <w:tc>
          <w:tcPr>
            <w:tcW w:w="4531" w:type="dxa"/>
          </w:tcPr>
          <w:p>
            <w:pPr>
              <w:pStyle w:val="TableParagraph"/>
              <w:spacing w:before="17"/>
              <w:ind w:left="397"/>
              <w:rPr>
                <w:sz w:val="15"/>
              </w:rPr>
            </w:pPr>
            <w:r>
              <w:rPr>
                <w:sz w:val="15"/>
              </w:rPr>
              <w:t>h) Taponamiento nasal</w:t>
            </w:r>
          </w:p>
        </w:tc>
        <w:tc>
          <w:tcPr>
            <w:tcW w:w="12500" w:type="dxa"/>
            <w:gridSpan w:val="4"/>
          </w:tcPr>
          <w:p>
            <w:pPr>
              <w:pStyle w:val="TableParagraph"/>
              <w:tabs>
                <w:tab w:pos="7488" w:val="left" w:leader="none"/>
                <w:tab w:pos="11976" w:val="left" w:leader="none"/>
              </w:tabs>
              <w:spacing w:line="169" w:lineRule="exact" w:before="21"/>
              <w:ind w:left="268"/>
              <w:rPr>
                <w:sz w:val="15"/>
              </w:rPr>
            </w:pPr>
            <w:r>
              <w:rPr>
                <w:position w:val="9"/>
                <w:sz w:val="15"/>
              </w:rPr>
              <w:t>$243.00</w:t>
              <w:tab/>
            </w:r>
            <w:r>
              <w:rPr>
                <w:sz w:val="15"/>
              </w:rPr>
              <w:t>20. </w:t>
            </w:r>
            <w:r>
              <w:rPr>
                <w:spacing w:val="7"/>
                <w:sz w:val="15"/>
              </w:rPr>
              <w:t> </w:t>
            </w:r>
            <w:r>
              <w:rPr>
                <w:sz w:val="15"/>
              </w:rPr>
              <w:t>Urea</w:t>
              <w:tab/>
              <w:t>$78.00</w:t>
            </w:r>
          </w:p>
        </w:tc>
      </w:tr>
      <w:tr>
        <w:trPr>
          <w:trHeight w:val="190" w:hRule="atLeast"/>
        </w:trPr>
        <w:tc>
          <w:tcPr>
            <w:tcW w:w="4531" w:type="dxa"/>
          </w:tcPr>
          <w:p>
            <w:pPr>
              <w:pStyle w:val="TableParagraph"/>
              <w:spacing w:line="153" w:lineRule="exact" w:before="17"/>
              <w:ind w:left="397"/>
              <w:rPr>
                <w:sz w:val="15"/>
              </w:rPr>
            </w:pPr>
            <w:r>
              <w:rPr>
                <w:sz w:val="15"/>
              </w:rPr>
              <w:t>i) Taponamiento posterior (epistaxis)</w:t>
            </w:r>
          </w:p>
        </w:tc>
        <w:tc>
          <w:tcPr>
            <w:tcW w:w="12500" w:type="dxa"/>
            <w:gridSpan w:val="4"/>
          </w:tcPr>
          <w:p>
            <w:pPr>
              <w:pStyle w:val="TableParagraph"/>
              <w:tabs>
                <w:tab w:pos="7488" w:val="left" w:leader="none"/>
                <w:tab w:pos="11976" w:val="left" w:leader="none"/>
              </w:tabs>
              <w:spacing w:line="150" w:lineRule="exact" w:before="21"/>
              <w:ind w:left="139"/>
              <w:rPr>
                <w:sz w:val="15"/>
              </w:rPr>
            </w:pPr>
            <w:r>
              <w:rPr>
                <w:position w:val="9"/>
                <w:sz w:val="15"/>
              </w:rPr>
              <w:t>$2,350.00</w:t>
              <w:tab/>
            </w:r>
            <w:r>
              <w:rPr>
                <w:sz w:val="15"/>
              </w:rPr>
              <w:t>21. </w:t>
            </w:r>
            <w:r>
              <w:rPr>
                <w:spacing w:val="5"/>
                <w:sz w:val="15"/>
              </w:rPr>
              <w:t> </w:t>
            </w:r>
            <w:r>
              <w:rPr>
                <w:sz w:val="15"/>
              </w:rPr>
              <w:t>Vldl</w:t>
              <w:tab/>
              <w:t>$78.00</w:t>
            </w:r>
          </w:p>
        </w:tc>
      </w:tr>
    </w:tbl>
    <w:p>
      <w:pPr>
        <w:spacing w:after="0" w:line="150" w:lineRule="exact"/>
        <w:rPr>
          <w:sz w:val="15"/>
        </w:rPr>
        <w:sectPr>
          <w:type w:val="continuous"/>
          <w:pgSz w:w="23250" w:h="15310" w:orient="landscape"/>
          <w:pgMar w:top="0" w:bottom="0" w:left="1880" w:right="152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18"/>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6"/>
        <w:gridCol w:w="4275"/>
        <w:gridCol w:w="7153"/>
        <w:gridCol w:w="1186"/>
      </w:tblGrid>
      <w:tr>
        <w:trPr>
          <w:trHeight w:val="191" w:hRule="atLeast"/>
        </w:trPr>
        <w:tc>
          <w:tcPr>
            <w:tcW w:w="4066" w:type="dxa"/>
          </w:tcPr>
          <w:p>
            <w:pPr>
              <w:pStyle w:val="TableParagraph"/>
              <w:spacing w:line="171" w:lineRule="exact"/>
              <w:ind w:left="50"/>
              <w:rPr>
                <w:sz w:val="15"/>
              </w:rPr>
            </w:pPr>
            <w:r>
              <w:rPr>
                <w:sz w:val="15"/>
              </w:rPr>
              <w:t>3. Fosforo</w:t>
            </w:r>
          </w:p>
        </w:tc>
        <w:tc>
          <w:tcPr>
            <w:tcW w:w="4275" w:type="dxa"/>
          </w:tcPr>
          <w:p>
            <w:pPr>
              <w:pStyle w:val="TableParagraph"/>
              <w:spacing w:line="171" w:lineRule="exact"/>
              <w:ind w:left="472"/>
              <w:rPr>
                <w:sz w:val="15"/>
              </w:rPr>
            </w:pPr>
            <w:r>
              <w:rPr>
                <w:sz w:val="15"/>
              </w:rPr>
              <w:t>$78.00</w:t>
            </w:r>
          </w:p>
        </w:tc>
        <w:tc>
          <w:tcPr>
            <w:tcW w:w="7153" w:type="dxa"/>
          </w:tcPr>
          <w:p>
            <w:pPr>
              <w:pStyle w:val="TableParagraph"/>
              <w:spacing w:line="171" w:lineRule="exact"/>
              <w:ind w:left="3331"/>
              <w:rPr>
                <w:sz w:val="15"/>
              </w:rPr>
            </w:pPr>
            <w:r>
              <w:rPr>
                <w:sz w:val="15"/>
              </w:rPr>
              <w:t>30. Tinción de azul de Prusia</w:t>
            </w:r>
          </w:p>
        </w:tc>
        <w:tc>
          <w:tcPr>
            <w:tcW w:w="1186" w:type="dxa"/>
          </w:tcPr>
          <w:p>
            <w:pPr>
              <w:pStyle w:val="TableParagraph"/>
              <w:spacing w:line="171" w:lineRule="exact"/>
              <w:ind w:right="47"/>
              <w:jc w:val="right"/>
              <w:rPr>
                <w:sz w:val="15"/>
              </w:rPr>
            </w:pPr>
            <w:r>
              <w:rPr>
                <w:sz w:val="15"/>
              </w:rPr>
              <w:t>$128.00</w:t>
            </w:r>
          </w:p>
        </w:tc>
      </w:tr>
      <w:tr>
        <w:trPr>
          <w:trHeight w:val="209" w:hRule="atLeast"/>
        </w:trPr>
        <w:tc>
          <w:tcPr>
            <w:tcW w:w="4066" w:type="dxa"/>
          </w:tcPr>
          <w:p>
            <w:pPr>
              <w:pStyle w:val="TableParagraph"/>
              <w:spacing w:line="172" w:lineRule="exact" w:before="18"/>
              <w:ind w:left="50"/>
              <w:rPr>
                <w:sz w:val="15"/>
              </w:rPr>
            </w:pPr>
            <w:r>
              <w:rPr>
                <w:sz w:val="15"/>
              </w:rPr>
              <w:t>4. Magnesio</w:t>
            </w:r>
          </w:p>
        </w:tc>
        <w:tc>
          <w:tcPr>
            <w:tcW w:w="4275" w:type="dxa"/>
          </w:tcPr>
          <w:p>
            <w:pPr>
              <w:pStyle w:val="TableParagraph"/>
              <w:spacing w:line="172" w:lineRule="exact" w:before="18"/>
              <w:ind w:left="472"/>
              <w:rPr>
                <w:sz w:val="15"/>
              </w:rPr>
            </w:pPr>
            <w:r>
              <w:rPr>
                <w:sz w:val="15"/>
              </w:rPr>
              <w:t>$78.00</w:t>
            </w:r>
          </w:p>
        </w:tc>
        <w:tc>
          <w:tcPr>
            <w:tcW w:w="7153" w:type="dxa"/>
          </w:tcPr>
          <w:p>
            <w:pPr>
              <w:pStyle w:val="TableParagraph"/>
              <w:spacing w:before="17"/>
              <w:ind w:left="3331"/>
              <w:rPr>
                <w:sz w:val="15"/>
              </w:rPr>
            </w:pPr>
            <w:r>
              <w:rPr>
                <w:sz w:val="15"/>
              </w:rPr>
              <w:t>31. Velocidad de sedimentación globular (VSG)</w:t>
            </w:r>
          </w:p>
        </w:tc>
        <w:tc>
          <w:tcPr>
            <w:tcW w:w="1186" w:type="dxa"/>
          </w:tcPr>
          <w:p>
            <w:pPr>
              <w:pStyle w:val="TableParagraph"/>
              <w:spacing w:before="17"/>
              <w:ind w:right="46"/>
              <w:jc w:val="right"/>
              <w:rPr>
                <w:sz w:val="15"/>
              </w:rPr>
            </w:pPr>
            <w:r>
              <w:rPr>
                <w:sz w:val="15"/>
              </w:rPr>
              <w:t>$71.00</w:t>
            </w:r>
          </w:p>
        </w:tc>
      </w:tr>
      <w:tr>
        <w:trPr>
          <w:trHeight w:val="209" w:hRule="atLeast"/>
        </w:trPr>
        <w:tc>
          <w:tcPr>
            <w:tcW w:w="4066" w:type="dxa"/>
          </w:tcPr>
          <w:p>
            <w:pPr>
              <w:pStyle w:val="TableParagraph"/>
              <w:spacing w:line="172" w:lineRule="exact" w:before="18"/>
              <w:ind w:left="50"/>
              <w:rPr>
                <w:sz w:val="15"/>
              </w:rPr>
            </w:pPr>
            <w:r>
              <w:rPr>
                <w:sz w:val="15"/>
              </w:rPr>
              <w:t>5. Osmolaridad</w:t>
            </w:r>
          </w:p>
        </w:tc>
        <w:tc>
          <w:tcPr>
            <w:tcW w:w="4275" w:type="dxa"/>
          </w:tcPr>
          <w:p>
            <w:pPr>
              <w:pStyle w:val="TableParagraph"/>
              <w:spacing w:line="172" w:lineRule="exact" w:before="18"/>
              <w:ind w:left="386"/>
              <w:rPr>
                <w:sz w:val="15"/>
              </w:rPr>
            </w:pPr>
            <w:r>
              <w:rPr>
                <w:sz w:val="15"/>
              </w:rPr>
              <w:t>$122.00</w:t>
            </w:r>
          </w:p>
        </w:tc>
        <w:tc>
          <w:tcPr>
            <w:tcW w:w="7153" w:type="dxa"/>
          </w:tcPr>
          <w:p>
            <w:pPr>
              <w:pStyle w:val="TableParagraph"/>
              <w:spacing w:before="17"/>
              <w:ind w:left="3331"/>
              <w:rPr>
                <w:sz w:val="15"/>
              </w:rPr>
            </w:pPr>
            <w:r>
              <w:rPr>
                <w:sz w:val="15"/>
              </w:rPr>
              <w:t>32. Vitamina B12</w:t>
            </w:r>
          </w:p>
        </w:tc>
        <w:tc>
          <w:tcPr>
            <w:tcW w:w="1186" w:type="dxa"/>
          </w:tcPr>
          <w:p>
            <w:pPr>
              <w:pStyle w:val="TableParagraph"/>
              <w:spacing w:before="17"/>
              <w:ind w:right="47"/>
              <w:jc w:val="right"/>
              <w:rPr>
                <w:sz w:val="15"/>
              </w:rPr>
            </w:pPr>
            <w:r>
              <w:rPr>
                <w:sz w:val="15"/>
              </w:rPr>
              <w:t>$298.00</w:t>
            </w:r>
          </w:p>
        </w:tc>
      </w:tr>
      <w:tr>
        <w:trPr>
          <w:trHeight w:val="209" w:hRule="atLeast"/>
        </w:trPr>
        <w:tc>
          <w:tcPr>
            <w:tcW w:w="4066" w:type="dxa"/>
          </w:tcPr>
          <w:p>
            <w:pPr>
              <w:pStyle w:val="TableParagraph"/>
              <w:spacing w:line="172" w:lineRule="exact" w:before="18"/>
              <w:ind w:left="50"/>
              <w:rPr>
                <w:sz w:val="15"/>
              </w:rPr>
            </w:pPr>
            <w:r>
              <w:rPr>
                <w:sz w:val="15"/>
              </w:rPr>
              <w:t>6. Potasio</w:t>
            </w:r>
          </w:p>
        </w:tc>
        <w:tc>
          <w:tcPr>
            <w:tcW w:w="4275" w:type="dxa"/>
          </w:tcPr>
          <w:p>
            <w:pPr>
              <w:pStyle w:val="TableParagraph"/>
              <w:spacing w:line="172" w:lineRule="exact" w:before="18"/>
              <w:ind w:left="472"/>
              <w:rPr>
                <w:sz w:val="15"/>
              </w:rPr>
            </w:pPr>
            <w:r>
              <w:rPr>
                <w:sz w:val="15"/>
              </w:rPr>
              <w:t>$78.00</w:t>
            </w:r>
          </w:p>
        </w:tc>
        <w:tc>
          <w:tcPr>
            <w:tcW w:w="7153" w:type="dxa"/>
          </w:tcPr>
          <w:p>
            <w:pPr>
              <w:pStyle w:val="TableParagraph"/>
              <w:spacing w:before="17"/>
              <w:ind w:left="3331"/>
              <w:rPr>
                <w:sz w:val="15"/>
              </w:rPr>
            </w:pPr>
            <w:r>
              <w:rPr>
                <w:sz w:val="15"/>
              </w:rPr>
              <w:t>33. Factor vw</w:t>
            </w:r>
          </w:p>
        </w:tc>
        <w:tc>
          <w:tcPr>
            <w:tcW w:w="1186" w:type="dxa"/>
          </w:tcPr>
          <w:p>
            <w:pPr>
              <w:pStyle w:val="TableParagraph"/>
              <w:spacing w:before="17"/>
              <w:ind w:right="46"/>
              <w:jc w:val="right"/>
              <w:rPr>
                <w:sz w:val="15"/>
              </w:rPr>
            </w:pPr>
            <w:r>
              <w:rPr>
                <w:sz w:val="15"/>
              </w:rPr>
              <w:t>$276.00</w:t>
            </w:r>
          </w:p>
        </w:tc>
      </w:tr>
      <w:tr>
        <w:trPr>
          <w:trHeight w:val="209" w:hRule="atLeast"/>
        </w:trPr>
        <w:tc>
          <w:tcPr>
            <w:tcW w:w="4066" w:type="dxa"/>
          </w:tcPr>
          <w:p>
            <w:pPr>
              <w:pStyle w:val="TableParagraph"/>
              <w:spacing w:line="172" w:lineRule="exact" w:before="18"/>
              <w:ind w:left="50"/>
              <w:rPr>
                <w:sz w:val="15"/>
              </w:rPr>
            </w:pPr>
            <w:r>
              <w:rPr>
                <w:sz w:val="15"/>
              </w:rPr>
              <w:t>7. Sodio</w:t>
            </w:r>
          </w:p>
        </w:tc>
        <w:tc>
          <w:tcPr>
            <w:tcW w:w="4275" w:type="dxa"/>
          </w:tcPr>
          <w:p>
            <w:pPr>
              <w:pStyle w:val="TableParagraph"/>
              <w:spacing w:line="172" w:lineRule="exact" w:before="18"/>
              <w:ind w:left="472"/>
              <w:rPr>
                <w:sz w:val="15"/>
              </w:rPr>
            </w:pPr>
            <w:r>
              <w:rPr>
                <w:sz w:val="15"/>
              </w:rPr>
              <w:t>$78.00</w:t>
            </w:r>
          </w:p>
        </w:tc>
        <w:tc>
          <w:tcPr>
            <w:tcW w:w="7153" w:type="dxa"/>
          </w:tcPr>
          <w:p>
            <w:pPr>
              <w:pStyle w:val="TableParagraph"/>
              <w:spacing w:before="17"/>
              <w:ind w:left="3331"/>
              <w:rPr>
                <w:sz w:val="15"/>
              </w:rPr>
            </w:pPr>
            <w:r>
              <w:rPr>
                <w:sz w:val="15"/>
              </w:rPr>
              <w:t>34. Captación de hierro</w:t>
            </w:r>
          </w:p>
        </w:tc>
        <w:tc>
          <w:tcPr>
            <w:tcW w:w="1186" w:type="dxa"/>
          </w:tcPr>
          <w:p>
            <w:pPr>
              <w:pStyle w:val="TableParagraph"/>
              <w:spacing w:before="17"/>
              <w:ind w:right="47"/>
              <w:jc w:val="right"/>
              <w:rPr>
                <w:sz w:val="15"/>
              </w:rPr>
            </w:pPr>
            <w:r>
              <w:rPr>
                <w:sz w:val="15"/>
              </w:rPr>
              <w:t>$243.00</w:t>
            </w:r>
          </w:p>
        </w:tc>
      </w:tr>
      <w:tr>
        <w:trPr>
          <w:trHeight w:val="209" w:hRule="atLeast"/>
        </w:trPr>
        <w:tc>
          <w:tcPr>
            <w:tcW w:w="4066" w:type="dxa"/>
          </w:tcPr>
          <w:p>
            <w:pPr>
              <w:pStyle w:val="TableParagraph"/>
              <w:spacing w:line="172" w:lineRule="exact" w:before="18"/>
              <w:ind w:left="50"/>
              <w:rPr>
                <w:sz w:val="15"/>
              </w:rPr>
            </w:pPr>
            <w:r>
              <w:rPr>
                <w:sz w:val="15"/>
              </w:rPr>
              <w:t>d) Enzimas:</w:t>
            </w:r>
          </w:p>
        </w:tc>
        <w:tc>
          <w:tcPr>
            <w:tcW w:w="4275" w:type="dxa"/>
          </w:tcPr>
          <w:p>
            <w:pPr>
              <w:pStyle w:val="TableParagraph"/>
              <w:rPr>
                <w:rFonts w:ascii="Times New Roman"/>
                <w:sz w:val="14"/>
              </w:rPr>
            </w:pPr>
          </w:p>
        </w:tc>
        <w:tc>
          <w:tcPr>
            <w:tcW w:w="7153" w:type="dxa"/>
          </w:tcPr>
          <w:p>
            <w:pPr>
              <w:pStyle w:val="TableParagraph"/>
              <w:spacing w:before="17"/>
              <w:ind w:left="3331"/>
              <w:rPr>
                <w:sz w:val="15"/>
              </w:rPr>
            </w:pPr>
            <w:r>
              <w:rPr>
                <w:sz w:val="15"/>
              </w:rPr>
              <w:t>35. Hierro</w:t>
            </w:r>
          </w:p>
        </w:tc>
        <w:tc>
          <w:tcPr>
            <w:tcW w:w="1186" w:type="dxa"/>
          </w:tcPr>
          <w:p>
            <w:pPr>
              <w:pStyle w:val="TableParagraph"/>
              <w:spacing w:before="17"/>
              <w:ind w:right="46"/>
              <w:jc w:val="right"/>
              <w:rPr>
                <w:sz w:val="15"/>
              </w:rPr>
            </w:pPr>
            <w:r>
              <w:rPr>
                <w:sz w:val="15"/>
              </w:rPr>
              <w:t>$110.00</w:t>
            </w:r>
          </w:p>
        </w:tc>
      </w:tr>
      <w:tr>
        <w:trPr>
          <w:trHeight w:val="209" w:hRule="atLeast"/>
        </w:trPr>
        <w:tc>
          <w:tcPr>
            <w:tcW w:w="4066" w:type="dxa"/>
          </w:tcPr>
          <w:p>
            <w:pPr>
              <w:pStyle w:val="TableParagraph"/>
              <w:spacing w:line="172" w:lineRule="exact" w:before="18"/>
              <w:ind w:left="50"/>
              <w:rPr>
                <w:sz w:val="15"/>
              </w:rPr>
            </w:pPr>
            <w:r>
              <w:rPr>
                <w:sz w:val="15"/>
              </w:rPr>
              <w:t>1. Alfa 1 antitripsina</w:t>
            </w:r>
          </w:p>
        </w:tc>
        <w:tc>
          <w:tcPr>
            <w:tcW w:w="4275" w:type="dxa"/>
          </w:tcPr>
          <w:p>
            <w:pPr>
              <w:pStyle w:val="TableParagraph"/>
              <w:spacing w:line="172" w:lineRule="exact" w:before="18"/>
              <w:ind w:left="386"/>
              <w:rPr>
                <w:sz w:val="15"/>
              </w:rPr>
            </w:pPr>
            <w:r>
              <w:rPr>
                <w:sz w:val="15"/>
              </w:rPr>
              <w:t>$276.00</w:t>
            </w:r>
          </w:p>
        </w:tc>
        <w:tc>
          <w:tcPr>
            <w:tcW w:w="7153" w:type="dxa"/>
          </w:tcPr>
          <w:p>
            <w:pPr>
              <w:pStyle w:val="TableParagraph"/>
              <w:spacing w:before="17"/>
              <w:ind w:left="3331"/>
              <w:rPr>
                <w:sz w:val="15"/>
              </w:rPr>
            </w:pPr>
            <w:r>
              <w:rPr>
                <w:sz w:val="15"/>
              </w:rPr>
              <w:t>36. Diemero d</w:t>
            </w:r>
          </w:p>
        </w:tc>
        <w:tc>
          <w:tcPr>
            <w:tcW w:w="1186" w:type="dxa"/>
          </w:tcPr>
          <w:p>
            <w:pPr>
              <w:pStyle w:val="TableParagraph"/>
              <w:spacing w:before="17"/>
              <w:ind w:right="46"/>
              <w:jc w:val="right"/>
              <w:rPr>
                <w:sz w:val="15"/>
              </w:rPr>
            </w:pPr>
            <w:r>
              <w:rPr>
                <w:sz w:val="15"/>
              </w:rPr>
              <w:t>$243.00</w:t>
            </w:r>
          </w:p>
        </w:tc>
      </w:tr>
      <w:tr>
        <w:trPr>
          <w:trHeight w:val="209" w:hRule="atLeast"/>
        </w:trPr>
        <w:tc>
          <w:tcPr>
            <w:tcW w:w="4066" w:type="dxa"/>
          </w:tcPr>
          <w:p>
            <w:pPr>
              <w:pStyle w:val="TableParagraph"/>
              <w:spacing w:line="172" w:lineRule="exact" w:before="18"/>
              <w:ind w:left="50"/>
              <w:rPr>
                <w:sz w:val="15"/>
              </w:rPr>
            </w:pPr>
            <w:r>
              <w:rPr>
                <w:sz w:val="15"/>
              </w:rPr>
              <w:t>2. Alp</w:t>
            </w:r>
          </w:p>
        </w:tc>
        <w:tc>
          <w:tcPr>
            <w:tcW w:w="4275" w:type="dxa"/>
          </w:tcPr>
          <w:p>
            <w:pPr>
              <w:pStyle w:val="TableParagraph"/>
              <w:spacing w:line="172" w:lineRule="exact" w:before="18"/>
              <w:ind w:left="472"/>
              <w:rPr>
                <w:sz w:val="15"/>
              </w:rPr>
            </w:pPr>
            <w:r>
              <w:rPr>
                <w:sz w:val="15"/>
              </w:rPr>
              <w:t>$84.00</w:t>
            </w:r>
          </w:p>
        </w:tc>
        <w:tc>
          <w:tcPr>
            <w:tcW w:w="7153" w:type="dxa"/>
          </w:tcPr>
          <w:p>
            <w:pPr>
              <w:pStyle w:val="TableParagraph"/>
              <w:spacing w:before="17"/>
              <w:ind w:left="3331"/>
              <w:rPr>
                <w:sz w:val="15"/>
              </w:rPr>
            </w:pPr>
            <w:r>
              <w:rPr>
                <w:sz w:val="15"/>
              </w:rPr>
              <w:t>37. Retención de coagulo</w:t>
            </w:r>
          </w:p>
        </w:tc>
        <w:tc>
          <w:tcPr>
            <w:tcW w:w="1186" w:type="dxa"/>
          </w:tcPr>
          <w:p>
            <w:pPr>
              <w:pStyle w:val="TableParagraph"/>
              <w:spacing w:before="17"/>
              <w:ind w:right="47"/>
              <w:jc w:val="right"/>
              <w:rPr>
                <w:sz w:val="15"/>
              </w:rPr>
            </w:pPr>
            <w:r>
              <w:rPr>
                <w:sz w:val="15"/>
              </w:rPr>
              <w:t>$78.00</w:t>
            </w:r>
          </w:p>
        </w:tc>
      </w:tr>
      <w:tr>
        <w:trPr>
          <w:trHeight w:val="209" w:hRule="atLeast"/>
        </w:trPr>
        <w:tc>
          <w:tcPr>
            <w:tcW w:w="4066" w:type="dxa"/>
          </w:tcPr>
          <w:p>
            <w:pPr>
              <w:pStyle w:val="TableParagraph"/>
              <w:spacing w:line="172" w:lineRule="exact" w:before="18"/>
              <w:ind w:left="50"/>
              <w:rPr>
                <w:sz w:val="15"/>
              </w:rPr>
            </w:pPr>
            <w:r>
              <w:rPr>
                <w:sz w:val="15"/>
              </w:rPr>
              <w:t>3. Amilasa sérica o urinaria</w:t>
            </w:r>
          </w:p>
        </w:tc>
        <w:tc>
          <w:tcPr>
            <w:tcW w:w="4275" w:type="dxa"/>
          </w:tcPr>
          <w:p>
            <w:pPr>
              <w:pStyle w:val="TableParagraph"/>
              <w:spacing w:line="172" w:lineRule="exact" w:before="18"/>
              <w:ind w:left="386"/>
              <w:rPr>
                <w:sz w:val="15"/>
              </w:rPr>
            </w:pPr>
            <w:r>
              <w:rPr>
                <w:sz w:val="15"/>
              </w:rPr>
              <w:t>$160.00</w:t>
            </w:r>
          </w:p>
        </w:tc>
        <w:tc>
          <w:tcPr>
            <w:tcW w:w="7153" w:type="dxa"/>
          </w:tcPr>
          <w:p>
            <w:pPr>
              <w:pStyle w:val="TableParagraph"/>
              <w:spacing w:before="17"/>
              <w:ind w:left="3331"/>
              <w:rPr>
                <w:sz w:val="15"/>
              </w:rPr>
            </w:pPr>
            <w:r>
              <w:rPr>
                <w:sz w:val="15"/>
              </w:rPr>
              <w:t>f) Hormonas y marcadores tumorales:</w:t>
            </w:r>
          </w:p>
        </w:tc>
        <w:tc>
          <w:tcPr>
            <w:tcW w:w="1186" w:type="dxa"/>
          </w:tcPr>
          <w:p>
            <w:pPr>
              <w:pStyle w:val="TableParagraph"/>
              <w:rPr>
                <w:rFonts w:ascii="Times New Roman"/>
                <w:sz w:val="14"/>
              </w:rPr>
            </w:pPr>
          </w:p>
        </w:tc>
      </w:tr>
      <w:tr>
        <w:trPr>
          <w:trHeight w:val="209" w:hRule="atLeast"/>
        </w:trPr>
        <w:tc>
          <w:tcPr>
            <w:tcW w:w="4066" w:type="dxa"/>
          </w:tcPr>
          <w:p>
            <w:pPr>
              <w:pStyle w:val="TableParagraph"/>
              <w:spacing w:line="172" w:lineRule="exact" w:before="18"/>
              <w:ind w:left="50"/>
              <w:rPr>
                <w:sz w:val="15"/>
              </w:rPr>
            </w:pPr>
            <w:r>
              <w:rPr>
                <w:sz w:val="15"/>
              </w:rPr>
              <w:t>4. Colinesterasa</w:t>
            </w:r>
          </w:p>
        </w:tc>
        <w:tc>
          <w:tcPr>
            <w:tcW w:w="4275" w:type="dxa"/>
          </w:tcPr>
          <w:p>
            <w:pPr>
              <w:pStyle w:val="TableParagraph"/>
              <w:spacing w:line="172" w:lineRule="exact" w:before="18"/>
              <w:ind w:left="386"/>
              <w:rPr>
                <w:sz w:val="15"/>
              </w:rPr>
            </w:pPr>
            <w:r>
              <w:rPr>
                <w:sz w:val="15"/>
              </w:rPr>
              <w:t>$193.00</w:t>
            </w:r>
          </w:p>
        </w:tc>
        <w:tc>
          <w:tcPr>
            <w:tcW w:w="7153" w:type="dxa"/>
          </w:tcPr>
          <w:p>
            <w:pPr>
              <w:pStyle w:val="TableParagraph"/>
              <w:spacing w:before="17"/>
              <w:ind w:left="3331"/>
              <w:rPr>
                <w:sz w:val="15"/>
              </w:rPr>
            </w:pPr>
            <w:r>
              <w:rPr>
                <w:sz w:val="15"/>
              </w:rPr>
              <w:t>1. ACTH</w:t>
            </w:r>
          </w:p>
        </w:tc>
        <w:tc>
          <w:tcPr>
            <w:tcW w:w="1186" w:type="dxa"/>
          </w:tcPr>
          <w:p>
            <w:pPr>
              <w:pStyle w:val="TableParagraph"/>
              <w:spacing w:before="17"/>
              <w:ind w:right="46"/>
              <w:jc w:val="right"/>
              <w:rPr>
                <w:sz w:val="15"/>
              </w:rPr>
            </w:pPr>
            <w:r>
              <w:rPr>
                <w:sz w:val="15"/>
              </w:rPr>
              <w:t>$311.00</w:t>
            </w:r>
          </w:p>
        </w:tc>
      </w:tr>
      <w:tr>
        <w:trPr>
          <w:trHeight w:val="209" w:hRule="atLeast"/>
        </w:trPr>
        <w:tc>
          <w:tcPr>
            <w:tcW w:w="4066" w:type="dxa"/>
          </w:tcPr>
          <w:p>
            <w:pPr>
              <w:pStyle w:val="TableParagraph"/>
              <w:spacing w:line="172" w:lineRule="exact" w:before="18"/>
              <w:ind w:left="50"/>
              <w:rPr>
                <w:sz w:val="15"/>
              </w:rPr>
            </w:pPr>
            <w:r>
              <w:rPr>
                <w:sz w:val="15"/>
              </w:rPr>
              <w:t>5. Dhl</w:t>
            </w:r>
          </w:p>
        </w:tc>
        <w:tc>
          <w:tcPr>
            <w:tcW w:w="4275" w:type="dxa"/>
          </w:tcPr>
          <w:p>
            <w:pPr>
              <w:pStyle w:val="TableParagraph"/>
              <w:spacing w:line="172" w:lineRule="exact" w:before="18"/>
              <w:ind w:left="386"/>
              <w:rPr>
                <w:sz w:val="15"/>
              </w:rPr>
            </w:pPr>
            <w:r>
              <w:rPr>
                <w:sz w:val="15"/>
              </w:rPr>
              <w:t>$138.00</w:t>
            </w:r>
          </w:p>
        </w:tc>
        <w:tc>
          <w:tcPr>
            <w:tcW w:w="7153" w:type="dxa"/>
          </w:tcPr>
          <w:p>
            <w:pPr>
              <w:pStyle w:val="TableParagraph"/>
              <w:spacing w:before="17"/>
              <w:ind w:left="3331"/>
              <w:rPr>
                <w:sz w:val="15"/>
              </w:rPr>
            </w:pPr>
            <w:r>
              <w:rPr>
                <w:sz w:val="15"/>
              </w:rPr>
              <w:t>2. A-fetoproteina (AFP)</w:t>
            </w:r>
          </w:p>
        </w:tc>
        <w:tc>
          <w:tcPr>
            <w:tcW w:w="1186" w:type="dxa"/>
          </w:tcPr>
          <w:p>
            <w:pPr>
              <w:pStyle w:val="TableParagraph"/>
              <w:spacing w:before="17"/>
              <w:ind w:right="46"/>
              <w:jc w:val="right"/>
              <w:rPr>
                <w:sz w:val="15"/>
              </w:rPr>
            </w:pPr>
            <w:r>
              <w:rPr>
                <w:sz w:val="15"/>
              </w:rPr>
              <w:t>$232.00</w:t>
            </w:r>
          </w:p>
        </w:tc>
      </w:tr>
      <w:tr>
        <w:trPr>
          <w:trHeight w:val="209" w:hRule="atLeast"/>
        </w:trPr>
        <w:tc>
          <w:tcPr>
            <w:tcW w:w="4066" w:type="dxa"/>
          </w:tcPr>
          <w:p>
            <w:pPr>
              <w:pStyle w:val="TableParagraph"/>
              <w:spacing w:line="172" w:lineRule="exact" w:before="18"/>
              <w:ind w:left="50"/>
              <w:rPr>
                <w:sz w:val="15"/>
              </w:rPr>
            </w:pPr>
            <w:r>
              <w:rPr>
                <w:sz w:val="15"/>
              </w:rPr>
              <w:t>6. Fosfatasa acida</w:t>
            </w:r>
          </w:p>
        </w:tc>
        <w:tc>
          <w:tcPr>
            <w:tcW w:w="4275" w:type="dxa"/>
          </w:tcPr>
          <w:p>
            <w:pPr>
              <w:pStyle w:val="TableParagraph"/>
              <w:spacing w:line="172" w:lineRule="exact" w:before="18"/>
              <w:ind w:left="386"/>
              <w:rPr>
                <w:sz w:val="15"/>
              </w:rPr>
            </w:pPr>
            <w:r>
              <w:rPr>
                <w:sz w:val="15"/>
              </w:rPr>
              <w:t>$110.00</w:t>
            </w:r>
          </w:p>
        </w:tc>
        <w:tc>
          <w:tcPr>
            <w:tcW w:w="7153" w:type="dxa"/>
          </w:tcPr>
          <w:p>
            <w:pPr>
              <w:pStyle w:val="TableParagraph"/>
              <w:spacing w:before="17"/>
              <w:ind w:left="3331"/>
              <w:rPr>
                <w:sz w:val="15"/>
              </w:rPr>
            </w:pPr>
            <w:r>
              <w:rPr>
                <w:sz w:val="15"/>
              </w:rPr>
              <w:t>3. Ag carcinoembrionario (ACE)</w:t>
            </w:r>
          </w:p>
        </w:tc>
        <w:tc>
          <w:tcPr>
            <w:tcW w:w="1186" w:type="dxa"/>
          </w:tcPr>
          <w:p>
            <w:pPr>
              <w:pStyle w:val="TableParagraph"/>
              <w:spacing w:before="17"/>
              <w:ind w:right="47"/>
              <w:jc w:val="right"/>
              <w:rPr>
                <w:sz w:val="15"/>
              </w:rPr>
            </w:pPr>
            <w:r>
              <w:rPr>
                <w:sz w:val="15"/>
              </w:rPr>
              <w:t>$254.00</w:t>
            </w:r>
          </w:p>
        </w:tc>
      </w:tr>
      <w:tr>
        <w:trPr>
          <w:trHeight w:val="209" w:hRule="atLeast"/>
        </w:trPr>
        <w:tc>
          <w:tcPr>
            <w:tcW w:w="4066" w:type="dxa"/>
          </w:tcPr>
          <w:p>
            <w:pPr>
              <w:pStyle w:val="TableParagraph"/>
              <w:spacing w:line="172" w:lineRule="exact" w:before="18"/>
              <w:ind w:left="50"/>
              <w:rPr>
                <w:sz w:val="15"/>
              </w:rPr>
            </w:pPr>
            <w:r>
              <w:rPr>
                <w:sz w:val="15"/>
              </w:rPr>
              <w:t>7. Fosfatasa acida fraccion prostática</w:t>
            </w:r>
          </w:p>
        </w:tc>
        <w:tc>
          <w:tcPr>
            <w:tcW w:w="4275" w:type="dxa"/>
          </w:tcPr>
          <w:p>
            <w:pPr>
              <w:pStyle w:val="TableParagraph"/>
              <w:spacing w:line="172" w:lineRule="exact" w:before="18"/>
              <w:ind w:left="386"/>
              <w:rPr>
                <w:sz w:val="15"/>
              </w:rPr>
            </w:pPr>
            <w:r>
              <w:rPr>
                <w:sz w:val="15"/>
              </w:rPr>
              <w:t>$276.00</w:t>
            </w:r>
          </w:p>
        </w:tc>
        <w:tc>
          <w:tcPr>
            <w:tcW w:w="7153" w:type="dxa"/>
          </w:tcPr>
          <w:p>
            <w:pPr>
              <w:pStyle w:val="TableParagraph"/>
              <w:spacing w:before="17"/>
              <w:ind w:left="3331"/>
              <w:rPr>
                <w:sz w:val="15"/>
              </w:rPr>
            </w:pPr>
            <w:r>
              <w:rPr>
                <w:sz w:val="15"/>
              </w:rPr>
              <w:t>4. Ag prostático especifico</w:t>
            </w:r>
          </w:p>
        </w:tc>
        <w:tc>
          <w:tcPr>
            <w:tcW w:w="1186" w:type="dxa"/>
          </w:tcPr>
          <w:p>
            <w:pPr>
              <w:pStyle w:val="TableParagraph"/>
              <w:spacing w:before="17"/>
              <w:ind w:right="47"/>
              <w:jc w:val="right"/>
              <w:rPr>
                <w:sz w:val="15"/>
              </w:rPr>
            </w:pPr>
            <w:r>
              <w:rPr>
                <w:sz w:val="15"/>
              </w:rPr>
              <w:t>$193.00</w:t>
            </w:r>
          </w:p>
        </w:tc>
      </w:tr>
      <w:tr>
        <w:trPr>
          <w:trHeight w:val="209" w:hRule="atLeast"/>
        </w:trPr>
        <w:tc>
          <w:tcPr>
            <w:tcW w:w="4066" w:type="dxa"/>
          </w:tcPr>
          <w:p>
            <w:pPr>
              <w:pStyle w:val="TableParagraph"/>
              <w:spacing w:line="172" w:lineRule="exact" w:before="18"/>
              <w:ind w:left="50"/>
              <w:rPr>
                <w:sz w:val="15"/>
              </w:rPr>
            </w:pPr>
            <w:r>
              <w:rPr>
                <w:sz w:val="15"/>
              </w:rPr>
              <w:t>8. Fosfatasa alcalina</w:t>
            </w:r>
          </w:p>
        </w:tc>
        <w:tc>
          <w:tcPr>
            <w:tcW w:w="4275" w:type="dxa"/>
          </w:tcPr>
          <w:p>
            <w:pPr>
              <w:pStyle w:val="TableParagraph"/>
              <w:spacing w:line="172" w:lineRule="exact" w:before="18"/>
              <w:ind w:left="471"/>
              <w:rPr>
                <w:sz w:val="15"/>
              </w:rPr>
            </w:pPr>
            <w:r>
              <w:rPr>
                <w:sz w:val="15"/>
              </w:rPr>
              <w:t>$83.00</w:t>
            </w:r>
          </w:p>
        </w:tc>
        <w:tc>
          <w:tcPr>
            <w:tcW w:w="7153" w:type="dxa"/>
          </w:tcPr>
          <w:p>
            <w:pPr>
              <w:pStyle w:val="TableParagraph"/>
              <w:spacing w:before="17"/>
              <w:ind w:left="3331"/>
              <w:rPr>
                <w:sz w:val="15"/>
              </w:rPr>
            </w:pPr>
            <w:r>
              <w:rPr>
                <w:sz w:val="15"/>
              </w:rPr>
              <w:t>5. Aldosterona</w:t>
            </w:r>
          </w:p>
        </w:tc>
        <w:tc>
          <w:tcPr>
            <w:tcW w:w="1186" w:type="dxa"/>
          </w:tcPr>
          <w:p>
            <w:pPr>
              <w:pStyle w:val="TableParagraph"/>
              <w:spacing w:before="17"/>
              <w:ind w:right="46"/>
              <w:jc w:val="right"/>
              <w:rPr>
                <w:sz w:val="15"/>
              </w:rPr>
            </w:pPr>
            <w:r>
              <w:rPr>
                <w:sz w:val="15"/>
              </w:rPr>
              <w:t>$243.00</w:t>
            </w:r>
          </w:p>
        </w:tc>
      </w:tr>
      <w:tr>
        <w:trPr>
          <w:trHeight w:val="209" w:hRule="atLeast"/>
        </w:trPr>
        <w:tc>
          <w:tcPr>
            <w:tcW w:w="4066" w:type="dxa"/>
          </w:tcPr>
          <w:p>
            <w:pPr>
              <w:pStyle w:val="TableParagraph"/>
              <w:spacing w:line="172" w:lineRule="exact" w:before="18"/>
              <w:ind w:left="50"/>
              <w:rPr>
                <w:sz w:val="15"/>
              </w:rPr>
            </w:pPr>
            <w:r>
              <w:rPr>
                <w:sz w:val="15"/>
              </w:rPr>
              <w:t>9. Ggt</w:t>
            </w:r>
          </w:p>
        </w:tc>
        <w:tc>
          <w:tcPr>
            <w:tcW w:w="4275" w:type="dxa"/>
          </w:tcPr>
          <w:p>
            <w:pPr>
              <w:pStyle w:val="TableParagraph"/>
              <w:spacing w:line="172" w:lineRule="exact" w:before="18"/>
              <w:ind w:left="472"/>
              <w:rPr>
                <w:sz w:val="15"/>
              </w:rPr>
            </w:pPr>
            <w:r>
              <w:rPr>
                <w:sz w:val="15"/>
              </w:rPr>
              <w:t>$83.00</w:t>
            </w:r>
          </w:p>
        </w:tc>
        <w:tc>
          <w:tcPr>
            <w:tcW w:w="7153" w:type="dxa"/>
          </w:tcPr>
          <w:p>
            <w:pPr>
              <w:pStyle w:val="TableParagraph"/>
              <w:spacing w:before="17"/>
              <w:ind w:left="3331"/>
              <w:rPr>
                <w:sz w:val="15"/>
              </w:rPr>
            </w:pPr>
            <w:r>
              <w:rPr>
                <w:sz w:val="15"/>
              </w:rPr>
              <w:t>6. B-hgc</w:t>
            </w:r>
          </w:p>
        </w:tc>
        <w:tc>
          <w:tcPr>
            <w:tcW w:w="1186" w:type="dxa"/>
          </w:tcPr>
          <w:p>
            <w:pPr>
              <w:pStyle w:val="TableParagraph"/>
              <w:spacing w:before="17"/>
              <w:ind w:right="46"/>
              <w:jc w:val="right"/>
              <w:rPr>
                <w:sz w:val="15"/>
              </w:rPr>
            </w:pPr>
            <w:r>
              <w:rPr>
                <w:sz w:val="15"/>
              </w:rPr>
              <w:t>$93.00</w:t>
            </w:r>
          </w:p>
        </w:tc>
      </w:tr>
      <w:tr>
        <w:trPr>
          <w:trHeight w:val="209" w:hRule="atLeast"/>
        </w:trPr>
        <w:tc>
          <w:tcPr>
            <w:tcW w:w="4066" w:type="dxa"/>
          </w:tcPr>
          <w:p>
            <w:pPr>
              <w:pStyle w:val="TableParagraph"/>
              <w:spacing w:line="172" w:lineRule="exact" w:before="18"/>
              <w:ind w:left="50"/>
              <w:rPr>
                <w:sz w:val="15"/>
              </w:rPr>
            </w:pPr>
            <w:r>
              <w:rPr>
                <w:sz w:val="15"/>
              </w:rPr>
              <w:t>10. Lipasa</w:t>
            </w:r>
          </w:p>
        </w:tc>
        <w:tc>
          <w:tcPr>
            <w:tcW w:w="4275" w:type="dxa"/>
          </w:tcPr>
          <w:p>
            <w:pPr>
              <w:pStyle w:val="TableParagraph"/>
              <w:spacing w:line="172" w:lineRule="exact" w:before="18"/>
              <w:ind w:left="471"/>
              <w:rPr>
                <w:sz w:val="15"/>
              </w:rPr>
            </w:pPr>
            <w:r>
              <w:rPr>
                <w:sz w:val="15"/>
              </w:rPr>
              <w:t>$83.00</w:t>
            </w:r>
          </w:p>
        </w:tc>
        <w:tc>
          <w:tcPr>
            <w:tcW w:w="7153" w:type="dxa"/>
          </w:tcPr>
          <w:p>
            <w:pPr>
              <w:pStyle w:val="TableParagraph"/>
              <w:spacing w:before="17"/>
              <w:ind w:left="3331"/>
              <w:rPr>
                <w:sz w:val="15"/>
              </w:rPr>
            </w:pPr>
            <w:r>
              <w:rPr>
                <w:sz w:val="15"/>
              </w:rPr>
              <w:t>7. B-hgc cuantitativa</w:t>
            </w:r>
          </w:p>
        </w:tc>
        <w:tc>
          <w:tcPr>
            <w:tcW w:w="1186" w:type="dxa"/>
          </w:tcPr>
          <w:p>
            <w:pPr>
              <w:pStyle w:val="TableParagraph"/>
              <w:spacing w:before="17"/>
              <w:ind w:right="46"/>
              <w:jc w:val="right"/>
              <w:rPr>
                <w:sz w:val="15"/>
              </w:rPr>
            </w:pPr>
            <w:r>
              <w:rPr>
                <w:sz w:val="15"/>
              </w:rPr>
              <w:t>$298.00</w:t>
            </w:r>
          </w:p>
        </w:tc>
      </w:tr>
      <w:tr>
        <w:trPr>
          <w:trHeight w:val="209" w:hRule="atLeast"/>
        </w:trPr>
        <w:tc>
          <w:tcPr>
            <w:tcW w:w="4066" w:type="dxa"/>
          </w:tcPr>
          <w:p>
            <w:pPr>
              <w:pStyle w:val="TableParagraph"/>
              <w:spacing w:line="172" w:lineRule="exact" w:before="18"/>
              <w:ind w:left="50"/>
              <w:rPr>
                <w:sz w:val="15"/>
              </w:rPr>
            </w:pPr>
            <w:r>
              <w:rPr>
                <w:sz w:val="15"/>
              </w:rPr>
              <w:t>11. Tgo (transaminasas)</w:t>
            </w:r>
          </w:p>
        </w:tc>
        <w:tc>
          <w:tcPr>
            <w:tcW w:w="4275" w:type="dxa"/>
          </w:tcPr>
          <w:p>
            <w:pPr>
              <w:pStyle w:val="TableParagraph"/>
              <w:spacing w:line="172" w:lineRule="exact" w:before="18"/>
              <w:ind w:left="471"/>
              <w:rPr>
                <w:sz w:val="15"/>
              </w:rPr>
            </w:pPr>
            <w:r>
              <w:rPr>
                <w:sz w:val="15"/>
              </w:rPr>
              <w:t>$83.00</w:t>
            </w:r>
          </w:p>
        </w:tc>
        <w:tc>
          <w:tcPr>
            <w:tcW w:w="7153" w:type="dxa"/>
          </w:tcPr>
          <w:p>
            <w:pPr>
              <w:pStyle w:val="TableParagraph"/>
              <w:spacing w:before="17"/>
              <w:ind w:left="3331"/>
              <w:rPr>
                <w:sz w:val="15"/>
              </w:rPr>
            </w:pPr>
            <w:r>
              <w:rPr>
                <w:sz w:val="15"/>
              </w:rPr>
              <w:t>8. CA</w:t>
            </w:r>
          </w:p>
        </w:tc>
        <w:tc>
          <w:tcPr>
            <w:tcW w:w="1186" w:type="dxa"/>
          </w:tcPr>
          <w:p>
            <w:pPr>
              <w:pStyle w:val="TableParagraph"/>
              <w:spacing w:before="17"/>
              <w:ind w:right="46"/>
              <w:jc w:val="right"/>
              <w:rPr>
                <w:sz w:val="15"/>
              </w:rPr>
            </w:pPr>
            <w:r>
              <w:rPr>
                <w:sz w:val="15"/>
              </w:rPr>
              <w:t>$289.00</w:t>
            </w:r>
          </w:p>
        </w:tc>
      </w:tr>
      <w:tr>
        <w:trPr>
          <w:trHeight w:val="209" w:hRule="atLeast"/>
        </w:trPr>
        <w:tc>
          <w:tcPr>
            <w:tcW w:w="4066" w:type="dxa"/>
          </w:tcPr>
          <w:p>
            <w:pPr>
              <w:pStyle w:val="TableParagraph"/>
              <w:spacing w:line="172" w:lineRule="exact" w:before="18"/>
              <w:ind w:left="50"/>
              <w:rPr>
                <w:sz w:val="15"/>
              </w:rPr>
            </w:pPr>
            <w:r>
              <w:rPr>
                <w:sz w:val="15"/>
              </w:rPr>
              <w:t>12. Tgp (transaminasas)</w:t>
            </w:r>
          </w:p>
        </w:tc>
        <w:tc>
          <w:tcPr>
            <w:tcW w:w="4275" w:type="dxa"/>
          </w:tcPr>
          <w:p>
            <w:pPr>
              <w:pStyle w:val="TableParagraph"/>
              <w:spacing w:line="172" w:lineRule="exact" w:before="18"/>
              <w:ind w:left="471"/>
              <w:rPr>
                <w:sz w:val="15"/>
              </w:rPr>
            </w:pPr>
            <w:r>
              <w:rPr>
                <w:sz w:val="15"/>
              </w:rPr>
              <w:t>$83.00</w:t>
            </w:r>
          </w:p>
        </w:tc>
        <w:tc>
          <w:tcPr>
            <w:tcW w:w="7153" w:type="dxa"/>
          </w:tcPr>
          <w:p>
            <w:pPr>
              <w:pStyle w:val="TableParagraph"/>
              <w:spacing w:before="17"/>
              <w:ind w:left="3331"/>
              <w:rPr>
                <w:sz w:val="15"/>
              </w:rPr>
            </w:pPr>
            <w:r>
              <w:rPr>
                <w:sz w:val="15"/>
              </w:rPr>
              <w:t>9. CA 125</w:t>
            </w:r>
          </w:p>
        </w:tc>
        <w:tc>
          <w:tcPr>
            <w:tcW w:w="1186" w:type="dxa"/>
          </w:tcPr>
          <w:p>
            <w:pPr>
              <w:pStyle w:val="TableParagraph"/>
              <w:spacing w:before="17"/>
              <w:ind w:right="46"/>
              <w:jc w:val="right"/>
              <w:rPr>
                <w:sz w:val="15"/>
              </w:rPr>
            </w:pPr>
            <w:r>
              <w:rPr>
                <w:sz w:val="15"/>
              </w:rPr>
              <w:t>$331.00</w:t>
            </w:r>
          </w:p>
        </w:tc>
      </w:tr>
      <w:tr>
        <w:trPr>
          <w:trHeight w:val="209" w:hRule="atLeast"/>
        </w:trPr>
        <w:tc>
          <w:tcPr>
            <w:tcW w:w="4066" w:type="dxa"/>
          </w:tcPr>
          <w:p>
            <w:pPr>
              <w:pStyle w:val="TableParagraph"/>
              <w:spacing w:line="172" w:lineRule="exact" w:before="18"/>
              <w:ind w:left="50"/>
              <w:rPr>
                <w:sz w:val="15"/>
              </w:rPr>
            </w:pPr>
            <w:r>
              <w:rPr>
                <w:sz w:val="15"/>
              </w:rPr>
              <w:t>e) Hematología:</w:t>
            </w:r>
          </w:p>
        </w:tc>
        <w:tc>
          <w:tcPr>
            <w:tcW w:w="4275" w:type="dxa"/>
          </w:tcPr>
          <w:p>
            <w:pPr>
              <w:pStyle w:val="TableParagraph"/>
              <w:rPr>
                <w:rFonts w:ascii="Times New Roman"/>
                <w:sz w:val="14"/>
              </w:rPr>
            </w:pPr>
          </w:p>
        </w:tc>
        <w:tc>
          <w:tcPr>
            <w:tcW w:w="7153" w:type="dxa"/>
          </w:tcPr>
          <w:p>
            <w:pPr>
              <w:pStyle w:val="TableParagraph"/>
              <w:spacing w:before="17"/>
              <w:ind w:left="3331"/>
              <w:rPr>
                <w:sz w:val="15"/>
              </w:rPr>
            </w:pPr>
            <w:r>
              <w:rPr>
                <w:sz w:val="15"/>
              </w:rPr>
              <w:t>10. CA 15.3</w:t>
            </w:r>
          </w:p>
        </w:tc>
        <w:tc>
          <w:tcPr>
            <w:tcW w:w="1186" w:type="dxa"/>
          </w:tcPr>
          <w:p>
            <w:pPr>
              <w:pStyle w:val="TableParagraph"/>
              <w:spacing w:before="17"/>
              <w:ind w:right="46"/>
              <w:jc w:val="right"/>
              <w:rPr>
                <w:sz w:val="15"/>
              </w:rPr>
            </w:pPr>
            <w:r>
              <w:rPr>
                <w:sz w:val="15"/>
              </w:rPr>
              <w:t>$331.00</w:t>
            </w:r>
          </w:p>
        </w:tc>
      </w:tr>
      <w:tr>
        <w:trPr>
          <w:trHeight w:val="209" w:hRule="atLeast"/>
        </w:trPr>
        <w:tc>
          <w:tcPr>
            <w:tcW w:w="4066" w:type="dxa"/>
          </w:tcPr>
          <w:p>
            <w:pPr>
              <w:pStyle w:val="TableParagraph"/>
              <w:spacing w:line="172" w:lineRule="exact" w:before="18"/>
              <w:ind w:left="50"/>
              <w:rPr>
                <w:sz w:val="15"/>
              </w:rPr>
            </w:pPr>
            <w:r>
              <w:rPr>
                <w:sz w:val="15"/>
              </w:rPr>
              <w:t>1. Alfa II antiplasmina</w:t>
            </w:r>
          </w:p>
        </w:tc>
        <w:tc>
          <w:tcPr>
            <w:tcW w:w="4275" w:type="dxa"/>
          </w:tcPr>
          <w:p>
            <w:pPr>
              <w:pStyle w:val="TableParagraph"/>
              <w:spacing w:line="172" w:lineRule="exact" w:before="18"/>
              <w:ind w:left="386"/>
              <w:rPr>
                <w:sz w:val="15"/>
              </w:rPr>
            </w:pPr>
            <w:r>
              <w:rPr>
                <w:sz w:val="15"/>
              </w:rPr>
              <w:t>$364.00</w:t>
            </w:r>
          </w:p>
        </w:tc>
        <w:tc>
          <w:tcPr>
            <w:tcW w:w="7153" w:type="dxa"/>
          </w:tcPr>
          <w:p>
            <w:pPr>
              <w:pStyle w:val="TableParagraph"/>
              <w:spacing w:before="17"/>
              <w:ind w:left="3331"/>
              <w:rPr>
                <w:sz w:val="15"/>
              </w:rPr>
            </w:pPr>
            <w:r>
              <w:rPr>
                <w:sz w:val="15"/>
              </w:rPr>
              <w:t>11. CA 19.9</w:t>
            </w:r>
          </w:p>
        </w:tc>
        <w:tc>
          <w:tcPr>
            <w:tcW w:w="1186" w:type="dxa"/>
          </w:tcPr>
          <w:p>
            <w:pPr>
              <w:pStyle w:val="TableParagraph"/>
              <w:spacing w:before="17"/>
              <w:ind w:right="46"/>
              <w:jc w:val="right"/>
              <w:rPr>
                <w:sz w:val="15"/>
              </w:rPr>
            </w:pPr>
            <w:r>
              <w:rPr>
                <w:sz w:val="15"/>
              </w:rPr>
              <w:t>$342.00</w:t>
            </w:r>
          </w:p>
        </w:tc>
      </w:tr>
      <w:tr>
        <w:trPr>
          <w:trHeight w:val="209" w:hRule="atLeast"/>
        </w:trPr>
        <w:tc>
          <w:tcPr>
            <w:tcW w:w="4066" w:type="dxa"/>
          </w:tcPr>
          <w:p>
            <w:pPr>
              <w:pStyle w:val="TableParagraph"/>
              <w:spacing w:line="172" w:lineRule="exact" w:before="18"/>
              <w:ind w:left="50"/>
              <w:rPr>
                <w:sz w:val="15"/>
              </w:rPr>
            </w:pPr>
            <w:r>
              <w:rPr>
                <w:sz w:val="15"/>
              </w:rPr>
              <w:t>2. Anticoagulante lupico</w:t>
            </w:r>
          </w:p>
        </w:tc>
        <w:tc>
          <w:tcPr>
            <w:tcW w:w="4275" w:type="dxa"/>
          </w:tcPr>
          <w:p>
            <w:pPr>
              <w:pStyle w:val="TableParagraph"/>
              <w:spacing w:line="172" w:lineRule="exact" w:before="18"/>
              <w:ind w:left="386"/>
              <w:rPr>
                <w:sz w:val="15"/>
              </w:rPr>
            </w:pPr>
            <w:r>
              <w:rPr>
                <w:sz w:val="15"/>
              </w:rPr>
              <w:t>$149.00</w:t>
            </w:r>
          </w:p>
        </w:tc>
        <w:tc>
          <w:tcPr>
            <w:tcW w:w="7153" w:type="dxa"/>
          </w:tcPr>
          <w:p>
            <w:pPr>
              <w:pStyle w:val="TableParagraph"/>
              <w:spacing w:before="17"/>
              <w:ind w:left="3331"/>
              <w:rPr>
                <w:sz w:val="15"/>
              </w:rPr>
            </w:pPr>
            <w:r>
              <w:rPr>
                <w:sz w:val="15"/>
              </w:rPr>
              <w:t>12. Cortisol</w:t>
            </w:r>
          </w:p>
        </w:tc>
        <w:tc>
          <w:tcPr>
            <w:tcW w:w="1186" w:type="dxa"/>
          </w:tcPr>
          <w:p>
            <w:pPr>
              <w:pStyle w:val="TableParagraph"/>
              <w:spacing w:before="17"/>
              <w:ind w:right="48"/>
              <w:jc w:val="right"/>
              <w:rPr>
                <w:sz w:val="15"/>
              </w:rPr>
            </w:pPr>
            <w:r>
              <w:rPr>
                <w:sz w:val="15"/>
              </w:rPr>
              <w:t>$221.00</w:t>
            </w:r>
          </w:p>
        </w:tc>
      </w:tr>
      <w:tr>
        <w:trPr>
          <w:trHeight w:val="209" w:hRule="atLeast"/>
        </w:trPr>
        <w:tc>
          <w:tcPr>
            <w:tcW w:w="4066" w:type="dxa"/>
          </w:tcPr>
          <w:p>
            <w:pPr>
              <w:pStyle w:val="TableParagraph"/>
              <w:spacing w:line="172" w:lineRule="exact" w:before="18"/>
              <w:ind w:left="50"/>
              <w:rPr>
                <w:sz w:val="15"/>
              </w:rPr>
            </w:pPr>
            <w:r>
              <w:rPr>
                <w:sz w:val="15"/>
              </w:rPr>
              <w:t>3. Antitrombina III</w:t>
            </w:r>
          </w:p>
        </w:tc>
        <w:tc>
          <w:tcPr>
            <w:tcW w:w="4275" w:type="dxa"/>
          </w:tcPr>
          <w:p>
            <w:pPr>
              <w:pStyle w:val="TableParagraph"/>
              <w:spacing w:line="172" w:lineRule="exact" w:before="18"/>
              <w:ind w:left="386"/>
              <w:rPr>
                <w:sz w:val="15"/>
              </w:rPr>
            </w:pPr>
            <w:r>
              <w:rPr>
                <w:sz w:val="15"/>
              </w:rPr>
              <w:t>$370.00</w:t>
            </w:r>
          </w:p>
        </w:tc>
        <w:tc>
          <w:tcPr>
            <w:tcW w:w="7153" w:type="dxa"/>
          </w:tcPr>
          <w:p>
            <w:pPr>
              <w:pStyle w:val="TableParagraph"/>
              <w:spacing w:before="17"/>
              <w:ind w:left="3331"/>
              <w:rPr>
                <w:sz w:val="15"/>
              </w:rPr>
            </w:pPr>
            <w:r>
              <w:rPr>
                <w:sz w:val="15"/>
              </w:rPr>
              <w:t>13. Estradio</w:t>
            </w:r>
          </w:p>
        </w:tc>
        <w:tc>
          <w:tcPr>
            <w:tcW w:w="1186" w:type="dxa"/>
          </w:tcPr>
          <w:p>
            <w:pPr>
              <w:pStyle w:val="TableParagraph"/>
              <w:spacing w:before="17"/>
              <w:ind w:right="47"/>
              <w:jc w:val="right"/>
              <w:rPr>
                <w:sz w:val="15"/>
              </w:rPr>
            </w:pPr>
            <w:r>
              <w:rPr>
                <w:sz w:val="15"/>
              </w:rPr>
              <w:t>$193.00</w:t>
            </w:r>
          </w:p>
        </w:tc>
      </w:tr>
      <w:tr>
        <w:trPr>
          <w:trHeight w:val="209" w:hRule="atLeast"/>
        </w:trPr>
        <w:tc>
          <w:tcPr>
            <w:tcW w:w="4066" w:type="dxa"/>
          </w:tcPr>
          <w:p>
            <w:pPr>
              <w:pStyle w:val="TableParagraph"/>
              <w:spacing w:line="172" w:lineRule="exact" w:before="18"/>
              <w:ind w:left="50"/>
              <w:rPr>
                <w:sz w:val="15"/>
              </w:rPr>
            </w:pPr>
            <w:r>
              <w:rPr>
                <w:sz w:val="15"/>
              </w:rPr>
              <w:t>4. Biometría hemática (BH)</w:t>
            </w:r>
          </w:p>
        </w:tc>
        <w:tc>
          <w:tcPr>
            <w:tcW w:w="4275" w:type="dxa"/>
          </w:tcPr>
          <w:p>
            <w:pPr>
              <w:pStyle w:val="TableParagraph"/>
              <w:spacing w:line="172" w:lineRule="exact" w:before="18"/>
              <w:ind w:left="472"/>
              <w:rPr>
                <w:sz w:val="15"/>
              </w:rPr>
            </w:pPr>
            <w:r>
              <w:rPr>
                <w:sz w:val="15"/>
              </w:rPr>
              <w:t>$71.00</w:t>
            </w:r>
          </w:p>
        </w:tc>
        <w:tc>
          <w:tcPr>
            <w:tcW w:w="7153" w:type="dxa"/>
          </w:tcPr>
          <w:p>
            <w:pPr>
              <w:pStyle w:val="TableParagraph"/>
              <w:spacing w:before="17"/>
              <w:ind w:left="3331"/>
              <w:rPr>
                <w:sz w:val="15"/>
              </w:rPr>
            </w:pPr>
            <w:r>
              <w:rPr>
                <w:sz w:val="15"/>
              </w:rPr>
              <w:t>14. Fsh</w:t>
            </w:r>
          </w:p>
        </w:tc>
        <w:tc>
          <w:tcPr>
            <w:tcW w:w="1186" w:type="dxa"/>
          </w:tcPr>
          <w:p>
            <w:pPr>
              <w:pStyle w:val="TableParagraph"/>
              <w:spacing w:before="17"/>
              <w:ind w:right="46"/>
              <w:jc w:val="right"/>
              <w:rPr>
                <w:sz w:val="15"/>
              </w:rPr>
            </w:pPr>
            <w:r>
              <w:rPr>
                <w:sz w:val="15"/>
              </w:rPr>
              <w:t>$166.00</w:t>
            </w:r>
          </w:p>
        </w:tc>
      </w:tr>
      <w:tr>
        <w:trPr>
          <w:trHeight w:val="209" w:hRule="atLeast"/>
        </w:trPr>
        <w:tc>
          <w:tcPr>
            <w:tcW w:w="4066" w:type="dxa"/>
          </w:tcPr>
          <w:p>
            <w:pPr>
              <w:pStyle w:val="TableParagraph"/>
              <w:spacing w:line="172" w:lineRule="exact" w:before="18"/>
              <w:ind w:left="50"/>
              <w:rPr>
                <w:sz w:val="15"/>
              </w:rPr>
            </w:pPr>
            <w:r>
              <w:rPr>
                <w:sz w:val="15"/>
              </w:rPr>
              <w:t>5. Biometría hemática con reticulocitos</w:t>
            </w:r>
          </w:p>
        </w:tc>
        <w:tc>
          <w:tcPr>
            <w:tcW w:w="4275" w:type="dxa"/>
          </w:tcPr>
          <w:p>
            <w:pPr>
              <w:pStyle w:val="TableParagraph"/>
              <w:spacing w:line="172" w:lineRule="exact" w:before="18"/>
              <w:ind w:left="385"/>
              <w:rPr>
                <w:sz w:val="15"/>
              </w:rPr>
            </w:pPr>
            <w:r>
              <w:rPr>
                <w:sz w:val="15"/>
              </w:rPr>
              <w:t>$135.00</w:t>
            </w:r>
          </w:p>
        </w:tc>
        <w:tc>
          <w:tcPr>
            <w:tcW w:w="7153" w:type="dxa"/>
          </w:tcPr>
          <w:p>
            <w:pPr>
              <w:pStyle w:val="TableParagraph"/>
              <w:spacing w:before="17"/>
              <w:ind w:left="3331"/>
              <w:rPr>
                <w:sz w:val="15"/>
              </w:rPr>
            </w:pPr>
            <w:r>
              <w:rPr>
                <w:sz w:val="15"/>
              </w:rPr>
              <w:t>15. Glucagon</w:t>
            </w:r>
          </w:p>
        </w:tc>
        <w:tc>
          <w:tcPr>
            <w:tcW w:w="1186" w:type="dxa"/>
          </w:tcPr>
          <w:p>
            <w:pPr>
              <w:pStyle w:val="TableParagraph"/>
              <w:spacing w:before="17"/>
              <w:ind w:right="47"/>
              <w:jc w:val="right"/>
              <w:rPr>
                <w:sz w:val="15"/>
              </w:rPr>
            </w:pPr>
            <w:r>
              <w:rPr>
                <w:sz w:val="15"/>
              </w:rPr>
              <w:t>$166.00</w:t>
            </w:r>
          </w:p>
        </w:tc>
      </w:tr>
      <w:tr>
        <w:trPr>
          <w:trHeight w:val="209" w:hRule="atLeast"/>
        </w:trPr>
        <w:tc>
          <w:tcPr>
            <w:tcW w:w="4066" w:type="dxa"/>
          </w:tcPr>
          <w:p>
            <w:pPr>
              <w:pStyle w:val="TableParagraph"/>
              <w:spacing w:line="172" w:lineRule="exact" w:before="18"/>
              <w:ind w:left="50"/>
              <w:rPr>
                <w:sz w:val="15"/>
              </w:rPr>
            </w:pPr>
            <w:r>
              <w:rPr>
                <w:sz w:val="15"/>
              </w:rPr>
              <w:t>6. Coombs directo</w:t>
            </w:r>
          </w:p>
        </w:tc>
        <w:tc>
          <w:tcPr>
            <w:tcW w:w="4275" w:type="dxa"/>
          </w:tcPr>
          <w:p>
            <w:pPr>
              <w:pStyle w:val="TableParagraph"/>
              <w:spacing w:line="172" w:lineRule="exact" w:before="18"/>
              <w:ind w:left="472"/>
              <w:rPr>
                <w:sz w:val="15"/>
              </w:rPr>
            </w:pPr>
            <w:r>
              <w:rPr>
                <w:sz w:val="15"/>
              </w:rPr>
              <w:t>$78.00</w:t>
            </w:r>
          </w:p>
        </w:tc>
        <w:tc>
          <w:tcPr>
            <w:tcW w:w="7153" w:type="dxa"/>
          </w:tcPr>
          <w:p>
            <w:pPr>
              <w:pStyle w:val="TableParagraph"/>
              <w:spacing w:before="17"/>
              <w:ind w:left="3331"/>
              <w:rPr>
                <w:sz w:val="15"/>
              </w:rPr>
            </w:pPr>
            <w:r>
              <w:rPr>
                <w:sz w:val="15"/>
              </w:rPr>
              <w:t>16. H crecimiento</w:t>
            </w:r>
          </w:p>
        </w:tc>
        <w:tc>
          <w:tcPr>
            <w:tcW w:w="1186" w:type="dxa"/>
          </w:tcPr>
          <w:p>
            <w:pPr>
              <w:pStyle w:val="TableParagraph"/>
              <w:spacing w:before="17"/>
              <w:ind w:right="47"/>
              <w:jc w:val="right"/>
              <w:rPr>
                <w:sz w:val="15"/>
              </w:rPr>
            </w:pPr>
            <w:r>
              <w:rPr>
                <w:sz w:val="15"/>
              </w:rPr>
              <w:t>$243.00</w:t>
            </w:r>
          </w:p>
        </w:tc>
      </w:tr>
      <w:tr>
        <w:trPr>
          <w:trHeight w:val="209" w:hRule="atLeast"/>
        </w:trPr>
        <w:tc>
          <w:tcPr>
            <w:tcW w:w="4066" w:type="dxa"/>
          </w:tcPr>
          <w:p>
            <w:pPr>
              <w:pStyle w:val="TableParagraph"/>
              <w:spacing w:line="172" w:lineRule="exact" w:before="18"/>
              <w:ind w:left="50"/>
              <w:rPr>
                <w:sz w:val="15"/>
              </w:rPr>
            </w:pPr>
            <w:r>
              <w:rPr>
                <w:sz w:val="15"/>
              </w:rPr>
              <w:t>7. Coombs indirecto</w:t>
            </w:r>
          </w:p>
        </w:tc>
        <w:tc>
          <w:tcPr>
            <w:tcW w:w="4275" w:type="dxa"/>
          </w:tcPr>
          <w:p>
            <w:pPr>
              <w:pStyle w:val="TableParagraph"/>
              <w:spacing w:line="172" w:lineRule="exact" w:before="18"/>
              <w:ind w:left="472"/>
              <w:rPr>
                <w:sz w:val="15"/>
              </w:rPr>
            </w:pPr>
            <w:r>
              <w:rPr>
                <w:sz w:val="15"/>
              </w:rPr>
              <w:t>$78.00</w:t>
            </w:r>
          </w:p>
        </w:tc>
        <w:tc>
          <w:tcPr>
            <w:tcW w:w="7153" w:type="dxa"/>
          </w:tcPr>
          <w:p>
            <w:pPr>
              <w:pStyle w:val="TableParagraph"/>
              <w:spacing w:before="17"/>
              <w:ind w:left="3331"/>
              <w:rPr>
                <w:sz w:val="15"/>
              </w:rPr>
            </w:pPr>
            <w:r>
              <w:rPr>
                <w:sz w:val="15"/>
              </w:rPr>
              <w:t>17. Insulina</w:t>
            </w:r>
          </w:p>
        </w:tc>
        <w:tc>
          <w:tcPr>
            <w:tcW w:w="1186" w:type="dxa"/>
          </w:tcPr>
          <w:p>
            <w:pPr>
              <w:pStyle w:val="TableParagraph"/>
              <w:spacing w:before="17"/>
              <w:ind w:right="47"/>
              <w:jc w:val="right"/>
              <w:rPr>
                <w:sz w:val="15"/>
              </w:rPr>
            </w:pPr>
            <w:r>
              <w:rPr>
                <w:sz w:val="15"/>
              </w:rPr>
              <w:t>$166.00</w:t>
            </w:r>
          </w:p>
        </w:tc>
      </w:tr>
      <w:tr>
        <w:trPr>
          <w:trHeight w:val="209" w:hRule="atLeast"/>
        </w:trPr>
        <w:tc>
          <w:tcPr>
            <w:tcW w:w="4066" w:type="dxa"/>
          </w:tcPr>
          <w:p>
            <w:pPr>
              <w:pStyle w:val="TableParagraph"/>
              <w:spacing w:line="172" w:lineRule="exact" w:before="18"/>
              <w:ind w:left="50"/>
              <w:rPr>
                <w:sz w:val="15"/>
              </w:rPr>
            </w:pPr>
            <w:r>
              <w:rPr>
                <w:sz w:val="15"/>
              </w:rPr>
              <w:t>8. Cuantificación de factores</w:t>
            </w:r>
          </w:p>
        </w:tc>
        <w:tc>
          <w:tcPr>
            <w:tcW w:w="4275" w:type="dxa"/>
          </w:tcPr>
          <w:p>
            <w:pPr>
              <w:pStyle w:val="TableParagraph"/>
              <w:spacing w:line="172" w:lineRule="exact" w:before="18"/>
              <w:ind w:left="386"/>
              <w:rPr>
                <w:sz w:val="15"/>
              </w:rPr>
            </w:pPr>
            <w:r>
              <w:rPr>
                <w:sz w:val="15"/>
              </w:rPr>
              <w:t>$329.00</w:t>
            </w:r>
          </w:p>
        </w:tc>
        <w:tc>
          <w:tcPr>
            <w:tcW w:w="7153" w:type="dxa"/>
          </w:tcPr>
          <w:p>
            <w:pPr>
              <w:pStyle w:val="TableParagraph"/>
              <w:spacing w:before="17"/>
              <w:ind w:left="3331"/>
              <w:rPr>
                <w:sz w:val="15"/>
              </w:rPr>
            </w:pPr>
            <w:r>
              <w:rPr>
                <w:sz w:val="15"/>
              </w:rPr>
              <w:t>18. Lh</w:t>
            </w:r>
          </w:p>
        </w:tc>
        <w:tc>
          <w:tcPr>
            <w:tcW w:w="1186" w:type="dxa"/>
          </w:tcPr>
          <w:p>
            <w:pPr>
              <w:pStyle w:val="TableParagraph"/>
              <w:spacing w:before="17"/>
              <w:ind w:right="47"/>
              <w:jc w:val="right"/>
              <w:rPr>
                <w:sz w:val="15"/>
              </w:rPr>
            </w:pPr>
            <w:r>
              <w:rPr>
                <w:sz w:val="15"/>
              </w:rPr>
              <w:t>$166.00</w:t>
            </w:r>
          </w:p>
        </w:tc>
      </w:tr>
      <w:tr>
        <w:trPr>
          <w:trHeight w:val="209" w:hRule="atLeast"/>
        </w:trPr>
        <w:tc>
          <w:tcPr>
            <w:tcW w:w="4066" w:type="dxa"/>
          </w:tcPr>
          <w:p>
            <w:pPr>
              <w:pStyle w:val="TableParagraph"/>
              <w:spacing w:line="172" w:lineRule="exact" w:before="18"/>
              <w:ind w:left="50"/>
              <w:rPr>
                <w:sz w:val="15"/>
              </w:rPr>
            </w:pPr>
            <w:r>
              <w:rPr>
                <w:sz w:val="15"/>
              </w:rPr>
              <w:t>9. Estudio de frotis de medula ósea</w:t>
            </w:r>
          </w:p>
        </w:tc>
        <w:tc>
          <w:tcPr>
            <w:tcW w:w="4275" w:type="dxa"/>
          </w:tcPr>
          <w:p>
            <w:pPr>
              <w:pStyle w:val="TableParagraph"/>
              <w:spacing w:line="172" w:lineRule="exact" w:before="18"/>
              <w:ind w:left="385"/>
              <w:rPr>
                <w:sz w:val="15"/>
              </w:rPr>
            </w:pPr>
            <w:r>
              <w:rPr>
                <w:sz w:val="15"/>
              </w:rPr>
              <w:t>$268.00</w:t>
            </w:r>
          </w:p>
        </w:tc>
        <w:tc>
          <w:tcPr>
            <w:tcW w:w="7153" w:type="dxa"/>
          </w:tcPr>
          <w:p>
            <w:pPr>
              <w:pStyle w:val="TableParagraph"/>
              <w:spacing w:before="17"/>
              <w:ind w:left="3331"/>
              <w:rPr>
                <w:sz w:val="15"/>
              </w:rPr>
            </w:pPr>
            <w:r>
              <w:rPr>
                <w:sz w:val="15"/>
              </w:rPr>
              <w:t>19. Paratohormona</w:t>
            </w:r>
          </w:p>
        </w:tc>
        <w:tc>
          <w:tcPr>
            <w:tcW w:w="1186" w:type="dxa"/>
          </w:tcPr>
          <w:p>
            <w:pPr>
              <w:pStyle w:val="TableParagraph"/>
              <w:spacing w:before="17"/>
              <w:ind w:right="46"/>
              <w:jc w:val="right"/>
              <w:rPr>
                <w:sz w:val="15"/>
              </w:rPr>
            </w:pPr>
            <w:r>
              <w:rPr>
                <w:sz w:val="15"/>
              </w:rPr>
              <w:t>$182.00</w:t>
            </w:r>
          </w:p>
        </w:tc>
      </w:tr>
      <w:tr>
        <w:trPr>
          <w:trHeight w:val="209" w:hRule="atLeast"/>
        </w:trPr>
        <w:tc>
          <w:tcPr>
            <w:tcW w:w="4066" w:type="dxa"/>
          </w:tcPr>
          <w:p>
            <w:pPr>
              <w:pStyle w:val="TableParagraph"/>
              <w:spacing w:line="172" w:lineRule="exact" w:before="18"/>
              <w:ind w:left="50"/>
              <w:rPr>
                <w:sz w:val="15"/>
              </w:rPr>
            </w:pPr>
            <w:r>
              <w:rPr>
                <w:sz w:val="15"/>
              </w:rPr>
              <w:t>10. Ferritina</w:t>
            </w:r>
          </w:p>
        </w:tc>
        <w:tc>
          <w:tcPr>
            <w:tcW w:w="4275" w:type="dxa"/>
          </w:tcPr>
          <w:p>
            <w:pPr>
              <w:pStyle w:val="TableParagraph"/>
              <w:spacing w:line="172" w:lineRule="exact" w:before="18"/>
              <w:ind w:left="386"/>
              <w:rPr>
                <w:sz w:val="15"/>
              </w:rPr>
            </w:pPr>
            <w:r>
              <w:rPr>
                <w:sz w:val="15"/>
              </w:rPr>
              <w:t>$259.00</w:t>
            </w:r>
          </w:p>
        </w:tc>
        <w:tc>
          <w:tcPr>
            <w:tcW w:w="7153" w:type="dxa"/>
          </w:tcPr>
          <w:p>
            <w:pPr>
              <w:pStyle w:val="TableParagraph"/>
              <w:spacing w:before="17"/>
              <w:ind w:left="3331"/>
              <w:rPr>
                <w:sz w:val="15"/>
              </w:rPr>
            </w:pPr>
            <w:r>
              <w:rPr>
                <w:sz w:val="15"/>
              </w:rPr>
              <w:t>20. Progesterona</w:t>
            </w:r>
          </w:p>
        </w:tc>
        <w:tc>
          <w:tcPr>
            <w:tcW w:w="1186" w:type="dxa"/>
          </w:tcPr>
          <w:p>
            <w:pPr>
              <w:pStyle w:val="TableParagraph"/>
              <w:spacing w:before="17"/>
              <w:ind w:right="47"/>
              <w:jc w:val="right"/>
              <w:rPr>
                <w:sz w:val="15"/>
              </w:rPr>
            </w:pPr>
            <w:r>
              <w:rPr>
                <w:sz w:val="15"/>
              </w:rPr>
              <w:t>$182.00</w:t>
            </w:r>
          </w:p>
        </w:tc>
      </w:tr>
      <w:tr>
        <w:trPr>
          <w:trHeight w:val="209" w:hRule="atLeast"/>
        </w:trPr>
        <w:tc>
          <w:tcPr>
            <w:tcW w:w="4066" w:type="dxa"/>
          </w:tcPr>
          <w:p>
            <w:pPr>
              <w:pStyle w:val="TableParagraph"/>
              <w:spacing w:line="172" w:lineRule="exact" w:before="18"/>
              <w:ind w:left="50"/>
              <w:rPr>
                <w:sz w:val="15"/>
              </w:rPr>
            </w:pPr>
            <w:r>
              <w:rPr>
                <w:sz w:val="15"/>
              </w:rPr>
              <w:t>11. Fibrinógeno</w:t>
            </w:r>
          </w:p>
        </w:tc>
        <w:tc>
          <w:tcPr>
            <w:tcW w:w="4275" w:type="dxa"/>
          </w:tcPr>
          <w:p>
            <w:pPr>
              <w:pStyle w:val="TableParagraph"/>
              <w:spacing w:line="172" w:lineRule="exact" w:before="18"/>
              <w:ind w:left="385"/>
              <w:rPr>
                <w:sz w:val="15"/>
              </w:rPr>
            </w:pPr>
            <w:r>
              <w:rPr>
                <w:sz w:val="15"/>
              </w:rPr>
              <w:t>$132.00</w:t>
            </w:r>
          </w:p>
        </w:tc>
        <w:tc>
          <w:tcPr>
            <w:tcW w:w="7153" w:type="dxa"/>
          </w:tcPr>
          <w:p>
            <w:pPr>
              <w:pStyle w:val="TableParagraph"/>
              <w:spacing w:before="17"/>
              <w:ind w:left="3331"/>
              <w:rPr>
                <w:sz w:val="15"/>
              </w:rPr>
            </w:pPr>
            <w:r>
              <w:rPr>
                <w:sz w:val="15"/>
              </w:rPr>
              <w:t>21. Estrógenos</w:t>
            </w:r>
          </w:p>
        </w:tc>
        <w:tc>
          <w:tcPr>
            <w:tcW w:w="1186" w:type="dxa"/>
          </w:tcPr>
          <w:p>
            <w:pPr>
              <w:pStyle w:val="TableParagraph"/>
              <w:spacing w:before="17"/>
              <w:ind w:right="47"/>
              <w:jc w:val="right"/>
              <w:rPr>
                <w:sz w:val="15"/>
              </w:rPr>
            </w:pPr>
            <w:r>
              <w:rPr>
                <w:sz w:val="15"/>
              </w:rPr>
              <w:t>$276.00</w:t>
            </w:r>
          </w:p>
        </w:tc>
      </w:tr>
      <w:tr>
        <w:trPr>
          <w:trHeight w:val="209" w:hRule="atLeast"/>
        </w:trPr>
        <w:tc>
          <w:tcPr>
            <w:tcW w:w="4066" w:type="dxa"/>
          </w:tcPr>
          <w:p>
            <w:pPr>
              <w:pStyle w:val="TableParagraph"/>
              <w:spacing w:line="172" w:lineRule="exact" w:before="18"/>
              <w:ind w:left="50"/>
              <w:rPr>
                <w:sz w:val="15"/>
              </w:rPr>
            </w:pPr>
            <w:r>
              <w:rPr>
                <w:sz w:val="15"/>
              </w:rPr>
              <w:t>12. Folatos</w:t>
            </w:r>
          </w:p>
        </w:tc>
        <w:tc>
          <w:tcPr>
            <w:tcW w:w="4275" w:type="dxa"/>
          </w:tcPr>
          <w:p>
            <w:pPr>
              <w:pStyle w:val="TableParagraph"/>
              <w:spacing w:line="172" w:lineRule="exact" w:before="18"/>
              <w:ind w:left="386"/>
              <w:rPr>
                <w:sz w:val="15"/>
              </w:rPr>
            </w:pPr>
            <w:r>
              <w:rPr>
                <w:sz w:val="15"/>
              </w:rPr>
              <w:t>$126.00</w:t>
            </w:r>
          </w:p>
        </w:tc>
        <w:tc>
          <w:tcPr>
            <w:tcW w:w="7153" w:type="dxa"/>
          </w:tcPr>
          <w:p>
            <w:pPr>
              <w:pStyle w:val="TableParagraph"/>
              <w:spacing w:before="17"/>
              <w:ind w:left="3331"/>
              <w:rPr>
                <w:sz w:val="15"/>
              </w:rPr>
            </w:pPr>
            <w:r>
              <w:rPr>
                <w:sz w:val="15"/>
              </w:rPr>
              <w:t>22. Prolactina</w:t>
            </w:r>
          </w:p>
        </w:tc>
        <w:tc>
          <w:tcPr>
            <w:tcW w:w="1186" w:type="dxa"/>
          </w:tcPr>
          <w:p>
            <w:pPr>
              <w:pStyle w:val="TableParagraph"/>
              <w:spacing w:before="17"/>
              <w:ind w:right="47"/>
              <w:jc w:val="right"/>
              <w:rPr>
                <w:sz w:val="15"/>
              </w:rPr>
            </w:pPr>
            <w:r>
              <w:rPr>
                <w:sz w:val="15"/>
              </w:rPr>
              <w:t>$182.00</w:t>
            </w:r>
          </w:p>
        </w:tc>
      </w:tr>
      <w:tr>
        <w:trPr>
          <w:trHeight w:val="209" w:hRule="atLeast"/>
        </w:trPr>
        <w:tc>
          <w:tcPr>
            <w:tcW w:w="4066" w:type="dxa"/>
          </w:tcPr>
          <w:p>
            <w:pPr>
              <w:pStyle w:val="TableParagraph"/>
              <w:spacing w:line="172" w:lineRule="exact" w:before="18"/>
              <w:ind w:left="50"/>
              <w:rPr>
                <w:sz w:val="15"/>
              </w:rPr>
            </w:pPr>
            <w:r>
              <w:rPr>
                <w:sz w:val="15"/>
              </w:rPr>
              <w:t>13. Frotis de sangre periférica</w:t>
            </w:r>
          </w:p>
        </w:tc>
        <w:tc>
          <w:tcPr>
            <w:tcW w:w="4275" w:type="dxa"/>
          </w:tcPr>
          <w:p>
            <w:pPr>
              <w:pStyle w:val="TableParagraph"/>
              <w:spacing w:line="172" w:lineRule="exact" w:before="18"/>
              <w:ind w:left="471"/>
              <w:rPr>
                <w:sz w:val="15"/>
              </w:rPr>
            </w:pPr>
            <w:r>
              <w:rPr>
                <w:sz w:val="15"/>
              </w:rPr>
              <w:t>$93.00</w:t>
            </w:r>
          </w:p>
        </w:tc>
        <w:tc>
          <w:tcPr>
            <w:tcW w:w="7153" w:type="dxa"/>
          </w:tcPr>
          <w:p>
            <w:pPr>
              <w:pStyle w:val="TableParagraph"/>
              <w:spacing w:before="17"/>
              <w:ind w:left="3331"/>
              <w:rPr>
                <w:sz w:val="15"/>
              </w:rPr>
            </w:pPr>
            <w:r>
              <w:rPr>
                <w:sz w:val="15"/>
              </w:rPr>
              <w:t>23. T captación</w:t>
            </w:r>
          </w:p>
        </w:tc>
        <w:tc>
          <w:tcPr>
            <w:tcW w:w="1186" w:type="dxa"/>
          </w:tcPr>
          <w:p>
            <w:pPr>
              <w:pStyle w:val="TableParagraph"/>
              <w:spacing w:before="17"/>
              <w:ind w:right="47"/>
              <w:jc w:val="right"/>
              <w:rPr>
                <w:sz w:val="15"/>
              </w:rPr>
            </w:pPr>
            <w:r>
              <w:rPr>
                <w:sz w:val="15"/>
              </w:rPr>
              <w:t>$188.00</w:t>
            </w:r>
          </w:p>
        </w:tc>
      </w:tr>
      <w:tr>
        <w:trPr>
          <w:trHeight w:val="209" w:hRule="atLeast"/>
        </w:trPr>
        <w:tc>
          <w:tcPr>
            <w:tcW w:w="4066" w:type="dxa"/>
          </w:tcPr>
          <w:p>
            <w:pPr>
              <w:pStyle w:val="TableParagraph"/>
              <w:spacing w:line="172" w:lineRule="exact" w:before="18"/>
              <w:ind w:left="50"/>
              <w:rPr>
                <w:sz w:val="15"/>
              </w:rPr>
            </w:pPr>
            <w:r>
              <w:rPr>
                <w:sz w:val="15"/>
              </w:rPr>
              <w:t>14. Frotis de medula ósea</w:t>
            </w:r>
          </w:p>
        </w:tc>
        <w:tc>
          <w:tcPr>
            <w:tcW w:w="4275" w:type="dxa"/>
          </w:tcPr>
          <w:p>
            <w:pPr>
              <w:pStyle w:val="TableParagraph"/>
              <w:spacing w:line="172" w:lineRule="exact" w:before="18"/>
              <w:ind w:left="385"/>
              <w:rPr>
                <w:sz w:val="15"/>
              </w:rPr>
            </w:pPr>
            <w:r>
              <w:rPr>
                <w:sz w:val="15"/>
              </w:rPr>
              <w:t>$179.00</w:t>
            </w:r>
          </w:p>
        </w:tc>
        <w:tc>
          <w:tcPr>
            <w:tcW w:w="7153" w:type="dxa"/>
          </w:tcPr>
          <w:p>
            <w:pPr>
              <w:pStyle w:val="TableParagraph"/>
              <w:spacing w:before="17"/>
              <w:ind w:left="3331"/>
              <w:rPr>
                <w:sz w:val="15"/>
              </w:rPr>
            </w:pPr>
            <w:r>
              <w:rPr>
                <w:sz w:val="15"/>
              </w:rPr>
              <w:t>24. T3 libre</w:t>
            </w:r>
          </w:p>
        </w:tc>
        <w:tc>
          <w:tcPr>
            <w:tcW w:w="1186" w:type="dxa"/>
          </w:tcPr>
          <w:p>
            <w:pPr>
              <w:pStyle w:val="TableParagraph"/>
              <w:spacing w:before="17"/>
              <w:ind w:right="47"/>
              <w:jc w:val="right"/>
              <w:rPr>
                <w:sz w:val="15"/>
              </w:rPr>
            </w:pPr>
            <w:r>
              <w:rPr>
                <w:sz w:val="15"/>
              </w:rPr>
              <w:t>$127.00</w:t>
            </w:r>
          </w:p>
        </w:tc>
      </w:tr>
      <w:tr>
        <w:trPr>
          <w:trHeight w:val="209" w:hRule="atLeast"/>
        </w:trPr>
        <w:tc>
          <w:tcPr>
            <w:tcW w:w="4066" w:type="dxa"/>
          </w:tcPr>
          <w:p>
            <w:pPr>
              <w:pStyle w:val="TableParagraph"/>
              <w:spacing w:line="172" w:lineRule="exact" w:before="18"/>
              <w:ind w:left="50"/>
              <w:rPr>
                <w:sz w:val="15"/>
              </w:rPr>
            </w:pPr>
            <w:r>
              <w:rPr>
                <w:sz w:val="15"/>
              </w:rPr>
              <w:t>15. Grupo sanguíneo ABO y RH</w:t>
            </w:r>
          </w:p>
        </w:tc>
        <w:tc>
          <w:tcPr>
            <w:tcW w:w="4275" w:type="dxa"/>
          </w:tcPr>
          <w:p>
            <w:pPr>
              <w:pStyle w:val="TableParagraph"/>
              <w:spacing w:line="172" w:lineRule="exact" w:before="18"/>
              <w:ind w:left="472"/>
              <w:rPr>
                <w:sz w:val="15"/>
              </w:rPr>
            </w:pPr>
            <w:r>
              <w:rPr>
                <w:sz w:val="15"/>
              </w:rPr>
              <w:t>$71.00</w:t>
            </w:r>
          </w:p>
        </w:tc>
        <w:tc>
          <w:tcPr>
            <w:tcW w:w="7153" w:type="dxa"/>
          </w:tcPr>
          <w:p>
            <w:pPr>
              <w:pStyle w:val="TableParagraph"/>
              <w:spacing w:before="17"/>
              <w:ind w:left="3331"/>
              <w:rPr>
                <w:sz w:val="15"/>
              </w:rPr>
            </w:pPr>
            <w:r>
              <w:rPr>
                <w:sz w:val="15"/>
              </w:rPr>
              <w:t>25. T3 total</w:t>
            </w:r>
          </w:p>
        </w:tc>
        <w:tc>
          <w:tcPr>
            <w:tcW w:w="1186" w:type="dxa"/>
          </w:tcPr>
          <w:p>
            <w:pPr>
              <w:pStyle w:val="TableParagraph"/>
              <w:spacing w:before="17"/>
              <w:ind w:right="48"/>
              <w:jc w:val="right"/>
              <w:rPr>
                <w:sz w:val="15"/>
              </w:rPr>
            </w:pPr>
            <w:r>
              <w:rPr>
                <w:sz w:val="15"/>
              </w:rPr>
              <w:t>$110.00</w:t>
            </w:r>
          </w:p>
        </w:tc>
      </w:tr>
      <w:tr>
        <w:trPr>
          <w:trHeight w:val="209" w:hRule="atLeast"/>
        </w:trPr>
        <w:tc>
          <w:tcPr>
            <w:tcW w:w="4066" w:type="dxa"/>
          </w:tcPr>
          <w:p>
            <w:pPr>
              <w:pStyle w:val="TableParagraph"/>
              <w:spacing w:line="172" w:lineRule="exact" w:before="18"/>
              <w:ind w:left="50"/>
              <w:rPr>
                <w:sz w:val="15"/>
              </w:rPr>
            </w:pPr>
            <w:r>
              <w:rPr>
                <w:sz w:val="15"/>
              </w:rPr>
              <w:t>16. Haptoglobinas</w:t>
            </w:r>
          </w:p>
        </w:tc>
        <w:tc>
          <w:tcPr>
            <w:tcW w:w="4275" w:type="dxa"/>
          </w:tcPr>
          <w:p>
            <w:pPr>
              <w:pStyle w:val="TableParagraph"/>
              <w:spacing w:line="172" w:lineRule="exact" w:before="18"/>
              <w:ind w:left="386"/>
              <w:rPr>
                <w:sz w:val="15"/>
              </w:rPr>
            </w:pPr>
            <w:r>
              <w:rPr>
                <w:sz w:val="15"/>
              </w:rPr>
              <w:t>$331.00</w:t>
            </w:r>
          </w:p>
        </w:tc>
        <w:tc>
          <w:tcPr>
            <w:tcW w:w="7153" w:type="dxa"/>
          </w:tcPr>
          <w:p>
            <w:pPr>
              <w:pStyle w:val="TableParagraph"/>
              <w:spacing w:before="17"/>
              <w:ind w:left="3331"/>
              <w:rPr>
                <w:sz w:val="15"/>
              </w:rPr>
            </w:pPr>
            <w:r>
              <w:rPr>
                <w:sz w:val="15"/>
              </w:rPr>
              <w:t>26. T4 libre</w:t>
            </w:r>
          </w:p>
        </w:tc>
        <w:tc>
          <w:tcPr>
            <w:tcW w:w="1186" w:type="dxa"/>
          </w:tcPr>
          <w:p>
            <w:pPr>
              <w:pStyle w:val="TableParagraph"/>
              <w:spacing w:before="17"/>
              <w:ind w:right="47"/>
              <w:jc w:val="right"/>
              <w:rPr>
                <w:sz w:val="15"/>
              </w:rPr>
            </w:pPr>
            <w:r>
              <w:rPr>
                <w:sz w:val="15"/>
              </w:rPr>
              <w:t>$127.00</w:t>
            </w:r>
          </w:p>
        </w:tc>
      </w:tr>
      <w:tr>
        <w:trPr>
          <w:trHeight w:val="209" w:hRule="atLeast"/>
        </w:trPr>
        <w:tc>
          <w:tcPr>
            <w:tcW w:w="4066" w:type="dxa"/>
          </w:tcPr>
          <w:p>
            <w:pPr>
              <w:pStyle w:val="TableParagraph"/>
              <w:spacing w:line="172" w:lineRule="exact" w:before="18"/>
              <w:ind w:left="50"/>
              <w:rPr>
                <w:sz w:val="15"/>
              </w:rPr>
            </w:pPr>
            <w:r>
              <w:rPr>
                <w:sz w:val="15"/>
              </w:rPr>
              <w:t>17. Hemoglobina glucosilada</w:t>
            </w:r>
          </w:p>
        </w:tc>
        <w:tc>
          <w:tcPr>
            <w:tcW w:w="4275" w:type="dxa"/>
          </w:tcPr>
          <w:p>
            <w:pPr>
              <w:pStyle w:val="TableParagraph"/>
              <w:spacing w:line="172" w:lineRule="exact" w:before="18"/>
              <w:ind w:left="385"/>
              <w:rPr>
                <w:sz w:val="15"/>
              </w:rPr>
            </w:pPr>
            <w:r>
              <w:rPr>
                <w:sz w:val="15"/>
              </w:rPr>
              <w:t>$166.00</w:t>
            </w:r>
          </w:p>
        </w:tc>
        <w:tc>
          <w:tcPr>
            <w:tcW w:w="7153" w:type="dxa"/>
          </w:tcPr>
          <w:p>
            <w:pPr>
              <w:pStyle w:val="TableParagraph"/>
              <w:spacing w:before="17"/>
              <w:ind w:left="3331"/>
              <w:rPr>
                <w:sz w:val="15"/>
              </w:rPr>
            </w:pPr>
            <w:r>
              <w:rPr>
                <w:sz w:val="15"/>
              </w:rPr>
              <w:t>27. T4 total</w:t>
            </w:r>
          </w:p>
        </w:tc>
        <w:tc>
          <w:tcPr>
            <w:tcW w:w="1186" w:type="dxa"/>
          </w:tcPr>
          <w:p>
            <w:pPr>
              <w:pStyle w:val="TableParagraph"/>
              <w:spacing w:before="17"/>
              <w:ind w:right="48"/>
              <w:jc w:val="right"/>
              <w:rPr>
                <w:sz w:val="15"/>
              </w:rPr>
            </w:pPr>
            <w:r>
              <w:rPr>
                <w:sz w:val="15"/>
              </w:rPr>
              <w:t>$110.00</w:t>
            </w:r>
          </w:p>
        </w:tc>
      </w:tr>
      <w:tr>
        <w:trPr>
          <w:trHeight w:val="209" w:hRule="atLeast"/>
        </w:trPr>
        <w:tc>
          <w:tcPr>
            <w:tcW w:w="4066" w:type="dxa"/>
          </w:tcPr>
          <w:p>
            <w:pPr>
              <w:pStyle w:val="TableParagraph"/>
              <w:spacing w:line="172" w:lineRule="exact" w:before="18"/>
              <w:ind w:left="50"/>
              <w:rPr>
                <w:sz w:val="15"/>
              </w:rPr>
            </w:pPr>
            <w:r>
              <w:rPr>
                <w:sz w:val="15"/>
              </w:rPr>
              <w:t>18. Hemoglobina libre en plasma</w:t>
            </w:r>
          </w:p>
        </w:tc>
        <w:tc>
          <w:tcPr>
            <w:tcW w:w="4275" w:type="dxa"/>
          </w:tcPr>
          <w:p>
            <w:pPr>
              <w:pStyle w:val="TableParagraph"/>
              <w:spacing w:line="172" w:lineRule="exact" w:before="18"/>
              <w:ind w:left="386"/>
              <w:rPr>
                <w:sz w:val="15"/>
              </w:rPr>
            </w:pPr>
            <w:r>
              <w:rPr>
                <w:sz w:val="15"/>
              </w:rPr>
              <w:t>$221.00</w:t>
            </w:r>
          </w:p>
        </w:tc>
        <w:tc>
          <w:tcPr>
            <w:tcW w:w="7153" w:type="dxa"/>
          </w:tcPr>
          <w:p>
            <w:pPr>
              <w:pStyle w:val="TableParagraph"/>
              <w:spacing w:before="17"/>
              <w:ind w:left="3331"/>
              <w:rPr>
                <w:sz w:val="15"/>
              </w:rPr>
            </w:pPr>
            <w:r>
              <w:rPr>
                <w:sz w:val="15"/>
              </w:rPr>
              <w:t>28. Testosterona</w:t>
            </w:r>
          </w:p>
        </w:tc>
        <w:tc>
          <w:tcPr>
            <w:tcW w:w="1186" w:type="dxa"/>
          </w:tcPr>
          <w:p>
            <w:pPr>
              <w:pStyle w:val="TableParagraph"/>
              <w:spacing w:before="17"/>
              <w:ind w:right="47"/>
              <w:jc w:val="right"/>
              <w:rPr>
                <w:sz w:val="15"/>
              </w:rPr>
            </w:pPr>
            <w:r>
              <w:rPr>
                <w:sz w:val="15"/>
              </w:rPr>
              <w:t>$182.00</w:t>
            </w:r>
          </w:p>
        </w:tc>
      </w:tr>
      <w:tr>
        <w:trPr>
          <w:trHeight w:val="209" w:hRule="atLeast"/>
        </w:trPr>
        <w:tc>
          <w:tcPr>
            <w:tcW w:w="4066" w:type="dxa"/>
          </w:tcPr>
          <w:p>
            <w:pPr>
              <w:pStyle w:val="TableParagraph"/>
              <w:spacing w:line="172" w:lineRule="exact" w:before="18"/>
              <w:ind w:left="50"/>
              <w:rPr>
                <w:sz w:val="15"/>
              </w:rPr>
            </w:pPr>
            <w:r>
              <w:rPr>
                <w:sz w:val="15"/>
              </w:rPr>
              <w:t>19. Hemosiderina en orina</w:t>
            </w:r>
          </w:p>
        </w:tc>
        <w:tc>
          <w:tcPr>
            <w:tcW w:w="4275" w:type="dxa"/>
          </w:tcPr>
          <w:p>
            <w:pPr>
              <w:pStyle w:val="TableParagraph"/>
              <w:spacing w:line="172" w:lineRule="exact" w:before="18"/>
              <w:ind w:left="386"/>
              <w:rPr>
                <w:sz w:val="15"/>
              </w:rPr>
            </w:pPr>
            <w:r>
              <w:rPr>
                <w:sz w:val="15"/>
              </w:rPr>
              <w:t>$364.00</w:t>
            </w:r>
          </w:p>
        </w:tc>
        <w:tc>
          <w:tcPr>
            <w:tcW w:w="7153" w:type="dxa"/>
          </w:tcPr>
          <w:p>
            <w:pPr>
              <w:pStyle w:val="TableParagraph"/>
              <w:spacing w:before="17"/>
              <w:ind w:left="3331"/>
              <w:rPr>
                <w:sz w:val="15"/>
              </w:rPr>
            </w:pPr>
            <w:r>
              <w:rPr>
                <w:sz w:val="15"/>
              </w:rPr>
              <w:t>29. Testosterona libre</w:t>
            </w:r>
          </w:p>
        </w:tc>
        <w:tc>
          <w:tcPr>
            <w:tcW w:w="1186" w:type="dxa"/>
          </w:tcPr>
          <w:p>
            <w:pPr>
              <w:pStyle w:val="TableParagraph"/>
              <w:spacing w:before="17"/>
              <w:ind w:right="47"/>
              <w:jc w:val="right"/>
              <w:rPr>
                <w:sz w:val="15"/>
              </w:rPr>
            </w:pPr>
            <w:r>
              <w:rPr>
                <w:sz w:val="15"/>
              </w:rPr>
              <w:t>$320.00</w:t>
            </w:r>
          </w:p>
        </w:tc>
      </w:tr>
      <w:tr>
        <w:trPr>
          <w:trHeight w:val="209" w:hRule="atLeast"/>
        </w:trPr>
        <w:tc>
          <w:tcPr>
            <w:tcW w:w="4066" w:type="dxa"/>
          </w:tcPr>
          <w:p>
            <w:pPr>
              <w:pStyle w:val="TableParagraph"/>
              <w:spacing w:line="172" w:lineRule="exact" w:before="18"/>
              <w:ind w:left="50"/>
              <w:rPr>
                <w:sz w:val="15"/>
              </w:rPr>
            </w:pPr>
            <w:r>
              <w:rPr>
                <w:sz w:val="15"/>
              </w:rPr>
              <w:t>20. Leucocitos</w:t>
            </w:r>
          </w:p>
        </w:tc>
        <w:tc>
          <w:tcPr>
            <w:tcW w:w="4275" w:type="dxa"/>
          </w:tcPr>
          <w:p>
            <w:pPr>
              <w:pStyle w:val="TableParagraph"/>
              <w:spacing w:line="172" w:lineRule="exact" w:before="18"/>
              <w:ind w:left="471"/>
              <w:rPr>
                <w:sz w:val="15"/>
              </w:rPr>
            </w:pPr>
            <w:r>
              <w:rPr>
                <w:sz w:val="15"/>
              </w:rPr>
              <w:t>$71.00</w:t>
            </w:r>
          </w:p>
        </w:tc>
        <w:tc>
          <w:tcPr>
            <w:tcW w:w="7153" w:type="dxa"/>
          </w:tcPr>
          <w:p>
            <w:pPr>
              <w:pStyle w:val="TableParagraph"/>
              <w:spacing w:before="17"/>
              <w:ind w:left="3331"/>
              <w:rPr>
                <w:sz w:val="15"/>
              </w:rPr>
            </w:pPr>
            <w:r>
              <w:rPr>
                <w:sz w:val="15"/>
              </w:rPr>
              <w:t>30. TSH</w:t>
            </w:r>
          </w:p>
        </w:tc>
        <w:tc>
          <w:tcPr>
            <w:tcW w:w="1186" w:type="dxa"/>
          </w:tcPr>
          <w:p>
            <w:pPr>
              <w:pStyle w:val="TableParagraph"/>
              <w:spacing w:before="17"/>
              <w:ind w:right="46"/>
              <w:jc w:val="right"/>
              <w:rPr>
                <w:sz w:val="15"/>
              </w:rPr>
            </w:pPr>
            <w:r>
              <w:rPr>
                <w:sz w:val="15"/>
              </w:rPr>
              <w:t>$127.00</w:t>
            </w:r>
          </w:p>
        </w:tc>
      </w:tr>
      <w:tr>
        <w:trPr>
          <w:trHeight w:val="209" w:hRule="atLeast"/>
        </w:trPr>
        <w:tc>
          <w:tcPr>
            <w:tcW w:w="4066" w:type="dxa"/>
          </w:tcPr>
          <w:p>
            <w:pPr>
              <w:pStyle w:val="TableParagraph"/>
              <w:spacing w:line="172" w:lineRule="exact" w:before="18"/>
              <w:ind w:left="50"/>
              <w:rPr>
                <w:sz w:val="15"/>
              </w:rPr>
            </w:pPr>
            <w:r>
              <w:rPr>
                <w:sz w:val="15"/>
              </w:rPr>
              <w:t>21. Plasminogeno</w:t>
            </w:r>
          </w:p>
        </w:tc>
        <w:tc>
          <w:tcPr>
            <w:tcW w:w="4275" w:type="dxa"/>
          </w:tcPr>
          <w:p>
            <w:pPr>
              <w:pStyle w:val="TableParagraph"/>
              <w:spacing w:line="172" w:lineRule="exact" w:before="18"/>
              <w:ind w:left="386"/>
              <w:rPr>
                <w:sz w:val="15"/>
              </w:rPr>
            </w:pPr>
            <w:r>
              <w:rPr>
                <w:sz w:val="15"/>
              </w:rPr>
              <w:t>$402.00</w:t>
            </w:r>
          </w:p>
        </w:tc>
        <w:tc>
          <w:tcPr>
            <w:tcW w:w="7153" w:type="dxa"/>
          </w:tcPr>
          <w:p>
            <w:pPr>
              <w:pStyle w:val="TableParagraph"/>
              <w:spacing w:before="17"/>
              <w:ind w:left="3331"/>
              <w:rPr>
                <w:sz w:val="15"/>
              </w:rPr>
            </w:pPr>
            <w:r>
              <w:rPr>
                <w:sz w:val="15"/>
              </w:rPr>
              <w:t>g) Inmunología:</w:t>
            </w:r>
          </w:p>
        </w:tc>
        <w:tc>
          <w:tcPr>
            <w:tcW w:w="1186" w:type="dxa"/>
          </w:tcPr>
          <w:p>
            <w:pPr>
              <w:pStyle w:val="TableParagraph"/>
              <w:rPr>
                <w:rFonts w:ascii="Times New Roman"/>
                <w:sz w:val="14"/>
              </w:rPr>
            </w:pPr>
          </w:p>
        </w:tc>
      </w:tr>
      <w:tr>
        <w:trPr>
          <w:trHeight w:val="209" w:hRule="atLeast"/>
        </w:trPr>
        <w:tc>
          <w:tcPr>
            <w:tcW w:w="4066" w:type="dxa"/>
          </w:tcPr>
          <w:p>
            <w:pPr>
              <w:pStyle w:val="TableParagraph"/>
              <w:spacing w:line="172" w:lineRule="exact" w:before="18"/>
              <w:ind w:left="50"/>
              <w:rPr>
                <w:sz w:val="15"/>
              </w:rPr>
            </w:pPr>
            <w:r>
              <w:rPr>
                <w:sz w:val="15"/>
              </w:rPr>
              <w:t>22. Proteína c</w:t>
            </w:r>
          </w:p>
        </w:tc>
        <w:tc>
          <w:tcPr>
            <w:tcW w:w="4275" w:type="dxa"/>
          </w:tcPr>
          <w:p>
            <w:pPr>
              <w:pStyle w:val="TableParagraph"/>
              <w:spacing w:line="172" w:lineRule="exact" w:before="18"/>
              <w:ind w:left="386"/>
              <w:rPr>
                <w:sz w:val="15"/>
              </w:rPr>
            </w:pPr>
            <w:r>
              <w:rPr>
                <w:sz w:val="15"/>
              </w:rPr>
              <w:t>$116.00</w:t>
            </w:r>
          </w:p>
        </w:tc>
        <w:tc>
          <w:tcPr>
            <w:tcW w:w="7153" w:type="dxa"/>
          </w:tcPr>
          <w:p>
            <w:pPr>
              <w:pStyle w:val="TableParagraph"/>
              <w:spacing w:before="17"/>
              <w:ind w:left="3331"/>
              <w:rPr>
                <w:sz w:val="15"/>
              </w:rPr>
            </w:pPr>
            <w:r>
              <w:rPr>
                <w:sz w:val="15"/>
              </w:rPr>
              <w:t>1. Ana´s</w:t>
            </w:r>
          </w:p>
        </w:tc>
        <w:tc>
          <w:tcPr>
            <w:tcW w:w="1186" w:type="dxa"/>
          </w:tcPr>
          <w:p>
            <w:pPr>
              <w:pStyle w:val="TableParagraph"/>
              <w:spacing w:before="17"/>
              <w:ind w:right="46"/>
              <w:jc w:val="right"/>
              <w:rPr>
                <w:sz w:val="15"/>
              </w:rPr>
            </w:pPr>
            <w:r>
              <w:rPr>
                <w:sz w:val="15"/>
              </w:rPr>
              <w:t>$198.00</w:t>
            </w:r>
          </w:p>
        </w:tc>
      </w:tr>
      <w:tr>
        <w:trPr>
          <w:trHeight w:val="209" w:hRule="atLeast"/>
        </w:trPr>
        <w:tc>
          <w:tcPr>
            <w:tcW w:w="4066" w:type="dxa"/>
          </w:tcPr>
          <w:p>
            <w:pPr>
              <w:pStyle w:val="TableParagraph"/>
              <w:spacing w:line="172" w:lineRule="exact" w:before="18"/>
              <w:ind w:left="50"/>
              <w:rPr>
                <w:sz w:val="15"/>
              </w:rPr>
            </w:pPr>
            <w:r>
              <w:rPr>
                <w:sz w:val="15"/>
              </w:rPr>
              <w:t>23. Proteína s</w:t>
            </w:r>
          </w:p>
        </w:tc>
        <w:tc>
          <w:tcPr>
            <w:tcW w:w="4275" w:type="dxa"/>
          </w:tcPr>
          <w:p>
            <w:pPr>
              <w:pStyle w:val="TableParagraph"/>
              <w:spacing w:line="172" w:lineRule="exact" w:before="18"/>
              <w:ind w:left="386"/>
              <w:rPr>
                <w:sz w:val="15"/>
              </w:rPr>
            </w:pPr>
            <w:r>
              <w:rPr>
                <w:sz w:val="15"/>
              </w:rPr>
              <w:t>$386.00</w:t>
            </w:r>
          </w:p>
        </w:tc>
        <w:tc>
          <w:tcPr>
            <w:tcW w:w="7153" w:type="dxa"/>
          </w:tcPr>
          <w:p>
            <w:pPr>
              <w:pStyle w:val="TableParagraph"/>
              <w:spacing w:before="17"/>
              <w:ind w:left="3331"/>
              <w:rPr>
                <w:sz w:val="15"/>
              </w:rPr>
            </w:pPr>
            <w:r>
              <w:rPr>
                <w:sz w:val="15"/>
              </w:rPr>
              <w:t>2. Anticardiolipinas</w:t>
            </w:r>
          </w:p>
        </w:tc>
        <w:tc>
          <w:tcPr>
            <w:tcW w:w="1186" w:type="dxa"/>
          </w:tcPr>
          <w:p>
            <w:pPr>
              <w:pStyle w:val="TableParagraph"/>
              <w:spacing w:before="17"/>
              <w:ind w:right="47"/>
              <w:jc w:val="right"/>
              <w:rPr>
                <w:sz w:val="15"/>
              </w:rPr>
            </w:pPr>
            <w:r>
              <w:rPr>
                <w:sz w:val="15"/>
              </w:rPr>
              <w:t>$273.00</w:t>
            </w:r>
          </w:p>
        </w:tc>
      </w:tr>
      <w:tr>
        <w:trPr>
          <w:trHeight w:val="209" w:hRule="atLeast"/>
        </w:trPr>
        <w:tc>
          <w:tcPr>
            <w:tcW w:w="4066" w:type="dxa"/>
          </w:tcPr>
          <w:p>
            <w:pPr>
              <w:pStyle w:val="TableParagraph"/>
              <w:spacing w:line="172" w:lineRule="exact" w:before="18"/>
              <w:ind w:left="50"/>
              <w:rPr>
                <w:sz w:val="15"/>
              </w:rPr>
            </w:pPr>
            <w:r>
              <w:rPr>
                <w:sz w:val="15"/>
              </w:rPr>
              <w:t>24. Prueba acida de ham</w:t>
            </w:r>
          </w:p>
        </w:tc>
        <w:tc>
          <w:tcPr>
            <w:tcW w:w="4275" w:type="dxa"/>
          </w:tcPr>
          <w:p>
            <w:pPr>
              <w:pStyle w:val="TableParagraph"/>
              <w:spacing w:line="172" w:lineRule="exact" w:before="18"/>
              <w:ind w:left="386"/>
              <w:rPr>
                <w:sz w:val="15"/>
              </w:rPr>
            </w:pPr>
            <w:r>
              <w:rPr>
                <w:sz w:val="15"/>
              </w:rPr>
              <w:t>$122.00</w:t>
            </w:r>
          </w:p>
        </w:tc>
        <w:tc>
          <w:tcPr>
            <w:tcW w:w="7153" w:type="dxa"/>
          </w:tcPr>
          <w:p>
            <w:pPr>
              <w:pStyle w:val="TableParagraph"/>
              <w:spacing w:before="17"/>
              <w:ind w:left="3331"/>
              <w:rPr>
                <w:sz w:val="15"/>
              </w:rPr>
            </w:pPr>
            <w:r>
              <w:rPr>
                <w:sz w:val="15"/>
              </w:rPr>
              <w:t>3. Anticardiolipinas IGG</w:t>
            </w:r>
          </w:p>
        </w:tc>
        <w:tc>
          <w:tcPr>
            <w:tcW w:w="1186" w:type="dxa"/>
          </w:tcPr>
          <w:p>
            <w:pPr>
              <w:pStyle w:val="TableParagraph"/>
              <w:spacing w:before="17"/>
              <w:ind w:right="47"/>
              <w:jc w:val="right"/>
              <w:rPr>
                <w:sz w:val="15"/>
              </w:rPr>
            </w:pPr>
            <w:r>
              <w:rPr>
                <w:sz w:val="15"/>
              </w:rPr>
              <w:t>$273.00</w:t>
            </w:r>
          </w:p>
        </w:tc>
      </w:tr>
      <w:tr>
        <w:trPr>
          <w:trHeight w:val="209" w:hRule="atLeast"/>
        </w:trPr>
        <w:tc>
          <w:tcPr>
            <w:tcW w:w="4066" w:type="dxa"/>
          </w:tcPr>
          <w:p>
            <w:pPr>
              <w:pStyle w:val="TableParagraph"/>
              <w:spacing w:line="172" w:lineRule="exact" w:before="18"/>
              <w:ind w:left="50"/>
              <w:rPr>
                <w:sz w:val="15"/>
              </w:rPr>
            </w:pPr>
            <w:r>
              <w:rPr>
                <w:sz w:val="15"/>
              </w:rPr>
              <w:t>25. Prueba de sacarosa</w:t>
            </w:r>
          </w:p>
        </w:tc>
        <w:tc>
          <w:tcPr>
            <w:tcW w:w="4275" w:type="dxa"/>
          </w:tcPr>
          <w:p>
            <w:pPr>
              <w:pStyle w:val="TableParagraph"/>
              <w:spacing w:line="172" w:lineRule="exact" w:before="18"/>
              <w:ind w:left="386"/>
              <w:rPr>
                <w:sz w:val="15"/>
              </w:rPr>
            </w:pPr>
            <w:r>
              <w:rPr>
                <w:sz w:val="15"/>
              </w:rPr>
              <w:t>$128.00</w:t>
            </w:r>
          </w:p>
        </w:tc>
        <w:tc>
          <w:tcPr>
            <w:tcW w:w="7153" w:type="dxa"/>
          </w:tcPr>
          <w:p>
            <w:pPr>
              <w:pStyle w:val="TableParagraph"/>
              <w:spacing w:before="17"/>
              <w:ind w:left="3331"/>
              <w:rPr>
                <w:sz w:val="15"/>
              </w:rPr>
            </w:pPr>
            <w:r>
              <w:rPr>
                <w:sz w:val="15"/>
              </w:rPr>
              <w:t>4. Anticardiolipinas IGM</w:t>
            </w:r>
          </w:p>
        </w:tc>
        <w:tc>
          <w:tcPr>
            <w:tcW w:w="1186" w:type="dxa"/>
          </w:tcPr>
          <w:p>
            <w:pPr>
              <w:pStyle w:val="TableParagraph"/>
              <w:spacing w:before="17"/>
              <w:ind w:right="47"/>
              <w:jc w:val="right"/>
              <w:rPr>
                <w:sz w:val="15"/>
              </w:rPr>
            </w:pPr>
            <w:r>
              <w:rPr>
                <w:sz w:val="15"/>
              </w:rPr>
              <w:t>$273.00</w:t>
            </w:r>
          </w:p>
        </w:tc>
      </w:tr>
      <w:tr>
        <w:trPr>
          <w:trHeight w:val="209" w:hRule="atLeast"/>
        </w:trPr>
        <w:tc>
          <w:tcPr>
            <w:tcW w:w="4066" w:type="dxa"/>
          </w:tcPr>
          <w:p>
            <w:pPr>
              <w:pStyle w:val="TableParagraph"/>
              <w:spacing w:line="172" w:lineRule="exact" w:before="18"/>
              <w:ind w:left="50"/>
              <w:rPr>
                <w:sz w:val="15"/>
              </w:rPr>
            </w:pPr>
            <w:r>
              <w:rPr>
                <w:sz w:val="15"/>
              </w:rPr>
              <w:t>26. Resistencia a la proteína c</w:t>
            </w:r>
          </w:p>
        </w:tc>
        <w:tc>
          <w:tcPr>
            <w:tcW w:w="4275" w:type="dxa"/>
          </w:tcPr>
          <w:p>
            <w:pPr>
              <w:pStyle w:val="TableParagraph"/>
              <w:spacing w:line="172" w:lineRule="exact" w:before="18"/>
              <w:ind w:left="386"/>
              <w:rPr>
                <w:sz w:val="15"/>
              </w:rPr>
            </w:pPr>
            <w:r>
              <w:rPr>
                <w:sz w:val="15"/>
              </w:rPr>
              <w:t>$419.00</w:t>
            </w:r>
          </w:p>
        </w:tc>
        <w:tc>
          <w:tcPr>
            <w:tcW w:w="7153" w:type="dxa"/>
          </w:tcPr>
          <w:p>
            <w:pPr>
              <w:pStyle w:val="TableParagraph"/>
              <w:spacing w:before="17"/>
              <w:ind w:left="3331"/>
              <w:rPr>
                <w:sz w:val="15"/>
              </w:rPr>
            </w:pPr>
            <w:r>
              <w:rPr>
                <w:sz w:val="15"/>
              </w:rPr>
              <w:t>5. Anticuerpos anti-rubeola IGG</w:t>
            </w:r>
          </w:p>
        </w:tc>
        <w:tc>
          <w:tcPr>
            <w:tcW w:w="1186" w:type="dxa"/>
          </w:tcPr>
          <w:p>
            <w:pPr>
              <w:pStyle w:val="TableParagraph"/>
              <w:spacing w:before="17"/>
              <w:ind w:right="46"/>
              <w:jc w:val="right"/>
              <w:rPr>
                <w:sz w:val="15"/>
              </w:rPr>
            </w:pPr>
            <w:r>
              <w:rPr>
                <w:sz w:val="15"/>
              </w:rPr>
              <w:t>$292.00</w:t>
            </w:r>
          </w:p>
        </w:tc>
      </w:tr>
      <w:tr>
        <w:trPr>
          <w:trHeight w:val="209" w:hRule="atLeast"/>
        </w:trPr>
        <w:tc>
          <w:tcPr>
            <w:tcW w:w="4066" w:type="dxa"/>
          </w:tcPr>
          <w:p>
            <w:pPr>
              <w:pStyle w:val="TableParagraph"/>
              <w:spacing w:line="172" w:lineRule="exact" w:before="18"/>
              <w:ind w:left="50"/>
              <w:rPr>
                <w:sz w:val="15"/>
              </w:rPr>
            </w:pPr>
            <w:r>
              <w:rPr>
                <w:sz w:val="15"/>
              </w:rPr>
              <w:t>27. Tiempo de protombina (TP)</w:t>
            </w:r>
          </w:p>
        </w:tc>
        <w:tc>
          <w:tcPr>
            <w:tcW w:w="4275" w:type="dxa"/>
          </w:tcPr>
          <w:p>
            <w:pPr>
              <w:pStyle w:val="TableParagraph"/>
              <w:spacing w:line="172" w:lineRule="exact" w:before="18"/>
              <w:ind w:left="472"/>
              <w:rPr>
                <w:sz w:val="15"/>
              </w:rPr>
            </w:pPr>
            <w:r>
              <w:rPr>
                <w:sz w:val="15"/>
              </w:rPr>
              <w:t>$71.00</w:t>
            </w:r>
          </w:p>
        </w:tc>
        <w:tc>
          <w:tcPr>
            <w:tcW w:w="7153" w:type="dxa"/>
          </w:tcPr>
          <w:p>
            <w:pPr>
              <w:pStyle w:val="TableParagraph"/>
              <w:spacing w:before="17"/>
              <w:ind w:left="3331"/>
              <w:rPr>
                <w:sz w:val="15"/>
              </w:rPr>
            </w:pPr>
            <w:r>
              <w:rPr>
                <w:sz w:val="15"/>
              </w:rPr>
              <w:t>6. Anticuerpos anti-rubeola IGM</w:t>
            </w:r>
          </w:p>
        </w:tc>
        <w:tc>
          <w:tcPr>
            <w:tcW w:w="1186" w:type="dxa"/>
          </w:tcPr>
          <w:p>
            <w:pPr>
              <w:pStyle w:val="TableParagraph"/>
              <w:spacing w:before="17"/>
              <w:ind w:right="46"/>
              <w:jc w:val="right"/>
              <w:rPr>
                <w:sz w:val="15"/>
              </w:rPr>
            </w:pPr>
            <w:r>
              <w:rPr>
                <w:sz w:val="15"/>
              </w:rPr>
              <w:t>$380.00</w:t>
            </w:r>
          </w:p>
        </w:tc>
      </w:tr>
      <w:tr>
        <w:trPr>
          <w:trHeight w:val="209" w:hRule="atLeast"/>
        </w:trPr>
        <w:tc>
          <w:tcPr>
            <w:tcW w:w="4066" w:type="dxa"/>
          </w:tcPr>
          <w:p>
            <w:pPr>
              <w:pStyle w:val="TableParagraph"/>
              <w:spacing w:line="172" w:lineRule="exact" w:before="18"/>
              <w:ind w:left="50"/>
              <w:rPr>
                <w:sz w:val="15"/>
              </w:rPr>
            </w:pPr>
            <w:r>
              <w:rPr>
                <w:sz w:val="15"/>
              </w:rPr>
              <w:t>28. Tiempo de sangrado y coagulación</w:t>
            </w:r>
          </w:p>
        </w:tc>
        <w:tc>
          <w:tcPr>
            <w:tcW w:w="4275" w:type="dxa"/>
          </w:tcPr>
          <w:p>
            <w:pPr>
              <w:pStyle w:val="TableParagraph"/>
              <w:spacing w:line="172" w:lineRule="exact" w:before="18"/>
              <w:ind w:left="472"/>
              <w:rPr>
                <w:sz w:val="15"/>
              </w:rPr>
            </w:pPr>
            <w:r>
              <w:rPr>
                <w:sz w:val="15"/>
              </w:rPr>
              <w:t>$71.00</w:t>
            </w:r>
          </w:p>
        </w:tc>
        <w:tc>
          <w:tcPr>
            <w:tcW w:w="7153" w:type="dxa"/>
          </w:tcPr>
          <w:p>
            <w:pPr>
              <w:pStyle w:val="TableParagraph"/>
              <w:spacing w:before="17"/>
              <w:ind w:left="3331"/>
              <w:rPr>
                <w:sz w:val="15"/>
              </w:rPr>
            </w:pPr>
            <w:r>
              <w:rPr>
                <w:sz w:val="15"/>
              </w:rPr>
              <w:t>7. Anticuerpos anti-cmv IGG</w:t>
            </w:r>
          </w:p>
        </w:tc>
        <w:tc>
          <w:tcPr>
            <w:tcW w:w="1186" w:type="dxa"/>
          </w:tcPr>
          <w:p>
            <w:pPr>
              <w:pStyle w:val="TableParagraph"/>
              <w:spacing w:before="17"/>
              <w:ind w:right="46"/>
              <w:jc w:val="right"/>
              <w:rPr>
                <w:sz w:val="15"/>
              </w:rPr>
            </w:pPr>
            <w:r>
              <w:rPr>
                <w:sz w:val="15"/>
              </w:rPr>
              <w:t>$298.00</w:t>
            </w:r>
          </w:p>
        </w:tc>
      </w:tr>
      <w:tr>
        <w:trPr>
          <w:trHeight w:val="191" w:hRule="atLeast"/>
        </w:trPr>
        <w:tc>
          <w:tcPr>
            <w:tcW w:w="4066" w:type="dxa"/>
          </w:tcPr>
          <w:p>
            <w:pPr>
              <w:pStyle w:val="TableParagraph"/>
              <w:spacing w:line="153" w:lineRule="exact" w:before="18"/>
              <w:ind w:left="50"/>
              <w:rPr>
                <w:sz w:val="15"/>
              </w:rPr>
            </w:pPr>
            <w:r>
              <w:rPr>
                <w:sz w:val="15"/>
              </w:rPr>
              <w:t>29.Tiempo de tromboplastina parcial activado (TTPa)</w:t>
            </w:r>
          </w:p>
        </w:tc>
        <w:tc>
          <w:tcPr>
            <w:tcW w:w="4275" w:type="dxa"/>
          </w:tcPr>
          <w:p>
            <w:pPr>
              <w:pStyle w:val="TableParagraph"/>
              <w:spacing w:line="153" w:lineRule="exact" w:before="18"/>
              <w:ind w:left="472"/>
              <w:rPr>
                <w:sz w:val="15"/>
              </w:rPr>
            </w:pPr>
            <w:r>
              <w:rPr>
                <w:sz w:val="15"/>
              </w:rPr>
              <w:t>$93.00</w:t>
            </w:r>
          </w:p>
        </w:tc>
        <w:tc>
          <w:tcPr>
            <w:tcW w:w="7153" w:type="dxa"/>
          </w:tcPr>
          <w:p>
            <w:pPr>
              <w:pStyle w:val="TableParagraph"/>
              <w:spacing w:line="154" w:lineRule="exact" w:before="17"/>
              <w:ind w:left="3331"/>
              <w:rPr>
                <w:sz w:val="15"/>
              </w:rPr>
            </w:pPr>
            <w:r>
              <w:rPr>
                <w:sz w:val="15"/>
              </w:rPr>
              <w:t>8. Anticuerpos anti-cmv IGM</w:t>
            </w:r>
          </w:p>
        </w:tc>
        <w:tc>
          <w:tcPr>
            <w:tcW w:w="1186" w:type="dxa"/>
          </w:tcPr>
          <w:p>
            <w:pPr>
              <w:pStyle w:val="TableParagraph"/>
              <w:spacing w:line="154" w:lineRule="exact" w:before="17"/>
              <w:ind w:right="46"/>
              <w:jc w:val="right"/>
              <w:rPr>
                <w:sz w:val="15"/>
              </w:rPr>
            </w:pPr>
            <w:r>
              <w:rPr>
                <w:sz w:val="15"/>
              </w:rPr>
              <w:t>$287.00</w:t>
            </w:r>
          </w:p>
        </w:tc>
      </w:tr>
    </w:tbl>
    <w:p>
      <w:pPr>
        <w:spacing w:after="0" w:line="154" w:lineRule="exact"/>
        <w:jc w:val="right"/>
        <w:rPr>
          <w:sz w:val="15"/>
        </w:rPr>
        <w:sectPr>
          <w:headerReference w:type="default" r:id="rId100"/>
          <w:pgSz w:w="23250" w:h="15310" w:orient="landscape"/>
          <w:pgMar w:header="881" w:footer="499" w:top="1920" w:bottom="680" w:left="1880" w:right="1520"/>
        </w:sectPr>
      </w:pPr>
    </w:p>
    <w:p>
      <w:pPr>
        <w:pStyle w:val="BodyText"/>
        <w:rPr>
          <w:rFonts w:ascii="Times New Roman"/>
          <w:sz w:val="20"/>
        </w:rPr>
      </w:pPr>
      <w:r>
        <w:rPr/>
        <w:pict>
          <v:shape style="position:absolute;margin-left:118.916298pt;margin-top:130.476929pt;width:834.15pt;height:275pt;mso-position-horizontal-relative:page;mso-position-vertical-relative:page;z-index:2517084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9"/>
                    <w:gridCol w:w="4574"/>
                    <w:gridCol w:w="7727"/>
                    <w:gridCol w:w="814"/>
                  </w:tblGrid>
                  <w:tr>
                    <w:trPr>
                      <w:trHeight w:val="191" w:hRule="atLeast"/>
                    </w:trPr>
                    <w:tc>
                      <w:tcPr>
                        <w:tcW w:w="3569" w:type="dxa"/>
                      </w:tcPr>
                      <w:p>
                        <w:pPr>
                          <w:pStyle w:val="TableParagraph"/>
                          <w:spacing w:line="171" w:lineRule="exact"/>
                          <w:ind w:left="50"/>
                          <w:rPr>
                            <w:sz w:val="15"/>
                          </w:rPr>
                        </w:pPr>
                        <w:r>
                          <w:rPr>
                            <w:sz w:val="15"/>
                          </w:rPr>
                          <w:t>9. Anticuerpos anti-hiv 1 y 2</w:t>
                        </w:r>
                      </w:p>
                    </w:tc>
                    <w:tc>
                      <w:tcPr>
                        <w:tcW w:w="4574" w:type="dxa"/>
                      </w:tcPr>
                      <w:p>
                        <w:pPr>
                          <w:pStyle w:val="TableParagraph"/>
                          <w:spacing w:line="171" w:lineRule="exact"/>
                          <w:ind w:left="884"/>
                          <w:rPr>
                            <w:sz w:val="15"/>
                          </w:rPr>
                        </w:pPr>
                        <w:r>
                          <w:rPr>
                            <w:sz w:val="15"/>
                          </w:rPr>
                          <w:t>$198.00</w:t>
                        </w:r>
                      </w:p>
                    </w:tc>
                    <w:tc>
                      <w:tcPr>
                        <w:tcW w:w="7727" w:type="dxa"/>
                      </w:tcPr>
                      <w:p>
                        <w:pPr>
                          <w:pStyle w:val="TableParagraph"/>
                          <w:spacing w:line="171" w:lineRule="exact"/>
                          <w:ind w:left="3131"/>
                          <w:rPr>
                            <w:sz w:val="15"/>
                          </w:rPr>
                        </w:pPr>
                        <w:r>
                          <w:rPr>
                            <w:sz w:val="15"/>
                          </w:rPr>
                          <w:t>barbitúricos y benzodiacepinas. 5 Elementos)</w:t>
                        </w:r>
                      </w:p>
                    </w:tc>
                    <w:tc>
                      <w:tcPr>
                        <w:tcW w:w="814" w:type="dxa"/>
                      </w:tcPr>
                      <w:p>
                        <w:pPr>
                          <w:pStyle w:val="TableParagraph"/>
                          <w:rPr>
                            <w:rFonts w:ascii="Times New Roman"/>
                            <w:sz w:val="12"/>
                          </w:rPr>
                        </w:pPr>
                      </w:p>
                    </w:tc>
                  </w:tr>
                  <w:tr>
                    <w:trPr>
                      <w:trHeight w:val="209" w:hRule="atLeast"/>
                    </w:trPr>
                    <w:tc>
                      <w:tcPr>
                        <w:tcW w:w="3569" w:type="dxa"/>
                      </w:tcPr>
                      <w:p>
                        <w:pPr>
                          <w:pStyle w:val="TableParagraph"/>
                          <w:spacing w:line="172" w:lineRule="exact" w:before="18"/>
                          <w:ind w:left="50"/>
                          <w:rPr>
                            <w:sz w:val="15"/>
                          </w:rPr>
                        </w:pPr>
                        <w:r>
                          <w:rPr>
                            <w:sz w:val="15"/>
                          </w:rPr>
                          <w:t>10. Anticuerpos antinucleares</w:t>
                        </w:r>
                      </w:p>
                    </w:tc>
                    <w:tc>
                      <w:tcPr>
                        <w:tcW w:w="4574" w:type="dxa"/>
                      </w:tcPr>
                      <w:p>
                        <w:pPr>
                          <w:pStyle w:val="TableParagraph"/>
                          <w:spacing w:line="172" w:lineRule="exact" w:before="18"/>
                          <w:ind w:left="883"/>
                          <w:rPr>
                            <w:sz w:val="15"/>
                          </w:rPr>
                        </w:pPr>
                        <w:r>
                          <w:rPr>
                            <w:sz w:val="15"/>
                          </w:rPr>
                          <w:t>$232.00</w:t>
                        </w:r>
                      </w:p>
                    </w:tc>
                    <w:tc>
                      <w:tcPr>
                        <w:tcW w:w="7727" w:type="dxa"/>
                      </w:tcPr>
                      <w:p>
                        <w:pPr>
                          <w:pStyle w:val="TableParagraph"/>
                          <w:spacing w:before="17"/>
                          <w:ind w:left="3529"/>
                          <w:rPr>
                            <w:sz w:val="15"/>
                          </w:rPr>
                        </w:pPr>
                        <w:r>
                          <w:rPr>
                            <w:sz w:val="15"/>
                          </w:rPr>
                          <w:t>2. Fenitoina</w:t>
                        </w:r>
                      </w:p>
                    </w:tc>
                    <w:tc>
                      <w:tcPr>
                        <w:tcW w:w="814" w:type="dxa"/>
                      </w:tcPr>
                      <w:p>
                        <w:pPr>
                          <w:pStyle w:val="TableParagraph"/>
                          <w:spacing w:before="17"/>
                          <w:ind w:right="50"/>
                          <w:jc w:val="right"/>
                          <w:rPr>
                            <w:sz w:val="15"/>
                          </w:rPr>
                        </w:pPr>
                        <w:r>
                          <w:rPr>
                            <w:sz w:val="15"/>
                          </w:rPr>
                          <w:t>$265.00</w:t>
                        </w:r>
                      </w:p>
                    </w:tc>
                  </w:tr>
                  <w:tr>
                    <w:trPr>
                      <w:trHeight w:val="209" w:hRule="atLeast"/>
                    </w:trPr>
                    <w:tc>
                      <w:tcPr>
                        <w:tcW w:w="3569" w:type="dxa"/>
                      </w:tcPr>
                      <w:p>
                        <w:pPr>
                          <w:pStyle w:val="TableParagraph"/>
                          <w:spacing w:line="172" w:lineRule="exact" w:before="18"/>
                          <w:ind w:left="50"/>
                          <w:rPr>
                            <w:sz w:val="15"/>
                          </w:rPr>
                        </w:pPr>
                        <w:r>
                          <w:rPr>
                            <w:sz w:val="15"/>
                          </w:rPr>
                          <w:t>11. Anticuerpos anti-toxoplasma IGG</w:t>
                        </w:r>
                      </w:p>
                    </w:tc>
                    <w:tc>
                      <w:tcPr>
                        <w:tcW w:w="4574" w:type="dxa"/>
                      </w:tcPr>
                      <w:p>
                        <w:pPr>
                          <w:pStyle w:val="TableParagraph"/>
                          <w:spacing w:line="172" w:lineRule="exact" w:before="18"/>
                          <w:ind w:left="883"/>
                          <w:rPr>
                            <w:sz w:val="15"/>
                          </w:rPr>
                        </w:pPr>
                        <w:r>
                          <w:rPr>
                            <w:sz w:val="15"/>
                          </w:rPr>
                          <w:t>$276.00</w:t>
                        </w:r>
                      </w:p>
                    </w:tc>
                    <w:tc>
                      <w:tcPr>
                        <w:tcW w:w="7727" w:type="dxa"/>
                      </w:tcPr>
                      <w:p>
                        <w:pPr>
                          <w:pStyle w:val="TableParagraph"/>
                          <w:spacing w:before="17"/>
                          <w:ind w:left="3529"/>
                          <w:rPr>
                            <w:sz w:val="15"/>
                          </w:rPr>
                        </w:pPr>
                        <w:r>
                          <w:rPr>
                            <w:sz w:val="15"/>
                          </w:rPr>
                          <w:t>3. Carbamazepina</w:t>
                        </w:r>
                      </w:p>
                    </w:tc>
                    <w:tc>
                      <w:tcPr>
                        <w:tcW w:w="814" w:type="dxa"/>
                      </w:tcPr>
                      <w:p>
                        <w:pPr>
                          <w:pStyle w:val="TableParagraph"/>
                          <w:spacing w:before="17"/>
                          <w:ind w:right="50"/>
                          <w:jc w:val="right"/>
                          <w:rPr>
                            <w:sz w:val="15"/>
                          </w:rPr>
                        </w:pPr>
                        <w:r>
                          <w:rPr>
                            <w:sz w:val="15"/>
                          </w:rPr>
                          <w:t>$149.00</w:t>
                        </w:r>
                      </w:p>
                    </w:tc>
                  </w:tr>
                  <w:tr>
                    <w:trPr>
                      <w:trHeight w:val="209" w:hRule="atLeast"/>
                    </w:trPr>
                    <w:tc>
                      <w:tcPr>
                        <w:tcW w:w="3569" w:type="dxa"/>
                      </w:tcPr>
                      <w:p>
                        <w:pPr>
                          <w:pStyle w:val="TableParagraph"/>
                          <w:spacing w:line="172" w:lineRule="exact" w:before="18"/>
                          <w:ind w:left="50"/>
                          <w:rPr>
                            <w:sz w:val="15"/>
                          </w:rPr>
                        </w:pPr>
                        <w:r>
                          <w:rPr>
                            <w:sz w:val="15"/>
                          </w:rPr>
                          <w:t>12. Anticuerpos anti-toxoplasma IGM</w:t>
                        </w:r>
                      </w:p>
                    </w:tc>
                    <w:tc>
                      <w:tcPr>
                        <w:tcW w:w="4574" w:type="dxa"/>
                      </w:tcPr>
                      <w:p>
                        <w:pPr>
                          <w:pStyle w:val="TableParagraph"/>
                          <w:spacing w:line="172" w:lineRule="exact" w:before="18"/>
                          <w:ind w:left="883"/>
                          <w:rPr>
                            <w:sz w:val="15"/>
                          </w:rPr>
                        </w:pPr>
                        <w:r>
                          <w:rPr>
                            <w:sz w:val="15"/>
                          </w:rPr>
                          <w:t>$276.00</w:t>
                        </w:r>
                      </w:p>
                    </w:tc>
                    <w:tc>
                      <w:tcPr>
                        <w:tcW w:w="7727" w:type="dxa"/>
                      </w:tcPr>
                      <w:p>
                        <w:pPr>
                          <w:pStyle w:val="TableParagraph"/>
                          <w:spacing w:before="17"/>
                          <w:ind w:left="3529"/>
                          <w:rPr>
                            <w:sz w:val="15"/>
                          </w:rPr>
                        </w:pPr>
                        <w:r>
                          <w:rPr>
                            <w:sz w:val="15"/>
                          </w:rPr>
                          <w:t>4. Acidovalproico</w:t>
                        </w:r>
                      </w:p>
                    </w:tc>
                    <w:tc>
                      <w:tcPr>
                        <w:tcW w:w="814" w:type="dxa"/>
                      </w:tcPr>
                      <w:p>
                        <w:pPr>
                          <w:pStyle w:val="TableParagraph"/>
                          <w:spacing w:before="17"/>
                          <w:ind w:right="50"/>
                          <w:jc w:val="right"/>
                          <w:rPr>
                            <w:sz w:val="15"/>
                          </w:rPr>
                        </w:pPr>
                        <w:r>
                          <w:rPr>
                            <w:sz w:val="15"/>
                          </w:rPr>
                          <w:t>$71.00</w:t>
                        </w:r>
                      </w:p>
                    </w:tc>
                  </w:tr>
                  <w:tr>
                    <w:trPr>
                      <w:trHeight w:val="209" w:hRule="atLeast"/>
                    </w:trPr>
                    <w:tc>
                      <w:tcPr>
                        <w:tcW w:w="3569" w:type="dxa"/>
                      </w:tcPr>
                      <w:p>
                        <w:pPr>
                          <w:pStyle w:val="TableParagraph"/>
                          <w:spacing w:line="172" w:lineRule="exact" w:before="18"/>
                          <w:ind w:left="50"/>
                          <w:rPr>
                            <w:sz w:val="15"/>
                          </w:rPr>
                        </w:pPr>
                        <w:r>
                          <w:rPr>
                            <w:sz w:val="15"/>
                          </w:rPr>
                          <w:t>13. Anticuerpos anti-tripanosoma IGG</w:t>
                        </w:r>
                      </w:p>
                    </w:tc>
                    <w:tc>
                      <w:tcPr>
                        <w:tcW w:w="4574" w:type="dxa"/>
                      </w:tcPr>
                      <w:p>
                        <w:pPr>
                          <w:pStyle w:val="TableParagraph"/>
                          <w:spacing w:line="172" w:lineRule="exact" w:before="18"/>
                          <w:ind w:left="884"/>
                          <w:rPr>
                            <w:sz w:val="15"/>
                          </w:rPr>
                        </w:pPr>
                        <w:r>
                          <w:rPr>
                            <w:sz w:val="15"/>
                          </w:rPr>
                          <w:t>$276.00</w:t>
                        </w:r>
                      </w:p>
                    </w:tc>
                    <w:tc>
                      <w:tcPr>
                        <w:tcW w:w="7727" w:type="dxa"/>
                      </w:tcPr>
                      <w:p>
                        <w:pPr>
                          <w:pStyle w:val="TableParagraph"/>
                          <w:spacing w:before="17"/>
                          <w:ind w:left="3529"/>
                          <w:rPr>
                            <w:sz w:val="15"/>
                          </w:rPr>
                        </w:pPr>
                        <w:r>
                          <w:rPr>
                            <w:sz w:val="15"/>
                          </w:rPr>
                          <w:t>5. Biopsia de mucosa gástrica</w:t>
                        </w:r>
                      </w:p>
                    </w:tc>
                    <w:tc>
                      <w:tcPr>
                        <w:tcW w:w="814" w:type="dxa"/>
                      </w:tcPr>
                      <w:p>
                        <w:pPr>
                          <w:pStyle w:val="TableParagraph"/>
                          <w:spacing w:before="17"/>
                          <w:ind w:right="51"/>
                          <w:jc w:val="right"/>
                          <w:rPr>
                            <w:sz w:val="15"/>
                          </w:rPr>
                        </w:pPr>
                        <w:r>
                          <w:rPr>
                            <w:sz w:val="15"/>
                          </w:rPr>
                          <w:t>$916.00</w:t>
                        </w:r>
                      </w:p>
                    </w:tc>
                  </w:tr>
                  <w:tr>
                    <w:trPr>
                      <w:trHeight w:val="209" w:hRule="atLeast"/>
                    </w:trPr>
                    <w:tc>
                      <w:tcPr>
                        <w:tcW w:w="3569" w:type="dxa"/>
                      </w:tcPr>
                      <w:p>
                        <w:pPr>
                          <w:pStyle w:val="TableParagraph"/>
                          <w:spacing w:line="172" w:lineRule="exact" w:before="18"/>
                          <w:ind w:left="50"/>
                          <w:rPr>
                            <w:sz w:val="15"/>
                          </w:rPr>
                        </w:pPr>
                        <w:r>
                          <w:rPr>
                            <w:sz w:val="15"/>
                          </w:rPr>
                          <w:t>14. Anticuerpos anti-tripanosoma IGM</w:t>
                        </w:r>
                      </w:p>
                    </w:tc>
                    <w:tc>
                      <w:tcPr>
                        <w:tcW w:w="4574" w:type="dxa"/>
                      </w:tcPr>
                      <w:p>
                        <w:pPr>
                          <w:pStyle w:val="TableParagraph"/>
                          <w:spacing w:line="172" w:lineRule="exact" w:before="18"/>
                          <w:ind w:left="884"/>
                          <w:rPr>
                            <w:sz w:val="15"/>
                          </w:rPr>
                        </w:pPr>
                        <w:r>
                          <w:rPr>
                            <w:sz w:val="15"/>
                          </w:rPr>
                          <w:t>$276.00</w:t>
                        </w:r>
                      </w:p>
                    </w:tc>
                    <w:tc>
                      <w:tcPr>
                        <w:tcW w:w="7727" w:type="dxa"/>
                      </w:tcPr>
                      <w:p>
                        <w:pPr>
                          <w:pStyle w:val="TableParagraph"/>
                          <w:spacing w:before="17"/>
                          <w:ind w:left="3529"/>
                          <w:rPr>
                            <w:sz w:val="15"/>
                          </w:rPr>
                        </w:pPr>
                        <w:r>
                          <w:rPr>
                            <w:sz w:val="15"/>
                          </w:rPr>
                          <w:t>6. Captación de yodo</w:t>
                        </w:r>
                      </w:p>
                    </w:tc>
                    <w:tc>
                      <w:tcPr>
                        <w:tcW w:w="814" w:type="dxa"/>
                      </w:tcPr>
                      <w:p>
                        <w:pPr>
                          <w:pStyle w:val="TableParagraph"/>
                          <w:spacing w:before="17"/>
                          <w:ind w:right="50"/>
                          <w:jc w:val="right"/>
                          <w:rPr>
                            <w:sz w:val="15"/>
                          </w:rPr>
                        </w:pPr>
                        <w:r>
                          <w:rPr>
                            <w:sz w:val="15"/>
                          </w:rPr>
                          <w:t>$114.00</w:t>
                        </w:r>
                      </w:p>
                    </w:tc>
                  </w:tr>
                  <w:tr>
                    <w:trPr>
                      <w:trHeight w:val="209" w:hRule="atLeast"/>
                    </w:trPr>
                    <w:tc>
                      <w:tcPr>
                        <w:tcW w:w="3569" w:type="dxa"/>
                      </w:tcPr>
                      <w:p>
                        <w:pPr>
                          <w:pStyle w:val="TableParagraph"/>
                          <w:spacing w:line="172" w:lineRule="exact" w:before="18"/>
                          <w:ind w:left="50"/>
                          <w:rPr>
                            <w:sz w:val="15"/>
                          </w:rPr>
                        </w:pPr>
                        <w:r>
                          <w:rPr>
                            <w:sz w:val="15"/>
                          </w:rPr>
                          <w:t>15. Anticuerpos hav IGG</w:t>
                        </w:r>
                      </w:p>
                    </w:tc>
                    <w:tc>
                      <w:tcPr>
                        <w:tcW w:w="4574" w:type="dxa"/>
                      </w:tcPr>
                      <w:p>
                        <w:pPr>
                          <w:pStyle w:val="TableParagraph"/>
                          <w:spacing w:line="172" w:lineRule="exact" w:before="18"/>
                          <w:ind w:left="883"/>
                          <w:rPr>
                            <w:sz w:val="15"/>
                          </w:rPr>
                        </w:pPr>
                        <w:r>
                          <w:rPr>
                            <w:sz w:val="15"/>
                          </w:rPr>
                          <w:t>$292.00</w:t>
                        </w:r>
                      </w:p>
                    </w:tc>
                    <w:tc>
                      <w:tcPr>
                        <w:tcW w:w="7727" w:type="dxa"/>
                      </w:tcPr>
                      <w:p>
                        <w:pPr>
                          <w:pStyle w:val="TableParagraph"/>
                          <w:spacing w:before="17"/>
                          <w:ind w:left="3529"/>
                          <w:rPr>
                            <w:sz w:val="15"/>
                          </w:rPr>
                        </w:pPr>
                        <w:r>
                          <w:rPr>
                            <w:sz w:val="15"/>
                          </w:rPr>
                          <w:t>7. Cristalografía</w:t>
                        </w:r>
                      </w:p>
                    </w:tc>
                    <w:tc>
                      <w:tcPr>
                        <w:tcW w:w="814" w:type="dxa"/>
                      </w:tcPr>
                      <w:p>
                        <w:pPr>
                          <w:pStyle w:val="TableParagraph"/>
                          <w:spacing w:before="17"/>
                          <w:ind w:right="50"/>
                          <w:jc w:val="right"/>
                          <w:rPr>
                            <w:sz w:val="15"/>
                          </w:rPr>
                        </w:pPr>
                        <w:r>
                          <w:rPr>
                            <w:sz w:val="15"/>
                          </w:rPr>
                          <w:t>$78.00</w:t>
                        </w:r>
                      </w:p>
                    </w:tc>
                  </w:tr>
                  <w:tr>
                    <w:trPr>
                      <w:trHeight w:val="209" w:hRule="atLeast"/>
                    </w:trPr>
                    <w:tc>
                      <w:tcPr>
                        <w:tcW w:w="3569" w:type="dxa"/>
                      </w:tcPr>
                      <w:p>
                        <w:pPr>
                          <w:pStyle w:val="TableParagraph"/>
                          <w:spacing w:line="172" w:lineRule="exact" w:before="18"/>
                          <w:ind w:left="50"/>
                          <w:rPr>
                            <w:sz w:val="15"/>
                          </w:rPr>
                        </w:pPr>
                        <w:r>
                          <w:rPr>
                            <w:sz w:val="15"/>
                          </w:rPr>
                          <w:t>16. Anticuerpos hav IGM</w:t>
                        </w:r>
                      </w:p>
                    </w:tc>
                    <w:tc>
                      <w:tcPr>
                        <w:tcW w:w="4574" w:type="dxa"/>
                      </w:tcPr>
                      <w:p>
                        <w:pPr>
                          <w:pStyle w:val="TableParagraph"/>
                          <w:spacing w:line="172" w:lineRule="exact" w:before="18"/>
                          <w:ind w:left="883"/>
                          <w:rPr>
                            <w:sz w:val="15"/>
                          </w:rPr>
                        </w:pPr>
                        <w:r>
                          <w:rPr>
                            <w:sz w:val="15"/>
                          </w:rPr>
                          <w:t>$292.00</w:t>
                        </w:r>
                      </w:p>
                    </w:tc>
                    <w:tc>
                      <w:tcPr>
                        <w:tcW w:w="7727" w:type="dxa"/>
                      </w:tcPr>
                      <w:p>
                        <w:pPr>
                          <w:pStyle w:val="TableParagraph"/>
                          <w:spacing w:before="17"/>
                          <w:ind w:left="3529"/>
                          <w:rPr>
                            <w:sz w:val="15"/>
                          </w:rPr>
                        </w:pPr>
                        <w:r>
                          <w:rPr>
                            <w:sz w:val="15"/>
                          </w:rPr>
                          <w:t>8. Diuresis en 24 horas</w:t>
                        </w:r>
                      </w:p>
                    </w:tc>
                    <w:tc>
                      <w:tcPr>
                        <w:tcW w:w="814" w:type="dxa"/>
                      </w:tcPr>
                      <w:p>
                        <w:pPr>
                          <w:pStyle w:val="TableParagraph"/>
                          <w:spacing w:before="17"/>
                          <w:ind w:right="50"/>
                          <w:jc w:val="right"/>
                          <w:rPr>
                            <w:sz w:val="15"/>
                          </w:rPr>
                        </w:pPr>
                        <w:r>
                          <w:rPr>
                            <w:sz w:val="15"/>
                          </w:rPr>
                          <w:t>$153.00</w:t>
                        </w:r>
                      </w:p>
                    </w:tc>
                  </w:tr>
                  <w:tr>
                    <w:trPr>
                      <w:trHeight w:val="209" w:hRule="atLeast"/>
                    </w:trPr>
                    <w:tc>
                      <w:tcPr>
                        <w:tcW w:w="3569" w:type="dxa"/>
                      </w:tcPr>
                      <w:p>
                        <w:pPr>
                          <w:pStyle w:val="TableParagraph"/>
                          <w:spacing w:line="172" w:lineRule="exact" w:before="18"/>
                          <w:ind w:left="50"/>
                          <w:rPr>
                            <w:sz w:val="15"/>
                          </w:rPr>
                        </w:pPr>
                        <w:r>
                          <w:rPr>
                            <w:sz w:val="15"/>
                          </w:rPr>
                          <w:t>17. Anticuerpos hcv</w:t>
                        </w:r>
                      </w:p>
                    </w:tc>
                    <w:tc>
                      <w:tcPr>
                        <w:tcW w:w="4574" w:type="dxa"/>
                      </w:tcPr>
                      <w:p>
                        <w:pPr>
                          <w:pStyle w:val="TableParagraph"/>
                          <w:spacing w:line="172" w:lineRule="exact" w:before="18"/>
                          <w:ind w:left="883"/>
                          <w:rPr>
                            <w:sz w:val="15"/>
                          </w:rPr>
                        </w:pPr>
                        <w:r>
                          <w:rPr>
                            <w:sz w:val="15"/>
                          </w:rPr>
                          <w:t>$254.00</w:t>
                        </w:r>
                      </w:p>
                    </w:tc>
                    <w:tc>
                      <w:tcPr>
                        <w:tcW w:w="7727" w:type="dxa"/>
                      </w:tcPr>
                      <w:p>
                        <w:pPr>
                          <w:pStyle w:val="TableParagraph"/>
                          <w:spacing w:before="17"/>
                          <w:ind w:left="3529"/>
                          <w:rPr>
                            <w:sz w:val="15"/>
                          </w:rPr>
                        </w:pPr>
                        <w:r>
                          <w:rPr>
                            <w:sz w:val="15"/>
                          </w:rPr>
                          <w:t>9. Electroforesis de lipoproteínas</w:t>
                        </w:r>
                      </w:p>
                    </w:tc>
                    <w:tc>
                      <w:tcPr>
                        <w:tcW w:w="814" w:type="dxa"/>
                      </w:tcPr>
                      <w:p>
                        <w:pPr>
                          <w:pStyle w:val="TableParagraph"/>
                          <w:spacing w:before="17"/>
                          <w:ind w:right="49"/>
                          <w:jc w:val="right"/>
                          <w:rPr>
                            <w:sz w:val="15"/>
                          </w:rPr>
                        </w:pPr>
                        <w:r>
                          <w:rPr>
                            <w:sz w:val="15"/>
                          </w:rPr>
                          <w:t>$497.00</w:t>
                        </w:r>
                      </w:p>
                    </w:tc>
                  </w:tr>
                  <w:tr>
                    <w:trPr>
                      <w:trHeight w:val="209" w:hRule="atLeast"/>
                    </w:trPr>
                    <w:tc>
                      <w:tcPr>
                        <w:tcW w:w="3569" w:type="dxa"/>
                      </w:tcPr>
                      <w:p>
                        <w:pPr>
                          <w:pStyle w:val="TableParagraph"/>
                          <w:spacing w:line="172" w:lineRule="exact" w:before="18"/>
                          <w:ind w:left="50"/>
                          <w:rPr>
                            <w:sz w:val="15"/>
                          </w:rPr>
                        </w:pPr>
                        <w:r>
                          <w:rPr>
                            <w:sz w:val="15"/>
                          </w:rPr>
                          <w:t>18. Anti-dsdna</w:t>
                        </w:r>
                      </w:p>
                    </w:tc>
                    <w:tc>
                      <w:tcPr>
                        <w:tcW w:w="4574" w:type="dxa"/>
                      </w:tcPr>
                      <w:p>
                        <w:pPr>
                          <w:pStyle w:val="TableParagraph"/>
                          <w:spacing w:line="172" w:lineRule="exact" w:before="18"/>
                          <w:ind w:left="883"/>
                          <w:rPr>
                            <w:sz w:val="15"/>
                          </w:rPr>
                        </w:pPr>
                        <w:r>
                          <w:rPr>
                            <w:sz w:val="15"/>
                          </w:rPr>
                          <w:t>$289.00</w:t>
                        </w:r>
                      </w:p>
                    </w:tc>
                    <w:tc>
                      <w:tcPr>
                        <w:tcW w:w="7727" w:type="dxa"/>
                      </w:tcPr>
                      <w:p>
                        <w:pPr>
                          <w:pStyle w:val="TableParagraph"/>
                          <w:spacing w:before="17"/>
                          <w:ind w:left="3529"/>
                          <w:rPr>
                            <w:sz w:val="15"/>
                          </w:rPr>
                        </w:pPr>
                        <w:r>
                          <w:rPr>
                            <w:sz w:val="15"/>
                          </w:rPr>
                          <w:t>10. Electrolitos séricos 3 (sodio potasio y cloro)</w:t>
                        </w:r>
                      </w:p>
                    </w:tc>
                    <w:tc>
                      <w:tcPr>
                        <w:tcW w:w="814" w:type="dxa"/>
                      </w:tcPr>
                      <w:p>
                        <w:pPr>
                          <w:pStyle w:val="TableParagraph"/>
                          <w:spacing w:before="17"/>
                          <w:ind w:right="51"/>
                          <w:jc w:val="right"/>
                          <w:rPr>
                            <w:sz w:val="15"/>
                          </w:rPr>
                        </w:pPr>
                        <w:r>
                          <w:rPr>
                            <w:sz w:val="15"/>
                          </w:rPr>
                          <w:t>$193.00</w:t>
                        </w:r>
                      </w:p>
                    </w:tc>
                  </w:tr>
                  <w:tr>
                    <w:trPr>
                      <w:trHeight w:val="193" w:hRule="atLeast"/>
                    </w:trPr>
                    <w:tc>
                      <w:tcPr>
                        <w:tcW w:w="3569" w:type="dxa"/>
                      </w:tcPr>
                      <w:p>
                        <w:pPr>
                          <w:pStyle w:val="TableParagraph"/>
                          <w:spacing w:line="156" w:lineRule="exact" w:before="18"/>
                          <w:ind w:left="50"/>
                          <w:rPr>
                            <w:sz w:val="15"/>
                          </w:rPr>
                        </w:pPr>
                        <w:r>
                          <w:rPr>
                            <w:sz w:val="15"/>
                          </w:rPr>
                          <w:t>19. Antiestreptolisinas (ASLO)</w:t>
                        </w:r>
                      </w:p>
                    </w:tc>
                    <w:tc>
                      <w:tcPr>
                        <w:tcW w:w="4574" w:type="dxa"/>
                      </w:tcPr>
                      <w:p>
                        <w:pPr>
                          <w:pStyle w:val="TableParagraph"/>
                          <w:spacing w:line="156" w:lineRule="exact" w:before="18"/>
                          <w:ind w:left="883"/>
                          <w:rPr>
                            <w:sz w:val="15"/>
                          </w:rPr>
                        </w:pPr>
                        <w:r>
                          <w:rPr>
                            <w:sz w:val="15"/>
                          </w:rPr>
                          <w:t>$144.00</w:t>
                        </w:r>
                      </w:p>
                    </w:tc>
                    <w:tc>
                      <w:tcPr>
                        <w:tcW w:w="7727" w:type="dxa"/>
                      </w:tcPr>
                      <w:p>
                        <w:pPr>
                          <w:pStyle w:val="TableParagraph"/>
                          <w:spacing w:line="156" w:lineRule="exact" w:before="17"/>
                          <w:ind w:left="3529"/>
                          <w:rPr>
                            <w:sz w:val="15"/>
                          </w:rPr>
                        </w:pPr>
                        <w:r>
                          <w:rPr>
                            <w:sz w:val="15"/>
                          </w:rPr>
                          <w:t>11. Electrolitos séricos 6 (sodio potasio, cloro, calcio,</w:t>
                        </w:r>
                      </w:p>
                    </w:tc>
                    <w:tc>
                      <w:tcPr>
                        <w:tcW w:w="814" w:type="dxa"/>
                      </w:tcPr>
                      <w:p>
                        <w:pPr>
                          <w:pStyle w:val="TableParagraph"/>
                          <w:spacing w:line="156" w:lineRule="exact" w:before="17"/>
                          <w:ind w:right="50"/>
                          <w:jc w:val="right"/>
                          <w:rPr>
                            <w:sz w:val="15"/>
                          </w:rPr>
                        </w:pPr>
                        <w:r>
                          <w:rPr>
                            <w:sz w:val="15"/>
                          </w:rPr>
                          <w:t>$414.00</w:t>
                        </w:r>
                      </w:p>
                    </w:tc>
                  </w:tr>
                  <w:tr>
                    <w:trPr>
                      <w:trHeight w:val="207" w:hRule="atLeast"/>
                    </w:trPr>
                    <w:tc>
                      <w:tcPr>
                        <w:tcW w:w="3569" w:type="dxa"/>
                      </w:tcPr>
                      <w:p>
                        <w:pPr>
                          <w:pStyle w:val="TableParagraph"/>
                          <w:spacing w:line="153" w:lineRule="exact" w:before="34"/>
                          <w:ind w:left="50"/>
                          <w:rPr>
                            <w:sz w:val="15"/>
                          </w:rPr>
                        </w:pPr>
                        <w:r>
                          <w:rPr>
                            <w:sz w:val="15"/>
                          </w:rPr>
                          <w:t>20. Células le</w:t>
                        </w:r>
                      </w:p>
                    </w:tc>
                    <w:tc>
                      <w:tcPr>
                        <w:tcW w:w="4574" w:type="dxa"/>
                      </w:tcPr>
                      <w:p>
                        <w:pPr>
                          <w:pStyle w:val="TableParagraph"/>
                          <w:spacing w:line="153" w:lineRule="exact" w:before="34"/>
                          <w:ind w:left="883"/>
                          <w:rPr>
                            <w:sz w:val="15"/>
                          </w:rPr>
                        </w:pPr>
                        <w:r>
                          <w:rPr>
                            <w:sz w:val="15"/>
                          </w:rPr>
                          <w:t>$154.00</w:t>
                        </w:r>
                      </w:p>
                    </w:tc>
                    <w:tc>
                      <w:tcPr>
                        <w:tcW w:w="7727" w:type="dxa"/>
                      </w:tcPr>
                      <w:p>
                        <w:pPr>
                          <w:pStyle w:val="TableParagraph"/>
                          <w:spacing w:before="1"/>
                          <w:ind w:left="3131"/>
                          <w:rPr>
                            <w:sz w:val="15"/>
                          </w:rPr>
                        </w:pPr>
                        <w:r>
                          <w:rPr>
                            <w:sz w:val="15"/>
                          </w:rPr>
                          <w:t>fosforo y magnesio)</w:t>
                        </w:r>
                      </w:p>
                    </w:tc>
                    <w:tc>
                      <w:tcPr>
                        <w:tcW w:w="814" w:type="dxa"/>
                      </w:tcPr>
                      <w:p>
                        <w:pPr>
                          <w:pStyle w:val="TableParagraph"/>
                          <w:rPr>
                            <w:rFonts w:ascii="Times New Roman"/>
                            <w:sz w:val="14"/>
                          </w:rPr>
                        </w:pPr>
                      </w:p>
                    </w:tc>
                  </w:tr>
                  <w:tr>
                    <w:trPr>
                      <w:trHeight w:val="196" w:hRule="atLeast"/>
                    </w:trPr>
                    <w:tc>
                      <w:tcPr>
                        <w:tcW w:w="3569" w:type="dxa"/>
                      </w:tcPr>
                      <w:p>
                        <w:pPr>
                          <w:pStyle w:val="TableParagraph"/>
                          <w:spacing w:line="139" w:lineRule="exact" w:before="36"/>
                          <w:ind w:left="50"/>
                          <w:rPr>
                            <w:sz w:val="15"/>
                          </w:rPr>
                        </w:pPr>
                        <w:r>
                          <w:rPr>
                            <w:sz w:val="15"/>
                          </w:rPr>
                          <w:t>21. Clamidia fluoresencia</w:t>
                        </w:r>
                      </w:p>
                    </w:tc>
                    <w:tc>
                      <w:tcPr>
                        <w:tcW w:w="4574" w:type="dxa"/>
                      </w:tcPr>
                      <w:p>
                        <w:pPr>
                          <w:pStyle w:val="TableParagraph"/>
                          <w:spacing w:line="139" w:lineRule="exact" w:before="36"/>
                          <w:ind w:left="883"/>
                          <w:rPr>
                            <w:sz w:val="15"/>
                          </w:rPr>
                        </w:pPr>
                        <w:r>
                          <w:rPr>
                            <w:sz w:val="15"/>
                          </w:rPr>
                          <w:t>$292.00</w:t>
                        </w:r>
                      </w:p>
                    </w:tc>
                    <w:tc>
                      <w:tcPr>
                        <w:tcW w:w="7727" w:type="dxa"/>
                      </w:tcPr>
                      <w:p>
                        <w:pPr>
                          <w:pStyle w:val="TableParagraph"/>
                          <w:spacing w:line="143" w:lineRule="exact"/>
                          <w:ind w:left="3529"/>
                          <w:rPr>
                            <w:sz w:val="15"/>
                          </w:rPr>
                        </w:pPr>
                        <w:r>
                          <w:rPr>
                            <w:sz w:val="15"/>
                          </w:rPr>
                          <w:t>12. Estudio de LCR</w:t>
                        </w:r>
                      </w:p>
                    </w:tc>
                    <w:tc>
                      <w:tcPr>
                        <w:tcW w:w="814" w:type="dxa"/>
                      </w:tcPr>
                      <w:p>
                        <w:pPr>
                          <w:pStyle w:val="TableParagraph"/>
                          <w:spacing w:line="143" w:lineRule="exact"/>
                          <w:ind w:right="50"/>
                          <w:jc w:val="right"/>
                          <w:rPr>
                            <w:sz w:val="15"/>
                          </w:rPr>
                        </w:pPr>
                        <w:r>
                          <w:rPr>
                            <w:sz w:val="15"/>
                          </w:rPr>
                          <w:t>$298.00</w:t>
                        </w:r>
                      </w:p>
                    </w:tc>
                  </w:tr>
                  <w:tr>
                    <w:trPr>
                      <w:trHeight w:val="176" w:hRule="atLeast"/>
                    </w:trPr>
                    <w:tc>
                      <w:tcPr>
                        <w:tcW w:w="15870" w:type="dxa"/>
                        <w:gridSpan w:val="3"/>
                      </w:tcPr>
                      <w:p>
                        <w:pPr>
                          <w:pStyle w:val="TableParagraph"/>
                          <w:tabs>
                            <w:tab w:pos="4452" w:val="left" w:leader="none"/>
                            <w:tab w:pos="11672" w:val="left" w:leader="none"/>
                          </w:tabs>
                          <w:spacing w:line="171" w:lineRule="exact"/>
                          <w:ind w:left="50"/>
                          <w:rPr>
                            <w:sz w:val="15"/>
                          </w:rPr>
                        </w:pPr>
                        <w:r>
                          <w:rPr>
                            <w:position w:val="-6"/>
                            <w:sz w:val="15"/>
                          </w:rPr>
                          <w:t>22.</w:t>
                        </w:r>
                        <w:r>
                          <w:rPr>
                            <w:spacing w:val="3"/>
                            <w:position w:val="-6"/>
                            <w:sz w:val="15"/>
                          </w:rPr>
                          <w:t> </w:t>
                        </w:r>
                        <w:r>
                          <w:rPr>
                            <w:position w:val="-6"/>
                            <w:sz w:val="15"/>
                          </w:rPr>
                          <w:t>Ena</w:t>
                        </w:r>
                        <w:r>
                          <w:rPr>
                            <w:spacing w:val="4"/>
                            <w:position w:val="-6"/>
                            <w:sz w:val="15"/>
                          </w:rPr>
                          <w:t> </w:t>
                        </w:r>
                        <w:r>
                          <w:rPr>
                            <w:position w:val="-6"/>
                            <w:sz w:val="15"/>
                          </w:rPr>
                          <w:t>4</w:t>
                          <w:tab/>
                          <w:t>$271.00</w:t>
                          <w:tab/>
                        </w:r>
                        <w:r>
                          <w:rPr>
                            <w:sz w:val="15"/>
                          </w:rPr>
                          <w:t>13. Estudio de</w:t>
                        </w:r>
                        <w:r>
                          <w:rPr>
                            <w:spacing w:val="5"/>
                            <w:sz w:val="15"/>
                          </w:rPr>
                          <w:t> </w:t>
                        </w:r>
                        <w:r>
                          <w:rPr>
                            <w:sz w:val="15"/>
                          </w:rPr>
                          <w:t>liquidoCitoquímico</w:t>
                        </w:r>
                      </w:p>
                    </w:tc>
                    <w:tc>
                      <w:tcPr>
                        <w:tcW w:w="814" w:type="dxa"/>
                      </w:tcPr>
                      <w:p>
                        <w:pPr>
                          <w:pStyle w:val="TableParagraph"/>
                          <w:spacing w:line="171" w:lineRule="exact"/>
                          <w:ind w:right="51"/>
                          <w:jc w:val="right"/>
                          <w:rPr>
                            <w:sz w:val="15"/>
                          </w:rPr>
                        </w:pPr>
                        <w:r>
                          <w:rPr>
                            <w:sz w:val="15"/>
                          </w:rPr>
                          <w:t>$298.00</w:t>
                        </w:r>
                      </w:p>
                    </w:tc>
                  </w:tr>
                  <w:tr>
                    <w:trPr>
                      <w:trHeight w:val="209" w:hRule="atLeast"/>
                    </w:trPr>
                    <w:tc>
                      <w:tcPr>
                        <w:tcW w:w="15870" w:type="dxa"/>
                        <w:gridSpan w:val="3"/>
                      </w:tcPr>
                      <w:p>
                        <w:pPr>
                          <w:pStyle w:val="TableParagraph"/>
                          <w:tabs>
                            <w:tab w:pos="4452" w:val="left" w:leader="none"/>
                            <w:tab w:pos="11672" w:val="left" w:leader="none"/>
                          </w:tabs>
                          <w:spacing w:line="172" w:lineRule="exact" w:before="17"/>
                          <w:ind w:left="50"/>
                          <w:rPr>
                            <w:sz w:val="15"/>
                          </w:rPr>
                        </w:pPr>
                        <w:r>
                          <w:rPr>
                            <w:position w:val="-6"/>
                            <w:sz w:val="15"/>
                          </w:rPr>
                          <w:t>23.</w:t>
                        </w:r>
                        <w:r>
                          <w:rPr>
                            <w:spacing w:val="3"/>
                            <w:position w:val="-6"/>
                            <w:sz w:val="15"/>
                          </w:rPr>
                          <w:t> </w:t>
                        </w:r>
                        <w:r>
                          <w:rPr>
                            <w:position w:val="-6"/>
                            <w:sz w:val="15"/>
                          </w:rPr>
                          <w:t>Ena</w:t>
                        </w:r>
                        <w:r>
                          <w:rPr>
                            <w:spacing w:val="4"/>
                            <w:position w:val="-6"/>
                            <w:sz w:val="15"/>
                          </w:rPr>
                          <w:t> </w:t>
                        </w:r>
                        <w:r>
                          <w:rPr>
                            <w:position w:val="-6"/>
                            <w:sz w:val="15"/>
                          </w:rPr>
                          <w:t>5</w:t>
                          <w:tab/>
                          <w:t>$271.00</w:t>
                          <w:tab/>
                        </w:r>
                        <w:r>
                          <w:rPr>
                            <w:sz w:val="15"/>
                          </w:rPr>
                          <w:t>14. Estudio histopatológico de</w:t>
                        </w:r>
                        <w:r>
                          <w:rPr>
                            <w:spacing w:val="9"/>
                            <w:sz w:val="15"/>
                          </w:rPr>
                          <w:t> </w:t>
                        </w:r>
                        <w:r>
                          <w:rPr>
                            <w:sz w:val="15"/>
                          </w:rPr>
                          <w:t>biopsia</w:t>
                        </w:r>
                      </w:p>
                    </w:tc>
                    <w:tc>
                      <w:tcPr>
                        <w:tcW w:w="814" w:type="dxa"/>
                      </w:tcPr>
                      <w:p>
                        <w:pPr>
                          <w:pStyle w:val="TableParagraph"/>
                          <w:spacing w:before="17"/>
                          <w:ind w:right="51"/>
                          <w:jc w:val="right"/>
                          <w:rPr>
                            <w:sz w:val="15"/>
                          </w:rPr>
                        </w:pPr>
                        <w:r>
                          <w:rPr>
                            <w:sz w:val="15"/>
                          </w:rPr>
                          <w:t>$217.00</w:t>
                        </w:r>
                      </w:p>
                    </w:tc>
                  </w:tr>
                  <w:tr>
                    <w:trPr>
                      <w:trHeight w:val="209" w:hRule="atLeast"/>
                    </w:trPr>
                    <w:tc>
                      <w:tcPr>
                        <w:tcW w:w="15870" w:type="dxa"/>
                        <w:gridSpan w:val="3"/>
                      </w:tcPr>
                      <w:p>
                        <w:pPr>
                          <w:pStyle w:val="TableParagraph"/>
                          <w:tabs>
                            <w:tab w:pos="4452" w:val="left" w:leader="none"/>
                            <w:tab w:pos="11672" w:val="left" w:leader="none"/>
                          </w:tabs>
                          <w:spacing w:line="172" w:lineRule="exact" w:before="17"/>
                          <w:ind w:left="50"/>
                          <w:rPr>
                            <w:sz w:val="15"/>
                          </w:rPr>
                        </w:pPr>
                        <w:r>
                          <w:rPr>
                            <w:position w:val="-6"/>
                            <w:sz w:val="15"/>
                          </w:rPr>
                          <w:t>24.</w:t>
                        </w:r>
                        <w:r>
                          <w:rPr>
                            <w:spacing w:val="3"/>
                            <w:position w:val="-6"/>
                            <w:sz w:val="15"/>
                          </w:rPr>
                          <w:t> </w:t>
                        </w:r>
                        <w:r>
                          <w:rPr>
                            <w:position w:val="-6"/>
                            <w:sz w:val="15"/>
                          </w:rPr>
                          <w:t>Ena</w:t>
                        </w:r>
                        <w:r>
                          <w:rPr>
                            <w:spacing w:val="4"/>
                            <w:position w:val="-6"/>
                            <w:sz w:val="15"/>
                          </w:rPr>
                          <w:t> </w:t>
                        </w:r>
                        <w:r>
                          <w:rPr>
                            <w:position w:val="-6"/>
                            <w:sz w:val="15"/>
                          </w:rPr>
                          <w:t>6</w:t>
                          <w:tab/>
                          <w:t>$271.00</w:t>
                          <w:tab/>
                        </w:r>
                        <w:r>
                          <w:rPr>
                            <w:sz w:val="15"/>
                          </w:rPr>
                          <w:t>15. Examen serológico (toxoplasma y</w:t>
                        </w:r>
                        <w:r>
                          <w:rPr>
                            <w:spacing w:val="32"/>
                            <w:sz w:val="15"/>
                          </w:rPr>
                          <w:t> </w:t>
                        </w:r>
                        <w:r>
                          <w:rPr>
                            <w:sz w:val="15"/>
                          </w:rPr>
                          <w:t>citomegalovirus)</w:t>
                        </w:r>
                      </w:p>
                    </w:tc>
                    <w:tc>
                      <w:tcPr>
                        <w:tcW w:w="814" w:type="dxa"/>
                      </w:tcPr>
                      <w:p>
                        <w:pPr>
                          <w:pStyle w:val="TableParagraph"/>
                          <w:spacing w:before="17"/>
                          <w:ind w:right="52"/>
                          <w:jc w:val="right"/>
                          <w:rPr>
                            <w:sz w:val="15"/>
                          </w:rPr>
                        </w:pPr>
                        <w:r>
                          <w:rPr>
                            <w:sz w:val="15"/>
                          </w:rPr>
                          <w:t>$317.00</w:t>
                        </w:r>
                      </w:p>
                    </w:tc>
                  </w:tr>
                  <w:tr>
                    <w:trPr>
                      <w:trHeight w:val="209" w:hRule="atLeast"/>
                    </w:trPr>
                    <w:tc>
                      <w:tcPr>
                        <w:tcW w:w="15870" w:type="dxa"/>
                        <w:gridSpan w:val="3"/>
                      </w:tcPr>
                      <w:p>
                        <w:pPr>
                          <w:pStyle w:val="TableParagraph"/>
                          <w:tabs>
                            <w:tab w:pos="4537" w:val="left" w:leader="none"/>
                            <w:tab w:pos="11672" w:val="left" w:leader="none"/>
                          </w:tabs>
                          <w:spacing w:line="176" w:lineRule="exact" w:before="13"/>
                          <w:ind w:left="50"/>
                          <w:rPr>
                            <w:sz w:val="15"/>
                          </w:rPr>
                        </w:pPr>
                        <w:r>
                          <w:rPr>
                            <w:sz w:val="15"/>
                          </w:rPr>
                          <w:t>25. Eosinofilos en</w:t>
                        </w:r>
                        <w:r>
                          <w:rPr>
                            <w:spacing w:val="22"/>
                            <w:sz w:val="15"/>
                          </w:rPr>
                          <w:t> </w:t>
                        </w:r>
                        <w:r>
                          <w:rPr>
                            <w:sz w:val="15"/>
                          </w:rPr>
                          <w:t>moco</w:t>
                        </w:r>
                        <w:r>
                          <w:rPr>
                            <w:spacing w:val="8"/>
                            <w:sz w:val="15"/>
                          </w:rPr>
                          <w:t> </w:t>
                        </w:r>
                        <w:r>
                          <w:rPr>
                            <w:sz w:val="15"/>
                          </w:rPr>
                          <w:t>nasal</w:t>
                          <w:tab/>
                          <w:t>$49.00</w:t>
                          <w:tab/>
                        </w:r>
                        <w:r>
                          <w:rPr>
                            <w:position w:val="7"/>
                            <w:sz w:val="15"/>
                          </w:rPr>
                          <w:t>16. Fenilcetona en</w:t>
                        </w:r>
                        <w:r>
                          <w:rPr>
                            <w:spacing w:val="5"/>
                            <w:position w:val="7"/>
                            <w:sz w:val="15"/>
                          </w:rPr>
                          <w:t> </w:t>
                        </w:r>
                        <w:r>
                          <w:rPr>
                            <w:position w:val="7"/>
                            <w:sz w:val="15"/>
                          </w:rPr>
                          <w:t>orina</w:t>
                        </w:r>
                      </w:p>
                    </w:tc>
                    <w:tc>
                      <w:tcPr>
                        <w:tcW w:w="814" w:type="dxa"/>
                      </w:tcPr>
                      <w:p>
                        <w:pPr>
                          <w:pStyle w:val="TableParagraph"/>
                          <w:spacing w:before="17"/>
                          <w:ind w:right="51"/>
                          <w:jc w:val="right"/>
                          <w:rPr>
                            <w:sz w:val="15"/>
                          </w:rPr>
                        </w:pPr>
                        <w:r>
                          <w:rPr>
                            <w:sz w:val="15"/>
                          </w:rPr>
                          <w:t>$410.00</w:t>
                        </w:r>
                      </w:p>
                    </w:tc>
                  </w:tr>
                  <w:tr>
                    <w:trPr>
                      <w:trHeight w:val="209" w:hRule="atLeast"/>
                    </w:trPr>
                    <w:tc>
                      <w:tcPr>
                        <w:tcW w:w="15870" w:type="dxa"/>
                        <w:gridSpan w:val="3"/>
                      </w:tcPr>
                      <w:p>
                        <w:pPr>
                          <w:pStyle w:val="TableParagraph"/>
                          <w:tabs>
                            <w:tab w:pos="4452" w:val="left" w:leader="none"/>
                            <w:tab w:pos="11672" w:val="left" w:leader="none"/>
                          </w:tabs>
                          <w:spacing w:line="176" w:lineRule="exact" w:before="13"/>
                          <w:ind w:left="50"/>
                          <w:rPr>
                            <w:sz w:val="15"/>
                          </w:rPr>
                        </w:pPr>
                        <w:r>
                          <w:rPr>
                            <w:sz w:val="15"/>
                          </w:rPr>
                          <w:t>26. Factor</w:t>
                        </w:r>
                        <w:r>
                          <w:rPr>
                            <w:spacing w:val="15"/>
                            <w:sz w:val="15"/>
                          </w:rPr>
                          <w:t> </w:t>
                        </w:r>
                        <w:r>
                          <w:rPr>
                            <w:sz w:val="15"/>
                          </w:rPr>
                          <w:t>reumatoide</w:t>
                        </w:r>
                        <w:r>
                          <w:rPr>
                            <w:spacing w:val="8"/>
                            <w:sz w:val="15"/>
                          </w:rPr>
                          <w:t> </w:t>
                        </w:r>
                        <w:r>
                          <w:rPr>
                            <w:sz w:val="15"/>
                          </w:rPr>
                          <w:t>(FR)</w:t>
                          <w:tab/>
                          <w:t>$144.00</w:t>
                          <w:tab/>
                        </w:r>
                        <w:r>
                          <w:rPr>
                            <w:position w:val="7"/>
                            <w:sz w:val="15"/>
                          </w:rPr>
                          <w:t>17.</w:t>
                        </w:r>
                        <w:r>
                          <w:rPr>
                            <w:spacing w:val="2"/>
                            <w:position w:val="7"/>
                            <w:sz w:val="15"/>
                          </w:rPr>
                          <w:t> </w:t>
                        </w:r>
                        <w:r>
                          <w:rPr>
                            <w:position w:val="7"/>
                            <w:sz w:val="15"/>
                          </w:rPr>
                          <w:t>Microproteinas</w:t>
                        </w:r>
                      </w:p>
                    </w:tc>
                    <w:tc>
                      <w:tcPr>
                        <w:tcW w:w="814" w:type="dxa"/>
                      </w:tcPr>
                      <w:p>
                        <w:pPr>
                          <w:pStyle w:val="TableParagraph"/>
                          <w:spacing w:before="17"/>
                          <w:ind w:right="51"/>
                          <w:jc w:val="right"/>
                          <w:rPr>
                            <w:sz w:val="15"/>
                          </w:rPr>
                        </w:pPr>
                        <w:r>
                          <w:rPr>
                            <w:sz w:val="15"/>
                          </w:rPr>
                          <w:t>$229.00</w:t>
                        </w:r>
                      </w:p>
                    </w:tc>
                  </w:tr>
                  <w:tr>
                    <w:trPr>
                      <w:trHeight w:val="209" w:hRule="atLeast"/>
                    </w:trPr>
                    <w:tc>
                      <w:tcPr>
                        <w:tcW w:w="15870" w:type="dxa"/>
                        <w:gridSpan w:val="3"/>
                      </w:tcPr>
                      <w:p>
                        <w:pPr>
                          <w:pStyle w:val="TableParagraph"/>
                          <w:tabs>
                            <w:tab w:pos="4451" w:val="left" w:leader="none"/>
                            <w:tab w:pos="11672" w:val="left" w:leader="none"/>
                          </w:tabs>
                          <w:spacing w:line="176" w:lineRule="exact" w:before="13"/>
                          <w:ind w:left="50"/>
                          <w:rPr>
                            <w:sz w:val="15"/>
                          </w:rPr>
                        </w:pPr>
                        <w:r>
                          <w:rPr>
                            <w:sz w:val="15"/>
                          </w:rPr>
                          <w:t>27. Fracción c3 del</w:t>
                        </w:r>
                        <w:r>
                          <w:rPr>
                            <w:spacing w:val="31"/>
                            <w:sz w:val="15"/>
                          </w:rPr>
                          <w:t> </w:t>
                        </w:r>
                        <w:r>
                          <w:rPr>
                            <w:sz w:val="15"/>
                          </w:rPr>
                          <w:t>complemento</w:t>
                        </w:r>
                        <w:r>
                          <w:rPr>
                            <w:spacing w:val="8"/>
                            <w:sz w:val="15"/>
                          </w:rPr>
                          <w:t> </w:t>
                        </w:r>
                        <w:r>
                          <w:rPr>
                            <w:sz w:val="15"/>
                          </w:rPr>
                          <w:t>(C3)</w:t>
                          <w:tab/>
                          <w:t>$201.00</w:t>
                          <w:tab/>
                        </w:r>
                        <w:r>
                          <w:rPr>
                            <w:position w:val="7"/>
                            <w:sz w:val="15"/>
                          </w:rPr>
                          <w:t>18. Niveles séricos de</w:t>
                        </w:r>
                        <w:r>
                          <w:rPr>
                            <w:spacing w:val="7"/>
                            <w:position w:val="7"/>
                            <w:sz w:val="15"/>
                          </w:rPr>
                          <w:t> </w:t>
                        </w:r>
                        <w:r>
                          <w:rPr>
                            <w:position w:val="7"/>
                            <w:sz w:val="15"/>
                          </w:rPr>
                          <w:t>fármacos</w:t>
                        </w:r>
                      </w:p>
                    </w:tc>
                    <w:tc>
                      <w:tcPr>
                        <w:tcW w:w="814" w:type="dxa"/>
                      </w:tcPr>
                      <w:p>
                        <w:pPr>
                          <w:pStyle w:val="TableParagraph"/>
                          <w:spacing w:before="17"/>
                          <w:ind w:right="51"/>
                          <w:jc w:val="right"/>
                          <w:rPr>
                            <w:sz w:val="15"/>
                          </w:rPr>
                        </w:pPr>
                        <w:r>
                          <w:rPr>
                            <w:sz w:val="15"/>
                          </w:rPr>
                          <w:t>$255.00</w:t>
                        </w:r>
                      </w:p>
                    </w:tc>
                  </w:tr>
                  <w:tr>
                    <w:trPr>
                      <w:trHeight w:val="209" w:hRule="atLeast"/>
                    </w:trPr>
                    <w:tc>
                      <w:tcPr>
                        <w:tcW w:w="15870" w:type="dxa"/>
                        <w:gridSpan w:val="3"/>
                      </w:tcPr>
                      <w:p>
                        <w:pPr>
                          <w:pStyle w:val="TableParagraph"/>
                          <w:tabs>
                            <w:tab w:pos="4451" w:val="left" w:leader="none"/>
                            <w:tab w:pos="11672" w:val="left" w:leader="none"/>
                          </w:tabs>
                          <w:spacing w:line="172" w:lineRule="exact" w:before="17"/>
                          <w:ind w:left="50"/>
                          <w:rPr>
                            <w:sz w:val="15"/>
                          </w:rPr>
                        </w:pPr>
                        <w:r>
                          <w:rPr>
                            <w:position w:val="-6"/>
                            <w:sz w:val="15"/>
                          </w:rPr>
                          <w:t>28. Fracción c4 del</w:t>
                        </w:r>
                        <w:r>
                          <w:rPr>
                            <w:spacing w:val="31"/>
                            <w:position w:val="-6"/>
                            <w:sz w:val="15"/>
                          </w:rPr>
                          <w:t> </w:t>
                        </w:r>
                        <w:r>
                          <w:rPr>
                            <w:position w:val="-6"/>
                            <w:sz w:val="15"/>
                          </w:rPr>
                          <w:t>complemento</w:t>
                        </w:r>
                        <w:r>
                          <w:rPr>
                            <w:spacing w:val="8"/>
                            <w:position w:val="-6"/>
                            <w:sz w:val="15"/>
                          </w:rPr>
                          <w:t> </w:t>
                        </w:r>
                        <w:r>
                          <w:rPr>
                            <w:position w:val="-6"/>
                            <w:sz w:val="15"/>
                          </w:rPr>
                          <w:t>(C4)</w:t>
                          <w:tab/>
                          <w:t>$201.00</w:t>
                          <w:tab/>
                        </w:r>
                        <w:r>
                          <w:rPr>
                            <w:sz w:val="15"/>
                          </w:rPr>
                          <w:t>19. Perfil de lípidos 3 (colesterol, triglicéridos y</w:t>
                        </w:r>
                        <w:r>
                          <w:rPr>
                            <w:spacing w:val="30"/>
                            <w:sz w:val="15"/>
                          </w:rPr>
                          <w:t> </w:t>
                        </w:r>
                        <w:r>
                          <w:rPr>
                            <w:sz w:val="15"/>
                          </w:rPr>
                          <w:t>hdl)</w:t>
                        </w:r>
                      </w:p>
                    </w:tc>
                    <w:tc>
                      <w:tcPr>
                        <w:tcW w:w="814" w:type="dxa"/>
                      </w:tcPr>
                      <w:p>
                        <w:pPr>
                          <w:pStyle w:val="TableParagraph"/>
                          <w:spacing w:before="17"/>
                          <w:ind w:right="50"/>
                          <w:jc w:val="right"/>
                          <w:rPr>
                            <w:sz w:val="15"/>
                          </w:rPr>
                        </w:pPr>
                        <w:r>
                          <w:rPr>
                            <w:sz w:val="15"/>
                          </w:rPr>
                          <w:t>$259.00</w:t>
                        </w:r>
                      </w:p>
                    </w:tc>
                  </w:tr>
                  <w:tr>
                    <w:trPr>
                      <w:trHeight w:val="209" w:hRule="atLeast"/>
                    </w:trPr>
                    <w:tc>
                      <w:tcPr>
                        <w:tcW w:w="15870" w:type="dxa"/>
                        <w:gridSpan w:val="3"/>
                      </w:tcPr>
                      <w:p>
                        <w:pPr>
                          <w:pStyle w:val="TableParagraph"/>
                          <w:tabs>
                            <w:tab w:pos="4451" w:val="left" w:leader="none"/>
                            <w:tab w:pos="11672" w:val="left" w:leader="none"/>
                          </w:tabs>
                          <w:spacing w:line="172" w:lineRule="exact" w:before="17"/>
                          <w:ind w:left="50"/>
                          <w:rPr>
                            <w:sz w:val="15"/>
                          </w:rPr>
                        </w:pPr>
                        <w:r>
                          <w:rPr>
                            <w:position w:val="-6"/>
                            <w:sz w:val="15"/>
                          </w:rPr>
                          <w:t>29. Hbsag</w:t>
                        </w:r>
                        <w:r>
                          <w:rPr>
                            <w:spacing w:val="18"/>
                            <w:position w:val="-6"/>
                            <w:sz w:val="15"/>
                          </w:rPr>
                          <w:t> </w:t>
                        </w:r>
                        <w:r>
                          <w:rPr>
                            <w:position w:val="-6"/>
                            <w:sz w:val="15"/>
                          </w:rPr>
                          <w:t>(antígeno</w:t>
                        </w:r>
                        <w:r>
                          <w:rPr>
                            <w:spacing w:val="9"/>
                            <w:position w:val="-6"/>
                            <w:sz w:val="15"/>
                          </w:rPr>
                          <w:t> </w:t>
                        </w:r>
                        <w:r>
                          <w:rPr>
                            <w:position w:val="-6"/>
                            <w:sz w:val="15"/>
                          </w:rPr>
                          <w:t>Australia)</w:t>
                          <w:tab/>
                          <w:t>$210.00</w:t>
                          <w:tab/>
                        </w:r>
                        <w:r>
                          <w:rPr>
                            <w:sz w:val="15"/>
                          </w:rPr>
                          <w:t>20. Perfil de lípidos 4 (colesterol, triglicéridos, hdl y</w:t>
                        </w:r>
                        <w:r>
                          <w:rPr>
                            <w:spacing w:val="40"/>
                            <w:sz w:val="15"/>
                          </w:rPr>
                          <w:t> </w:t>
                        </w:r>
                        <w:r>
                          <w:rPr>
                            <w:sz w:val="15"/>
                          </w:rPr>
                          <w:t>ld)</w:t>
                        </w:r>
                      </w:p>
                    </w:tc>
                    <w:tc>
                      <w:tcPr>
                        <w:tcW w:w="814" w:type="dxa"/>
                      </w:tcPr>
                      <w:p>
                        <w:pPr>
                          <w:pStyle w:val="TableParagraph"/>
                          <w:spacing w:before="17"/>
                          <w:ind w:right="50"/>
                          <w:jc w:val="right"/>
                          <w:rPr>
                            <w:sz w:val="15"/>
                          </w:rPr>
                        </w:pPr>
                        <w:r>
                          <w:rPr>
                            <w:sz w:val="15"/>
                          </w:rPr>
                          <w:t>$370.00</w:t>
                        </w:r>
                      </w:p>
                    </w:tc>
                  </w:tr>
                  <w:tr>
                    <w:trPr>
                      <w:trHeight w:val="209" w:hRule="atLeast"/>
                    </w:trPr>
                    <w:tc>
                      <w:tcPr>
                        <w:tcW w:w="15870" w:type="dxa"/>
                        <w:gridSpan w:val="3"/>
                      </w:tcPr>
                      <w:p>
                        <w:pPr>
                          <w:pStyle w:val="TableParagraph"/>
                          <w:tabs>
                            <w:tab w:pos="4452" w:val="left" w:leader="none"/>
                            <w:tab w:pos="11672" w:val="left" w:leader="none"/>
                          </w:tabs>
                          <w:spacing w:line="172" w:lineRule="exact" w:before="17"/>
                          <w:ind w:left="50"/>
                          <w:rPr>
                            <w:sz w:val="15"/>
                          </w:rPr>
                        </w:pPr>
                        <w:r>
                          <w:rPr>
                            <w:position w:val="-6"/>
                            <w:sz w:val="15"/>
                          </w:rPr>
                          <w:t>30.</w:t>
                        </w:r>
                        <w:r>
                          <w:rPr>
                            <w:spacing w:val="6"/>
                            <w:position w:val="-6"/>
                            <w:sz w:val="15"/>
                          </w:rPr>
                          <w:t> </w:t>
                        </w:r>
                        <w:r>
                          <w:rPr>
                            <w:position w:val="-6"/>
                            <w:sz w:val="15"/>
                          </w:rPr>
                          <w:t>IGE</w:t>
                        </w:r>
                        <w:r>
                          <w:rPr>
                            <w:spacing w:val="7"/>
                            <w:position w:val="-6"/>
                            <w:sz w:val="15"/>
                          </w:rPr>
                          <w:t> </w:t>
                        </w:r>
                        <w:r>
                          <w:rPr>
                            <w:position w:val="-6"/>
                            <w:sz w:val="15"/>
                          </w:rPr>
                          <w:t>específica</w:t>
                          <w:tab/>
                          <w:t>$441.00</w:t>
                          <w:tab/>
                        </w:r>
                        <w:r>
                          <w:rPr>
                            <w:sz w:val="15"/>
                          </w:rPr>
                          <w:t>21. Perfil hemostasia</w:t>
                        </w:r>
                        <w:r>
                          <w:rPr>
                            <w:spacing w:val="6"/>
                            <w:sz w:val="15"/>
                          </w:rPr>
                          <w:t> </w:t>
                        </w:r>
                        <w:r>
                          <w:rPr>
                            <w:sz w:val="15"/>
                          </w:rPr>
                          <w:t>primaria</w:t>
                        </w:r>
                      </w:p>
                    </w:tc>
                    <w:tc>
                      <w:tcPr>
                        <w:tcW w:w="814" w:type="dxa"/>
                      </w:tcPr>
                      <w:p>
                        <w:pPr>
                          <w:pStyle w:val="TableParagraph"/>
                          <w:spacing w:before="17"/>
                          <w:ind w:right="50"/>
                          <w:jc w:val="right"/>
                          <w:rPr>
                            <w:sz w:val="15"/>
                          </w:rPr>
                        </w:pPr>
                        <w:r>
                          <w:rPr>
                            <w:sz w:val="15"/>
                          </w:rPr>
                          <w:t>$176.00</w:t>
                        </w:r>
                      </w:p>
                    </w:tc>
                  </w:tr>
                  <w:tr>
                    <w:trPr>
                      <w:trHeight w:val="190" w:hRule="atLeast"/>
                    </w:trPr>
                    <w:tc>
                      <w:tcPr>
                        <w:tcW w:w="15870" w:type="dxa"/>
                        <w:gridSpan w:val="3"/>
                      </w:tcPr>
                      <w:p>
                        <w:pPr>
                          <w:pStyle w:val="TableParagraph"/>
                          <w:tabs>
                            <w:tab w:pos="4452" w:val="left" w:leader="none"/>
                            <w:tab w:pos="11672" w:val="left" w:leader="none"/>
                          </w:tabs>
                          <w:spacing w:line="157" w:lineRule="exact" w:before="13"/>
                          <w:ind w:left="50"/>
                          <w:rPr>
                            <w:sz w:val="15"/>
                          </w:rPr>
                        </w:pPr>
                        <w:r>
                          <w:rPr>
                            <w:sz w:val="15"/>
                          </w:rPr>
                          <w:t>31. Inmunoglobulina</w:t>
                        </w:r>
                        <w:r>
                          <w:rPr>
                            <w:spacing w:val="16"/>
                            <w:sz w:val="15"/>
                          </w:rPr>
                          <w:t> </w:t>
                        </w:r>
                        <w:r>
                          <w:rPr>
                            <w:sz w:val="15"/>
                          </w:rPr>
                          <w:t>A</w:t>
                        </w:r>
                        <w:r>
                          <w:rPr>
                            <w:spacing w:val="9"/>
                            <w:sz w:val="15"/>
                          </w:rPr>
                          <w:t> </w:t>
                        </w:r>
                        <w:r>
                          <w:rPr>
                            <w:sz w:val="15"/>
                          </w:rPr>
                          <w:t>(IGA)</w:t>
                          <w:tab/>
                          <w:t>$232.00</w:t>
                          <w:tab/>
                        </w:r>
                        <w:r>
                          <w:rPr>
                            <w:position w:val="7"/>
                            <w:sz w:val="15"/>
                          </w:rPr>
                          <w:t>22. Perfil hemostasia</w:t>
                        </w:r>
                        <w:r>
                          <w:rPr>
                            <w:spacing w:val="5"/>
                            <w:position w:val="7"/>
                            <w:sz w:val="15"/>
                          </w:rPr>
                          <w:t> </w:t>
                        </w:r>
                        <w:r>
                          <w:rPr>
                            <w:position w:val="7"/>
                            <w:sz w:val="15"/>
                          </w:rPr>
                          <w:t>secundaria</w:t>
                        </w:r>
                      </w:p>
                    </w:tc>
                    <w:tc>
                      <w:tcPr>
                        <w:tcW w:w="814" w:type="dxa"/>
                      </w:tcPr>
                      <w:p>
                        <w:pPr>
                          <w:pStyle w:val="TableParagraph"/>
                          <w:spacing w:line="153" w:lineRule="exact" w:before="17"/>
                          <w:ind w:right="50"/>
                          <w:jc w:val="right"/>
                          <w:rPr>
                            <w:sz w:val="15"/>
                          </w:rPr>
                        </w:pPr>
                        <w:r>
                          <w:rPr>
                            <w:sz w:val="15"/>
                          </w:rPr>
                          <w:t>$292.00</w:t>
                        </w:r>
                      </w:p>
                    </w:tc>
                  </w:tr>
                  <w:tr>
                    <w:trPr>
                      <w:trHeight w:val="439" w:hRule="atLeast"/>
                    </w:trPr>
                    <w:tc>
                      <w:tcPr>
                        <w:tcW w:w="3569" w:type="dxa"/>
                      </w:tcPr>
                      <w:p>
                        <w:pPr>
                          <w:pStyle w:val="TableParagraph"/>
                          <w:numPr>
                            <w:ilvl w:val="0"/>
                            <w:numId w:val="166"/>
                          </w:numPr>
                          <w:tabs>
                            <w:tab w:pos="307" w:val="left" w:leader="none"/>
                          </w:tabs>
                          <w:spacing w:line="240" w:lineRule="auto" w:before="103" w:after="0"/>
                          <w:ind w:left="306" w:right="0" w:hanging="257"/>
                          <w:jc w:val="left"/>
                          <w:rPr>
                            <w:sz w:val="15"/>
                          </w:rPr>
                        </w:pPr>
                        <w:r>
                          <w:rPr>
                            <w:sz w:val="15"/>
                          </w:rPr>
                          <w:t>Inmunoglobulina  E</w:t>
                        </w:r>
                        <w:r>
                          <w:rPr>
                            <w:spacing w:val="-2"/>
                            <w:sz w:val="15"/>
                          </w:rPr>
                          <w:t> </w:t>
                        </w:r>
                        <w:r>
                          <w:rPr>
                            <w:sz w:val="15"/>
                          </w:rPr>
                          <w:t>(IGE)</w:t>
                        </w:r>
                      </w:p>
                      <w:p>
                        <w:pPr>
                          <w:pStyle w:val="TableParagraph"/>
                          <w:numPr>
                            <w:ilvl w:val="0"/>
                            <w:numId w:val="166"/>
                          </w:numPr>
                          <w:tabs>
                            <w:tab w:pos="307" w:val="left" w:leader="none"/>
                          </w:tabs>
                          <w:spacing w:line="106" w:lineRule="exact" w:before="37" w:after="0"/>
                          <w:ind w:left="306" w:right="0" w:hanging="257"/>
                          <w:jc w:val="left"/>
                          <w:rPr>
                            <w:sz w:val="15"/>
                          </w:rPr>
                        </w:pPr>
                        <w:r>
                          <w:rPr>
                            <w:sz w:val="15"/>
                          </w:rPr>
                          <w:t>Inmunoglobulina  G</w:t>
                        </w:r>
                        <w:r>
                          <w:rPr>
                            <w:spacing w:val="-2"/>
                            <w:sz w:val="15"/>
                          </w:rPr>
                          <w:t> </w:t>
                        </w:r>
                        <w:r>
                          <w:rPr>
                            <w:sz w:val="15"/>
                          </w:rPr>
                          <w:t>(IGG)</w:t>
                        </w:r>
                      </w:p>
                    </w:tc>
                    <w:tc>
                      <w:tcPr>
                        <w:tcW w:w="4574" w:type="dxa"/>
                      </w:tcPr>
                      <w:p>
                        <w:pPr>
                          <w:pStyle w:val="TableParagraph"/>
                          <w:spacing w:before="103"/>
                          <w:ind w:left="883"/>
                          <w:rPr>
                            <w:sz w:val="15"/>
                          </w:rPr>
                        </w:pPr>
                        <w:r>
                          <w:rPr>
                            <w:sz w:val="15"/>
                          </w:rPr>
                          <w:t>$243.00</w:t>
                        </w:r>
                      </w:p>
                      <w:p>
                        <w:pPr>
                          <w:pStyle w:val="TableParagraph"/>
                          <w:spacing w:line="106" w:lineRule="exact" w:before="37"/>
                          <w:ind w:left="883"/>
                          <w:rPr>
                            <w:sz w:val="15"/>
                          </w:rPr>
                        </w:pPr>
                        <w:r>
                          <w:rPr>
                            <w:sz w:val="15"/>
                          </w:rPr>
                          <w:t>$243.00</w:t>
                        </w:r>
                      </w:p>
                    </w:tc>
                    <w:tc>
                      <w:tcPr>
                        <w:tcW w:w="7727" w:type="dxa"/>
                      </w:tcPr>
                      <w:p>
                        <w:pPr>
                          <w:pStyle w:val="TableParagraph"/>
                          <w:spacing w:line="244" w:lineRule="auto" w:before="36"/>
                          <w:ind w:left="3131" w:right="158" w:firstLine="397"/>
                          <w:rPr>
                            <w:sz w:val="15"/>
                          </w:rPr>
                        </w:pPr>
                        <w:r>
                          <w:rPr>
                            <w:sz w:val="15"/>
                          </w:rPr>
                          <w:t>23. Perfil hepático ó PFH (tgo, tgp, proteínas total, bilirrubinas bd, bi y bt, ggt, dhl y albumi</w:t>
                        </w:r>
                      </w:p>
                    </w:tc>
                    <w:tc>
                      <w:tcPr>
                        <w:tcW w:w="814" w:type="dxa"/>
                      </w:tcPr>
                      <w:p>
                        <w:pPr>
                          <w:pStyle w:val="TableParagraph"/>
                          <w:spacing w:before="36"/>
                          <w:ind w:right="50"/>
                          <w:jc w:val="right"/>
                          <w:rPr>
                            <w:sz w:val="15"/>
                          </w:rPr>
                        </w:pPr>
                        <w:r>
                          <w:rPr>
                            <w:sz w:val="15"/>
                          </w:rPr>
                          <w:t>$497.00</w:t>
                        </w:r>
                      </w:p>
                    </w:tc>
                  </w:tr>
                  <w:tr>
                    <w:trPr>
                      <w:trHeight w:val="143" w:hRule="atLeast"/>
                    </w:trPr>
                    <w:tc>
                      <w:tcPr>
                        <w:tcW w:w="15870" w:type="dxa"/>
                        <w:gridSpan w:val="3"/>
                      </w:tcPr>
                      <w:p>
                        <w:pPr>
                          <w:pStyle w:val="TableParagraph"/>
                          <w:spacing w:line="124" w:lineRule="exact"/>
                          <w:ind w:right="2826"/>
                          <w:jc w:val="right"/>
                          <w:rPr>
                            <w:sz w:val="15"/>
                          </w:rPr>
                        </w:pPr>
                        <w:r>
                          <w:rPr>
                            <w:sz w:val="15"/>
                          </w:rPr>
                          <w:t>24. Perfil hepatitis A</w:t>
                        </w:r>
                      </w:p>
                    </w:tc>
                    <w:tc>
                      <w:tcPr>
                        <w:tcW w:w="814" w:type="dxa"/>
                      </w:tcPr>
                      <w:p>
                        <w:pPr>
                          <w:pStyle w:val="TableParagraph"/>
                          <w:spacing w:line="124" w:lineRule="exact"/>
                          <w:ind w:right="50"/>
                          <w:jc w:val="right"/>
                          <w:rPr>
                            <w:sz w:val="15"/>
                          </w:rPr>
                        </w:pPr>
                        <w:r>
                          <w:rPr>
                            <w:sz w:val="15"/>
                          </w:rPr>
                          <w:t>$292.00</w:t>
                        </w:r>
                      </w:p>
                    </w:tc>
                  </w:tr>
                  <w:tr>
                    <w:trPr>
                      <w:trHeight w:val="190" w:hRule="atLeast"/>
                    </w:trPr>
                    <w:tc>
                      <w:tcPr>
                        <w:tcW w:w="15870" w:type="dxa"/>
                        <w:gridSpan w:val="3"/>
                      </w:tcPr>
                      <w:p>
                        <w:pPr>
                          <w:pStyle w:val="TableParagraph"/>
                          <w:tabs>
                            <w:tab w:pos="4452" w:val="left" w:leader="none"/>
                            <w:tab w:pos="11672" w:val="left" w:leader="none"/>
                          </w:tabs>
                          <w:spacing w:line="136" w:lineRule="auto"/>
                          <w:ind w:left="50"/>
                          <w:rPr>
                            <w:sz w:val="15"/>
                          </w:rPr>
                        </w:pPr>
                        <w:r>
                          <w:rPr>
                            <w:sz w:val="15"/>
                          </w:rPr>
                          <w:t>34. Inmunoglobulina</w:t>
                        </w:r>
                        <w:r>
                          <w:rPr>
                            <w:spacing w:val="17"/>
                            <w:sz w:val="15"/>
                          </w:rPr>
                          <w:t> </w:t>
                        </w:r>
                        <w:r>
                          <w:rPr>
                            <w:sz w:val="15"/>
                          </w:rPr>
                          <w:t>M</w:t>
                        </w:r>
                        <w:r>
                          <w:rPr>
                            <w:spacing w:val="8"/>
                            <w:sz w:val="15"/>
                          </w:rPr>
                          <w:t> </w:t>
                        </w:r>
                        <w:r>
                          <w:rPr>
                            <w:sz w:val="15"/>
                          </w:rPr>
                          <w:t>(IGM)</w:t>
                          <w:tab/>
                          <w:t>$243.00</w:t>
                          <w:tab/>
                        </w:r>
                        <w:r>
                          <w:rPr>
                            <w:position w:val="-7"/>
                            <w:sz w:val="15"/>
                          </w:rPr>
                          <w:t>25. Perfil hepatitis B y</w:t>
                        </w:r>
                        <w:r>
                          <w:rPr>
                            <w:spacing w:val="8"/>
                            <w:position w:val="-7"/>
                            <w:sz w:val="15"/>
                          </w:rPr>
                          <w:t> </w:t>
                        </w:r>
                        <w:r>
                          <w:rPr>
                            <w:position w:val="-7"/>
                            <w:sz w:val="15"/>
                          </w:rPr>
                          <w:t>C</w:t>
                        </w:r>
                      </w:p>
                    </w:tc>
                    <w:tc>
                      <w:tcPr>
                        <w:tcW w:w="814" w:type="dxa"/>
                      </w:tcPr>
                      <w:p>
                        <w:pPr>
                          <w:pStyle w:val="TableParagraph"/>
                          <w:spacing w:line="153" w:lineRule="exact" w:before="17"/>
                          <w:ind w:right="50"/>
                          <w:jc w:val="right"/>
                          <w:rPr>
                            <w:sz w:val="15"/>
                          </w:rPr>
                        </w:pPr>
                        <w:r>
                          <w:rPr>
                            <w:sz w:val="15"/>
                          </w:rPr>
                          <w:t>$254.00</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64"/>
        <w:gridCol w:w="1181"/>
        <w:gridCol w:w="813"/>
        <w:gridCol w:w="10743"/>
        <w:gridCol w:w="878"/>
      </w:tblGrid>
      <w:tr>
        <w:trPr>
          <w:trHeight w:val="190" w:hRule="atLeast"/>
        </w:trPr>
        <w:tc>
          <w:tcPr>
            <w:tcW w:w="3064" w:type="dxa"/>
            <w:vMerge w:val="restart"/>
          </w:tcPr>
          <w:p>
            <w:pPr>
              <w:pStyle w:val="TableParagraph"/>
              <w:rPr>
                <w:rFonts w:ascii="Times New Roman"/>
                <w:sz w:val="14"/>
              </w:rPr>
            </w:pPr>
          </w:p>
        </w:tc>
        <w:tc>
          <w:tcPr>
            <w:tcW w:w="13615" w:type="dxa"/>
            <w:gridSpan w:val="4"/>
            <w:vMerge w:val="restart"/>
          </w:tcPr>
          <w:p>
            <w:pPr>
              <w:pStyle w:val="TableParagraph"/>
              <w:rPr>
                <w:rFonts w:ascii="Times New Roman"/>
                <w:sz w:val="14"/>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vMerge/>
            <w:tcBorders>
              <w:top w:val="nil"/>
            </w:tcBorders>
          </w:tcPr>
          <w:p>
            <w:pPr>
              <w:rPr>
                <w:sz w:val="2"/>
                <w:szCs w:val="2"/>
              </w:rPr>
            </w:pPr>
          </w:p>
        </w:tc>
        <w:tc>
          <w:tcPr>
            <w:tcW w:w="13615" w:type="dxa"/>
            <w:gridSpan w:val="4"/>
            <w:vMerge/>
            <w:tcBorders>
              <w:top w:val="nil"/>
            </w:tcBorders>
          </w:tcPr>
          <w:p>
            <w:pPr>
              <w:rPr>
                <w:sz w:val="2"/>
                <w:szCs w:val="2"/>
              </w:rPr>
            </w:pPr>
          </w:p>
        </w:tc>
      </w:tr>
      <w:tr>
        <w:trPr>
          <w:trHeight w:val="209" w:hRule="atLeast"/>
        </w:trPr>
        <w:tc>
          <w:tcPr>
            <w:tcW w:w="3064" w:type="dxa"/>
          </w:tcPr>
          <w:p>
            <w:pPr>
              <w:pStyle w:val="TableParagraph"/>
              <w:spacing w:before="17"/>
              <w:ind w:left="50"/>
              <w:rPr>
                <w:sz w:val="15"/>
              </w:rPr>
            </w:pPr>
            <w:r>
              <w:rPr>
                <w:sz w:val="15"/>
              </w:rPr>
              <w:t>35. Mioloperoxidasa MPO</w:t>
            </w:r>
          </w:p>
        </w:tc>
        <w:tc>
          <w:tcPr>
            <w:tcW w:w="13615" w:type="dxa"/>
            <w:gridSpan w:val="4"/>
          </w:tcPr>
          <w:p>
            <w:pPr>
              <w:pStyle w:val="TableParagraph"/>
              <w:tabs>
                <w:tab w:pos="8608" w:val="left" w:leader="none"/>
                <w:tab w:pos="13010" w:val="left" w:leader="none"/>
              </w:tabs>
              <w:spacing w:line="175" w:lineRule="exact" w:before="15"/>
              <w:ind w:left="1388"/>
              <w:rPr>
                <w:sz w:val="15"/>
              </w:rPr>
            </w:pPr>
            <w:r>
              <w:rPr>
                <w:position w:val="8"/>
                <w:sz w:val="15"/>
              </w:rPr>
              <w:t>$265.00</w:t>
              <w:tab/>
            </w:r>
            <w:r>
              <w:rPr>
                <w:sz w:val="15"/>
              </w:rPr>
              <w:t>26.   Perfil   hormonal   (fsh,   lh,   progesterona,</w:t>
            </w:r>
            <w:r>
              <w:rPr>
                <w:spacing w:val="-2"/>
                <w:sz w:val="15"/>
              </w:rPr>
              <w:t> </w:t>
            </w:r>
            <w:r>
              <w:rPr>
                <w:sz w:val="15"/>
              </w:rPr>
              <w:t>estradiol </w:t>
            </w:r>
            <w:r>
              <w:rPr>
                <w:spacing w:val="27"/>
                <w:sz w:val="15"/>
              </w:rPr>
              <w:t> </w:t>
            </w:r>
            <w:r>
              <w:rPr>
                <w:sz w:val="15"/>
              </w:rPr>
              <w:t>y</w:t>
              <w:tab/>
              <w:t>$755.00</w:t>
            </w:r>
          </w:p>
        </w:tc>
      </w:tr>
      <w:tr>
        <w:trPr>
          <w:trHeight w:val="232" w:hRule="atLeast"/>
        </w:trPr>
        <w:tc>
          <w:tcPr>
            <w:tcW w:w="3064" w:type="dxa"/>
          </w:tcPr>
          <w:p>
            <w:pPr>
              <w:pStyle w:val="TableParagraph"/>
              <w:spacing w:line="171" w:lineRule="exact"/>
              <w:ind w:left="50"/>
              <w:rPr>
                <w:sz w:val="15"/>
              </w:rPr>
            </w:pPr>
            <w:r>
              <w:rPr>
                <w:sz w:val="15"/>
              </w:rPr>
              <w:t>36. P-Anca</w:t>
            </w:r>
          </w:p>
        </w:tc>
        <w:tc>
          <w:tcPr>
            <w:tcW w:w="1181" w:type="dxa"/>
          </w:tcPr>
          <w:p>
            <w:pPr>
              <w:pStyle w:val="TableParagraph"/>
              <w:rPr>
                <w:rFonts w:ascii="Times New Roman"/>
                <w:sz w:val="14"/>
              </w:rPr>
            </w:pPr>
          </w:p>
        </w:tc>
        <w:tc>
          <w:tcPr>
            <w:tcW w:w="813" w:type="dxa"/>
          </w:tcPr>
          <w:p>
            <w:pPr>
              <w:pStyle w:val="TableParagraph"/>
              <w:spacing w:line="171" w:lineRule="exact"/>
              <w:ind w:right="46"/>
              <w:jc w:val="right"/>
              <w:rPr>
                <w:sz w:val="15"/>
              </w:rPr>
            </w:pPr>
            <w:r>
              <w:rPr>
                <w:sz w:val="15"/>
              </w:rPr>
              <w:t>$298.00</w:t>
            </w:r>
          </w:p>
        </w:tc>
        <w:tc>
          <w:tcPr>
            <w:tcW w:w="10743" w:type="dxa"/>
          </w:tcPr>
          <w:p>
            <w:pPr>
              <w:pStyle w:val="TableParagraph"/>
              <w:spacing w:line="150" w:lineRule="exact" w:before="43"/>
              <w:ind w:left="6216"/>
              <w:rPr>
                <w:sz w:val="15"/>
              </w:rPr>
            </w:pPr>
            <w:r>
              <w:rPr>
                <w:sz w:val="15"/>
              </w:rPr>
              <w:t>prolactina)</w:t>
            </w:r>
          </w:p>
        </w:tc>
        <w:tc>
          <w:tcPr>
            <w:tcW w:w="878" w:type="dxa"/>
          </w:tcPr>
          <w:p>
            <w:pPr>
              <w:pStyle w:val="TableParagraph"/>
              <w:rPr>
                <w:rFonts w:ascii="Times New Roman"/>
                <w:sz w:val="14"/>
              </w:rPr>
            </w:pPr>
          </w:p>
        </w:tc>
      </w:tr>
      <w:tr>
        <w:trPr>
          <w:trHeight w:val="193" w:hRule="atLeast"/>
        </w:trPr>
        <w:tc>
          <w:tcPr>
            <w:tcW w:w="3064" w:type="dxa"/>
          </w:tcPr>
          <w:p>
            <w:pPr>
              <w:pStyle w:val="TableParagraph"/>
              <w:spacing w:line="168" w:lineRule="exact"/>
              <w:ind w:left="50"/>
              <w:rPr>
                <w:sz w:val="15"/>
              </w:rPr>
            </w:pPr>
            <w:r>
              <w:rPr>
                <w:sz w:val="15"/>
              </w:rPr>
              <w:t>37. Proteína C reactiva (PCR)</w:t>
            </w:r>
          </w:p>
        </w:tc>
        <w:tc>
          <w:tcPr>
            <w:tcW w:w="1181" w:type="dxa"/>
          </w:tcPr>
          <w:p>
            <w:pPr>
              <w:pStyle w:val="TableParagraph"/>
              <w:rPr>
                <w:rFonts w:ascii="Times New Roman"/>
                <w:sz w:val="12"/>
              </w:rPr>
            </w:pPr>
          </w:p>
        </w:tc>
        <w:tc>
          <w:tcPr>
            <w:tcW w:w="813" w:type="dxa"/>
          </w:tcPr>
          <w:p>
            <w:pPr>
              <w:pStyle w:val="TableParagraph"/>
              <w:spacing w:line="168" w:lineRule="exact"/>
              <w:ind w:right="46"/>
              <w:jc w:val="right"/>
              <w:rPr>
                <w:sz w:val="15"/>
              </w:rPr>
            </w:pPr>
            <w:r>
              <w:rPr>
                <w:sz w:val="15"/>
              </w:rPr>
              <w:t>$116.00</w:t>
            </w:r>
          </w:p>
        </w:tc>
        <w:tc>
          <w:tcPr>
            <w:tcW w:w="10743" w:type="dxa"/>
          </w:tcPr>
          <w:p>
            <w:pPr>
              <w:pStyle w:val="TableParagraph"/>
              <w:spacing w:line="166" w:lineRule="exact" w:before="7"/>
              <w:ind w:left="6614"/>
              <w:rPr>
                <w:sz w:val="15"/>
              </w:rPr>
            </w:pPr>
            <w:r>
              <w:rPr>
                <w:sz w:val="15"/>
              </w:rPr>
              <w:t>27. Perfil cardiaco</w:t>
            </w:r>
          </w:p>
        </w:tc>
        <w:tc>
          <w:tcPr>
            <w:tcW w:w="878" w:type="dxa"/>
          </w:tcPr>
          <w:p>
            <w:pPr>
              <w:pStyle w:val="TableParagraph"/>
              <w:spacing w:line="166" w:lineRule="exact" w:before="7"/>
              <w:ind w:right="45"/>
              <w:jc w:val="right"/>
              <w:rPr>
                <w:sz w:val="15"/>
              </w:rPr>
            </w:pPr>
            <w:r>
              <w:rPr>
                <w:sz w:val="15"/>
              </w:rPr>
              <w:t>$957.00</w:t>
            </w:r>
          </w:p>
        </w:tc>
      </w:tr>
      <w:tr>
        <w:trPr>
          <w:trHeight w:val="209" w:hRule="atLeast"/>
        </w:trPr>
        <w:tc>
          <w:tcPr>
            <w:tcW w:w="3064" w:type="dxa"/>
          </w:tcPr>
          <w:p>
            <w:pPr>
              <w:pStyle w:val="TableParagraph"/>
              <w:spacing w:before="11"/>
              <w:ind w:left="50"/>
              <w:rPr>
                <w:sz w:val="15"/>
              </w:rPr>
            </w:pPr>
            <w:r>
              <w:rPr>
                <w:sz w:val="15"/>
              </w:rPr>
              <w:t>38. Proteinasa 3</w:t>
            </w:r>
          </w:p>
        </w:tc>
        <w:tc>
          <w:tcPr>
            <w:tcW w:w="1181" w:type="dxa"/>
          </w:tcPr>
          <w:p>
            <w:pPr>
              <w:pStyle w:val="TableParagraph"/>
              <w:rPr>
                <w:rFonts w:ascii="Times New Roman"/>
                <w:sz w:val="14"/>
              </w:rPr>
            </w:pPr>
          </w:p>
        </w:tc>
        <w:tc>
          <w:tcPr>
            <w:tcW w:w="813" w:type="dxa"/>
          </w:tcPr>
          <w:p>
            <w:pPr>
              <w:pStyle w:val="TableParagraph"/>
              <w:spacing w:before="11"/>
              <w:ind w:right="47"/>
              <w:jc w:val="right"/>
              <w:rPr>
                <w:sz w:val="15"/>
              </w:rPr>
            </w:pPr>
            <w:r>
              <w:rPr>
                <w:sz w:val="15"/>
              </w:rPr>
              <w:t>$254.00</w:t>
            </w:r>
          </w:p>
        </w:tc>
        <w:tc>
          <w:tcPr>
            <w:tcW w:w="10743" w:type="dxa"/>
          </w:tcPr>
          <w:p>
            <w:pPr>
              <w:pStyle w:val="TableParagraph"/>
              <w:spacing w:line="166" w:lineRule="exact" w:before="23"/>
              <w:ind w:left="6614"/>
              <w:rPr>
                <w:sz w:val="15"/>
              </w:rPr>
            </w:pPr>
            <w:r>
              <w:rPr>
                <w:sz w:val="15"/>
              </w:rPr>
              <w:t>28. Perfil óseo</w:t>
            </w:r>
          </w:p>
        </w:tc>
        <w:tc>
          <w:tcPr>
            <w:tcW w:w="878" w:type="dxa"/>
          </w:tcPr>
          <w:p>
            <w:pPr>
              <w:pStyle w:val="TableParagraph"/>
              <w:spacing w:line="166" w:lineRule="exact" w:before="23"/>
              <w:ind w:right="45"/>
              <w:jc w:val="right"/>
              <w:rPr>
                <w:sz w:val="15"/>
              </w:rPr>
            </w:pPr>
            <w:r>
              <w:rPr>
                <w:sz w:val="15"/>
              </w:rPr>
              <w:t>$345.00</w:t>
            </w:r>
          </w:p>
        </w:tc>
      </w:tr>
      <w:tr>
        <w:trPr>
          <w:trHeight w:val="209" w:hRule="atLeast"/>
        </w:trPr>
        <w:tc>
          <w:tcPr>
            <w:tcW w:w="3064" w:type="dxa"/>
          </w:tcPr>
          <w:p>
            <w:pPr>
              <w:pStyle w:val="TableParagraph"/>
              <w:spacing w:before="11"/>
              <w:ind w:left="50"/>
              <w:rPr>
                <w:sz w:val="15"/>
              </w:rPr>
            </w:pPr>
            <w:r>
              <w:rPr>
                <w:sz w:val="15"/>
              </w:rPr>
              <w:t>39. Reacciones febriles</w:t>
            </w:r>
          </w:p>
        </w:tc>
        <w:tc>
          <w:tcPr>
            <w:tcW w:w="1181" w:type="dxa"/>
          </w:tcPr>
          <w:p>
            <w:pPr>
              <w:pStyle w:val="TableParagraph"/>
              <w:rPr>
                <w:rFonts w:ascii="Times New Roman"/>
                <w:sz w:val="14"/>
              </w:rPr>
            </w:pPr>
          </w:p>
        </w:tc>
        <w:tc>
          <w:tcPr>
            <w:tcW w:w="813" w:type="dxa"/>
          </w:tcPr>
          <w:p>
            <w:pPr>
              <w:pStyle w:val="TableParagraph"/>
              <w:spacing w:before="11"/>
              <w:ind w:right="47"/>
              <w:jc w:val="right"/>
              <w:rPr>
                <w:sz w:val="15"/>
              </w:rPr>
            </w:pPr>
            <w:r>
              <w:rPr>
                <w:sz w:val="15"/>
              </w:rPr>
              <w:t>$132.00</w:t>
            </w:r>
          </w:p>
        </w:tc>
        <w:tc>
          <w:tcPr>
            <w:tcW w:w="10743" w:type="dxa"/>
          </w:tcPr>
          <w:p>
            <w:pPr>
              <w:pStyle w:val="TableParagraph"/>
              <w:spacing w:line="166" w:lineRule="exact" w:before="23"/>
              <w:ind w:left="6614"/>
              <w:rPr>
                <w:sz w:val="15"/>
              </w:rPr>
            </w:pPr>
            <w:r>
              <w:rPr>
                <w:sz w:val="15"/>
              </w:rPr>
              <w:t>29. Perfil ovárico</w:t>
            </w:r>
          </w:p>
        </w:tc>
        <w:tc>
          <w:tcPr>
            <w:tcW w:w="878" w:type="dxa"/>
          </w:tcPr>
          <w:p>
            <w:pPr>
              <w:pStyle w:val="TableParagraph"/>
              <w:spacing w:line="166" w:lineRule="exact" w:before="23"/>
              <w:ind w:right="45"/>
              <w:jc w:val="right"/>
              <w:rPr>
                <w:sz w:val="15"/>
              </w:rPr>
            </w:pPr>
            <w:r>
              <w:rPr>
                <w:sz w:val="15"/>
              </w:rPr>
              <w:t>$916.00</w:t>
            </w:r>
          </w:p>
        </w:tc>
      </w:tr>
      <w:tr>
        <w:trPr>
          <w:trHeight w:val="209" w:hRule="atLeast"/>
        </w:trPr>
        <w:tc>
          <w:tcPr>
            <w:tcW w:w="3064" w:type="dxa"/>
          </w:tcPr>
          <w:p>
            <w:pPr>
              <w:pStyle w:val="TableParagraph"/>
              <w:spacing w:before="11"/>
              <w:ind w:left="50"/>
              <w:rPr>
                <w:sz w:val="15"/>
              </w:rPr>
            </w:pPr>
            <w:r>
              <w:rPr>
                <w:sz w:val="15"/>
              </w:rPr>
              <w:t>40. Rosa de bengala</w:t>
            </w:r>
          </w:p>
        </w:tc>
        <w:tc>
          <w:tcPr>
            <w:tcW w:w="1181" w:type="dxa"/>
          </w:tcPr>
          <w:p>
            <w:pPr>
              <w:pStyle w:val="TableParagraph"/>
              <w:rPr>
                <w:rFonts w:ascii="Times New Roman"/>
                <w:sz w:val="14"/>
              </w:rPr>
            </w:pPr>
          </w:p>
        </w:tc>
        <w:tc>
          <w:tcPr>
            <w:tcW w:w="813" w:type="dxa"/>
          </w:tcPr>
          <w:p>
            <w:pPr>
              <w:pStyle w:val="TableParagraph"/>
              <w:spacing w:before="11"/>
              <w:ind w:right="47"/>
              <w:jc w:val="right"/>
              <w:rPr>
                <w:sz w:val="15"/>
              </w:rPr>
            </w:pPr>
            <w:r>
              <w:rPr>
                <w:sz w:val="15"/>
              </w:rPr>
              <w:t>$144.00</w:t>
            </w:r>
          </w:p>
        </w:tc>
        <w:tc>
          <w:tcPr>
            <w:tcW w:w="10743" w:type="dxa"/>
          </w:tcPr>
          <w:p>
            <w:pPr>
              <w:pStyle w:val="TableParagraph"/>
              <w:spacing w:line="166" w:lineRule="exact" w:before="23"/>
              <w:ind w:left="6614"/>
              <w:rPr>
                <w:sz w:val="15"/>
              </w:rPr>
            </w:pPr>
            <w:r>
              <w:rPr>
                <w:sz w:val="15"/>
              </w:rPr>
              <w:t>30. Perfil renal</w:t>
            </w:r>
          </w:p>
        </w:tc>
        <w:tc>
          <w:tcPr>
            <w:tcW w:w="878" w:type="dxa"/>
          </w:tcPr>
          <w:p>
            <w:pPr>
              <w:pStyle w:val="TableParagraph"/>
              <w:spacing w:line="166" w:lineRule="exact" w:before="23"/>
              <w:ind w:right="45"/>
              <w:jc w:val="right"/>
              <w:rPr>
                <w:sz w:val="15"/>
              </w:rPr>
            </w:pPr>
            <w:r>
              <w:rPr>
                <w:sz w:val="15"/>
              </w:rPr>
              <w:t>$219.00</w:t>
            </w:r>
          </w:p>
        </w:tc>
      </w:tr>
      <w:tr>
        <w:trPr>
          <w:trHeight w:val="209" w:hRule="atLeast"/>
        </w:trPr>
        <w:tc>
          <w:tcPr>
            <w:tcW w:w="3064" w:type="dxa"/>
          </w:tcPr>
          <w:p>
            <w:pPr>
              <w:pStyle w:val="TableParagraph"/>
              <w:spacing w:before="11"/>
              <w:ind w:left="50"/>
              <w:rPr>
                <w:sz w:val="15"/>
              </w:rPr>
            </w:pPr>
            <w:r>
              <w:rPr>
                <w:sz w:val="15"/>
              </w:rPr>
              <w:t>41. VDRL</w:t>
            </w:r>
          </w:p>
        </w:tc>
        <w:tc>
          <w:tcPr>
            <w:tcW w:w="1181" w:type="dxa"/>
          </w:tcPr>
          <w:p>
            <w:pPr>
              <w:pStyle w:val="TableParagraph"/>
              <w:rPr>
                <w:rFonts w:ascii="Times New Roman"/>
                <w:sz w:val="14"/>
              </w:rPr>
            </w:pPr>
          </w:p>
        </w:tc>
        <w:tc>
          <w:tcPr>
            <w:tcW w:w="813" w:type="dxa"/>
          </w:tcPr>
          <w:p>
            <w:pPr>
              <w:pStyle w:val="TableParagraph"/>
              <w:spacing w:before="11"/>
              <w:ind w:right="47"/>
              <w:jc w:val="right"/>
              <w:rPr>
                <w:sz w:val="15"/>
              </w:rPr>
            </w:pPr>
            <w:r>
              <w:rPr>
                <w:sz w:val="15"/>
              </w:rPr>
              <w:t>$93.00</w:t>
            </w:r>
          </w:p>
        </w:tc>
        <w:tc>
          <w:tcPr>
            <w:tcW w:w="10743" w:type="dxa"/>
          </w:tcPr>
          <w:p>
            <w:pPr>
              <w:pStyle w:val="TableParagraph"/>
              <w:spacing w:line="166" w:lineRule="exact" w:before="23"/>
              <w:ind w:left="6614"/>
              <w:rPr>
                <w:sz w:val="15"/>
              </w:rPr>
            </w:pPr>
            <w:r>
              <w:rPr>
                <w:sz w:val="15"/>
              </w:rPr>
              <w:t>31. Perfil tiroideo (tsh, t3 y t4)</w:t>
            </w:r>
          </w:p>
        </w:tc>
        <w:tc>
          <w:tcPr>
            <w:tcW w:w="878" w:type="dxa"/>
          </w:tcPr>
          <w:p>
            <w:pPr>
              <w:pStyle w:val="TableParagraph"/>
              <w:spacing w:line="166" w:lineRule="exact" w:before="23"/>
              <w:ind w:right="45"/>
              <w:jc w:val="right"/>
              <w:rPr>
                <w:sz w:val="15"/>
              </w:rPr>
            </w:pPr>
            <w:r>
              <w:rPr>
                <w:sz w:val="15"/>
              </w:rPr>
              <w:t>$309.00</w:t>
            </w:r>
          </w:p>
        </w:tc>
      </w:tr>
      <w:tr>
        <w:trPr>
          <w:trHeight w:val="209" w:hRule="atLeast"/>
        </w:trPr>
        <w:tc>
          <w:tcPr>
            <w:tcW w:w="3064" w:type="dxa"/>
          </w:tcPr>
          <w:p>
            <w:pPr>
              <w:pStyle w:val="TableParagraph"/>
              <w:spacing w:before="11"/>
              <w:ind w:left="50"/>
              <w:rPr>
                <w:sz w:val="15"/>
              </w:rPr>
            </w:pPr>
            <w:r>
              <w:rPr>
                <w:sz w:val="15"/>
              </w:rPr>
              <w:t>42. Gravindex</w:t>
            </w:r>
          </w:p>
        </w:tc>
        <w:tc>
          <w:tcPr>
            <w:tcW w:w="1181" w:type="dxa"/>
          </w:tcPr>
          <w:p>
            <w:pPr>
              <w:pStyle w:val="TableParagraph"/>
              <w:rPr>
                <w:rFonts w:ascii="Times New Roman"/>
                <w:sz w:val="14"/>
              </w:rPr>
            </w:pPr>
          </w:p>
        </w:tc>
        <w:tc>
          <w:tcPr>
            <w:tcW w:w="813" w:type="dxa"/>
          </w:tcPr>
          <w:p>
            <w:pPr>
              <w:pStyle w:val="TableParagraph"/>
              <w:spacing w:before="11"/>
              <w:ind w:right="46"/>
              <w:jc w:val="right"/>
              <w:rPr>
                <w:sz w:val="15"/>
              </w:rPr>
            </w:pPr>
            <w:r>
              <w:rPr>
                <w:sz w:val="15"/>
              </w:rPr>
              <w:t>$93.00</w:t>
            </w:r>
          </w:p>
        </w:tc>
        <w:tc>
          <w:tcPr>
            <w:tcW w:w="10743" w:type="dxa"/>
          </w:tcPr>
          <w:p>
            <w:pPr>
              <w:pStyle w:val="TableParagraph"/>
              <w:spacing w:line="166" w:lineRule="exact" w:before="23"/>
              <w:ind w:left="6614"/>
              <w:rPr>
                <w:sz w:val="15"/>
              </w:rPr>
            </w:pPr>
            <w:r>
              <w:rPr>
                <w:sz w:val="15"/>
              </w:rPr>
              <w:t>32. Perfil torch</w:t>
            </w:r>
          </w:p>
        </w:tc>
        <w:tc>
          <w:tcPr>
            <w:tcW w:w="878" w:type="dxa"/>
          </w:tcPr>
          <w:p>
            <w:pPr>
              <w:pStyle w:val="TableParagraph"/>
              <w:spacing w:line="166" w:lineRule="exact" w:before="23"/>
              <w:ind w:right="45"/>
              <w:jc w:val="right"/>
              <w:rPr>
                <w:sz w:val="15"/>
              </w:rPr>
            </w:pPr>
            <w:r>
              <w:rPr>
                <w:sz w:val="15"/>
              </w:rPr>
              <w:t>$1,026.00</w:t>
            </w:r>
          </w:p>
        </w:tc>
      </w:tr>
      <w:tr>
        <w:trPr>
          <w:trHeight w:val="209" w:hRule="atLeast"/>
        </w:trPr>
        <w:tc>
          <w:tcPr>
            <w:tcW w:w="3064" w:type="dxa"/>
          </w:tcPr>
          <w:p>
            <w:pPr>
              <w:pStyle w:val="TableParagraph"/>
              <w:spacing w:before="11"/>
              <w:ind w:left="50"/>
              <w:rPr>
                <w:sz w:val="15"/>
              </w:rPr>
            </w:pPr>
            <w:r>
              <w:rPr>
                <w:sz w:val="15"/>
              </w:rPr>
              <w:t>43. Prueba VIH</w:t>
            </w:r>
          </w:p>
        </w:tc>
        <w:tc>
          <w:tcPr>
            <w:tcW w:w="1181" w:type="dxa"/>
          </w:tcPr>
          <w:p>
            <w:pPr>
              <w:pStyle w:val="TableParagraph"/>
              <w:rPr>
                <w:rFonts w:ascii="Times New Roman"/>
                <w:sz w:val="14"/>
              </w:rPr>
            </w:pPr>
          </w:p>
        </w:tc>
        <w:tc>
          <w:tcPr>
            <w:tcW w:w="813" w:type="dxa"/>
          </w:tcPr>
          <w:p>
            <w:pPr>
              <w:pStyle w:val="TableParagraph"/>
              <w:spacing w:before="11"/>
              <w:ind w:right="46"/>
              <w:jc w:val="right"/>
              <w:rPr>
                <w:sz w:val="15"/>
              </w:rPr>
            </w:pPr>
            <w:r>
              <w:rPr>
                <w:sz w:val="15"/>
              </w:rPr>
              <w:t>$174.00</w:t>
            </w:r>
          </w:p>
        </w:tc>
        <w:tc>
          <w:tcPr>
            <w:tcW w:w="10743" w:type="dxa"/>
          </w:tcPr>
          <w:p>
            <w:pPr>
              <w:pStyle w:val="TableParagraph"/>
              <w:spacing w:line="166" w:lineRule="exact" w:before="23"/>
              <w:ind w:left="6614"/>
              <w:rPr>
                <w:sz w:val="15"/>
              </w:rPr>
            </w:pPr>
            <w:r>
              <w:rPr>
                <w:sz w:val="15"/>
              </w:rPr>
              <w:t>33. Prueba de ureasa pa h. pilory</w:t>
            </w:r>
          </w:p>
        </w:tc>
        <w:tc>
          <w:tcPr>
            <w:tcW w:w="878" w:type="dxa"/>
          </w:tcPr>
          <w:p>
            <w:pPr>
              <w:pStyle w:val="TableParagraph"/>
              <w:spacing w:line="166" w:lineRule="exact" w:before="23"/>
              <w:ind w:right="45"/>
              <w:jc w:val="right"/>
              <w:rPr>
                <w:sz w:val="15"/>
              </w:rPr>
            </w:pPr>
            <w:r>
              <w:rPr>
                <w:sz w:val="15"/>
              </w:rPr>
              <w:t>$281.00</w:t>
            </w:r>
          </w:p>
        </w:tc>
      </w:tr>
      <w:tr>
        <w:trPr>
          <w:trHeight w:val="209" w:hRule="atLeast"/>
        </w:trPr>
        <w:tc>
          <w:tcPr>
            <w:tcW w:w="3064" w:type="dxa"/>
          </w:tcPr>
          <w:p>
            <w:pPr>
              <w:pStyle w:val="TableParagraph"/>
              <w:spacing w:before="11"/>
              <w:ind w:left="50"/>
              <w:rPr>
                <w:sz w:val="15"/>
              </w:rPr>
            </w:pPr>
            <w:r>
              <w:rPr>
                <w:sz w:val="15"/>
              </w:rPr>
              <w:t>h) Orinas, excremento, semen y parásitos:</w:t>
            </w:r>
          </w:p>
        </w:tc>
        <w:tc>
          <w:tcPr>
            <w:tcW w:w="1181" w:type="dxa"/>
          </w:tcPr>
          <w:p>
            <w:pPr>
              <w:pStyle w:val="TableParagraph"/>
              <w:rPr>
                <w:rFonts w:ascii="Times New Roman"/>
                <w:sz w:val="14"/>
              </w:rPr>
            </w:pPr>
          </w:p>
        </w:tc>
        <w:tc>
          <w:tcPr>
            <w:tcW w:w="813" w:type="dxa"/>
          </w:tcPr>
          <w:p>
            <w:pPr>
              <w:pStyle w:val="TableParagraph"/>
              <w:rPr>
                <w:rFonts w:ascii="Times New Roman"/>
                <w:sz w:val="14"/>
              </w:rPr>
            </w:pPr>
          </w:p>
        </w:tc>
        <w:tc>
          <w:tcPr>
            <w:tcW w:w="10743" w:type="dxa"/>
          </w:tcPr>
          <w:p>
            <w:pPr>
              <w:pStyle w:val="TableParagraph"/>
              <w:spacing w:line="166" w:lineRule="exact" w:before="23"/>
              <w:ind w:left="6614"/>
              <w:rPr>
                <w:sz w:val="15"/>
              </w:rPr>
            </w:pPr>
            <w:r>
              <w:rPr>
                <w:sz w:val="15"/>
              </w:rPr>
              <w:t>34. Pruebas de compatibilidad</w:t>
            </w:r>
          </w:p>
        </w:tc>
        <w:tc>
          <w:tcPr>
            <w:tcW w:w="878" w:type="dxa"/>
          </w:tcPr>
          <w:p>
            <w:pPr>
              <w:pStyle w:val="TableParagraph"/>
              <w:spacing w:line="166" w:lineRule="exact" w:before="23"/>
              <w:ind w:right="46"/>
              <w:jc w:val="right"/>
              <w:rPr>
                <w:sz w:val="15"/>
              </w:rPr>
            </w:pPr>
            <w:r>
              <w:rPr>
                <w:sz w:val="15"/>
              </w:rPr>
              <w:t>$358.00</w:t>
            </w:r>
          </w:p>
        </w:tc>
      </w:tr>
      <w:tr>
        <w:trPr>
          <w:trHeight w:val="209" w:hRule="atLeast"/>
        </w:trPr>
        <w:tc>
          <w:tcPr>
            <w:tcW w:w="3064" w:type="dxa"/>
          </w:tcPr>
          <w:p>
            <w:pPr>
              <w:pStyle w:val="TableParagraph"/>
              <w:spacing w:before="11"/>
              <w:ind w:left="50"/>
              <w:rPr>
                <w:sz w:val="15"/>
              </w:rPr>
            </w:pPr>
            <w:r>
              <w:rPr>
                <w:sz w:val="15"/>
              </w:rPr>
              <w:t>1. Amiba en fresco</w:t>
            </w:r>
          </w:p>
        </w:tc>
        <w:tc>
          <w:tcPr>
            <w:tcW w:w="1181" w:type="dxa"/>
          </w:tcPr>
          <w:p>
            <w:pPr>
              <w:pStyle w:val="TableParagraph"/>
              <w:rPr>
                <w:rFonts w:ascii="Times New Roman"/>
                <w:sz w:val="14"/>
              </w:rPr>
            </w:pPr>
          </w:p>
        </w:tc>
        <w:tc>
          <w:tcPr>
            <w:tcW w:w="813" w:type="dxa"/>
          </w:tcPr>
          <w:p>
            <w:pPr>
              <w:pStyle w:val="TableParagraph"/>
              <w:spacing w:before="11"/>
              <w:ind w:right="46"/>
              <w:jc w:val="right"/>
              <w:rPr>
                <w:sz w:val="15"/>
              </w:rPr>
            </w:pPr>
            <w:r>
              <w:rPr>
                <w:sz w:val="15"/>
              </w:rPr>
              <w:t>$110.00</w:t>
            </w:r>
          </w:p>
        </w:tc>
        <w:tc>
          <w:tcPr>
            <w:tcW w:w="10743" w:type="dxa"/>
          </w:tcPr>
          <w:p>
            <w:pPr>
              <w:pStyle w:val="TableParagraph"/>
              <w:spacing w:line="166" w:lineRule="exact" w:before="23"/>
              <w:ind w:left="6614"/>
              <w:rPr>
                <w:sz w:val="15"/>
              </w:rPr>
            </w:pPr>
            <w:r>
              <w:rPr>
                <w:sz w:val="15"/>
              </w:rPr>
              <w:t>35. Química sanguínea 3 (glucosa, urea y creatinina)</w:t>
            </w:r>
          </w:p>
        </w:tc>
        <w:tc>
          <w:tcPr>
            <w:tcW w:w="878" w:type="dxa"/>
          </w:tcPr>
          <w:p>
            <w:pPr>
              <w:pStyle w:val="TableParagraph"/>
              <w:spacing w:line="166" w:lineRule="exact" w:before="23"/>
              <w:ind w:right="47"/>
              <w:jc w:val="right"/>
              <w:rPr>
                <w:sz w:val="15"/>
              </w:rPr>
            </w:pPr>
            <w:r>
              <w:rPr>
                <w:sz w:val="15"/>
              </w:rPr>
              <w:t>$160.00</w:t>
            </w:r>
          </w:p>
        </w:tc>
      </w:tr>
      <w:tr>
        <w:trPr>
          <w:trHeight w:val="199" w:hRule="atLeast"/>
        </w:trPr>
        <w:tc>
          <w:tcPr>
            <w:tcW w:w="3064" w:type="dxa"/>
          </w:tcPr>
          <w:p>
            <w:pPr>
              <w:pStyle w:val="TableParagraph"/>
              <w:spacing w:line="168" w:lineRule="exact" w:before="11"/>
              <w:ind w:left="50"/>
              <w:rPr>
                <w:sz w:val="15"/>
              </w:rPr>
            </w:pPr>
            <w:r>
              <w:rPr>
                <w:sz w:val="15"/>
              </w:rPr>
              <w:t>2. Coprológico general</w:t>
            </w:r>
          </w:p>
        </w:tc>
        <w:tc>
          <w:tcPr>
            <w:tcW w:w="1181" w:type="dxa"/>
          </w:tcPr>
          <w:p>
            <w:pPr>
              <w:pStyle w:val="TableParagraph"/>
              <w:rPr>
                <w:rFonts w:ascii="Times New Roman"/>
                <w:sz w:val="12"/>
              </w:rPr>
            </w:pPr>
          </w:p>
        </w:tc>
        <w:tc>
          <w:tcPr>
            <w:tcW w:w="813" w:type="dxa"/>
          </w:tcPr>
          <w:p>
            <w:pPr>
              <w:pStyle w:val="TableParagraph"/>
              <w:spacing w:line="168" w:lineRule="exact" w:before="11"/>
              <w:ind w:right="47"/>
              <w:jc w:val="right"/>
              <w:rPr>
                <w:sz w:val="15"/>
              </w:rPr>
            </w:pPr>
            <w:r>
              <w:rPr>
                <w:sz w:val="15"/>
              </w:rPr>
              <w:t>$71.00</w:t>
            </w:r>
          </w:p>
        </w:tc>
        <w:tc>
          <w:tcPr>
            <w:tcW w:w="10743" w:type="dxa"/>
          </w:tcPr>
          <w:p>
            <w:pPr>
              <w:pStyle w:val="TableParagraph"/>
              <w:spacing w:line="156" w:lineRule="exact" w:before="23"/>
              <w:ind w:left="6614"/>
              <w:rPr>
                <w:sz w:val="15"/>
              </w:rPr>
            </w:pPr>
            <w:r>
              <w:rPr>
                <w:sz w:val="15"/>
              </w:rPr>
              <w:t>36. Química sanguínea 4 (glucosa, urea, creatinina y ac.</w:t>
            </w:r>
          </w:p>
        </w:tc>
        <w:tc>
          <w:tcPr>
            <w:tcW w:w="878" w:type="dxa"/>
          </w:tcPr>
          <w:p>
            <w:pPr>
              <w:pStyle w:val="TableParagraph"/>
              <w:spacing w:line="156" w:lineRule="exact" w:before="23"/>
              <w:ind w:right="45"/>
              <w:jc w:val="right"/>
              <w:rPr>
                <w:sz w:val="15"/>
              </w:rPr>
            </w:pPr>
            <w:r>
              <w:rPr>
                <w:sz w:val="15"/>
              </w:rPr>
              <w:t>$215.00</w:t>
            </w:r>
          </w:p>
        </w:tc>
      </w:tr>
      <w:tr>
        <w:trPr>
          <w:trHeight w:val="187" w:hRule="atLeast"/>
        </w:trPr>
        <w:tc>
          <w:tcPr>
            <w:tcW w:w="3064" w:type="dxa"/>
          </w:tcPr>
          <w:p>
            <w:pPr>
              <w:pStyle w:val="TableParagraph"/>
              <w:spacing w:line="146" w:lineRule="exact" w:before="22"/>
              <w:ind w:left="50"/>
              <w:rPr>
                <w:sz w:val="15"/>
              </w:rPr>
            </w:pPr>
            <w:r>
              <w:rPr>
                <w:sz w:val="15"/>
              </w:rPr>
              <w:t>3. Coproparacitoscopico 3 muestras</w:t>
            </w:r>
          </w:p>
        </w:tc>
        <w:tc>
          <w:tcPr>
            <w:tcW w:w="1181" w:type="dxa"/>
          </w:tcPr>
          <w:p>
            <w:pPr>
              <w:pStyle w:val="TableParagraph"/>
              <w:rPr>
                <w:rFonts w:ascii="Times New Roman"/>
                <w:sz w:val="12"/>
              </w:rPr>
            </w:pPr>
          </w:p>
        </w:tc>
        <w:tc>
          <w:tcPr>
            <w:tcW w:w="813" w:type="dxa"/>
          </w:tcPr>
          <w:p>
            <w:pPr>
              <w:pStyle w:val="TableParagraph"/>
              <w:spacing w:line="146" w:lineRule="exact" w:before="22"/>
              <w:ind w:right="47"/>
              <w:jc w:val="right"/>
              <w:rPr>
                <w:sz w:val="15"/>
              </w:rPr>
            </w:pPr>
            <w:r>
              <w:rPr>
                <w:sz w:val="15"/>
              </w:rPr>
              <w:t>$232.00</w:t>
            </w:r>
          </w:p>
        </w:tc>
        <w:tc>
          <w:tcPr>
            <w:tcW w:w="10743" w:type="dxa"/>
          </w:tcPr>
          <w:p>
            <w:pPr>
              <w:pStyle w:val="TableParagraph"/>
              <w:spacing w:line="166" w:lineRule="exact" w:before="1"/>
              <w:ind w:left="6216"/>
              <w:rPr>
                <w:sz w:val="15"/>
              </w:rPr>
            </w:pPr>
            <w:r>
              <w:rPr>
                <w:sz w:val="15"/>
              </w:rPr>
              <w:t>Úrico)</w:t>
            </w:r>
          </w:p>
        </w:tc>
        <w:tc>
          <w:tcPr>
            <w:tcW w:w="878" w:type="dxa"/>
          </w:tcPr>
          <w:p>
            <w:pPr>
              <w:pStyle w:val="TableParagraph"/>
              <w:rPr>
                <w:rFonts w:ascii="Times New Roman"/>
                <w:sz w:val="12"/>
              </w:rPr>
            </w:pPr>
          </w:p>
        </w:tc>
      </w:tr>
      <w:tr>
        <w:trPr>
          <w:trHeight w:val="209" w:hRule="atLeast"/>
        </w:trPr>
        <w:tc>
          <w:tcPr>
            <w:tcW w:w="3064" w:type="dxa"/>
          </w:tcPr>
          <w:p>
            <w:pPr>
              <w:pStyle w:val="TableParagraph"/>
              <w:spacing w:line="146" w:lineRule="exact" w:before="44"/>
              <w:ind w:left="50"/>
              <w:rPr>
                <w:sz w:val="15"/>
              </w:rPr>
            </w:pPr>
            <w:r>
              <w:rPr>
                <w:sz w:val="15"/>
              </w:rPr>
              <w:t>4. Espermatobioscopia</w:t>
            </w:r>
          </w:p>
        </w:tc>
        <w:tc>
          <w:tcPr>
            <w:tcW w:w="1181" w:type="dxa"/>
          </w:tcPr>
          <w:p>
            <w:pPr>
              <w:pStyle w:val="TableParagraph"/>
              <w:rPr>
                <w:rFonts w:ascii="Times New Roman"/>
                <w:sz w:val="14"/>
              </w:rPr>
            </w:pPr>
          </w:p>
        </w:tc>
        <w:tc>
          <w:tcPr>
            <w:tcW w:w="813" w:type="dxa"/>
          </w:tcPr>
          <w:p>
            <w:pPr>
              <w:pStyle w:val="TableParagraph"/>
              <w:spacing w:line="146" w:lineRule="exact" w:before="44"/>
              <w:ind w:right="47"/>
              <w:jc w:val="right"/>
              <w:rPr>
                <w:sz w:val="15"/>
              </w:rPr>
            </w:pPr>
            <w:r>
              <w:rPr>
                <w:sz w:val="15"/>
              </w:rPr>
              <w:t>$88.00</w:t>
            </w:r>
          </w:p>
        </w:tc>
        <w:tc>
          <w:tcPr>
            <w:tcW w:w="10743" w:type="dxa"/>
          </w:tcPr>
          <w:p>
            <w:pPr>
              <w:pStyle w:val="TableParagraph"/>
              <w:spacing w:line="163" w:lineRule="exact"/>
              <w:ind w:left="6614"/>
              <w:rPr>
                <w:sz w:val="15"/>
              </w:rPr>
            </w:pPr>
            <w:r>
              <w:rPr>
                <w:sz w:val="15"/>
              </w:rPr>
              <w:t>37. Serología para dengue</w:t>
            </w:r>
          </w:p>
        </w:tc>
        <w:tc>
          <w:tcPr>
            <w:tcW w:w="878" w:type="dxa"/>
          </w:tcPr>
          <w:p>
            <w:pPr>
              <w:pStyle w:val="TableParagraph"/>
              <w:spacing w:line="163" w:lineRule="exact"/>
              <w:ind w:right="45"/>
              <w:jc w:val="right"/>
              <w:rPr>
                <w:sz w:val="15"/>
              </w:rPr>
            </w:pPr>
            <w:r>
              <w:rPr>
                <w:sz w:val="15"/>
              </w:rPr>
              <w:t>$303.00</w:t>
            </w:r>
          </w:p>
        </w:tc>
      </w:tr>
      <w:tr>
        <w:trPr>
          <w:trHeight w:val="209" w:hRule="atLeast"/>
        </w:trPr>
        <w:tc>
          <w:tcPr>
            <w:tcW w:w="3064" w:type="dxa"/>
          </w:tcPr>
          <w:p>
            <w:pPr>
              <w:pStyle w:val="TableParagraph"/>
              <w:spacing w:line="146" w:lineRule="exact" w:before="44"/>
              <w:ind w:left="50"/>
              <w:rPr>
                <w:sz w:val="15"/>
              </w:rPr>
            </w:pPr>
            <w:r>
              <w:rPr>
                <w:sz w:val="15"/>
              </w:rPr>
              <w:t>5. Examen general de orina (EGO)</w:t>
            </w:r>
          </w:p>
        </w:tc>
        <w:tc>
          <w:tcPr>
            <w:tcW w:w="1181" w:type="dxa"/>
          </w:tcPr>
          <w:p>
            <w:pPr>
              <w:pStyle w:val="TableParagraph"/>
              <w:rPr>
                <w:rFonts w:ascii="Times New Roman"/>
                <w:sz w:val="14"/>
              </w:rPr>
            </w:pPr>
          </w:p>
        </w:tc>
        <w:tc>
          <w:tcPr>
            <w:tcW w:w="813" w:type="dxa"/>
          </w:tcPr>
          <w:p>
            <w:pPr>
              <w:pStyle w:val="TableParagraph"/>
              <w:spacing w:line="146" w:lineRule="exact" w:before="44"/>
              <w:ind w:right="47"/>
              <w:jc w:val="right"/>
              <w:rPr>
                <w:sz w:val="15"/>
              </w:rPr>
            </w:pPr>
            <w:r>
              <w:rPr>
                <w:sz w:val="15"/>
              </w:rPr>
              <w:t>$81.00</w:t>
            </w:r>
          </w:p>
        </w:tc>
        <w:tc>
          <w:tcPr>
            <w:tcW w:w="10743" w:type="dxa"/>
          </w:tcPr>
          <w:p>
            <w:pPr>
              <w:pStyle w:val="TableParagraph"/>
              <w:spacing w:line="163" w:lineRule="exact"/>
              <w:ind w:left="6614"/>
              <w:rPr>
                <w:sz w:val="15"/>
              </w:rPr>
            </w:pPr>
            <w:r>
              <w:rPr>
                <w:sz w:val="15"/>
              </w:rPr>
              <w:t>38. Serología para hepatitis viral (hepatitis A)</w:t>
            </w:r>
          </w:p>
        </w:tc>
        <w:tc>
          <w:tcPr>
            <w:tcW w:w="878" w:type="dxa"/>
          </w:tcPr>
          <w:p>
            <w:pPr>
              <w:pStyle w:val="TableParagraph"/>
              <w:spacing w:line="163" w:lineRule="exact"/>
              <w:ind w:right="45"/>
              <w:jc w:val="right"/>
              <w:rPr>
                <w:sz w:val="15"/>
              </w:rPr>
            </w:pPr>
            <w:r>
              <w:rPr>
                <w:sz w:val="15"/>
              </w:rPr>
              <w:t>$292.00</w:t>
            </w:r>
          </w:p>
        </w:tc>
      </w:tr>
      <w:tr>
        <w:trPr>
          <w:trHeight w:val="209" w:hRule="atLeast"/>
        </w:trPr>
        <w:tc>
          <w:tcPr>
            <w:tcW w:w="3064" w:type="dxa"/>
          </w:tcPr>
          <w:p>
            <w:pPr>
              <w:pStyle w:val="TableParagraph"/>
              <w:spacing w:line="146" w:lineRule="exact" w:before="44"/>
              <w:ind w:left="50"/>
              <w:rPr>
                <w:sz w:val="15"/>
              </w:rPr>
            </w:pPr>
            <w:r>
              <w:rPr>
                <w:sz w:val="15"/>
              </w:rPr>
              <w:t>6. Frotis de exudado vaginal</w:t>
            </w:r>
          </w:p>
        </w:tc>
        <w:tc>
          <w:tcPr>
            <w:tcW w:w="1181" w:type="dxa"/>
          </w:tcPr>
          <w:p>
            <w:pPr>
              <w:pStyle w:val="TableParagraph"/>
              <w:rPr>
                <w:rFonts w:ascii="Times New Roman"/>
                <w:sz w:val="14"/>
              </w:rPr>
            </w:pPr>
          </w:p>
        </w:tc>
        <w:tc>
          <w:tcPr>
            <w:tcW w:w="813" w:type="dxa"/>
          </w:tcPr>
          <w:p>
            <w:pPr>
              <w:pStyle w:val="TableParagraph"/>
              <w:spacing w:line="146" w:lineRule="exact" w:before="44"/>
              <w:ind w:right="48"/>
              <w:jc w:val="right"/>
              <w:rPr>
                <w:sz w:val="15"/>
              </w:rPr>
            </w:pPr>
            <w:r>
              <w:rPr>
                <w:sz w:val="15"/>
              </w:rPr>
              <w:t>$71.00</w:t>
            </w:r>
          </w:p>
        </w:tc>
        <w:tc>
          <w:tcPr>
            <w:tcW w:w="10743" w:type="dxa"/>
          </w:tcPr>
          <w:p>
            <w:pPr>
              <w:pStyle w:val="TableParagraph"/>
              <w:spacing w:line="163" w:lineRule="exact"/>
              <w:ind w:left="6614"/>
              <w:rPr>
                <w:sz w:val="15"/>
              </w:rPr>
            </w:pPr>
            <w:r>
              <w:rPr>
                <w:sz w:val="15"/>
              </w:rPr>
              <w:t>39. Antidoping 3 elementos</w:t>
            </w:r>
          </w:p>
        </w:tc>
        <w:tc>
          <w:tcPr>
            <w:tcW w:w="878" w:type="dxa"/>
          </w:tcPr>
          <w:p>
            <w:pPr>
              <w:pStyle w:val="TableParagraph"/>
              <w:spacing w:line="163" w:lineRule="exact"/>
              <w:ind w:right="46"/>
              <w:jc w:val="right"/>
              <w:rPr>
                <w:sz w:val="15"/>
              </w:rPr>
            </w:pPr>
            <w:r>
              <w:rPr>
                <w:sz w:val="15"/>
              </w:rPr>
              <w:t>$375.00</w:t>
            </w:r>
          </w:p>
        </w:tc>
      </w:tr>
      <w:tr>
        <w:trPr>
          <w:trHeight w:val="209" w:hRule="atLeast"/>
        </w:trPr>
        <w:tc>
          <w:tcPr>
            <w:tcW w:w="3064" w:type="dxa"/>
          </w:tcPr>
          <w:p>
            <w:pPr>
              <w:pStyle w:val="TableParagraph"/>
              <w:spacing w:line="146" w:lineRule="exact" w:before="44"/>
              <w:ind w:left="50"/>
              <w:rPr>
                <w:sz w:val="15"/>
              </w:rPr>
            </w:pPr>
            <w:r>
              <w:rPr>
                <w:sz w:val="15"/>
              </w:rPr>
              <w:t>7. Sangre oculta en heces</w:t>
            </w:r>
          </w:p>
        </w:tc>
        <w:tc>
          <w:tcPr>
            <w:tcW w:w="1181" w:type="dxa"/>
          </w:tcPr>
          <w:p>
            <w:pPr>
              <w:pStyle w:val="TableParagraph"/>
              <w:rPr>
                <w:rFonts w:ascii="Times New Roman"/>
                <w:sz w:val="14"/>
              </w:rPr>
            </w:pPr>
          </w:p>
        </w:tc>
        <w:tc>
          <w:tcPr>
            <w:tcW w:w="813" w:type="dxa"/>
          </w:tcPr>
          <w:p>
            <w:pPr>
              <w:pStyle w:val="TableParagraph"/>
              <w:spacing w:line="146" w:lineRule="exact" w:before="44"/>
              <w:ind w:right="47"/>
              <w:jc w:val="right"/>
              <w:rPr>
                <w:sz w:val="15"/>
              </w:rPr>
            </w:pPr>
            <w:r>
              <w:rPr>
                <w:sz w:val="15"/>
              </w:rPr>
              <w:t>$93.00</w:t>
            </w:r>
          </w:p>
        </w:tc>
        <w:tc>
          <w:tcPr>
            <w:tcW w:w="10743" w:type="dxa"/>
          </w:tcPr>
          <w:p>
            <w:pPr>
              <w:pStyle w:val="TableParagraph"/>
              <w:spacing w:line="163" w:lineRule="exact"/>
              <w:ind w:left="6614"/>
              <w:rPr>
                <w:sz w:val="15"/>
              </w:rPr>
            </w:pPr>
            <w:r>
              <w:rPr>
                <w:sz w:val="15"/>
              </w:rPr>
              <w:t>40. Anfetaminas en orina</w:t>
            </w:r>
          </w:p>
        </w:tc>
        <w:tc>
          <w:tcPr>
            <w:tcW w:w="878" w:type="dxa"/>
          </w:tcPr>
          <w:p>
            <w:pPr>
              <w:pStyle w:val="TableParagraph"/>
              <w:spacing w:line="163" w:lineRule="exact"/>
              <w:ind w:right="45"/>
              <w:jc w:val="right"/>
              <w:rPr>
                <w:sz w:val="15"/>
              </w:rPr>
            </w:pPr>
            <w:r>
              <w:rPr>
                <w:sz w:val="15"/>
              </w:rPr>
              <w:t>$210.00</w:t>
            </w:r>
          </w:p>
        </w:tc>
      </w:tr>
      <w:tr>
        <w:trPr>
          <w:trHeight w:val="209" w:hRule="atLeast"/>
        </w:trPr>
        <w:tc>
          <w:tcPr>
            <w:tcW w:w="3064" w:type="dxa"/>
          </w:tcPr>
          <w:p>
            <w:pPr>
              <w:pStyle w:val="TableParagraph"/>
              <w:spacing w:line="146" w:lineRule="exact" w:before="44"/>
              <w:ind w:left="50"/>
              <w:rPr>
                <w:sz w:val="15"/>
              </w:rPr>
            </w:pPr>
            <w:r>
              <w:rPr>
                <w:sz w:val="15"/>
              </w:rPr>
              <w:t>8. Leucocitos en moco fecal</w:t>
            </w:r>
          </w:p>
        </w:tc>
        <w:tc>
          <w:tcPr>
            <w:tcW w:w="1181" w:type="dxa"/>
          </w:tcPr>
          <w:p>
            <w:pPr>
              <w:pStyle w:val="TableParagraph"/>
              <w:rPr>
                <w:rFonts w:ascii="Times New Roman"/>
                <w:sz w:val="14"/>
              </w:rPr>
            </w:pPr>
          </w:p>
        </w:tc>
        <w:tc>
          <w:tcPr>
            <w:tcW w:w="813" w:type="dxa"/>
          </w:tcPr>
          <w:p>
            <w:pPr>
              <w:pStyle w:val="TableParagraph"/>
              <w:spacing w:line="146" w:lineRule="exact" w:before="44"/>
              <w:ind w:right="47"/>
              <w:jc w:val="right"/>
              <w:rPr>
                <w:sz w:val="15"/>
              </w:rPr>
            </w:pPr>
            <w:r>
              <w:rPr>
                <w:sz w:val="15"/>
              </w:rPr>
              <w:t>$88.00</w:t>
            </w:r>
          </w:p>
        </w:tc>
        <w:tc>
          <w:tcPr>
            <w:tcW w:w="10743" w:type="dxa"/>
          </w:tcPr>
          <w:p>
            <w:pPr>
              <w:pStyle w:val="TableParagraph"/>
              <w:spacing w:line="163" w:lineRule="exact"/>
              <w:ind w:left="6614"/>
              <w:rPr>
                <w:sz w:val="15"/>
              </w:rPr>
            </w:pPr>
            <w:r>
              <w:rPr>
                <w:sz w:val="15"/>
              </w:rPr>
              <w:t>41. Barbitúricos en orina</w:t>
            </w:r>
          </w:p>
        </w:tc>
        <w:tc>
          <w:tcPr>
            <w:tcW w:w="878" w:type="dxa"/>
          </w:tcPr>
          <w:p>
            <w:pPr>
              <w:pStyle w:val="TableParagraph"/>
              <w:spacing w:line="163" w:lineRule="exact"/>
              <w:ind w:right="45"/>
              <w:jc w:val="right"/>
              <w:rPr>
                <w:sz w:val="15"/>
              </w:rPr>
            </w:pPr>
            <w:r>
              <w:rPr>
                <w:sz w:val="15"/>
              </w:rPr>
              <w:t>$210.00</w:t>
            </w:r>
          </w:p>
        </w:tc>
      </w:tr>
      <w:tr>
        <w:trPr>
          <w:trHeight w:val="236" w:hRule="atLeast"/>
        </w:trPr>
        <w:tc>
          <w:tcPr>
            <w:tcW w:w="3064" w:type="dxa"/>
          </w:tcPr>
          <w:p>
            <w:pPr>
              <w:pStyle w:val="TableParagraph"/>
              <w:spacing w:before="44"/>
              <w:ind w:left="50"/>
              <w:rPr>
                <w:sz w:val="15"/>
              </w:rPr>
            </w:pPr>
            <w:r>
              <w:rPr>
                <w:sz w:val="15"/>
              </w:rPr>
              <w:t>9. Eosinofilos en moco fecal</w:t>
            </w:r>
          </w:p>
        </w:tc>
        <w:tc>
          <w:tcPr>
            <w:tcW w:w="1181" w:type="dxa"/>
          </w:tcPr>
          <w:p>
            <w:pPr>
              <w:pStyle w:val="TableParagraph"/>
              <w:rPr>
                <w:rFonts w:ascii="Times New Roman"/>
                <w:sz w:val="14"/>
              </w:rPr>
            </w:pPr>
          </w:p>
        </w:tc>
        <w:tc>
          <w:tcPr>
            <w:tcW w:w="813" w:type="dxa"/>
          </w:tcPr>
          <w:p>
            <w:pPr>
              <w:pStyle w:val="TableParagraph"/>
              <w:spacing w:before="44"/>
              <w:ind w:right="47"/>
              <w:jc w:val="right"/>
              <w:rPr>
                <w:sz w:val="15"/>
              </w:rPr>
            </w:pPr>
            <w:r>
              <w:rPr>
                <w:sz w:val="15"/>
              </w:rPr>
              <w:t>$39.00</w:t>
            </w:r>
          </w:p>
        </w:tc>
        <w:tc>
          <w:tcPr>
            <w:tcW w:w="10743" w:type="dxa"/>
          </w:tcPr>
          <w:p>
            <w:pPr>
              <w:pStyle w:val="TableParagraph"/>
              <w:spacing w:line="163" w:lineRule="exact"/>
              <w:ind w:left="6614"/>
              <w:rPr>
                <w:sz w:val="15"/>
              </w:rPr>
            </w:pPr>
            <w:r>
              <w:rPr>
                <w:sz w:val="15"/>
              </w:rPr>
              <w:t>42. Benzodiacepinas en orina</w:t>
            </w:r>
          </w:p>
        </w:tc>
        <w:tc>
          <w:tcPr>
            <w:tcW w:w="878" w:type="dxa"/>
          </w:tcPr>
          <w:p>
            <w:pPr>
              <w:pStyle w:val="TableParagraph"/>
              <w:spacing w:line="163" w:lineRule="exact"/>
              <w:ind w:right="46"/>
              <w:jc w:val="right"/>
              <w:rPr>
                <w:sz w:val="15"/>
              </w:rPr>
            </w:pPr>
            <w:r>
              <w:rPr>
                <w:sz w:val="15"/>
              </w:rPr>
              <w:t>$210.00</w:t>
            </w:r>
          </w:p>
        </w:tc>
      </w:tr>
      <w:tr>
        <w:trPr>
          <w:trHeight w:val="419" w:hRule="atLeast"/>
        </w:trPr>
        <w:tc>
          <w:tcPr>
            <w:tcW w:w="3064" w:type="dxa"/>
          </w:tcPr>
          <w:p>
            <w:pPr>
              <w:pStyle w:val="TableParagraph"/>
              <w:spacing w:before="17"/>
              <w:ind w:left="50"/>
              <w:rPr>
                <w:sz w:val="15"/>
              </w:rPr>
            </w:pPr>
            <w:r>
              <w:rPr>
                <w:sz w:val="15"/>
              </w:rPr>
              <w:t>10. Coproparacitoscopico 1 muestra</w:t>
            </w:r>
          </w:p>
          <w:p>
            <w:pPr>
              <w:pStyle w:val="TableParagraph"/>
              <w:spacing w:before="38"/>
              <w:ind w:left="50"/>
              <w:rPr>
                <w:sz w:val="15"/>
              </w:rPr>
            </w:pPr>
            <w:r>
              <w:rPr>
                <w:sz w:val="15"/>
              </w:rPr>
              <w:t>i) Perfiles y pruebas especiales:</w:t>
            </w:r>
          </w:p>
        </w:tc>
        <w:tc>
          <w:tcPr>
            <w:tcW w:w="1181" w:type="dxa"/>
          </w:tcPr>
          <w:p>
            <w:pPr>
              <w:pStyle w:val="TableParagraph"/>
              <w:rPr>
                <w:rFonts w:ascii="Times New Roman"/>
                <w:sz w:val="14"/>
              </w:rPr>
            </w:pPr>
          </w:p>
        </w:tc>
        <w:tc>
          <w:tcPr>
            <w:tcW w:w="813" w:type="dxa"/>
          </w:tcPr>
          <w:p>
            <w:pPr>
              <w:pStyle w:val="TableParagraph"/>
              <w:spacing w:before="17"/>
              <w:ind w:right="47"/>
              <w:jc w:val="right"/>
              <w:rPr>
                <w:sz w:val="15"/>
              </w:rPr>
            </w:pPr>
            <w:r>
              <w:rPr>
                <w:sz w:val="15"/>
              </w:rPr>
              <w:t>$100.00</w:t>
            </w:r>
          </w:p>
        </w:tc>
        <w:tc>
          <w:tcPr>
            <w:tcW w:w="10743" w:type="dxa"/>
          </w:tcPr>
          <w:p>
            <w:pPr>
              <w:pStyle w:val="TableParagraph"/>
              <w:numPr>
                <w:ilvl w:val="0"/>
                <w:numId w:val="167"/>
              </w:numPr>
              <w:tabs>
                <w:tab w:pos="6872" w:val="left" w:leader="none"/>
              </w:tabs>
              <w:spacing w:line="137" w:lineRule="exact" w:before="0" w:after="0"/>
              <w:ind w:left="6871" w:right="0" w:hanging="258"/>
              <w:jc w:val="left"/>
              <w:rPr>
                <w:sz w:val="15"/>
              </w:rPr>
            </w:pPr>
            <w:r>
              <w:rPr>
                <w:sz w:val="15"/>
              </w:rPr>
              <w:t>Canabinoides en</w:t>
            </w:r>
            <w:r>
              <w:rPr>
                <w:spacing w:val="3"/>
                <w:sz w:val="15"/>
              </w:rPr>
              <w:t> </w:t>
            </w:r>
            <w:r>
              <w:rPr>
                <w:sz w:val="15"/>
              </w:rPr>
              <w:t>orina</w:t>
            </w:r>
          </w:p>
          <w:p>
            <w:pPr>
              <w:pStyle w:val="TableParagraph"/>
              <w:numPr>
                <w:ilvl w:val="0"/>
                <w:numId w:val="167"/>
              </w:numPr>
              <w:tabs>
                <w:tab w:pos="6872" w:val="left" w:leader="none"/>
              </w:tabs>
              <w:spacing w:line="240" w:lineRule="auto" w:before="37" w:after="0"/>
              <w:ind w:left="6871" w:right="0" w:hanging="258"/>
              <w:jc w:val="left"/>
              <w:rPr>
                <w:sz w:val="15"/>
              </w:rPr>
            </w:pPr>
            <w:r>
              <w:rPr>
                <w:sz w:val="15"/>
              </w:rPr>
              <w:t>Cocaína en</w:t>
            </w:r>
            <w:r>
              <w:rPr>
                <w:spacing w:val="2"/>
                <w:sz w:val="15"/>
              </w:rPr>
              <w:t> </w:t>
            </w:r>
            <w:r>
              <w:rPr>
                <w:sz w:val="15"/>
              </w:rPr>
              <w:t>orina</w:t>
            </w:r>
          </w:p>
        </w:tc>
        <w:tc>
          <w:tcPr>
            <w:tcW w:w="878" w:type="dxa"/>
          </w:tcPr>
          <w:p>
            <w:pPr>
              <w:pStyle w:val="TableParagraph"/>
              <w:spacing w:line="137" w:lineRule="exact"/>
              <w:ind w:left="273"/>
              <w:rPr>
                <w:sz w:val="15"/>
              </w:rPr>
            </w:pPr>
            <w:r>
              <w:rPr>
                <w:sz w:val="15"/>
              </w:rPr>
              <w:t>$210.00</w:t>
            </w:r>
          </w:p>
          <w:p>
            <w:pPr>
              <w:pStyle w:val="TableParagraph"/>
              <w:spacing w:before="37"/>
              <w:ind w:left="273"/>
              <w:rPr>
                <w:sz w:val="15"/>
              </w:rPr>
            </w:pPr>
            <w:r>
              <w:rPr>
                <w:sz w:val="15"/>
              </w:rPr>
              <w:t>$210.00</w:t>
            </w:r>
          </w:p>
        </w:tc>
      </w:tr>
      <w:tr>
        <w:trPr>
          <w:trHeight w:val="190" w:hRule="atLeast"/>
        </w:trPr>
        <w:tc>
          <w:tcPr>
            <w:tcW w:w="3064" w:type="dxa"/>
          </w:tcPr>
          <w:p>
            <w:pPr>
              <w:pStyle w:val="TableParagraph"/>
              <w:tabs>
                <w:tab w:pos="455" w:val="left" w:leader="none"/>
              </w:tabs>
              <w:spacing w:line="153" w:lineRule="exact" w:before="17"/>
              <w:ind w:left="50"/>
              <w:rPr>
                <w:sz w:val="15"/>
              </w:rPr>
            </w:pPr>
            <w:r>
              <w:rPr>
                <w:sz w:val="15"/>
              </w:rPr>
              <w:t>1.</w:t>
              <w:tab/>
              <w:t>Antidoping (cocaína,</w:t>
            </w:r>
            <w:r>
              <w:rPr>
                <w:spacing w:val="4"/>
                <w:sz w:val="15"/>
              </w:rPr>
              <w:t> </w:t>
            </w:r>
            <w:r>
              <w:rPr>
                <w:sz w:val="15"/>
              </w:rPr>
              <w:t>marihuana,</w:t>
            </w:r>
          </w:p>
        </w:tc>
        <w:tc>
          <w:tcPr>
            <w:tcW w:w="1181" w:type="dxa"/>
          </w:tcPr>
          <w:p>
            <w:pPr>
              <w:pStyle w:val="TableParagraph"/>
              <w:spacing w:line="153" w:lineRule="exact" w:before="17"/>
              <w:ind w:left="96"/>
              <w:rPr>
                <w:sz w:val="15"/>
              </w:rPr>
            </w:pPr>
            <w:r>
              <w:rPr>
                <w:sz w:val="15"/>
              </w:rPr>
              <w:t>anfetaminas,</w:t>
            </w:r>
          </w:p>
        </w:tc>
        <w:tc>
          <w:tcPr>
            <w:tcW w:w="813" w:type="dxa"/>
          </w:tcPr>
          <w:p>
            <w:pPr>
              <w:pStyle w:val="TableParagraph"/>
              <w:spacing w:line="153" w:lineRule="exact" w:before="17"/>
              <w:ind w:right="48"/>
              <w:jc w:val="right"/>
              <w:rPr>
                <w:sz w:val="15"/>
              </w:rPr>
            </w:pPr>
            <w:r>
              <w:rPr>
                <w:sz w:val="15"/>
              </w:rPr>
              <w:t>$744.00</w:t>
            </w:r>
          </w:p>
        </w:tc>
        <w:tc>
          <w:tcPr>
            <w:tcW w:w="10743" w:type="dxa"/>
          </w:tcPr>
          <w:p>
            <w:pPr>
              <w:pStyle w:val="TableParagraph"/>
              <w:rPr>
                <w:rFonts w:ascii="Times New Roman"/>
                <w:sz w:val="12"/>
              </w:rPr>
            </w:pPr>
          </w:p>
        </w:tc>
        <w:tc>
          <w:tcPr>
            <w:tcW w:w="878" w:type="dxa"/>
          </w:tcPr>
          <w:p>
            <w:pPr>
              <w:pStyle w:val="TableParagraph"/>
              <w:rPr>
                <w:rFonts w:ascii="Times New Roman"/>
                <w:sz w:val="12"/>
              </w:rPr>
            </w:pPr>
          </w:p>
        </w:tc>
      </w:tr>
    </w:tbl>
    <w:p>
      <w:pPr>
        <w:spacing w:after="0"/>
        <w:rPr>
          <w:rFonts w:ascii="Times New Roman"/>
          <w:sz w:val="12"/>
        </w:rPr>
        <w:sectPr>
          <w:headerReference w:type="default" r:id="rId101"/>
          <w:pgSz w:w="23250" w:h="15310" w:orient="landscape"/>
          <w:pgMar w:header="881" w:footer="499" w:top="1920" w:bottom="680" w:left="1880" w:right="1520"/>
        </w:sectPr>
      </w:pPr>
    </w:p>
    <w:p>
      <w:pPr>
        <w:pStyle w:val="BodyText"/>
        <w:rPr>
          <w:rFonts w:ascii="Times New Roman"/>
          <w:sz w:val="20"/>
        </w:rPr>
      </w:pPr>
      <w:r>
        <w:rPr/>
        <w:pict>
          <v:shape style="position:absolute;margin-left:118.916298pt;margin-top:592.467041pt;width:253pt;height:40.1pt;mso-position-horizontal-relative:page;mso-position-vertical-relative:page;z-index:2517094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3"/>
                    <w:gridCol w:w="1927"/>
                  </w:tblGrid>
                  <w:tr>
                    <w:trPr>
                      <w:trHeight w:val="190" w:hRule="atLeast"/>
                    </w:trPr>
                    <w:tc>
                      <w:tcPr>
                        <w:tcW w:w="3133" w:type="dxa"/>
                      </w:tcPr>
                      <w:p>
                        <w:pPr>
                          <w:pStyle w:val="TableParagraph"/>
                          <w:rPr>
                            <w:rFonts w:ascii="Times New Roman"/>
                            <w:sz w:val="12"/>
                          </w:rPr>
                        </w:pPr>
                      </w:p>
                    </w:tc>
                    <w:tc>
                      <w:tcPr>
                        <w:tcW w:w="1927" w:type="dxa"/>
                      </w:tcPr>
                      <w:p>
                        <w:pPr>
                          <w:pStyle w:val="TableParagraph"/>
                          <w:rPr>
                            <w:rFonts w:ascii="Times New Roman"/>
                            <w:sz w:val="12"/>
                          </w:rPr>
                        </w:pPr>
                      </w:p>
                    </w:tc>
                  </w:tr>
                  <w:tr>
                    <w:trPr>
                      <w:trHeight w:val="209" w:hRule="atLeast"/>
                    </w:trPr>
                    <w:tc>
                      <w:tcPr>
                        <w:tcW w:w="3133" w:type="dxa"/>
                      </w:tcPr>
                      <w:p>
                        <w:pPr>
                          <w:pStyle w:val="TableParagraph"/>
                          <w:rPr>
                            <w:rFonts w:ascii="Times New Roman"/>
                            <w:sz w:val="14"/>
                          </w:rPr>
                        </w:pPr>
                      </w:p>
                    </w:tc>
                    <w:tc>
                      <w:tcPr>
                        <w:tcW w:w="1927" w:type="dxa"/>
                      </w:tcPr>
                      <w:p>
                        <w:pPr>
                          <w:pStyle w:val="TableParagraph"/>
                          <w:rPr>
                            <w:rFonts w:ascii="Times New Roman"/>
                            <w:sz w:val="14"/>
                          </w:rPr>
                        </w:pPr>
                      </w:p>
                    </w:tc>
                  </w:tr>
                  <w:tr>
                    <w:trPr>
                      <w:trHeight w:val="209" w:hRule="atLeast"/>
                    </w:trPr>
                    <w:tc>
                      <w:tcPr>
                        <w:tcW w:w="3133" w:type="dxa"/>
                      </w:tcPr>
                      <w:p>
                        <w:pPr>
                          <w:pStyle w:val="TableParagraph"/>
                          <w:rPr>
                            <w:rFonts w:ascii="Times New Roman"/>
                            <w:sz w:val="14"/>
                          </w:rPr>
                        </w:pPr>
                      </w:p>
                    </w:tc>
                    <w:tc>
                      <w:tcPr>
                        <w:tcW w:w="1927" w:type="dxa"/>
                      </w:tcPr>
                      <w:p>
                        <w:pPr>
                          <w:pStyle w:val="TableParagraph"/>
                          <w:rPr>
                            <w:rFonts w:ascii="Times New Roman"/>
                            <w:sz w:val="14"/>
                          </w:rPr>
                        </w:pPr>
                      </w:p>
                    </w:tc>
                  </w:tr>
                  <w:tr>
                    <w:trPr>
                      <w:trHeight w:val="190" w:hRule="atLeast"/>
                    </w:trPr>
                    <w:tc>
                      <w:tcPr>
                        <w:tcW w:w="3133" w:type="dxa"/>
                      </w:tcPr>
                      <w:p>
                        <w:pPr>
                          <w:pStyle w:val="TableParagraph"/>
                          <w:spacing w:line="153" w:lineRule="exact" w:before="17"/>
                          <w:ind w:left="50"/>
                          <w:rPr>
                            <w:sz w:val="15"/>
                          </w:rPr>
                        </w:pPr>
                        <w:r>
                          <w:rPr>
                            <w:sz w:val="15"/>
                          </w:rPr>
                          <w:t>47. Fémur placa adicional</w:t>
                        </w:r>
                      </w:p>
                    </w:tc>
                    <w:tc>
                      <w:tcPr>
                        <w:tcW w:w="1927" w:type="dxa"/>
                      </w:tcPr>
                      <w:p>
                        <w:pPr>
                          <w:pStyle w:val="TableParagraph"/>
                          <w:spacing w:line="153" w:lineRule="exact" w:before="17"/>
                          <w:ind w:right="48"/>
                          <w:jc w:val="right"/>
                          <w:rPr>
                            <w:sz w:val="15"/>
                          </w:rPr>
                        </w:pPr>
                        <w:r>
                          <w:rPr>
                            <w:sz w:val="15"/>
                          </w:rPr>
                          <w:t>$255.00</w:t>
                        </w:r>
                      </w:p>
                    </w:tc>
                  </w:tr>
                </w:tbl>
                <w:p>
                  <w:pPr>
                    <w:pStyle w:val="BodyText"/>
                  </w:pPr>
                </w:p>
              </w:txbxContent>
            </v:textbox>
            <w10:wrap type="none"/>
          </v:shape>
        </w:pict>
      </w:r>
    </w:p>
    <w:p>
      <w:pPr>
        <w:pStyle w:val="BodyText"/>
        <w:rPr>
          <w:rFonts w:ascii="Times New Roman"/>
          <w:sz w:val="20"/>
        </w:rPr>
      </w:pPr>
    </w:p>
    <w:p>
      <w:pPr>
        <w:pStyle w:val="BodyText"/>
        <w:spacing w:before="3"/>
        <w:rPr>
          <w:rFonts w:ascii="Times New Roman"/>
          <w:sz w:val="18"/>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4"/>
        <w:gridCol w:w="7818"/>
        <w:gridCol w:w="4136"/>
        <w:gridCol w:w="923"/>
      </w:tblGrid>
      <w:tr>
        <w:trPr>
          <w:trHeight w:val="191" w:hRule="atLeast"/>
        </w:trPr>
        <w:tc>
          <w:tcPr>
            <w:tcW w:w="3804" w:type="dxa"/>
          </w:tcPr>
          <w:p>
            <w:pPr>
              <w:pStyle w:val="TableParagraph"/>
              <w:spacing w:line="171" w:lineRule="exact"/>
              <w:ind w:left="50"/>
              <w:rPr>
                <w:sz w:val="15"/>
              </w:rPr>
            </w:pPr>
            <w:r>
              <w:rPr>
                <w:sz w:val="15"/>
              </w:rPr>
              <w:t>XVI. Rayos X, huesos y articulaciones:</w:t>
            </w:r>
          </w:p>
        </w:tc>
        <w:tc>
          <w:tcPr>
            <w:tcW w:w="7818" w:type="dxa"/>
          </w:tcPr>
          <w:p>
            <w:pPr>
              <w:pStyle w:val="TableParagraph"/>
              <w:rPr>
                <w:rFonts w:ascii="Times New Roman"/>
                <w:sz w:val="12"/>
              </w:rPr>
            </w:pPr>
          </w:p>
        </w:tc>
        <w:tc>
          <w:tcPr>
            <w:tcW w:w="4136" w:type="dxa"/>
          </w:tcPr>
          <w:p>
            <w:pPr>
              <w:pStyle w:val="TableParagraph"/>
              <w:spacing w:line="171" w:lineRule="exact"/>
              <w:ind w:left="50"/>
              <w:rPr>
                <w:sz w:val="15"/>
              </w:rPr>
            </w:pPr>
            <w:r>
              <w:rPr>
                <w:sz w:val="15"/>
              </w:rPr>
              <w:t>48. Pelvis ap 1 placa</w:t>
            </w:r>
          </w:p>
        </w:tc>
        <w:tc>
          <w:tcPr>
            <w:tcW w:w="923" w:type="dxa"/>
          </w:tcPr>
          <w:p>
            <w:pPr>
              <w:pStyle w:val="TableParagraph"/>
              <w:spacing w:line="171" w:lineRule="exact"/>
              <w:ind w:right="47"/>
              <w:jc w:val="right"/>
              <w:rPr>
                <w:sz w:val="15"/>
              </w:rPr>
            </w:pPr>
            <w:r>
              <w:rPr>
                <w:sz w:val="15"/>
              </w:rPr>
              <w:t>$281.00</w:t>
            </w:r>
          </w:p>
        </w:tc>
      </w:tr>
      <w:tr>
        <w:trPr>
          <w:trHeight w:val="209" w:hRule="atLeast"/>
        </w:trPr>
        <w:tc>
          <w:tcPr>
            <w:tcW w:w="3804" w:type="dxa"/>
          </w:tcPr>
          <w:p>
            <w:pPr>
              <w:pStyle w:val="TableParagraph"/>
              <w:spacing w:line="172" w:lineRule="exact" w:before="18"/>
              <w:ind w:left="50"/>
              <w:rPr>
                <w:sz w:val="15"/>
              </w:rPr>
            </w:pPr>
            <w:r>
              <w:rPr>
                <w:sz w:val="15"/>
              </w:rPr>
              <w:t>1. Antebrazo ap y lat</w:t>
            </w:r>
          </w:p>
        </w:tc>
        <w:tc>
          <w:tcPr>
            <w:tcW w:w="7818" w:type="dxa"/>
          </w:tcPr>
          <w:p>
            <w:pPr>
              <w:pStyle w:val="TableParagraph"/>
              <w:spacing w:line="172" w:lineRule="exact" w:before="18"/>
              <w:ind w:left="648"/>
              <w:rPr>
                <w:sz w:val="15"/>
              </w:rPr>
            </w:pPr>
            <w:r>
              <w:rPr>
                <w:sz w:val="15"/>
              </w:rPr>
              <w:t>$304.00</w:t>
            </w:r>
          </w:p>
        </w:tc>
        <w:tc>
          <w:tcPr>
            <w:tcW w:w="4136" w:type="dxa"/>
          </w:tcPr>
          <w:p>
            <w:pPr>
              <w:pStyle w:val="TableParagraph"/>
              <w:spacing w:before="17"/>
              <w:ind w:left="50"/>
              <w:rPr>
                <w:sz w:val="15"/>
              </w:rPr>
            </w:pPr>
            <w:r>
              <w:rPr>
                <w:sz w:val="15"/>
              </w:rPr>
              <w:t>49. Pelvis 2 placas</w:t>
            </w:r>
          </w:p>
        </w:tc>
        <w:tc>
          <w:tcPr>
            <w:tcW w:w="923" w:type="dxa"/>
          </w:tcPr>
          <w:p>
            <w:pPr>
              <w:pStyle w:val="TableParagraph"/>
              <w:spacing w:before="17"/>
              <w:ind w:right="47"/>
              <w:jc w:val="right"/>
              <w:rPr>
                <w:sz w:val="15"/>
              </w:rPr>
            </w:pPr>
            <w:r>
              <w:rPr>
                <w:sz w:val="15"/>
              </w:rPr>
              <w:t>$314.00</w:t>
            </w:r>
          </w:p>
        </w:tc>
      </w:tr>
      <w:tr>
        <w:trPr>
          <w:trHeight w:val="209" w:hRule="atLeast"/>
        </w:trPr>
        <w:tc>
          <w:tcPr>
            <w:tcW w:w="3804" w:type="dxa"/>
          </w:tcPr>
          <w:p>
            <w:pPr>
              <w:pStyle w:val="TableParagraph"/>
              <w:spacing w:line="172" w:lineRule="exact" w:before="18"/>
              <w:ind w:left="50"/>
              <w:rPr>
                <w:sz w:val="15"/>
              </w:rPr>
            </w:pPr>
            <w:r>
              <w:rPr>
                <w:sz w:val="15"/>
              </w:rPr>
              <w:t>2. Antebrazo placa adicional</w:t>
            </w:r>
          </w:p>
        </w:tc>
        <w:tc>
          <w:tcPr>
            <w:tcW w:w="7818" w:type="dxa"/>
          </w:tcPr>
          <w:p>
            <w:pPr>
              <w:pStyle w:val="TableParagraph"/>
              <w:spacing w:line="172" w:lineRule="exact" w:before="18"/>
              <w:ind w:left="648"/>
              <w:rPr>
                <w:sz w:val="15"/>
              </w:rPr>
            </w:pPr>
            <w:r>
              <w:rPr>
                <w:sz w:val="15"/>
              </w:rPr>
              <w:t>$163.00</w:t>
            </w:r>
          </w:p>
        </w:tc>
        <w:tc>
          <w:tcPr>
            <w:tcW w:w="4136" w:type="dxa"/>
          </w:tcPr>
          <w:p>
            <w:pPr>
              <w:pStyle w:val="TableParagraph"/>
              <w:spacing w:before="17"/>
              <w:ind w:left="50"/>
              <w:rPr>
                <w:sz w:val="15"/>
              </w:rPr>
            </w:pPr>
            <w:r>
              <w:rPr>
                <w:sz w:val="15"/>
              </w:rPr>
              <w:t>50. Pelvis abducción rana</w:t>
            </w:r>
          </w:p>
        </w:tc>
        <w:tc>
          <w:tcPr>
            <w:tcW w:w="923" w:type="dxa"/>
          </w:tcPr>
          <w:p>
            <w:pPr>
              <w:pStyle w:val="TableParagraph"/>
              <w:spacing w:before="17"/>
              <w:ind w:right="47"/>
              <w:jc w:val="right"/>
              <w:rPr>
                <w:sz w:val="15"/>
              </w:rPr>
            </w:pPr>
            <w:r>
              <w:rPr>
                <w:sz w:val="15"/>
              </w:rPr>
              <w:t>$281.00</w:t>
            </w:r>
          </w:p>
        </w:tc>
      </w:tr>
      <w:tr>
        <w:trPr>
          <w:trHeight w:val="209" w:hRule="atLeast"/>
        </w:trPr>
        <w:tc>
          <w:tcPr>
            <w:tcW w:w="3804" w:type="dxa"/>
          </w:tcPr>
          <w:p>
            <w:pPr>
              <w:pStyle w:val="TableParagraph"/>
              <w:spacing w:line="172" w:lineRule="exact" w:before="18"/>
              <w:ind w:left="50"/>
              <w:rPr>
                <w:sz w:val="15"/>
              </w:rPr>
            </w:pPr>
            <w:r>
              <w:rPr>
                <w:sz w:val="15"/>
              </w:rPr>
              <w:t>3. Brazo ap y lat</w:t>
            </w:r>
          </w:p>
        </w:tc>
        <w:tc>
          <w:tcPr>
            <w:tcW w:w="7818" w:type="dxa"/>
          </w:tcPr>
          <w:p>
            <w:pPr>
              <w:pStyle w:val="TableParagraph"/>
              <w:spacing w:line="172" w:lineRule="exact" w:before="18"/>
              <w:ind w:left="648"/>
              <w:rPr>
                <w:sz w:val="15"/>
              </w:rPr>
            </w:pPr>
            <w:r>
              <w:rPr>
                <w:sz w:val="15"/>
              </w:rPr>
              <w:t>$281.00</w:t>
            </w:r>
          </w:p>
        </w:tc>
        <w:tc>
          <w:tcPr>
            <w:tcW w:w="4136" w:type="dxa"/>
          </w:tcPr>
          <w:p>
            <w:pPr>
              <w:pStyle w:val="TableParagraph"/>
              <w:spacing w:before="17"/>
              <w:ind w:left="50"/>
              <w:rPr>
                <w:sz w:val="15"/>
              </w:rPr>
            </w:pPr>
            <w:r>
              <w:rPr>
                <w:sz w:val="15"/>
              </w:rPr>
              <w:t>51. Pelvis pediátrica (neutra y abducción)</w:t>
            </w:r>
          </w:p>
        </w:tc>
        <w:tc>
          <w:tcPr>
            <w:tcW w:w="923" w:type="dxa"/>
          </w:tcPr>
          <w:p>
            <w:pPr>
              <w:pStyle w:val="TableParagraph"/>
              <w:spacing w:before="17"/>
              <w:ind w:right="48"/>
              <w:jc w:val="right"/>
              <w:rPr>
                <w:sz w:val="15"/>
              </w:rPr>
            </w:pPr>
            <w:r>
              <w:rPr>
                <w:sz w:val="15"/>
              </w:rPr>
              <w:t>$221.00</w:t>
            </w:r>
          </w:p>
        </w:tc>
      </w:tr>
      <w:tr>
        <w:trPr>
          <w:trHeight w:val="209" w:hRule="atLeast"/>
        </w:trPr>
        <w:tc>
          <w:tcPr>
            <w:tcW w:w="3804" w:type="dxa"/>
          </w:tcPr>
          <w:p>
            <w:pPr>
              <w:pStyle w:val="TableParagraph"/>
              <w:spacing w:line="172" w:lineRule="exact" w:before="18"/>
              <w:ind w:left="50"/>
              <w:rPr>
                <w:sz w:val="15"/>
              </w:rPr>
            </w:pPr>
            <w:r>
              <w:rPr>
                <w:sz w:val="15"/>
              </w:rPr>
              <w:t>4. Brazo placa adicional</w:t>
            </w:r>
          </w:p>
        </w:tc>
        <w:tc>
          <w:tcPr>
            <w:tcW w:w="7818" w:type="dxa"/>
          </w:tcPr>
          <w:p>
            <w:pPr>
              <w:pStyle w:val="TableParagraph"/>
              <w:spacing w:line="172" w:lineRule="exact" w:before="18"/>
              <w:ind w:left="647"/>
              <w:rPr>
                <w:sz w:val="15"/>
              </w:rPr>
            </w:pPr>
            <w:r>
              <w:rPr>
                <w:sz w:val="15"/>
              </w:rPr>
              <w:t>$153.00</w:t>
            </w:r>
          </w:p>
        </w:tc>
        <w:tc>
          <w:tcPr>
            <w:tcW w:w="4136" w:type="dxa"/>
          </w:tcPr>
          <w:p>
            <w:pPr>
              <w:pStyle w:val="TableParagraph"/>
              <w:spacing w:before="17"/>
              <w:ind w:left="50"/>
              <w:rPr>
                <w:sz w:val="15"/>
              </w:rPr>
            </w:pPr>
            <w:r>
              <w:rPr>
                <w:sz w:val="15"/>
              </w:rPr>
              <w:t>52. Pelvicefalometria</w:t>
            </w:r>
          </w:p>
        </w:tc>
        <w:tc>
          <w:tcPr>
            <w:tcW w:w="923" w:type="dxa"/>
          </w:tcPr>
          <w:p>
            <w:pPr>
              <w:pStyle w:val="TableParagraph"/>
              <w:spacing w:before="17"/>
              <w:ind w:right="48"/>
              <w:jc w:val="right"/>
              <w:rPr>
                <w:sz w:val="15"/>
              </w:rPr>
            </w:pPr>
            <w:r>
              <w:rPr>
                <w:sz w:val="15"/>
              </w:rPr>
              <w:t>$173.00</w:t>
            </w:r>
          </w:p>
        </w:tc>
      </w:tr>
      <w:tr>
        <w:trPr>
          <w:trHeight w:val="209" w:hRule="atLeast"/>
        </w:trPr>
        <w:tc>
          <w:tcPr>
            <w:tcW w:w="3804" w:type="dxa"/>
          </w:tcPr>
          <w:p>
            <w:pPr>
              <w:pStyle w:val="TableParagraph"/>
              <w:spacing w:line="172" w:lineRule="exact" w:before="18"/>
              <w:ind w:left="50"/>
              <w:rPr>
                <w:sz w:val="15"/>
              </w:rPr>
            </w:pPr>
            <w:r>
              <w:rPr>
                <w:sz w:val="15"/>
              </w:rPr>
              <w:t>5. Radio y cubito</w:t>
            </w:r>
          </w:p>
        </w:tc>
        <w:tc>
          <w:tcPr>
            <w:tcW w:w="7818" w:type="dxa"/>
          </w:tcPr>
          <w:p>
            <w:pPr>
              <w:pStyle w:val="TableParagraph"/>
              <w:spacing w:line="172" w:lineRule="exact" w:before="18"/>
              <w:ind w:left="648"/>
              <w:rPr>
                <w:sz w:val="15"/>
              </w:rPr>
            </w:pPr>
            <w:r>
              <w:rPr>
                <w:sz w:val="15"/>
              </w:rPr>
              <w:t>$160.00</w:t>
            </w:r>
          </w:p>
        </w:tc>
        <w:tc>
          <w:tcPr>
            <w:tcW w:w="4136" w:type="dxa"/>
          </w:tcPr>
          <w:p>
            <w:pPr>
              <w:pStyle w:val="TableParagraph"/>
              <w:spacing w:before="17"/>
              <w:ind w:left="50"/>
              <w:rPr>
                <w:sz w:val="15"/>
              </w:rPr>
            </w:pPr>
            <w:r>
              <w:rPr>
                <w:sz w:val="15"/>
              </w:rPr>
              <w:t>a) Tórax:</w:t>
            </w:r>
          </w:p>
        </w:tc>
        <w:tc>
          <w:tcPr>
            <w:tcW w:w="923" w:type="dxa"/>
          </w:tcPr>
          <w:p>
            <w:pPr>
              <w:pStyle w:val="TableParagraph"/>
              <w:rPr>
                <w:rFonts w:ascii="Times New Roman"/>
                <w:sz w:val="14"/>
              </w:rPr>
            </w:pPr>
          </w:p>
        </w:tc>
      </w:tr>
      <w:tr>
        <w:trPr>
          <w:trHeight w:val="209" w:hRule="atLeast"/>
        </w:trPr>
        <w:tc>
          <w:tcPr>
            <w:tcW w:w="3804" w:type="dxa"/>
          </w:tcPr>
          <w:p>
            <w:pPr>
              <w:pStyle w:val="TableParagraph"/>
              <w:spacing w:line="172" w:lineRule="exact" w:before="18"/>
              <w:ind w:left="50"/>
              <w:rPr>
                <w:sz w:val="15"/>
              </w:rPr>
            </w:pPr>
            <w:r>
              <w:rPr>
                <w:sz w:val="15"/>
              </w:rPr>
              <w:t>6. Cadera 1 placa (art. Coxofemoral) ap</w:t>
            </w:r>
          </w:p>
        </w:tc>
        <w:tc>
          <w:tcPr>
            <w:tcW w:w="7818" w:type="dxa"/>
          </w:tcPr>
          <w:p>
            <w:pPr>
              <w:pStyle w:val="TableParagraph"/>
              <w:spacing w:line="172" w:lineRule="exact" w:before="18"/>
              <w:ind w:left="647"/>
              <w:rPr>
                <w:sz w:val="15"/>
              </w:rPr>
            </w:pPr>
            <w:r>
              <w:rPr>
                <w:sz w:val="15"/>
              </w:rPr>
              <w:t>$171.00</w:t>
            </w:r>
          </w:p>
        </w:tc>
        <w:tc>
          <w:tcPr>
            <w:tcW w:w="4136" w:type="dxa"/>
          </w:tcPr>
          <w:p>
            <w:pPr>
              <w:pStyle w:val="TableParagraph"/>
              <w:spacing w:before="17"/>
              <w:ind w:left="50"/>
              <w:rPr>
                <w:sz w:val="15"/>
              </w:rPr>
            </w:pPr>
            <w:r>
              <w:rPr>
                <w:sz w:val="15"/>
              </w:rPr>
              <w:t>1. Tórax óseo 2 placas ap y lat</w:t>
            </w:r>
          </w:p>
        </w:tc>
        <w:tc>
          <w:tcPr>
            <w:tcW w:w="923" w:type="dxa"/>
          </w:tcPr>
          <w:p>
            <w:pPr>
              <w:pStyle w:val="TableParagraph"/>
              <w:spacing w:before="17"/>
              <w:ind w:right="48"/>
              <w:jc w:val="right"/>
              <w:rPr>
                <w:sz w:val="15"/>
              </w:rPr>
            </w:pPr>
            <w:r>
              <w:rPr>
                <w:sz w:val="15"/>
              </w:rPr>
              <w:t>$380.00</w:t>
            </w:r>
          </w:p>
        </w:tc>
      </w:tr>
      <w:tr>
        <w:trPr>
          <w:trHeight w:val="209" w:hRule="atLeast"/>
        </w:trPr>
        <w:tc>
          <w:tcPr>
            <w:tcW w:w="3804" w:type="dxa"/>
          </w:tcPr>
          <w:p>
            <w:pPr>
              <w:pStyle w:val="TableParagraph"/>
              <w:spacing w:line="172" w:lineRule="exact" w:before="18"/>
              <w:ind w:left="50"/>
              <w:rPr>
                <w:sz w:val="15"/>
              </w:rPr>
            </w:pPr>
            <w:r>
              <w:rPr>
                <w:sz w:val="15"/>
              </w:rPr>
              <w:t>7. Cadera placa adicional (art. Coxofemoral)</w:t>
            </w:r>
          </w:p>
        </w:tc>
        <w:tc>
          <w:tcPr>
            <w:tcW w:w="7818" w:type="dxa"/>
          </w:tcPr>
          <w:p>
            <w:pPr>
              <w:pStyle w:val="TableParagraph"/>
              <w:spacing w:line="172" w:lineRule="exact" w:before="18"/>
              <w:ind w:left="647"/>
              <w:rPr>
                <w:sz w:val="15"/>
              </w:rPr>
            </w:pPr>
            <w:r>
              <w:rPr>
                <w:sz w:val="15"/>
              </w:rPr>
              <w:t>$153.00</w:t>
            </w:r>
          </w:p>
        </w:tc>
        <w:tc>
          <w:tcPr>
            <w:tcW w:w="4136" w:type="dxa"/>
          </w:tcPr>
          <w:p>
            <w:pPr>
              <w:pStyle w:val="TableParagraph"/>
              <w:spacing w:before="17"/>
              <w:ind w:left="50"/>
              <w:rPr>
                <w:sz w:val="15"/>
              </w:rPr>
            </w:pPr>
            <w:r>
              <w:rPr>
                <w:sz w:val="15"/>
              </w:rPr>
              <w:t>2. Tórax óseo ap</w:t>
            </w:r>
          </w:p>
        </w:tc>
        <w:tc>
          <w:tcPr>
            <w:tcW w:w="923" w:type="dxa"/>
          </w:tcPr>
          <w:p>
            <w:pPr>
              <w:pStyle w:val="TableParagraph"/>
              <w:spacing w:before="17"/>
              <w:ind w:right="47"/>
              <w:jc w:val="right"/>
              <w:rPr>
                <w:sz w:val="15"/>
              </w:rPr>
            </w:pPr>
            <w:r>
              <w:rPr>
                <w:sz w:val="15"/>
              </w:rPr>
              <w:t>$215.00</w:t>
            </w:r>
          </w:p>
        </w:tc>
      </w:tr>
      <w:tr>
        <w:trPr>
          <w:trHeight w:val="209" w:hRule="atLeast"/>
        </w:trPr>
        <w:tc>
          <w:tcPr>
            <w:tcW w:w="3804" w:type="dxa"/>
          </w:tcPr>
          <w:p>
            <w:pPr>
              <w:pStyle w:val="TableParagraph"/>
              <w:spacing w:line="172" w:lineRule="exact" w:before="18"/>
              <w:ind w:left="50"/>
              <w:rPr>
                <w:sz w:val="15"/>
              </w:rPr>
            </w:pPr>
            <w:r>
              <w:rPr>
                <w:sz w:val="15"/>
              </w:rPr>
              <w:t>8. Clavícula ap</w:t>
            </w:r>
          </w:p>
        </w:tc>
        <w:tc>
          <w:tcPr>
            <w:tcW w:w="7818" w:type="dxa"/>
          </w:tcPr>
          <w:p>
            <w:pPr>
              <w:pStyle w:val="TableParagraph"/>
              <w:spacing w:line="172" w:lineRule="exact" w:before="18"/>
              <w:ind w:left="648"/>
              <w:rPr>
                <w:sz w:val="15"/>
              </w:rPr>
            </w:pPr>
            <w:r>
              <w:rPr>
                <w:sz w:val="15"/>
              </w:rPr>
              <w:t>$160.00</w:t>
            </w:r>
          </w:p>
        </w:tc>
        <w:tc>
          <w:tcPr>
            <w:tcW w:w="4136" w:type="dxa"/>
          </w:tcPr>
          <w:p>
            <w:pPr>
              <w:pStyle w:val="TableParagraph"/>
              <w:spacing w:before="17"/>
              <w:ind w:left="50"/>
              <w:rPr>
                <w:sz w:val="15"/>
              </w:rPr>
            </w:pPr>
            <w:r>
              <w:rPr>
                <w:sz w:val="15"/>
              </w:rPr>
              <w:t>3. Tórax óseo pa</w:t>
            </w:r>
          </w:p>
        </w:tc>
        <w:tc>
          <w:tcPr>
            <w:tcW w:w="923" w:type="dxa"/>
          </w:tcPr>
          <w:p>
            <w:pPr>
              <w:pStyle w:val="TableParagraph"/>
              <w:spacing w:before="17"/>
              <w:ind w:right="47"/>
              <w:jc w:val="right"/>
              <w:rPr>
                <w:sz w:val="15"/>
              </w:rPr>
            </w:pPr>
            <w:r>
              <w:rPr>
                <w:sz w:val="15"/>
              </w:rPr>
              <w:t>$215.00</w:t>
            </w:r>
          </w:p>
        </w:tc>
      </w:tr>
      <w:tr>
        <w:trPr>
          <w:trHeight w:val="209" w:hRule="atLeast"/>
        </w:trPr>
        <w:tc>
          <w:tcPr>
            <w:tcW w:w="3804" w:type="dxa"/>
          </w:tcPr>
          <w:p>
            <w:pPr>
              <w:pStyle w:val="TableParagraph"/>
              <w:spacing w:line="172" w:lineRule="exact" w:before="18"/>
              <w:ind w:left="50"/>
              <w:rPr>
                <w:sz w:val="15"/>
              </w:rPr>
            </w:pPr>
            <w:r>
              <w:rPr>
                <w:sz w:val="15"/>
              </w:rPr>
              <w:t>9. Clavícula placa adicional</w:t>
            </w:r>
          </w:p>
        </w:tc>
        <w:tc>
          <w:tcPr>
            <w:tcW w:w="7818" w:type="dxa"/>
          </w:tcPr>
          <w:p>
            <w:pPr>
              <w:pStyle w:val="TableParagraph"/>
              <w:spacing w:line="172" w:lineRule="exact" w:before="18"/>
              <w:ind w:left="647"/>
              <w:rPr>
                <w:sz w:val="15"/>
              </w:rPr>
            </w:pPr>
            <w:r>
              <w:rPr>
                <w:sz w:val="15"/>
              </w:rPr>
              <w:t>$153.00</w:t>
            </w:r>
          </w:p>
        </w:tc>
        <w:tc>
          <w:tcPr>
            <w:tcW w:w="4136" w:type="dxa"/>
          </w:tcPr>
          <w:p>
            <w:pPr>
              <w:pStyle w:val="TableParagraph"/>
              <w:spacing w:before="17"/>
              <w:ind w:left="50"/>
              <w:rPr>
                <w:sz w:val="15"/>
              </w:rPr>
            </w:pPr>
            <w:r>
              <w:rPr>
                <w:sz w:val="15"/>
              </w:rPr>
              <w:t>4. Tórax pa, lat y 2 oblicuas</w:t>
            </w:r>
          </w:p>
        </w:tc>
        <w:tc>
          <w:tcPr>
            <w:tcW w:w="923" w:type="dxa"/>
          </w:tcPr>
          <w:p>
            <w:pPr>
              <w:pStyle w:val="TableParagraph"/>
              <w:spacing w:before="17"/>
              <w:ind w:right="47"/>
              <w:jc w:val="right"/>
              <w:rPr>
                <w:sz w:val="15"/>
              </w:rPr>
            </w:pPr>
            <w:r>
              <w:rPr>
                <w:sz w:val="15"/>
              </w:rPr>
              <w:t>$397.00</w:t>
            </w:r>
          </w:p>
        </w:tc>
      </w:tr>
      <w:tr>
        <w:trPr>
          <w:trHeight w:val="209" w:hRule="atLeast"/>
        </w:trPr>
        <w:tc>
          <w:tcPr>
            <w:tcW w:w="3804" w:type="dxa"/>
          </w:tcPr>
          <w:p>
            <w:pPr>
              <w:pStyle w:val="TableParagraph"/>
              <w:spacing w:line="172" w:lineRule="exact" w:before="18"/>
              <w:ind w:left="50"/>
              <w:rPr>
                <w:sz w:val="15"/>
              </w:rPr>
            </w:pPr>
            <w:r>
              <w:rPr>
                <w:sz w:val="15"/>
              </w:rPr>
              <w:t>10. Codo ap y lat</w:t>
            </w:r>
          </w:p>
        </w:tc>
        <w:tc>
          <w:tcPr>
            <w:tcW w:w="7818" w:type="dxa"/>
          </w:tcPr>
          <w:p>
            <w:pPr>
              <w:pStyle w:val="TableParagraph"/>
              <w:spacing w:line="172" w:lineRule="exact" w:before="18"/>
              <w:ind w:left="648"/>
              <w:rPr>
                <w:sz w:val="15"/>
              </w:rPr>
            </w:pPr>
            <w:r>
              <w:rPr>
                <w:sz w:val="15"/>
              </w:rPr>
              <w:t>$193.00</w:t>
            </w:r>
          </w:p>
        </w:tc>
        <w:tc>
          <w:tcPr>
            <w:tcW w:w="4136" w:type="dxa"/>
          </w:tcPr>
          <w:p>
            <w:pPr>
              <w:pStyle w:val="TableParagraph"/>
              <w:spacing w:before="17"/>
              <w:ind w:left="50"/>
              <w:rPr>
                <w:sz w:val="15"/>
              </w:rPr>
            </w:pPr>
            <w:r>
              <w:rPr>
                <w:sz w:val="15"/>
              </w:rPr>
              <w:t>5. Tórax pa y 2 oblicuas</w:t>
            </w:r>
          </w:p>
        </w:tc>
        <w:tc>
          <w:tcPr>
            <w:tcW w:w="923" w:type="dxa"/>
          </w:tcPr>
          <w:p>
            <w:pPr>
              <w:pStyle w:val="TableParagraph"/>
              <w:spacing w:before="17"/>
              <w:ind w:right="47"/>
              <w:jc w:val="right"/>
              <w:rPr>
                <w:sz w:val="15"/>
              </w:rPr>
            </w:pPr>
            <w:r>
              <w:rPr>
                <w:sz w:val="15"/>
              </w:rPr>
              <w:t>$502.00</w:t>
            </w:r>
          </w:p>
        </w:tc>
      </w:tr>
      <w:tr>
        <w:trPr>
          <w:trHeight w:val="209" w:hRule="atLeast"/>
        </w:trPr>
        <w:tc>
          <w:tcPr>
            <w:tcW w:w="3804" w:type="dxa"/>
          </w:tcPr>
          <w:p>
            <w:pPr>
              <w:pStyle w:val="TableParagraph"/>
              <w:spacing w:line="172" w:lineRule="exact" w:before="18"/>
              <w:ind w:left="50"/>
              <w:rPr>
                <w:sz w:val="15"/>
              </w:rPr>
            </w:pPr>
            <w:r>
              <w:rPr>
                <w:sz w:val="15"/>
              </w:rPr>
              <w:t>11. Codo placa adicional</w:t>
            </w:r>
          </w:p>
        </w:tc>
        <w:tc>
          <w:tcPr>
            <w:tcW w:w="7818" w:type="dxa"/>
          </w:tcPr>
          <w:p>
            <w:pPr>
              <w:pStyle w:val="TableParagraph"/>
              <w:spacing w:line="172" w:lineRule="exact" w:before="18"/>
              <w:ind w:left="647"/>
              <w:rPr>
                <w:sz w:val="15"/>
              </w:rPr>
            </w:pPr>
            <w:r>
              <w:rPr>
                <w:sz w:val="15"/>
              </w:rPr>
              <w:t>$153.00</w:t>
            </w:r>
          </w:p>
        </w:tc>
        <w:tc>
          <w:tcPr>
            <w:tcW w:w="4136" w:type="dxa"/>
          </w:tcPr>
          <w:p>
            <w:pPr>
              <w:pStyle w:val="TableParagraph"/>
              <w:spacing w:before="17"/>
              <w:ind w:left="50"/>
              <w:rPr>
                <w:sz w:val="15"/>
              </w:rPr>
            </w:pPr>
            <w:r>
              <w:rPr>
                <w:sz w:val="15"/>
              </w:rPr>
              <w:t>6. Tórax pa y lat 2 placas</w:t>
            </w:r>
          </w:p>
        </w:tc>
        <w:tc>
          <w:tcPr>
            <w:tcW w:w="923" w:type="dxa"/>
          </w:tcPr>
          <w:p>
            <w:pPr>
              <w:pStyle w:val="TableParagraph"/>
              <w:spacing w:before="17"/>
              <w:ind w:right="47"/>
              <w:jc w:val="right"/>
              <w:rPr>
                <w:sz w:val="15"/>
              </w:rPr>
            </w:pPr>
            <w:r>
              <w:rPr>
                <w:sz w:val="15"/>
              </w:rPr>
              <w:t>$601.00</w:t>
            </w:r>
          </w:p>
        </w:tc>
      </w:tr>
      <w:tr>
        <w:trPr>
          <w:trHeight w:val="209" w:hRule="atLeast"/>
        </w:trPr>
        <w:tc>
          <w:tcPr>
            <w:tcW w:w="3804" w:type="dxa"/>
          </w:tcPr>
          <w:p>
            <w:pPr>
              <w:pStyle w:val="TableParagraph"/>
              <w:spacing w:line="172" w:lineRule="exact" w:before="18"/>
              <w:ind w:left="50"/>
              <w:rPr>
                <w:sz w:val="15"/>
              </w:rPr>
            </w:pPr>
            <w:r>
              <w:rPr>
                <w:sz w:val="15"/>
              </w:rPr>
              <w:t>12. Dedos 1 proyección</w:t>
            </w:r>
          </w:p>
        </w:tc>
        <w:tc>
          <w:tcPr>
            <w:tcW w:w="7818" w:type="dxa"/>
          </w:tcPr>
          <w:p>
            <w:pPr>
              <w:pStyle w:val="TableParagraph"/>
              <w:spacing w:line="172" w:lineRule="exact" w:before="18"/>
              <w:ind w:left="648"/>
              <w:rPr>
                <w:sz w:val="15"/>
              </w:rPr>
            </w:pPr>
            <w:r>
              <w:rPr>
                <w:sz w:val="15"/>
              </w:rPr>
              <w:t>$144.00</w:t>
            </w:r>
          </w:p>
        </w:tc>
        <w:tc>
          <w:tcPr>
            <w:tcW w:w="4136" w:type="dxa"/>
          </w:tcPr>
          <w:p>
            <w:pPr>
              <w:pStyle w:val="TableParagraph"/>
              <w:spacing w:before="17"/>
              <w:ind w:left="50"/>
              <w:rPr>
                <w:sz w:val="15"/>
              </w:rPr>
            </w:pPr>
            <w:r>
              <w:rPr>
                <w:sz w:val="15"/>
              </w:rPr>
              <w:t>7. Tórax pediátrico</w:t>
            </w:r>
          </w:p>
        </w:tc>
        <w:tc>
          <w:tcPr>
            <w:tcW w:w="923" w:type="dxa"/>
          </w:tcPr>
          <w:p>
            <w:pPr>
              <w:pStyle w:val="TableParagraph"/>
              <w:spacing w:before="17"/>
              <w:ind w:right="47"/>
              <w:jc w:val="right"/>
              <w:rPr>
                <w:sz w:val="15"/>
              </w:rPr>
            </w:pPr>
            <w:r>
              <w:rPr>
                <w:sz w:val="15"/>
              </w:rPr>
              <w:t>$166.00</w:t>
            </w:r>
          </w:p>
        </w:tc>
      </w:tr>
      <w:tr>
        <w:trPr>
          <w:trHeight w:val="209" w:hRule="atLeast"/>
        </w:trPr>
        <w:tc>
          <w:tcPr>
            <w:tcW w:w="3804" w:type="dxa"/>
          </w:tcPr>
          <w:p>
            <w:pPr>
              <w:pStyle w:val="TableParagraph"/>
              <w:spacing w:line="172" w:lineRule="exact" w:before="18"/>
              <w:ind w:left="50"/>
              <w:rPr>
                <w:sz w:val="15"/>
              </w:rPr>
            </w:pPr>
            <w:r>
              <w:rPr>
                <w:sz w:val="15"/>
              </w:rPr>
              <w:t>13. Dedos 2 proyecciones</w:t>
            </w:r>
          </w:p>
        </w:tc>
        <w:tc>
          <w:tcPr>
            <w:tcW w:w="7818" w:type="dxa"/>
          </w:tcPr>
          <w:p>
            <w:pPr>
              <w:pStyle w:val="TableParagraph"/>
              <w:spacing w:line="172" w:lineRule="exact" w:before="18"/>
              <w:ind w:left="647"/>
              <w:rPr>
                <w:sz w:val="15"/>
              </w:rPr>
            </w:pPr>
            <w:r>
              <w:rPr>
                <w:sz w:val="15"/>
              </w:rPr>
              <w:t>$248.00</w:t>
            </w:r>
          </w:p>
        </w:tc>
        <w:tc>
          <w:tcPr>
            <w:tcW w:w="4136" w:type="dxa"/>
          </w:tcPr>
          <w:p>
            <w:pPr>
              <w:pStyle w:val="TableParagraph"/>
              <w:spacing w:before="17"/>
              <w:ind w:left="50"/>
              <w:rPr>
                <w:sz w:val="15"/>
              </w:rPr>
            </w:pPr>
            <w:r>
              <w:rPr>
                <w:sz w:val="15"/>
              </w:rPr>
              <w:t>8. Serie cardiaca 3 placas</w:t>
            </w:r>
          </w:p>
        </w:tc>
        <w:tc>
          <w:tcPr>
            <w:tcW w:w="923" w:type="dxa"/>
          </w:tcPr>
          <w:p>
            <w:pPr>
              <w:pStyle w:val="TableParagraph"/>
              <w:spacing w:before="17"/>
              <w:ind w:right="47"/>
              <w:jc w:val="right"/>
              <w:rPr>
                <w:sz w:val="15"/>
              </w:rPr>
            </w:pPr>
            <w:r>
              <w:rPr>
                <w:sz w:val="15"/>
              </w:rPr>
              <w:t>$397.00</w:t>
            </w:r>
          </w:p>
        </w:tc>
      </w:tr>
      <w:tr>
        <w:trPr>
          <w:trHeight w:val="209" w:hRule="atLeast"/>
        </w:trPr>
        <w:tc>
          <w:tcPr>
            <w:tcW w:w="3804" w:type="dxa"/>
          </w:tcPr>
          <w:p>
            <w:pPr>
              <w:pStyle w:val="TableParagraph"/>
              <w:spacing w:line="172" w:lineRule="exact" w:before="18"/>
              <w:ind w:left="50"/>
              <w:rPr>
                <w:sz w:val="15"/>
              </w:rPr>
            </w:pPr>
            <w:r>
              <w:rPr>
                <w:sz w:val="15"/>
              </w:rPr>
              <w:t>14. Dedos placa adicional</w:t>
            </w:r>
          </w:p>
        </w:tc>
        <w:tc>
          <w:tcPr>
            <w:tcW w:w="7818" w:type="dxa"/>
          </w:tcPr>
          <w:p>
            <w:pPr>
              <w:pStyle w:val="TableParagraph"/>
              <w:spacing w:line="172" w:lineRule="exact" w:before="18"/>
              <w:ind w:left="647"/>
              <w:rPr>
                <w:sz w:val="15"/>
              </w:rPr>
            </w:pPr>
            <w:r>
              <w:rPr>
                <w:sz w:val="15"/>
              </w:rPr>
              <w:t>$153.00</w:t>
            </w:r>
          </w:p>
        </w:tc>
        <w:tc>
          <w:tcPr>
            <w:tcW w:w="4136" w:type="dxa"/>
          </w:tcPr>
          <w:p>
            <w:pPr>
              <w:pStyle w:val="TableParagraph"/>
              <w:spacing w:before="17"/>
              <w:ind w:left="50"/>
              <w:rPr>
                <w:sz w:val="15"/>
              </w:rPr>
            </w:pPr>
            <w:r>
              <w:rPr>
                <w:sz w:val="15"/>
              </w:rPr>
              <w:t>9. Serie cardiaca 4 placas</w:t>
            </w:r>
          </w:p>
        </w:tc>
        <w:tc>
          <w:tcPr>
            <w:tcW w:w="923" w:type="dxa"/>
          </w:tcPr>
          <w:p>
            <w:pPr>
              <w:pStyle w:val="TableParagraph"/>
              <w:spacing w:before="17"/>
              <w:ind w:right="47"/>
              <w:jc w:val="right"/>
              <w:rPr>
                <w:sz w:val="15"/>
              </w:rPr>
            </w:pPr>
            <w:r>
              <w:rPr>
                <w:sz w:val="15"/>
              </w:rPr>
              <w:t>$673.00</w:t>
            </w:r>
          </w:p>
        </w:tc>
      </w:tr>
      <w:tr>
        <w:trPr>
          <w:trHeight w:val="209" w:hRule="atLeast"/>
        </w:trPr>
        <w:tc>
          <w:tcPr>
            <w:tcW w:w="3804" w:type="dxa"/>
          </w:tcPr>
          <w:p>
            <w:pPr>
              <w:pStyle w:val="TableParagraph"/>
              <w:spacing w:line="172" w:lineRule="exact" w:before="18"/>
              <w:ind w:left="50"/>
              <w:rPr>
                <w:sz w:val="15"/>
              </w:rPr>
            </w:pPr>
            <w:r>
              <w:rPr>
                <w:sz w:val="15"/>
              </w:rPr>
              <w:t>15. Edad ósea 2 placas</w:t>
            </w:r>
          </w:p>
        </w:tc>
        <w:tc>
          <w:tcPr>
            <w:tcW w:w="7818" w:type="dxa"/>
          </w:tcPr>
          <w:p>
            <w:pPr>
              <w:pStyle w:val="TableParagraph"/>
              <w:spacing w:line="172" w:lineRule="exact" w:before="18"/>
              <w:ind w:left="648"/>
              <w:rPr>
                <w:sz w:val="15"/>
              </w:rPr>
            </w:pPr>
            <w:r>
              <w:rPr>
                <w:sz w:val="15"/>
              </w:rPr>
              <w:t>$248.00</w:t>
            </w:r>
          </w:p>
        </w:tc>
        <w:tc>
          <w:tcPr>
            <w:tcW w:w="4136" w:type="dxa"/>
          </w:tcPr>
          <w:p>
            <w:pPr>
              <w:pStyle w:val="TableParagraph"/>
              <w:spacing w:before="17"/>
              <w:ind w:left="50"/>
              <w:rPr>
                <w:sz w:val="15"/>
              </w:rPr>
            </w:pPr>
            <w:r>
              <w:rPr>
                <w:sz w:val="15"/>
              </w:rPr>
              <w:t>10. Parrilla costal</w:t>
            </w:r>
          </w:p>
        </w:tc>
        <w:tc>
          <w:tcPr>
            <w:tcW w:w="923" w:type="dxa"/>
          </w:tcPr>
          <w:p>
            <w:pPr>
              <w:pStyle w:val="TableParagraph"/>
              <w:spacing w:before="17"/>
              <w:ind w:right="47"/>
              <w:jc w:val="right"/>
              <w:rPr>
                <w:sz w:val="15"/>
              </w:rPr>
            </w:pPr>
            <w:r>
              <w:rPr>
                <w:sz w:val="15"/>
              </w:rPr>
              <w:t>$215.00</w:t>
            </w:r>
          </w:p>
        </w:tc>
      </w:tr>
      <w:tr>
        <w:trPr>
          <w:trHeight w:val="209" w:hRule="atLeast"/>
        </w:trPr>
        <w:tc>
          <w:tcPr>
            <w:tcW w:w="3804" w:type="dxa"/>
          </w:tcPr>
          <w:p>
            <w:pPr>
              <w:pStyle w:val="TableParagraph"/>
              <w:spacing w:line="172" w:lineRule="exact" w:before="18"/>
              <w:ind w:left="50"/>
              <w:rPr>
                <w:sz w:val="15"/>
              </w:rPr>
            </w:pPr>
            <w:r>
              <w:rPr>
                <w:sz w:val="15"/>
              </w:rPr>
              <w:t>16. Edad osea placa adicional</w:t>
            </w:r>
          </w:p>
        </w:tc>
        <w:tc>
          <w:tcPr>
            <w:tcW w:w="7818" w:type="dxa"/>
          </w:tcPr>
          <w:p>
            <w:pPr>
              <w:pStyle w:val="TableParagraph"/>
              <w:spacing w:line="172" w:lineRule="exact" w:before="18"/>
              <w:ind w:left="648"/>
              <w:rPr>
                <w:sz w:val="15"/>
              </w:rPr>
            </w:pPr>
            <w:r>
              <w:rPr>
                <w:sz w:val="15"/>
              </w:rPr>
              <w:t>$153.00</w:t>
            </w:r>
          </w:p>
        </w:tc>
        <w:tc>
          <w:tcPr>
            <w:tcW w:w="4136" w:type="dxa"/>
          </w:tcPr>
          <w:p>
            <w:pPr>
              <w:pStyle w:val="TableParagraph"/>
              <w:spacing w:before="17"/>
              <w:ind w:left="50"/>
              <w:rPr>
                <w:sz w:val="15"/>
              </w:rPr>
            </w:pPr>
            <w:r>
              <w:rPr>
                <w:sz w:val="15"/>
              </w:rPr>
              <w:t>b) Abdomen:</w:t>
            </w:r>
          </w:p>
        </w:tc>
        <w:tc>
          <w:tcPr>
            <w:tcW w:w="923" w:type="dxa"/>
          </w:tcPr>
          <w:p>
            <w:pPr>
              <w:pStyle w:val="TableParagraph"/>
              <w:rPr>
                <w:rFonts w:ascii="Times New Roman"/>
                <w:sz w:val="14"/>
              </w:rPr>
            </w:pPr>
          </w:p>
        </w:tc>
      </w:tr>
      <w:tr>
        <w:trPr>
          <w:trHeight w:val="209" w:hRule="atLeast"/>
        </w:trPr>
        <w:tc>
          <w:tcPr>
            <w:tcW w:w="3804" w:type="dxa"/>
          </w:tcPr>
          <w:p>
            <w:pPr>
              <w:pStyle w:val="TableParagraph"/>
              <w:spacing w:line="172" w:lineRule="exact" w:before="18"/>
              <w:ind w:left="50"/>
              <w:rPr>
                <w:sz w:val="15"/>
              </w:rPr>
            </w:pPr>
            <w:r>
              <w:rPr>
                <w:sz w:val="15"/>
              </w:rPr>
              <w:t>17. Esternón lateral</w:t>
            </w:r>
          </w:p>
        </w:tc>
        <w:tc>
          <w:tcPr>
            <w:tcW w:w="7818" w:type="dxa"/>
          </w:tcPr>
          <w:p>
            <w:pPr>
              <w:pStyle w:val="TableParagraph"/>
              <w:spacing w:line="172" w:lineRule="exact" w:before="18"/>
              <w:ind w:left="647"/>
              <w:rPr>
                <w:sz w:val="15"/>
              </w:rPr>
            </w:pPr>
            <w:r>
              <w:rPr>
                <w:sz w:val="15"/>
              </w:rPr>
              <w:t>$281.00</w:t>
            </w:r>
          </w:p>
        </w:tc>
        <w:tc>
          <w:tcPr>
            <w:tcW w:w="4136" w:type="dxa"/>
          </w:tcPr>
          <w:p>
            <w:pPr>
              <w:pStyle w:val="TableParagraph"/>
              <w:spacing w:before="17"/>
              <w:ind w:left="50"/>
              <w:rPr>
                <w:sz w:val="15"/>
              </w:rPr>
            </w:pPr>
            <w:r>
              <w:rPr>
                <w:sz w:val="15"/>
              </w:rPr>
              <w:t>1. Abdomen simple 1 placa</w:t>
            </w:r>
          </w:p>
        </w:tc>
        <w:tc>
          <w:tcPr>
            <w:tcW w:w="923" w:type="dxa"/>
          </w:tcPr>
          <w:p>
            <w:pPr>
              <w:pStyle w:val="TableParagraph"/>
              <w:spacing w:before="17"/>
              <w:ind w:right="47"/>
              <w:jc w:val="right"/>
              <w:rPr>
                <w:sz w:val="15"/>
              </w:rPr>
            </w:pPr>
            <w:r>
              <w:rPr>
                <w:sz w:val="15"/>
              </w:rPr>
              <w:t>$221.00</w:t>
            </w:r>
          </w:p>
        </w:tc>
      </w:tr>
      <w:tr>
        <w:trPr>
          <w:trHeight w:val="209" w:hRule="atLeast"/>
        </w:trPr>
        <w:tc>
          <w:tcPr>
            <w:tcW w:w="3804" w:type="dxa"/>
          </w:tcPr>
          <w:p>
            <w:pPr>
              <w:pStyle w:val="TableParagraph"/>
              <w:spacing w:line="172" w:lineRule="exact" w:before="18"/>
              <w:ind w:left="50"/>
              <w:rPr>
                <w:sz w:val="15"/>
              </w:rPr>
            </w:pPr>
            <w:r>
              <w:rPr>
                <w:sz w:val="15"/>
              </w:rPr>
              <w:t>18. Esternón placa adicional</w:t>
            </w:r>
          </w:p>
        </w:tc>
        <w:tc>
          <w:tcPr>
            <w:tcW w:w="7818" w:type="dxa"/>
          </w:tcPr>
          <w:p>
            <w:pPr>
              <w:pStyle w:val="TableParagraph"/>
              <w:spacing w:line="172" w:lineRule="exact" w:before="18"/>
              <w:ind w:left="648"/>
              <w:rPr>
                <w:sz w:val="15"/>
              </w:rPr>
            </w:pPr>
            <w:r>
              <w:rPr>
                <w:sz w:val="15"/>
              </w:rPr>
              <w:t>$153.00</w:t>
            </w:r>
          </w:p>
        </w:tc>
        <w:tc>
          <w:tcPr>
            <w:tcW w:w="4136" w:type="dxa"/>
          </w:tcPr>
          <w:p>
            <w:pPr>
              <w:pStyle w:val="TableParagraph"/>
              <w:spacing w:before="17"/>
              <w:ind w:left="50"/>
              <w:rPr>
                <w:sz w:val="15"/>
              </w:rPr>
            </w:pPr>
            <w:r>
              <w:rPr>
                <w:sz w:val="15"/>
              </w:rPr>
              <w:t>2. Abdomen placa adicional</w:t>
            </w:r>
          </w:p>
        </w:tc>
        <w:tc>
          <w:tcPr>
            <w:tcW w:w="923" w:type="dxa"/>
          </w:tcPr>
          <w:p>
            <w:pPr>
              <w:pStyle w:val="TableParagraph"/>
              <w:spacing w:before="17"/>
              <w:ind w:right="47"/>
              <w:jc w:val="right"/>
              <w:rPr>
                <w:sz w:val="15"/>
              </w:rPr>
            </w:pPr>
            <w:r>
              <w:rPr>
                <w:sz w:val="15"/>
              </w:rPr>
              <w:t>$204.00</w:t>
            </w:r>
          </w:p>
        </w:tc>
      </w:tr>
      <w:tr>
        <w:trPr>
          <w:trHeight w:val="209" w:hRule="atLeast"/>
        </w:trPr>
        <w:tc>
          <w:tcPr>
            <w:tcW w:w="3804" w:type="dxa"/>
          </w:tcPr>
          <w:p>
            <w:pPr>
              <w:pStyle w:val="TableParagraph"/>
              <w:spacing w:line="172" w:lineRule="exact" w:before="18"/>
              <w:ind w:left="50"/>
              <w:rPr>
                <w:sz w:val="15"/>
              </w:rPr>
            </w:pPr>
            <w:r>
              <w:rPr>
                <w:sz w:val="15"/>
              </w:rPr>
              <w:t>19. Hombro ap y lat</w:t>
            </w:r>
          </w:p>
        </w:tc>
        <w:tc>
          <w:tcPr>
            <w:tcW w:w="7818" w:type="dxa"/>
          </w:tcPr>
          <w:p>
            <w:pPr>
              <w:pStyle w:val="TableParagraph"/>
              <w:spacing w:line="172" w:lineRule="exact" w:before="18"/>
              <w:ind w:left="648"/>
              <w:rPr>
                <w:sz w:val="15"/>
              </w:rPr>
            </w:pPr>
            <w:r>
              <w:rPr>
                <w:sz w:val="15"/>
              </w:rPr>
              <w:t>$171.00</w:t>
            </w:r>
          </w:p>
        </w:tc>
        <w:tc>
          <w:tcPr>
            <w:tcW w:w="4136" w:type="dxa"/>
          </w:tcPr>
          <w:p>
            <w:pPr>
              <w:pStyle w:val="TableParagraph"/>
              <w:spacing w:before="17"/>
              <w:ind w:left="50"/>
              <w:rPr>
                <w:sz w:val="15"/>
              </w:rPr>
            </w:pPr>
            <w:r>
              <w:rPr>
                <w:sz w:val="15"/>
              </w:rPr>
              <w:t>c) Cabeza y cuello:</w:t>
            </w:r>
          </w:p>
        </w:tc>
        <w:tc>
          <w:tcPr>
            <w:tcW w:w="923" w:type="dxa"/>
          </w:tcPr>
          <w:p>
            <w:pPr>
              <w:pStyle w:val="TableParagraph"/>
              <w:rPr>
                <w:rFonts w:ascii="Times New Roman"/>
                <w:sz w:val="14"/>
              </w:rPr>
            </w:pPr>
          </w:p>
        </w:tc>
      </w:tr>
      <w:tr>
        <w:trPr>
          <w:trHeight w:val="209" w:hRule="atLeast"/>
        </w:trPr>
        <w:tc>
          <w:tcPr>
            <w:tcW w:w="3804" w:type="dxa"/>
          </w:tcPr>
          <w:p>
            <w:pPr>
              <w:pStyle w:val="TableParagraph"/>
              <w:spacing w:line="172" w:lineRule="exact" w:before="18"/>
              <w:ind w:left="50"/>
              <w:rPr>
                <w:sz w:val="15"/>
              </w:rPr>
            </w:pPr>
            <w:r>
              <w:rPr>
                <w:sz w:val="15"/>
              </w:rPr>
              <w:t>20. Hombro placa adicional</w:t>
            </w:r>
          </w:p>
        </w:tc>
        <w:tc>
          <w:tcPr>
            <w:tcW w:w="7818" w:type="dxa"/>
          </w:tcPr>
          <w:p>
            <w:pPr>
              <w:pStyle w:val="TableParagraph"/>
              <w:spacing w:line="172" w:lineRule="exact" w:before="18"/>
              <w:ind w:left="648"/>
              <w:rPr>
                <w:sz w:val="15"/>
              </w:rPr>
            </w:pPr>
            <w:r>
              <w:rPr>
                <w:sz w:val="15"/>
              </w:rPr>
              <w:t>$144.00</w:t>
            </w:r>
          </w:p>
        </w:tc>
        <w:tc>
          <w:tcPr>
            <w:tcW w:w="4136" w:type="dxa"/>
          </w:tcPr>
          <w:p>
            <w:pPr>
              <w:pStyle w:val="TableParagraph"/>
              <w:spacing w:before="17"/>
              <w:ind w:left="50"/>
              <w:rPr>
                <w:sz w:val="15"/>
              </w:rPr>
            </w:pPr>
            <w:r>
              <w:rPr>
                <w:sz w:val="15"/>
              </w:rPr>
              <w:t>1. Cráneo ap y lat</w:t>
            </w:r>
          </w:p>
        </w:tc>
        <w:tc>
          <w:tcPr>
            <w:tcW w:w="923" w:type="dxa"/>
          </w:tcPr>
          <w:p>
            <w:pPr>
              <w:pStyle w:val="TableParagraph"/>
              <w:spacing w:before="17"/>
              <w:ind w:right="47"/>
              <w:jc w:val="right"/>
              <w:rPr>
                <w:sz w:val="15"/>
              </w:rPr>
            </w:pPr>
            <w:r>
              <w:rPr>
                <w:sz w:val="15"/>
              </w:rPr>
              <w:t>$248.00</w:t>
            </w:r>
          </w:p>
        </w:tc>
      </w:tr>
      <w:tr>
        <w:trPr>
          <w:trHeight w:val="209" w:hRule="atLeast"/>
        </w:trPr>
        <w:tc>
          <w:tcPr>
            <w:tcW w:w="3804" w:type="dxa"/>
          </w:tcPr>
          <w:p>
            <w:pPr>
              <w:pStyle w:val="TableParagraph"/>
              <w:spacing w:line="172" w:lineRule="exact" w:before="18"/>
              <w:ind w:left="50"/>
              <w:rPr>
                <w:sz w:val="15"/>
              </w:rPr>
            </w:pPr>
            <w:r>
              <w:rPr>
                <w:sz w:val="15"/>
              </w:rPr>
              <w:t>21. Mano ap y oblicua</w:t>
            </w:r>
          </w:p>
        </w:tc>
        <w:tc>
          <w:tcPr>
            <w:tcW w:w="7818" w:type="dxa"/>
          </w:tcPr>
          <w:p>
            <w:pPr>
              <w:pStyle w:val="TableParagraph"/>
              <w:spacing w:line="172" w:lineRule="exact" w:before="18"/>
              <w:ind w:left="648"/>
              <w:rPr>
                <w:sz w:val="15"/>
              </w:rPr>
            </w:pPr>
            <w:r>
              <w:rPr>
                <w:sz w:val="15"/>
              </w:rPr>
              <w:t>$281.00</w:t>
            </w:r>
          </w:p>
        </w:tc>
        <w:tc>
          <w:tcPr>
            <w:tcW w:w="4136" w:type="dxa"/>
          </w:tcPr>
          <w:p>
            <w:pPr>
              <w:pStyle w:val="TableParagraph"/>
              <w:spacing w:before="17"/>
              <w:ind w:left="50"/>
              <w:rPr>
                <w:sz w:val="15"/>
              </w:rPr>
            </w:pPr>
            <w:r>
              <w:rPr>
                <w:sz w:val="15"/>
              </w:rPr>
              <w:t>2. Cráneo ap, lat y towne</w:t>
            </w:r>
          </w:p>
        </w:tc>
        <w:tc>
          <w:tcPr>
            <w:tcW w:w="923" w:type="dxa"/>
          </w:tcPr>
          <w:p>
            <w:pPr>
              <w:pStyle w:val="TableParagraph"/>
              <w:spacing w:before="17"/>
              <w:ind w:right="47"/>
              <w:jc w:val="right"/>
              <w:rPr>
                <w:sz w:val="15"/>
              </w:rPr>
            </w:pPr>
            <w:r>
              <w:rPr>
                <w:sz w:val="15"/>
              </w:rPr>
              <w:t>$281.00</w:t>
            </w:r>
          </w:p>
        </w:tc>
      </w:tr>
      <w:tr>
        <w:trPr>
          <w:trHeight w:val="209" w:hRule="atLeast"/>
        </w:trPr>
        <w:tc>
          <w:tcPr>
            <w:tcW w:w="3804" w:type="dxa"/>
          </w:tcPr>
          <w:p>
            <w:pPr>
              <w:pStyle w:val="TableParagraph"/>
              <w:spacing w:line="172" w:lineRule="exact" w:before="18"/>
              <w:ind w:left="50"/>
              <w:rPr>
                <w:sz w:val="15"/>
              </w:rPr>
            </w:pPr>
            <w:r>
              <w:rPr>
                <w:sz w:val="15"/>
              </w:rPr>
              <w:t>22. Mano placa adicional</w:t>
            </w:r>
          </w:p>
        </w:tc>
        <w:tc>
          <w:tcPr>
            <w:tcW w:w="7818" w:type="dxa"/>
          </w:tcPr>
          <w:p>
            <w:pPr>
              <w:pStyle w:val="TableParagraph"/>
              <w:spacing w:line="172" w:lineRule="exact" w:before="18"/>
              <w:ind w:left="647"/>
              <w:rPr>
                <w:sz w:val="15"/>
              </w:rPr>
            </w:pPr>
            <w:r>
              <w:rPr>
                <w:sz w:val="15"/>
              </w:rPr>
              <w:t>$153.00</w:t>
            </w:r>
          </w:p>
        </w:tc>
        <w:tc>
          <w:tcPr>
            <w:tcW w:w="4136" w:type="dxa"/>
          </w:tcPr>
          <w:p>
            <w:pPr>
              <w:pStyle w:val="TableParagraph"/>
              <w:spacing w:before="17"/>
              <w:ind w:left="50"/>
              <w:rPr>
                <w:sz w:val="15"/>
              </w:rPr>
            </w:pPr>
            <w:r>
              <w:rPr>
                <w:sz w:val="15"/>
              </w:rPr>
              <w:t>3. Cráneo placa adicional</w:t>
            </w:r>
          </w:p>
        </w:tc>
        <w:tc>
          <w:tcPr>
            <w:tcW w:w="923" w:type="dxa"/>
          </w:tcPr>
          <w:p>
            <w:pPr>
              <w:pStyle w:val="TableParagraph"/>
              <w:spacing w:before="17"/>
              <w:ind w:right="47"/>
              <w:jc w:val="right"/>
              <w:rPr>
                <w:sz w:val="15"/>
              </w:rPr>
            </w:pPr>
            <w:r>
              <w:rPr>
                <w:sz w:val="15"/>
              </w:rPr>
              <w:t>$153.00</w:t>
            </w:r>
          </w:p>
        </w:tc>
      </w:tr>
      <w:tr>
        <w:trPr>
          <w:trHeight w:val="209" w:hRule="atLeast"/>
        </w:trPr>
        <w:tc>
          <w:tcPr>
            <w:tcW w:w="3804" w:type="dxa"/>
          </w:tcPr>
          <w:p>
            <w:pPr>
              <w:pStyle w:val="TableParagraph"/>
              <w:spacing w:line="172" w:lineRule="exact" w:before="18"/>
              <w:ind w:left="50"/>
              <w:rPr>
                <w:sz w:val="15"/>
              </w:rPr>
            </w:pPr>
            <w:r>
              <w:rPr>
                <w:sz w:val="15"/>
              </w:rPr>
              <w:t>23. Manos comparativas 1 placa</w:t>
            </w:r>
          </w:p>
        </w:tc>
        <w:tc>
          <w:tcPr>
            <w:tcW w:w="7818" w:type="dxa"/>
          </w:tcPr>
          <w:p>
            <w:pPr>
              <w:pStyle w:val="TableParagraph"/>
              <w:spacing w:line="172" w:lineRule="exact" w:before="18"/>
              <w:ind w:left="648"/>
              <w:rPr>
                <w:sz w:val="15"/>
              </w:rPr>
            </w:pPr>
            <w:r>
              <w:rPr>
                <w:sz w:val="15"/>
              </w:rPr>
              <w:t>$132.00</w:t>
            </w:r>
          </w:p>
        </w:tc>
        <w:tc>
          <w:tcPr>
            <w:tcW w:w="4136" w:type="dxa"/>
          </w:tcPr>
          <w:p>
            <w:pPr>
              <w:pStyle w:val="TableParagraph"/>
              <w:spacing w:before="17"/>
              <w:ind w:left="50"/>
              <w:rPr>
                <w:sz w:val="15"/>
              </w:rPr>
            </w:pPr>
            <w:r>
              <w:rPr>
                <w:sz w:val="15"/>
              </w:rPr>
              <w:t>4. Senos paranasales, cadwell, waters y lat</w:t>
            </w:r>
          </w:p>
        </w:tc>
        <w:tc>
          <w:tcPr>
            <w:tcW w:w="923" w:type="dxa"/>
          </w:tcPr>
          <w:p>
            <w:pPr>
              <w:pStyle w:val="TableParagraph"/>
              <w:spacing w:before="17"/>
              <w:ind w:right="47"/>
              <w:jc w:val="right"/>
              <w:rPr>
                <w:sz w:val="15"/>
              </w:rPr>
            </w:pPr>
            <w:r>
              <w:rPr>
                <w:sz w:val="15"/>
              </w:rPr>
              <w:t>$160.00</w:t>
            </w:r>
          </w:p>
        </w:tc>
      </w:tr>
      <w:tr>
        <w:trPr>
          <w:trHeight w:val="209" w:hRule="atLeast"/>
        </w:trPr>
        <w:tc>
          <w:tcPr>
            <w:tcW w:w="3804" w:type="dxa"/>
          </w:tcPr>
          <w:p>
            <w:pPr>
              <w:pStyle w:val="TableParagraph"/>
              <w:spacing w:line="172" w:lineRule="exact" w:before="18"/>
              <w:ind w:left="50"/>
              <w:rPr>
                <w:sz w:val="15"/>
              </w:rPr>
            </w:pPr>
            <w:r>
              <w:rPr>
                <w:sz w:val="15"/>
              </w:rPr>
              <w:t>24. Manos comparativas 2 placas</w:t>
            </w:r>
          </w:p>
        </w:tc>
        <w:tc>
          <w:tcPr>
            <w:tcW w:w="7818" w:type="dxa"/>
          </w:tcPr>
          <w:p>
            <w:pPr>
              <w:pStyle w:val="TableParagraph"/>
              <w:spacing w:line="172" w:lineRule="exact" w:before="18"/>
              <w:ind w:left="647"/>
              <w:rPr>
                <w:sz w:val="15"/>
              </w:rPr>
            </w:pPr>
            <w:r>
              <w:rPr>
                <w:sz w:val="15"/>
              </w:rPr>
              <w:t>$276.00</w:t>
            </w:r>
          </w:p>
        </w:tc>
        <w:tc>
          <w:tcPr>
            <w:tcW w:w="4136" w:type="dxa"/>
          </w:tcPr>
          <w:p>
            <w:pPr>
              <w:pStyle w:val="TableParagraph"/>
              <w:spacing w:before="17"/>
              <w:ind w:left="50"/>
              <w:rPr>
                <w:sz w:val="15"/>
              </w:rPr>
            </w:pPr>
            <w:r>
              <w:rPr>
                <w:sz w:val="15"/>
              </w:rPr>
              <w:t>5. Senos paranasales placa adicional</w:t>
            </w:r>
          </w:p>
        </w:tc>
        <w:tc>
          <w:tcPr>
            <w:tcW w:w="923" w:type="dxa"/>
          </w:tcPr>
          <w:p>
            <w:pPr>
              <w:pStyle w:val="TableParagraph"/>
              <w:spacing w:before="17"/>
              <w:ind w:right="48"/>
              <w:jc w:val="right"/>
              <w:rPr>
                <w:sz w:val="15"/>
              </w:rPr>
            </w:pPr>
            <w:r>
              <w:rPr>
                <w:sz w:val="15"/>
              </w:rPr>
              <w:t>$153.00</w:t>
            </w:r>
          </w:p>
        </w:tc>
      </w:tr>
      <w:tr>
        <w:trPr>
          <w:trHeight w:val="209" w:hRule="atLeast"/>
        </w:trPr>
        <w:tc>
          <w:tcPr>
            <w:tcW w:w="3804" w:type="dxa"/>
          </w:tcPr>
          <w:p>
            <w:pPr>
              <w:pStyle w:val="TableParagraph"/>
              <w:spacing w:line="172" w:lineRule="exact" w:before="18"/>
              <w:ind w:left="50"/>
              <w:rPr>
                <w:sz w:val="15"/>
              </w:rPr>
            </w:pPr>
            <w:r>
              <w:rPr>
                <w:sz w:val="15"/>
              </w:rPr>
              <w:t>25. Medición de miembros inferiores</w:t>
            </w:r>
          </w:p>
        </w:tc>
        <w:tc>
          <w:tcPr>
            <w:tcW w:w="7818" w:type="dxa"/>
          </w:tcPr>
          <w:p>
            <w:pPr>
              <w:pStyle w:val="TableParagraph"/>
              <w:spacing w:line="172" w:lineRule="exact" w:before="18"/>
              <w:ind w:left="647"/>
              <w:rPr>
                <w:sz w:val="15"/>
              </w:rPr>
            </w:pPr>
            <w:r>
              <w:rPr>
                <w:sz w:val="15"/>
              </w:rPr>
              <w:t>$380.00</w:t>
            </w:r>
          </w:p>
        </w:tc>
        <w:tc>
          <w:tcPr>
            <w:tcW w:w="4136" w:type="dxa"/>
          </w:tcPr>
          <w:p>
            <w:pPr>
              <w:pStyle w:val="TableParagraph"/>
              <w:spacing w:before="17"/>
              <w:ind w:left="50"/>
              <w:rPr>
                <w:sz w:val="15"/>
              </w:rPr>
            </w:pPr>
            <w:r>
              <w:rPr>
                <w:sz w:val="15"/>
              </w:rPr>
              <w:t>6. Cuello ap y lat partes blandas (laringe)</w:t>
            </w:r>
          </w:p>
        </w:tc>
        <w:tc>
          <w:tcPr>
            <w:tcW w:w="923" w:type="dxa"/>
          </w:tcPr>
          <w:p>
            <w:pPr>
              <w:pStyle w:val="TableParagraph"/>
              <w:spacing w:before="17"/>
              <w:ind w:right="47"/>
              <w:jc w:val="right"/>
              <w:rPr>
                <w:sz w:val="15"/>
              </w:rPr>
            </w:pPr>
            <w:r>
              <w:rPr>
                <w:sz w:val="15"/>
              </w:rPr>
              <w:t>$298.00</w:t>
            </w:r>
          </w:p>
        </w:tc>
      </w:tr>
      <w:tr>
        <w:trPr>
          <w:trHeight w:val="209" w:hRule="atLeast"/>
        </w:trPr>
        <w:tc>
          <w:tcPr>
            <w:tcW w:w="3804" w:type="dxa"/>
          </w:tcPr>
          <w:p>
            <w:pPr>
              <w:pStyle w:val="TableParagraph"/>
              <w:spacing w:line="172" w:lineRule="exact" w:before="18"/>
              <w:ind w:left="50"/>
              <w:rPr>
                <w:sz w:val="15"/>
              </w:rPr>
            </w:pPr>
            <w:r>
              <w:rPr>
                <w:sz w:val="15"/>
              </w:rPr>
              <w:t>26. Muñeca comparativa 2 posiciones</w:t>
            </w:r>
          </w:p>
        </w:tc>
        <w:tc>
          <w:tcPr>
            <w:tcW w:w="7818" w:type="dxa"/>
          </w:tcPr>
          <w:p>
            <w:pPr>
              <w:pStyle w:val="TableParagraph"/>
              <w:spacing w:line="172" w:lineRule="exact" w:before="18"/>
              <w:ind w:left="648"/>
              <w:rPr>
                <w:sz w:val="15"/>
              </w:rPr>
            </w:pPr>
            <w:r>
              <w:rPr>
                <w:sz w:val="15"/>
              </w:rPr>
              <w:t>$221.00</w:t>
            </w:r>
          </w:p>
        </w:tc>
        <w:tc>
          <w:tcPr>
            <w:tcW w:w="4136" w:type="dxa"/>
          </w:tcPr>
          <w:p>
            <w:pPr>
              <w:pStyle w:val="TableParagraph"/>
              <w:spacing w:before="17"/>
              <w:ind w:left="50"/>
              <w:rPr>
                <w:sz w:val="15"/>
              </w:rPr>
            </w:pPr>
            <w:r>
              <w:rPr>
                <w:sz w:val="15"/>
              </w:rPr>
              <w:t>7. Cuello lat para adenoides</w:t>
            </w:r>
          </w:p>
        </w:tc>
        <w:tc>
          <w:tcPr>
            <w:tcW w:w="923" w:type="dxa"/>
          </w:tcPr>
          <w:p>
            <w:pPr>
              <w:pStyle w:val="TableParagraph"/>
              <w:spacing w:before="17"/>
              <w:ind w:right="47"/>
              <w:jc w:val="right"/>
              <w:rPr>
                <w:sz w:val="15"/>
              </w:rPr>
            </w:pPr>
            <w:r>
              <w:rPr>
                <w:sz w:val="15"/>
              </w:rPr>
              <w:t>$176.00</w:t>
            </w:r>
          </w:p>
        </w:tc>
      </w:tr>
      <w:tr>
        <w:trPr>
          <w:trHeight w:val="209" w:hRule="atLeast"/>
        </w:trPr>
        <w:tc>
          <w:tcPr>
            <w:tcW w:w="3804" w:type="dxa"/>
          </w:tcPr>
          <w:p>
            <w:pPr>
              <w:pStyle w:val="TableParagraph"/>
              <w:spacing w:line="172" w:lineRule="exact" w:before="18"/>
              <w:ind w:left="50"/>
              <w:rPr>
                <w:sz w:val="15"/>
              </w:rPr>
            </w:pPr>
            <w:r>
              <w:rPr>
                <w:sz w:val="15"/>
              </w:rPr>
              <w:t>27. Muñeca ap y lat</w:t>
            </w:r>
          </w:p>
        </w:tc>
        <w:tc>
          <w:tcPr>
            <w:tcW w:w="7818" w:type="dxa"/>
          </w:tcPr>
          <w:p>
            <w:pPr>
              <w:pStyle w:val="TableParagraph"/>
              <w:spacing w:line="172" w:lineRule="exact" w:before="18"/>
              <w:ind w:left="648"/>
              <w:rPr>
                <w:sz w:val="15"/>
              </w:rPr>
            </w:pPr>
            <w:r>
              <w:rPr>
                <w:sz w:val="15"/>
              </w:rPr>
              <w:t>$221.00</w:t>
            </w:r>
          </w:p>
        </w:tc>
        <w:tc>
          <w:tcPr>
            <w:tcW w:w="4136" w:type="dxa"/>
          </w:tcPr>
          <w:p>
            <w:pPr>
              <w:pStyle w:val="TableParagraph"/>
              <w:spacing w:before="17"/>
              <w:ind w:left="50"/>
              <w:rPr>
                <w:sz w:val="15"/>
              </w:rPr>
            </w:pPr>
            <w:r>
              <w:rPr>
                <w:sz w:val="15"/>
              </w:rPr>
              <w:t>8. Perfilografía</w:t>
            </w:r>
          </w:p>
        </w:tc>
        <w:tc>
          <w:tcPr>
            <w:tcW w:w="923" w:type="dxa"/>
          </w:tcPr>
          <w:p>
            <w:pPr>
              <w:pStyle w:val="TableParagraph"/>
              <w:spacing w:before="17"/>
              <w:ind w:right="47"/>
              <w:jc w:val="right"/>
              <w:rPr>
                <w:sz w:val="15"/>
              </w:rPr>
            </w:pPr>
            <w:r>
              <w:rPr>
                <w:sz w:val="15"/>
              </w:rPr>
              <w:t>$176.00</w:t>
            </w:r>
          </w:p>
        </w:tc>
      </w:tr>
      <w:tr>
        <w:trPr>
          <w:trHeight w:val="209" w:hRule="atLeast"/>
        </w:trPr>
        <w:tc>
          <w:tcPr>
            <w:tcW w:w="3804" w:type="dxa"/>
          </w:tcPr>
          <w:p>
            <w:pPr>
              <w:pStyle w:val="TableParagraph"/>
              <w:spacing w:line="172" w:lineRule="exact" w:before="18"/>
              <w:ind w:left="50"/>
              <w:rPr>
                <w:sz w:val="15"/>
              </w:rPr>
            </w:pPr>
            <w:r>
              <w:rPr>
                <w:sz w:val="15"/>
              </w:rPr>
              <w:t>28. Muñeca placa adicional</w:t>
            </w:r>
          </w:p>
        </w:tc>
        <w:tc>
          <w:tcPr>
            <w:tcW w:w="7818" w:type="dxa"/>
          </w:tcPr>
          <w:p>
            <w:pPr>
              <w:pStyle w:val="TableParagraph"/>
              <w:spacing w:line="172" w:lineRule="exact" w:before="18"/>
              <w:ind w:left="647"/>
              <w:rPr>
                <w:sz w:val="15"/>
              </w:rPr>
            </w:pPr>
            <w:r>
              <w:rPr>
                <w:sz w:val="15"/>
              </w:rPr>
              <w:t>$153.00</w:t>
            </w:r>
          </w:p>
        </w:tc>
        <w:tc>
          <w:tcPr>
            <w:tcW w:w="4136" w:type="dxa"/>
          </w:tcPr>
          <w:p>
            <w:pPr>
              <w:pStyle w:val="TableParagraph"/>
              <w:spacing w:before="17"/>
              <w:ind w:left="50"/>
              <w:rPr>
                <w:sz w:val="15"/>
              </w:rPr>
            </w:pPr>
            <w:r>
              <w:rPr>
                <w:sz w:val="15"/>
              </w:rPr>
              <w:t>d) Columna vertebral:</w:t>
            </w:r>
          </w:p>
        </w:tc>
        <w:tc>
          <w:tcPr>
            <w:tcW w:w="923" w:type="dxa"/>
          </w:tcPr>
          <w:p>
            <w:pPr>
              <w:pStyle w:val="TableParagraph"/>
              <w:rPr>
                <w:rFonts w:ascii="Times New Roman"/>
                <w:sz w:val="14"/>
              </w:rPr>
            </w:pPr>
          </w:p>
        </w:tc>
      </w:tr>
      <w:tr>
        <w:trPr>
          <w:trHeight w:val="209" w:hRule="atLeast"/>
        </w:trPr>
        <w:tc>
          <w:tcPr>
            <w:tcW w:w="3804" w:type="dxa"/>
          </w:tcPr>
          <w:p>
            <w:pPr>
              <w:pStyle w:val="TableParagraph"/>
              <w:spacing w:line="172" w:lineRule="exact" w:before="18"/>
              <w:ind w:left="50"/>
              <w:rPr>
                <w:sz w:val="15"/>
              </w:rPr>
            </w:pPr>
            <w:r>
              <w:rPr>
                <w:sz w:val="15"/>
              </w:rPr>
              <w:t>29. Muslo ap y lat</w:t>
            </w:r>
          </w:p>
        </w:tc>
        <w:tc>
          <w:tcPr>
            <w:tcW w:w="7818" w:type="dxa"/>
          </w:tcPr>
          <w:p>
            <w:pPr>
              <w:pStyle w:val="TableParagraph"/>
              <w:spacing w:line="172" w:lineRule="exact" w:before="18"/>
              <w:ind w:left="648"/>
              <w:rPr>
                <w:sz w:val="15"/>
              </w:rPr>
            </w:pPr>
            <w:r>
              <w:rPr>
                <w:sz w:val="15"/>
              </w:rPr>
              <w:t>$336.00</w:t>
            </w:r>
          </w:p>
        </w:tc>
        <w:tc>
          <w:tcPr>
            <w:tcW w:w="4136" w:type="dxa"/>
          </w:tcPr>
          <w:p>
            <w:pPr>
              <w:pStyle w:val="TableParagraph"/>
              <w:spacing w:before="17"/>
              <w:ind w:left="50"/>
              <w:rPr>
                <w:sz w:val="15"/>
              </w:rPr>
            </w:pPr>
            <w:r>
              <w:rPr>
                <w:sz w:val="15"/>
              </w:rPr>
              <w:t>1. Columna cervical 1 proyección</w:t>
            </w:r>
          </w:p>
        </w:tc>
        <w:tc>
          <w:tcPr>
            <w:tcW w:w="923" w:type="dxa"/>
          </w:tcPr>
          <w:p>
            <w:pPr>
              <w:pStyle w:val="TableParagraph"/>
              <w:spacing w:before="17"/>
              <w:ind w:right="47"/>
              <w:jc w:val="right"/>
              <w:rPr>
                <w:sz w:val="15"/>
              </w:rPr>
            </w:pPr>
            <w:r>
              <w:rPr>
                <w:sz w:val="15"/>
              </w:rPr>
              <w:t>$281.00</w:t>
            </w:r>
          </w:p>
        </w:tc>
      </w:tr>
      <w:tr>
        <w:trPr>
          <w:trHeight w:val="209" w:hRule="atLeast"/>
        </w:trPr>
        <w:tc>
          <w:tcPr>
            <w:tcW w:w="3804" w:type="dxa"/>
          </w:tcPr>
          <w:p>
            <w:pPr>
              <w:pStyle w:val="TableParagraph"/>
              <w:spacing w:line="172" w:lineRule="exact" w:before="18"/>
              <w:ind w:left="50"/>
              <w:rPr>
                <w:sz w:val="15"/>
              </w:rPr>
            </w:pPr>
            <w:r>
              <w:rPr>
                <w:sz w:val="15"/>
              </w:rPr>
              <w:t>30. Rodillas ap y lat</w:t>
            </w:r>
          </w:p>
        </w:tc>
        <w:tc>
          <w:tcPr>
            <w:tcW w:w="7818" w:type="dxa"/>
          </w:tcPr>
          <w:p>
            <w:pPr>
              <w:pStyle w:val="TableParagraph"/>
              <w:spacing w:line="172" w:lineRule="exact" w:before="18"/>
              <w:ind w:left="648"/>
              <w:rPr>
                <w:sz w:val="15"/>
              </w:rPr>
            </w:pPr>
            <w:r>
              <w:rPr>
                <w:sz w:val="15"/>
              </w:rPr>
              <w:t>$281.00</w:t>
            </w:r>
          </w:p>
        </w:tc>
        <w:tc>
          <w:tcPr>
            <w:tcW w:w="4136" w:type="dxa"/>
          </w:tcPr>
          <w:p>
            <w:pPr>
              <w:pStyle w:val="TableParagraph"/>
              <w:spacing w:before="17"/>
              <w:ind w:left="50"/>
              <w:rPr>
                <w:sz w:val="15"/>
              </w:rPr>
            </w:pPr>
            <w:r>
              <w:rPr>
                <w:sz w:val="15"/>
              </w:rPr>
              <w:t>2. Columna cervical 2 dinámicas (flex. Ext.)</w:t>
            </w:r>
          </w:p>
        </w:tc>
        <w:tc>
          <w:tcPr>
            <w:tcW w:w="923" w:type="dxa"/>
          </w:tcPr>
          <w:p>
            <w:pPr>
              <w:pStyle w:val="TableParagraph"/>
              <w:spacing w:before="17"/>
              <w:ind w:right="47"/>
              <w:jc w:val="right"/>
              <w:rPr>
                <w:sz w:val="15"/>
              </w:rPr>
            </w:pPr>
            <w:r>
              <w:rPr>
                <w:sz w:val="15"/>
              </w:rPr>
              <w:t>$281.00</w:t>
            </w:r>
          </w:p>
        </w:tc>
      </w:tr>
      <w:tr>
        <w:trPr>
          <w:trHeight w:val="209" w:hRule="atLeast"/>
        </w:trPr>
        <w:tc>
          <w:tcPr>
            <w:tcW w:w="3804" w:type="dxa"/>
          </w:tcPr>
          <w:p>
            <w:pPr>
              <w:pStyle w:val="TableParagraph"/>
              <w:spacing w:line="172" w:lineRule="exact" w:before="18"/>
              <w:ind w:left="50"/>
              <w:rPr>
                <w:sz w:val="15"/>
              </w:rPr>
            </w:pPr>
            <w:r>
              <w:rPr>
                <w:sz w:val="15"/>
              </w:rPr>
              <w:t>31. Rodilla placa adicional</w:t>
            </w:r>
          </w:p>
        </w:tc>
        <w:tc>
          <w:tcPr>
            <w:tcW w:w="7818" w:type="dxa"/>
          </w:tcPr>
          <w:p>
            <w:pPr>
              <w:pStyle w:val="TableParagraph"/>
              <w:spacing w:line="172" w:lineRule="exact" w:before="18"/>
              <w:ind w:left="648"/>
              <w:rPr>
                <w:sz w:val="15"/>
              </w:rPr>
            </w:pPr>
            <w:r>
              <w:rPr>
                <w:sz w:val="15"/>
              </w:rPr>
              <w:t>$153.00</w:t>
            </w:r>
          </w:p>
        </w:tc>
        <w:tc>
          <w:tcPr>
            <w:tcW w:w="4136" w:type="dxa"/>
          </w:tcPr>
          <w:p>
            <w:pPr>
              <w:pStyle w:val="TableParagraph"/>
              <w:spacing w:before="17"/>
              <w:ind w:left="50"/>
              <w:rPr>
                <w:sz w:val="15"/>
              </w:rPr>
            </w:pPr>
            <w:r>
              <w:rPr>
                <w:sz w:val="15"/>
              </w:rPr>
              <w:t>3. Columna cervical 2 oblicuas</w:t>
            </w:r>
          </w:p>
        </w:tc>
        <w:tc>
          <w:tcPr>
            <w:tcW w:w="923" w:type="dxa"/>
          </w:tcPr>
          <w:p>
            <w:pPr>
              <w:pStyle w:val="TableParagraph"/>
              <w:spacing w:before="17"/>
              <w:ind w:right="47"/>
              <w:jc w:val="right"/>
              <w:rPr>
                <w:sz w:val="15"/>
              </w:rPr>
            </w:pPr>
            <w:r>
              <w:rPr>
                <w:sz w:val="15"/>
              </w:rPr>
              <w:t>$281.00</w:t>
            </w:r>
          </w:p>
        </w:tc>
      </w:tr>
      <w:tr>
        <w:trPr>
          <w:trHeight w:val="209" w:hRule="atLeast"/>
        </w:trPr>
        <w:tc>
          <w:tcPr>
            <w:tcW w:w="3804" w:type="dxa"/>
          </w:tcPr>
          <w:p>
            <w:pPr>
              <w:pStyle w:val="TableParagraph"/>
              <w:spacing w:line="172" w:lineRule="exact" w:before="18"/>
              <w:ind w:left="50"/>
              <w:rPr>
                <w:sz w:val="15"/>
              </w:rPr>
            </w:pPr>
            <w:r>
              <w:rPr>
                <w:sz w:val="15"/>
              </w:rPr>
              <w:t>32. Pierna ap y lat</w:t>
            </w:r>
          </w:p>
        </w:tc>
        <w:tc>
          <w:tcPr>
            <w:tcW w:w="7818" w:type="dxa"/>
          </w:tcPr>
          <w:p>
            <w:pPr>
              <w:pStyle w:val="TableParagraph"/>
              <w:spacing w:line="172" w:lineRule="exact" w:before="18"/>
              <w:ind w:left="648"/>
              <w:rPr>
                <w:sz w:val="15"/>
              </w:rPr>
            </w:pPr>
            <w:r>
              <w:rPr>
                <w:sz w:val="15"/>
              </w:rPr>
              <w:t>$402.00</w:t>
            </w:r>
          </w:p>
        </w:tc>
        <w:tc>
          <w:tcPr>
            <w:tcW w:w="4136" w:type="dxa"/>
          </w:tcPr>
          <w:p>
            <w:pPr>
              <w:pStyle w:val="TableParagraph"/>
              <w:spacing w:before="17"/>
              <w:ind w:left="50"/>
              <w:rPr>
                <w:sz w:val="15"/>
              </w:rPr>
            </w:pPr>
            <w:r>
              <w:rPr>
                <w:sz w:val="15"/>
              </w:rPr>
              <w:t>4. Columna cervical ap y lat</w:t>
            </w:r>
          </w:p>
        </w:tc>
        <w:tc>
          <w:tcPr>
            <w:tcW w:w="923" w:type="dxa"/>
          </w:tcPr>
          <w:p>
            <w:pPr>
              <w:pStyle w:val="TableParagraph"/>
              <w:spacing w:before="17"/>
              <w:ind w:right="48"/>
              <w:jc w:val="right"/>
              <w:rPr>
                <w:sz w:val="15"/>
              </w:rPr>
            </w:pPr>
            <w:r>
              <w:rPr>
                <w:sz w:val="15"/>
              </w:rPr>
              <w:t>$281.00</w:t>
            </w:r>
          </w:p>
        </w:tc>
      </w:tr>
      <w:tr>
        <w:trPr>
          <w:trHeight w:val="209" w:hRule="atLeast"/>
        </w:trPr>
        <w:tc>
          <w:tcPr>
            <w:tcW w:w="3804" w:type="dxa"/>
          </w:tcPr>
          <w:p>
            <w:pPr>
              <w:pStyle w:val="TableParagraph"/>
              <w:spacing w:line="172" w:lineRule="exact" w:before="18"/>
              <w:ind w:left="50"/>
              <w:rPr>
                <w:sz w:val="15"/>
              </w:rPr>
            </w:pPr>
            <w:r>
              <w:rPr>
                <w:sz w:val="15"/>
              </w:rPr>
              <w:t>33. Pierna placa adicional</w:t>
            </w:r>
          </w:p>
        </w:tc>
        <w:tc>
          <w:tcPr>
            <w:tcW w:w="7818" w:type="dxa"/>
          </w:tcPr>
          <w:p>
            <w:pPr>
              <w:pStyle w:val="TableParagraph"/>
              <w:spacing w:line="172" w:lineRule="exact" w:before="18"/>
              <w:ind w:left="647"/>
              <w:rPr>
                <w:sz w:val="15"/>
              </w:rPr>
            </w:pPr>
            <w:r>
              <w:rPr>
                <w:sz w:val="15"/>
              </w:rPr>
              <w:t>$144.00</w:t>
            </w:r>
          </w:p>
        </w:tc>
        <w:tc>
          <w:tcPr>
            <w:tcW w:w="4136" w:type="dxa"/>
          </w:tcPr>
          <w:p>
            <w:pPr>
              <w:pStyle w:val="TableParagraph"/>
              <w:spacing w:before="17"/>
              <w:ind w:left="50"/>
              <w:rPr>
                <w:sz w:val="15"/>
              </w:rPr>
            </w:pPr>
            <w:r>
              <w:rPr>
                <w:sz w:val="15"/>
              </w:rPr>
              <w:t>5. Columna cervical placa adicional</w:t>
            </w:r>
          </w:p>
        </w:tc>
        <w:tc>
          <w:tcPr>
            <w:tcW w:w="923" w:type="dxa"/>
          </w:tcPr>
          <w:p>
            <w:pPr>
              <w:pStyle w:val="TableParagraph"/>
              <w:spacing w:before="17"/>
              <w:ind w:right="47"/>
              <w:jc w:val="right"/>
              <w:rPr>
                <w:sz w:val="15"/>
              </w:rPr>
            </w:pPr>
            <w:r>
              <w:rPr>
                <w:sz w:val="15"/>
              </w:rPr>
              <w:t>$153.00</w:t>
            </w:r>
          </w:p>
        </w:tc>
      </w:tr>
      <w:tr>
        <w:trPr>
          <w:trHeight w:val="209" w:hRule="atLeast"/>
        </w:trPr>
        <w:tc>
          <w:tcPr>
            <w:tcW w:w="3804" w:type="dxa"/>
          </w:tcPr>
          <w:p>
            <w:pPr>
              <w:pStyle w:val="TableParagraph"/>
              <w:spacing w:line="172" w:lineRule="exact" w:before="18"/>
              <w:ind w:left="50"/>
              <w:rPr>
                <w:sz w:val="15"/>
              </w:rPr>
            </w:pPr>
            <w:r>
              <w:rPr>
                <w:sz w:val="15"/>
              </w:rPr>
              <w:t>34. Tobillo ap y lat</w:t>
            </w:r>
          </w:p>
        </w:tc>
        <w:tc>
          <w:tcPr>
            <w:tcW w:w="7818" w:type="dxa"/>
          </w:tcPr>
          <w:p>
            <w:pPr>
              <w:pStyle w:val="TableParagraph"/>
              <w:spacing w:line="172" w:lineRule="exact" w:before="18"/>
              <w:ind w:left="648"/>
              <w:rPr>
                <w:sz w:val="15"/>
              </w:rPr>
            </w:pPr>
            <w:r>
              <w:rPr>
                <w:sz w:val="15"/>
              </w:rPr>
              <w:t>$281.00</w:t>
            </w:r>
          </w:p>
        </w:tc>
        <w:tc>
          <w:tcPr>
            <w:tcW w:w="4136" w:type="dxa"/>
          </w:tcPr>
          <w:p>
            <w:pPr>
              <w:pStyle w:val="TableParagraph"/>
              <w:spacing w:before="17"/>
              <w:ind w:left="50"/>
              <w:rPr>
                <w:sz w:val="15"/>
              </w:rPr>
            </w:pPr>
            <w:r>
              <w:rPr>
                <w:sz w:val="15"/>
              </w:rPr>
              <w:t>6. Columna dorsal 1 proyección</w:t>
            </w:r>
          </w:p>
        </w:tc>
        <w:tc>
          <w:tcPr>
            <w:tcW w:w="923" w:type="dxa"/>
          </w:tcPr>
          <w:p>
            <w:pPr>
              <w:pStyle w:val="TableParagraph"/>
              <w:spacing w:before="17"/>
              <w:ind w:right="48"/>
              <w:jc w:val="right"/>
              <w:rPr>
                <w:sz w:val="15"/>
              </w:rPr>
            </w:pPr>
            <w:r>
              <w:rPr>
                <w:sz w:val="15"/>
              </w:rPr>
              <w:t>$176.00</w:t>
            </w:r>
          </w:p>
        </w:tc>
      </w:tr>
      <w:tr>
        <w:trPr>
          <w:trHeight w:val="209" w:hRule="atLeast"/>
        </w:trPr>
        <w:tc>
          <w:tcPr>
            <w:tcW w:w="3804" w:type="dxa"/>
          </w:tcPr>
          <w:p>
            <w:pPr>
              <w:pStyle w:val="TableParagraph"/>
              <w:spacing w:line="172" w:lineRule="exact" w:before="18"/>
              <w:ind w:left="50"/>
              <w:rPr>
                <w:sz w:val="15"/>
              </w:rPr>
            </w:pPr>
            <w:r>
              <w:rPr>
                <w:sz w:val="15"/>
              </w:rPr>
              <w:t>35. Tobillo ap y lat izquierdo</w:t>
            </w:r>
          </w:p>
        </w:tc>
        <w:tc>
          <w:tcPr>
            <w:tcW w:w="7818" w:type="dxa"/>
          </w:tcPr>
          <w:p>
            <w:pPr>
              <w:pStyle w:val="TableParagraph"/>
              <w:spacing w:line="172" w:lineRule="exact" w:before="18"/>
              <w:ind w:left="648"/>
              <w:rPr>
                <w:sz w:val="15"/>
              </w:rPr>
            </w:pPr>
            <w:r>
              <w:rPr>
                <w:sz w:val="15"/>
              </w:rPr>
              <w:t>$255.00</w:t>
            </w:r>
          </w:p>
        </w:tc>
        <w:tc>
          <w:tcPr>
            <w:tcW w:w="4136" w:type="dxa"/>
          </w:tcPr>
          <w:p>
            <w:pPr>
              <w:pStyle w:val="TableParagraph"/>
              <w:spacing w:before="17"/>
              <w:ind w:left="50"/>
              <w:rPr>
                <w:sz w:val="15"/>
              </w:rPr>
            </w:pPr>
            <w:r>
              <w:rPr>
                <w:sz w:val="15"/>
              </w:rPr>
              <w:t>7. Columna dorsal 2 dinámicas (lat-flex.izq y der)</w:t>
            </w:r>
          </w:p>
        </w:tc>
        <w:tc>
          <w:tcPr>
            <w:tcW w:w="923" w:type="dxa"/>
          </w:tcPr>
          <w:p>
            <w:pPr>
              <w:pStyle w:val="TableParagraph"/>
              <w:spacing w:before="17"/>
              <w:ind w:right="48"/>
              <w:jc w:val="right"/>
              <w:rPr>
                <w:sz w:val="15"/>
              </w:rPr>
            </w:pPr>
            <w:r>
              <w:rPr>
                <w:sz w:val="15"/>
              </w:rPr>
              <w:t>$314.00</w:t>
            </w:r>
          </w:p>
        </w:tc>
      </w:tr>
      <w:tr>
        <w:trPr>
          <w:trHeight w:val="209" w:hRule="atLeast"/>
        </w:trPr>
        <w:tc>
          <w:tcPr>
            <w:tcW w:w="3804" w:type="dxa"/>
          </w:tcPr>
          <w:p>
            <w:pPr>
              <w:pStyle w:val="TableParagraph"/>
              <w:spacing w:line="172" w:lineRule="exact" w:before="18"/>
              <w:ind w:left="50"/>
              <w:rPr>
                <w:sz w:val="15"/>
              </w:rPr>
            </w:pPr>
            <w:r>
              <w:rPr>
                <w:sz w:val="15"/>
              </w:rPr>
              <w:t>36. Tobillo placa adicional</w:t>
            </w:r>
          </w:p>
        </w:tc>
        <w:tc>
          <w:tcPr>
            <w:tcW w:w="7818" w:type="dxa"/>
          </w:tcPr>
          <w:p>
            <w:pPr>
              <w:pStyle w:val="TableParagraph"/>
              <w:spacing w:line="172" w:lineRule="exact" w:before="18"/>
              <w:ind w:left="649"/>
              <w:rPr>
                <w:sz w:val="15"/>
              </w:rPr>
            </w:pPr>
            <w:r>
              <w:rPr>
                <w:sz w:val="15"/>
              </w:rPr>
              <w:t>$153.00</w:t>
            </w:r>
          </w:p>
        </w:tc>
        <w:tc>
          <w:tcPr>
            <w:tcW w:w="4136" w:type="dxa"/>
          </w:tcPr>
          <w:p>
            <w:pPr>
              <w:pStyle w:val="TableParagraph"/>
              <w:spacing w:before="17"/>
              <w:ind w:left="50"/>
              <w:rPr>
                <w:sz w:val="15"/>
              </w:rPr>
            </w:pPr>
            <w:r>
              <w:rPr>
                <w:sz w:val="15"/>
              </w:rPr>
              <w:t>8.Columna dorsal ap y lat</w:t>
            </w:r>
          </w:p>
        </w:tc>
        <w:tc>
          <w:tcPr>
            <w:tcW w:w="923" w:type="dxa"/>
          </w:tcPr>
          <w:p>
            <w:pPr>
              <w:pStyle w:val="TableParagraph"/>
              <w:spacing w:before="17"/>
              <w:ind w:right="47"/>
              <w:jc w:val="right"/>
              <w:rPr>
                <w:sz w:val="15"/>
              </w:rPr>
            </w:pPr>
            <w:r>
              <w:rPr>
                <w:sz w:val="15"/>
              </w:rPr>
              <w:t>$314.00</w:t>
            </w:r>
          </w:p>
        </w:tc>
      </w:tr>
      <w:tr>
        <w:trPr>
          <w:trHeight w:val="209" w:hRule="atLeast"/>
        </w:trPr>
        <w:tc>
          <w:tcPr>
            <w:tcW w:w="3804" w:type="dxa"/>
          </w:tcPr>
          <w:p>
            <w:pPr>
              <w:pStyle w:val="TableParagraph"/>
              <w:spacing w:line="172" w:lineRule="exact" w:before="18"/>
              <w:ind w:left="50"/>
              <w:rPr>
                <w:sz w:val="15"/>
              </w:rPr>
            </w:pPr>
            <w:r>
              <w:rPr>
                <w:sz w:val="15"/>
              </w:rPr>
              <w:t>37. Pies con apoyo ap y lat</w:t>
            </w:r>
          </w:p>
        </w:tc>
        <w:tc>
          <w:tcPr>
            <w:tcW w:w="7818" w:type="dxa"/>
          </w:tcPr>
          <w:p>
            <w:pPr>
              <w:pStyle w:val="TableParagraph"/>
              <w:spacing w:line="172" w:lineRule="exact" w:before="18"/>
              <w:ind w:left="648"/>
              <w:rPr>
                <w:sz w:val="15"/>
              </w:rPr>
            </w:pPr>
            <w:r>
              <w:rPr>
                <w:sz w:val="15"/>
              </w:rPr>
              <w:t>$331.00</w:t>
            </w:r>
          </w:p>
        </w:tc>
        <w:tc>
          <w:tcPr>
            <w:tcW w:w="4136" w:type="dxa"/>
          </w:tcPr>
          <w:p>
            <w:pPr>
              <w:pStyle w:val="TableParagraph"/>
              <w:spacing w:before="17"/>
              <w:ind w:left="50"/>
              <w:rPr>
                <w:sz w:val="15"/>
              </w:rPr>
            </w:pPr>
            <w:r>
              <w:rPr>
                <w:sz w:val="15"/>
              </w:rPr>
              <w:t>9.Columna dorsal 2 proyecciones oblicuas</w:t>
            </w:r>
          </w:p>
        </w:tc>
        <w:tc>
          <w:tcPr>
            <w:tcW w:w="923" w:type="dxa"/>
          </w:tcPr>
          <w:p>
            <w:pPr>
              <w:pStyle w:val="TableParagraph"/>
              <w:spacing w:before="17"/>
              <w:ind w:right="48"/>
              <w:jc w:val="right"/>
              <w:rPr>
                <w:sz w:val="15"/>
              </w:rPr>
            </w:pPr>
            <w:r>
              <w:rPr>
                <w:sz w:val="15"/>
              </w:rPr>
              <w:t>$314.00</w:t>
            </w:r>
          </w:p>
        </w:tc>
      </w:tr>
      <w:tr>
        <w:trPr>
          <w:trHeight w:val="209" w:hRule="atLeast"/>
        </w:trPr>
        <w:tc>
          <w:tcPr>
            <w:tcW w:w="3804" w:type="dxa"/>
          </w:tcPr>
          <w:p>
            <w:pPr>
              <w:pStyle w:val="TableParagraph"/>
              <w:spacing w:line="172" w:lineRule="exact" w:before="18"/>
              <w:ind w:left="50"/>
              <w:rPr>
                <w:sz w:val="15"/>
              </w:rPr>
            </w:pPr>
            <w:r>
              <w:rPr>
                <w:sz w:val="15"/>
              </w:rPr>
              <w:t>38. Pie dorso plantar y oblicuo</w:t>
            </w:r>
          </w:p>
        </w:tc>
        <w:tc>
          <w:tcPr>
            <w:tcW w:w="7818" w:type="dxa"/>
          </w:tcPr>
          <w:p>
            <w:pPr>
              <w:pStyle w:val="TableParagraph"/>
              <w:spacing w:line="172" w:lineRule="exact" w:before="18"/>
              <w:ind w:left="648"/>
              <w:rPr>
                <w:sz w:val="15"/>
              </w:rPr>
            </w:pPr>
            <w:r>
              <w:rPr>
                <w:sz w:val="15"/>
              </w:rPr>
              <w:t>$281.00</w:t>
            </w:r>
          </w:p>
        </w:tc>
        <w:tc>
          <w:tcPr>
            <w:tcW w:w="4136" w:type="dxa"/>
          </w:tcPr>
          <w:p>
            <w:pPr>
              <w:pStyle w:val="TableParagraph"/>
              <w:spacing w:before="17"/>
              <w:ind w:left="50"/>
              <w:rPr>
                <w:sz w:val="15"/>
              </w:rPr>
            </w:pPr>
            <w:r>
              <w:rPr>
                <w:sz w:val="15"/>
              </w:rPr>
              <w:t>10. Columna lumbar 1 proyección</w:t>
            </w:r>
          </w:p>
        </w:tc>
        <w:tc>
          <w:tcPr>
            <w:tcW w:w="923" w:type="dxa"/>
          </w:tcPr>
          <w:p>
            <w:pPr>
              <w:pStyle w:val="TableParagraph"/>
              <w:spacing w:before="17"/>
              <w:ind w:right="47"/>
              <w:jc w:val="right"/>
              <w:rPr>
                <w:sz w:val="15"/>
              </w:rPr>
            </w:pPr>
            <w:r>
              <w:rPr>
                <w:sz w:val="15"/>
              </w:rPr>
              <w:t>$176.00</w:t>
            </w:r>
          </w:p>
        </w:tc>
      </w:tr>
      <w:tr>
        <w:trPr>
          <w:trHeight w:val="209" w:hRule="atLeast"/>
        </w:trPr>
        <w:tc>
          <w:tcPr>
            <w:tcW w:w="3804" w:type="dxa"/>
          </w:tcPr>
          <w:p>
            <w:pPr>
              <w:pStyle w:val="TableParagraph"/>
              <w:spacing w:line="172" w:lineRule="exact" w:before="18"/>
              <w:ind w:left="50"/>
              <w:rPr>
                <w:sz w:val="15"/>
              </w:rPr>
            </w:pPr>
            <w:r>
              <w:rPr>
                <w:sz w:val="15"/>
              </w:rPr>
              <w:t>39. Pies comparativos 1 placa</w:t>
            </w:r>
          </w:p>
        </w:tc>
        <w:tc>
          <w:tcPr>
            <w:tcW w:w="7818" w:type="dxa"/>
          </w:tcPr>
          <w:p>
            <w:pPr>
              <w:pStyle w:val="TableParagraph"/>
              <w:spacing w:line="172" w:lineRule="exact" w:before="18"/>
              <w:ind w:left="648"/>
              <w:rPr>
                <w:sz w:val="15"/>
              </w:rPr>
            </w:pPr>
            <w:r>
              <w:rPr>
                <w:sz w:val="15"/>
              </w:rPr>
              <w:t>$153.00</w:t>
            </w:r>
          </w:p>
        </w:tc>
        <w:tc>
          <w:tcPr>
            <w:tcW w:w="4136" w:type="dxa"/>
          </w:tcPr>
          <w:p>
            <w:pPr>
              <w:pStyle w:val="TableParagraph"/>
              <w:spacing w:before="17"/>
              <w:ind w:left="50"/>
              <w:rPr>
                <w:sz w:val="15"/>
              </w:rPr>
            </w:pPr>
            <w:r>
              <w:rPr>
                <w:sz w:val="15"/>
              </w:rPr>
              <w:t>11. Columna lumbar 2 dinámicas (lat-flex.izq y der)</w:t>
            </w:r>
          </w:p>
        </w:tc>
        <w:tc>
          <w:tcPr>
            <w:tcW w:w="923" w:type="dxa"/>
          </w:tcPr>
          <w:p>
            <w:pPr>
              <w:pStyle w:val="TableParagraph"/>
              <w:spacing w:before="17"/>
              <w:ind w:right="47"/>
              <w:jc w:val="right"/>
              <w:rPr>
                <w:sz w:val="15"/>
              </w:rPr>
            </w:pPr>
            <w:r>
              <w:rPr>
                <w:sz w:val="15"/>
              </w:rPr>
              <w:t>$314.00</w:t>
            </w:r>
          </w:p>
        </w:tc>
      </w:tr>
      <w:tr>
        <w:trPr>
          <w:trHeight w:val="209" w:hRule="atLeast"/>
        </w:trPr>
        <w:tc>
          <w:tcPr>
            <w:tcW w:w="3804" w:type="dxa"/>
          </w:tcPr>
          <w:p>
            <w:pPr>
              <w:pStyle w:val="TableParagraph"/>
              <w:spacing w:line="172" w:lineRule="exact" w:before="18"/>
              <w:ind w:left="50"/>
              <w:rPr>
                <w:sz w:val="15"/>
              </w:rPr>
            </w:pPr>
            <w:r>
              <w:rPr>
                <w:sz w:val="15"/>
              </w:rPr>
              <w:t>40. Pie placa adicional</w:t>
            </w:r>
          </w:p>
        </w:tc>
        <w:tc>
          <w:tcPr>
            <w:tcW w:w="7818" w:type="dxa"/>
          </w:tcPr>
          <w:p>
            <w:pPr>
              <w:pStyle w:val="TableParagraph"/>
              <w:spacing w:line="172" w:lineRule="exact" w:before="18"/>
              <w:ind w:left="649"/>
              <w:rPr>
                <w:sz w:val="15"/>
              </w:rPr>
            </w:pPr>
            <w:r>
              <w:rPr>
                <w:sz w:val="15"/>
              </w:rPr>
              <w:t>$153.00</w:t>
            </w:r>
          </w:p>
        </w:tc>
        <w:tc>
          <w:tcPr>
            <w:tcW w:w="4136" w:type="dxa"/>
          </w:tcPr>
          <w:p>
            <w:pPr>
              <w:pStyle w:val="TableParagraph"/>
              <w:spacing w:before="17"/>
              <w:ind w:left="50"/>
              <w:rPr>
                <w:sz w:val="15"/>
              </w:rPr>
            </w:pPr>
            <w:r>
              <w:rPr>
                <w:sz w:val="15"/>
              </w:rPr>
              <w:t>12.Columna lumbar ap y lat</w:t>
            </w:r>
          </w:p>
        </w:tc>
        <w:tc>
          <w:tcPr>
            <w:tcW w:w="923" w:type="dxa"/>
          </w:tcPr>
          <w:p>
            <w:pPr>
              <w:pStyle w:val="TableParagraph"/>
              <w:spacing w:before="17"/>
              <w:ind w:right="48"/>
              <w:jc w:val="right"/>
              <w:rPr>
                <w:sz w:val="15"/>
              </w:rPr>
            </w:pPr>
            <w:r>
              <w:rPr>
                <w:sz w:val="15"/>
              </w:rPr>
              <w:t>$314.00</w:t>
            </w:r>
          </w:p>
        </w:tc>
      </w:tr>
      <w:tr>
        <w:trPr>
          <w:trHeight w:val="209" w:hRule="atLeast"/>
        </w:trPr>
        <w:tc>
          <w:tcPr>
            <w:tcW w:w="3804" w:type="dxa"/>
          </w:tcPr>
          <w:p>
            <w:pPr>
              <w:pStyle w:val="TableParagraph"/>
              <w:spacing w:line="172" w:lineRule="exact" w:before="18"/>
              <w:ind w:left="50"/>
              <w:rPr>
                <w:sz w:val="15"/>
              </w:rPr>
            </w:pPr>
            <w:r>
              <w:rPr>
                <w:sz w:val="15"/>
              </w:rPr>
              <w:t>41. Omoplato lat y oblicua</w:t>
            </w:r>
          </w:p>
        </w:tc>
        <w:tc>
          <w:tcPr>
            <w:tcW w:w="7818" w:type="dxa"/>
          </w:tcPr>
          <w:p>
            <w:pPr>
              <w:pStyle w:val="TableParagraph"/>
              <w:spacing w:line="172" w:lineRule="exact" w:before="18"/>
              <w:ind w:left="649"/>
              <w:rPr>
                <w:sz w:val="15"/>
              </w:rPr>
            </w:pPr>
            <w:r>
              <w:rPr>
                <w:sz w:val="15"/>
              </w:rPr>
              <w:t>$314.00</w:t>
            </w:r>
          </w:p>
        </w:tc>
        <w:tc>
          <w:tcPr>
            <w:tcW w:w="4136" w:type="dxa"/>
          </w:tcPr>
          <w:p>
            <w:pPr>
              <w:pStyle w:val="TableParagraph"/>
              <w:spacing w:before="17"/>
              <w:ind w:left="50"/>
              <w:rPr>
                <w:sz w:val="15"/>
              </w:rPr>
            </w:pPr>
            <w:r>
              <w:rPr>
                <w:sz w:val="15"/>
              </w:rPr>
              <w:t>13.Columna lumbar 2 proyecciones oblicuas</w:t>
            </w:r>
          </w:p>
        </w:tc>
        <w:tc>
          <w:tcPr>
            <w:tcW w:w="923" w:type="dxa"/>
          </w:tcPr>
          <w:p>
            <w:pPr>
              <w:pStyle w:val="TableParagraph"/>
              <w:spacing w:before="17"/>
              <w:ind w:right="48"/>
              <w:jc w:val="right"/>
              <w:rPr>
                <w:sz w:val="15"/>
              </w:rPr>
            </w:pPr>
            <w:r>
              <w:rPr>
                <w:sz w:val="15"/>
              </w:rPr>
              <w:t>$314.00</w:t>
            </w:r>
          </w:p>
        </w:tc>
      </w:tr>
      <w:tr>
        <w:trPr>
          <w:trHeight w:val="210" w:hRule="atLeast"/>
        </w:trPr>
        <w:tc>
          <w:tcPr>
            <w:tcW w:w="3804" w:type="dxa"/>
          </w:tcPr>
          <w:p>
            <w:pPr>
              <w:pStyle w:val="TableParagraph"/>
              <w:spacing w:before="18"/>
              <w:ind w:left="50"/>
              <w:rPr>
                <w:sz w:val="15"/>
              </w:rPr>
            </w:pPr>
            <w:r>
              <w:rPr>
                <w:sz w:val="15"/>
              </w:rPr>
              <w:t>42. Talón ap y lat</w:t>
            </w:r>
          </w:p>
        </w:tc>
        <w:tc>
          <w:tcPr>
            <w:tcW w:w="7818" w:type="dxa"/>
          </w:tcPr>
          <w:p>
            <w:pPr>
              <w:pStyle w:val="TableParagraph"/>
              <w:spacing w:before="18"/>
              <w:ind w:left="648"/>
              <w:rPr>
                <w:sz w:val="15"/>
              </w:rPr>
            </w:pPr>
            <w:r>
              <w:rPr>
                <w:sz w:val="15"/>
              </w:rPr>
              <w:t>$221.00</w:t>
            </w:r>
          </w:p>
        </w:tc>
        <w:tc>
          <w:tcPr>
            <w:tcW w:w="4136" w:type="dxa"/>
          </w:tcPr>
          <w:p>
            <w:pPr>
              <w:pStyle w:val="TableParagraph"/>
              <w:spacing w:before="17"/>
              <w:ind w:left="50"/>
              <w:rPr>
                <w:sz w:val="15"/>
              </w:rPr>
            </w:pPr>
            <w:r>
              <w:rPr>
                <w:sz w:val="15"/>
              </w:rPr>
              <w:t>14. Columna lumbar placa adicional</w:t>
            </w:r>
          </w:p>
        </w:tc>
        <w:tc>
          <w:tcPr>
            <w:tcW w:w="923" w:type="dxa"/>
          </w:tcPr>
          <w:p>
            <w:pPr>
              <w:pStyle w:val="TableParagraph"/>
              <w:spacing w:before="17"/>
              <w:ind w:right="48"/>
              <w:jc w:val="right"/>
              <w:rPr>
                <w:sz w:val="15"/>
              </w:rPr>
            </w:pPr>
            <w:r>
              <w:rPr>
                <w:sz w:val="15"/>
              </w:rPr>
              <w:t>$153.00</w:t>
            </w:r>
          </w:p>
        </w:tc>
      </w:tr>
      <w:tr>
        <w:trPr>
          <w:trHeight w:val="190" w:hRule="atLeast"/>
        </w:trPr>
        <w:tc>
          <w:tcPr>
            <w:tcW w:w="3804" w:type="dxa"/>
          </w:tcPr>
          <w:p>
            <w:pPr>
              <w:pStyle w:val="TableParagraph"/>
              <w:spacing w:line="153" w:lineRule="exact" w:before="17"/>
              <w:ind w:left="50"/>
              <w:rPr>
                <w:sz w:val="15"/>
              </w:rPr>
            </w:pPr>
            <w:r>
              <w:rPr>
                <w:sz w:val="15"/>
              </w:rPr>
              <w:t>43. Talón adicional</w:t>
            </w:r>
          </w:p>
        </w:tc>
        <w:tc>
          <w:tcPr>
            <w:tcW w:w="7818" w:type="dxa"/>
          </w:tcPr>
          <w:p>
            <w:pPr>
              <w:pStyle w:val="TableParagraph"/>
              <w:spacing w:line="153" w:lineRule="exact" w:before="17"/>
              <w:ind w:left="649"/>
              <w:rPr>
                <w:sz w:val="15"/>
              </w:rPr>
            </w:pPr>
            <w:r>
              <w:rPr>
                <w:sz w:val="15"/>
              </w:rPr>
              <w:t>$153.00</w:t>
            </w:r>
          </w:p>
        </w:tc>
        <w:tc>
          <w:tcPr>
            <w:tcW w:w="4136" w:type="dxa"/>
          </w:tcPr>
          <w:p>
            <w:pPr>
              <w:pStyle w:val="TableParagraph"/>
              <w:rPr>
                <w:rFonts w:ascii="Times New Roman"/>
                <w:sz w:val="12"/>
              </w:rPr>
            </w:pPr>
          </w:p>
        </w:tc>
        <w:tc>
          <w:tcPr>
            <w:tcW w:w="923" w:type="dxa"/>
          </w:tcPr>
          <w:p>
            <w:pPr>
              <w:pStyle w:val="TableParagraph"/>
              <w:rPr>
                <w:rFonts w:ascii="Times New Roman"/>
                <w:sz w:val="12"/>
              </w:rPr>
            </w:pPr>
          </w:p>
        </w:tc>
      </w:tr>
      <w:tr>
        <w:trPr>
          <w:trHeight w:val="461" w:hRule="atLeast"/>
        </w:trPr>
        <w:tc>
          <w:tcPr>
            <w:tcW w:w="15758" w:type="dxa"/>
            <w:gridSpan w:val="3"/>
          </w:tcPr>
          <w:p>
            <w:pPr>
              <w:pStyle w:val="TableParagraph"/>
              <w:numPr>
                <w:ilvl w:val="0"/>
                <w:numId w:val="168"/>
              </w:numPr>
              <w:tabs>
                <w:tab w:pos="307" w:val="left" w:leader="none"/>
                <w:tab w:pos="4452" w:val="left" w:leader="none"/>
                <w:tab w:pos="11671" w:val="left" w:leader="none"/>
              </w:tabs>
              <w:spacing w:line="186" w:lineRule="exact" w:before="2" w:after="0"/>
              <w:ind w:left="306" w:right="0" w:hanging="257"/>
              <w:jc w:val="left"/>
              <w:rPr>
                <w:sz w:val="15"/>
              </w:rPr>
            </w:pPr>
            <w:r>
              <w:rPr>
                <w:sz w:val="15"/>
              </w:rPr>
              <w:t>Tibia ap</w:t>
            </w:r>
            <w:r>
              <w:rPr>
                <w:spacing w:val="12"/>
                <w:sz w:val="15"/>
              </w:rPr>
              <w:t> </w:t>
            </w:r>
            <w:r>
              <w:rPr>
                <w:sz w:val="15"/>
              </w:rPr>
              <w:t>y</w:t>
            </w:r>
            <w:r>
              <w:rPr>
                <w:spacing w:val="7"/>
                <w:sz w:val="15"/>
              </w:rPr>
              <w:t> </w:t>
            </w:r>
            <w:r>
              <w:rPr>
                <w:sz w:val="15"/>
              </w:rPr>
              <w:t>lat</w:t>
              <w:tab/>
              <w:t>$402.00</w:t>
              <w:tab/>
            </w:r>
            <w:r>
              <w:rPr>
                <w:position w:val="3"/>
                <w:sz w:val="15"/>
              </w:rPr>
              <w:t>XVII.</w:t>
            </w:r>
            <w:r>
              <w:rPr>
                <w:spacing w:val="2"/>
                <w:position w:val="3"/>
                <w:sz w:val="15"/>
              </w:rPr>
              <w:t> </w:t>
            </w:r>
            <w:r>
              <w:rPr>
                <w:position w:val="3"/>
                <w:sz w:val="15"/>
              </w:rPr>
              <w:t>Uroradiología:</w:t>
            </w:r>
          </w:p>
          <w:p>
            <w:pPr>
              <w:pStyle w:val="TableParagraph"/>
              <w:numPr>
                <w:ilvl w:val="0"/>
                <w:numId w:val="168"/>
              </w:numPr>
              <w:tabs>
                <w:tab w:pos="308" w:val="left" w:leader="none"/>
                <w:tab w:pos="4454" w:val="left" w:leader="none"/>
                <w:tab w:pos="11671" w:val="left" w:leader="none"/>
              </w:tabs>
              <w:spacing w:line="226" w:lineRule="exact" w:before="0" w:after="0"/>
              <w:ind w:left="307" w:right="0" w:hanging="258"/>
              <w:jc w:val="left"/>
              <w:rPr>
                <w:sz w:val="15"/>
              </w:rPr>
            </w:pPr>
            <w:r>
              <w:rPr>
                <w:sz w:val="15"/>
              </w:rPr>
              <w:t>Tibia</w:t>
            </w:r>
            <w:r>
              <w:rPr>
                <w:spacing w:val="12"/>
                <w:sz w:val="15"/>
              </w:rPr>
              <w:t> </w:t>
            </w:r>
            <w:r>
              <w:rPr>
                <w:sz w:val="15"/>
              </w:rPr>
              <w:t>placa</w:t>
            </w:r>
            <w:r>
              <w:rPr>
                <w:spacing w:val="12"/>
                <w:sz w:val="15"/>
              </w:rPr>
              <w:t> </w:t>
            </w:r>
            <w:r>
              <w:rPr>
                <w:sz w:val="15"/>
              </w:rPr>
              <w:t>adicional</w:t>
              <w:tab/>
              <w:t>$153.00</w:t>
              <w:tab/>
            </w:r>
            <w:r>
              <w:rPr>
                <w:position w:val="7"/>
                <w:sz w:val="15"/>
              </w:rPr>
              <w:t>1. Urografía excretora</w:t>
            </w:r>
            <w:r>
              <w:rPr>
                <w:spacing w:val="6"/>
                <w:position w:val="7"/>
                <w:sz w:val="15"/>
              </w:rPr>
              <w:t> </w:t>
            </w:r>
            <w:r>
              <w:rPr>
                <w:position w:val="7"/>
                <w:sz w:val="15"/>
              </w:rPr>
              <w:t>básica</w:t>
            </w:r>
          </w:p>
        </w:tc>
        <w:tc>
          <w:tcPr>
            <w:tcW w:w="923" w:type="dxa"/>
          </w:tcPr>
          <w:p>
            <w:pPr>
              <w:pStyle w:val="TableParagraph"/>
              <w:spacing w:before="3"/>
              <w:rPr>
                <w:rFonts w:ascii="Times New Roman"/>
                <w:sz w:val="15"/>
              </w:rPr>
            </w:pPr>
          </w:p>
          <w:p>
            <w:pPr>
              <w:pStyle w:val="TableParagraph"/>
              <w:ind w:right="47"/>
              <w:jc w:val="right"/>
              <w:rPr>
                <w:sz w:val="15"/>
              </w:rPr>
            </w:pPr>
            <w:r>
              <w:rPr>
                <w:sz w:val="15"/>
              </w:rPr>
              <w:t>$1,125.00</w:t>
            </w:r>
          </w:p>
        </w:tc>
      </w:tr>
      <w:tr>
        <w:trPr>
          <w:trHeight w:val="279" w:hRule="atLeast"/>
        </w:trPr>
        <w:tc>
          <w:tcPr>
            <w:tcW w:w="15758" w:type="dxa"/>
            <w:gridSpan w:val="3"/>
          </w:tcPr>
          <w:p>
            <w:pPr>
              <w:pStyle w:val="TableParagraph"/>
              <w:tabs>
                <w:tab w:pos="4452" w:val="left" w:leader="none"/>
                <w:tab w:pos="11671" w:val="left" w:leader="none"/>
              </w:tabs>
              <w:spacing w:line="259" w:lineRule="exact"/>
              <w:ind w:left="50"/>
              <w:rPr>
                <w:sz w:val="15"/>
              </w:rPr>
            </w:pPr>
            <w:r>
              <w:rPr>
                <w:position w:val="11"/>
                <w:sz w:val="15"/>
              </w:rPr>
              <w:t>46. Fémur ap</w:t>
            </w:r>
            <w:r>
              <w:rPr>
                <w:spacing w:val="13"/>
                <w:position w:val="11"/>
                <w:sz w:val="15"/>
              </w:rPr>
              <w:t> </w:t>
            </w:r>
            <w:r>
              <w:rPr>
                <w:position w:val="11"/>
                <w:sz w:val="15"/>
              </w:rPr>
              <w:t>y</w:t>
            </w:r>
            <w:r>
              <w:rPr>
                <w:spacing w:val="5"/>
                <w:position w:val="11"/>
                <w:sz w:val="15"/>
              </w:rPr>
              <w:t> </w:t>
            </w:r>
            <w:r>
              <w:rPr>
                <w:position w:val="11"/>
                <w:sz w:val="15"/>
              </w:rPr>
              <w:t>lat</w:t>
              <w:tab/>
              <w:t>$348.00</w:t>
              <w:tab/>
            </w:r>
            <w:r>
              <w:rPr>
                <w:sz w:val="15"/>
              </w:rPr>
              <w:t>XVIII. Tomografía computada, helicoidal y</w:t>
            </w:r>
            <w:r>
              <w:rPr>
                <w:spacing w:val="10"/>
                <w:sz w:val="15"/>
              </w:rPr>
              <w:t> </w:t>
            </w:r>
            <w:r>
              <w:rPr>
                <w:sz w:val="15"/>
              </w:rPr>
              <w:t>tridimensional:</w:t>
            </w:r>
          </w:p>
        </w:tc>
        <w:tc>
          <w:tcPr>
            <w:tcW w:w="923" w:type="dxa"/>
          </w:tcPr>
          <w:p>
            <w:pPr>
              <w:pStyle w:val="TableParagraph"/>
              <w:rPr>
                <w:rFonts w:ascii="Times New Roman"/>
                <w:sz w:val="14"/>
              </w:rPr>
            </w:pPr>
          </w:p>
        </w:tc>
      </w:tr>
    </w:tbl>
    <w:p>
      <w:pPr>
        <w:spacing w:after="0"/>
        <w:rPr>
          <w:rFonts w:ascii="Times New Roman"/>
          <w:sz w:val="14"/>
        </w:rPr>
        <w:sectPr>
          <w:headerReference w:type="default" r:id="rId102"/>
          <w:pgSz w:w="23250" w:h="15310" w:orient="landscape"/>
          <w:pgMar w:header="881" w:footer="499" w:top="1920" w:bottom="680" w:left="1880" w:right="152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18"/>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8"/>
        <w:gridCol w:w="1102"/>
        <w:gridCol w:w="10747"/>
        <w:gridCol w:w="875"/>
      </w:tblGrid>
      <w:tr>
        <w:trPr>
          <w:trHeight w:val="191" w:hRule="atLeast"/>
        </w:trPr>
        <w:tc>
          <w:tcPr>
            <w:tcW w:w="3958" w:type="dxa"/>
          </w:tcPr>
          <w:p>
            <w:pPr>
              <w:pStyle w:val="TableParagraph"/>
              <w:spacing w:line="171" w:lineRule="exact"/>
              <w:ind w:left="50"/>
              <w:rPr>
                <w:sz w:val="15"/>
              </w:rPr>
            </w:pPr>
            <w:r>
              <w:rPr>
                <w:sz w:val="15"/>
              </w:rPr>
              <w:t>1. Tc Abdomen alto (1 región)</w:t>
            </w:r>
          </w:p>
        </w:tc>
        <w:tc>
          <w:tcPr>
            <w:tcW w:w="1102" w:type="dxa"/>
          </w:tcPr>
          <w:p>
            <w:pPr>
              <w:pStyle w:val="TableParagraph"/>
              <w:spacing w:line="171" w:lineRule="exact"/>
              <w:ind w:right="48"/>
              <w:jc w:val="right"/>
              <w:rPr>
                <w:sz w:val="15"/>
              </w:rPr>
            </w:pPr>
            <w:r>
              <w:rPr>
                <w:sz w:val="15"/>
              </w:rPr>
              <w:t>$1,985.00</w:t>
            </w:r>
          </w:p>
        </w:tc>
        <w:tc>
          <w:tcPr>
            <w:tcW w:w="10747" w:type="dxa"/>
          </w:tcPr>
          <w:p>
            <w:pPr>
              <w:pStyle w:val="TableParagraph"/>
              <w:spacing w:line="171" w:lineRule="exact"/>
              <w:ind w:left="6612"/>
              <w:rPr>
                <w:sz w:val="15"/>
              </w:rPr>
            </w:pPr>
            <w:r>
              <w:rPr>
                <w:sz w:val="15"/>
              </w:rPr>
              <w:t>10. Ámpula ampicilina 500mg</w:t>
            </w:r>
          </w:p>
        </w:tc>
        <w:tc>
          <w:tcPr>
            <w:tcW w:w="875" w:type="dxa"/>
          </w:tcPr>
          <w:p>
            <w:pPr>
              <w:pStyle w:val="TableParagraph"/>
              <w:spacing w:line="171" w:lineRule="exact"/>
              <w:ind w:right="47"/>
              <w:jc w:val="right"/>
              <w:rPr>
                <w:sz w:val="15"/>
              </w:rPr>
            </w:pPr>
            <w:r>
              <w:rPr>
                <w:sz w:val="15"/>
              </w:rPr>
              <w:t>$8.00</w:t>
            </w:r>
          </w:p>
        </w:tc>
      </w:tr>
      <w:tr>
        <w:trPr>
          <w:trHeight w:val="209" w:hRule="atLeast"/>
        </w:trPr>
        <w:tc>
          <w:tcPr>
            <w:tcW w:w="3958" w:type="dxa"/>
          </w:tcPr>
          <w:p>
            <w:pPr>
              <w:pStyle w:val="TableParagraph"/>
              <w:spacing w:line="172" w:lineRule="exact" w:before="18"/>
              <w:ind w:left="50"/>
              <w:rPr>
                <w:sz w:val="15"/>
              </w:rPr>
            </w:pPr>
            <w:r>
              <w:rPr>
                <w:sz w:val="15"/>
              </w:rPr>
              <w:t>2. Tc Abdomen total (1 ½ región, abdomino-pelvis)</w:t>
            </w:r>
          </w:p>
        </w:tc>
        <w:tc>
          <w:tcPr>
            <w:tcW w:w="1102" w:type="dxa"/>
          </w:tcPr>
          <w:p>
            <w:pPr>
              <w:pStyle w:val="TableParagraph"/>
              <w:spacing w:line="172" w:lineRule="exact" w:before="18"/>
              <w:ind w:right="48"/>
              <w:jc w:val="right"/>
              <w:rPr>
                <w:sz w:val="15"/>
              </w:rPr>
            </w:pPr>
            <w:r>
              <w:rPr>
                <w:sz w:val="15"/>
              </w:rPr>
              <w:t>$2,315.00</w:t>
            </w:r>
          </w:p>
        </w:tc>
        <w:tc>
          <w:tcPr>
            <w:tcW w:w="10747" w:type="dxa"/>
          </w:tcPr>
          <w:p>
            <w:pPr>
              <w:pStyle w:val="TableParagraph"/>
              <w:spacing w:before="17"/>
              <w:ind w:left="6612"/>
              <w:rPr>
                <w:sz w:val="15"/>
              </w:rPr>
            </w:pPr>
            <w:r>
              <w:rPr>
                <w:sz w:val="15"/>
              </w:rPr>
              <w:t>11. Ámpula atropina</w:t>
            </w:r>
          </w:p>
        </w:tc>
        <w:tc>
          <w:tcPr>
            <w:tcW w:w="875" w:type="dxa"/>
          </w:tcPr>
          <w:p>
            <w:pPr>
              <w:pStyle w:val="TableParagraph"/>
              <w:spacing w:before="17"/>
              <w:ind w:right="47"/>
              <w:jc w:val="right"/>
              <w:rPr>
                <w:sz w:val="15"/>
              </w:rPr>
            </w:pPr>
            <w:r>
              <w:rPr>
                <w:sz w:val="15"/>
              </w:rPr>
              <w:t>$5.00</w:t>
            </w:r>
          </w:p>
        </w:tc>
      </w:tr>
      <w:tr>
        <w:trPr>
          <w:trHeight w:val="209" w:hRule="atLeast"/>
        </w:trPr>
        <w:tc>
          <w:tcPr>
            <w:tcW w:w="3958" w:type="dxa"/>
          </w:tcPr>
          <w:p>
            <w:pPr>
              <w:pStyle w:val="TableParagraph"/>
              <w:spacing w:line="172" w:lineRule="exact" w:before="18"/>
              <w:ind w:left="50"/>
              <w:rPr>
                <w:sz w:val="15"/>
              </w:rPr>
            </w:pPr>
            <w:r>
              <w:rPr>
                <w:sz w:val="15"/>
              </w:rPr>
              <w:t>3. Tc Cráneo contrastada</w:t>
            </w:r>
          </w:p>
        </w:tc>
        <w:tc>
          <w:tcPr>
            <w:tcW w:w="1102" w:type="dxa"/>
          </w:tcPr>
          <w:p>
            <w:pPr>
              <w:pStyle w:val="TableParagraph"/>
              <w:spacing w:line="172" w:lineRule="exact" w:before="18"/>
              <w:ind w:right="48"/>
              <w:jc w:val="right"/>
              <w:rPr>
                <w:sz w:val="15"/>
              </w:rPr>
            </w:pPr>
            <w:r>
              <w:rPr>
                <w:sz w:val="15"/>
              </w:rPr>
              <w:t>$2,315.00</w:t>
            </w:r>
          </w:p>
        </w:tc>
        <w:tc>
          <w:tcPr>
            <w:tcW w:w="10747" w:type="dxa"/>
          </w:tcPr>
          <w:p>
            <w:pPr>
              <w:pStyle w:val="TableParagraph"/>
              <w:spacing w:before="17"/>
              <w:ind w:left="6612"/>
              <w:rPr>
                <w:sz w:val="15"/>
              </w:rPr>
            </w:pPr>
            <w:r>
              <w:rPr>
                <w:sz w:val="15"/>
              </w:rPr>
              <w:t>12. Ámpula cloropiramida (avapena)</w:t>
            </w:r>
          </w:p>
        </w:tc>
        <w:tc>
          <w:tcPr>
            <w:tcW w:w="875" w:type="dxa"/>
          </w:tcPr>
          <w:p>
            <w:pPr>
              <w:pStyle w:val="TableParagraph"/>
              <w:spacing w:before="17"/>
              <w:ind w:right="48"/>
              <w:jc w:val="right"/>
              <w:rPr>
                <w:sz w:val="15"/>
              </w:rPr>
            </w:pPr>
            <w:r>
              <w:rPr>
                <w:sz w:val="15"/>
              </w:rPr>
              <w:t>$28.00</w:t>
            </w:r>
          </w:p>
        </w:tc>
      </w:tr>
      <w:tr>
        <w:trPr>
          <w:trHeight w:val="209" w:hRule="atLeast"/>
        </w:trPr>
        <w:tc>
          <w:tcPr>
            <w:tcW w:w="3958" w:type="dxa"/>
          </w:tcPr>
          <w:p>
            <w:pPr>
              <w:pStyle w:val="TableParagraph"/>
              <w:spacing w:line="172" w:lineRule="exact" w:before="18"/>
              <w:ind w:left="50"/>
              <w:rPr>
                <w:sz w:val="15"/>
              </w:rPr>
            </w:pPr>
            <w:r>
              <w:rPr>
                <w:sz w:val="15"/>
              </w:rPr>
              <w:t>4. Tc Columna simple (2 regiones)</w:t>
            </w:r>
          </w:p>
        </w:tc>
        <w:tc>
          <w:tcPr>
            <w:tcW w:w="1102" w:type="dxa"/>
          </w:tcPr>
          <w:p>
            <w:pPr>
              <w:pStyle w:val="TableParagraph"/>
              <w:spacing w:line="172" w:lineRule="exact" w:before="18"/>
              <w:ind w:right="49"/>
              <w:jc w:val="right"/>
              <w:rPr>
                <w:sz w:val="15"/>
              </w:rPr>
            </w:pPr>
            <w:r>
              <w:rPr>
                <w:sz w:val="15"/>
              </w:rPr>
              <w:t>$2,315.00</w:t>
            </w:r>
          </w:p>
        </w:tc>
        <w:tc>
          <w:tcPr>
            <w:tcW w:w="10747" w:type="dxa"/>
          </w:tcPr>
          <w:p>
            <w:pPr>
              <w:pStyle w:val="TableParagraph"/>
              <w:spacing w:before="17"/>
              <w:ind w:left="6612"/>
              <w:rPr>
                <w:sz w:val="15"/>
              </w:rPr>
            </w:pPr>
            <w:r>
              <w:rPr>
                <w:sz w:val="15"/>
              </w:rPr>
              <w:t>13. Ámpula bicarbonato de sodio (bicarnat)</w:t>
            </w:r>
          </w:p>
        </w:tc>
        <w:tc>
          <w:tcPr>
            <w:tcW w:w="875" w:type="dxa"/>
          </w:tcPr>
          <w:p>
            <w:pPr>
              <w:pStyle w:val="TableParagraph"/>
              <w:spacing w:before="17"/>
              <w:ind w:right="48"/>
              <w:jc w:val="right"/>
              <w:rPr>
                <w:sz w:val="15"/>
              </w:rPr>
            </w:pPr>
            <w:r>
              <w:rPr>
                <w:sz w:val="15"/>
              </w:rPr>
              <w:t>$6.00</w:t>
            </w:r>
          </w:p>
        </w:tc>
      </w:tr>
      <w:tr>
        <w:trPr>
          <w:trHeight w:val="209" w:hRule="atLeast"/>
        </w:trPr>
        <w:tc>
          <w:tcPr>
            <w:tcW w:w="3958" w:type="dxa"/>
          </w:tcPr>
          <w:p>
            <w:pPr>
              <w:pStyle w:val="TableParagraph"/>
              <w:spacing w:line="172" w:lineRule="exact" w:before="18"/>
              <w:ind w:left="50"/>
              <w:rPr>
                <w:sz w:val="15"/>
              </w:rPr>
            </w:pPr>
            <w:r>
              <w:rPr>
                <w:sz w:val="15"/>
              </w:rPr>
              <w:t>5. Tc Columna simple (3 regiones)</w:t>
            </w:r>
          </w:p>
        </w:tc>
        <w:tc>
          <w:tcPr>
            <w:tcW w:w="1102" w:type="dxa"/>
          </w:tcPr>
          <w:p>
            <w:pPr>
              <w:pStyle w:val="TableParagraph"/>
              <w:spacing w:line="172" w:lineRule="exact" w:before="18"/>
              <w:ind w:right="48"/>
              <w:jc w:val="right"/>
              <w:rPr>
                <w:sz w:val="15"/>
              </w:rPr>
            </w:pPr>
            <w:r>
              <w:rPr>
                <w:sz w:val="15"/>
              </w:rPr>
              <w:t>$2,646.00</w:t>
            </w:r>
          </w:p>
        </w:tc>
        <w:tc>
          <w:tcPr>
            <w:tcW w:w="10747" w:type="dxa"/>
          </w:tcPr>
          <w:p>
            <w:pPr>
              <w:pStyle w:val="TableParagraph"/>
              <w:spacing w:before="17"/>
              <w:ind w:left="6612"/>
              <w:rPr>
                <w:sz w:val="15"/>
              </w:rPr>
            </w:pPr>
            <w:r>
              <w:rPr>
                <w:sz w:val="15"/>
              </w:rPr>
              <w:t>14. Ámpula ambroxol (broxol)</w:t>
            </w:r>
          </w:p>
        </w:tc>
        <w:tc>
          <w:tcPr>
            <w:tcW w:w="875" w:type="dxa"/>
          </w:tcPr>
          <w:p>
            <w:pPr>
              <w:pStyle w:val="TableParagraph"/>
              <w:spacing w:before="17"/>
              <w:ind w:right="48"/>
              <w:jc w:val="right"/>
              <w:rPr>
                <w:sz w:val="15"/>
              </w:rPr>
            </w:pPr>
            <w:r>
              <w:rPr>
                <w:sz w:val="15"/>
              </w:rPr>
              <w:t>$21.00</w:t>
            </w:r>
          </w:p>
        </w:tc>
      </w:tr>
      <w:tr>
        <w:trPr>
          <w:trHeight w:val="209" w:hRule="atLeast"/>
        </w:trPr>
        <w:tc>
          <w:tcPr>
            <w:tcW w:w="3958" w:type="dxa"/>
          </w:tcPr>
          <w:p>
            <w:pPr>
              <w:pStyle w:val="TableParagraph"/>
              <w:spacing w:line="172" w:lineRule="exact" w:before="18"/>
              <w:ind w:left="50"/>
              <w:rPr>
                <w:sz w:val="15"/>
              </w:rPr>
            </w:pPr>
            <w:r>
              <w:rPr>
                <w:sz w:val="15"/>
              </w:rPr>
              <w:t>6. Tc cráneo simple</w:t>
            </w:r>
          </w:p>
        </w:tc>
        <w:tc>
          <w:tcPr>
            <w:tcW w:w="1102" w:type="dxa"/>
          </w:tcPr>
          <w:p>
            <w:pPr>
              <w:pStyle w:val="TableParagraph"/>
              <w:spacing w:line="172" w:lineRule="exact" w:before="18"/>
              <w:ind w:right="48"/>
              <w:jc w:val="right"/>
              <w:rPr>
                <w:sz w:val="15"/>
              </w:rPr>
            </w:pPr>
            <w:r>
              <w:rPr>
                <w:sz w:val="15"/>
              </w:rPr>
              <w:t>$1,323.00</w:t>
            </w:r>
          </w:p>
        </w:tc>
        <w:tc>
          <w:tcPr>
            <w:tcW w:w="10747" w:type="dxa"/>
          </w:tcPr>
          <w:p>
            <w:pPr>
              <w:pStyle w:val="TableParagraph"/>
              <w:spacing w:before="17"/>
              <w:ind w:left="6612"/>
              <w:rPr>
                <w:sz w:val="15"/>
              </w:rPr>
            </w:pPr>
            <w:r>
              <w:rPr>
                <w:sz w:val="15"/>
              </w:rPr>
              <w:t>15. Ámpula butilhioscina 2.0g/metamizol 2.5g (busconet)</w:t>
            </w:r>
          </w:p>
        </w:tc>
        <w:tc>
          <w:tcPr>
            <w:tcW w:w="875" w:type="dxa"/>
          </w:tcPr>
          <w:p>
            <w:pPr>
              <w:pStyle w:val="TableParagraph"/>
              <w:spacing w:before="17"/>
              <w:ind w:right="50"/>
              <w:jc w:val="right"/>
              <w:rPr>
                <w:sz w:val="15"/>
              </w:rPr>
            </w:pPr>
            <w:r>
              <w:rPr>
                <w:sz w:val="15"/>
              </w:rPr>
              <w:t>$27.00</w:t>
            </w:r>
          </w:p>
        </w:tc>
      </w:tr>
      <w:tr>
        <w:trPr>
          <w:trHeight w:val="209" w:hRule="atLeast"/>
        </w:trPr>
        <w:tc>
          <w:tcPr>
            <w:tcW w:w="3958" w:type="dxa"/>
          </w:tcPr>
          <w:p>
            <w:pPr>
              <w:pStyle w:val="TableParagraph"/>
              <w:spacing w:line="172" w:lineRule="exact" w:before="18"/>
              <w:ind w:left="50"/>
              <w:rPr>
                <w:sz w:val="15"/>
              </w:rPr>
            </w:pPr>
            <w:r>
              <w:rPr>
                <w:sz w:val="15"/>
              </w:rPr>
              <w:t>7. Tc cuello</w:t>
            </w:r>
          </w:p>
        </w:tc>
        <w:tc>
          <w:tcPr>
            <w:tcW w:w="1102" w:type="dxa"/>
          </w:tcPr>
          <w:p>
            <w:pPr>
              <w:pStyle w:val="TableParagraph"/>
              <w:spacing w:line="172" w:lineRule="exact" w:before="18"/>
              <w:ind w:right="47"/>
              <w:jc w:val="right"/>
              <w:rPr>
                <w:sz w:val="15"/>
              </w:rPr>
            </w:pPr>
            <w:r>
              <w:rPr>
                <w:sz w:val="15"/>
              </w:rPr>
              <w:t>$1,798.00</w:t>
            </w:r>
          </w:p>
        </w:tc>
        <w:tc>
          <w:tcPr>
            <w:tcW w:w="10747" w:type="dxa"/>
          </w:tcPr>
          <w:p>
            <w:pPr>
              <w:pStyle w:val="TableParagraph"/>
              <w:spacing w:before="17"/>
              <w:ind w:left="6612"/>
              <w:rPr>
                <w:sz w:val="15"/>
              </w:rPr>
            </w:pPr>
            <w:r>
              <w:rPr>
                <w:sz w:val="15"/>
              </w:rPr>
              <w:t>16. Ámpula butilhiocina</w:t>
            </w:r>
          </w:p>
        </w:tc>
        <w:tc>
          <w:tcPr>
            <w:tcW w:w="875" w:type="dxa"/>
          </w:tcPr>
          <w:p>
            <w:pPr>
              <w:pStyle w:val="TableParagraph"/>
              <w:spacing w:before="17"/>
              <w:ind w:right="48"/>
              <w:jc w:val="right"/>
              <w:rPr>
                <w:sz w:val="15"/>
              </w:rPr>
            </w:pPr>
            <w:r>
              <w:rPr>
                <w:sz w:val="15"/>
              </w:rPr>
              <w:t>$6.00</w:t>
            </w:r>
          </w:p>
        </w:tc>
      </w:tr>
      <w:tr>
        <w:trPr>
          <w:trHeight w:val="209" w:hRule="atLeast"/>
        </w:trPr>
        <w:tc>
          <w:tcPr>
            <w:tcW w:w="3958" w:type="dxa"/>
          </w:tcPr>
          <w:p>
            <w:pPr>
              <w:pStyle w:val="TableParagraph"/>
              <w:spacing w:line="172" w:lineRule="exact" w:before="18"/>
              <w:ind w:left="50"/>
              <w:rPr>
                <w:sz w:val="15"/>
              </w:rPr>
            </w:pPr>
            <w:r>
              <w:rPr>
                <w:sz w:val="15"/>
              </w:rPr>
              <w:t>8. Tc tórax</w:t>
            </w:r>
          </w:p>
        </w:tc>
        <w:tc>
          <w:tcPr>
            <w:tcW w:w="1102" w:type="dxa"/>
          </w:tcPr>
          <w:p>
            <w:pPr>
              <w:pStyle w:val="TableParagraph"/>
              <w:spacing w:line="172" w:lineRule="exact" w:before="18"/>
              <w:ind w:right="47"/>
              <w:jc w:val="right"/>
              <w:rPr>
                <w:sz w:val="15"/>
              </w:rPr>
            </w:pPr>
            <w:r>
              <w:rPr>
                <w:sz w:val="15"/>
              </w:rPr>
              <w:t>$1,798.00</w:t>
            </w:r>
          </w:p>
        </w:tc>
        <w:tc>
          <w:tcPr>
            <w:tcW w:w="10747" w:type="dxa"/>
          </w:tcPr>
          <w:p>
            <w:pPr>
              <w:pStyle w:val="TableParagraph"/>
              <w:spacing w:before="17"/>
              <w:ind w:left="6612"/>
              <w:rPr>
                <w:sz w:val="15"/>
              </w:rPr>
            </w:pPr>
            <w:r>
              <w:rPr>
                <w:sz w:val="15"/>
              </w:rPr>
              <w:t>17. Ámpula cefalotina 1g</w:t>
            </w:r>
          </w:p>
        </w:tc>
        <w:tc>
          <w:tcPr>
            <w:tcW w:w="875" w:type="dxa"/>
          </w:tcPr>
          <w:p>
            <w:pPr>
              <w:pStyle w:val="TableParagraph"/>
              <w:spacing w:before="17"/>
              <w:ind w:right="48"/>
              <w:jc w:val="right"/>
              <w:rPr>
                <w:sz w:val="15"/>
              </w:rPr>
            </w:pPr>
            <w:r>
              <w:rPr>
                <w:sz w:val="15"/>
              </w:rPr>
              <w:t>$21.00</w:t>
            </w:r>
          </w:p>
        </w:tc>
      </w:tr>
      <w:tr>
        <w:trPr>
          <w:trHeight w:val="209" w:hRule="atLeast"/>
        </w:trPr>
        <w:tc>
          <w:tcPr>
            <w:tcW w:w="3958" w:type="dxa"/>
          </w:tcPr>
          <w:p>
            <w:pPr>
              <w:pStyle w:val="TableParagraph"/>
              <w:spacing w:line="172" w:lineRule="exact" w:before="18"/>
              <w:ind w:left="50"/>
              <w:rPr>
                <w:sz w:val="15"/>
              </w:rPr>
            </w:pPr>
            <w:r>
              <w:rPr>
                <w:sz w:val="15"/>
              </w:rPr>
              <w:t>9. Tc senos paranasales</w:t>
            </w:r>
          </w:p>
        </w:tc>
        <w:tc>
          <w:tcPr>
            <w:tcW w:w="1102" w:type="dxa"/>
          </w:tcPr>
          <w:p>
            <w:pPr>
              <w:pStyle w:val="TableParagraph"/>
              <w:spacing w:line="172" w:lineRule="exact" w:before="18"/>
              <w:ind w:right="48"/>
              <w:jc w:val="right"/>
              <w:rPr>
                <w:sz w:val="15"/>
              </w:rPr>
            </w:pPr>
            <w:r>
              <w:rPr>
                <w:sz w:val="15"/>
              </w:rPr>
              <w:t>$1,798.00</w:t>
            </w:r>
          </w:p>
        </w:tc>
        <w:tc>
          <w:tcPr>
            <w:tcW w:w="10747" w:type="dxa"/>
          </w:tcPr>
          <w:p>
            <w:pPr>
              <w:pStyle w:val="TableParagraph"/>
              <w:spacing w:before="17"/>
              <w:ind w:left="6612"/>
              <w:rPr>
                <w:sz w:val="15"/>
              </w:rPr>
            </w:pPr>
            <w:r>
              <w:rPr>
                <w:sz w:val="15"/>
              </w:rPr>
              <w:t>18. Ámpula cefotaxima 1g</w:t>
            </w:r>
          </w:p>
        </w:tc>
        <w:tc>
          <w:tcPr>
            <w:tcW w:w="875" w:type="dxa"/>
          </w:tcPr>
          <w:p>
            <w:pPr>
              <w:pStyle w:val="TableParagraph"/>
              <w:spacing w:before="17"/>
              <w:ind w:right="48"/>
              <w:jc w:val="right"/>
              <w:rPr>
                <w:sz w:val="15"/>
              </w:rPr>
            </w:pPr>
            <w:r>
              <w:rPr>
                <w:sz w:val="15"/>
              </w:rPr>
              <w:t>$16.00</w:t>
            </w:r>
          </w:p>
        </w:tc>
      </w:tr>
      <w:tr>
        <w:trPr>
          <w:trHeight w:val="193" w:hRule="atLeast"/>
        </w:trPr>
        <w:tc>
          <w:tcPr>
            <w:tcW w:w="3958" w:type="dxa"/>
          </w:tcPr>
          <w:p>
            <w:pPr>
              <w:pStyle w:val="TableParagraph"/>
              <w:rPr>
                <w:rFonts w:ascii="Times New Roman"/>
                <w:sz w:val="12"/>
              </w:rPr>
            </w:pPr>
          </w:p>
        </w:tc>
        <w:tc>
          <w:tcPr>
            <w:tcW w:w="1102" w:type="dxa"/>
          </w:tcPr>
          <w:p>
            <w:pPr>
              <w:pStyle w:val="TableParagraph"/>
              <w:rPr>
                <w:rFonts w:ascii="Times New Roman"/>
                <w:sz w:val="12"/>
              </w:rPr>
            </w:pPr>
          </w:p>
        </w:tc>
        <w:tc>
          <w:tcPr>
            <w:tcW w:w="10747" w:type="dxa"/>
          </w:tcPr>
          <w:p>
            <w:pPr>
              <w:pStyle w:val="TableParagraph"/>
              <w:spacing w:line="156" w:lineRule="exact" w:before="17"/>
              <w:ind w:left="6612"/>
              <w:rPr>
                <w:sz w:val="15"/>
              </w:rPr>
            </w:pPr>
            <w:r>
              <w:rPr>
                <w:sz w:val="15"/>
              </w:rPr>
              <w:t>19. Ámpula ceftriaxona 1g</w:t>
            </w:r>
          </w:p>
        </w:tc>
        <w:tc>
          <w:tcPr>
            <w:tcW w:w="875" w:type="dxa"/>
          </w:tcPr>
          <w:p>
            <w:pPr>
              <w:pStyle w:val="TableParagraph"/>
              <w:spacing w:line="156" w:lineRule="exact" w:before="17"/>
              <w:ind w:right="48"/>
              <w:jc w:val="right"/>
              <w:rPr>
                <w:sz w:val="15"/>
              </w:rPr>
            </w:pPr>
            <w:r>
              <w:rPr>
                <w:sz w:val="15"/>
              </w:rPr>
              <w:t>$20.00</w:t>
            </w:r>
          </w:p>
        </w:tc>
      </w:tr>
      <w:tr>
        <w:trPr>
          <w:trHeight w:val="193" w:hRule="atLeast"/>
        </w:trPr>
        <w:tc>
          <w:tcPr>
            <w:tcW w:w="3958" w:type="dxa"/>
          </w:tcPr>
          <w:p>
            <w:pPr>
              <w:pStyle w:val="TableParagraph"/>
              <w:spacing w:line="172" w:lineRule="exact" w:before="1"/>
              <w:ind w:left="50"/>
              <w:rPr>
                <w:sz w:val="15"/>
              </w:rPr>
            </w:pPr>
            <w:r>
              <w:rPr>
                <w:sz w:val="15"/>
              </w:rPr>
              <w:t>XIX. Ecosonogramas o ultrasonidos:</w:t>
            </w:r>
          </w:p>
        </w:tc>
        <w:tc>
          <w:tcPr>
            <w:tcW w:w="1102" w:type="dxa"/>
          </w:tcPr>
          <w:p>
            <w:pPr>
              <w:pStyle w:val="TableParagraph"/>
              <w:rPr>
                <w:rFonts w:ascii="Times New Roman"/>
                <w:sz w:val="12"/>
              </w:rPr>
            </w:pPr>
          </w:p>
        </w:tc>
        <w:tc>
          <w:tcPr>
            <w:tcW w:w="10747" w:type="dxa"/>
          </w:tcPr>
          <w:p>
            <w:pPr>
              <w:pStyle w:val="TableParagraph"/>
              <w:spacing w:line="140" w:lineRule="exact" w:before="33"/>
              <w:ind w:left="6612"/>
              <w:rPr>
                <w:sz w:val="15"/>
              </w:rPr>
            </w:pPr>
            <w:r>
              <w:rPr>
                <w:sz w:val="15"/>
              </w:rPr>
              <w:t>20. Ámpula ciprofloxacino 200mg sol</w:t>
            </w:r>
          </w:p>
        </w:tc>
        <w:tc>
          <w:tcPr>
            <w:tcW w:w="875" w:type="dxa"/>
          </w:tcPr>
          <w:p>
            <w:pPr>
              <w:pStyle w:val="TableParagraph"/>
              <w:spacing w:line="140" w:lineRule="exact" w:before="33"/>
              <w:ind w:right="48"/>
              <w:jc w:val="right"/>
              <w:rPr>
                <w:sz w:val="15"/>
              </w:rPr>
            </w:pPr>
            <w:r>
              <w:rPr>
                <w:sz w:val="15"/>
              </w:rPr>
              <w:t>$16.00</w:t>
            </w:r>
          </w:p>
        </w:tc>
      </w:tr>
      <w:tr>
        <w:trPr>
          <w:trHeight w:val="177" w:hRule="atLeast"/>
        </w:trPr>
        <w:tc>
          <w:tcPr>
            <w:tcW w:w="3958" w:type="dxa"/>
          </w:tcPr>
          <w:p>
            <w:pPr>
              <w:pStyle w:val="TableParagraph"/>
              <w:spacing w:line="171" w:lineRule="exact"/>
              <w:ind w:left="50"/>
              <w:rPr>
                <w:sz w:val="15"/>
              </w:rPr>
            </w:pPr>
            <w:r>
              <w:rPr>
                <w:sz w:val="15"/>
              </w:rPr>
              <w:t>1. Eco abdominal (1 región)</w:t>
            </w:r>
          </w:p>
        </w:tc>
        <w:tc>
          <w:tcPr>
            <w:tcW w:w="12724" w:type="dxa"/>
            <w:gridSpan w:val="3"/>
          </w:tcPr>
          <w:p>
            <w:pPr>
              <w:pStyle w:val="TableParagraph"/>
              <w:tabs>
                <w:tab w:pos="7714" w:val="left" w:leader="none"/>
                <w:tab w:pos="12202" w:val="left" w:leader="none"/>
              </w:tabs>
              <w:spacing w:line="168" w:lineRule="exact" w:before="3"/>
              <w:ind w:left="494"/>
              <w:rPr>
                <w:sz w:val="15"/>
              </w:rPr>
            </w:pPr>
            <w:r>
              <w:rPr>
                <w:position w:val="6"/>
                <w:sz w:val="15"/>
              </w:rPr>
              <w:t>$673.00</w:t>
              <w:tab/>
            </w:r>
            <w:r>
              <w:rPr>
                <w:sz w:val="15"/>
              </w:rPr>
              <w:t>21.</w:t>
            </w:r>
            <w:r>
              <w:rPr>
                <w:spacing w:val="7"/>
                <w:sz w:val="15"/>
              </w:rPr>
              <w:t> </w:t>
            </w:r>
            <w:r>
              <w:rPr>
                <w:sz w:val="15"/>
              </w:rPr>
              <w:t>Ámpula</w:t>
            </w:r>
            <w:r>
              <w:rPr>
                <w:spacing w:val="8"/>
                <w:sz w:val="15"/>
              </w:rPr>
              <w:t> </w:t>
            </w:r>
            <w:r>
              <w:rPr>
                <w:sz w:val="15"/>
              </w:rPr>
              <w:t>citicolina</w:t>
              <w:tab/>
              <w:t>$60.00</w:t>
            </w:r>
          </w:p>
        </w:tc>
      </w:tr>
      <w:tr>
        <w:trPr>
          <w:trHeight w:val="209" w:hRule="atLeast"/>
        </w:trPr>
        <w:tc>
          <w:tcPr>
            <w:tcW w:w="3958" w:type="dxa"/>
          </w:tcPr>
          <w:p>
            <w:pPr>
              <w:pStyle w:val="TableParagraph"/>
              <w:spacing w:before="17"/>
              <w:ind w:left="50"/>
              <w:rPr>
                <w:sz w:val="15"/>
              </w:rPr>
            </w:pPr>
            <w:r>
              <w:rPr>
                <w:sz w:val="15"/>
              </w:rPr>
              <w:t>2. Eco abdominal (2 regiones)</w:t>
            </w:r>
          </w:p>
        </w:tc>
        <w:tc>
          <w:tcPr>
            <w:tcW w:w="12724" w:type="dxa"/>
            <w:gridSpan w:val="3"/>
          </w:tcPr>
          <w:p>
            <w:pPr>
              <w:pStyle w:val="TableParagraph"/>
              <w:tabs>
                <w:tab w:pos="7714" w:val="left" w:leader="none"/>
                <w:tab w:pos="12117" w:val="left" w:leader="none"/>
              </w:tabs>
              <w:spacing w:line="168" w:lineRule="exact" w:before="22"/>
              <w:ind w:left="494"/>
              <w:rPr>
                <w:sz w:val="15"/>
              </w:rPr>
            </w:pPr>
            <w:r>
              <w:rPr>
                <w:position w:val="6"/>
                <w:sz w:val="15"/>
              </w:rPr>
              <w:t>$673.00</w:t>
              <w:tab/>
            </w:r>
            <w:r>
              <w:rPr>
                <w:sz w:val="15"/>
              </w:rPr>
              <w:t>22. Ámpula</w:t>
            </w:r>
            <w:r>
              <w:rPr>
                <w:spacing w:val="19"/>
                <w:sz w:val="15"/>
              </w:rPr>
              <w:t> </w:t>
            </w:r>
            <w:r>
              <w:rPr>
                <w:sz w:val="15"/>
              </w:rPr>
              <w:t>claritromicina</w:t>
            </w:r>
            <w:r>
              <w:rPr>
                <w:spacing w:val="10"/>
                <w:sz w:val="15"/>
              </w:rPr>
              <w:t> </w:t>
            </w:r>
            <w:r>
              <w:rPr>
                <w:sz w:val="15"/>
              </w:rPr>
              <w:t>500mg</w:t>
              <w:tab/>
              <w:t>$276.00</w:t>
            </w:r>
          </w:p>
        </w:tc>
      </w:tr>
      <w:tr>
        <w:trPr>
          <w:trHeight w:val="209" w:hRule="atLeast"/>
        </w:trPr>
        <w:tc>
          <w:tcPr>
            <w:tcW w:w="3958" w:type="dxa"/>
          </w:tcPr>
          <w:p>
            <w:pPr>
              <w:pStyle w:val="TableParagraph"/>
              <w:spacing w:before="17"/>
              <w:ind w:left="50"/>
              <w:rPr>
                <w:sz w:val="15"/>
              </w:rPr>
            </w:pPr>
            <w:r>
              <w:rPr>
                <w:sz w:val="15"/>
              </w:rPr>
              <w:t>3. Eco apendicular</w:t>
            </w:r>
          </w:p>
        </w:tc>
        <w:tc>
          <w:tcPr>
            <w:tcW w:w="12724" w:type="dxa"/>
            <w:gridSpan w:val="3"/>
          </w:tcPr>
          <w:p>
            <w:pPr>
              <w:pStyle w:val="TableParagraph"/>
              <w:tabs>
                <w:tab w:pos="7714" w:val="left" w:leader="none"/>
                <w:tab w:pos="12203" w:val="left" w:leader="none"/>
              </w:tabs>
              <w:spacing w:line="168" w:lineRule="exact" w:before="22"/>
              <w:ind w:left="494"/>
              <w:rPr>
                <w:sz w:val="15"/>
              </w:rPr>
            </w:pPr>
            <w:r>
              <w:rPr>
                <w:position w:val="6"/>
                <w:sz w:val="15"/>
              </w:rPr>
              <w:t>$431.00</w:t>
              <w:tab/>
            </w:r>
            <w:r>
              <w:rPr>
                <w:sz w:val="15"/>
              </w:rPr>
              <w:t>23. Ámpula</w:t>
            </w:r>
            <w:r>
              <w:rPr>
                <w:spacing w:val="19"/>
                <w:sz w:val="15"/>
              </w:rPr>
              <w:t> </w:t>
            </w:r>
            <w:r>
              <w:rPr>
                <w:sz w:val="15"/>
              </w:rPr>
              <w:t>clindamicina</w:t>
            </w:r>
            <w:r>
              <w:rPr>
                <w:spacing w:val="8"/>
                <w:sz w:val="15"/>
              </w:rPr>
              <w:t> </w:t>
            </w:r>
            <w:r>
              <w:rPr>
                <w:sz w:val="15"/>
              </w:rPr>
              <w:t>300mg</w:t>
              <w:tab/>
              <w:t>$13.00</w:t>
            </w:r>
          </w:p>
        </w:tc>
      </w:tr>
      <w:tr>
        <w:trPr>
          <w:trHeight w:val="209" w:hRule="atLeast"/>
        </w:trPr>
        <w:tc>
          <w:tcPr>
            <w:tcW w:w="3958" w:type="dxa"/>
          </w:tcPr>
          <w:p>
            <w:pPr>
              <w:pStyle w:val="TableParagraph"/>
              <w:spacing w:before="17"/>
              <w:ind w:left="50"/>
              <w:rPr>
                <w:sz w:val="15"/>
              </w:rPr>
            </w:pPr>
            <w:r>
              <w:rPr>
                <w:sz w:val="15"/>
              </w:rPr>
              <w:t>4. Eco esquelético</w:t>
            </w:r>
          </w:p>
        </w:tc>
        <w:tc>
          <w:tcPr>
            <w:tcW w:w="12724" w:type="dxa"/>
            <w:gridSpan w:val="3"/>
          </w:tcPr>
          <w:p>
            <w:pPr>
              <w:pStyle w:val="TableParagraph"/>
              <w:tabs>
                <w:tab w:pos="7714" w:val="left" w:leader="none"/>
                <w:tab w:pos="12201" w:val="left" w:leader="none"/>
              </w:tabs>
              <w:spacing w:line="168" w:lineRule="exact" w:before="22"/>
              <w:ind w:left="495"/>
              <w:rPr>
                <w:sz w:val="15"/>
              </w:rPr>
            </w:pPr>
            <w:r>
              <w:rPr>
                <w:position w:val="6"/>
                <w:sz w:val="15"/>
              </w:rPr>
              <w:t>$419.00</w:t>
              <w:tab/>
            </w:r>
            <w:r>
              <w:rPr>
                <w:sz w:val="15"/>
              </w:rPr>
              <w:t>24. Ámpula</w:t>
            </w:r>
            <w:r>
              <w:rPr>
                <w:spacing w:val="24"/>
                <w:sz w:val="15"/>
              </w:rPr>
              <w:t> </w:t>
            </w:r>
            <w:r>
              <w:rPr>
                <w:sz w:val="15"/>
              </w:rPr>
              <w:t>clorfenamina</w:t>
            </w:r>
            <w:r>
              <w:rPr>
                <w:spacing w:val="12"/>
                <w:sz w:val="15"/>
              </w:rPr>
              <w:t> </w:t>
            </w:r>
            <w:r>
              <w:rPr>
                <w:sz w:val="15"/>
              </w:rPr>
              <w:t>(clorotrimeton)</w:t>
              <w:tab/>
              <w:t>$27.00</w:t>
            </w:r>
          </w:p>
        </w:tc>
      </w:tr>
      <w:tr>
        <w:trPr>
          <w:trHeight w:val="209" w:hRule="atLeast"/>
        </w:trPr>
        <w:tc>
          <w:tcPr>
            <w:tcW w:w="3958" w:type="dxa"/>
          </w:tcPr>
          <w:p>
            <w:pPr>
              <w:pStyle w:val="TableParagraph"/>
              <w:spacing w:before="17"/>
              <w:ind w:left="50"/>
              <w:rPr>
                <w:sz w:val="15"/>
              </w:rPr>
            </w:pPr>
            <w:r>
              <w:rPr>
                <w:sz w:val="15"/>
              </w:rPr>
              <w:t>5. Eco hígado y vías biliares</w:t>
            </w:r>
          </w:p>
        </w:tc>
        <w:tc>
          <w:tcPr>
            <w:tcW w:w="12724" w:type="dxa"/>
            <w:gridSpan w:val="3"/>
          </w:tcPr>
          <w:p>
            <w:pPr>
              <w:pStyle w:val="TableParagraph"/>
              <w:tabs>
                <w:tab w:pos="7714" w:val="left" w:leader="none"/>
                <w:tab w:pos="12290" w:val="left" w:leader="none"/>
              </w:tabs>
              <w:spacing w:line="168" w:lineRule="exact" w:before="22"/>
              <w:ind w:left="495"/>
              <w:rPr>
                <w:sz w:val="15"/>
              </w:rPr>
            </w:pPr>
            <w:r>
              <w:rPr>
                <w:position w:val="6"/>
                <w:sz w:val="15"/>
              </w:rPr>
              <w:t>$419.00</w:t>
              <w:tab/>
            </w:r>
            <w:r>
              <w:rPr>
                <w:sz w:val="15"/>
              </w:rPr>
              <w:t>25. Ámpula cloruro</w:t>
            </w:r>
            <w:r>
              <w:rPr>
                <w:spacing w:val="22"/>
                <w:sz w:val="15"/>
              </w:rPr>
              <w:t> </w:t>
            </w:r>
            <w:r>
              <w:rPr>
                <w:sz w:val="15"/>
              </w:rPr>
              <w:t>de</w:t>
            </w:r>
            <w:r>
              <w:rPr>
                <w:spacing w:val="8"/>
                <w:sz w:val="15"/>
              </w:rPr>
              <w:t> </w:t>
            </w:r>
            <w:r>
              <w:rPr>
                <w:sz w:val="15"/>
              </w:rPr>
              <w:t>potasio</w:t>
              <w:tab/>
              <w:t>$4.00</w:t>
            </w:r>
          </w:p>
        </w:tc>
      </w:tr>
      <w:tr>
        <w:trPr>
          <w:trHeight w:val="209" w:hRule="atLeast"/>
        </w:trPr>
        <w:tc>
          <w:tcPr>
            <w:tcW w:w="3958" w:type="dxa"/>
          </w:tcPr>
          <w:p>
            <w:pPr>
              <w:pStyle w:val="TableParagraph"/>
              <w:spacing w:before="17"/>
              <w:ind w:left="50"/>
              <w:rPr>
                <w:sz w:val="15"/>
              </w:rPr>
            </w:pPr>
            <w:r>
              <w:rPr>
                <w:sz w:val="15"/>
              </w:rPr>
              <w:t>6. Eco mamario</w:t>
            </w:r>
          </w:p>
        </w:tc>
        <w:tc>
          <w:tcPr>
            <w:tcW w:w="12724" w:type="dxa"/>
            <w:gridSpan w:val="3"/>
          </w:tcPr>
          <w:p>
            <w:pPr>
              <w:pStyle w:val="TableParagraph"/>
              <w:tabs>
                <w:tab w:pos="7714" w:val="left" w:leader="none"/>
                <w:tab w:pos="12289" w:val="left" w:leader="none"/>
              </w:tabs>
              <w:spacing w:line="168" w:lineRule="exact" w:before="22"/>
              <w:ind w:left="495"/>
              <w:rPr>
                <w:sz w:val="15"/>
              </w:rPr>
            </w:pPr>
            <w:r>
              <w:rPr>
                <w:position w:val="6"/>
                <w:sz w:val="15"/>
              </w:rPr>
              <w:t>$551.00</w:t>
              <w:tab/>
            </w:r>
            <w:r>
              <w:rPr>
                <w:sz w:val="15"/>
              </w:rPr>
              <w:t>26. Ámpula cloruro de</w:t>
            </w:r>
            <w:r>
              <w:rPr>
                <w:spacing w:val="31"/>
                <w:sz w:val="15"/>
              </w:rPr>
              <w:t> </w:t>
            </w:r>
            <w:r>
              <w:rPr>
                <w:sz w:val="15"/>
              </w:rPr>
              <w:t>sodio</w:t>
            </w:r>
            <w:r>
              <w:rPr>
                <w:spacing w:val="8"/>
                <w:sz w:val="15"/>
              </w:rPr>
              <w:t> </w:t>
            </w:r>
            <w:r>
              <w:rPr>
                <w:sz w:val="15"/>
              </w:rPr>
              <w:t>17.7%</w:t>
              <w:tab/>
              <w:t>$6.00</w:t>
            </w:r>
          </w:p>
        </w:tc>
      </w:tr>
      <w:tr>
        <w:trPr>
          <w:trHeight w:val="209" w:hRule="atLeast"/>
        </w:trPr>
        <w:tc>
          <w:tcPr>
            <w:tcW w:w="3958" w:type="dxa"/>
          </w:tcPr>
          <w:p>
            <w:pPr>
              <w:pStyle w:val="TableParagraph"/>
              <w:spacing w:before="17"/>
              <w:ind w:left="50"/>
              <w:rPr>
                <w:sz w:val="15"/>
              </w:rPr>
            </w:pPr>
            <w:r>
              <w:rPr>
                <w:sz w:val="15"/>
              </w:rPr>
              <w:t>7. Eco obstétrico</w:t>
            </w:r>
          </w:p>
        </w:tc>
        <w:tc>
          <w:tcPr>
            <w:tcW w:w="12724" w:type="dxa"/>
            <w:gridSpan w:val="3"/>
          </w:tcPr>
          <w:p>
            <w:pPr>
              <w:pStyle w:val="TableParagraph"/>
              <w:tabs>
                <w:tab w:pos="7714" w:val="left" w:leader="none"/>
                <w:tab w:pos="12202" w:val="left" w:leader="none"/>
              </w:tabs>
              <w:spacing w:line="168" w:lineRule="exact" w:before="22"/>
              <w:ind w:left="495"/>
              <w:rPr>
                <w:sz w:val="15"/>
              </w:rPr>
            </w:pPr>
            <w:r>
              <w:rPr>
                <w:position w:val="6"/>
                <w:sz w:val="15"/>
              </w:rPr>
              <w:t>$348.00</w:t>
              <w:tab/>
            </w:r>
            <w:r>
              <w:rPr>
                <w:sz w:val="15"/>
              </w:rPr>
              <w:t>27.  Ámpula</w:t>
            </w:r>
            <w:r>
              <w:rPr>
                <w:spacing w:val="-15"/>
                <w:sz w:val="15"/>
              </w:rPr>
              <w:t> </w:t>
            </w:r>
            <w:r>
              <w:rPr>
                <w:sz w:val="15"/>
              </w:rPr>
              <w:t>ipratropio/salbutamol</w:t>
            </w:r>
            <w:r>
              <w:rPr>
                <w:spacing w:val="13"/>
                <w:sz w:val="15"/>
              </w:rPr>
              <w:t> </w:t>
            </w:r>
            <w:r>
              <w:rPr>
                <w:sz w:val="15"/>
              </w:rPr>
              <w:t>(combivent)</w:t>
              <w:tab/>
              <w:t>$32.00</w:t>
            </w:r>
          </w:p>
        </w:tc>
      </w:tr>
      <w:tr>
        <w:trPr>
          <w:trHeight w:val="209" w:hRule="atLeast"/>
        </w:trPr>
        <w:tc>
          <w:tcPr>
            <w:tcW w:w="3958" w:type="dxa"/>
          </w:tcPr>
          <w:p>
            <w:pPr>
              <w:pStyle w:val="TableParagraph"/>
              <w:spacing w:before="17"/>
              <w:ind w:left="50"/>
              <w:rPr>
                <w:sz w:val="15"/>
              </w:rPr>
            </w:pPr>
            <w:r>
              <w:rPr>
                <w:sz w:val="15"/>
              </w:rPr>
              <w:t>8. Eco pélvico ginecológico</w:t>
            </w:r>
          </w:p>
        </w:tc>
        <w:tc>
          <w:tcPr>
            <w:tcW w:w="12724" w:type="dxa"/>
            <w:gridSpan w:val="3"/>
          </w:tcPr>
          <w:p>
            <w:pPr>
              <w:pStyle w:val="TableParagraph"/>
              <w:tabs>
                <w:tab w:pos="7714" w:val="left" w:leader="none"/>
                <w:tab w:pos="12288" w:val="left" w:leader="none"/>
              </w:tabs>
              <w:spacing w:line="168" w:lineRule="exact" w:before="22"/>
              <w:ind w:left="495"/>
              <w:rPr>
                <w:sz w:val="15"/>
              </w:rPr>
            </w:pPr>
            <w:r>
              <w:rPr>
                <w:position w:val="6"/>
                <w:sz w:val="15"/>
              </w:rPr>
              <w:t>$551.00</w:t>
              <w:tab/>
            </w:r>
            <w:r>
              <w:rPr>
                <w:sz w:val="15"/>
              </w:rPr>
              <w:t>28.</w:t>
            </w:r>
            <w:r>
              <w:rPr>
                <w:spacing w:val="9"/>
                <w:sz w:val="15"/>
              </w:rPr>
              <w:t> </w:t>
            </w:r>
            <w:r>
              <w:rPr>
                <w:sz w:val="15"/>
              </w:rPr>
              <w:t>Ámpula</w:t>
            </w:r>
            <w:r>
              <w:rPr>
                <w:spacing w:val="10"/>
                <w:sz w:val="15"/>
              </w:rPr>
              <w:t> </w:t>
            </w:r>
            <w:r>
              <w:rPr>
                <w:sz w:val="15"/>
              </w:rPr>
              <w:t>dexametasona</w:t>
              <w:tab/>
              <w:t>$7.00</w:t>
            </w:r>
          </w:p>
        </w:tc>
      </w:tr>
      <w:tr>
        <w:trPr>
          <w:trHeight w:val="209" w:hRule="atLeast"/>
        </w:trPr>
        <w:tc>
          <w:tcPr>
            <w:tcW w:w="3958" w:type="dxa"/>
          </w:tcPr>
          <w:p>
            <w:pPr>
              <w:pStyle w:val="TableParagraph"/>
              <w:spacing w:before="17"/>
              <w:ind w:left="50"/>
              <w:rPr>
                <w:sz w:val="15"/>
              </w:rPr>
            </w:pPr>
            <w:r>
              <w:rPr>
                <w:sz w:val="15"/>
              </w:rPr>
              <w:t>9. Eco prostático suprapuvico</w:t>
            </w:r>
          </w:p>
        </w:tc>
        <w:tc>
          <w:tcPr>
            <w:tcW w:w="12724" w:type="dxa"/>
            <w:gridSpan w:val="3"/>
          </w:tcPr>
          <w:p>
            <w:pPr>
              <w:pStyle w:val="TableParagraph"/>
              <w:tabs>
                <w:tab w:pos="7714" w:val="left" w:leader="none"/>
                <w:tab w:pos="12203" w:val="left" w:leader="none"/>
              </w:tabs>
              <w:spacing w:line="168" w:lineRule="exact" w:before="22"/>
              <w:ind w:left="494"/>
              <w:rPr>
                <w:sz w:val="15"/>
              </w:rPr>
            </w:pPr>
            <w:r>
              <w:rPr>
                <w:position w:val="6"/>
                <w:sz w:val="15"/>
              </w:rPr>
              <w:t>$551.00</w:t>
              <w:tab/>
            </w:r>
            <w:r>
              <w:rPr>
                <w:sz w:val="15"/>
              </w:rPr>
              <w:t>29.</w:t>
            </w:r>
            <w:r>
              <w:rPr>
                <w:spacing w:val="7"/>
                <w:sz w:val="15"/>
              </w:rPr>
              <w:t> </w:t>
            </w:r>
            <w:r>
              <w:rPr>
                <w:sz w:val="15"/>
              </w:rPr>
              <w:t>Ámpula</w:t>
            </w:r>
            <w:r>
              <w:rPr>
                <w:spacing w:val="8"/>
                <w:sz w:val="15"/>
              </w:rPr>
              <w:t> </w:t>
            </w:r>
            <w:r>
              <w:rPr>
                <w:sz w:val="15"/>
              </w:rPr>
              <w:t>dextrevit</w:t>
              <w:tab/>
              <w:t>$51.00</w:t>
            </w:r>
          </w:p>
        </w:tc>
      </w:tr>
      <w:tr>
        <w:trPr>
          <w:trHeight w:val="209" w:hRule="atLeast"/>
        </w:trPr>
        <w:tc>
          <w:tcPr>
            <w:tcW w:w="3958" w:type="dxa"/>
          </w:tcPr>
          <w:p>
            <w:pPr>
              <w:pStyle w:val="TableParagraph"/>
              <w:spacing w:line="171" w:lineRule="exact"/>
              <w:ind w:left="50"/>
              <w:rPr>
                <w:sz w:val="15"/>
              </w:rPr>
            </w:pPr>
            <w:r>
              <w:rPr>
                <w:sz w:val="15"/>
              </w:rPr>
              <w:t>10. Eco renal bilateral</w:t>
            </w:r>
          </w:p>
        </w:tc>
        <w:tc>
          <w:tcPr>
            <w:tcW w:w="12724" w:type="dxa"/>
            <w:gridSpan w:val="3"/>
          </w:tcPr>
          <w:p>
            <w:pPr>
              <w:pStyle w:val="TableParagraph"/>
              <w:tabs>
                <w:tab w:pos="7714" w:val="left" w:leader="none"/>
                <w:tab w:pos="12288" w:val="left" w:leader="none"/>
              </w:tabs>
              <w:spacing w:line="168" w:lineRule="exact" w:before="3"/>
              <w:ind w:left="495"/>
              <w:rPr>
                <w:sz w:val="15"/>
              </w:rPr>
            </w:pPr>
            <w:r>
              <w:rPr>
                <w:position w:val="6"/>
                <w:sz w:val="15"/>
              </w:rPr>
              <w:t>$419.00</w:t>
              <w:tab/>
            </w:r>
            <w:r>
              <w:rPr>
                <w:sz w:val="15"/>
              </w:rPr>
              <w:t>30.</w:t>
            </w:r>
            <w:r>
              <w:rPr>
                <w:spacing w:val="8"/>
                <w:sz w:val="15"/>
              </w:rPr>
              <w:t> </w:t>
            </w:r>
            <w:r>
              <w:rPr>
                <w:sz w:val="15"/>
              </w:rPr>
              <w:t>Ámpula</w:t>
            </w:r>
            <w:r>
              <w:rPr>
                <w:spacing w:val="8"/>
                <w:sz w:val="15"/>
              </w:rPr>
              <w:t> </w:t>
            </w:r>
            <w:r>
              <w:rPr>
                <w:sz w:val="15"/>
              </w:rPr>
              <w:t>diazepam</w:t>
              <w:tab/>
              <w:t>$8.00</w:t>
            </w:r>
          </w:p>
        </w:tc>
      </w:tr>
      <w:tr>
        <w:trPr>
          <w:trHeight w:val="209" w:hRule="atLeast"/>
        </w:trPr>
        <w:tc>
          <w:tcPr>
            <w:tcW w:w="3958" w:type="dxa"/>
          </w:tcPr>
          <w:p>
            <w:pPr>
              <w:pStyle w:val="TableParagraph"/>
              <w:spacing w:before="17"/>
              <w:ind w:left="50"/>
              <w:rPr>
                <w:sz w:val="15"/>
              </w:rPr>
            </w:pPr>
            <w:r>
              <w:rPr>
                <w:sz w:val="15"/>
              </w:rPr>
              <w:t>11. Eco testicular</w:t>
            </w:r>
          </w:p>
        </w:tc>
        <w:tc>
          <w:tcPr>
            <w:tcW w:w="12724" w:type="dxa"/>
            <w:gridSpan w:val="3"/>
          </w:tcPr>
          <w:p>
            <w:pPr>
              <w:pStyle w:val="TableParagraph"/>
              <w:tabs>
                <w:tab w:pos="7714" w:val="left" w:leader="none"/>
                <w:tab w:pos="12202" w:val="left" w:leader="none"/>
              </w:tabs>
              <w:spacing w:line="168" w:lineRule="exact" w:before="22"/>
              <w:ind w:left="495"/>
              <w:rPr>
                <w:sz w:val="15"/>
              </w:rPr>
            </w:pPr>
            <w:r>
              <w:rPr>
                <w:position w:val="6"/>
                <w:sz w:val="15"/>
              </w:rPr>
              <w:t>$419.00</w:t>
              <w:tab/>
            </w:r>
            <w:r>
              <w:rPr>
                <w:sz w:val="15"/>
              </w:rPr>
              <w:t>31.</w:t>
            </w:r>
            <w:r>
              <w:rPr>
                <w:spacing w:val="8"/>
                <w:sz w:val="15"/>
              </w:rPr>
              <w:t> </w:t>
            </w:r>
            <w:r>
              <w:rPr>
                <w:sz w:val="15"/>
              </w:rPr>
              <w:t>Ámpula</w:t>
            </w:r>
            <w:r>
              <w:rPr>
                <w:spacing w:val="9"/>
                <w:sz w:val="15"/>
              </w:rPr>
              <w:t> </w:t>
            </w:r>
            <w:r>
              <w:rPr>
                <w:sz w:val="15"/>
              </w:rPr>
              <w:t>diclofenaco</w:t>
              <w:tab/>
              <w:t>$12.00</w:t>
            </w:r>
          </w:p>
        </w:tc>
      </w:tr>
      <w:tr>
        <w:trPr>
          <w:trHeight w:val="209" w:hRule="atLeast"/>
        </w:trPr>
        <w:tc>
          <w:tcPr>
            <w:tcW w:w="3958" w:type="dxa"/>
          </w:tcPr>
          <w:p>
            <w:pPr>
              <w:pStyle w:val="TableParagraph"/>
              <w:spacing w:before="17"/>
              <w:ind w:left="50"/>
              <w:rPr>
                <w:sz w:val="15"/>
              </w:rPr>
            </w:pPr>
            <w:r>
              <w:rPr>
                <w:sz w:val="15"/>
              </w:rPr>
              <w:t>12. Eco tiroideo</w:t>
            </w:r>
          </w:p>
        </w:tc>
        <w:tc>
          <w:tcPr>
            <w:tcW w:w="12724" w:type="dxa"/>
            <w:gridSpan w:val="3"/>
          </w:tcPr>
          <w:p>
            <w:pPr>
              <w:pStyle w:val="TableParagraph"/>
              <w:tabs>
                <w:tab w:pos="7714" w:val="left" w:leader="none"/>
                <w:tab w:pos="12288" w:val="left" w:leader="none"/>
              </w:tabs>
              <w:spacing w:line="168" w:lineRule="exact" w:before="22"/>
              <w:ind w:left="495"/>
              <w:rPr>
                <w:sz w:val="15"/>
              </w:rPr>
            </w:pPr>
            <w:r>
              <w:rPr>
                <w:position w:val="6"/>
                <w:sz w:val="15"/>
              </w:rPr>
              <w:t>$551.00</w:t>
              <w:tab/>
            </w:r>
            <w:r>
              <w:rPr>
                <w:sz w:val="15"/>
              </w:rPr>
              <w:t>32.</w:t>
            </w:r>
            <w:r>
              <w:rPr>
                <w:spacing w:val="7"/>
                <w:sz w:val="15"/>
              </w:rPr>
              <w:t> </w:t>
            </w:r>
            <w:r>
              <w:rPr>
                <w:sz w:val="15"/>
              </w:rPr>
              <w:t>Ámpula</w:t>
            </w:r>
            <w:r>
              <w:rPr>
                <w:spacing w:val="8"/>
                <w:sz w:val="15"/>
              </w:rPr>
              <w:t> </w:t>
            </w:r>
            <w:r>
              <w:rPr>
                <w:sz w:val="15"/>
              </w:rPr>
              <w:t>difenidol</w:t>
              <w:tab/>
              <w:t>$9.00</w:t>
            </w:r>
          </w:p>
        </w:tc>
      </w:tr>
      <w:tr>
        <w:trPr>
          <w:trHeight w:val="209" w:hRule="atLeast"/>
        </w:trPr>
        <w:tc>
          <w:tcPr>
            <w:tcW w:w="3958" w:type="dxa"/>
          </w:tcPr>
          <w:p>
            <w:pPr>
              <w:pStyle w:val="TableParagraph"/>
              <w:spacing w:before="17"/>
              <w:ind w:left="50"/>
              <w:rPr>
                <w:sz w:val="15"/>
              </w:rPr>
            </w:pPr>
            <w:r>
              <w:rPr>
                <w:sz w:val="15"/>
              </w:rPr>
              <w:t>13. Eco transfontanelar</w:t>
            </w:r>
          </w:p>
        </w:tc>
        <w:tc>
          <w:tcPr>
            <w:tcW w:w="12724" w:type="dxa"/>
            <w:gridSpan w:val="3"/>
          </w:tcPr>
          <w:p>
            <w:pPr>
              <w:pStyle w:val="TableParagraph"/>
              <w:tabs>
                <w:tab w:pos="7714" w:val="left" w:leader="none"/>
                <w:tab w:pos="12202" w:val="left" w:leader="none"/>
              </w:tabs>
              <w:spacing w:line="168" w:lineRule="exact" w:before="22"/>
              <w:ind w:left="495"/>
              <w:rPr>
                <w:sz w:val="15"/>
              </w:rPr>
            </w:pPr>
            <w:r>
              <w:rPr>
                <w:position w:val="6"/>
                <w:sz w:val="15"/>
              </w:rPr>
              <w:t>$419.00</w:t>
              <w:tab/>
            </w:r>
            <w:r>
              <w:rPr>
                <w:sz w:val="15"/>
              </w:rPr>
              <w:t>33. Ámpula verapamilo</w:t>
            </w:r>
            <w:r>
              <w:rPr>
                <w:spacing w:val="27"/>
                <w:sz w:val="15"/>
              </w:rPr>
              <w:t> </w:t>
            </w:r>
            <w:r>
              <w:rPr>
                <w:sz w:val="15"/>
              </w:rPr>
              <w:t>5mg </w:t>
            </w:r>
            <w:r>
              <w:rPr>
                <w:spacing w:val="18"/>
                <w:sz w:val="15"/>
              </w:rPr>
              <w:t> </w:t>
            </w:r>
            <w:r>
              <w:rPr>
                <w:sz w:val="15"/>
              </w:rPr>
              <w:t>(dilacoran)</w:t>
              <w:tab/>
              <w:t>$24.00</w:t>
            </w:r>
          </w:p>
        </w:tc>
      </w:tr>
      <w:tr>
        <w:trPr>
          <w:trHeight w:val="298" w:hRule="atLeast"/>
        </w:trPr>
        <w:tc>
          <w:tcPr>
            <w:tcW w:w="3958" w:type="dxa"/>
          </w:tcPr>
          <w:p>
            <w:pPr>
              <w:pStyle w:val="TableParagraph"/>
              <w:spacing w:before="17"/>
              <w:ind w:left="50"/>
              <w:rPr>
                <w:sz w:val="15"/>
              </w:rPr>
            </w:pPr>
            <w:r>
              <w:rPr>
                <w:sz w:val="15"/>
              </w:rPr>
              <w:t>14. Eco transvaginal</w:t>
            </w:r>
          </w:p>
        </w:tc>
        <w:tc>
          <w:tcPr>
            <w:tcW w:w="12724" w:type="dxa"/>
            <w:gridSpan w:val="3"/>
          </w:tcPr>
          <w:p>
            <w:pPr>
              <w:pStyle w:val="TableParagraph"/>
              <w:tabs>
                <w:tab w:pos="7714" w:val="left" w:leader="none"/>
                <w:tab w:pos="12204" w:val="left" w:leader="none"/>
              </w:tabs>
              <w:spacing w:before="22"/>
              <w:ind w:left="494"/>
              <w:rPr>
                <w:sz w:val="15"/>
              </w:rPr>
            </w:pPr>
            <w:r>
              <w:rPr>
                <w:position w:val="6"/>
                <w:sz w:val="15"/>
              </w:rPr>
              <w:t>$551.00</w:t>
              <w:tab/>
            </w:r>
            <w:r>
              <w:rPr>
                <w:sz w:val="15"/>
              </w:rPr>
              <w:t>34. Ámpula</w:t>
            </w:r>
            <w:r>
              <w:rPr>
                <w:spacing w:val="19"/>
                <w:sz w:val="15"/>
              </w:rPr>
              <w:t> </w:t>
            </w:r>
            <w:r>
              <w:rPr>
                <w:sz w:val="15"/>
              </w:rPr>
              <w:t>dobutamina</w:t>
            </w:r>
            <w:r>
              <w:rPr>
                <w:spacing w:val="10"/>
                <w:sz w:val="15"/>
              </w:rPr>
              <w:t> </w:t>
            </w:r>
            <w:r>
              <w:rPr>
                <w:sz w:val="15"/>
              </w:rPr>
              <w:t>.250mg</w:t>
              <w:tab/>
              <w:t>$35.00</w:t>
            </w:r>
          </w:p>
        </w:tc>
      </w:tr>
      <w:tr>
        <w:trPr>
          <w:trHeight w:val="281" w:hRule="atLeast"/>
        </w:trPr>
        <w:tc>
          <w:tcPr>
            <w:tcW w:w="3958" w:type="dxa"/>
          </w:tcPr>
          <w:p>
            <w:pPr>
              <w:pStyle w:val="TableParagraph"/>
              <w:spacing w:line="156" w:lineRule="exact" w:before="105"/>
              <w:ind w:left="50"/>
              <w:rPr>
                <w:sz w:val="15"/>
              </w:rPr>
            </w:pPr>
            <w:r>
              <w:rPr>
                <w:sz w:val="15"/>
              </w:rPr>
              <w:t>XX. Cardiología:</w:t>
            </w:r>
          </w:p>
        </w:tc>
        <w:tc>
          <w:tcPr>
            <w:tcW w:w="12724" w:type="dxa"/>
            <w:gridSpan w:val="3"/>
          </w:tcPr>
          <w:p>
            <w:pPr>
              <w:pStyle w:val="TableParagraph"/>
              <w:tabs>
                <w:tab w:pos="12288" w:val="left" w:leader="none"/>
              </w:tabs>
              <w:spacing w:line="167" w:lineRule="exact"/>
              <w:ind w:left="7714"/>
              <w:rPr>
                <w:sz w:val="15"/>
              </w:rPr>
            </w:pPr>
            <w:r>
              <w:rPr>
                <w:sz w:val="15"/>
              </w:rPr>
              <w:t>35.</w:t>
            </w:r>
            <w:r>
              <w:rPr>
                <w:spacing w:val="9"/>
                <w:sz w:val="15"/>
              </w:rPr>
              <w:t> </w:t>
            </w:r>
            <w:r>
              <w:rPr>
                <w:sz w:val="15"/>
              </w:rPr>
              <w:t>Ámpula</w:t>
            </w:r>
            <w:r>
              <w:rPr>
                <w:spacing w:val="9"/>
                <w:sz w:val="15"/>
              </w:rPr>
              <w:t> </w:t>
            </w:r>
            <w:r>
              <w:rPr>
                <w:sz w:val="15"/>
              </w:rPr>
              <w:t>dopamina</w:t>
              <w:tab/>
              <w:t>$9.00</w:t>
            </w:r>
          </w:p>
        </w:tc>
      </w:tr>
      <w:tr>
        <w:trPr>
          <w:trHeight w:val="193" w:hRule="atLeast"/>
        </w:trPr>
        <w:tc>
          <w:tcPr>
            <w:tcW w:w="3958" w:type="dxa"/>
          </w:tcPr>
          <w:p>
            <w:pPr>
              <w:pStyle w:val="TableParagraph"/>
              <w:spacing w:before="1"/>
              <w:ind w:left="50"/>
              <w:rPr>
                <w:sz w:val="15"/>
              </w:rPr>
            </w:pPr>
            <w:r>
              <w:rPr>
                <w:sz w:val="15"/>
              </w:rPr>
              <w:t>1. Ecocardiograma con contraste</w:t>
            </w:r>
          </w:p>
        </w:tc>
        <w:tc>
          <w:tcPr>
            <w:tcW w:w="12724" w:type="dxa"/>
            <w:gridSpan w:val="3"/>
          </w:tcPr>
          <w:p>
            <w:pPr>
              <w:pStyle w:val="TableParagraph"/>
              <w:tabs>
                <w:tab w:pos="7714" w:val="left" w:leader="none"/>
                <w:tab w:pos="12202" w:val="left" w:leader="none"/>
              </w:tabs>
              <w:spacing w:line="105" w:lineRule="auto"/>
              <w:ind w:left="495"/>
              <w:rPr>
                <w:sz w:val="15"/>
              </w:rPr>
            </w:pPr>
            <w:r>
              <w:rPr>
                <w:position w:val="-7"/>
                <w:sz w:val="15"/>
              </w:rPr>
              <w:t>$895.00</w:t>
              <w:tab/>
            </w:r>
            <w:r>
              <w:rPr>
                <w:sz w:val="15"/>
              </w:rPr>
              <w:t>36.</w:t>
            </w:r>
            <w:r>
              <w:rPr>
                <w:spacing w:val="7"/>
                <w:sz w:val="15"/>
              </w:rPr>
              <w:t> </w:t>
            </w:r>
            <w:r>
              <w:rPr>
                <w:sz w:val="15"/>
              </w:rPr>
              <w:t>Ámpula</w:t>
            </w:r>
            <w:r>
              <w:rPr>
                <w:spacing w:val="7"/>
                <w:sz w:val="15"/>
              </w:rPr>
              <w:t> </w:t>
            </w:r>
            <w:r>
              <w:rPr>
                <w:sz w:val="15"/>
              </w:rPr>
              <w:t>dorixina</w:t>
              <w:tab/>
              <w:t>$24.00</w:t>
            </w:r>
          </w:p>
        </w:tc>
      </w:tr>
      <w:tr>
        <w:trPr>
          <w:trHeight w:val="209" w:hRule="atLeast"/>
        </w:trPr>
        <w:tc>
          <w:tcPr>
            <w:tcW w:w="3958" w:type="dxa"/>
          </w:tcPr>
          <w:p>
            <w:pPr>
              <w:pStyle w:val="TableParagraph"/>
              <w:spacing w:before="17"/>
              <w:ind w:left="50"/>
              <w:rPr>
                <w:sz w:val="15"/>
              </w:rPr>
            </w:pPr>
            <w:r>
              <w:rPr>
                <w:sz w:val="15"/>
              </w:rPr>
              <w:t>2. Ecocardiograma de estrés</w:t>
            </w:r>
          </w:p>
        </w:tc>
        <w:tc>
          <w:tcPr>
            <w:tcW w:w="12724" w:type="dxa"/>
            <w:gridSpan w:val="3"/>
          </w:tcPr>
          <w:p>
            <w:pPr>
              <w:pStyle w:val="TableParagraph"/>
              <w:tabs>
                <w:tab w:pos="7714" w:val="left" w:leader="none"/>
                <w:tab w:pos="12116" w:val="left" w:leader="none"/>
              </w:tabs>
              <w:spacing w:line="134" w:lineRule="auto"/>
              <w:ind w:left="367"/>
              <w:rPr>
                <w:sz w:val="15"/>
              </w:rPr>
            </w:pPr>
            <w:r>
              <w:rPr>
                <w:position w:val="-7"/>
                <w:sz w:val="15"/>
              </w:rPr>
              <w:t>$1,786.00</w:t>
              <w:tab/>
            </w:r>
            <w:r>
              <w:rPr>
                <w:sz w:val="15"/>
              </w:rPr>
              <w:t>37. Ámpula midazolam</w:t>
            </w:r>
            <w:r>
              <w:rPr>
                <w:spacing w:val="30"/>
                <w:sz w:val="15"/>
              </w:rPr>
              <w:t> </w:t>
            </w:r>
            <w:r>
              <w:rPr>
                <w:sz w:val="15"/>
              </w:rPr>
              <w:t>50mg</w:t>
            </w:r>
            <w:r>
              <w:rPr>
                <w:spacing w:val="10"/>
                <w:sz w:val="15"/>
              </w:rPr>
              <w:t> </w:t>
            </w:r>
            <w:r>
              <w:rPr>
                <w:sz w:val="15"/>
              </w:rPr>
              <w:t>(dormicum)</w:t>
              <w:tab/>
              <w:t>$402.00</w:t>
            </w:r>
          </w:p>
        </w:tc>
      </w:tr>
      <w:tr>
        <w:trPr>
          <w:trHeight w:val="209" w:hRule="atLeast"/>
        </w:trPr>
        <w:tc>
          <w:tcPr>
            <w:tcW w:w="3958" w:type="dxa"/>
          </w:tcPr>
          <w:p>
            <w:pPr>
              <w:pStyle w:val="TableParagraph"/>
              <w:spacing w:before="17"/>
              <w:ind w:left="50"/>
              <w:rPr>
                <w:sz w:val="15"/>
              </w:rPr>
            </w:pPr>
            <w:r>
              <w:rPr>
                <w:sz w:val="15"/>
              </w:rPr>
              <w:t>3. Ecocardiograma doppler</w:t>
            </w:r>
          </w:p>
        </w:tc>
        <w:tc>
          <w:tcPr>
            <w:tcW w:w="12724" w:type="dxa"/>
            <w:gridSpan w:val="3"/>
          </w:tcPr>
          <w:p>
            <w:pPr>
              <w:pStyle w:val="TableParagraph"/>
              <w:tabs>
                <w:tab w:pos="7714" w:val="left" w:leader="none"/>
                <w:tab w:pos="12202" w:val="left" w:leader="none"/>
              </w:tabs>
              <w:spacing w:line="134" w:lineRule="auto"/>
              <w:ind w:left="494"/>
              <w:rPr>
                <w:sz w:val="15"/>
              </w:rPr>
            </w:pPr>
            <w:r>
              <w:rPr>
                <w:position w:val="-7"/>
                <w:sz w:val="15"/>
              </w:rPr>
              <w:t>$895.00</w:t>
              <w:tab/>
            </w:r>
            <w:r>
              <w:rPr>
                <w:sz w:val="15"/>
              </w:rPr>
              <w:t>38. Ámpula</w:t>
            </w:r>
            <w:r>
              <w:rPr>
                <w:spacing w:val="16"/>
                <w:sz w:val="15"/>
              </w:rPr>
              <w:t> </w:t>
            </w:r>
            <w:r>
              <w:rPr>
                <w:sz w:val="15"/>
              </w:rPr>
              <w:t>dormicum</w:t>
            </w:r>
            <w:r>
              <w:rPr>
                <w:spacing w:val="8"/>
                <w:sz w:val="15"/>
              </w:rPr>
              <w:t> </w:t>
            </w:r>
            <w:r>
              <w:rPr>
                <w:sz w:val="15"/>
              </w:rPr>
              <w:t>15mg</w:t>
              <w:tab/>
              <w:t>$25.00</w:t>
            </w:r>
          </w:p>
        </w:tc>
      </w:tr>
      <w:tr>
        <w:trPr>
          <w:trHeight w:val="209" w:hRule="atLeast"/>
        </w:trPr>
        <w:tc>
          <w:tcPr>
            <w:tcW w:w="3958" w:type="dxa"/>
          </w:tcPr>
          <w:p>
            <w:pPr>
              <w:pStyle w:val="TableParagraph"/>
              <w:spacing w:before="17"/>
              <w:ind w:left="50"/>
              <w:rPr>
                <w:sz w:val="15"/>
              </w:rPr>
            </w:pPr>
            <w:r>
              <w:rPr>
                <w:sz w:val="15"/>
              </w:rPr>
              <w:t>4. Ecocardiograma transesofágico</w:t>
            </w:r>
          </w:p>
        </w:tc>
        <w:tc>
          <w:tcPr>
            <w:tcW w:w="12724" w:type="dxa"/>
            <w:gridSpan w:val="3"/>
          </w:tcPr>
          <w:p>
            <w:pPr>
              <w:pStyle w:val="TableParagraph"/>
              <w:tabs>
                <w:tab w:pos="7714" w:val="left" w:leader="none"/>
                <w:tab w:pos="12202" w:val="left" w:leader="none"/>
              </w:tabs>
              <w:spacing w:line="134" w:lineRule="auto"/>
              <w:ind w:left="366"/>
              <w:rPr>
                <w:sz w:val="15"/>
              </w:rPr>
            </w:pPr>
            <w:r>
              <w:rPr>
                <w:position w:val="-7"/>
                <w:sz w:val="15"/>
              </w:rPr>
              <w:t>$2,426.00</w:t>
              <w:tab/>
            </w:r>
            <w:r>
              <w:rPr>
                <w:sz w:val="15"/>
              </w:rPr>
              <w:t>39. Ámpula enterogermina 2</w:t>
            </w:r>
            <w:r>
              <w:rPr>
                <w:spacing w:val="39"/>
                <w:sz w:val="15"/>
              </w:rPr>
              <w:t> </w:t>
            </w:r>
            <w:r>
              <w:rPr>
                <w:sz w:val="15"/>
              </w:rPr>
              <w:t>billones</w:t>
            </w:r>
            <w:r>
              <w:rPr>
                <w:spacing w:val="10"/>
                <w:sz w:val="15"/>
              </w:rPr>
              <w:t> </w:t>
            </w:r>
            <w:r>
              <w:rPr>
                <w:sz w:val="15"/>
              </w:rPr>
              <w:t>UFC-5ml</w:t>
              <w:tab/>
              <w:t>$20.00</w:t>
            </w:r>
          </w:p>
        </w:tc>
      </w:tr>
      <w:tr>
        <w:trPr>
          <w:trHeight w:val="209" w:hRule="atLeast"/>
        </w:trPr>
        <w:tc>
          <w:tcPr>
            <w:tcW w:w="3958" w:type="dxa"/>
          </w:tcPr>
          <w:p>
            <w:pPr>
              <w:pStyle w:val="TableParagraph"/>
              <w:spacing w:before="17"/>
              <w:ind w:left="50"/>
              <w:rPr>
                <w:sz w:val="15"/>
              </w:rPr>
            </w:pPr>
            <w:r>
              <w:rPr>
                <w:sz w:val="15"/>
              </w:rPr>
              <w:t>5. Ecocardiograma transtoraxico</w:t>
            </w:r>
          </w:p>
        </w:tc>
        <w:tc>
          <w:tcPr>
            <w:tcW w:w="12724" w:type="dxa"/>
            <w:gridSpan w:val="3"/>
          </w:tcPr>
          <w:p>
            <w:pPr>
              <w:pStyle w:val="TableParagraph"/>
              <w:tabs>
                <w:tab w:pos="7714" w:val="left" w:leader="none"/>
                <w:tab w:pos="12287" w:val="left" w:leader="none"/>
              </w:tabs>
              <w:spacing w:line="134" w:lineRule="auto"/>
              <w:ind w:left="494"/>
              <w:rPr>
                <w:sz w:val="15"/>
              </w:rPr>
            </w:pPr>
            <w:r>
              <w:rPr>
                <w:position w:val="-7"/>
                <w:sz w:val="15"/>
              </w:rPr>
              <w:t>$895.00</w:t>
              <w:tab/>
            </w:r>
            <w:r>
              <w:rPr>
                <w:sz w:val="15"/>
              </w:rPr>
              <w:t>40. Ámpula</w:t>
            </w:r>
            <w:r>
              <w:rPr>
                <w:spacing w:val="20"/>
                <w:sz w:val="15"/>
              </w:rPr>
              <w:t> </w:t>
            </w:r>
            <w:r>
              <w:rPr>
                <w:sz w:val="15"/>
              </w:rPr>
              <w:t>ergometrina</w:t>
            </w:r>
            <w:r>
              <w:rPr>
                <w:spacing w:val="10"/>
                <w:sz w:val="15"/>
              </w:rPr>
              <w:t> </w:t>
            </w:r>
            <w:r>
              <w:rPr>
                <w:sz w:val="15"/>
              </w:rPr>
              <w:t>(ergotrate)</w:t>
              <w:tab/>
              <w:t>$8.00</w:t>
            </w:r>
          </w:p>
        </w:tc>
      </w:tr>
      <w:tr>
        <w:trPr>
          <w:trHeight w:val="209" w:hRule="atLeast"/>
        </w:trPr>
        <w:tc>
          <w:tcPr>
            <w:tcW w:w="3958" w:type="dxa"/>
          </w:tcPr>
          <w:p>
            <w:pPr>
              <w:pStyle w:val="TableParagraph"/>
              <w:spacing w:before="17"/>
              <w:ind w:left="50"/>
              <w:rPr>
                <w:sz w:val="15"/>
              </w:rPr>
            </w:pPr>
            <w:r>
              <w:rPr>
                <w:sz w:val="15"/>
              </w:rPr>
              <w:t>6. Ecocardiograma</w:t>
            </w:r>
          </w:p>
        </w:tc>
        <w:tc>
          <w:tcPr>
            <w:tcW w:w="12724" w:type="dxa"/>
            <w:gridSpan w:val="3"/>
          </w:tcPr>
          <w:p>
            <w:pPr>
              <w:pStyle w:val="TableParagraph"/>
              <w:tabs>
                <w:tab w:pos="7714" w:val="left" w:leader="none"/>
                <w:tab w:pos="12115" w:val="left" w:leader="none"/>
              </w:tabs>
              <w:spacing w:line="134" w:lineRule="auto"/>
              <w:ind w:left="495"/>
              <w:rPr>
                <w:sz w:val="15"/>
              </w:rPr>
            </w:pPr>
            <w:r>
              <w:rPr>
                <w:position w:val="-7"/>
                <w:sz w:val="15"/>
              </w:rPr>
              <w:t>$153.00</w:t>
              <w:tab/>
            </w:r>
            <w:r>
              <w:rPr>
                <w:sz w:val="15"/>
              </w:rPr>
              <w:t>41. Ámpula epinefrina racemica</w:t>
            </w:r>
            <w:r>
              <w:rPr>
                <w:spacing w:val="39"/>
                <w:sz w:val="15"/>
              </w:rPr>
              <w:t> </w:t>
            </w:r>
            <w:r>
              <w:rPr>
                <w:sz w:val="15"/>
              </w:rPr>
              <w:t>para</w:t>
            </w:r>
            <w:r>
              <w:rPr>
                <w:spacing w:val="10"/>
                <w:sz w:val="15"/>
              </w:rPr>
              <w:t> </w:t>
            </w:r>
            <w:r>
              <w:rPr>
                <w:sz w:val="15"/>
              </w:rPr>
              <w:t>nebulizar</w:t>
              <w:tab/>
              <w:t>$110.00</w:t>
            </w:r>
          </w:p>
        </w:tc>
      </w:tr>
      <w:tr>
        <w:trPr>
          <w:trHeight w:val="209" w:hRule="atLeast"/>
        </w:trPr>
        <w:tc>
          <w:tcPr>
            <w:tcW w:w="3958" w:type="dxa"/>
          </w:tcPr>
          <w:p>
            <w:pPr>
              <w:pStyle w:val="TableParagraph"/>
              <w:spacing w:before="17"/>
              <w:ind w:left="50"/>
              <w:rPr>
                <w:sz w:val="15"/>
              </w:rPr>
            </w:pPr>
            <w:r>
              <w:rPr>
                <w:sz w:val="15"/>
              </w:rPr>
              <w:t>7. Holter</w:t>
            </w:r>
          </w:p>
        </w:tc>
        <w:tc>
          <w:tcPr>
            <w:tcW w:w="12724" w:type="dxa"/>
            <w:gridSpan w:val="3"/>
          </w:tcPr>
          <w:p>
            <w:pPr>
              <w:pStyle w:val="TableParagraph"/>
              <w:tabs>
                <w:tab w:pos="7714" w:val="left" w:leader="none"/>
                <w:tab w:pos="12202" w:val="left" w:leader="none"/>
              </w:tabs>
              <w:spacing w:line="134" w:lineRule="auto"/>
              <w:ind w:left="495"/>
              <w:rPr>
                <w:sz w:val="15"/>
              </w:rPr>
            </w:pPr>
            <w:r>
              <w:rPr>
                <w:position w:val="-7"/>
                <w:sz w:val="15"/>
              </w:rPr>
              <w:t>$895.00</w:t>
              <w:tab/>
            </w:r>
            <w:r>
              <w:rPr>
                <w:sz w:val="15"/>
              </w:rPr>
              <w:t>42. Ámpula</w:t>
            </w:r>
            <w:r>
              <w:rPr>
                <w:spacing w:val="17"/>
                <w:sz w:val="15"/>
              </w:rPr>
              <w:t> </w:t>
            </w:r>
            <w:r>
              <w:rPr>
                <w:sz w:val="15"/>
              </w:rPr>
              <w:t>fenitoina</w:t>
            </w:r>
            <w:r>
              <w:rPr>
                <w:spacing w:val="8"/>
                <w:sz w:val="15"/>
              </w:rPr>
              <w:t> </w:t>
            </w:r>
            <w:r>
              <w:rPr>
                <w:sz w:val="15"/>
              </w:rPr>
              <w:t>(epamin)</w:t>
              <w:tab/>
              <w:t>$18.00</w:t>
            </w:r>
          </w:p>
        </w:tc>
      </w:tr>
      <w:tr>
        <w:trPr>
          <w:trHeight w:val="190" w:hRule="atLeast"/>
        </w:trPr>
        <w:tc>
          <w:tcPr>
            <w:tcW w:w="3958" w:type="dxa"/>
          </w:tcPr>
          <w:p>
            <w:pPr>
              <w:pStyle w:val="TableParagraph"/>
              <w:spacing w:line="153" w:lineRule="exact" w:before="17"/>
              <w:ind w:left="50"/>
              <w:rPr>
                <w:sz w:val="15"/>
              </w:rPr>
            </w:pPr>
            <w:r>
              <w:rPr>
                <w:sz w:val="15"/>
              </w:rPr>
              <w:t>8. Pruebas de esfuerzo</w:t>
            </w:r>
          </w:p>
        </w:tc>
        <w:tc>
          <w:tcPr>
            <w:tcW w:w="12724" w:type="dxa"/>
            <w:gridSpan w:val="3"/>
          </w:tcPr>
          <w:p>
            <w:pPr>
              <w:pStyle w:val="TableParagraph"/>
              <w:tabs>
                <w:tab w:pos="7714" w:val="left" w:leader="none"/>
                <w:tab w:pos="12202" w:val="left" w:leader="none"/>
              </w:tabs>
              <w:spacing w:line="134" w:lineRule="auto"/>
              <w:ind w:left="495"/>
              <w:rPr>
                <w:sz w:val="15"/>
              </w:rPr>
            </w:pPr>
            <w:r>
              <w:rPr>
                <w:position w:val="-7"/>
                <w:sz w:val="15"/>
              </w:rPr>
              <w:t>$895.00</w:t>
              <w:tab/>
            </w:r>
            <w:r>
              <w:rPr>
                <w:sz w:val="15"/>
              </w:rPr>
              <w:t>43. Ámpula fitomenadiona</w:t>
            </w:r>
            <w:r>
              <w:rPr>
                <w:spacing w:val="32"/>
                <w:sz w:val="15"/>
              </w:rPr>
              <w:t> </w:t>
            </w:r>
            <w:r>
              <w:rPr>
                <w:sz w:val="15"/>
              </w:rPr>
              <w:t>2.0mg</w:t>
            </w:r>
            <w:r>
              <w:rPr>
                <w:spacing w:val="11"/>
                <w:sz w:val="15"/>
              </w:rPr>
              <w:t> </w:t>
            </w:r>
            <w:r>
              <w:rPr>
                <w:sz w:val="15"/>
              </w:rPr>
              <w:t>(konakion)</w:t>
              <w:tab/>
              <w:t>$22.00</w:t>
            </w:r>
          </w:p>
        </w:tc>
      </w:tr>
      <w:tr>
        <w:trPr>
          <w:trHeight w:val="173" w:hRule="atLeast"/>
        </w:trPr>
        <w:tc>
          <w:tcPr>
            <w:tcW w:w="3958" w:type="dxa"/>
          </w:tcPr>
          <w:p>
            <w:pPr>
              <w:pStyle w:val="TableParagraph"/>
              <w:rPr>
                <w:rFonts w:ascii="Times New Roman"/>
                <w:sz w:val="10"/>
              </w:rPr>
            </w:pPr>
          </w:p>
        </w:tc>
        <w:tc>
          <w:tcPr>
            <w:tcW w:w="1102" w:type="dxa"/>
          </w:tcPr>
          <w:p>
            <w:pPr>
              <w:pStyle w:val="TableParagraph"/>
              <w:rPr>
                <w:rFonts w:ascii="Times New Roman"/>
                <w:sz w:val="10"/>
              </w:rPr>
            </w:pPr>
          </w:p>
        </w:tc>
        <w:tc>
          <w:tcPr>
            <w:tcW w:w="10747" w:type="dxa"/>
          </w:tcPr>
          <w:p>
            <w:pPr>
              <w:pStyle w:val="TableParagraph"/>
              <w:spacing w:line="130" w:lineRule="exact"/>
              <w:ind w:left="6612"/>
              <w:rPr>
                <w:sz w:val="15"/>
              </w:rPr>
            </w:pPr>
            <w:r>
              <w:rPr>
                <w:sz w:val="15"/>
              </w:rPr>
              <w:t>44. Ámpula flexotide</w:t>
            </w:r>
          </w:p>
        </w:tc>
        <w:tc>
          <w:tcPr>
            <w:tcW w:w="875" w:type="dxa"/>
          </w:tcPr>
          <w:p>
            <w:pPr>
              <w:pStyle w:val="TableParagraph"/>
              <w:spacing w:line="130" w:lineRule="exact"/>
              <w:ind w:right="48"/>
              <w:jc w:val="right"/>
              <w:rPr>
                <w:sz w:val="15"/>
              </w:rPr>
            </w:pPr>
            <w:r>
              <w:rPr>
                <w:sz w:val="15"/>
              </w:rPr>
              <w:t>$34.00</w:t>
            </w:r>
          </w:p>
        </w:tc>
      </w:tr>
      <w:tr>
        <w:trPr>
          <w:trHeight w:val="209" w:hRule="atLeast"/>
        </w:trPr>
        <w:tc>
          <w:tcPr>
            <w:tcW w:w="3958" w:type="dxa"/>
          </w:tcPr>
          <w:p>
            <w:pPr>
              <w:pStyle w:val="TableParagraph"/>
              <w:spacing w:line="149" w:lineRule="exact" w:before="40"/>
              <w:ind w:left="50"/>
              <w:rPr>
                <w:sz w:val="15"/>
              </w:rPr>
            </w:pPr>
            <w:r>
              <w:rPr>
                <w:sz w:val="15"/>
              </w:rPr>
              <w:t>XXI. Mastógrafo:</w:t>
            </w:r>
          </w:p>
        </w:tc>
        <w:tc>
          <w:tcPr>
            <w:tcW w:w="1102" w:type="dxa"/>
          </w:tcPr>
          <w:p>
            <w:pPr>
              <w:pStyle w:val="TableParagraph"/>
              <w:rPr>
                <w:rFonts w:ascii="Times New Roman"/>
                <w:sz w:val="14"/>
              </w:rPr>
            </w:pPr>
          </w:p>
        </w:tc>
        <w:tc>
          <w:tcPr>
            <w:tcW w:w="10747" w:type="dxa"/>
          </w:tcPr>
          <w:p>
            <w:pPr>
              <w:pStyle w:val="TableParagraph"/>
              <w:spacing w:line="167" w:lineRule="exact"/>
              <w:ind w:left="6612"/>
              <w:rPr>
                <w:sz w:val="15"/>
              </w:rPr>
            </w:pPr>
            <w:r>
              <w:rPr>
                <w:sz w:val="15"/>
              </w:rPr>
              <w:t>45. Ámpula flumazenil 0.5mg</w:t>
            </w:r>
          </w:p>
        </w:tc>
        <w:tc>
          <w:tcPr>
            <w:tcW w:w="875" w:type="dxa"/>
          </w:tcPr>
          <w:p>
            <w:pPr>
              <w:pStyle w:val="TableParagraph"/>
              <w:spacing w:line="167" w:lineRule="exact"/>
              <w:ind w:right="48"/>
              <w:jc w:val="right"/>
              <w:rPr>
                <w:sz w:val="15"/>
              </w:rPr>
            </w:pPr>
            <w:r>
              <w:rPr>
                <w:sz w:val="15"/>
              </w:rPr>
              <w:t>$281.00</w:t>
            </w:r>
          </w:p>
        </w:tc>
      </w:tr>
      <w:tr>
        <w:trPr>
          <w:trHeight w:val="193" w:hRule="atLeast"/>
        </w:trPr>
        <w:tc>
          <w:tcPr>
            <w:tcW w:w="3958" w:type="dxa"/>
          </w:tcPr>
          <w:p>
            <w:pPr>
              <w:pStyle w:val="TableParagraph"/>
              <w:spacing w:line="166" w:lineRule="exact" w:before="8"/>
              <w:ind w:left="50"/>
              <w:rPr>
                <w:sz w:val="15"/>
              </w:rPr>
            </w:pPr>
            <w:r>
              <w:rPr>
                <w:sz w:val="15"/>
              </w:rPr>
              <w:t>1. Mastografía</w:t>
            </w:r>
          </w:p>
        </w:tc>
        <w:tc>
          <w:tcPr>
            <w:tcW w:w="1102" w:type="dxa"/>
          </w:tcPr>
          <w:p>
            <w:pPr>
              <w:pStyle w:val="TableParagraph"/>
              <w:spacing w:line="166" w:lineRule="exact" w:before="8"/>
              <w:ind w:right="47"/>
              <w:jc w:val="right"/>
              <w:rPr>
                <w:sz w:val="15"/>
              </w:rPr>
            </w:pPr>
            <w:r>
              <w:rPr>
                <w:sz w:val="15"/>
              </w:rPr>
              <w:t>$673.00</w:t>
            </w:r>
          </w:p>
        </w:tc>
        <w:tc>
          <w:tcPr>
            <w:tcW w:w="10747" w:type="dxa"/>
          </w:tcPr>
          <w:p>
            <w:pPr>
              <w:pStyle w:val="TableParagraph"/>
              <w:spacing w:line="167" w:lineRule="exact"/>
              <w:ind w:left="6612"/>
              <w:rPr>
                <w:sz w:val="15"/>
              </w:rPr>
            </w:pPr>
            <w:r>
              <w:rPr>
                <w:sz w:val="15"/>
              </w:rPr>
              <w:t>46. Ámpula fosmanema</w:t>
            </w:r>
          </w:p>
        </w:tc>
        <w:tc>
          <w:tcPr>
            <w:tcW w:w="875" w:type="dxa"/>
          </w:tcPr>
          <w:p>
            <w:pPr>
              <w:pStyle w:val="TableParagraph"/>
              <w:spacing w:line="167" w:lineRule="exact"/>
              <w:ind w:right="48"/>
              <w:jc w:val="right"/>
              <w:rPr>
                <w:sz w:val="15"/>
              </w:rPr>
            </w:pPr>
            <w:r>
              <w:rPr>
                <w:sz w:val="15"/>
              </w:rPr>
              <w:t>$49.00</w:t>
            </w:r>
          </w:p>
        </w:tc>
      </w:tr>
      <w:tr>
        <w:trPr>
          <w:trHeight w:val="193" w:hRule="atLeast"/>
        </w:trPr>
        <w:tc>
          <w:tcPr>
            <w:tcW w:w="3958" w:type="dxa"/>
          </w:tcPr>
          <w:p>
            <w:pPr>
              <w:pStyle w:val="TableParagraph"/>
              <w:rPr>
                <w:rFonts w:ascii="Times New Roman"/>
                <w:sz w:val="12"/>
              </w:rPr>
            </w:pPr>
          </w:p>
        </w:tc>
        <w:tc>
          <w:tcPr>
            <w:tcW w:w="1102" w:type="dxa"/>
          </w:tcPr>
          <w:p>
            <w:pPr>
              <w:pStyle w:val="TableParagraph"/>
              <w:rPr>
                <w:rFonts w:ascii="Times New Roman"/>
                <w:sz w:val="12"/>
              </w:rPr>
            </w:pPr>
          </w:p>
        </w:tc>
        <w:tc>
          <w:tcPr>
            <w:tcW w:w="10747" w:type="dxa"/>
          </w:tcPr>
          <w:p>
            <w:pPr>
              <w:pStyle w:val="TableParagraph"/>
              <w:spacing w:line="163" w:lineRule="exact" w:before="11"/>
              <w:ind w:left="6612"/>
              <w:rPr>
                <w:sz w:val="15"/>
              </w:rPr>
            </w:pPr>
            <w:r>
              <w:rPr>
                <w:sz w:val="15"/>
              </w:rPr>
              <w:t>47. Ámpula furosemida</w:t>
            </w:r>
          </w:p>
        </w:tc>
        <w:tc>
          <w:tcPr>
            <w:tcW w:w="875" w:type="dxa"/>
          </w:tcPr>
          <w:p>
            <w:pPr>
              <w:pStyle w:val="TableParagraph"/>
              <w:spacing w:line="163" w:lineRule="exact" w:before="11"/>
              <w:ind w:right="48"/>
              <w:jc w:val="right"/>
              <w:rPr>
                <w:sz w:val="15"/>
              </w:rPr>
            </w:pPr>
            <w:r>
              <w:rPr>
                <w:sz w:val="15"/>
              </w:rPr>
              <w:t>$4.00</w:t>
            </w:r>
          </w:p>
        </w:tc>
      </w:tr>
      <w:tr>
        <w:trPr>
          <w:trHeight w:val="193" w:hRule="atLeast"/>
        </w:trPr>
        <w:tc>
          <w:tcPr>
            <w:tcW w:w="3958" w:type="dxa"/>
          </w:tcPr>
          <w:p>
            <w:pPr>
              <w:pStyle w:val="TableParagraph"/>
              <w:spacing w:line="166" w:lineRule="exact" w:before="8"/>
              <w:ind w:left="50"/>
              <w:rPr>
                <w:sz w:val="15"/>
              </w:rPr>
            </w:pPr>
            <w:r>
              <w:rPr>
                <w:sz w:val="15"/>
              </w:rPr>
              <w:t>XXII. Materiales:</w:t>
            </w:r>
          </w:p>
        </w:tc>
        <w:tc>
          <w:tcPr>
            <w:tcW w:w="1102" w:type="dxa"/>
          </w:tcPr>
          <w:p>
            <w:pPr>
              <w:pStyle w:val="TableParagraph"/>
              <w:rPr>
                <w:rFonts w:ascii="Times New Roman"/>
                <w:sz w:val="12"/>
              </w:rPr>
            </w:pPr>
          </w:p>
        </w:tc>
        <w:tc>
          <w:tcPr>
            <w:tcW w:w="10747" w:type="dxa"/>
          </w:tcPr>
          <w:p>
            <w:pPr>
              <w:pStyle w:val="TableParagraph"/>
              <w:spacing w:line="146" w:lineRule="exact" w:before="27"/>
              <w:ind w:left="6612"/>
              <w:rPr>
                <w:sz w:val="15"/>
              </w:rPr>
            </w:pPr>
            <w:r>
              <w:rPr>
                <w:sz w:val="15"/>
              </w:rPr>
              <w:t>48. Ámpula gentamicina 160mg</w:t>
            </w:r>
          </w:p>
        </w:tc>
        <w:tc>
          <w:tcPr>
            <w:tcW w:w="875" w:type="dxa"/>
          </w:tcPr>
          <w:p>
            <w:pPr>
              <w:pStyle w:val="TableParagraph"/>
              <w:spacing w:line="146" w:lineRule="exact" w:before="27"/>
              <w:ind w:right="48"/>
              <w:jc w:val="right"/>
              <w:rPr>
                <w:sz w:val="15"/>
              </w:rPr>
            </w:pPr>
            <w:r>
              <w:rPr>
                <w:sz w:val="15"/>
              </w:rPr>
              <w:t>$9.00</w:t>
            </w:r>
          </w:p>
        </w:tc>
      </w:tr>
      <w:tr>
        <w:trPr>
          <w:trHeight w:val="209" w:hRule="atLeast"/>
        </w:trPr>
        <w:tc>
          <w:tcPr>
            <w:tcW w:w="3958" w:type="dxa"/>
          </w:tcPr>
          <w:p>
            <w:pPr>
              <w:pStyle w:val="TableParagraph"/>
              <w:spacing w:line="164" w:lineRule="exact"/>
              <w:ind w:left="50"/>
              <w:rPr>
                <w:sz w:val="15"/>
              </w:rPr>
            </w:pPr>
            <w:r>
              <w:rPr>
                <w:sz w:val="15"/>
              </w:rPr>
              <w:t>1. Aguja #18-#27</w:t>
            </w:r>
          </w:p>
        </w:tc>
        <w:tc>
          <w:tcPr>
            <w:tcW w:w="1102" w:type="dxa"/>
          </w:tcPr>
          <w:p>
            <w:pPr>
              <w:pStyle w:val="TableParagraph"/>
              <w:spacing w:line="164" w:lineRule="exact"/>
              <w:ind w:right="47"/>
              <w:jc w:val="right"/>
              <w:rPr>
                <w:sz w:val="15"/>
              </w:rPr>
            </w:pPr>
            <w:r>
              <w:rPr>
                <w:sz w:val="15"/>
              </w:rPr>
              <w:t>$3.00</w:t>
            </w:r>
          </w:p>
        </w:tc>
        <w:tc>
          <w:tcPr>
            <w:tcW w:w="10747" w:type="dxa"/>
          </w:tcPr>
          <w:p>
            <w:pPr>
              <w:pStyle w:val="TableParagraph"/>
              <w:spacing w:line="146" w:lineRule="exact" w:before="43"/>
              <w:ind w:left="6612"/>
              <w:rPr>
                <w:sz w:val="15"/>
              </w:rPr>
            </w:pPr>
            <w:r>
              <w:rPr>
                <w:sz w:val="15"/>
              </w:rPr>
              <w:t>49. Ámpula gluconato de calcio</w:t>
            </w:r>
          </w:p>
        </w:tc>
        <w:tc>
          <w:tcPr>
            <w:tcW w:w="875" w:type="dxa"/>
          </w:tcPr>
          <w:p>
            <w:pPr>
              <w:pStyle w:val="TableParagraph"/>
              <w:spacing w:line="146" w:lineRule="exact" w:before="43"/>
              <w:ind w:right="48"/>
              <w:jc w:val="right"/>
              <w:rPr>
                <w:sz w:val="15"/>
              </w:rPr>
            </w:pPr>
            <w:r>
              <w:rPr>
                <w:sz w:val="15"/>
              </w:rPr>
              <w:t>$7.00</w:t>
            </w:r>
          </w:p>
        </w:tc>
      </w:tr>
      <w:tr>
        <w:trPr>
          <w:trHeight w:val="209" w:hRule="atLeast"/>
        </w:trPr>
        <w:tc>
          <w:tcPr>
            <w:tcW w:w="3958" w:type="dxa"/>
          </w:tcPr>
          <w:p>
            <w:pPr>
              <w:pStyle w:val="TableParagraph"/>
              <w:spacing w:line="164" w:lineRule="exact"/>
              <w:ind w:left="50"/>
              <w:rPr>
                <w:sz w:val="15"/>
              </w:rPr>
            </w:pPr>
            <w:r>
              <w:rPr>
                <w:sz w:val="15"/>
              </w:rPr>
              <w:t>2. Ámpula adrenalina epinefrina</w:t>
            </w:r>
          </w:p>
        </w:tc>
        <w:tc>
          <w:tcPr>
            <w:tcW w:w="1102" w:type="dxa"/>
          </w:tcPr>
          <w:p>
            <w:pPr>
              <w:pStyle w:val="TableParagraph"/>
              <w:spacing w:line="164" w:lineRule="exact"/>
              <w:ind w:right="47"/>
              <w:jc w:val="right"/>
              <w:rPr>
                <w:sz w:val="15"/>
              </w:rPr>
            </w:pPr>
            <w:r>
              <w:rPr>
                <w:sz w:val="15"/>
              </w:rPr>
              <w:t>$6.00</w:t>
            </w:r>
          </w:p>
        </w:tc>
        <w:tc>
          <w:tcPr>
            <w:tcW w:w="10747" w:type="dxa"/>
          </w:tcPr>
          <w:p>
            <w:pPr>
              <w:pStyle w:val="TableParagraph"/>
              <w:spacing w:line="146" w:lineRule="exact" w:before="43"/>
              <w:ind w:left="6612"/>
              <w:rPr>
                <w:sz w:val="15"/>
              </w:rPr>
            </w:pPr>
            <w:r>
              <w:rPr>
                <w:sz w:val="15"/>
              </w:rPr>
              <w:t>50. Ámpula glucosa al 50%</w:t>
            </w:r>
          </w:p>
        </w:tc>
        <w:tc>
          <w:tcPr>
            <w:tcW w:w="875" w:type="dxa"/>
          </w:tcPr>
          <w:p>
            <w:pPr>
              <w:pStyle w:val="TableParagraph"/>
              <w:spacing w:line="146" w:lineRule="exact" w:before="43"/>
              <w:ind w:right="48"/>
              <w:jc w:val="right"/>
              <w:rPr>
                <w:sz w:val="15"/>
              </w:rPr>
            </w:pPr>
            <w:r>
              <w:rPr>
                <w:sz w:val="15"/>
              </w:rPr>
              <w:t>$28.00</w:t>
            </w:r>
          </w:p>
        </w:tc>
      </w:tr>
      <w:tr>
        <w:trPr>
          <w:trHeight w:val="209" w:hRule="atLeast"/>
        </w:trPr>
        <w:tc>
          <w:tcPr>
            <w:tcW w:w="3958" w:type="dxa"/>
          </w:tcPr>
          <w:p>
            <w:pPr>
              <w:pStyle w:val="TableParagraph"/>
              <w:spacing w:line="164" w:lineRule="exact"/>
              <w:ind w:left="50"/>
              <w:rPr>
                <w:sz w:val="15"/>
              </w:rPr>
            </w:pPr>
            <w:r>
              <w:rPr>
                <w:sz w:val="15"/>
              </w:rPr>
              <w:t>3. Ámpula alupen</w:t>
            </w:r>
          </w:p>
        </w:tc>
        <w:tc>
          <w:tcPr>
            <w:tcW w:w="1102" w:type="dxa"/>
          </w:tcPr>
          <w:p>
            <w:pPr>
              <w:pStyle w:val="TableParagraph"/>
              <w:spacing w:line="164" w:lineRule="exact"/>
              <w:ind w:right="48"/>
              <w:jc w:val="right"/>
              <w:rPr>
                <w:sz w:val="15"/>
              </w:rPr>
            </w:pPr>
            <w:r>
              <w:rPr>
                <w:sz w:val="15"/>
              </w:rPr>
              <w:t>$27.00</w:t>
            </w:r>
          </w:p>
        </w:tc>
        <w:tc>
          <w:tcPr>
            <w:tcW w:w="10747" w:type="dxa"/>
          </w:tcPr>
          <w:p>
            <w:pPr>
              <w:pStyle w:val="TableParagraph"/>
              <w:spacing w:line="146" w:lineRule="exact" w:before="43"/>
              <w:ind w:left="6612"/>
              <w:rPr>
                <w:sz w:val="15"/>
              </w:rPr>
            </w:pPr>
            <w:r>
              <w:rPr>
                <w:sz w:val="15"/>
              </w:rPr>
              <w:t>51. Ámpula haldol</w:t>
            </w:r>
          </w:p>
        </w:tc>
        <w:tc>
          <w:tcPr>
            <w:tcW w:w="875" w:type="dxa"/>
          </w:tcPr>
          <w:p>
            <w:pPr>
              <w:pStyle w:val="TableParagraph"/>
              <w:spacing w:line="146" w:lineRule="exact" w:before="43"/>
              <w:ind w:right="48"/>
              <w:jc w:val="right"/>
              <w:rPr>
                <w:sz w:val="15"/>
              </w:rPr>
            </w:pPr>
            <w:r>
              <w:rPr>
                <w:sz w:val="15"/>
              </w:rPr>
              <w:t>$69.00</w:t>
            </w:r>
          </w:p>
        </w:tc>
      </w:tr>
      <w:tr>
        <w:trPr>
          <w:trHeight w:val="209" w:hRule="atLeast"/>
        </w:trPr>
        <w:tc>
          <w:tcPr>
            <w:tcW w:w="3958" w:type="dxa"/>
          </w:tcPr>
          <w:p>
            <w:pPr>
              <w:pStyle w:val="TableParagraph"/>
              <w:spacing w:line="164" w:lineRule="exact"/>
              <w:ind w:left="50"/>
              <w:rPr>
                <w:sz w:val="15"/>
              </w:rPr>
            </w:pPr>
            <w:r>
              <w:rPr>
                <w:sz w:val="15"/>
              </w:rPr>
              <w:t>4. Ámpula amikacina 100mg</w:t>
            </w:r>
          </w:p>
        </w:tc>
        <w:tc>
          <w:tcPr>
            <w:tcW w:w="1102" w:type="dxa"/>
          </w:tcPr>
          <w:p>
            <w:pPr>
              <w:pStyle w:val="TableParagraph"/>
              <w:spacing w:line="164" w:lineRule="exact"/>
              <w:ind w:right="48"/>
              <w:jc w:val="right"/>
              <w:rPr>
                <w:sz w:val="15"/>
              </w:rPr>
            </w:pPr>
            <w:r>
              <w:rPr>
                <w:sz w:val="15"/>
              </w:rPr>
              <w:t>$6.00</w:t>
            </w:r>
          </w:p>
        </w:tc>
        <w:tc>
          <w:tcPr>
            <w:tcW w:w="10747" w:type="dxa"/>
          </w:tcPr>
          <w:p>
            <w:pPr>
              <w:pStyle w:val="TableParagraph"/>
              <w:spacing w:line="146" w:lineRule="exact" w:before="43"/>
              <w:ind w:left="6612"/>
              <w:rPr>
                <w:sz w:val="15"/>
              </w:rPr>
            </w:pPr>
            <w:r>
              <w:rPr>
                <w:sz w:val="15"/>
              </w:rPr>
              <w:t>52. Ámpula heparina 1000ui frasco</w:t>
            </w:r>
          </w:p>
        </w:tc>
        <w:tc>
          <w:tcPr>
            <w:tcW w:w="875" w:type="dxa"/>
          </w:tcPr>
          <w:p>
            <w:pPr>
              <w:pStyle w:val="TableParagraph"/>
              <w:spacing w:line="146" w:lineRule="exact" w:before="43"/>
              <w:ind w:right="49"/>
              <w:jc w:val="right"/>
              <w:rPr>
                <w:sz w:val="15"/>
              </w:rPr>
            </w:pPr>
            <w:r>
              <w:rPr>
                <w:sz w:val="15"/>
              </w:rPr>
              <w:t>$65.00</w:t>
            </w:r>
          </w:p>
        </w:tc>
      </w:tr>
      <w:tr>
        <w:trPr>
          <w:trHeight w:val="209" w:hRule="atLeast"/>
        </w:trPr>
        <w:tc>
          <w:tcPr>
            <w:tcW w:w="3958" w:type="dxa"/>
          </w:tcPr>
          <w:p>
            <w:pPr>
              <w:pStyle w:val="TableParagraph"/>
              <w:spacing w:line="164" w:lineRule="exact"/>
              <w:ind w:left="50"/>
              <w:rPr>
                <w:sz w:val="15"/>
              </w:rPr>
            </w:pPr>
            <w:r>
              <w:rPr>
                <w:sz w:val="15"/>
              </w:rPr>
              <w:t>5. Ámpula amikacina 500mg</w:t>
            </w:r>
          </w:p>
        </w:tc>
        <w:tc>
          <w:tcPr>
            <w:tcW w:w="1102" w:type="dxa"/>
          </w:tcPr>
          <w:p>
            <w:pPr>
              <w:pStyle w:val="TableParagraph"/>
              <w:spacing w:line="164" w:lineRule="exact"/>
              <w:ind w:right="47"/>
              <w:jc w:val="right"/>
              <w:rPr>
                <w:sz w:val="15"/>
              </w:rPr>
            </w:pPr>
            <w:r>
              <w:rPr>
                <w:sz w:val="15"/>
              </w:rPr>
              <w:t>$7.00</w:t>
            </w:r>
          </w:p>
        </w:tc>
        <w:tc>
          <w:tcPr>
            <w:tcW w:w="10747" w:type="dxa"/>
          </w:tcPr>
          <w:p>
            <w:pPr>
              <w:pStyle w:val="TableParagraph"/>
              <w:spacing w:line="146" w:lineRule="exact" w:before="43"/>
              <w:ind w:left="6612"/>
              <w:rPr>
                <w:sz w:val="15"/>
              </w:rPr>
            </w:pPr>
            <w:r>
              <w:rPr>
                <w:sz w:val="15"/>
              </w:rPr>
              <w:t>53. Ámpula heparina 5000ui frasco</w:t>
            </w:r>
          </w:p>
        </w:tc>
        <w:tc>
          <w:tcPr>
            <w:tcW w:w="875" w:type="dxa"/>
          </w:tcPr>
          <w:p>
            <w:pPr>
              <w:pStyle w:val="TableParagraph"/>
              <w:spacing w:line="146" w:lineRule="exact" w:before="43"/>
              <w:ind w:right="49"/>
              <w:jc w:val="right"/>
              <w:rPr>
                <w:sz w:val="15"/>
              </w:rPr>
            </w:pPr>
            <w:r>
              <w:rPr>
                <w:sz w:val="15"/>
              </w:rPr>
              <w:t>$138.00</w:t>
            </w:r>
          </w:p>
        </w:tc>
      </w:tr>
      <w:tr>
        <w:trPr>
          <w:trHeight w:val="209" w:hRule="atLeast"/>
        </w:trPr>
        <w:tc>
          <w:tcPr>
            <w:tcW w:w="3958" w:type="dxa"/>
          </w:tcPr>
          <w:p>
            <w:pPr>
              <w:pStyle w:val="TableParagraph"/>
              <w:spacing w:line="164" w:lineRule="exact"/>
              <w:ind w:left="50"/>
              <w:rPr>
                <w:sz w:val="15"/>
              </w:rPr>
            </w:pPr>
            <w:r>
              <w:rPr>
                <w:sz w:val="15"/>
              </w:rPr>
              <w:t>6. Ámpula aminofilina</w:t>
            </w:r>
          </w:p>
        </w:tc>
        <w:tc>
          <w:tcPr>
            <w:tcW w:w="1102" w:type="dxa"/>
          </w:tcPr>
          <w:p>
            <w:pPr>
              <w:pStyle w:val="TableParagraph"/>
              <w:spacing w:line="164" w:lineRule="exact"/>
              <w:ind w:right="48"/>
              <w:jc w:val="right"/>
              <w:rPr>
                <w:sz w:val="15"/>
              </w:rPr>
            </w:pPr>
            <w:r>
              <w:rPr>
                <w:sz w:val="15"/>
              </w:rPr>
              <w:t>$14.00</w:t>
            </w:r>
          </w:p>
        </w:tc>
        <w:tc>
          <w:tcPr>
            <w:tcW w:w="10747" w:type="dxa"/>
          </w:tcPr>
          <w:p>
            <w:pPr>
              <w:pStyle w:val="TableParagraph"/>
              <w:spacing w:line="146" w:lineRule="exact" w:before="43"/>
              <w:ind w:left="6612"/>
              <w:rPr>
                <w:sz w:val="15"/>
              </w:rPr>
            </w:pPr>
            <w:r>
              <w:rPr>
                <w:sz w:val="15"/>
              </w:rPr>
              <w:t>54. Ámpula hidralazina</w:t>
            </w:r>
          </w:p>
        </w:tc>
        <w:tc>
          <w:tcPr>
            <w:tcW w:w="875" w:type="dxa"/>
          </w:tcPr>
          <w:p>
            <w:pPr>
              <w:pStyle w:val="TableParagraph"/>
              <w:spacing w:line="146" w:lineRule="exact" w:before="43"/>
              <w:ind w:right="48"/>
              <w:jc w:val="right"/>
              <w:rPr>
                <w:sz w:val="15"/>
              </w:rPr>
            </w:pPr>
            <w:r>
              <w:rPr>
                <w:sz w:val="15"/>
              </w:rPr>
              <w:t>$182.00</w:t>
            </w:r>
          </w:p>
        </w:tc>
      </w:tr>
      <w:tr>
        <w:trPr>
          <w:trHeight w:val="209" w:hRule="atLeast"/>
        </w:trPr>
        <w:tc>
          <w:tcPr>
            <w:tcW w:w="3958" w:type="dxa"/>
          </w:tcPr>
          <w:p>
            <w:pPr>
              <w:pStyle w:val="TableParagraph"/>
              <w:spacing w:line="164" w:lineRule="exact"/>
              <w:ind w:left="50"/>
              <w:rPr>
                <w:sz w:val="15"/>
              </w:rPr>
            </w:pPr>
            <w:r>
              <w:rPr>
                <w:sz w:val="15"/>
              </w:rPr>
              <w:t>7. Ámpula amiodarona 150mg</w:t>
            </w:r>
          </w:p>
        </w:tc>
        <w:tc>
          <w:tcPr>
            <w:tcW w:w="1102" w:type="dxa"/>
          </w:tcPr>
          <w:p>
            <w:pPr>
              <w:pStyle w:val="TableParagraph"/>
              <w:spacing w:line="164" w:lineRule="exact"/>
              <w:ind w:right="48"/>
              <w:jc w:val="right"/>
              <w:rPr>
                <w:sz w:val="15"/>
              </w:rPr>
            </w:pPr>
            <w:r>
              <w:rPr>
                <w:sz w:val="15"/>
              </w:rPr>
              <w:t>$65.00</w:t>
            </w:r>
          </w:p>
        </w:tc>
        <w:tc>
          <w:tcPr>
            <w:tcW w:w="10747" w:type="dxa"/>
          </w:tcPr>
          <w:p>
            <w:pPr>
              <w:pStyle w:val="TableParagraph"/>
              <w:spacing w:line="146" w:lineRule="exact" w:before="43"/>
              <w:ind w:left="6612"/>
              <w:rPr>
                <w:sz w:val="15"/>
              </w:rPr>
            </w:pPr>
            <w:r>
              <w:rPr>
                <w:sz w:val="15"/>
              </w:rPr>
              <w:t>55. Ámpula hidrocortisona 100mg</w:t>
            </w:r>
          </w:p>
        </w:tc>
        <w:tc>
          <w:tcPr>
            <w:tcW w:w="875" w:type="dxa"/>
          </w:tcPr>
          <w:p>
            <w:pPr>
              <w:pStyle w:val="TableParagraph"/>
              <w:spacing w:line="146" w:lineRule="exact" w:before="43"/>
              <w:ind w:right="47"/>
              <w:jc w:val="right"/>
              <w:rPr>
                <w:sz w:val="15"/>
              </w:rPr>
            </w:pPr>
            <w:r>
              <w:rPr>
                <w:sz w:val="15"/>
              </w:rPr>
              <w:t>$27.00</w:t>
            </w:r>
          </w:p>
        </w:tc>
      </w:tr>
      <w:tr>
        <w:trPr>
          <w:trHeight w:val="209" w:hRule="atLeast"/>
        </w:trPr>
        <w:tc>
          <w:tcPr>
            <w:tcW w:w="3958" w:type="dxa"/>
          </w:tcPr>
          <w:p>
            <w:pPr>
              <w:pStyle w:val="TableParagraph"/>
              <w:spacing w:line="164" w:lineRule="exact"/>
              <w:ind w:left="50"/>
              <w:rPr>
                <w:sz w:val="15"/>
              </w:rPr>
            </w:pPr>
            <w:r>
              <w:rPr>
                <w:sz w:val="15"/>
              </w:rPr>
              <w:t>8. Ámpula ampicilina 1,200 000</w:t>
            </w:r>
          </w:p>
        </w:tc>
        <w:tc>
          <w:tcPr>
            <w:tcW w:w="1102" w:type="dxa"/>
          </w:tcPr>
          <w:p>
            <w:pPr>
              <w:pStyle w:val="TableParagraph"/>
              <w:spacing w:line="164" w:lineRule="exact"/>
              <w:ind w:right="47"/>
              <w:jc w:val="right"/>
              <w:rPr>
                <w:sz w:val="15"/>
              </w:rPr>
            </w:pPr>
            <w:r>
              <w:rPr>
                <w:sz w:val="15"/>
              </w:rPr>
              <w:t>$9.00</w:t>
            </w:r>
          </w:p>
        </w:tc>
        <w:tc>
          <w:tcPr>
            <w:tcW w:w="10747" w:type="dxa"/>
          </w:tcPr>
          <w:p>
            <w:pPr>
              <w:pStyle w:val="TableParagraph"/>
              <w:spacing w:line="146" w:lineRule="exact" w:before="43"/>
              <w:ind w:left="6612"/>
              <w:rPr>
                <w:sz w:val="15"/>
              </w:rPr>
            </w:pPr>
            <w:r>
              <w:rPr>
                <w:sz w:val="15"/>
              </w:rPr>
              <w:t>56. Ámpula hidrocortisona 500mg</w:t>
            </w:r>
          </w:p>
        </w:tc>
        <w:tc>
          <w:tcPr>
            <w:tcW w:w="875" w:type="dxa"/>
          </w:tcPr>
          <w:p>
            <w:pPr>
              <w:pStyle w:val="TableParagraph"/>
              <w:spacing w:line="146" w:lineRule="exact" w:before="43"/>
              <w:ind w:right="47"/>
              <w:jc w:val="right"/>
              <w:rPr>
                <w:sz w:val="15"/>
              </w:rPr>
            </w:pPr>
            <w:r>
              <w:rPr>
                <w:sz w:val="15"/>
              </w:rPr>
              <w:t>$93.00</w:t>
            </w:r>
          </w:p>
        </w:tc>
      </w:tr>
      <w:tr>
        <w:trPr>
          <w:trHeight w:val="216" w:hRule="atLeast"/>
        </w:trPr>
        <w:tc>
          <w:tcPr>
            <w:tcW w:w="3958" w:type="dxa"/>
          </w:tcPr>
          <w:p>
            <w:pPr>
              <w:pStyle w:val="TableParagraph"/>
              <w:spacing w:line="164" w:lineRule="exact"/>
              <w:ind w:left="50"/>
              <w:rPr>
                <w:sz w:val="15"/>
              </w:rPr>
            </w:pPr>
            <w:r>
              <w:rPr>
                <w:sz w:val="15"/>
              </w:rPr>
              <w:t>9. Ámpula ampicilina 1g</w:t>
            </w:r>
          </w:p>
        </w:tc>
        <w:tc>
          <w:tcPr>
            <w:tcW w:w="1102" w:type="dxa"/>
          </w:tcPr>
          <w:p>
            <w:pPr>
              <w:pStyle w:val="TableParagraph"/>
              <w:spacing w:line="164" w:lineRule="exact"/>
              <w:ind w:right="47"/>
              <w:jc w:val="right"/>
              <w:rPr>
                <w:sz w:val="15"/>
              </w:rPr>
            </w:pPr>
            <w:r>
              <w:rPr>
                <w:sz w:val="15"/>
              </w:rPr>
              <w:t>$12.00</w:t>
            </w:r>
          </w:p>
        </w:tc>
        <w:tc>
          <w:tcPr>
            <w:tcW w:w="10747" w:type="dxa"/>
          </w:tcPr>
          <w:p>
            <w:pPr>
              <w:pStyle w:val="TableParagraph"/>
              <w:spacing w:line="153" w:lineRule="exact" w:before="43"/>
              <w:ind w:left="6612"/>
              <w:rPr>
                <w:sz w:val="15"/>
              </w:rPr>
            </w:pPr>
            <w:r>
              <w:rPr>
                <w:sz w:val="15"/>
              </w:rPr>
              <w:t>57. Ámpula insulina humana de acción rápida 10ml</w:t>
            </w:r>
          </w:p>
        </w:tc>
        <w:tc>
          <w:tcPr>
            <w:tcW w:w="875" w:type="dxa"/>
          </w:tcPr>
          <w:p>
            <w:pPr>
              <w:pStyle w:val="TableParagraph"/>
              <w:spacing w:line="153" w:lineRule="exact" w:before="43"/>
              <w:ind w:right="48"/>
              <w:jc w:val="right"/>
              <w:rPr>
                <w:sz w:val="15"/>
              </w:rPr>
            </w:pPr>
            <w:r>
              <w:rPr>
                <w:sz w:val="15"/>
              </w:rPr>
              <w:t>$210.00</w:t>
            </w:r>
          </w:p>
        </w:tc>
      </w:tr>
    </w:tbl>
    <w:p>
      <w:pPr>
        <w:spacing w:after="0" w:line="153" w:lineRule="exact"/>
        <w:jc w:val="right"/>
        <w:rPr>
          <w:sz w:val="15"/>
        </w:rPr>
        <w:sectPr>
          <w:headerReference w:type="default" r:id="rId103"/>
          <w:pgSz w:w="23250" w:h="15310" w:orient="landscape"/>
          <w:pgMar w:header="881" w:footer="499" w:top="1920" w:bottom="680" w:left="1880" w:right="15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pStyle w:val="BodyText"/>
        <w:spacing w:before="92"/>
        <w:ind w:left="151"/>
      </w:pPr>
      <w:r>
        <w:rPr/>
        <w:pict>
          <v:shape style="position:absolute;margin-left:101.555679pt;margin-top:-182.692337pt;width:851.5pt;height:495.5pt;mso-position-horizontal-relative:page;mso-position-vertical-relative:paragraph;z-index:2517104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4"/>
                    <w:gridCol w:w="813"/>
                    <w:gridCol w:w="9875"/>
                    <w:gridCol w:w="1747"/>
                  </w:tblGrid>
                  <w:tr>
                    <w:trPr>
                      <w:trHeight w:val="191" w:hRule="atLeast"/>
                    </w:trPr>
                    <w:tc>
                      <w:tcPr>
                        <w:tcW w:w="4594" w:type="dxa"/>
                      </w:tcPr>
                      <w:p>
                        <w:pPr>
                          <w:pStyle w:val="TableParagraph"/>
                          <w:spacing w:line="171" w:lineRule="exact"/>
                          <w:ind w:left="397"/>
                          <w:rPr>
                            <w:sz w:val="15"/>
                          </w:rPr>
                        </w:pPr>
                        <w:r>
                          <w:rPr>
                            <w:sz w:val="15"/>
                          </w:rPr>
                          <w:t>58. Ámpula ketorolaco</w:t>
                        </w:r>
                      </w:p>
                    </w:tc>
                    <w:tc>
                      <w:tcPr>
                        <w:tcW w:w="813" w:type="dxa"/>
                      </w:tcPr>
                      <w:p>
                        <w:pPr>
                          <w:pStyle w:val="TableParagraph"/>
                          <w:spacing w:line="171" w:lineRule="exact"/>
                          <w:ind w:right="48"/>
                          <w:jc w:val="right"/>
                          <w:rPr>
                            <w:sz w:val="15"/>
                          </w:rPr>
                        </w:pPr>
                        <w:r>
                          <w:rPr>
                            <w:sz w:val="15"/>
                          </w:rPr>
                          <w:t>$4.00</w:t>
                        </w:r>
                      </w:p>
                    </w:tc>
                    <w:tc>
                      <w:tcPr>
                        <w:tcW w:w="9875" w:type="dxa"/>
                      </w:tcPr>
                      <w:p>
                        <w:pPr>
                          <w:pStyle w:val="TableParagraph"/>
                          <w:spacing w:line="171" w:lineRule="exact"/>
                          <w:ind w:left="6612"/>
                          <w:rPr>
                            <w:sz w:val="15"/>
                          </w:rPr>
                        </w:pPr>
                        <w:r>
                          <w:rPr>
                            <w:sz w:val="15"/>
                          </w:rPr>
                          <w:t>104. Cánula endotraqueal 6.5</w:t>
                        </w:r>
                      </w:p>
                    </w:tc>
                    <w:tc>
                      <w:tcPr>
                        <w:tcW w:w="1747" w:type="dxa"/>
                      </w:tcPr>
                      <w:p>
                        <w:pPr>
                          <w:pStyle w:val="TableParagraph"/>
                          <w:spacing w:line="171" w:lineRule="exact"/>
                          <w:ind w:right="47"/>
                          <w:jc w:val="right"/>
                          <w:rPr>
                            <w:sz w:val="15"/>
                          </w:rPr>
                        </w:pPr>
                        <w:r>
                          <w:rPr>
                            <w:sz w:val="15"/>
                          </w:rPr>
                          <w:t>$22.00</w:t>
                        </w:r>
                      </w:p>
                    </w:tc>
                  </w:tr>
                  <w:tr>
                    <w:trPr>
                      <w:trHeight w:val="209" w:hRule="atLeast"/>
                    </w:trPr>
                    <w:tc>
                      <w:tcPr>
                        <w:tcW w:w="4594" w:type="dxa"/>
                      </w:tcPr>
                      <w:p>
                        <w:pPr>
                          <w:pStyle w:val="TableParagraph"/>
                          <w:spacing w:line="172" w:lineRule="exact" w:before="18"/>
                          <w:ind w:left="397"/>
                          <w:rPr>
                            <w:sz w:val="15"/>
                          </w:rPr>
                        </w:pPr>
                        <w:r>
                          <w:rPr>
                            <w:sz w:val="15"/>
                          </w:rPr>
                          <w:t>59. Ámpula digoxina .5mg/2ml (lanoxin)</w:t>
                        </w:r>
                      </w:p>
                    </w:tc>
                    <w:tc>
                      <w:tcPr>
                        <w:tcW w:w="813" w:type="dxa"/>
                      </w:tcPr>
                      <w:p>
                        <w:pPr>
                          <w:pStyle w:val="TableParagraph"/>
                          <w:spacing w:line="172" w:lineRule="exact" w:before="18"/>
                          <w:ind w:right="48"/>
                          <w:jc w:val="right"/>
                          <w:rPr>
                            <w:sz w:val="15"/>
                          </w:rPr>
                        </w:pPr>
                        <w:r>
                          <w:rPr>
                            <w:sz w:val="15"/>
                          </w:rPr>
                          <w:t>$18.00</w:t>
                        </w:r>
                      </w:p>
                    </w:tc>
                    <w:tc>
                      <w:tcPr>
                        <w:tcW w:w="9875" w:type="dxa"/>
                      </w:tcPr>
                      <w:p>
                        <w:pPr>
                          <w:pStyle w:val="TableParagraph"/>
                          <w:spacing w:before="17"/>
                          <w:ind w:left="6612"/>
                          <w:rPr>
                            <w:sz w:val="15"/>
                          </w:rPr>
                        </w:pPr>
                        <w:r>
                          <w:rPr>
                            <w:sz w:val="15"/>
                          </w:rPr>
                          <w:t>105. Cánula endotraqueal 7.0</w:t>
                        </w:r>
                      </w:p>
                    </w:tc>
                    <w:tc>
                      <w:tcPr>
                        <w:tcW w:w="1747" w:type="dxa"/>
                      </w:tcPr>
                      <w:p>
                        <w:pPr>
                          <w:pStyle w:val="TableParagraph"/>
                          <w:spacing w:before="17"/>
                          <w:ind w:right="47"/>
                          <w:jc w:val="right"/>
                          <w:rPr>
                            <w:sz w:val="15"/>
                          </w:rPr>
                        </w:pPr>
                        <w:r>
                          <w:rPr>
                            <w:sz w:val="15"/>
                          </w:rPr>
                          <w:t>$22.00</w:t>
                        </w:r>
                      </w:p>
                    </w:tc>
                  </w:tr>
                  <w:tr>
                    <w:trPr>
                      <w:trHeight w:val="209" w:hRule="atLeast"/>
                    </w:trPr>
                    <w:tc>
                      <w:tcPr>
                        <w:tcW w:w="4594" w:type="dxa"/>
                      </w:tcPr>
                      <w:p>
                        <w:pPr>
                          <w:pStyle w:val="TableParagraph"/>
                          <w:spacing w:line="172" w:lineRule="exact" w:before="18"/>
                          <w:ind w:left="397"/>
                          <w:rPr>
                            <w:sz w:val="15"/>
                          </w:rPr>
                        </w:pPr>
                        <w:r>
                          <w:rPr>
                            <w:sz w:val="15"/>
                          </w:rPr>
                          <w:t>60. Ámpula levofloxacino sol. 500mg</w:t>
                        </w:r>
                      </w:p>
                    </w:tc>
                    <w:tc>
                      <w:tcPr>
                        <w:tcW w:w="813" w:type="dxa"/>
                      </w:tcPr>
                      <w:p>
                        <w:pPr>
                          <w:pStyle w:val="TableParagraph"/>
                          <w:spacing w:line="172" w:lineRule="exact" w:before="18"/>
                          <w:ind w:right="49"/>
                          <w:jc w:val="right"/>
                          <w:rPr>
                            <w:sz w:val="15"/>
                          </w:rPr>
                        </w:pPr>
                        <w:r>
                          <w:rPr>
                            <w:sz w:val="15"/>
                          </w:rPr>
                          <w:t>$83.00</w:t>
                        </w:r>
                      </w:p>
                    </w:tc>
                    <w:tc>
                      <w:tcPr>
                        <w:tcW w:w="9875" w:type="dxa"/>
                      </w:tcPr>
                      <w:p>
                        <w:pPr>
                          <w:pStyle w:val="TableParagraph"/>
                          <w:spacing w:before="17"/>
                          <w:ind w:left="6612"/>
                          <w:rPr>
                            <w:sz w:val="15"/>
                          </w:rPr>
                        </w:pPr>
                        <w:r>
                          <w:rPr>
                            <w:sz w:val="15"/>
                          </w:rPr>
                          <w:t>106. Cánula endotraqueal 7.5</w:t>
                        </w:r>
                      </w:p>
                    </w:tc>
                    <w:tc>
                      <w:tcPr>
                        <w:tcW w:w="1747" w:type="dxa"/>
                      </w:tcPr>
                      <w:p>
                        <w:pPr>
                          <w:pStyle w:val="TableParagraph"/>
                          <w:spacing w:before="17"/>
                          <w:ind w:right="47"/>
                          <w:jc w:val="right"/>
                          <w:rPr>
                            <w:sz w:val="15"/>
                          </w:rPr>
                        </w:pPr>
                        <w:r>
                          <w:rPr>
                            <w:sz w:val="15"/>
                          </w:rPr>
                          <w:t>$22.00</w:t>
                        </w:r>
                      </w:p>
                    </w:tc>
                  </w:tr>
                  <w:tr>
                    <w:trPr>
                      <w:trHeight w:val="209" w:hRule="atLeast"/>
                    </w:trPr>
                    <w:tc>
                      <w:tcPr>
                        <w:tcW w:w="4594" w:type="dxa"/>
                      </w:tcPr>
                      <w:p>
                        <w:pPr>
                          <w:pStyle w:val="TableParagraph"/>
                          <w:spacing w:line="172" w:lineRule="exact" w:before="18"/>
                          <w:ind w:left="397"/>
                          <w:rPr>
                            <w:sz w:val="15"/>
                          </w:rPr>
                        </w:pPr>
                        <w:r>
                          <w:rPr>
                            <w:sz w:val="15"/>
                          </w:rPr>
                          <w:t>61. Ámpula M.V.I.12</w:t>
                        </w:r>
                      </w:p>
                    </w:tc>
                    <w:tc>
                      <w:tcPr>
                        <w:tcW w:w="813" w:type="dxa"/>
                      </w:tcPr>
                      <w:p>
                        <w:pPr>
                          <w:pStyle w:val="TableParagraph"/>
                          <w:spacing w:line="172" w:lineRule="exact" w:before="18"/>
                          <w:ind w:right="48"/>
                          <w:jc w:val="right"/>
                          <w:rPr>
                            <w:sz w:val="15"/>
                          </w:rPr>
                        </w:pPr>
                        <w:r>
                          <w:rPr>
                            <w:sz w:val="15"/>
                          </w:rPr>
                          <w:t>$68.00</w:t>
                        </w:r>
                      </w:p>
                    </w:tc>
                    <w:tc>
                      <w:tcPr>
                        <w:tcW w:w="9875" w:type="dxa"/>
                      </w:tcPr>
                      <w:p>
                        <w:pPr>
                          <w:pStyle w:val="TableParagraph"/>
                          <w:spacing w:before="17"/>
                          <w:ind w:left="6612"/>
                          <w:rPr>
                            <w:sz w:val="15"/>
                          </w:rPr>
                        </w:pPr>
                        <w:r>
                          <w:rPr>
                            <w:sz w:val="15"/>
                          </w:rPr>
                          <w:t>107. Cánula endotraqueal 8.0</w:t>
                        </w:r>
                      </w:p>
                    </w:tc>
                    <w:tc>
                      <w:tcPr>
                        <w:tcW w:w="1747" w:type="dxa"/>
                      </w:tcPr>
                      <w:p>
                        <w:pPr>
                          <w:pStyle w:val="TableParagraph"/>
                          <w:spacing w:before="17"/>
                          <w:ind w:right="47"/>
                          <w:jc w:val="right"/>
                          <w:rPr>
                            <w:sz w:val="15"/>
                          </w:rPr>
                        </w:pPr>
                        <w:r>
                          <w:rPr>
                            <w:sz w:val="15"/>
                          </w:rPr>
                          <w:t>$22.00</w:t>
                        </w:r>
                      </w:p>
                    </w:tc>
                  </w:tr>
                  <w:tr>
                    <w:trPr>
                      <w:trHeight w:val="209" w:hRule="atLeast"/>
                    </w:trPr>
                    <w:tc>
                      <w:tcPr>
                        <w:tcW w:w="4594" w:type="dxa"/>
                      </w:tcPr>
                      <w:p>
                        <w:pPr>
                          <w:pStyle w:val="TableParagraph"/>
                          <w:spacing w:line="172" w:lineRule="exact" w:before="18"/>
                          <w:ind w:left="397"/>
                          <w:rPr>
                            <w:sz w:val="15"/>
                          </w:rPr>
                        </w:pPr>
                        <w:r>
                          <w:rPr>
                            <w:sz w:val="15"/>
                          </w:rPr>
                          <w:t>62. Ámpula manitol sol. 20g/100ml frasco 250ml</w:t>
                        </w:r>
                      </w:p>
                    </w:tc>
                    <w:tc>
                      <w:tcPr>
                        <w:tcW w:w="813" w:type="dxa"/>
                      </w:tcPr>
                      <w:p>
                        <w:pPr>
                          <w:pStyle w:val="TableParagraph"/>
                          <w:spacing w:line="172" w:lineRule="exact" w:before="18"/>
                          <w:ind w:right="47"/>
                          <w:jc w:val="right"/>
                          <w:rPr>
                            <w:sz w:val="15"/>
                          </w:rPr>
                        </w:pPr>
                        <w:r>
                          <w:rPr>
                            <w:sz w:val="15"/>
                          </w:rPr>
                          <w:t>$27.00</w:t>
                        </w:r>
                      </w:p>
                    </w:tc>
                    <w:tc>
                      <w:tcPr>
                        <w:tcW w:w="9875" w:type="dxa"/>
                      </w:tcPr>
                      <w:p>
                        <w:pPr>
                          <w:pStyle w:val="TableParagraph"/>
                          <w:spacing w:before="17"/>
                          <w:ind w:left="6612"/>
                          <w:rPr>
                            <w:sz w:val="15"/>
                          </w:rPr>
                        </w:pPr>
                        <w:r>
                          <w:rPr>
                            <w:sz w:val="15"/>
                          </w:rPr>
                          <w:t>108. Cánula endotraqueal 8.5</w:t>
                        </w:r>
                      </w:p>
                    </w:tc>
                    <w:tc>
                      <w:tcPr>
                        <w:tcW w:w="1747" w:type="dxa"/>
                      </w:tcPr>
                      <w:p>
                        <w:pPr>
                          <w:pStyle w:val="TableParagraph"/>
                          <w:spacing w:before="17"/>
                          <w:ind w:right="47"/>
                          <w:jc w:val="right"/>
                          <w:rPr>
                            <w:sz w:val="15"/>
                          </w:rPr>
                        </w:pPr>
                        <w:r>
                          <w:rPr>
                            <w:sz w:val="15"/>
                          </w:rPr>
                          <w:t>$22.00</w:t>
                        </w:r>
                      </w:p>
                    </w:tc>
                  </w:tr>
                  <w:tr>
                    <w:trPr>
                      <w:trHeight w:val="209" w:hRule="atLeast"/>
                    </w:trPr>
                    <w:tc>
                      <w:tcPr>
                        <w:tcW w:w="4594" w:type="dxa"/>
                      </w:tcPr>
                      <w:p>
                        <w:pPr>
                          <w:pStyle w:val="TableParagraph"/>
                          <w:spacing w:line="172" w:lineRule="exact" w:before="18"/>
                          <w:ind w:left="397"/>
                          <w:rPr>
                            <w:sz w:val="15"/>
                          </w:rPr>
                        </w:pPr>
                        <w:r>
                          <w:rPr>
                            <w:sz w:val="15"/>
                          </w:rPr>
                          <w:t>63. Ámpula meclicina/piridoxina</w:t>
                        </w:r>
                      </w:p>
                    </w:tc>
                    <w:tc>
                      <w:tcPr>
                        <w:tcW w:w="813" w:type="dxa"/>
                      </w:tcPr>
                      <w:p>
                        <w:pPr>
                          <w:pStyle w:val="TableParagraph"/>
                          <w:spacing w:line="172" w:lineRule="exact" w:before="18"/>
                          <w:ind w:right="49"/>
                          <w:jc w:val="right"/>
                          <w:rPr>
                            <w:sz w:val="15"/>
                          </w:rPr>
                        </w:pPr>
                        <w:r>
                          <w:rPr>
                            <w:sz w:val="15"/>
                          </w:rPr>
                          <w:t>$6.00</w:t>
                        </w:r>
                      </w:p>
                    </w:tc>
                    <w:tc>
                      <w:tcPr>
                        <w:tcW w:w="9875" w:type="dxa"/>
                      </w:tcPr>
                      <w:p>
                        <w:pPr>
                          <w:pStyle w:val="TableParagraph"/>
                          <w:spacing w:before="17"/>
                          <w:ind w:left="6612"/>
                          <w:rPr>
                            <w:sz w:val="15"/>
                          </w:rPr>
                        </w:pPr>
                        <w:r>
                          <w:rPr>
                            <w:sz w:val="15"/>
                          </w:rPr>
                          <w:t>109. Cánula endotraqueal 9.0</w:t>
                        </w:r>
                      </w:p>
                    </w:tc>
                    <w:tc>
                      <w:tcPr>
                        <w:tcW w:w="1747" w:type="dxa"/>
                      </w:tcPr>
                      <w:p>
                        <w:pPr>
                          <w:pStyle w:val="TableParagraph"/>
                          <w:spacing w:before="17"/>
                          <w:ind w:right="47"/>
                          <w:jc w:val="right"/>
                          <w:rPr>
                            <w:sz w:val="15"/>
                          </w:rPr>
                        </w:pPr>
                        <w:r>
                          <w:rPr>
                            <w:sz w:val="15"/>
                          </w:rPr>
                          <w:t>$36.00</w:t>
                        </w:r>
                      </w:p>
                    </w:tc>
                  </w:tr>
                  <w:tr>
                    <w:trPr>
                      <w:trHeight w:val="209" w:hRule="atLeast"/>
                    </w:trPr>
                    <w:tc>
                      <w:tcPr>
                        <w:tcW w:w="4594" w:type="dxa"/>
                      </w:tcPr>
                      <w:p>
                        <w:pPr>
                          <w:pStyle w:val="TableParagraph"/>
                          <w:spacing w:line="172" w:lineRule="exact" w:before="18"/>
                          <w:ind w:left="397"/>
                          <w:rPr>
                            <w:sz w:val="15"/>
                          </w:rPr>
                        </w:pPr>
                        <w:r>
                          <w:rPr>
                            <w:sz w:val="15"/>
                          </w:rPr>
                          <w:t>64. Ámpula metamizol 1g</w:t>
                        </w:r>
                      </w:p>
                    </w:tc>
                    <w:tc>
                      <w:tcPr>
                        <w:tcW w:w="813" w:type="dxa"/>
                      </w:tcPr>
                      <w:p>
                        <w:pPr>
                          <w:pStyle w:val="TableParagraph"/>
                          <w:spacing w:line="172" w:lineRule="exact" w:before="18"/>
                          <w:ind w:right="48"/>
                          <w:jc w:val="right"/>
                          <w:rPr>
                            <w:sz w:val="15"/>
                          </w:rPr>
                        </w:pPr>
                        <w:r>
                          <w:rPr>
                            <w:sz w:val="15"/>
                          </w:rPr>
                          <w:t>$4.00</w:t>
                        </w:r>
                      </w:p>
                    </w:tc>
                    <w:tc>
                      <w:tcPr>
                        <w:tcW w:w="9875" w:type="dxa"/>
                      </w:tcPr>
                      <w:p>
                        <w:pPr>
                          <w:pStyle w:val="TableParagraph"/>
                          <w:spacing w:before="17"/>
                          <w:ind w:left="6612"/>
                          <w:rPr>
                            <w:sz w:val="15"/>
                          </w:rPr>
                        </w:pPr>
                        <w:r>
                          <w:rPr>
                            <w:sz w:val="15"/>
                          </w:rPr>
                          <w:t>110. Cánula endotraqueal 9.5</w:t>
                        </w:r>
                      </w:p>
                    </w:tc>
                    <w:tc>
                      <w:tcPr>
                        <w:tcW w:w="1747" w:type="dxa"/>
                      </w:tcPr>
                      <w:p>
                        <w:pPr>
                          <w:pStyle w:val="TableParagraph"/>
                          <w:spacing w:before="17"/>
                          <w:ind w:right="47"/>
                          <w:jc w:val="right"/>
                          <w:rPr>
                            <w:sz w:val="15"/>
                          </w:rPr>
                        </w:pPr>
                        <w:r>
                          <w:rPr>
                            <w:sz w:val="15"/>
                          </w:rPr>
                          <w:t>$36.00</w:t>
                        </w:r>
                      </w:p>
                    </w:tc>
                  </w:tr>
                  <w:tr>
                    <w:trPr>
                      <w:trHeight w:val="209" w:hRule="atLeast"/>
                    </w:trPr>
                    <w:tc>
                      <w:tcPr>
                        <w:tcW w:w="4594" w:type="dxa"/>
                      </w:tcPr>
                      <w:p>
                        <w:pPr>
                          <w:pStyle w:val="TableParagraph"/>
                          <w:spacing w:line="172" w:lineRule="exact" w:before="18"/>
                          <w:ind w:left="397"/>
                          <w:rPr>
                            <w:sz w:val="15"/>
                          </w:rPr>
                        </w:pPr>
                        <w:r>
                          <w:rPr>
                            <w:sz w:val="15"/>
                          </w:rPr>
                          <w:t>65. Ámpula metilprednisolona 500mg</w:t>
                        </w:r>
                      </w:p>
                    </w:tc>
                    <w:tc>
                      <w:tcPr>
                        <w:tcW w:w="813" w:type="dxa"/>
                      </w:tcPr>
                      <w:p>
                        <w:pPr>
                          <w:pStyle w:val="TableParagraph"/>
                          <w:spacing w:line="172" w:lineRule="exact" w:before="18"/>
                          <w:ind w:right="49"/>
                          <w:jc w:val="right"/>
                          <w:rPr>
                            <w:sz w:val="15"/>
                          </w:rPr>
                        </w:pPr>
                        <w:r>
                          <w:rPr>
                            <w:sz w:val="15"/>
                          </w:rPr>
                          <w:t>$78.00</w:t>
                        </w:r>
                      </w:p>
                    </w:tc>
                    <w:tc>
                      <w:tcPr>
                        <w:tcW w:w="9875" w:type="dxa"/>
                      </w:tcPr>
                      <w:p>
                        <w:pPr>
                          <w:pStyle w:val="TableParagraph"/>
                          <w:spacing w:before="17"/>
                          <w:ind w:left="6612"/>
                          <w:rPr>
                            <w:sz w:val="15"/>
                          </w:rPr>
                        </w:pPr>
                        <w:r>
                          <w:rPr>
                            <w:sz w:val="15"/>
                          </w:rPr>
                          <w:t>111. Catéter torácico 12fr</w:t>
                        </w:r>
                      </w:p>
                    </w:tc>
                    <w:tc>
                      <w:tcPr>
                        <w:tcW w:w="1747" w:type="dxa"/>
                      </w:tcPr>
                      <w:p>
                        <w:pPr>
                          <w:pStyle w:val="TableParagraph"/>
                          <w:spacing w:before="17"/>
                          <w:ind w:right="47"/>
                          <w:jc w:val="right"/>
                          <w:rPr>
                            <w:sz w:val="15"/>
                          </w:rPr>
                        </w:pPr>
                        <w:r>
                          <w:rPr>
                            <w:sz w:val="15"/>
                          </w:rPr>
                          <w:t>$127.00</w:t>
                        </w:r>
                      </w:p>
                    </w:tc>
                  </w:tr>
                  <w:tr>
                    <w:trPr>
                      <w:trHeight w:val="209" w:hRule="atLeast"/>
                    </w:trPr>
                    <w:tc>
                      <w:tcPr>
                        <w:tcW w:w="4594" w:type="dxa"/>
                      </w:tcPr>
                      <w:p>
                        <w:pPr>
                          <w:pStyle w:val="TableParagraph"/>
                          <w:spacing w:line="172" w:lineRule="exact" w:before="18"/>
                          <w:ind w:left="397"/>
                          <w:rPr>
                            <w:sz w:val="15"/>
                          </w:rPr>
                        </w:pPr>
                        <w:r>
                          <w:rPr>
                            <w:sz w:val="15"/>
                          </w:rPr>
                          <w:t>66. Ámpula metroclopramida 10mg</w:t>
                        </w:r>
                      </w:p>
                    </w:tc>
                    <w:tc>
                      <w:tcPr>
                        <w:tcW w:w="813" w:type="dxa"/>
                      </w:tcPr>
                      <w:p>
                        <w:pPr>
                          <w:pStyle w:val="TableParagraph"/>
                          <w:spacing w:line="172" w:lineRule="exact" w:before="18"/>
                          <w:ind w:right="48"/>
                          <w:jc w:val="right"/>
                          <w:rPr>
                            <w:sz w:val="15"/>
                          </w:rPr>
                        </w:pPr>
                        <w:r>
                          <w:rPr>
                            <w:sz w:val="15"/>
                          </w:rPr>
                          <w:t>$4.00</w:t>
                        </w:r>
                      </w:p>
                    </w:tc>
                    <w:tc>
                      <w:tcPr>
                        <w:tcW w:w="9875" w:type="dxa"/>
                      </w:tcPr>
                      <w:p>
                        <w:pPr>
                          <w:pStyle w:val="TableParagraph"/>
                          <w:spacing w:before="17"/>
                          <w:ind w:left="6612"/>
                          <w:rPr>
                            <w:sz w:val="15"/>
                          </w:rPr>
                        </w:pPr>
                        <w:r>
                          <w:rPr>
                            <w:sz w:val="15"/>
                          </w:rPr>
                          <w:t>112. Catéter torácico 14fr</w:t>
                        </w:r>
                      </w:p>
                    </w:tc>
                    <w:tc>
                      <w:tcPr>
                        <w:tcW w:w="1747" w:type="dxa"/>
                      </w:tcPr>
                      <w:p>
                        <w:pPr>
                          <w:pStyle w:val="TableParagraph"/>
                          <w:spacing w:before="17"/>
                          <w:ind w:right="47"/>
                          <w:jc w:val="right"/>
                          <w:rPr>
                            <w:sz w:val="15"/>
                          </w:rPr>
                        </w:pPr>
                        <w:r>
                          <w:rPr>
                            <w:sz w:val="15"/>
                          </w:rPr>
                          <w:t>$127.00</w:t>
                        </w:r>
                      </w:p>
                    </w:tc>
                  </w:tr>
                  <w:tr>
                    <w:trPr>
                      <w:trHeight w:val="209" w:hRule="atLeast"/>
                    </w:trPr>
                    <w:tc>
                      <w:tcPr>
                        <w:tcW w:w="4594" w:type="dxa"/>
                      </w:tcPr>
                      <w:p>
                        <w:pPr>
                          <w:pStyle w:val="TableParagraph"/>
                          <w:spacing w:line="172" w:lineRule="exact" w:before="18"/>
                          <w:ind w:left="397"/>
                          <w:rPr>
                            <w:sz w:val="15"/>
                          </w:rPr>
                        </w:pPr>
                        <w:r>
                          <w:rPr>
                            <w:sz w:val="15"/>
                          </w:rPr>
                          <w:t>67. Ámpula metronidazol sol.</w:t>
                        </w:r>
                      </w:p>
                    </w:tc>
                    <w:tc>
                      <w:tcPr>
                        <w:tcW w:w="813" w:type="dxa"/>
                      </w:tcPr>
                      <w:p>
                        <w:pPr>
                          <w:pStyle w:val="TableParagraph"/>
                          <w:spacing w:line="172" w:lineRule="exact" w:before="18"/>
                          <w:ind w:right="48"/>
                          <w:jc w:val="right"/>
                          <w:rPr>
                            <w:sz w:val="15"/>
                          </w:rPr>
                        </w:pPr>
                        <w:r>
                          <w:rPr>
                            <w:sz w:val="15"/>
                          </w:rPr>
                          <w:t>$16.00</w:t>
                        </w:r>
                      </w:p>
                    </w:tc>
                    <w:tc>
                      <w:tcPr>
                        <w:tcW w:w="9875" w:type="dxa"/>
                      </w:tcPr>
                      <w:p>
                        <w:pPr>
                          <w:pStyle w:val="TableParagraph"/>
                          <w:spacing w:before="17"/>
                          <w:ind w:left="6612"/>
                          <w:rPr>
                            <w:sz w:val="15"/>
                          </w:rPr>
                        </w:pPr>
                        <w:r>
                          <w:rPr>
                            <w:sz w:val="15"/>
                          </w:rPr>
                          <w:t>113. Catéter torácico 16fr</w:t>
                        </w:r>
                      </w:p>
                    </w:tc>
                    <w:tc>
                      <w:tcPr>
                        <w:tcW w:w="1747" w:type="dxa"/>
                      </w:tcPr>
                      <w:p>
                        <w:pPr>
                          <w:pStyle w:val="TableParagraph"/>
                          <w:spacing w:before="17"/>
                          <w:ind w:right="47"/>
                          <w:jc w:val="right"/>
                          <w:rPr>
                            <w:sz w:val="15"/>
                          </w:rPr>
                        </w:pPr>
                        <w:r>
                          <w:rPr>
                            <w:sz w:val="15"/>
                          </w:rPr>
                          <w:t>$113.00</w:t>
                        </w:r>
                      </w:p>
                    </w:tc>
                  </w:tr>
                  <w:tr>
                    <w:trPr>
                      <w:trHeight w:val="209" w:hRule="atLeast"/>
                    </w:trPr>
                    <w:tc>
                      <w:tcPr>
                        <w:tcW w:w="4594" w:type="dxa"/>
                      </w:tcPr>
                      <w:p>
                        <w:pPr>
                          <w:pStyle w:val="TableParagraph"/>
                          <w:spacing w:line="172" w:lineRule="exact" w:before="18"/>
                          <w:ind w:left="397"/>
                          <w:rPr>
                            <w:sz w:val="15"/>
                          </w:rPr>
                        </w:pPr>
                        <w:r>
                          <w:rPr>
                            <w:sz w:val="15"/>
                          </w:rPr>
                          <w:t>68. Ámpula microlax enema- (fleet)</w:t>
                        </w:r>
                      </w:p>
                    </w:tc>
                    <w:tc>
                      <w:tcPr>
                        <w:tcW w:w="813" w:type="dxa"/>
                      </w:tcPr>
                      <w:p>
                        <w:pPr>
                          <w:pStyle w:val="TableParagraph"/>
                          <w:spacing w:line="172" w:lineRule="exact" w:before="18"/>
                          <w:ind w:right="48"/>
                          <w:jc w:val="right"/>
                          <w:rPr>
                            <w:sz w:val="15"/>
                          </w:rPr>
                        </w:pPr>
                        <w:r>
                          <w:rPr>
                            <w:sz w:val="15"/>
                          </w:rPr>
                          <w:t>$27.00</w:t>
                        </w:r>
                      </w:p>
                    </w:tc>
                    <w:tc>
                      <w:tcPr>
                        <w:tcW w:w="9875" w:type="dxa"/>
                      </w:tcPr>
                      <w:p>
                        <w:pPr>
                          <w:pStyle w:val="TableParagraph"/>
                          <w:spacing w:before="17"/>
                          <w:ind w:left="6612"/>
                          <w:rPr>
                            <w:sz w:val="15"/>
                          </w:rPr>
                        </w:pPr>
                        <w:r>
                          <w:rPr>
                            <w:sz w:val="15"/>
                          </w:rPr>
                          <w:t>114. Catéter torácico 28fr</w:t>
                        </w:r>
                      </w:p>
                    </w:tc>
                    <w:tc>
                      <w:tcPr>
                        <w:tcW w:w="1747" w:type="dxa"/>
                      </w:tcPr>
                      <w:p>
                        <w:pPr>
                          <w:pStyle w:val="TableParagraph"/>
                          <w:spacing w:before="17"/>
                          <w:ind w:right="47"/>
                          <w:jc w:val="right"/>
                          <w:rPr>
                            <w:sz w:val="15"/>
                          </w:rPr>
                        </w:pPr>
                        <w:r>
                          <w:rPr>
                            <w:sz w:val="15"/>
                          </w:rPr>
                          <w:t>$113.00</w:t>
                        </w:r>
                      </w:p>
                    </w:tc>
                  </w:tr>
                  <w:tr>
                    <w:trPr>
                      <w:trHeight w:val="209" w:hRule="atLeast"/>
                    </w:trPr>
                    <w:tc>
                      <w:tcPr>
                        <w:tcW w:w="4594" w:type="dxa"/>
                      </w:tcPr>
                      <w:p>
                        <w:pPr>
                          <w:pStyle w:val="TableParagraph"/>
                          <w:spacing w:line="172" w:lineRule="exact" w:before="18"/>
                          <w:ind w:left="397"/>
                          <w:rPr>
                            <w:sz w:val="15"/>
                          </w:rPr>
                        </w:pPr>
                        <w:r>
                          <w:rPr>
                            <w:sz w:val="15"/>
                          </w:rPr>
                          <w:t>69. Ámpula nalbufina10mg</w:t>
                        </w:r>
                      </w:p>
                    </w:tc>
                    <w:tc>
                      <w:tcPr>
                        <w:tcW w:w="813" w:type="dxa"/>
                      </w:tcPr>
                      <w:p>
                        <w:pPr>
                          <w:pStyle w:val="TableParagraph"/>
                          <w:spacing w:line="172" w:lineRule="exact" w:before="18"/>
                          <w:ind w:right="48"/>
                          <w:jc w:val="right"/>
                          <w:rPr>
                            <w:sz w:val="15"/>
                          </w:rPr>
                        </w:pPr>
                        <w:r>
                          <w:rPr>
                            <w:sz w:val="15"/>
                          </w:rPr>
                          <w:t>$17.00</w:t>
                        </w:r>
                      </w:p>
                    </w:tc>
                    <w:tc>
                      <w:tcPr>
                        <w:tcW w:w="9875" w:type="dxa"/>
                      </w:tcPr>
                      <w:p>
                        <w:pPr>
                          <w:pStyle w:val="TableParagraph"/>
                          <w:spacing w:before="17"/>
                          <w:ind w:left="6612"/>
                          <w:rPr>
                            <w:sz w:val="15"/>
                          </w:rPr>
                        </w:pPr>
                        <w:r>
                          <w:rPr>
                            <w:sz w:val="15"/>
                          </w:rPr>
                          <w:t>115. Catéter torácico 32fr</w:t>
                        </w:r>
                      </w:p>
                    </w:tc>
                    <w:tc>
                      <w:tcPr>
                        <w:tcW w:w="1747" w:type="dxa"/>
                      </w:tcPr>
                      <w:p>
                        <w:pPr>
                          <w:pStyle w:val="TableParagraph"/>
                          <w:spacing w:before="17"/>
                          <w:ind w:right="47"/>
                          <w:jc w:val="right"/>
                          <w:rPr>
                            <w:sz w:val="15"/>
                          </w:rPr>
                        </w:pPr>
                        <w:r>
                          <w:rPr>
                            <w:sz w:val="15"/>
                          </w:rPr>
                          <w:t>$144.00</w:t>
                        </w:r>
                      </w:p>
                    </w:tc>
                  </w:tr>
                  <w:tr>
                    <w:trPr>
                      <w:trHeight w:val="209" w:hRule="atLeast"/>
                    </w:trPr>
                    <w:tc>
                      <w:tcPr>
                        <w:tcW w:w="4594" w:type="dxa"/>
                      </w:tcPr>
                      <w:p>
                        <w:pPr>
                          <w:pStyle w:val="TableParagraph"/>
                          <w:spacing w:line="172" w:lineRule="exact" w:before="18"/>
                          <w:ind w:left="397"/>
                          <w:rPr>
                            <w:sz w:val="15"/>
                          </w:rPr>
                        </w:pPr>
                        <w:r>
                          <w:rPr>
                            <w:sz w:val="15"/>
                          </w:rPr>
                          <w:t>70. Ámpula narcanti/naloxone</w:t>
                        </w:r>
                      </w:p>
                    </w:tc>
                    <w:tc>
                      <w:tcPr>
                        <w:tcW w:w="813" w:type="dxa"/>
                      </w:tcPr>
                      <w:p>
                        <w:pPr>
                          <w:pStyle w:val="TableParagraph"/>
                          <w:spacing w:line="172" w:lineRule="exact" w:before="18"/>
                          <w:ind w:right="48"/>
                          <w:jc w:val="right"/>
                          <w:rPr>
                            <w:sz w:val="15"/>
                          </w:rPr>
                        </w:pPr>
                        <w:r>
                          <w:rPr>
                            <w:sz w:val="15"/>
                          </w:rPr>
                          <w:t>$221.00</w:t>
                        </w:r>
                      </w:p>
                    </w:tc>
                    <w:tc>
                      <w:tcPr>
                        <w:tcW w:w="9875" w:type="dxa"/>
                      </w:tcPr>
                      <w:p>
                        <w:pPr>
                          <w:pStyle w:val="TableParagraph"/>
                          <w:spacing w:before="17"/>
                          <w:ind w:left="6612"/>
                          <w:rPr>
                            <w:sz w:val="15"/>
                          </w:rPr>
                        </w:pPr>
                        <w:r>
                          <w:rPr>
                            <w:sz w:val="15"/>
                          </w:rPr>
                          <w:t>116. Catéter torácico recto 20fr</w:t>
                        </w:r>
                      </w:p>
                    </w:tc>
                    <w:tc>
                      <w:tcPr>
                        <w:tcW w:w="1747" w:type="dxa"/>
                      </w:tcPr>
                      <w:p>
                        <w:pPr>
                          <w:pStyle w:val="TableParagraph"/>
                          <w:spacing w:before="17"/>
                          <w:ind w:right="47"/>
                          <w:jc w:val="right"/>
                          <w:rPr>
                            <w:sz w:val="15"/>
                          </w:rPr>
                        </w:pPr>
                        <w:r>
                          <w:rPr>
                            <w:sz w:val="15"/>
                          </w:rPr>
                          <w:t>$104.00</w:t>
                        </w:r>
                      </w:p>
                    </w:tc>
                  </w:tr>
                  <w:tr>
                    <w:trPr>
                      <w:trHeight w:val="209" w:hRule="atLeast"/>
                    </w:trPr>
                    <w:tc>
                      <w:tcPr>
                        <w:tcW w:w="4594" w:type="dxa"/>
                      </w:tcPr>
                      <w:p>
                        <w:pPr>
                          <w:pStyle w:val="TableParagraph"/>
                          <w:spacing w:line="172" w:lineRule="exact" w:before="18"/>
                          <w:ind w:left="397"/>
                          <w:rPr>
                            <w:sz w:val="15"/>
                          </w:rPr>
                        </w:pPr>
                        <w:r>
                          <w:rPr>
                            <w:sz w:val="15"/>
                          </w:rPr>
                          <w:t>71. Ámpula nitroglicerina sol. 50mg</w:t>
                        </w:r>
                      </w:p>
                    </w:tc>
                    <w:tc>
                      <w:tcPr>
                        <w:tcW w:w="813" w:type="dxa"/>
                      </w:tcPr>
                      <w:p>
                        <w:pPr>
                          <w:pStyle w:val="TableParagraph"/>
                          <w:spacing w:line="172" w:lineRule="exact" w:before="18"/>
                          <w:ind w:right="48"/>
                          <w:jc w:val="right"/>
                          <w:rPr>
                            <w:sz w:val="15"/>
                          </w:rPr>
                        </w:pPr>
                        <w:r>
                          <w:rPr>
                            <w:sz w:val="15"/>
                          </w:rPr>
                          <w:t>$463.00</w:t>
                        </w:r>
                      </w:p>
                    </w:tc>
                    <w:tc>
                      <w:tcPr>
                        <w:tcW w:w="9875" w:type="dxa"/>
                      </w:tcPr>
                      <w:p>
                        <w:pPr>
                          <w:pStyle w:val="TableParagraph"/>
                          <w:spacing w:before="17"/>
                          <w:ind w:left="6612"/>
                          <w:rPr>
                            <w:sz w:val="15"/>
                          </w:rPr>
                        </w:pPr>
                        <w:r>
                          <w:rPr>
                            <w:sz w:val="15"/>
                          </w:rPr>
                          <w:t>117. Catéter torácico recto 36fr</w:t>
                        </w:r>
                      </w:p>
                    </w:tc>
                    <w:tc>
                      <w:tcPr>
                        <w:tcW w:w="1747" w:type="dxa"/>
                      </w:tcPr>
                      <w:p>
                        <w:pPr>
                          <w:pStyle w:val="TableParagraph"/>
                          <w:spacing w:before="17"/>
                          <w:ind w:right="47"/>
                          <w:jc w:val="right"/>
                          <w:rPr>
                            <w:sz w:val="15"/>
                          </w:rPr>
                        </w:pPr>
                        <w:r>
                          <w:rPr>
                            <w:sz w:val="15"/>
                          </w:rPr>
                          <w:t>$88.00</w:t>
                        </w:r>
                      </w:p>
                    </w:tc>
                  </w:tr>
                  <w:tr>
                    <w:trPr>
                      <w:trHeight w:val="209" w:hRule="atLeast"/>
                    </w:trPr>
                    <w:tc>
                      <w:tcPr>
                        <w:tcW w:w="4594" w:type="dxa"/>
                      </w:tcPr>
                      <w:p>
                        <w:pPr>
                          <w:pStyle w:val="TableParagraph"/>
                          <w:spacing w:line="172" w:lineRule="exact" w:before="18"/>
                          <w:ind w:left="397"/>
                          <w:rPr>
                            <w:sz w:val="15"/>
                          </w:rPr>
                        </w:pPr>
                        <w:r>
                          <w:rPr>
                            <w:sz w:val="15"/>
                          </w:rPr>
                          <w:t>72. Ámpula nocuron bromuro de vecuronio 4mg</w:t>
                        </w:r>
                      </w:p>
                    </w:tc>
                    <w:tc>
                      <w:tcPr>
                        <w:tcW w:w="813" w:type="dxa"/>
                      </w:tcPr>
                      <w:p>
                        <w:pPr>
                          <w:pStyle w:val="TableParagraph"/>
                          <w:spacing w:line="172" w:lineRule="exact" w:before="18"/>
                          <w:ind w:right="48"/>
                          <w:jc w:val="right"/>
                          <w:rPr>
                            <w:sz w:val="15"/>
                          </w:rPr>
                        </w:pPr>
                        <w:r>
                          <w:rPr>
                            <w:sz w:val="15"/>
                          </w:rPr>
                          <w:t>$36.00</w:t>
                        </w:r>
                      </w:p>
                    </w:tc>
                    <w:tc>
                      <w:tcPr>
                        <w:tcW w:w="9875" w:type="dxa"/>
                      </w:tcPr>
                      <w:p>
                        <w:pPr>
                          <w:pStyle w:val="TableParagraph"/>
                          <w:spacing w:before="17"/>
                          <w:ind w:left="6612"/>
                          <w:rPr>
                            <w:sz w:val="15"/>
                          </w:rPr>
                        </w:pPr>
                        <w:r>
                          <w:rPr>
                            <w:sz w:val="15"/>
                          </w:rPr>
                          <w:t>118. Catéter umbilical 3.5fr</w:t>
                        </w:r>
                      </w:p>
                    </w:tc>
                    <w:tc>
                      <w:tcPr>
                        <w:tcW w:w="1747" w:type="dxa"/>
                      </w:tcPr>
                      <w:p>
                        <w:pPr>
                          <w:pStyle w:val="TableParagraph"/>
                          <w:spacing w:before="17"/>
                          <w:ind w:right="47"/>
                          <w:jc w:val="right"/>
                          <w:rPr>
                            <w:sz w:val="15"/>
                          </w:rPr>
                        </w:pPr>
                        <w:r>
                          <w:rPr>
                            <w:sz w:val="15"/>
                          </w:rPr>
                          <w:t>$122.00</w:t>
                        </w:r>
                      </w:p>
                    </w:tc>
                  </w:tr>
                  <w:tr>
                    <w:trPr>
                      <w:trHeight w:val="209" w:hRule="atLeast"/>
                    </w:trPr>
                    <w:tc>
                      <w:tcPr>
                        <w:tcW w:w="4594" w:type="dxa"/>
                      </w:tcPr>
                      <w:p>
                        <w:pPr>
                          <w:pStyle w:val="TableParagraph"/>
                          <w:spacing w:line="172" w:lineRule="exact" w:before="18"/>
                          <w:ind w:left="397"/>
                          <w:rPr>
                            <w:sz w:val="15"/>
                          </w:rPr>
                        </w:pPr>
                        <w:r>
                          <w:rPr>
                            <w:sz w:val="15"/>
                          </w:rPr>
                          <w:t>73. Ámpula oxitocina</w:t>
                        </w:r>
                      </w:p>
                    </w:tc>
                    <w:tc>
                      <w:tcPr>
                        <w:tcW w:w="813" w:type="dxa"/>
                      </w:tcPr>
                      <w:p>
                        <w:pPr>
                          <w:pStyle w:val="TableParagraph"/>
                          <w:spacing w:line="172" w:lineRule="exact" w:before="18"/>
                          <w:ind w:right="48"/>
                          <w:jc w:val="right"/>
                          <w:rPr>
                            <w:sz w:val="15"/>
                          </w:rPr>
                        </w:pPr>
                        <w:r>
                          <w:rPr>
                            <w:sz w:val="15"/>
                          </w:rPr>
                          <w:t>$5.00</w:t>
                        </w:r>
                      </w:p>
                    </w:tc>
                    <w:tc>
                      <w:tcPr>
                        <w:tcW w:w="9875" w:type="dxa"/>
                      </w:tcPr>
                      <w:p>
                        <w:pPr>
                          <w:pStyle w:val="TableParagraph"/>
                          <w:spacing w:before="17"/>
                          <w:ind w:left="6612"/>
                          <w:rPr>
                            <w:sz w:val="15"/>
                          </w:rPr>
                        </w:pPr>
                        <w:r>
                          <w:rPr>
                            <w:sz w:val="15"/>
                          </w:rPr>
                          <w:t>119. Catéter umbilical 5</w:t>
                        </w:r>
                      </w:p>
                    </w:tc>
                    <w:tc>
                      <w:tcPr>
                        <w:tcW w:w="1747" w:type="dxa"/>
                      </w:tcPr>
                      <w:p>
                        <w:pPr>
                          <w:pStyle w:val="TableParagraph"/>
                          <w:spacing w:before="17"/>
                          <w:ind w:right="47"/>
                          <w:jc w:val="right"/>
                          <w:rPr>
                            <w:sz w:val="15"/>
                          </w:rPr>
                        </w:pPr>
                        <w:r>
                          <w:rPr>
                            <w:sz w:val="15"/>
                          </w:rPr>
                          <w:t>$122.00</w:t>
                        </w:r>
                      </w:p>
                    </w:tc>
                  </w:tr>
                  <w:tr>
                    <w:trPr>
                      <w:trHeight w:val="209" w:hRule="atLeast"/>
                    </w:trPr>
                    <w:tc>
                      <w:tcPr>
                        <w:tcW w:w="4594" w:type="dxa"/>
                      </w:tcPr>
                      <w:p>
                        <w:pPr>
                          <w:pStyle w:val="TableParagraph"/>
                          <w:spacing w:line="172" w:lineRule="exact" w:before="18"/>
                          <w:ind w:left="397"/>
                          <w:rPr>
                            <w:sz w:val="15"/>
                          </w:rPr>
                        </w:pPr>
                        <w:r>
                          <w:rPr>
                            <w:sz w:val="15"/>
                          </w:rPr>
                          <w:t>74. Ámpula floroglucinol, trimetilfloroglucinol (panclasa)</w:t>
                        </w:r>
                      </w:p>
                    </w:tc>
                    <w:tc>
                      <w:tcPr>
                        <w:tcW w:w="813" w:type="dxa"/>
                      </w:tcPr>
                      <w:p>
                        <w:pPr>
                          <w:pStyle w:val="TableParagraph"/>
                          <w:spacing w:line="172" w:lineRule="exact" w:before="18"/>
                          <w:ind w:right="48"/>
                          <w:jc w:val="right"/>
                          <w:rPr>
                            <w:sz w:val="15"/>
                          </w:rPr>
                        </w:pPr>
                        <w:r>
                          <w:rPr>
                            <w:sz w:val="15"/>
                          </w:rPr>
                          <w:t>$22.00</w:t>
                        </w:r>
                      </w:p>
                    </w:tc>
                    <w:tc>
                      <w:tcPr>
                        <w:tcW w:w="9875" w:type="dxa"/>
                      </w:tcPr>
                      <w:p>
                        <w:pPr>
                          <w:pStyle w:val="TableParagraph"/>
                          <w:spacing w:before="17"/>
                          <w:ind w:left="6612"/>
                          <w:rPr>
                            <w:sz w:val="15"/>
                          </w:rPr>
                        </w:pPr>
                        <w:r>
                          <w:rPr>
                            <w:sz w:val="15"/>
                          </w:rPr>
                          <w:t>120. Circuito IPPB ventilador</w:t>
                        </w:r>
                      </w:p>
                    </w:tc>
                    <w:tc>
                      <w:tcPr>
                        <w:tcW w:w="1747" w:type="dxa"/>
                      </w:tcPr>
                      <w:p>
                        <w:pPr>
                          <w:pStyle w:val="TableParagraph"/>
                          <w:spacing w:before="17"/>
                          <w:ind w:right="47"/>
                          <w:jc w:val="right"/>
                          <w:rPr>
                            <w:sz w:val="15"/>
                          </w:rPr>
                        </w:pPr>
                        <w:r>
                          <w:rPr>
                            <w:sz w:val="15"/>
                          </w:rPr>
                          <w:t>$497.00</w:t>
                        </w:r>
                      </w:p>
                    </w:tc>
                  </w:tr>
                  <w:tr>
                    <w:trPr>
                      <w:trHeight w:val="282" w:hRule="atLeast"/>
                    </w:trPr>
                    <w:tc>
                      <w:tcPr>
                        <w:tcW w:w="4594" w:type="dxa"/>
                      </w:tcPr>
                      <w:p>
                        <w:pPr>
                          <w:pStyle w:val="TableParagraph"/>
                          <w:spacing w:before="18"/>
                          <w:ind w:right="202"/>
                          <w:jc w:val="right"/>
                          <w:rPr>
                            <w:sz w:val="15"/>
                          </w:rPr>
                        </w:pPr>
                        <w:r>
                          <w:rPr>
                            <w:sz w:val="15"/>
                          </w:rPr>
                          <w:t>75. Ámpula Bencilpenicilinaprocaina con bencilpenicilina</w:t>
                        </w:r>
                      </w:p>
                    </w:tc>
                    <w:tc>
                      <w:tcPr>
                        <w:tcW w:w="813" w:type="dxa"/>
                      </w:tcPr>
                      <w:p>
                        <w:pPr>
                          <w:pStyle w:val="TableParagraph"/>
                          <w:spacing w:before="18"/>
                          <w:ind w:right="48"/>
                          <w:jc w:val="right"/>
                          <w:rPr>
                            <w:sz w:val="15"/>
                          </w:rPr>
                        </w:pPr>
                        <w:r>
                          <w:rPr>
                            <w:sz w:val="15"/>
                          </w:rPr>
                          <w:t>$7.00</w:t>
                        </w:r>
                      </w:p>
                    </w:tc>
                    <w:tc>
                      <w:tcPr>
                        <w:tcW w:w="9875" w:type="dxa"/>
                      </w:tcPr>
                      <w:p>
                        <w:pPr>
                          <w:pStyle w:val="TableParagraph"/>
                          <w:spacing w:before="17"/>
                          <w:ind w:left="6612"/>
                          <w:rPr>
                            <w:sz w:val="15"/>
                          </w:rPr>
                        </w:pPr>
                        <w:r>
                          <w:rPr>
                            <w:sz w:val="15"/>
                          </w:rPr>
                          <w:t>121. Cito spray (ginecológico)</w:t>
                        </w:r>
                      </w:p>
                    </w:tc>
                    <w:tc>
                      <w:tcPr>
                        <w:tcW w:w="1747" w:type="dxa"/>
                      </w:tcPr>
                      <w:p>
                        <w:pPr>
                          <w:pStyle w:val="TableParagraph"/>
                          <w:spacing w:before="17"/>
                          <w:ind w:right="48"/>
                          <w:jc w:val="right"/>
                          <w:rPr>
                            <w:sz w:val="15"/>
                          </w:rPr>
                        </w:pPr>
                        <w:r>
                          <w:rPr>
                            <w:sz w:val="15"/>
                          </w:rPr>
                          <w:t>$60.00</w:t>
                        </w:r>
                      </w:p>
                    </w:tc>
                  </w:tr>
                  <w:tr>
                    <w:trPr>
                      <w:trHeight w:val="263" w:hRule="atLeast"/>
                    </w:trPr>
                    <w:tc>
                      <w:tcPr>
                        <w:tcW w:w="4594" w:type="dxa"/>
                      </w:tcPr>
                      <w:p>
                        <w:pPr>
                          <w:pStyle w:val="TableParagraph"/>
                          <w:spacing w:line="153" w:lineRule="exact" w:before="90"/>
                          <w:ind w:right="204"/>
                          <w:jc w:val="right"/>
                          <w:rPr>
                            <w:sz w:val="15"/>
                          </w:rPr>
                        </w:pPr>
                        <w:r>
                          <w:rPr>
                            <w:sz w:val="15"/>
                          </w:rPr>
                          <w:t>76. Ámpula Bencilpenicilinaprocaina con bencilpenicilina</w:t>
                        </w:r>
                      </w:p>
                    </w:tc>
                    <w:tc>
                      <w:tcPr>
                        <w:tcW w:w="12435" w:type="dxa"/>
                        <w:gridSpan w:val="3"/>
                      </w:tcPr>
                      <w:p>
                        <w:pPr>
                          <w:pStyle w:val="TableParagraph"/>
                          <w:tabs>
                            <w:tab w:pos="11914" w:val="left" w:leader="none"/>
                          </w:tabs>
                          <w:spacing w:line="101" w:lineRule="exact"/>
                          <w:ind w:left="7425"/>
                          <w:rPr>
                            <w:sz w:val="15"/>
                          </w:rPr>
                        </w:pPr>
                        <w:r>
                          <w:rPr>
                            <w:sz w:val="15"/>
                          </w:rPr>
                          <w:t>122. Collarín</w:t>
                        </w:r>
                        <w:r>
                          <w:rPr>
                            <w:spacing w:val="19"/>
                            <w:sz w:val="15"/>
                          </w:rPr>
                          <w:t> </w:t>
                        </w:r>
                        <w:r>
                          <w:rPr>
                            <w:sz w:val="15"/>
                          </w:rPr>
                          <w:t>blando</w:t>
                        </w:r>
                        <w:r>
                          <w:rPr>
                            <w:spacing w:val="10"/>
                            <w:sz w:val="15"/>
                          </w:rPr>
                          <w:t> </w:t>
                        </w:r>
                        <w:r>
                          <w:rPr>
                            <w:sz w:val="15"/>
                          </w:rPr>
                          <w:t>estándar</w:t>
                          <w:tab/>
                          <w:t>$66.00</w:t>
                        </w:r>
                      </w:p>
                      <w:p>
                        <w:pPr>
                          <w:pStyle w:val="TableParagraph"/>
                          <w:tabs>
                            <w:tab w:pos="7426" w:val="left" w:leader="none"/>
                            <w:tab w:pos="11829" w:val="left" w:leader="none"/>
                          </w:tabs>
                          <w:spacing w:line="142" w:lineRule="exact"/>
                          <w:ind w:left="377"/>
                          <w:rPr>
                            <w:sz w:val="15"/>
                          </w:rPr>
                        </w:pPr>
                        <w:r>
                          <w:rPr>
                            <w:position w:val="7"/>
                            <w:sz w:val="15"/>
                          </w:rPr>
                          <w:t>$8.00</w:t>
                          <w:tab/>
                        </w:r>
                        <w:r>
                          <w:rPr>
                            <w:sz w:val="15"/>
                          </w:rPr>
                          <w:t>123. Cpap nasal</w:t>
                        </w:r>
                        <w:r>
                          <w:rPr>
                            <w:spacing w:val="19"/>
                            <w:sz w:val="15"/>
                          </w:rPr>
                          <w:t> </w:t>
                        </w:r>
                        <w:r>
                          <w:rPr>
                            <w:sz w:val="15"/>
                          </w:rPr>
                          <w:t>infantil</w:t>
                        </w:r>
                        <w:r>
                          <w:rPr>
                            <w:spacing w:val="5"/>
                            <w:sz w:val="15"/>
                          </w:rPr>
                          <w:t> </w:t>
                        </w:r>
                        <w:r>
                          <w:rPr>
                            <w:sz w:val="15"/>
                          </w:rPr>
                          <w:t>0</w:t>
                          <w:tab/>
                          <w:t>$624.00</w:t>
                        </w:r>
                      </w:p>
                    </w:tc>
                  </w:tr>
                  <w:tr>
                    <w:trPr>
                      <w:trHeight w:val="228" w:hRule="atLeast"/>
                    </w:trPr>
                    <w:tc>
                      <w:tcPr>
                        <w:tcW w:w="4594" w:type="dxa"/>
                      </w:tcPr>
                      <w:p>
                        <w:pPr>
                          <w:pStyle w:val="TableParagraph"/>
                          <w:spacing w:before="3"/>
                          <w:rPr>
                            <w:sz w:val="15"/>
                          </w:rPr>
                        </w:pPr>
                        <w:r>
                          <w:rPr>
                            <w:sz w:val="15"/>
                          </w:rPr>
                          <w:t>cristalina 800 000 U (penisodina 800)</w:t>
                        </w:r>
                      </w:p>
                    </w:tc>
                    <w:tc>
                      <w:tcPr>
                        <w:tcW w:w="813" w:type="dxa"/>
                      </w:tcPr>
                      <w:p>
                        <w:pPr>
                          <w:pStyle w:val="TableParagraph"/>
                          <w:rPr>
                            <w:rFonts w:ascii="Times New Roman"/>
                            <w:sz w:val="14"/>
                          </w:rPr>
                        </w:pPr>
                      </w:p>
                    </w:tc>
                    <w:tc>
                      <w:tcPr>
                        <w:tcW w:w="9875" w:type="dxa"/>
                      </w:tcPr>
                      <w:p>
                        <w:pPr>
                          <w:pStyle w:val="TableParagraph"/>
                          <w:spacing w:line="107" w:lineRule="exact" w:before="101"/>
                          <w:ind w:left="6613"/>
                          <w:rPr>
                            <w:sz w:val="15"/>
                          </w:rPr>
                        </w:pPr>
                        <w:r>
                          <w:rPr>
                            <w:sz w:val="15"/>
                          </w:rPr>
                          <w:t>124. Cpap nasal infantil 1</w:t>
                        </w:r>
                      </w:p>
                    </w:tc>
                    <w:tc>
                      <w:tcPr>
                        <w:tcW w:w="1747" w:type="dxa"/>
                      </w:tcPr>
                      <w:p>
                        <w:pPr>
                          <w:pStyle w:val="TableParagraph"/>
                          <w:spacing w:line="107" w:lineRule="exact" w:before="101"/>
                          <w:ind w:right="48"/>
                          <w:jc w:val="right"/>
                          <w:rPr>
                            <w:sz w:val="15"/>
                          </w:rPr>
                        </w:pPr>
                        <w:r>
                          <w:rPr>
                            <w:sz w:val="15"/>
                          </w:rPr>
                          <w:t>$481.00</w:t>
                        </w:r>
                      </w:p>
                    </w:tc>
                  </w:tr>
                  <w:tr>
                    <w:trPr>
                      <w:trHeight w:val="144" w:hRule="atLeast"/>
                    </w:trPr>
                    <w:tc>
                      <w:tcPr>
                        <w:tcW w:w="4594" w:type="dxa"/>
                      </w:tcPr>
                      <w:p>
                        <w:pPr>
                          <w:pStyle w:val="TableParagraph"/>
                          <w:spacing w:line="124" w:lineRule="exact"/>
                          <w:ind w:left="397"/>
                          <w:rPr>
                            <w:sz w:val="15"/>
                          </w:rPr>
                        </w:pPr>
                        <w:r>
                          <w:rPr>
                            <w:sz w:val="15"/>
                          </w:rPr>
                          <w:t>77. Ámpula ranitidina</w:t>
                        </w:r>
                      </w:p>
                    </w:tc>
                    <w:tc>
                      <w:tcPr>
                        <w:tcW w:w="12435" w:type="dxa"/>
                        <w:gridSpan w:val="3"/>
                      </w:tcPr>
                      <w:p>
                        <w:pPr>
                          <w:pStyle w:val="TableParagraph"/>
                          <w:spacing w:line="124" w:lineRule="exact"/>
                          <w:ind w:left="377"/>
                          <w:rPr>
                            <w:sz w:val="15"/>
                          </w:rPr>
                        </w:pPr>
                        <w:r>
                          <w:rPr>
                            <w:sz w:val="15"/>
                          </w:rPr>
                          <w:t>$4.00</w:t>
                        </w:r>
                      </w:p>
                    </w:tc>
                  </w:tr>
                  <w:tr>
                    <w:trPr>
                      <w:trHeight w:val="209" w:hRule="atLeast"/>
                    </w:trPr>
                    <w:tc>
                      <w:tcPr>
                        <w:tcW w:w="4594" w:type="dxa"/>
                      </w:tcPr>
                      <w:p>
                        <w:pPr>
                          <w:pStyle w:val="TableParagraph"/>
                          <w:spacing w:before="17"/>
                          <w:ind w:left="397"/>
                          <w:rPr>
                            <w:sz w:val="15"/>
                          </w:rPr>
                        </w:pPr>
                        <w:r>
                          <w:rPr>
                            <w:sz w:val="15"/>
                          </w:rPr>
                          <w:t>78. Ámpula sulfato de magnesio 1g</w:t>
                        </w:r>
                      </w:p>
                    </w:tc>
                    <w:tc>
                      <w:tcPr>
                        <w:tcW w:w="12435" w:type="dxa"/>
                        <w:gridSpan w:val="3"/>
                      </w:tcPr>
                      <w:p>
                        <w:pPr>
                          <w:pStyle w:val="TableParagraph"/>
                          <w:tabs>
                            <w:tab w:pos="7426" w:val="left" w:leader="none"/>
                            <w:tab w:pos="12000" w:val="left" w:leader="none"/>
                          </w:tabs>
                          <w:spacing w:line="134" w:lineRule="auto"/>
                          <w:ind w:left="291"/>
                          <w:rPr>
                            <w:sz w:val="15"/>
                          </w:rPr>
                        </w:pPr>
                        <w:r>
                          <w:rPr>
                            <w:position w:val="-7"/>
                            <w:sz w:val="15"/>
                          </w:rPr>
                          <w:t>$15.00</w:t>
                          <w:tab/>
                        </w:r>
                        <w:r>
                          <w:rPr>
                            <w:sz w:val="15"/>
                          </w:rPr>
                          <w:t>125.</w:t>
                        </w:r>
                        <w:r>
                          <w:rPr>
                            <w:spacing w:val="7"/>
                            <w:sz w:val="15"/>
                          </w:rPr>
                          <w:t> </w:t>
                        </w:r>
                        <w:r>
                          <w:rPr>
                            <w:sz w:val="15"/>
                          </w:rPr>
                          <w:t>Electrodos</w:t>
                          <w:tab/>
                          <w:t>$3.00</w:t>
                        </w:r>
                      </w:p>
                    </w:tc>
                  </w:tr>
                  <w:tr>
                    <w:trPr>
                      <w:trHeight w:val="209" w:hRule="atLeast"/>
                    </w:trPr>
                    <w:tc>
                      <w:tcPr>
                        <w:tcW w:w="4594" w:type="dxa"/>
                      </w:tcPr>
                      <w:p>
                        <w:pPr>
                          <w:pStyle w:val="TableParagraph"/>
                          <w:spacing w:before="17"/>
                          <w:ind w:left="397"/>
                          <w:rPr>
                            <w:sz w:val="15"/>
                          </w:rPr>
                        </w:pPr>
                        <w:r>
                          <w:rPr>
                            <w:sz w:val="15"/>
                          </w:rPr>
                          <w:t>79. Ámpula tiopental 500mg 20ml</w:t>
                        </w:r>
                      </w:p>
                    </w:tc>
                    <w:tc>
                      <w:tcPr>
                        <w:tcW w:w="12435" w:type="dxa"/>
                        <w:gridSpan w:val="3"/>
                      </w:tcPr>
                      <w:p>
                        <w:pPr>
                          <w:pStyle w:val="TableParagraph"/>
                          <w:tabs>
                            <w:tab w:pos="7426" w:val="left" w:leader="none"/>
                            <w:tab w:pos="11999" w:val="left" w:leader="none"/>
                          </w:tabs>
                          <w:spacing w:line="134" w:lineRule="auto"/>
                          <w:ind w:left="292"/>
                          <w:rPr>
                            <w:sz w:val="15"/>
                          </w:rPr>
                        </w:pPr>
                        <w:r>
                          <w:rPr>
                            <w:position w:val="-7"/>
                            <w:sz w:val="15"/>
                          </w:rPr>
                          <w:t>$71.00</w:t>
                          <w:tab/>
                        </w:r>
                        <w:r>
                          <w:rPr>
                            <w:sz w:val="15"/>
                          </w:rPr>
                          <w:t>126.</w:t>
                        </w:r>
                        <w:r>
                          <w:rPr>
                            <w:spacing w:val="7"/>
                            <w:sz w:val="15"/>
                          </w:rPr>
                          <w:t> </w:t>
                        </w:r>
                        <w:r>
                          <w:rPr>
                            <w:sz w:val="15"/>
                          </w:rPr>
                          <w:t>Electrodos</w:t>
                        </w:r>
                        <w:r>
                          <w:rPr>
                            <w:spacing w:val="7"/>
                            <w:sz w:val="15"/>
                          </w:rPr>
                          <w:t> </w:t>
                        </w:r>
                        <w:r>
                          <w:rPr>
                            <w:sz w:val="15"/>
                          </w:rPr>
                          <w:t>infantil</w:t>
                          <w:tab/>
                          <w:t>$3.00</w:t>
                        </w:r>
                      </w:p>
                    </w:tc>
                  </w:tr>
                  <w:tr>
                    <w:trPr>
                      <w:trHeight w:val="209" w:hRule="atLeast"/>
                    </w:trPr>
                    <w:tc>
                      <w:tcPr>
                        <w:tcW w:w="4594" w:type="dxa"/>
                      </w:tcPr>
                      <w:p>
                        <w:pPr>
                          <w:pStyle w:val="TableParagraph"/>
                          <w:spacing w:before="17"/>
                          <w:ind w:left="397"/>
                          <w:rPr>
                            <w:sz w:val="15"/>
                          </w:rPr>
                        </w:pPr>
                        <w:r>
                          <w:rPr>
                            <w:sz w:val="15"/>
                          </w:rPr>
                          <w:t>80. Ámpula ventolin/salbutamol sol.</w:t>
                        </w:r>
                      </w:p>
                    </w:tc>
                    <w:tc>
                      <w:tcPr>
                        <w:tcW w:w="12435" w:type="dxa"/>
                        <w:gridSpan w:val="3"/>
                      </w:tcPr>
                      <w:p>
                        <w:pPr>
                          <w:pStyle w:val="TableParagraph"/>
                          <w:tabs>
                            <w:tab w:pos="7426" w:val="left" w:leader="none"/>
                            <w:tab w:pos="11828" w:val="left" w:leader="none"/>
                          </w:tabs>
                          <w:spacing w:line="134" w:lineRule="auto"/>
                          <w:ind w:left="205"/>
                          <w:rPr>
                            <w:sz w:val="15"/>
                          </w:rPr>
                        </w:pPr>
                        <w:r>
                          <w:rPr>
                            <w:position w:val="-7"/>
                            <w:sz w:val="15"/>
                          </w:rPr>
                          <w:t>$100.00</w:t>
                          <w:tab/>
                        </w:r>
                        <w:r>
                          <w:rPr>
                            <w:sz w:val="15"/>
                          </w:rPr>
                          <w:t>127. Equipo de</w:t>
                        </w:r>
                        <w:r>
                          <w:rPr>
                            <w:spacing w:val="24"/>
                            <w:sz w:val="15"/>
                          </w:rPr>
                          <w:t> </w:t>
                        </w:r>
                        <w:r>
                          <w:rPr>
                            <w:sz w:val="15"/>
                          </w:rPr>
                          <w:t>parto</w:t>
                        </w:r>
                        <w:r>
                          <w:rPr>
                            <w:spacing w:val="8"/>
                            <w:sz w:val="15"/>
                          </w:rPr>
                          <w:t> </w:t>
                        </w:r>
                        <w:r>
                          <w:rPr>
                            <w:sz w:val="15"/>
                          </w:rPr>
                          <w:t>desechable</w:t>
                          <w:tab/>
                          <w:t>$221.00</w:t>
                        </w:r>
                      </w:p>
                    </w:tc>
                  </w:tr>
                  <w:tr>
                    <w:trPr>
                      <w:trHeight w:val="209" w:hRule="atLeast"/>
                    </w:trPr>
                    <w:tc>
                      <w:tcPr>
                        <w:tcW w:w="4594" w:type="dxa"/>
                      </w:tcPr>
                      <w:p>
                        <w:pPr>
                          <w:pStyle w:val="TableParagraph"/>
                          <w:spacing w:before="17"/>
                          <w:ind w:left="397"/>
                          <w:rPr>
                            <w:sz w:val="15"/>
                          </w:rPr>
                        </w:pPr>
                        <w:r>
                          <w:rPr>
                            <w:sz w:val="15"/>
                          </w:rPr>
                          <w:t>81. Ámpula vomisin</w:t>
                        </w:r>
                      </w:p>
                    </w:tc>
                    <w:tc>
                      <w:tcPr>
                        <w:tcW w:w="12435" w:type="dxa"/>
                        <w:gridSpan w:val="3"/>
                      </w:tcPr>
                      <w:p>
                        <w:pPr>
                          <w:pStyle w:val="TableParagraph"/>
                          <w:tabs>
                            <w:tab w:pos="7426" w:val="left" w:leader="none"/>
                            <w:tab w:pos="11913" w:val="left" w:leader="none"/>
                          </w:tabs>
                          <w:spacing w:line="134" w:lineRule="auto"/>
                          <w:ind w:left="291"/>
                          <w:rPr>
                            <w:sz w:val="15"/>
                          </w:rPr>
                        </w:pPr>
                        <w:r>
                          <w:rPr>
                            <w:position w:val="-7"/>
                            <w:sz w:val="15"/>
                          </w:rPr>
                          <w:t>$13.00</w:t>
                          <w:tab/>
                        </w:r>
                        <w:r>
                          <w:rPr>
                            <w:sz w:val="15"/>
                          </w:rPr>
                          <w:t>128. Equipo de volumen</w:t>
                        </w:r>
                        <w:r>
                          <w:rPr>
                            <w:spacing w:val="33"/>
                            <w:sz w:val="15"/>
                          </w:rPr>
                          <w:t> </w:t>
                        </w:r>
                        <w:r>
                          <w:rPr>
                            <w:sz w:val="15"/>
                          </w:rPr>
                          <w:t>medio</w:t>
                        </w:r>
                        <w:r>
                          <w:rPr>
                            <w:spacing w:val="9"/>
                            <w:sz w:val="15"/>
                          </w:rPr>
                          <w:t> </w:t>
                        </w:r>
                        <w:r>
                          <w:rPr>
                            <w:sz w:val="15"/>
                          </w:rPr>
                          <w:t>150ml</w:t>
                          <w:tab/>
                          <w:t>$30.00</w:t>
                        </w:r>
                      </w:p>
                    </w:tc>
                  </w:tr>
                  <w:tr>
                    <w:trPr>
                      <w:trHeight w:val="209" w:hRule="atLeast"/>
                    </w:trPr>
                    <w:tc>
                      <w:tcPr>
                        <w:tcW w:w="4594" w:type="dxa"/>
                      </w:tcPr>
                      <w:p>
                        <w:pPr>
                          <w:pStyle w:val="TableParagraph"/>
                          <w:spacing w:before="17"/>
                          <w:ind w:left="397"/>
                          <w:rPr>
                            <w:sz w:val="15"/>
                          </w:rPr>
                        </w:pPr>
                        <w:r>
                          <w:rPr>
                            <w:sz w:val="15"/>
                          </w:rPr>
                          <w:t>82. Bolsa recolectora de orina</w:t>
                        </w:r>
                      </w:p>
                    </w:tc>
                    <w:tc>
                      <w:tcPr>
                        <w:tcW w:w="12435" w:type="dxa"/>
                        <w:gridSpan w:val="3"/>
                      </w:tcPr>
                      <w:p>
                        <w:pPr>
                          <w:pStyle w:val="TableParagraph"/>
                          <w:tabs>
                            <w:tab w:pos="7426" w:val="left" w:leader="none"/>
                            <w:tab w:pos="11913" w:val="left" w:leader="none"/>
                          </w:tabs>
                          <w:spacing w:line="134" w:lineRule="auto"/>
                          <w:ind w:left="291"/>
                          <w:rPr>
                            <w:sz w:val="15"/>
                          </w:rPr>
                        </w:pPr>
                        <w:r>
                          <w:rPr>
                            <w:position w:val="-7"/>
                            <w:sz w:val="15"/>
                          </w:rPr>
                          <w:t>$19.00</w:t>
                          <w:tab/>
                        </w:r>
                        <w:r>
                          <w:rPr>
                            <w:sz w:val="15"/>
                          </w:rPr>
                          <w:t>129. Equipo flebotek p/presión</w:t>
                        </w:r>
                        <w:r>
                          <w:rPr>
                            <w:spacing w:val="38"/>
                            <w:sz w:val="15"/>
                          </w:rPr>
                          <w:t> </w:t>
                        </w:r>
                        <w:r>
                          <w:rPr>
                            <w:sz w:val="15"/>
                          </w:rPr>
                          <w:t>venosa</w:t>
                        </w:r>
                        <w:r>
                          <w:rPr>
                            <w:spacing w:val="10"/>
                            <w:sz w:val="15"/>
                          </w:rPr>
                          <w:t> </w:t>
                        </w:r>
                        <w:r>
                          <w:rPr>
                            <w:sz w:val="15"/>
                          </w:rPr>
                          <w:t>central</w:t>
                          <w:tab/>
                          <w:t>$49.00</w:t>
                        </w:r>
                      </w:p>
                    </w:tc>
                  </w:tr>
                  <w:tr>
                    <w:trPr>
                      <w:trHeight w:val="209" w:hRule="atLeast"/>
                    </w:trPr>
                    <w:tc>
                      <w:tcPr>
                        <w:tcW w:w="4594" w:type="dxa"/>
                      </w:tcPr>
                      <w:p>
                        <w:pPr>
                          <w:pStyle w:val="TableParagraph"/>
                          <w:spacing w:before="17"/>
                          <w:ind w:left="397"/>
                          <w:rPr>
                            <w:sz w:val="15"/>
                          </w:rPr>
                        </w:pPr>
                        <w:r>
                          <w:rPr>
                            <w:sz w:val="15"/>
                          </w:rPr>
                          <w:t>83. Bolsa recolectora de orina niña o niño</w:t>
                        </w:r>
                      </w:p>
                    </w:tc>
                    <w:tc>
                      <w:tcPr>
                        <w:tcW w:w="12435" w:type="dxa"/>
                        <w:gridSpan w:val="3"/>
                      </w:tcPr>
                      <w:p>
                        <w:pPr>
                          <w:pStyle w:val="TableParagraph"/>
                          <w:tabs>
                            <w:tab w:pos="7426" w:val="left" w:leader="none"/>
                            <w:tab w:pos="11829" w:val="left" w:leader="none"/>
                          </w:tabs>
                          <w:spacing w:line="134" w:lineRule="auto"/>
                          <w:ind w:left="377"/>
                          <w:rPr>
                            <w:sz w:val="15"/>
                          </w:rPr>
                        </w:pPr>
                        <w:r>
                          <w:rPr>
                            <w:position w:val="-7"/>
                            <w:sz w:val="15"/>
                          </w:rPr>
                          <w:t>$4.00</w:t>
                          <w:tab/>
                        </w:r>
                        <w:r>
                          <w:rPr>
                            <w:sz w:val="15"/>
                          </w:rPr>
                          <w:t>130. Equipo</w:t>
                        </w:r>
                        <w:r>
                          <w:rPr>
                            <w:spacing w:val="18"/>
                            <w:sz w:val="15"/>
                          </w:rPr>
                          <w:t> </w:t>
                        </w:r>
                        <w:r>
                          <w:rPr>
                            <w:sz w:val="15"/>
                          </w:rPr>
                          <w:t>nitroglicerina</w:t>
                        </w:r>
                        <w:r>
                          <w:rPr>
                            <w:spacing w:val="10"/>
                            <w:sz w:val="15"/>
                          </w:rPr>
                          <w:t> </w:t>
                        </w:r>
                        <w:r>
                          <w:rPr>
                            <w:sz w:val="15"/>
                          </w:rPr>
                          <w:t>/bomba</w:t>
                          <w:tab/>
                          <w:t>$100.00</w:t>
                        </w:r>
                      </w:p>
                    </w:tc>
                  </w:tr>
                  <w:tr>
                    <w:trPr>
                      <w:trHeight w:val="209" w:hRule="atLeast"/>
                    </w:trPr>
                    <w:tc>
                      <w:tcPr>
                        <w:tcW w:w="4594" w:type="dxa"/>
                      </w:tcPr>
                      <w:p>
                        <w:pPr>
                          <w:pStyle w:val="TableParagraph"/>
                          <w:spacing w:before="17"/>
                          <w:ind w:left="397"/>
                          <w:rPr>
                            <w:sz w:val="15"/>
                          </w:rPr>
                        </w:pPr>
                        <w:r>
                          <w:rPr>
                            <w:sz w:val="15"/>
                          </w:rPr>
                          <w:t>84. Campo estéril 40/70cm</w:t>
                        </w:r>
                      </w:p>
                    </w:tc>
                    <w:tc>
                      <w:tcPr>
                        <w:tcW w:w="12435" w:type="dxa"/>
                        <w:gridSpan w:val="3"/>
                      </w:tcPr>
                      <w:p>
                        <w:pPr>
                          <w:pStyle w:val="TableParagraph"/>
                          <w:tabs>
                            <w:tab w:pos="7426" w:val="left" w:leader="none"/>
                            <w:tab w:pos="11914" w:val="left" w:leader="none"/>
                          </w:tabs>
                          <w:spacing w:line="134" w:lineRule="auto"/>
                          <w:ind w:left="291"/>
                          <w:rPr>
                            <w:sz w:val="15"/>
                          </w:rPr>
                        </w:pPr>
                        <w:r>
                          <w:rPr>
                            <w:position w:val="-7"/>
                            <w:sz w:val="15"/>
                          </w:rPr>
                          <w:t>$17.00</w:t>
                          <w:tab/>
                        </w:r>
                        <w:r>
                          <w:rPr>
                            <w:sz w:val="15"/>
                          </w:rPr>
                          <w:t>131. Equipo</w:t>
                        </w:r>
                        <w:r>
                          <w:rPr>
                            <w:spacing w:val="16"/>
                            <w:sz w:val="15"/>
                          </w:rPr>
                          <w:t> </w:t>
                        </w:r>
                        <w:r>
                          <w:rPr>
                            <w:sz w:val="15"/>
                          </w:rPr>
                          <w:t>venoclisis</w:t>
                        </w:r>
                        <w:r>
                          <w:rPr>
                            <w:spacing w:val="7"/>
                            <w:sz w:val="15"/>
                          </w:rPr>
                          <w:t> </w:t>
                        </w:r>
                        <w:r>
                          <w:rPr>
                            <w:sz w:val="15"/>
                          </w:rPr>
                          <w:t>micro</w:t>
                          <w:tab/>
                          <w:t>$17.00</w:t>
                        </w:r>
                      </w:p>
                    </w:tc>
                  </w:tr>
                  <w:tr>
                    <w:trPr>
                      <w:trHeight w:val="209" w:hRule="atLeast"/>
                    </w:trPr>
                    <w:tc>
                      <w:tcPr>
                        <w:tcW w:w="4594" w:type="dxa"/>
                      </w:tcPr>
                      <w:p>
                        <w:pPr>
                          <w:pStyle w:val="TableParagraph"/>
                          <w:spacing w:before="17"/>
                          <w:ind w:left="397"/>
                          <w:rPr>
                            <w:sz w:val="15"/>
                          </w:rPr>
                        </w:pPr>
                        <w:r>
                          <w:rPr>
                            <w:sz w:val="15"/>
                          </w:rPr>
                          <w:t>85. Cánula de guedel #100mm</w:t>
                        </w:r>
                      </w:p>
                    </w:tc>
                    <w:tc>
                      <w:tcPr>
                        <w:tcW w:w="12435" w:type="dxa"/>
                        <w:gridSpan w:val="3"/>
                      </w:tcPr>
                      <w:p>
                        <w:pPr>
                          <w:pStyle w:val="TableParagraph"/>
                          <w:tabs>
                            <w:tab w:pos="7426" w:val="left" w:leader="none"/>
                            <w:tab w:pos="12000" w:val="left" w:leader="none"/>
                          </w:tabs>
                          <w:spacing w:line="134" w:lineRule="auto"/>
                          <w:ind w:left="293"/>
                          <w:rPr>
                            <w:sz w:val="15"/>
                          </w:rPr>
                        </w:pPr>
                        <w:r>
                          <w:rPr>
                            <w:position w:val="-7"/>
                            <w:sz w:val="15"/>
                          </w:rPr>
                          <w:t>$16.00</w:t>
                          <w:tab/>
                        </w:r>
                        <w:r>
                          <w:rPr>
                            <w:sz w:val="15"/>
                          </w:rPr>
                          <w:t>132. Equipo</w:t>
                        </w:r>
                        <w:r>
                          <w:rPr>
                            <w:spacing w:val="16"/>
                            <w:sz w:val="15"/>
                          </w:rPr>
                          <w:t> </w:t>
                        </w:r>
                        <w:r>
                          <w:rPr>
                            <w:sz w:val="15"/>
                          </w:rPr>
                          <w:t>venoclisis</w:t>
                        </w:r>
                        <w:r>
                          <w:rPr>
                            <w:spacing w:val="9"/>
                            <w:sz w:val="15"/>
                          </w:rPr>
                          <w:t> </w:t>
                        </w:r>
                        <w:r>
                          <w:rPr>
                            <w:sz w:val="15"/>
                          </w:rPr>
                          <w:t>normo</w:t>
                          <w:tab/>
                          <w:t>$7.00</w:t>
                        </w:r>
                      </w:p>
                    </w:tc>
                  </w:tr>
                  <w:tr>
                    <w:trPr>
                      <w:trHeight w:val="209" w:hRule="atLeast"/>
                    </w:trPr>
                    <w:tc>
                      <w:tcPr>
                        <w:tcW w:w="4594" w:type="dxa"/>
                      </w:tcPr>
                      <w:p>
                        <w:pPr>
                          <w:pStyle w:val="TableParagraph"/>
                          <w:spacing w:before="17"/>
                          <w:ind w:left="397"/>
                          <w:rPr>
                            <w:sz w:val="15"/>
                          </w:rPr>
                        </w:pPr>
                        <w:r>
                          <w:rPr>
                            <w:sz w:val="15"/>
                          </w:rPr>
                          <w:t>86. Cánula de guedel #110mm</w:t>
                        </w:r>
                      </w:p>
                    </w:tc>
                    <w:tc>
                      <w:tcPr>
                        <w:tcW w:w="12435" w:type="dxa"/>
                        <w:gridSpan w:val="3"/>
                      </w:tcPr>
                      <w:p>
                        <w:pPr>
                          <w:pStyle w:val="TableParagraph"/>
                          <w:tabs>
                            <w:tab w:pos="7426" w:val="left" w:leader="none"/>
                            <w:tab w:pos="11914" w:val="left" w:leader="none"/>
                          </w:tabs>
                          <w:spacing w:line="134" w:lineRule="auto"/>
                          <w:ind w:left="293"/>
                          <w:rPr>
                            <w:sz w:val="15"/>
                          </w:rPr>
                        </w:pPr>
                        <w:r>
                          <w:rPr>
                            <w:position w:val="-7"/>
                            <w:sz w:val="15"/>
                          </w:rPr>
                          <w:t>$17.00</w:t>
                          <w:tab/>
                        </w:r>
                        <w:r>
                          <w:rPr>
                            <w:sz w:val="15"/>
                          </w:rPr>
                          <w:t>133.</w:t>
                        </w:r>
                        <w:r>
                          <w:rPr>
                            <w:spacing w:val="13"/>
                            <w:sz w:val="15"/>
                          </w:rPr>
                          <w:t> </w:t>
                        </w:r>
                        <w:r>
                          <w:rPr>
                            <w:sz w:val="15"/>
                          </w:rPr>
                          <w:t>Equipo/bomba/secundario</w:t>
                          <w:tab/>
                          <w:t>$25.00</w:t>
                        </w:r>
                      </w:p>
                    </w:tc>
                  </w:tr>
                  <w:tr>
                    <w:trPr>
                      <w:trHeight w:val="209" w:hRule="atLeast"/>
                    </w:trPr>
                    <w:tc>
                      <w:tcPr>
                        <w:tcW w:w="4594" w:type="dxa"/>
                      </w:tcPr>
                      <w:p>
                        <w:pPr>
                          <w:pStyle w:val="TableParagraph"/>
                          <w:spacing w:before="17"/>
                          <w:ind w:left="397"/>
                          <w:rPr>
                            <w:sz w:val="15"/>
                          </w:rPr>
                        </w:pPr>
                        <w:r>
                          <w:rPr>
                            <w:sz w:val="15"/>
                          </w:rPr>
                          <w:t>87. Cánula de guedel #40mm</w:t>
                        </w:r>
                      </w:p>
                    </w:tc>
                    <w:tc>
                      <w:tcPr>
                        <w:tcW w:w="12435" w:type="dxa"/>
                        <w:gridSpan w:val="3"/>
                      </w:tcPr>
                      <w:p>
                        <w:pPr>
                          <w:pStyle w:val="TableParagraph"/>
                          <w:tabs>
                            <w:tab w:pos="7426" w:val="left" w:leader="none"/>
                            <w:tab w:pos="11828" w:val="left" w:leader="none"/>
                          </w:tabs>
                          <w:spacing w:line="134" w:lineRule="auto"/>
                          <w:ind w:left="293"/>
                          <w:rPr>
                            <w:sz w:val="15"/>
                          </w:rPr>
                        </w:pPr>
                        <w:r>
                          <w:rPr>
                            <w:position w:val="-7"/>
                            <w:sz w:val="15"/>
                          </w:rPr>
                          <w:t>$23.00</w:t>
                          <w:tab/>
                        </w:r>
                        <w:r>
                          <w:rPr>
                            <w:sz w:val="15"/>
                          </w:rPr>
                          <w:t>134.</w:t>
                        </w:r>
                        <w:r>
                          <w:rPr>
                            <w:spacing w:val="14"/>
                            <w:sz w:val="15"/>
                          </w:rPr>
                          <w:t> </w:t>
                        </w:r>
                        <w:r>
                          <w:rPr>
                            <w:sz w:val="15"/>
                          </w:rPr>
                          <w:t>Equipo/bomba/transparente</w:t>
                          <w:tab/>
                          <w:t>$119.00</w:t>
                        </w:r>
                      </w:p>
                    </w:tc>
                  </w:tr>
                  <w:tr>
                    <w:trPr>
                      <w:trHeight w:val="209" w:hRule="atLeast"/>
                    </w:trPr>
                    <w:tc>
                      <w:tcPr>
                        <w:tcW w:w="4594" w:type="dxa"/>
                      </w:tcPr>
                      <w:p>
                        <w:pPr>
                          <w:pStyle w:val="TableParagraph"/>
                          <w:spacing w:before="17"/>
                          <w:ind w:left="397"/>
                          <w:rPr>
                            <w:sz w:val="15"/>
                          </w:rPr>
                        </w:pPr>
                        <w:r>
                          <w:rPr>
                            <w:sz w:val="15"/>
                          </w:rPr>
                          <w:t>88. Cánula de guedel #50mm</w:t>
                        </w:r>
                      </w:p>
                    </w:tc>
                    <w:tc>
                      <w:tcPr>
                        <w:tcW w:w="12435" w:type="dxa"/>
                        <w:gridSpan w:val="3"/>
                      </w:tcPr>
                      <w:p>
                        <w:pPr>
                          <w:pStyle w:val="TableParagraph"/>
                          <w:tabs>
                            <w:tab w:pos="7426" w:val="left" w:leader="none"/>
                            <w:tab w:pos="11829" w:val="left" w:leader="none"/>
                          </w:tabs>
                          <w:spacing w:line="134" w:lineRule="auto"/>
                          <w:ind w:left="293"/>
                          <w:rPr>
                            <w:sz w:val="15"/>
                          </w:rPr>
                        </w:pPr>
                        <w:r>
                          <w:rPr>
                            <w:position w:val="-7"/>
                            <w:sz w:val="15"/>
                          </w:rPr>
                          <w:t>$23.00</w:t>
                          <w:tab/>
                        </w:r>
                        <w:r>
                          <w:rPr>
                            <w:sz w:val="15"/>
                          </w:rPr>
                          <w:t>135. Equipo</w:t>
                        </w:r>
                        <w:r>
                          <w:rPr>
                            <w:spacing w:val="20"/>
                            <w:sz w:val="15"/>
                          </w:rPr>
                          <w:t> </w:t>
                        </w:r>
                        <w:r>
                          <w:rPr>
                            <w:sz w:val="15"/>
                          </w:rPr>
                          <w:t>drenaje</w:t>
                        </w:r>
                        <w:r>
                          <w:rPr>
                            <w:spacing w:val="11"/>
                            <w:sz w:val="15"/>
                          </w:rPr>
                          <w:t> </w:t>
                        </w:r>
                        <w:r>
                          <w:rPr>
                            <w:sz w:val="15"/>
                          </w:rPr>
                          <w:t>plural-plevra-kit</w:t>
                          <w:tab/>
                          <w:t>$667.00</w:t>
                        </w:r>
                      </w:p>
                    </w:tc>
                  </w:tr>
                  <w:tr>
                    <w:trPr>
                      <w:trHeight w:val="209" w:hRule="atLeast"/>
                    </w:trPr>
                    <w:tc>
                      <w:tcPr>
                        <w:tcW w:w="4594" w:type="dxa"/>
                      </w:tcPr>
                      <w:p>
                        <w:pPr>
                          <w:pStyle w:val="TableParagraph"/>
                          <w:spacing w:before="17"/>
                          <w:ind w:left="397"/>
                          <w:rPr>
                            <w:sz w:val="15"/>
                          </w:rPr>
                        </w:pPr>
                        <w:r>
                          <w:rPr>
                            <w:sz w:val="15"/>
                          </w:rPr>
                          <w:t>89. Cánula de guedel #60mm</w:t>
                        </w:r>
                      </w:p>
                    </w:tc>
                    <w:tc>
                      <w:tcPr>
                        <w:tcW w:w="12435" w:type="dxa"/>
                        <w:gridSpan w:val="3"/>
                      </w:tcPr>
                      <w:p>
                        <w:pPr>
                          <w:pStyle w:val="TableParagraph"/>
                          <w:tabs>
                            <w:tab w:pos="7426" w:val="left" w:leader="none"/>
                            <w:tab w:pos="11914" w:val="left" w:leader="none"/>
                          </w:tabs>
                          <w:spacing w:line="134" w:lineRule="auto"/>
                          <w:ind w:left="293"/>
                          <w:rPr>
                            <w:sz w:val="15"/>
                          </w:rPr>
                        </w:pPr>
                        <w:r>
                          <w:rPr>
                            <w:position w:val="-7"/>
                            <w:sz w:val="15"/>
                          </w:rPr>
                          <w:t>$16.00</w:t>
                          <w:tab/>
                        </w:r>
                        <w:r>
                          <w:rPr>
                            <w:sz w:val="15"/>
                          </w:rPr>
                          <w:t>136. Equipo para transfusión</w:t>
                        </w:r>
                        <w:r>
                          <w:rPr>
                            <w:spacing w:val="33"/>
                            <w:sz w:val="15"/>
                          </w:rPr>
                          <w:t> </w:t>
                        </w:r>
                        <w:r>
                          <w:rPr>
                            <w:sz w:val="15"/>
                          </w:rPr>
                          <w:t>de</w:t>
                        </w:r>
                        <w:r>
                          <w:rPr>
                            <w:spacing w:val="8"/>
                            <w:sz w:val="15"/>
                          </w:rPr>
                          <w:t> </w:t>
                        </w:r>
                        <w:r>
                          <w:rPr>
                            <w:sz w:val="15"/>
                          </w:rPr>
                          <w:t>sangre</w:t>
                          <w:tab/>
                          <w:t>$12.00</w:t>
                        </w:r>
                      </w:p>
                    </w:tc>
                  </w:tr>
                  <w:tr>
                    <w:trPr>
                      <w:trHeight w:val="209" w:hRule="atLeast"/>
                    </w:trPr>
                    <w:tc>
                      <w:tcPr>
                        <w:tcW w:w="4594" w:type="dxa"/>
                      </w:tcPr>
                      <w:p>
                        <w:pPr>
                          <w:pStyle w:val="TableParagraph"/>
                          <w:spacing w:before="17"/>
                          <w:ind w:left="397"/>
                          <w:rPr>
                            <w:sz w:val="15"/>
                          </w:rPr>
                        </w:pPr>
                        <w:r>
                          <w:rPr>
                            <w:sz w:val="15"/>
                          </w:rPr>
                          <w:t>90. Cánula de guedel #70mm</w:t>
                        </w:r>
                      </w:p>
                    </w:tc>
                    <w:tc>
                      <w:tcPr>
                        <w:tcW w:w="12435" w:type="dxa"/>
                        <w:gridSpan w:val="3"/>
                      </w:tcPr>
                      <w:p>
                        <w:pPr>
                          <w:pStyle w:val="TableParagraph"/>
                          <w:tabs>
                            <w:tab w:pos="7426" w:val="left" w:leader="none"/>
                            <w:tab w:pos="11913" w:val="left" w:leader="none"/>
                          </w:tabs>
                          <w:spacing w:line="134" w:lineRule="auto"/>
                          <w:ind w:left="293"/>
                          <w:rPr>
                            <w:sz w:val="15"/>
                          </w:rPr>
                        </w:pPr>
                        <w:r>
                          <w:rPr>
                            <w:position w:val="-7"/>
                            <w:sz w:val="15"/>
                          </w:rPr>
                          <w:t>$17.00</w:t>
                          <w:tab/>
                        </w:r>
                        <w:r>
                          <w:rPr>
                            <w:sz w:val="15"/>
                          </w:rPr>
                          <w:t>137.</w:t>
                        </w:r>
                        <w:r>
                          <w:rPr>
                            <w:spacing w:val="5"/>
                            <w:sz w:val="15"/>
                          </w:rPr>
                          <w:t> </w:t>
                        </w:r>
                        <w:r>
                          <w:rPr>
                            <w:sz w:val="15"/>
                          </w:rPr>
                          <w:t>Jelco</w:t>
                        </w:r>
                        <w:r>
                          <w:rPr>
                            <w:spacing w:val="5"/>
                            <w:sz w:val="15"/>
                          </w:rPr>
                          <w:t> </w:t>
                        </w:r>
                        <w:r>
                          <w:rPr>
                            <w:sz w:val="15"/>
                          </w:rPr>
                          <w:t>#14</w:t>
                          <w:tab/>
                          <w:t>$12.00</w:t>
                        </w:r>
                      </w:p>
                    </w:tc>
                  </w:tr>
                  <w:tr>
                    <w:trPr>
                      <w:trHeight w:val="209" w:hRule="atLeast"/>
                    </w:trPr>
                    <w:tc>
                      <w:tcPr>
                        <w:tcW w:w="4594" w:type="dxa"/>
                      </w:tcPr>
                      <w:p>
                        <w:pPr>
                          <w:pStyle w:val="TableParagraph"/>
                          <w:spacing w:before="17"/>
                          <w:ind w:left="397"/>
                          <w:rPr>
                            <w:sz w:val="15"/>
                          </w:rPr>
                        </w:pPr>
                        <w:r>
                          <w:rPr>
                            <w:sz w:val="15"/>
                          </w:rPr>
                          <w:t>91. Cánula de guedel #80mm</w:t>
                        </w:r>
                      </w:p>
                    </w:tc>
                    <w:tc>
                      <w:tcPr>
                        <w:tcW w:w="12435" w:type="dxa"/>
                        <w:gridSpan w:val="3"/>
                      </w:tcPr>
                      <w:p>
                        <w:pPr>
                          <w:pStyle w:val="TableParagraph"/>
                          <w:tabs>
                            <w:tab w:pos="7426" w:val="left" w:leader="none"/>
                            <w:tab w:pos="11913" w:val="left" w:leader="none"/>
                          </w:tabs>
                          <w:spacing w:line="134" w:lineRule="auto"/>
                          <w:ind w:left="292"/>
                          <w:rPr>
                            <w:sz w:val="15"/>
                          </w:rPr>
                        </w:pPr>
                        <w:r>
                          <w:rPr>
                            <w:position w:val="-7"/>
                            <w:sz w:val="15"/>
                          </w:rPr>
                          <w:t>$16.00</w:t>
                          <w:tab/>
                        </w:r>
                        <w:r>
                          <w:rPr>
                            <w:sz w:val="15"/>
                          </w:rPr>
                          <w:t>138.</w:t>
                        </w:r>
                        <w:r>
                          <w:rPr>
                            <w:spacing w:val="5"/>
                            <w:sz w:val="15"/>
                          </w:rPr>
                          <w:t> </w:t>
                        </w:r>
                        <w:r>
                          <w:rPr>
                            <w:sz w:val="15"/>
                          </w:rPr>
                          <w:t>Jelco</w:t>
                        </w:r>
                        <w:r>
                          <w:rPr>
                            <w:spacing w:val="5"/>
                            <w:sz w:val="15"/>
                          </w:rPr>
                          <w:t> </w:t>
                        </w:r>
                        <w:r>
                          <w:rPr>
                            <w:sz w:val="15"/>
                          </w:rPr>
                          <w:t>#16</w:t>
                          <w:tab/>
                          <w:t>$12.00</w:t>
                        </w:r>
                      </w:p>
                    </w:tc>
                  </w:tr>
                  <w:tr>
                    <w:trPr>
                      <w:trHeight w:val="209" w:hRule="atLeast"/>
                    </w:trPr>
                    <w:tc>
                      <w:tcPr>
                        <w:tcW w:w="4594" w:type="dxa"/>
                      </w:tcPr>
                      <w:p>
                        <w:pPr>
                          <w:pStyle w:val="TableParagraph"/>
                          <w:spacing w:before="17"/>
                          <w:ind w:left="397"/>
                          <w:rPr>
                            <w:sz w:val="15"/>
                          </w:rPr>
                        </w:pPr>
                        <w:r>
                          <w:rPr>
                            <w:sz w:val="15"/>
                          </w:rPr>
                          <w:t>92. Cánula de guedel #90mm</w:t>
                        </w:r>
                      </w:p>
                    </w:tc>
                    <w:tc>
                      <w:tcPr>
                        <w:tcW w:w="12435" w:type="dxa"/>
                        <w:gridSpan w:val="3"/>
                      </w:tcPr>
                      <w:p>
                        <w:pPr>
                          <w:pStyle w:val="TableParagraph"/>
                          <w:tabs>
                            <w:tab w:pos="7426" w:val="left" w:leader="none"/>
                            <w:tab w:pos="11913" w:val="left" w:leader="none"/>
                          </w:tabs>
                          <w:spacing w:line="134" w:lineRule="auto"/>
                          <w:ind w:left="292"/>
                          <w:rPr>
                            <w:sz w:val="15"/>
                          </w:rPr>
                        </w:pPr>
                        <w:r>
                          <w:rPr>
                            <w:position w:val="-7"/>
                            <w:sz w:val="15"/>
                          </w:rPr>
                          <w:t>$16.00</w:t>
                          <w:tab/>
                        </w:r>
                        <w:r>
                          <w:rPr>
                            <w:sz w:val="15"/>
                          </w:rPr>
                          <w:t>139.</w:t>
                        </w:r>
                        <w:r>
                          <w:rPr>
                            <w:spacing w:val="5"/>
                            <w:sz w:val="15"/>
                          </w:rPr>
                          <w:t> </w:t>
                        </w:r>
                        <w:r>
                          <w:rPr>
                            <w:sz w:val="15"/>
                          </w:rPr>
                          <w:t>Jelco</w:t>
                        </w:r>
                        <w:r>
                          <w:rPr>
                            <w:spacing w:val="5"/>
                            <w:sz w:val="15"/>
                          </w:rPr>
                          <w:t> </w:t>
                        </w:r>
                        <w:r>
                          <w:rPr>
                            <w:sz w:val="15"/>
                          </w:rPr>
                          <w:t>#18</w:t>
                          <w:tab/>
                          <w:t>$12.00</w:t>
                        </w:r>
                      </w:p>
                    </w:tc>
                  </w:tr>
                  <w:tr>
                    <w:trPr>
                      <w:trHeight w:val="209" w:hRule="atLeast"/>
                    </w:trPr>
                    <w:tc>
                      <w:tcPr>
                        <w:tcW w:w="4594" w:type="dxa"/>
                      </w:tcPr>
                      <w:p>
                        <w:pPr>
                          <w:pStyle w:val="TableParagraph"/>
                          <w:spacing w:before="17"/>
                          <w:ind w:left="397"/>
                          <w:rPr>
                            <w:sz w:val="15"/>
                          </w:rPr>
                        </w:pPr>
                        <w:r>
                          <w:rPr>
                            <w:sz w:val="15"/>
                          </w:rPr>
                          <w:t>93. Cánula yankawer</w:t>
                        </w:r>
                      </w:p>
                    </w:tc>
                    <w:tc>
                      <w:tcPr>
                        <w:tcW w:w="12435" w:type="dxa"/>
                        <w:gridSpan w:val="3"/>
                      </w:tcPr>
                      <w:p>
                        <w:pPr>
                          <w:pStyle w:val="TableParagraph"/>
                          <w:tabs>
                            <w:tab w:pos="7426" w:val="left" w:leader="none"/>
                            <w:tab w:pos="11913" w:val="left" w:leader="none"/>
                          </w:tabs>
                          <w:spacing w:line="134" w:lineRule="auto"/>
                          <w:ind w:left="291"/>
                          <w:rPr>
                            <w:sz w:val="15"/>
                          </w:rPr>
                        </w:pPr>
                        <w:r>
                          <w:rPr>
                            <w:position w:val="-7"/>
                            <w:sz w:val="15"/>
                          </w:rPr>
                          <w:t>$18.00</w:t>
                          <w:tab/>
                        </w:r>
                        <w:r>
                          <w:rPr>
                            <w:sz w:val="15"/>
                          </w:rPr>
                          <w:t>140.</w:t>
                        </w:r>
                        <w:r>
                          <w:rPr>
                            <w:spacing w:val="5"/>
                            <w:sz w:val="15"/>
                          </w:rPr>
                          <w:t> </w:t>
                        </w:r>
                        <w:r>
                          <w:rPr>
                            <w:sz w:val="15"/>
                          </w:rPr>
                          <w:t>Jelco</w:t>
                        </w:r>
                        <w:r>
                          <w:rPr>
                            <w:spacing w:val="5"/>
                            <w:sz w:val="15"/>
                          </w:rPr>
                          <w:t> </w:t>
                        </w:r>
                        <w:r>
                          <w:rPr>
                            <w:sz w:val="15"/>
                          </w:rPr>
                          <w:t>#20</w:t>
                          <w:tab/>
                          <w:t>$12.00</w:t>
                        </w:r>
                      </w:p>
                    </w:tc>
                  </w:tr>
                  <w:tr>
                    <w:trPr>
                      <w:trHeight w:val="209" w:hRule="atLeast"/>
                    </w:trPr>
                    <w:tc>
                      <w:tcPr>
                        <w:tcW w:w="4594" w:type="dxa"/>
                      </w:tcPr>
                      <w:p>
                        <w:pPr>
                          <w:pStyle w:val="TableParagraph"/>
                          <w:spacing w:before="17"/>
                          <w:ind w:left="397"/>
                          <w:rPr>
                            <w:sz w:val="15"/>
                          </w:rPr>
                        </w:pPr>
                        <w:r>
                          <w:rPr>
                            <w:sz w:val="15"/>
                          </w:rPr>
                          <w:t>94. Cánula endotraqueal 10.0</w:t>
                        </w:r>
                      </w:p>
                    </w:tc>
                    <w:tc>
                      <w:tcPr>
                        <w:tcW w:w="12435" w:type="dxa"/>
                        <w:gridSpan w:val="3"/>
                      </w:tcPr>
                      <w:p>
                        <w:pPr>
                          <w:pStyle w:val="TableParagraph"/>
                          <w:tabs>
                            <w:tab w:pos="7426" w:val="left" w:leader="none"/>
                            <w:tab w:pos="11913" w:val="left" w:leader="none"/>
                          </w:tabs>
                          <w:spacing w:line="134" w:lineRule="auto"/>
                          <w:ind w:left="292"/>
                          <w:rPr>
                            <w:sz w:val="15"/>
                          </w:rPr>
                        </w:pPr>
                        <w:r>
                          <w:rPr>
                            <w:position w:val="-7"/>
                            <w:sz w:val="15"/>
                          </w:rPr>
                          <w:t>$29.00</w:t>
                          <w:tab/>
                        </w:r>
                        <w:r>
                          <w:rPr>
                            <w:sz w:val="15"/>
                          </w:rPr>
                          <w:t>141.</w:t>
                        </w:r>
                        <w:r>
                          <w:rPr>
                            <w:spacing w:val="5"/>
                            <w:sz w:val="15"/>
                          </w:rPr>
                          <w:t> </w:t>
                        </w:r>
                        <w:r>
                          <w:rPr>
                            <w:sz w:val="15"/>
                          </w:rPr>
                          <w:t>Jelco</w:t>
                        </w:r>
                        <w:r>
                          <w:rPr>
                            <w:spacing w:val="5"/>
                            <w:sz w:val="15"/>
                          </w:rPr>
                          <w:t> </w:t>
                        </w:r>
                        <w:r>
                          <w:rPr>
                            <w:sz w:val="15"/>
                          </w:rPr>
                          <w:t>#22</w:t>
                          <w:tab/>
                          <w:t>$12.00</w:t>
                        </w:r>
                      </w:p>
                    </w:tc>
                  </w:tr>
                  <w:tr>
                    <w:trPr>
                      <w:trHeight w:val="209" w:hRule="atLeast"/>
                    </w:trPr>
                    <w:tc>
                      <w:tcPr>
                        <w:tcW w:w="4594" w:type="dxa"/>
                      </w:tcPr>
                      <w:p>
                        <w:pPr>
                          <w:pStyle w:val="TableParagraph"/>
                          <w:spacing w:before="17"/>
                          <w:ind w:left="397"/>
                          <w:rPr>
                            <w:sz w:val="15"/>
                          </w:rPr>
                        </w:pPr>
                        <w:r>
                          <w:rPr>
                            <w:sz w:val="15"/>
                          </w:rPr>
                          <w:t>95. Cánula endotraqueal 2.5</w:t>
                        </w:r>
                      </w:p>
                    </w:tc>
                    <w:tc>
                      <w:tcPr>
                        <w:tcW w:w="12435" w:type="dxa"/>
                        <w:gridSpan w:val="3"/>
                      </w:tcPr>
                      <w:p>
                        <w:pPr>
                          <w:pStyle w:val="TableParagraph"/>
                          <w:tabs>
                            <w:tab w:pos="7426" w:val="left" w:leader="none"/>
                            <w:tab w:pos="11913" w:val="left" w:leader="none"/>
                          </w:tabs>
                          <w:spacing w:line="134" w:lineRule="auto"/>
                          <w:ind w:left="292"/>
                          <w:rPr>
                            <w:sz w:val="15"/>
                          </w:rPr>
                        </w:pPr>
                        <w:r>
                          <w:rPr>
                            <w:position w:val="-7"/>
                            <w:sz w:val="15"/>
                          </w:rPr>
                          <w:t>$22.00</w:t>
                          <w:tab/>
                        </w:r>
                        <w:r>
                          <w:rPr>
                            <w:sz w:val="15"/>
                          </w:rPr>
                          <w:t>142.</w:t>
                        </w:r>
                        <w:r>
                          <w:rPr>
                            <w:spacing w:val="5"/>
                            <w:sz w:val="15"/>
                          </w:rPr>
                          <w:t> </w:t>
                        </w:r>
                        <w:r>
                          <w:rPr>
                            <w:sz w:val="15"/>
                          </w:rPr>
                          <w:t>Jelco</w:t>
                        </w:r>
                        <w:r>
                          <w:rPr>
                            <w:spacing w:val="5"/>
                            <w:sz w:val="15"/>
                          </w:rPr>
                          <w:t> </w:t>
                        </w:r>
                        <w:r>
                          <w:rPr>
                            <w:sz w:val="15"/>
                          </w:rPr>
                          <w:t>#24</w:t>
                          <w:tab/>
                          <w:t>$12.00</w:t>
                        </w:r>
                      </w:p>
                    </w:tc>
                  </w:tr>
                  <w:tr>
                    <w:trPr>
                      <w:trHeight w:val="209" w:hRule="atLeast"/>
                    </w:trPr>
                    <w:tc>
                      <w:tcPr>
                        <w:tcW w:w="4594" w:type="dxa"/>
                      </w:tcPr>
                      <w:p>
                        <w:pPr>
                          <w:pStyle w:val="TableParagraph"/>
                          <w:spacing w:before="17"/>
                          <w:ind w:left="397"/>
                          <w:rPr>
                            <w:sz w:val="15"/>
                          </w:rPr>
                        </w:pPr>
                        <w:r>
                          <w:rPr>
                            <w:sz w:val="15"/>
                          </w:rPr>
                          <w:t>96. Cánula endotraqueal 2.0</w:t>
                        </w:r>
                      </w:p>
                    </w:tc>
                    <w:tc>
                      <w:tcPr>
                        <w:tcW w:w="12435" w:type="dxa"/>
                        <w:gridSpan w:val="3"/>
                      </w:tcPr>
                      <w:p>
                        <w:pPr>
                          <w:pStyle w:val="TableParagraph"/>
                          <w:tabs>
                            <w:tab w:pos="7426" w:val="left" w:leader="none"/>
                            <w:tab w:pos="11999" w:val="left" w:leader="none"/>
                          </w:tabs>
                          <w:spacing w:line="134" w:lineRule="auto"/>
                          <w:ind w:left="292"/>
                          <w:rPr>
                            <w:sz w:val="15"/>
                          </w:rPr>
                        </w:pPr>
                        <w:r>
                          <w:rPr>
                            <w:position w:val="-7"/>
                            <w:sz w:val="15"/>
                          </w:rPr>
                          <w:t>$22.00</w:t>
                          <w:tab/>
                        </w:r>
                        <w:r>
                          <w:rPr>
                            <w:sz w:val="15"/>
                          </w:rPr>
                          <w:t>143.</w:t>
                        </w:r>
                        <w:r>
                          <w:rPr>
                            <w:spacing w:val="7"/>
                            <w:sz w:val="15"/>
                          </w:rPr>
                          <w:t> </w:t>
                        </w:r>
                        <w:r>
                          <w:rPr>
                            <w:sz w:val="15"/>
                          </w:rPr>
                          <w:t>Jeringa</w:t>
                        </w:r>
                        <w:r>
                          <w:rPr>
                            <w:spacing w:val="6"/>
                            <w:sz w:val="15"/>
                          </w:rPr>
                          <w:t> </w:t>
                        </w:r>
                        <w:r>
                          <w:rPr>
                            <w:sz w:val="15"/>
                          </w:rPr>
                          <w:t>1cc/ml</w:t>
                          <w:tab/>
                          <w:t>$4.00</w:t>
                        </w:r>
                      </w:p>
                    </w:tc>
                  </w:tr>
                  <w:tr>
                    <w:trPr>
                      <w:trHeight w:val="209" w:hRule="atLeast"/>
                    </w:trPr>
                    <w:tc>
                      <w:tcPr>
                        <w:tcW w:w="4594" w:type="dxa"/>
                      </w:tcPr>
                      <w:p>
                        <w:pPr>
                          <w:pStyle w:val="TableParagraph"/>
                          <w:spacing w:before="17"/>
                          <w:ind w:left="397"/>
                          <w:rPr>
                            <w:sz w:val="15"/>
                          </w:rPr>
                        </w:pPr>
                        <w:r>
                          <w:rPr>
                            <w:sz w:val="15"/>
                          </w:rPr>
                          <w:t>97. Cánula endotraqueal 3.0</w:t>
                        </w:r>
                      </w:p>
                    </w:tc>
                    <w:tc>
                      <w:tcPr>
                        <w:tcW w:w="12435" w:type="dxa"/>
                        <w:gridSpan w:val="3"/>
                      </w:tcPr>
                      <w:p>
                        <w:pPr>
                          <w:pStyle w:val="TableParagraph"/>
                          <w:tabs>
                            <w:tab w:pos="7426" w:val="left" w:leader="none"/>
                            <w:tab w:pos="11999" w:val="left" w:leader="none"/>
                          </w:tabs>
                          <w:spacing w:line="134" w:lineRule="auto"/>
                          <w:ind w:left="292"/>
                          <w:rPr>
                            <w:sz w:val="15"/>
                          </w:rPr>
                        </w:pPr>
                        <w:r>
                          <w:rPr>
                            <w:position w:val="-7"/>
                            <w:sz w:val="15"/>
                          </w:rPr>
                          <w:t>$22.00</w:t>
                          <w:tab/>
                        </w:r>
                        <w:r>
                          <w:rPr>
                            <w:sz w:val="15"/>
                          </w:rPr>
                          <w:t>144.</w:t>
                        </w:r>
                        <w:r>
                          <w:rPr>
                            <w:spacing w:val="7"/>
                            <w:sz w:val="15"/>
                          </w:rPr>
                          <w:t> </w:t>
                        </w:r>
                        <w:r>
                          <w:rPr>
                            <w:sz w:val="15"/>
                          </w:rPr>
                          <w:t>Jeringa</w:t>
                        </w:r>
                        <w:r>
                          <w:rPr>
                            <w:spacing w:val="6"/>
                            <w:sz w:val="15"/>
                          </w:rPr>
                          <w:t> </w:t>
                        </w:r>
                        <w:r>
                          <w:rPr>
                            <w:sz w:val="15"/>
                          </w:rPr>
                          <w:t>10cc/ml</w:t>
                          <w:tab/>
                          <w:t>$4.00</w:t>
                        </w:r>
                      </w:p>
                    </w:tc>
                  </w:tr>
                  <w:tr>
                    <w:trPr>
                      <w:trHeight w:val="209" w:hRule="atLeast"/>
                    </w:trPr>
                    <w:tc>
                      <w:tcPr>
                        <w:tcW w:w="4594" w:type="dxa"/>
                      </w:tcPr>
                      <w:p>
                        <w:pPr>
                          <w:pStyle w:val="TableParagraph"/>
                          <w:spacing w:before="17"/>
                          <w:ind w:left="397"/>
                          <w:rPr>
                            <w:sz w:val="15"/>
                          </w:rPr>
                        </w:pPr>
                        <w:r>
                          <w:rPr>
                            <w:sz w:val="15"/>
                          </w:rPr>
                          <w:t>98. Cánula endotraqueal 3.5</w:t>
                        </w:r>
                      </w:p>
                    </w:tc>
                    <w:tc>
                      <w:tcPr>
                        <w:tcW w:w="12435" w:type="dxa"/>
                        <w:gridSpan w:val="3"/>
                      </w:tcPr>
                      <w:p>
                        <w:pPr>
                          <w:pStyle w:val="TableParagraph"/>
                          <w:tabs>
                            <w:tab w:pos="7426" w:val="left" w:leader="none"/>
                            <w:tab w:pos="11999" w:val="left" w:leader="none"/>
                          </w:tabs>
                          <w:spacing w:line="134" w:lineRule="auto"/>
                          <w:ind w:left="292"/>
                          <w:rPr>
                            <w:sz w:val="15"/>
                          </w:rPr>
                        </w:pPr>
                        <w:r>
                          <w:rPr>
                            <w:position w:val="-7"/>
                            <w:sz w:val="15"/>
                          </w:rPr>
                          <w:t>$22.00</w:t>
                          <w:tab/>
                        </w:r>
                        <w:r>
                          <w:rPr>
                            <w:sz w:val="15"/>
                          </w:rPr>
                          <w:t>145.</w:t>
                        </w:r>
                        <w:r>
                          <w:rPr>
                            <w:spacing w:val="7"/>
                            <w:sz w:val="15"/>
                          </w:rPr>
                          <w:t> </w:t>
                        </w:r>
                        <w:r>
                          <w:rPr>
                            <w:sz w:val="15"/>
                          </w:rPr>
                          <w:t>Jeringa</w:t>
                        </w:r>
                        <w:r>
                          <w:rPr>
                            <w:spacing w:val="6"/>
                            <w:sz w:val="15"/>
                          </w:rPr>
                          <w:t> </w:t>
                        </w:r>
                        <w:r>
                          <w:rPr>
                            <w:sz w:val="15"/>
                          </w:rPr>
                          <w:t>20cc/ml</w:t>
                          <w:tab/>
                          <w:t>$5.00</w:t>
                        </w:r>
                      </w:p>
                    </w:tc>
                  </w:tr>
                  <w:tr>
                    <w:trPr>
                      <w:trHeight w:val="209" w:hRule="atLeast"/>
                    </w:trPr>
                    <w:tc>
                      <w:tcPr>
                        <w:tcW w:w="4594" w:type="dxa"/>
                      </w:tcPr>
                      <w:p>
                        <w:pPr>
                          <w:pStyle w:val="TableParagraph"/>
                          <w:spacing w:before="17"/>
                          <w:ind w:left="397"/>
                          <w:rPr>
                            <w:sz w:val="15"/>
                          </w:rPr>
                        </w:pPr>
                        <w:r>
                          <w:rPr>
                            <w:sz w:val="15"/>
                          </w:rPr>
                          <w:t>99. Cánula endotraqueal 4.0</w:t>
                        </w:r>
                      </w:p>
                    </w:tc>
                    <w:tc>
                      <w:tcPr>
                        <w:tcW w:w="12435" w:type="dxa"/>
                        <w:gridSpan w:val="3"/>
                      </w:tcPr>
                      <w:p>
                        <w:pPr>
                          <w:pStyle w:val="TableParagraph"/>
                          <w:tabs>
                            <w:tab w:pos="7426" w:val="left" w:leader="none"/>
                            <w:tab w:pos="11999" w:val="left" w:leader="none"/>
                          </w:tabs>
                          <w:spacing w:line="134" w:lineRule="auto"/>
                          <w:ind w:left="292"/>
                          <w:rPr>
                            <w:sz w:val="15"/>
                          </w:rPr>
                        </w:pPr>
                        <w:r>
                          <w:rPr>
                            <w:position w:val="-7"/>
                            <w:sz w:val="15"/>
                          </w:rPr>
                          <w:t>$22.00</w:t>
                          <w:tab/>
                        </w:r>
                        <w:r>
                          <w:rPr>
                            <w:sz w:val="15"/>
                          </w:rPr>
                          <w:t>146.</w:t>
                        </w:r>
                        <w:r>
                          <w:rPr>
                            <w:spacing w:val="7"/>
                            <w:sz w:val="15"/>
                          </w:rPr>
                          <w:t> </w:t>
                        </w:r>
                        <w:r>
                          <w:rPr>
                            <w:sz w:val="15"/>
                          </w:rPr>
                          <w:t>Jeringa</w:t>
                        </w:r>
                        <w:r>
                          <w:rPr>
                            <w:spacing w:val="6"/>
                            <w:sz w:val="15"/>
                          </w:rPr>
                          <w:t> </w:t>
                        </w:r>
                        <w:r>
                          <w:rPr>
                            <w:sz w:val="15"/>
                          </w:rPr>
                          <w:t>3cc/ml</w:t>
                          <w:tab/>
                          <w:t>$4.00</w:t>
                        </w:r>
                      </w:p>
                    </w:tc>
                  </w:tr>
                  <w:tr>
                    <w:trPr>
                      <w:trHeight w:val="209" w:hRule="atLeast"/>
                    </w:trPr>
                    <w:tc>
                      <w:tcPr>
                        <w:tcW w:w="4594" w:type="dxa"/>
                      </w:tcPr>
                      <w:p>
                        <w:pPr>
                          <w:pStyle w:val="TableParagraph"/>
                          <w:spacing w:before="17"/>
                          <w:ind w:left="397"/>
                          <w:rPr>
                            <w:sz w:val="15"/>
                          </w:rPr>
                        </w:pPr>
                        <w:r>
                          <w:rPr>
                            <w:sz w:val="15"/>
                          </w:rPr>
                          <w:t>100. Cánula endotraqueal 4.5</w:t>
                        </w:r>
                      </w:p>
                    </w:tc>
                    <w:tc>
                      <w:tcPr>
                        <w:tcW w:w="12435" w:type="dxa"/>
                        <w:gridSpan w:val="3"/>
                      </w:tcPr>
                      <w:p>
                        <w:pPr>
                          <w:pStyle w:val="TableParagraph"/>
                          <w:tabs>
                            <w:tab w:pos="7426" w:val="left" w:leader="none"/>
                            <w:tab w:pos="11999" w:val="left" w:leader="none"/>
                          </w:tabs>
                          <w:spacing w:line="134" w:lineRule="auto"/>
                          <w:ind w:left="292"/>
                          <w:rPr>
                            <w:sz w:val="15"/>
                          </w:rPr>
                        </w:pPr>
                        <w:r>
                          <w:rPr>
                            <w:position w:val="-7"/>
                            <w:sz w:val="15"/>
                          </w:rPr>
                          <w:t>$22.00</w:t>
                          <w:tab/>
                        </w:r>
                        <w:r>
                          <w:rPr>
                            <w:sz w:val="15"/>
                          </w:rPr>
                          <w:t>147.</w:t>
                        </w:r>
                        <w:r>
                          <w:rPr>
                            <w:spacing w:val="7"/>
                            <w:sz w:val="15"/>
                          </w:rPr>
                          <w:t> </w:t>
                        </w:r>
                        <w:r>
                          <w:rPr>
                            <w:sz w:val="15"/>
                          </w:rPr>
                          <w:t>Jeringa</w:t>
                        </w:r>
                        <w:r>
                          <w:rPr>
                            <w:spacing w:val="6"/>
                            <w:sz w:val="15"/>
                          </w:rPr>
                          <w:t> </w:t>
                        </w:r>
                        <w:r>
                          <w:rPr>
                            <w:sz w:val="15"/>
                          </w:rPr>
                          <w:t>5cc/ml</w:t>
                          <w:tab/>
                          <w:t>$4.00</w:t>
                        </w:r>
                      </w:p>
                    </w:tc>
                  </w:tr>
                  <w:tr>
                    <w:trPr>
                      <w:trHeight w:val="209" w:hRule="atLeast"/>
                    </w:trPr>
                    <w:tc>
                      <w:tcPr>
                        <w:tcW w:w="4594" w:type="dxa"/>
                      </w:tcPr>
                      <w:p>
                        <w:pPr>
                          <w:pStyle w:val="TableParagraph"/>
                          <w:spacing w:before="17"/>
                          <w:ind w:left="397"/>
                          <w:rPr>
                            <w:sz w:val="15"/>
                          </w:rPr>
                        </w:pPr>
                        <w:r>
                          <w:rPr>
                            <w:sz w:val="15"/>
                          </w:rPr>
                          <w:t>101. Cánula endotraqueal 5.0</w:t>
                        </w:r>
                      </w:p>
                    </w:tc>
                    <w:tc>
                      <w:tcPr>
                        <w:tcW w:w="12435" w:type="dxa"/>
                        <w:gridSpan w:val="3"/>
                      </w:tcPr>
                      <w:p>
                        <w:pPr>
                          <w:pStyle w:val="TableParagraph"/>
                          <w:tabs>
                            <w:tab w:pos="7426" w:val="left" w:leader="none"/>
                            <w:tab w:pos="11915" w:val="left" w:leader="none"/>
                          </w:tabs>
                          <w:spacing w:line="134" w:lineRule="auto"/>
                          <w:ind w:left="292"/>
                          <w:rPr>
                            <w:sz w:val="15"/>
                          </w:rPr>
                        </w:pPr>
                        <w:r>
                          <w:rPr>
                            <w:position w:val="-7"/>
                            <w:sz w:val="15"/>
                          </w:rPr>
                          <w:t>$22.00</w:t>
                          <w:tab/>
                        </w:r>
                        <w:r>
                          <w:rPr>
                            <w:sz w:val="15"/>
                          </w:rPr>
                          <w:t>148. Jeringa de</w:t>
                        </w:r>
                        <w:r>
                          <w:rPr>
                            <w:spacing w:val="20"/>
                            <w:sz w:val="15"/>
                          </w:rPr>
                          <w:t> </w:t>
                        </w:r>
                        <w:r>
                          <w:rPr>
                            <w:sz w:val="15"/>
                          </w:rPr>
                          <w:t>asepto</w:t>
                        </w:r>
                        <w:r>
                          <w:rPr>
                            <w:spacing w:val="8"/>
                            <w:sz w:val="15"/>
                          </w:rPr>
                          <w:t> </w:t>
                        </w:r>
                        <w:r>
                          <w:rPr>
                            <w:sz w:val="15"/>
                          </w:rPr>
                          <w:t>vidrio</w:t>
                          <w:tab/>
                          <w:t>$79.00</w:t>
                        </w:r>
                      </w:p>
                    </w:tc>
                  </w:tr>
                  <w:tr>
                    <w:trPr>
                      <w:trHeight w:val="209" w:hRule="atLeast"/>
                    </w:trPr>
                    <w:tc>
                      <w:tcPr>
                        <w:tcW w:w="4594" w:type="dxa"/>
                      </w:tcPr>
                      <w:p>
                        <w:pPr>
                          <w:pStyle w:val="TableParagraph"/>
                          <w:spacing w:before="17"/>
                          <w:ind w:left="397"/>
                          <w:rPr>
                            <w:sz w:val="15"/>
                          </w:rPr>
                        </w:pPr>
                        <w:r>
                          <w:rPr>
                            <w:sz w:val="15"/>
                          </w:rPr>
                          <w:t>102. Cánula endotraqueal 5.5</w:t>
                        </w:r>
                      </w:p>
                    </w:tc>
                    <w:tc>
                      <w:tcPr>
                        <w:tcW w:w="12435" w:type="dxa"/>
                        <w:gridSpan w:val="3"/>
                      </w:tcPr>
                      <w:p>
                        <w:pPr>
                          <w:pStyle w:val="TableParagraph"/>
                          <w:tabs>
                            <w:tab w:pos="7426" w:val="left" w:leader="none"/>
                            <w:tab w:pos="11914" w:val="left" w:leader="none"/>
                          </w:tabs>
                          <w:spacing w:line="134" w:lineRule="auto"/>
                          <w:ind w:left="292"/>
                          <w:rPr>
                            <w:sz w:val="15"/>
                          </w:rPr>
                        </w:pPr>
                        <w:r>
                          <w:rPr>
                            <w:position w:val="-7"/>
                            <w:sz w:val="15"/>
                          </w:rPr>
                          <w:t>$22.00</w:t>
                          <w:tab/>
                        </w:r>
                        <w:r>
                          <w:rPr>
                            <w:sz w:val="15"/>
                          </w:rPr>
                          <w:t>149. Jeringa de</w:t>
                        </w:r>
                        <w:r>
                          <w:rPr>
                            <w:spacing w:val="21"/>
                            <w:sz w:val="15"/>
                          </w:rPr>
                          <w:t> </w:t>
                        </w:r>
                        <w:r>
                          <w:rPr>
                            <w:sz w:val="15"/>
                          </w:rPr>
                          <w:t>asepto</w:t>
                        </w:r>
                        <w:r>
                          <w:rPr>
                            <w:spacing w:val="8"/>
                            <w:sz w:val="15"/>
                          </w:rPr>
                          <w:t> </w:t>
                        </w:r>
                        <w:r>
                          <w:rPr>
                            <w:sz w:val="15"/>
                          </w:rPr>
                          <w:t>plástico</w:t>
                          <w:tab/>
                          <w:t>$26.00</w:t>
                        </w:r>
                      </w:p>
                    </w:tc>
                  </w:tr>
                  <w:tr>
                    <w:trPr>
                      <w:trHeight w:val="190" w:hRule="atLeast"/>
                    </w:trPr>
                    <w:tc>
                      <w:tcPr>
                        <w:tcW w:w="4594" w:type="dxa"/>
                      </w:tcPr>
                      <w:p>
                        <w:pPr>
                          <w:pStyle w:val="TableParagraph"/>
                          <w:spacing w:line="153" w:lineRule="exact" w:before="17"/>
                          <w:ind w:left="397"/>
                          <w:rPr>
                            <w:sz w:val="15"/>
                          </w:rPr>
                        </w:pPr>
                        <w:r>
                          <w:rPr>
                            <w:sz w:val="15"/>
                          </w:rPr>
                          <w:t>103. Cánula endotraqueal 6.0</w:t>
                        </w:r>
                      </w:p>
                    </w:tc>
                    <w:tc>
                      <w:tcPr>
                        <w:tcW w:w="12435" w:type="dxa"/>
                        <w:gridSpan w:val="3"/>
                      </w:tcPr>
                      <w:p>
                        <w:pPr>
                          <w:pStyle w:val="TableParagraph"/>
                          <w:tabs>
                            <w:tab w:pos="7426" w:val="left" w:leader="none"/>
                            <w:tab w:pos="11913" w:val="left" w:leader="none"/>
                          </w:tabs>
                          <w:spacing w:line="134" w:lineRule="auto"/>
                          <w:ind w:left="292"/>
                          <w:rPr>
                            <w:sz w:val="15"/>
                          </w:rPr>
                        </w:pPr>
                        <w:r>
                          <w:rPr>
                            <w:position w:val="-7"/>
                            <w:sz w:val="15"/>
                          </w:rPr>
                          <w:t>$22.00</w:t>
                          <w:tab/>
                        </w:r>
                        <w:r>
                          <w:rPr>
                            <w:sz w:val="15"/>
                          </w:rPr>
                          <w:t>150. Llave de</w:t>
                        </w:r>
                        <w:r>
                          <w:rPr>
                            <w:spacing w:val="15"/>
                            <w:sz w:val="15"/>
                          </w:rPr>
                          <w:t> </w:t>
                        </w:r>
                        <w:r>
                          <w:rPr>
                            <w:sz w:val="15"/>
                          </w:rPr>
                          <w:t>3</w:t>
                        </w:r>
                        <w:r>
                          <w:rPr>
                            <w:spacing w:val="5"/>
                            <w:sz w:val="15"/>
                          </w:rPr>
                          <w:t> </w:t>
                        </w:r>
                        <w:r>
                          <w:rPr>
                            <w:sz w:val="15"/>
                          </w:rPr>
                          <w:t>vias</w:t>
                          <w:tab/>
                          <w:t>$15.00</w:t>
                        </w:r>
                      </w:p>
                    </w:tc>
                  </w:tr>
                </w:tbl>
                <w:p>
                  <w:pPr>
                    <w:pStyle w:val="BodyText"/>
                  </w:pPr>
                </w:p>
              </w:txbxContent>
            </v:textbox>
            <w10:wrap type="none"/>
          </v:shape>
        </w:pict>
      </w:r>
      <w:r>
        <w:rPr/>
        <w:pict>
          <v:shape style="position:absolute;margin-left:700.054749pt;margin-top:6.291035pt;width:253.05pt;height:313.1pt;mso-position-horizontal-relative:page;mso-position-vertical-relative:paragraph;z-index:2517114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4"/>
                    <w:gridCol w:w="1247"/>
                  </w:tblGrid>
                  <w:tr>
                    <w:trPr>
                      <w:trHeight w:val="190" w:hRule="atLeast"/>
                    </w:trPr>
                    <w:tc>
                      <w:tcPr>
                        <w:tcW w:w="3814" w:type="dxa"/>
                      </w:tcPr>
                      <w:p>
                        <w:pPr>
                          <w:pStyle w:val="TableParagraph"/>
                          <w:rPr>
                            <w:rFonts w:ascii="Times New Roman"/>
                            <w:sz w:val="12"/>
                          </w:rPr>
                        </w:pPr>
                      </w:p>
                    </w:tc>
                    <w:tc>
                      <w:tcPr>
                        <w:tcW w:w="1247" w:type="dxa"/>
                      </w:tcPr>
                      <w:p>
                        <w:pPr>
                          <w:pStyle w:val="TableParagraph"/>
                          <w:rPr>
                            <w:rFonts w:ascii="Times New Roman"/>
                            <w:sz w:val="12"/>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209" w:hRule="atLeast"/>
                    </w:trPr>
                    <w:tc>
                      <w:tcPr>
                        <w:tcW w:w="3814" w:type="dxa"/>
                      </w:tcPr>
                      <w:p>
                        <w:pPr>
                          <w:pStyle w:val="TableParagraph"/>
                          <w:rPr>
                            <w:rFonts w:ascii="Times New Roman"/>
                            <w:sz w:val="14"/>
                          </w:rPr>
                        </w:pPr>
                      </w:p>
                    </w:tc>
                    <w:tc>
                      <w:tcPr>
                        <w:tcW w:w="1247" w:type="dxa"/>
                      </w:tcPr>
                      <w:p>
                        <w:pPr>
                          <w:pStyle w:val="TableParagraph"/>
                          <w:rPr>
                            <w:rFonts w:ascii="Times New Roman"/>
                            <w:sz w:val="14"/>
                          </w:rPr>
                        </w:pPr>
                      </w:p>
                    </w:tc>
                  </w:tr>
                  <w:tr>
                    <w:trPr>
                      <w:trHeight w:val="190" w:hRule="atLeast"/>
                    </w:trPr>
                    <w:tc>
                      <w:tcPr>
                        <w:tcW w:w="3814" w:type="dxa"/>
                      </w:tcPr>
                      <w:p>
                        <w:pPr>
                          <w:pStyle w:val="TableParagraph"/>
                          <w:spacing w:line="153" w:lineRule="exact" w:before="17"/>
                          <w:ind w:left="50"/>
                          <w:rPr>
                            <w:sz w:val="15"/>
                          </w:rPr>
                        </w:pPr>
                        <w:r>
                          <w:rPr>
                            <w:sz w:val="15"/>
                          </w:rPr>
                          <w:t>151. Mascarilla/reservorio adulto</w:t>
                        </w:r>
                      </w:p>
                    </w:tc>
                    <w:tc>
                      <w:tcPr>
                        <w:tcW w:w="1247" w:type="dxa"/>
                      </w:tcPr>
                      <w:p>
                        <w:pPr>
                          <w:pStyle w:val="TableParagraph"/>
                          <w:spacing w:line="153" w:lineRule="exact" w:before="17"/>
                          <w:ind w:left="724"/>
                          <w:rPr>
                            <w:sz w:val="15"/>
                          </w:rPr>
                        </w:pPr>
                        <w:r>
                          <w:rPr>
                            <w:sz w:val="15"/>
                          </w:rPr>
                          <w:t>$35.00</w:t>
                        </w:r>
                      </w:p>
                    </w:tc>
                  </w:tr>
                </w:tbl>
                <w:p>
                  <w:pPr>
                    <w:pStyle w:val="BodyText"/>
                  </w:pPr>
                </w:p>
              </w:txbxContent>
            </v:textbox>
            <w10:wrap type="none"/>
          </v:shape>
        </w:pict>
      </w:r>
      <w:r>
        <w:rPr/>
        <w:t>cristalina 400 000 U (penisodina 400)</w:t>
      </w:r>
    </w:p>
    <w:p>
      <w:pPr>
        <w:spacing w:after="0"/>
        <w:sectPr>
          <w:headerReference w:type="default" r:id="rId104"/>
          <w:pgSz w:w="23250" w:h="15310" w:orient="landscape"/>
          <w:pgMar w:header="881" w:footer="499" w:top="1920" w:bottom="680" w:left="1880" w:right="152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18"/>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5"/>
        <w:gridCol w:w="4415"/>
        <w:gridCol w:w="6704"/>
        <w:gridCol w:w="1635"/>
      </w:tblGrid>
      <w:tr>
        <w:trPr>
          <w:trHeight w:val="191" w:hRule="atLeast"/>
        </w:trPr>
        <w:tc>
          <w:tcPr>
            <w:tcW w:w="3925" w:type="dxa"/>
          </w:tcPr>
          <w:p>
            <w:pPr>
              <w:pStyle w:val="TableParagraph"/>
              <w:spacing w:line="171" w:lineRule="exact"/>
              <w:ind w:left="50"/>
              <w:rPr>
                <w:sz w:val="15"/>
              </w:rPr>
            </w:pPr>
            <w:r>
              <w:rPr>
                <w:sz w:val="15"/>
              </w:rPr>
              <w:t>152. Mascarilla/reservorio</w:t>
            </w:r>
          </w:p>
        </w:tc>
        <w:tc>
          <w:tcPr>
            <w:tcW w:w="4415" w:type="dxa"/>
          </w:tcPr>
          <w:p>
            <w:pPr>
              <w:pStyle w:val="TableParagraph"/>
              <w:spacing w:line="171" w:lineRule="exact"/>
              <w:ind w:right="3327"/>
              <w:jc w:val="right"/>
              <w:rPr>
                <w:sz w:val="15"/>
              </w:rPr>
            </w:pPr>
            <w:r>
              <w:rPr>
                <w:sz w:val="15"/>
              </w:rPr>
              <w:t>$26.00</w:t>
            </w:r>
          </w:p>
        </w:tc>
        <w:tc>
          <w:tcPr>
            <w:tcW w:w="6704" w:type="dxa"/>
          </w:tcPr>
          <w:p>
            <w:pPr>
              <w:pStyle w:val="TableParagraph"/>
              <w:spacing w:line="171" w:lineRule="exact"/>
              <w:ind w:left="3332"/>
              <w:rPr>
                <w:sz w:val="15"/>
              </w:rPr>
            </w:pPr>
            <w:r>
              <w:rPr>
                <w:sz w:val="15"/>
              </w:rPr>
              <w:t>200. Sutura crómico 1-0</w:t>
            </w:r>
          </w:p>
        </w:tc>
        <w:tc>
          <w:tcPr>
            <w:tcW w:w="1635" w:type="dxa"/>
          </w:tcPr>
          <w:p>
            <w:pPr>
              <w:pStyle w:val="TableParagraph"/>
              <w:spacing w:line="171" w:lineRule="exact"/>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153. Micronebulizador (Hudson)</w:t>
            </w:r>
          </w:p>
        </w:tc>
        <w:tc>
          <w:tcPr>
            <w:tcW w:w="4415" w:type="dxa"/>
          </w:tcPr>
          <w:p>
            <w:pPr>
              <w:pStyle w:val="TableParagraph"/>
              <w:spacing w:line="172" w:lineRule="exact" w:before="18"/>
              <w:ind w:right="3329"/>
              <w:jc w:val="right"/>
              <w:rPr>
                <w:sz w:val="15"/>
              </w:rPr>
            </w:pPr>
            <w:r>
              <w:rPr>
                <w:sz w:val="15"/>
              </w:rPr>
              <w:t>$30.00</w:t>
            </w:r>
          </w:p>
        </w:tc>
        <w:tc>
          <w:tcPr>
            <w:tcW w:w="6704" w:type="dxa"/>
          </w:tcPr>
          <w:p>
            <w:pPr>
              <w:pStyle w:val="TableParagraph"/>
              <w:spacing w:before="17"/>
              <w:ind w:left="3332"/>
              <w:rPr>
                <w:sz w:val="15"/>
              </w:rPr>
            </w:pPr>
            <w:r>
              <w:rPr>
                <w:sz w:val="15"/>
              </w:rPr>
              <w:t>201. Sutura crómico 2-0</w:t>
            </w:r>
          </w:p>
        </w:tc>
        <w:tc>
          <w:tcPr>
            <w:tcW w:w="1635" w:type="dxa"/>
          </w:tcPr>
          <w:p>
            <w:pPr>
              <w:pStyle w:val="TableParagraph"/>
              <w:spacing w:before="17"/>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154. Pañal adulto</w:t>
            </w:r>
          </w:p>
        </w:tc>
        <w:tc>
          <w:tcPr>
            <w:tcW w:w="4415" w:type="dxa"/>
          </w:tcPr>
          <w:p>
            <w:pPr>
              <w:pStyle w:val="TableParagraph"/>
              <w:spacing w:line="172" w:lineRule="exact" w:before="18"/>
              <w:ind w:right="3328"/>
              <w:jc w:val="right"/>
              <w:rPr>
                <w:sz w:val="15"/>
              </w:rPr>
            </w:pPr>
            <w:r>
              <w:rPr>
                <w:sz w:val="15"/>
              </w:rPr>
              <w:t>$8.00</w:t>
            </w:r>
          </w:p>
        </w:tc>
        <w:tc>
          <w:tcPr>
            <w:tcW w:w="6704" w:type="dxa"/>
          </w:tcPr>
          <w:p>
            <w:pPr>
              <w:pStyle w:val="TableParagraph"/>
              <w:spacing w:before="17"/>
              <w:ind w:left="3331"/>
              <w:rPr>
                <w:sz w:val="15"/>
              </w:rPr>
            </w:pPr>
            <w:r>
              <w:rPr>
                <w:sz w:val="15"/>
              </w:rPr>
              <w:t>202. Sutura crómico 3-0</w:t>
            </w:r>
          </w:p>
        </w:tc>
        <w:tc>
          <w:tcPr>
            <w:tcW w:w="1635" w:type="dxa"/>
          </w:tcPr>
          <w:p>
            <w:pPr>
              <w:pStyle w:val="TableParagraph"/>
              <w:spacing w:before="17"/>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155. Parche nitrato glicérido 5mg/24hrs</w:t>
            </w:r>
          </w:p>
        </w:tc>
        <w:tc>
          <w:tcPr>
            <w:tcW w:w="4415" w:type="dxa"/>
          </w:tcPr>
          <w:p>
            <w:pPr>
              <w:pStyle w:val="TableParagraph"/>
              <w:spacing w:line="172" w:lineRule="exact" w:before="18"/>
              <w:ind w:right="3328"/>
              <w:jc w:val="right"/>
              <w:rPr>
                <w:sz w:val="15"/>
              </w:rPr>
            </w:pPr>
            <w:r>
              <w:rPr>
                <w:sz w:val="15"/>
              </w:rPr>
              <w:t>$320.00</w:t>
            </w:r>
          </w:p>
        </w:tc>
        <w:tc>
          <w:tcPr>
            <w:tcW w:w="6704" w:type="dxa"/>
          </w:tcPr>
          <w:p>
            <w:pPr>
              <w:pStyle w:val="TableParagraph"/>
              <w:spacing w:before="17"/>
              <w:ind w:left="3331"/>
              <w:rPr>
                <w:sz w:val="15"/>
              </w:rPr>
            </w:pPr>
            <w:r>
              <w:rPr>
                <w:sz w:val="15"/>
              </w:rPr>
              <w:t>203. Sutura crómico 4-0</w:t>
            </w:r>
          </w:p>
        </w:tc>
        <w:tc>
          <w:tcPr>
            <w:tcW w:w="1635" w:type="dxa"/>
          </w:tcPr>
          <w:p>
            <w:pPr>
              <w:pStyle w:val="TableParagraph"/>
              <w:spacing w:before="17"/>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156. Parche nitrato glicérido 10mg/24</w:t>
            </w:r>
          </w:p>
        </w:tc>
        <w:tc>
          <w:tcPr>
            <w:tcW w:w="4415" w:type="dxa"/>
          </w:tcPr>
          <w:p>
            <w:pPr>
              <w:pStyle w:val="TableParagraph"/>
              <w:spacing w:line="172" w:lineRule="exact" w:before="18"/>
              <w:ind w:right="3328"/>
              <w:jc w:val="right"/>
              <w:rPr>
                <w:sz w:val="15"/>
              </w:rPr>
            </w:pPr>
            <w:r>
              <w:rPr>
                <w:sz w:val="15"/>
              </w:rPr>
              <w:t>$386.00</w:t>
            </w:r>
          </w:p>
        </w:tc>
        <w:tc>
          <w:tcPr>
            <w:tcW w:w="6704" w:type="dxa"/>
          </w:tcPr>
          <w:p>
            <w:pPr>
              <w:pStyle w:val="TableParagraph"/>
              <w:spacing w:before="17"/>
              <w:ind w:left="3331"/>
              <w:rPr>
                <w:sz w:val="15"/>
              </w:rPr>
            </w:pPr>
            <w:r>
              <w:rPr>
                <w:sz w:val="15"/>
              </w:rPr>
              <w:t>204. Sutura nylon 1-0</w:t>
            </w:r>
          </w:p>
        </w:tc>
        <w:tc>
          <w:tcPr>
            <w:tcW w:w="1635" w:type="dxa"/>
          </w:tcPr>
          <w:p>
            <w:pPr>
              <w:pStyle w:val="TableParagraph"/>
              <w:spacing w:before="17"/>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157. Perilla de plástico #5</w:t>
            </w:r>
          </w:p>
        </w:tc>
        <w:tc>
          <w:tcPr>
            <w:tcW w:w="4415" w:type="dxa"/>
          </w:tcPr>
          <w:p>
            <w:pPr>
              <w:pStyle w:val="TableParagraph"/>
              <w:spacing w:line="172" w:lineRule="exact" w:before="18"/>
              <w:ind w:right="3327"/>
              <w:jc w:val="right"/>
              <w:rPr>
                <w:sz w:val="15"/>
              </w:rPr>
            </w:pPr>
            <w:r>
              <w:rPr>
                <w:sz w:val="15"/>
              </w:rPr>
              <w:t>$26.00</w:t>
            </w:r>
          </w:p>
        </w:tc>
        <w:tc>
          <w:tcPr>
            <w:tcW w:w="6704" w:type="dxa"/>
          </w:tcPr>
          <w:p>
            <w:pPr>
              <w:pStyle w:val="TableParagraph"/>
              <w:spacing w:before="17"/>
              <w:ind w:left="3331"/>
              <w:rPr>
                <w:sz w:val="15"/>
              </w:rPr>
            </w:pPr>
            <w:r>
              <w:rPr>
                <w:sz w:val="15"/>
              </w:rPr>
              <w:t>205. Sutura nylon 2-0</w:t>
            </w:r>
          </w:p>
        </w:tc>
        <w:tc>
          <w:tcPr>
            <w:tcW w:w="1635" w:type="dxa"/>
          </w:tcPr>
          <w:p>
            <w:pPr>
              <w:pStyle w:val="TableParagraph"/>
              <w:spacing w:before="17"/>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158. Puntilla nasal adulto</w:t>
            </w:r>
          </w:p>
        </w:tc>
        <w:tc>
          <w:tcPr>
            <w:tcW w:w="4415" w:type="dxa"/>
          </w:tcPr>
          <w:p>
            <w:pPr>
              <w:pStyle w:val="TableParagraph"/>
              <w:spacing w:line="172" w:lineRule="exact" w:before="18"/>
              <w:ind w:right="3327"/>
              <w:jc w:val="right"/>
              <w:rPr>
                <w:sz w:val="15"/>
              </w:rPr>
            </w:pPr>
            <w:r>
              <w:rPr>
                <w:sz w:val="15"/>
              </w:rPr>
              <w:t>$8.00</w:t>
            </w:r>
          </w:p>
        </w:tc>
        <w:tc>
          <w:tcPr>
            <w:tcW w:w="6704" w:type="dxa"/>
          </w:tcPr>
          <w:p>
            <w:pPr>
              <w:pStyle w:val="TableParagraph"/>
              <w:spacing w:before="17"/>
              <w:ind w:left="3331"/>
              <w:rPr>
                <w:sz w:val="15"/>
              </w:rPr>
            </w:pPr>
            <w:r>
              <w:rPr>
                <w:sz w:val="15"/>
              </w:rPr>
              <w:t>206. Sutura naylon 3-0</w:t>
            </w:r>
          </w:p>
        </w:tc>
        <w:tc>
          <w:tcPr>
            <w:tcW w:w="1635" w:type="dxa"/>
          </w:tcPr>
          <w:p>
            <w:pPr>
              <w:pStyle w:val="TableParagraph"/>
              <w:spacing w:before="17"/>
              <w:ind w:right="45"/>
              <w:jc w:val="right"/>
              <w:rPr>
                <w:sz w:val="15"/>
              </w:rPr>
            </w:pPr>
            <w:r>
              <w:rPr>
                <w:sz w:val="15"/>
              </w:rPr>
              <w:t>$19.00</w:t>
            </w:r>
          </w:p>
        </w:tc>
      </w:tr>
      <w:tr>
        <w:trPr>
          <w:trHeight w:val="209" w:hRule="atLeast"/>
        </w:trPr>
        <w:tc>
          <w:tcPr>
            <w:tcW w:w="3925" w:type="dxa"/>
          </w:tcPr>
          <w:p>
            <w:pPr>
              <w:pStyle w:val="TableParagraph"/>
              <w:spacing w:line="172" w:lineRule="exact" w:before="18"/>
              <w:ind w:left="50"/>
              <w:rPr>
                <w:sz w:val="15"/>
              </w:rPr>
            </w:pPr>
            <w:r>
              <w:rPr>
                <w:sz w:val="15"/>
              </w:rPr>
              <w:t>159. Puntilla nasal infantil</w:t>
            </w:r>
          </w:p>
        </w:tc>
        <w:tc>
          <w:tcPr>
            <w:tcW w:w="4415" w:type="dxa"/>
          </w:tcPr>
          <w:p>
            <w:pPr>
              <w:pStyle w:val="TableParagraph"/>
              <w:spacing w:line="172" w:lineRule="exact" w:before="18"/>
              <w:ind w:right="3327"/>
              <w:jc w:val="right"/>
              <w:rPr>
                <w:sz w:val="15"/>
              </w:rPr>
            </w:pPr>
            <w:r>
              <w:rPr>
                <w:sz w:val="15"/>
              </w:rPr>
              <w:t>$8.00</w:t>
            </w:r>
          </w:p>
        </w:tc>
        <w:tc>
          <w:tcPr>
            <w:tcW w:w="6704" w:type="dxa"/>
          </w:tcPr>
          <w:p>
            <w:pPr>
              <w:pStyle w:val="TableParagraph"/>
              <w:spacing w:before="17"/>
              <w:ind w:left="3331"/>
              <w:rPr>
                <w:sz w:val="15"/>
              </w:rPr>
            </w:pPr>
            <w:r>
              <w:rPr>
                <w:sz w:val="15"/>
              </w:rPr>
              <w:t>207. Sutura naylon 4-0</w:t>
            </w:r>
          </w:p>
        </w:tc>
        <w:tc>
          <w:tcPr>
            <w:tcW w:w="1635" w:type="dxa"/>
          </w:tcPr>
          <w:p>
            <w:pPr>
              <w:pStyle w:val="TableParagraph"/>
              <w:spacing w:before="17"/>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160. Rastrillo doble filo</w:t>
            </w:r>
          </w:p>
        </w:tc>
        <w:tc>
          <w:tcPr>
            <w:tcW w:w="4415" w:type="dxa"/>
          </w:tcPr>
          <w:p>
            <w:pPr>
              <w:pStyle w:val="TableParagraph"/>
              <w:spacing w:line="172" w:lineRule="exact" w:before="18"/>
              <w:ind w:right="3327"/>
              <w:jc w:val="right"/>
              <w:rPr>
                <w:sz w:val="15"/>
              </w:rPr>
            </w:pPr>
            <w:r>
              <w:rPr>
                <w:sz w:val="15"/>
              </w:rPr>
              <w:t>$7.00</w:t>
            </w:r>
          </w:p>
        </w:tc>
        <w:tc>
          <w:tcPr>
            <w:tcW w:w="6704" w:type="dxa"/>
          </w:tcPr>
          <w:p>
            <w:pPr>
              <w:pStyle w:val="TableParagraph"/>
              <w:spacing w:before="17"/>
              <w:ind w:left="3331"/>
              <w:rPr>
                <w:sz w:val="15"/>
              </w:rPr>
            </w:pPr>
            <w:r>
              <w:rPr>
                <w:sz w:val="15"/>
              </w:rPr>
              <w:t>208. Sutura naylon 5-0</w:t>
            </w:r>
          </w:p>
        </w:tc>
        <w:tc>
          <w:tcPr>
            <w:tcW w:w="1635" w:type="dxa"/>
          </w:tcPr>
          <w:p>
            <w:pPr>
              <w:pStyle w:val="TableParagraph"/>
              <w:spacing w:before="17"/>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161. Sol. Dx al 10% 500ml</w:t>
            </w:r>
          </w:p>
        </w:tc>
        <w:tc>
          <w:tcPr>
            <w:tcW w:w="4415" w:type="dxa"/>
          </w:tcPr>
          <w:p>
            <w:pPr>
              <w:pStyle w:val="TableParagraph"/>
              <w:spacing w:line="172" w:lineRule="exact" w:before="18"/>
              <w:ind w:right="3328"/>
              <w:jc w:val="right"/>
              <w:rPr>
                <w:sz w:val="15"/>
              </w:rPr>
            </w:pPr>
            <w:r>
              <w:rPr>
                <w:sz w:val="15"/>
              </w:rPr>
              <w:t>$19.00</w:t>
            </w:r>
          </w:p>
        </w:tc>
        <w:tc>
          <w:tcPr>
            <w:tcW w:w="6704" w:type="dxa"/>
          </w:tcPr>
          <w:p>
            <w:pPr>
              <w:pStyle w:val="TableParagraph"/>
              <w:spacing w:before="17"/>
              <w:ind w:left="3331"/>
              <w:rPr>
                <w:sz w:val="15"/>
              </w:rPr>
            </w:pPr>
            <w:r>
              <w:rPr>
                <w:sz w:val="15"/>
              </w:rPr>
              <w:t>209. Sutura naylon 6-0</w:t>
            </w:r>
          </w:p>
        </w:tc>
        <w:tc>
          <w:tcPr>
            <w:tcW w:w="1635" w:type="dxa"/>
          </w:tcPr>
          <w:p>
            <w:pPr>
              <w:pStyle w:val="TableParagraph"/>
              <w:spacing w:before="17"/>
              <w:ind w:right="45"/>
              <w:jc w:val="right"/>
              <w:rPr>
                <w:sz w:val="15"/>
              </w:rPr>
            </w:pPr>
            <w:r>
              <w:rPr>
                <w:sz w:val="15"/>
              </w:rPr>
              <w:t>$19.00</w:t>
            </w:r>
          </w:p>
        </w:tc>
      </w:tr>
      <w:tr>
        <w:trPr>
          <w:trHeight w:val="209" w:hRule="atLeast"/>
        </w:trPr>
        <w:tc>
          <w:tcPr>
            <w:tcW w:w="3925" w:type="dxa"/>
          </w:tcPr>
          <w:p>
            <w:pPr>
              <w:pStyle w:val="TableParagraph"/>
              <w:spacing w:line="172" w:lineRule="exact" w:before="18"/>
              <w:ind w:left="50"/>
              <w:rPr>
                <w:sz w:val="15"/>
              </w:rPr>
            </w:pPr>
            <w:r>
              <w:rPr>
                <w:sz w:val="15"/>
              </w:rPr>
              <w:t>162. Sol. Dx al 5% 1000ml</w:t>
            </w:r>
          </w:p>
        </w:tc>
        <w:tc>
          <w:tcPr>
            <w:tcW w:w="4415" w:type="dxa"/>
          </w:tcPr>
          <w:p>
            <w:pPr>
              <w:pStyle w:val="TableParagraph"/>
              <w:spacing w:line="172" w:lineRule="exact" w:before="18"/>
              <w:ind w:right="3328"/>
              <w:jc w:val="right"/>
              <w:rPr>
                <w:sz w:val="15"/>
              </w:rPr>
            </w:pPr>
            <w:r>
              <w:rPr>
                <w:sz w:val="15"/>
              </w:rPr>
              <w:t>$23.00</w:t>
            </w:r>
          </w:p>
        </w:tc>
        <w:tc>
          <w:tcPr>
            <w:tcW w:w="6704" w:type="dxa"/>
          </w:tcPr>
          <w:p>
            <w:pPr>
              <w:pStyle w:val="TableParagraph"/>
              <w:spacing w:before="17"/>
              <w:ind w:left="3331"/>
              <w:rPr>
                <w:sz w:val="15"/>
              </w:rPr>
            </w:pPr>
            <w:r>
              <w:rPr>
                <w:sz w:val="15"/>
              </w:rPr>
              <w:t>210. Sutura seda 1-0</w:t>
            </w:r>
          </w:p>
        </w:tc>
        <w:tc>
          <w:tcPr>
            <w:tcW w:w="1635" w:type="dxa"/>
          </w:tcPr>
          <w:p>
            <w:pPr>
              <w:pStyle w:val="TableParagraph"/>
              <w:spacing w:before="17"/>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163. Sol. Dx al 5% 250ml</w:t>
            </w:r>
          </w:p>
        </w:tc>
        <w:tc>
          <w:tcPr>
            <w:tcW w:w="4415" w:type="dxa"/>
          </w:tcPr>
          <w:p>
            <w:pPr>
              <w:pStyle w:val="TableParagraph"/>
              <w:spacing w:line="172" w:lineRule="exact" w:before="18"/>
              <w:ind w:right="3328"/>
              <w:jc w:val="right"/>
              <w:rPr>
                <w:sz w:val="15"/>
              </w:rPr>
            </w:pPr>
            <w:r>
              <w:rPr>
                <w:sz w:val="15"/>
              </w:rPr>
              <w:t>$18.00</w:t>
            </w:r>
          </w:p>
        </w:tc>
        <w:tc>
          <w:tcPr>
            <w:tcW w:w="6704" w:type="dxa"/>
          </w:tcPr>
          <w:p>
            <w:pPr>
              <w:pStyle w:val="TableParagraph"/>
              <w:spacing w:before="17"/>
              <w:ind w:left="3331"/>
              <w:rPr>
                <w:sz w:val="15"/>
              </w:rPr>
            </w:pPr>
            <w:r>
              <w:rPr>
                <w:sz w:val="15"/>
              </w:rPr>
              <w:t>211. Sutura seda 3-0</w:t>
            </w:r>
          </w:p>
        </w:tc>
        <w:tc>
          <w:tcPr>
            <w:tcW w:w="1635" w:type="dxa"/>
          </w:tcPr>
          <w:p>
            <w:pPr>
              <w:pStyle w:val="TableParagraph"/>
              <w:spacing w:before="17"/>
              <w:ind w:right="46"/>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164. Sol. Dx al 5% 500ml</w:t>
            </w:r>
          </w:p>
        </w:tc>
        <w:tc>
          <w:tcPr>
            <w:tcW w:w="4415" w:type="dxa"/>
          </w:tcPr>
          <w:p>
            <w:pPr>
              <w:pStyle w:val="TableParagraph"/>
              <w:spacing w:line="172" w:lineRule="exact" w:before="18"/>
              <w:ind w:right="3328"/>
              <w:jc w:val="right"/>
              <w:rPr>
                <w:sz w:val="15"/>
              </w:rPr>
            </w:pPr>
            <w:r>
              <w:rPr>
                <w:sz w:val="15"/>
              </w:rPr>
              <w:t>$20.00</w:t>
            </w:r>
          </w:p>
        </w:tc>
        <w:tc>
          <w:tcPr>
            <w:tcW w:w="6704" w:type="dxa"/>
          </w:tcPr>
          <w:p>
            <w:pPr>
              <w:pStyle w:val="TableParagraph"/>
              <w:spacing w:before="17"/>
              <w:ind w:left="3331"/>
              <w:rPr>
                <w:sz w:val="15"/>
              </w:rPr>
            </w:pPr>
            <w:r>
              <w:rPr>
                <w:sz w:val="15"/>
              </w:rPr>
              <w:t>212. Sutura seda 4-0</w:t>
            </w:r>
          </w:p>
        </w:tc>
        <w:tc>
          <w:tcPr>
            <w:tcW w:w="1635" w:type="dxa"/>
          </w:tcPr>
          <w:p>
            <w:pPr>
              <w:pStyle w:val="TableParagraph"/>
              <w:spacing w:before="17"/>
              <w:ind w:right="45"/>
              <w:jc w:val="right"/>
              <w:rPr>
                <w:sz w:val="15"/>
              </w:rPr>
            </w:pPr>
            <w:r>
              <w:rPr>
                <w:sz w:val="15"/>
              </w:rPr>
              <w:t>$20.00</w:t>
            </w:r>
          </w:p>
        </w:tc>
      </w:tr>
      <w:tr>
        <w:trPr>
          <w:trHeight w:val="209" w:hRule="atLeast"/>
        </w:trPr>
        <w:tc>
          <w:tcPr>
            <w:tcW w:w="3925" w:type="dxa"/>
          </w:tcPr>
          <w:p>
            <w:pPr>
              <w:pStyle w:val="TableParagraph"/>
              <w:spacing w:line="172" w:lineRule="exact" w:before="18"/>
              <w:ind w:left="50"/>
              <w:rPr>
                <w:sz w:val="15"/>
              </w:rPr>
            </w:pPr>
            <w:r>
              <w:rPr>
                <w:sz w:val="15"/>
              </w:rPr>
              <w:t>165. Sol. Fisiológica 100ml</w:t>
            </w:r>
          </w:p>
        </w:tc>
        <w:tc>
          <w:tcPr>
            <w:tcW w:w="4415" w:type="dxa"/>
          </w:tcPr>
          <w:p>
            <w:pPr>
              <w:pStyle w:val="TableParagraph"/>
              <w:spacing w:line="172" w:lineRule="exact" w:before="18"/>
              <w:ind w:right="3327"/>
              <w:jc w:val="right"/>
              <w:rPr>
                <w:sz w:val="15"/>
              </w:rPr>
            </w:pPr>
            <w:r>
              <w:rPr>
                <w:sz w:val="15"/>
              </w:rPr>
              <w:t>$15.00</w:t>
            </w:r>
          </w:p>
        </w:tc>
        <w:tc>
          <w:tcPr>
            <w:tcW w:w="6704" w:type="dxa"/>
          </w:tcPr>
          <w:p>
            <w:pPr>
              <w:pStyle w:val="TableParagraph"/>
              <w:spacing w:before="17"/>
              <w:ind w:left="3331"/>
              <w:rPr>
                <w:sz w:val="15"/>
              </w:rPr>
            </w:pPr>
            <w:r>
              <w:rPr>
                <w:sz w:val="15"/>
              </w:rPr>
              <w:t>213. Sutura vicril 3-0</w:t>
            </w:r>
          </w:p>
        </w:tc>
        <w:tc>
          <w:tcPr>
            <w:tcW w:w="1635" w:type="dxa"/>
          </w:tcPr>
          <w:p>
            <w:pPr>
              <w:pStyle w:val="TableParagraph"/>
              <w:spacing w:before="17"/>
              <w:ind w:right="45"/>
              <w:jc w:val="right"/>
              <w:rPr>
                <w:sz w:val="15"/>
              </w:rPr>
            </w:pPr>
            <w:r>
              <w:rPr>
                <w:sz w:val="15"/>
              </w:rPr>
              <w:t>$27.00</w:t>
            </w:r>
          </w:p>
        </w:tc>
      </w:tr>
      <w:tr>
        <w:trPr>
          <w:trHeight w:val="209" w:hRule="atLeast"/>
        </w:trPr>
        <w:tc>
          <w:tcPr>
            <w:tcW w:w="3925" w:type="dxa"/>
          </w:tcPr>
          <w:p>
            <w:pPr>
              <w:pStyle w:val="TableParagraph"/>
              <w:spacing w:line="172" w:lineRule="exact" w:before="18"/>
              <w:ind w:left="50"/>
              <w:rPr>
                <w:sz w:val="15"/>
              </w:rPr>
            </w:pPr>
            <w:r>
              <w:rPr>
                <w:sz w:val="15"/>
              </w:rPr>
              <w:t>166. Sol. Fisiológica 1000ml</w:t>
            </w:r>
          </w:p>
        </w:tc>
        <w:tc>
          <w:tcPr>
            <w:tcW w:w="4415" w:type="dxa"/>
          </w:tcPr>
          <w:p>
            <w:pPr>
              <w:pStyle w:val="TableParagraph"/>
              <w:spacing w:line="172" w:lineRule="exact" w:before="18"/>
              <w:ind w:right="3327"/>
              <w:jc w:val="right"/>
              <w:rPr>
                <w:sz w:val="15"/>
              </w:rPr>
            </w:pPr>
            <w:r>
              <w:rPr>
                <w:sz w:val="15"/>
              </w:rPr>
              <w:t>$23.00</w:t>
            </w:r>
          </w:p>
        </w:tc>
        <w:tc>
          <w:tcPr>
            <w:tcW w:w="6704" w:type="dxa"/>
          </w:tcPr>
          <w:p>
            <w:pPr>
              <w:pStyle w:val="TableParagraph"/>
              <w:spacing w:before="17"/>
              <w:ind w:left="3331"/>
              <w:rPr>
                <w:sz w:val="15"/>
              </w:rPr>
            </w:pPr>
            <w:r>
              <w:rPr>
                <w:sz w:val="15"/>
              </w:rPr>
              <w:t>214. Tira reactiva para dextrostix</w:t>
            </w:r>
          </w:p>
        </w:tc>
        <w:tc>
          <w:tcPr>
            <w:tcW w:w="1635" w:type="dxa"/>
          </w:tcPr>
          <w:p>
            <w:pPr>
              <w:pStyle w:val="TableParagraph"/>
              <w:spacing w:before="17"/>
              <w:ind w:right="46"/>
              <w:jc w:val="right"/>
              <w:rPr>
                <w:sz w:val="15"/>
              </w:rPr>
            </w:pPr>
            <w:r>
              <w:rPr>
                <w:sz w:val="15"/>
              </w:rPr>
              <w:t>$8.00</w:t>
            </w:r>
          </w:p>
        </w:tc>
      </w:tr>
      <w:tr>
        <w:trPr>
          <w:trHeight w:val="209" w:hRule="atLeast"/>
        </w:trPr>
        <w:tc>
          <w:tcPr>
            <w:tcW w:w="3925" w:type="dxa"/>
          </w:tcPr>
          <w:p>
            <w:pPr>
              <w:pStyle w:val="TableParagraph"/>
              <w:spacing w:line="172" w:lineRule="exact" w:before="18"/>
              <w:ind w:left="50"/>
              <w:rPr>
                <w:sz w:val="15"/>
              </w:rPr>
            </w:pPr>
            <w:r>
              <w:rPr>
                <w:sz w:val="15"/>
              </w:rPr>
              <w:t>167. Sol. Fisiológica 500ml</w:t>
            </w:r>
          </w:p>
        </w:tc>
        <w:tc>
          <w:tcPr>
            <w:tcW w:w="4415" w:type="dxa"/>
          </w:tcPr>
          <w:p>
            <w:pPr>
              <w:pStyle w:val="TableParagraph"/>
              <w:spacing w:line="172" w:lineRule="exact" w:before="18"/>
              <w:ind w:right="3327"/>
              <w:jc w:val="right"/>
              <w:rPr>
                <w:sz w:val="15"/>
              </w:rPr>
            </w:pPr>
            <w:r>
              <w:rPr>
                <w:sz w:val="15"/>
              </w:rPr>
              <w:t>$17.00</w:t>
            </w:r>
          </w:p>
        </w:tc>
        <w:tc>
          <w:tcPr>
            <w:tcW w:w="6704" w:type="dxa"/>
          </w:tcPr>
          <w:p>
            <w:pPr>
              <w:pStyle w:val="TableParagraph"/>
              <w:spacing w:before="17"/>
              <w:ind w:left="3331"/>
              <w:rPr>
                <w:sz w:val="15"/>
              </w:rPr>
            </w:pPr>
            <w:r>
              <w:rPr>
                <w:sz w:val="15"/>
              </w:rPr>
              <w:t>215. Venda elástica 10cm</w:t>
            </w:r>
          </w:p>
        </w:tc>
        <w:tc>
          <w:tcPr>
            <w:tcW w:w="1635" w:type="dxa"/>
          </w:tcPr>
          <w:p>
            <w:pPr>
              <w:pStyle w:val="TableParagraph"/>
              <w:spacing w:before="17"/>
              <w:ind w:right="45"/>
              <w:jc w:val="right"/>
              <w:rPr>
                <w:sz w:val="15"/>
              </w:rPr>
            </w:pPr>
            <w:r>
              <w:rPr>
                <w:sz w:val="15"/>
              </w:rPr>
              <w:t>$7.00</w:t>
            </w:r>
          </w:p>
        </w:tc>
      </w:tr>
      <w:tr>
        <w:trPr>
          <w:trHeight w:val="209" w:hRule="atLeast"/>
        </w:trPr>
        <w:tc>
          <w:tcPr>
            <w:tcW w:w="3925" w:type="dxa"/>
          </w:tcPr>
          <w:p>
            <w:pPr>
              <w:pStyle w:val="TableParagraph"/>
              <w:spacing w:line="172" w:lineRule="exact" w:before="18"/>
              <w:ind w:left="50"/>
              <w:rPr>
                <w:sz w:val="15"/>
              </w:rPr>
            </w:pPr>
            <w:r>
              <w:rPr>
                <w:sz w:val="15"/>
              </w:rPr>
              <w:t>168. Sol. Fisiológica 250ml</w:t>
            </w:r>
          </w:p>
        </w:tc>
        <w:tc>
          <w:tcPr>
            <w:tcW w:w="4415" w:type="dxa"/>
          </w:tcPr>
          <w:p>
            <w:pPr>
              <w:pStyle w:val="TableParagraph"/>
              <w:spacing w:line="172" w:lineRule="exact" w:before="18"/>
              <w:ind w:right="3328"/>
              <w:jc w:val="right"/>
              <w:rPr>
                <w:sz w:val="15"/>
              </w:rPr>
            </w:pPr>
            <w:r>
              <w:rPr>
                <w:sz w:val="15"/>
              </w:rPr>
              <w:t>$20.00</w:t>
            </w:r>
          </w:p>
        </w:tc>
        <w:tc>
          <w:tcPr>
            <w:tcW w:w="6704" w:type="dxa"/>
          </w:tcPr>
          <w:p>
            <w:pPr>
              <w:pStyle w:val="TableParagraph"/>
              <w:spacing w:before="17"/>
              <w:ind w:left="3331"/>
              <w:rPr>
                <w:sz w:val="15"/>
              </w:rPr>
            </w:pPr>
            <w:r>
              <w:rPr>
                <w:sz w:val="15"/>
              </w:rPr>
              <w:t>216. Venda elástica 15cm</w:t>
            </w:r>
          </w:p>
        </w:tc>
        <w:tc>
          <w:tcPr>
            <w:tcW w:w="1635" w:type="dxa"/>
          </w:tcPr>
          <w:p>
            <w:pPr>
              <w:pStyle w:val="TableParagraph"/>
              <w:spacing w:before="17"/>
              <w:ind w:right="46"/>
              <w:jc w:val="right"/>
              <w:rPr>
                <w:sz w:val="15"/>
              </w:rPr>
            </w:pPr>
            <w:r>
              <w:rPr>
                <w:sz w:val="15"/>
              </w:rPr>
              <w:t>$8.00</w:t>
            </w:r>
          </w:p>
        </w:tc>
      </w:tr>
      <w:tr>
        <w:trPr>
          <w:trHeight w:val="209" w:hRule="atLeast"/>
        </w:trPr>
        <w:tc>
          <w:tcPr>
            <w:tcW w:w="3925" w:type="dxa"/>
          </w:tcPr>
          <w:p>
            <w:pPr>
              <w:pStyle w:val="TableParagraph"/>
              <w:spacing w:line="172" w:lineRule="exact" w:before="18"/>
              <w:ind w:left="50"/>
              <w:rPr>
                <w:sz w:val="15"/>
              </w:rPr>
            </w:pPr>
            <w:r>
              <w:rPr>
                <w:sz w:val="15"/>
              </w:rPr>
              <w:t>169. Sol. Gelafundin</w:t>
            </w:r>
          </w:p>
        </w:tc>
        <w:tc>
          <w:tcPr>
            <w:tcW w:w="4415" w:type="dxa"/>
          </w:tcPr>
          <w:p>
            <w:pPr>
              <w:pStyle w:val="TableParagraph"/>
              <w:spacing w:line="172" w:lineRule="exact" w:before="18"/>
              <w:ind w:right="3328"/>
              <w:jc w:val="right"/>
              <w:rPr>
                <w:sz w:val="15"/>
              </w:rPr>
            </w:pPr>
            <w:r>
              <w:rPr>
                <w:sz w:val="15"/>
              </w:rPr>
              <w:t>$188.00</w:t>
            </w:r>
          </w:p>
        </w:tc>
        <w:tc>
          <w:tcPr>
            <w:tcW w:w="6704" w:type="dxa"/>
          </w:tcPr>
          <w:p>
            <w:pPr>
              <w:pStyle w:val="TableParagraph"/>
              <w:spacing w:before="17"/>
              <w:ind w:left="3331"/>
              <w:rPr>
                <w:sz w:val="15"/>
              </w:rPr>
            </w:pPr>
            <w:r>
              <w:rPr>
                <w:sz w:val="15"/>
              </w:rPr>
              <w:t>217. Venda elástica 20cm</w:t>
            </w:r>
          </w:p>
        </w:tc>
        <w:tc>
          <w:tcPr>
            <w:tcW w:w="1635" w:type="dxa"/>
          </w:tcPr>
          <w:p>
            <w:pPr>
              <w:pStyle w:val="TableParagraph"/>
              <w:spacing w:before="17"/>
              <w:ind w:right="45"/>
              <w:jc w:val="right"/>
              <w:rPr>
                <w:sz w:val="15"/>
              </w:rPr>
            </w:pPr>
            <w:r>
              <w:rPr>
                <w:sz w:val="15"/>
              </w:rPr>
              <w:t>$14.00</w:t>
            </w:r>
          </w:p>
        </w:tc>
      </w:tr>
      <w:tr>
        <w:trPr>
          <w:trHeight w:val="209" w:hRule="atLeast"/>
        </w:trPr>
        <w:tc>
          <w:tcPr>
            <w:tcW w:w="3925" w:type="dxa"/>
          </w:tcPr>
          <w:p>
            <w:pPr>
              <w:pStyle w:val="TableParagraph"/>
              <w:spacing w:line="172" w:lineRule="exact" w:before="18"/>
              <w:ind w:left="50"/>
              <w:rPr>
                <w:sz w:val="15"/>
              </w:rPr>
            </w:pPr>
            <w:r>
              <w:rPr>
                <w:sz w:val="15"/>
              </w:rPr>
              <w:t>170. Sol. Harman 1000ml</w:t>
            </w:r>
          </w:p>
        </w:tc>
        <w:tc>
          <w:tcPr>
            <w:tcW w:w="4415" w:type="dxa"/>
          </w:tcPr>
          <w:p>
            <w:pPr>
              <w:pStyle w:val="TableParagraph"/>
              <w:spacing w:line="172" w:lineRule="exact" w:before="18"/>
              <w:ind w:right="3328"/>
              <w:jc w:val="right"/>
              <w:rPr>
                <w:sz w:val="15"/>
              </w:rPr>
            </w:pPr>
            <w:r>
              <w:rPr>
                <w:sz w:val="15"/>
              </w:rPr>
              <w:t>$23.00</w:t>
            </w:r>
          </w:p>
        </w:tc>
        <w:tc>
          <w:tcPr>
            <w:tcW w:w="6704" w:type="dxa"/>
          </w:tcPr>
          <w:p>
            <w:pPr>
              <w:pStyle w:val="TableParagraph"/>
              <w:spacing w:before="17"/>
              <w:ind w:left="3331"/>
              <w:rPr>
                <w:sz w:val="15"/>
              </w:rPr>
            </w:pPr>
            <w:r>
              <w:rPr>
                <w:sz w:val="15"/>
              </w:rPr>
              <w:t>218. Venda elástica 30cm</w:t>
            </w:r>
          </w:p>
        </w:tc>
        <w:tc>
          <w:tcPr>
            <w:tcW w:w="1635" w:type="dxa"/>
          </w:tcPr>
          <w:p>
            <w:pPr>
              <w:pStyle w:val="TableParagraph"/>
              <w:spacing w:before="17"/>
              <w:ind w:right="46"/>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171. Sol. Harman 250ml</w:t>
            </w:r>
          </w:p>
        </w:tc>
        <w:tc>
          <w:tcPr>
            <w:tcW w:w="4415" w:type="dxa"/>
          </w:tcPr>
          <w:p>
            <w:pPr>
              <w:pStyle w:val="TableParagraph"/>
              <w:spacing w:line="172" w:lineRule="exact" w:before="18"/>
              <w:ind w:right="3327"/>
              <w:jc w:val="right"/>
              <w:rPr>
                <w:sz w:val="15"/>
              </w:rPr>
            </w:pPr>
            <w:r>
              <w:rPr>
                <w:sz w:val="15"/>
              </w:rPr>
              <w:t>$17.00</w:t>
            </w:r>
          </w:p>
        </w:tc>
        <w:tc>
          <w:tcPr>
            <w:tcW w:w="6704" w:type="dxa"/>
          </w:tcPr>
          <w:p>
            <w:pPr>
              <w:pStyle w:val="TableParagraph"/>
              <w:spacing w:before="17"/>
              <w:ind w:left="3331"/>
              <w:rPr>
                <w:sz w:val="15"/>
              </w:rPr>
            </w:pPr>
            <w:r>
              <w:rPr>
                <w:sz w:val="15"/>
              </w:rPr>
              <w:t>219. Venda elástica 5cm</w:t>
            </w:r>
          </w:p>
        </w:tc>
        <w:tc>
          <w:tcPr>
            <w:tcW w:w="1635" w:type="dxa"/>
          </w:tcPr>
          <w:p>
            <w:pPr>
              <w:pStyle w:val="TableParagraph"/>
              <w:spacing w:before="17"/>
              <w:ind w:right="45"/>
              <w:jc w:val="right"/>
              <w:rPr>
                <w:sz w:val="15"/>
              </w:rPr>
            </w:pPr>
            <w:r>
              <w:rPr>
                <w:sz w:val="15"/>
              </w:rPr>
              <w:t>$4.00</w:t>
            </w:r>
          </w:p>
        </w:tc>
      </w:tr>
      <w:tr>
        <w:trPr>
          <w:trHeight w:val="209" w:hRule="atLeast"/>
        </w:trPr>
        <w:tc>
          <w:tcPr>
            <w:tcW w:w="3925" w:type="dxa"/>
          </w:tcPr>
          <w:p>
            <w:pPr>
              <w:pStyle w:val="TableParagraph"/>
              <w:spacing w:line="172" w:lineRule="exact" w:before="18"/>
              <w:ind w:left="50"/>
              <w:rPr>
                <w:sz w:val="15"/>
              </w:rPr>
            </w:pPr>
            <w:r>
              <w:rPr>
                <w:sz w:val="15"/>
              </w:rPr>
              <w:t>172. Sol. Harman 500ml</w:t>
            </w:r>
          </w:p>
        </w:tc>
        <w:tc>
          <w:tcPr>
            <w:tcW w:w="4415" w:type="dxa"/>
          </w:tcPr>
          <w:p>
            <w:pPr>
              <w:pStyle w:val="TableParagraph"/>
              <w:spacing w:line="172" w:lineRule="exact" w:before="18"/>
              <w:ind w:right="3328"/>
              <w:jc w:val="right"/>
              <w:rPr>
                <w:sz w:val="15"/>
              </w:rPr>
            </w:pPr>
            <w:r>
              <w:rPr>
                <w:sz w:val="15"/>
              </w:rPr>
              <w:t>$16.00</w:t>
            </w:r>
          </w:p>
        </w:tc>
        <w:tc>
          <w:tcPr>
            <w:tcW w:w="6704" w:type="dxa"/>
          </w:tcPr>
          <w:p>
            <w:pPr>
              <w:pStyle w:val="TableParagraph"/>
              <w:spacing w:before="17"/>
              <w:ind w:left="3331"/>
              <w:rPr>
                <w:sz w:val="15"/>
              </w:rPr>
            </w:pPr>
            <w:r>
              <w:rPr>
                <w:sz w:val="15"/>
              </w:rPr>
              <w:t>220. Venda elástica 7cm</w:t>
            </w:r>
          </w:p>
        </w:tc>
        <w:tc>
          <w:tcPr>
            <w:tcW w:w="1635" w:type="dxa"/>
          </w:tcPr>
          <w:p>
            <w:pPr>
              <w:pStyle w:val="TableParagraph"/>
              <w:spacing w:before="17"/>
              <w:ind w:right="45"/>
              <w:jc w:val="right"/>
              <w:rPr>
                <w:sz w:val="15"/>
              </w:rPr>
            </w:pPr>
            <w:r>
              <w:rPr>
                <w:sz w:val="15"/>
              </w:rPr>
              <w:t>$5.00</w:t>
            </w:r>
          </w:p>
        </w:tc>
      </w:tr>
      <w:tr>
        <w:trPr>
          <w:trHeight w:val="209" w:hRule="atLeast"/>
        </w:trPr>
        <w:tc>
          <w:tcPr>
            <w:tcW w:w="3925" w:type="dxa"/>
          </w:tcPr>
          <w:p>
            <w:pPr>
              <w:pStyle w:val="TableParagraph"/>
              <w:spacing w:line="172" w:lineRule="exact" w:before="18"/>
              <w:ind w:left="50"/>
              <w:rPr>
                <w:sz w:val="15"/>
              </w:rPr>
            </w:pPr>
            <w:r>
              <w:rPr>
                <w:sz w:val="15"/>
              </w:rPr>
              <w:t>173. Sol. Irrigación 500ml</w:t>
            </w:r>
          </w:p>
        </w:tc>
        <w:tc>
          <w:tcPr>
            <w:tcW w:w="4415" w:type="dxa"/>
          </w:tcPr>
          <w:p>
            <w:pPr>
              <w:pStyle w:val="TableParagraph"/>
              <w:spacing w:line="172" w:lineRule="exact" w:before="18"/>
              <w:ind w:right="3329"/>
              <w:jc w:val="right"/>
              <w:rPr>
                <w:sz w:val="15"/>
              </w:rPr>
            </w:pPr>
            <w:r>
              <w:rPr>
                <w:sz w:val="15"/>
              </w:rPr>
              <w:t>$20.00</w:t>
            </w:r>
          </w:p>
        </w:tc>
        <w:tc>
          <w:tcPr>
            <w:tcW w:w="6704" w:type="dxa"/>
          </w:tcPr>
          <w:p>
            <w:pPr>
              <w:pStyle w:val="TableParagraph"/>
              <w:spacing w:before="17"/>
              <w:ind w:left="3331"/>
              <w:rPr>
                <w:sz w:val="15"/>
              </w:rPr>
            </w:pPr>
            <w:r>
              <w:rPr>
                <w:sz w:val="15"/>
              </w:rPr>
              <w:t>221. Venda huata 10cm</w:t>
            </w:r>
          </w:p>
        </w:tc>
        <w:tc>
          <w:tcPr>
            <w:tcW w:w="1635" w:type="dxa"/>
          </w:tcPr>
          <w:p>
            <w:pPr>
              <w:pStyle w:val="TableParagraph"/>
              <w:spacing w:before="17"/>
              <w:ind w:right="45"/>
              <w:jc w:val="right"/>
              <w:rPr>
                <w:sz w:val="15"/>
              </w:rPr>
            </w:pPr>
            <w:r>
              <w:rPr>
                <w:sz w:val="15"/>
              </w:rPr>
              <w:t>$6.00</w:t>
            </w:r>
          </w:p>
        </w:tc>
      </w:tr>
      <w:tr>
        <w:trPr>
          <w:trHeight w:val="209" w:hRule="atLeast"/>
        </w:trPr>
        <w:tc>
          <w:tcPr>
            <w:tcW w:w="3925" w:type="dxa"/>
          </w:tcPr>
          <w:p>
            <w:pPr>
              <w:pStyle w:val="TableParagraph"/>
              <w:spacing w:line="172" w:lineRule="exact" w:before="18"/>
              <w:ind w:left="50"/>
              <w:rPr>
                <w:sz w:val="15"/>
              </w:rPr>
            </w:pPr>
            <w:r>
              <w:rPr>
                <w:sz w:val="15"/>
              </w:rPr>
              <w:t>174. Sonda Foley #10</w:t>
            </w:r>
          </w:p>
        </w:tc>
        <w:tc>
          <w:tcPr>
            <w:tcW w:w="4415" w:type="dxa"/>
          </w:tcPr>
          <w:p>
            <w:pPr>
              <w:pStyle w:val="TableParagraph"/>
              <w:spacing w:line="172" w:lineRule="exact" w:before="18"/>
              <w:ind w:right="3328"/>
              <w:jc w:val="right"/>
              <w:rPr>
                <w:sz w:val="15"/>
              </w:rPr>
            </w:pPr>
            <w:r>
              <w:rPr>
                <w:sz w:val="15"/>
              </w:rPr>
              <w:t>$34.00</w:t>
            </w:r>
          </w:p>
        </w:tc>
        <w:tc>
          <w:tcPr>
            <w:tcW w:w="6704" w:type="dxa"/>
          </w:tcPr>
          <w:p>
            <w:pPr>
              <w:pStyle w:val="TableParagraph"/>
              <w:spacing w:before="17"/>
              <w:ind w:left="3331"/>
              <w:rPr>
                <w:sz w:val="15"/>
              </w:rPr>
            </w:pPr>
            <w:r>
              <w:rPr>
                <w:sz w:val="15"/>
              </w:rPr>
              <w:t>222. Venda huata 15cm</w:t>
            </w:r>
          </w:p>
        </w:tc>
        <w:tc>
          <w:tcPr>
            <w:tcW w:w="1635" w:type="dxa"/>
          </w:tcPr>
          <w:p>
            <w:pPr>
              <w:pStyle w:val="TableParagraph"/>
              <w:spacing w:before="17"/>
              <w:ind w:right="45"/>
              <w:jc w:val="right"/>
              <w:rPr>
                <w:sz w:val="15"/>
              </w:rPr>
            </w:pPr>
            <w:r>
              <w:rPr>
                <w:sz w:val="15"/>
              </w:rPr>
              <w:t>$7.00</w:t>
            </w:r>
          </w:p>
        </w:tc>
      </w:tr>
      <w:tr>
        <w:trPr>
          <w:trHeight w:val="209" w:hRule="atLeast"/>
        </w:trPr>
        <w:tc>
          <w:tcPr>
            <w:tcW w:w="3925" w:type="dxa"/>
          </w:tcPr>
          <w:p>
            <w:pPr>
              <w:pStyle w:val="TableParagraph"/>
              <w:spacing w:line="172" w:lineRule="exact" w:before="18"/>
              <w:ind w:left="50"/>
              <w:rPr>
                <w:sz w:val="15"/>
              </w:rPr>
            </w:pPr>
            <w:r>
              <w:rPr>
                <w:sz w:val="15"/>
              </w:rPr>
              <w:t>175. Sonda Foley #12</w:t>
            </w:r>
          </w:p>
        </w:tc>
        <w:tc>
          <w:tcPr>
            <w:tcW w:w="4415" w:type="dxa"/>
          </w:tcPr>
          <w:p>
            <w:pPr>
              <w:pStyle w:val="TableParagraph"/>
              <w:spacing w:line="172" w:lineRule="exact" w:before="18"/>
              <w:ind w:right="3327"/>
              <w:jc w:val="right"/>
              <w:rPr>
                <w:sz w:val="15"/>
              </w:rPr>
            </w:pPr>
            <w:r>
              <w:rPr>
                <w:sz w:val="15"/>
              </w:rPr>
              <w:t>$26.00</w:t>
            </w:r>
          </w:p>
        </w:tc>
        <w:tc>
          <w:tcPr>
            <w:tcW w:w="6704" w:type="dxa"/>
          </w:tcPr>
          <w:p>
            <w:pPr>
              <w:pStyle w:val="TableParagraph"/>
              <w:spacing w:before="17"/>
              <w:ind w:left="3331"/>
              <w:rPr>
                <w:sz w:val="15"/>
              </w:rPr>
            </w:pPr>
            <w:r>
              <w:rPr>
                <w:sz w:val="15"/>
              </w:rPr>
              <w:t>223. Venda huata 20cm</w:t>
            </w:r>
          </w:p>
        </w:tc>
        <w:tc>
          <w:tcPr>
            <w:tcW w:w="1635" w:type="dxa"/>
          </w:tcPr>
          <w:p>
            <w:pPr>
              <w:pStyle w:val="TableParagraph"/>
              <w:spacing w:before="17"/>
              <w:ind w:right="45"/>
              <w:jc w:val="right"/>
              <w:rPr>
                <w:sz w:val="15"/>
              </w:rPr>
            </w:pPr>
            <w:r>
              <w:rPr>
                <w:sz w:val="15"/>
              </w:rPr>
              <w:t>$12.00</w:t>
            </w:r>
          </w:p>
        </w:tc>
      </w:tr>
      <w:tr>
        <w:trPr>
          <w:trHeight w:val="209" w:hRule="atLeast"/>
        </w:trPr>
        <w:tc>
          <w:tcPr>
            <w:tcW w:w="3925" w:type="dxa"/>
          </w:tcPr>
          <w:p>
            <w:pPr>
              <w:pStyle w:val="TableParagraph"/>
              <w:spacing w:line="172" w:lineRule="exact" w:before="18"/>
              <w:ind w:left="50"/>
              <w:rPr>
                <w:sz w:val="15"/>
              </w:rPr>
            </w:pPr>
            <w:r>
              <w:rPr>
                <w:sz w:val="15"/>
              </w:rPr>
              <w:t>176. Sonda Foley #14</w:t>
            </w:r>
          </w:p>
        </w:tc>
        <w:tc>
          <w:tcPr>
            <w:tcW w:w="4415" w:type="dxa"/>
          </w:tcPr>
          <w:p>
            <w:pPr>
              <w:pStyle w:val="TableParagraph"/>
              <w:spacing w:line="172" w:lineRule="exact" w:before="18"/>
              <w:ind w:right="3328"/>
              <w:jc w:val="right"/>
              <w:rPr>
                <w:sz w:val="15"/>
              </w:rPr>
            </w:pPr>
            <w:r>
              <w:rPr>
                <w:sz w:val="15"/>
              </w:rPr>
              <w:t>$19.00</w:t>
            </w:r>
          </w:p>
        </w:tc>
        <w:tc>
          <w:tcPr>
            <w:tcW w:w="6704" w:type="dxa"/>
          </w:tcPr>
          <w:p>
            <w:pPr>
              <w:pStyle w:val="TableParagraph"/>
              <w:spacing w:before="17"/>
              <w:ind w:left="3331"/>
              <w:rPr>
                <w:sz w:val="15"/>
              </w:rPr>
            </w:pPr>
            <w:r>
              <w:rPr>
                <w:sz w:val="15"/>
              </w:rPr>
              <w:t>224. Venda huata 5cm</w:t>
            </w:r>
          </w:p>
        </w:tc>
        <w:tc>
          <w:tcPr>
            <w:tcW w:w="1635" w:type="dxa"/>
          </w:tcPr>
          <w:p>
            <w:pPr>
              <w:pStyle w:val="TableParagraph"/>
              <w:spacing w:before="17"/>
              <w:ind w:right="45"/>
              <w:jc w:val="right"/>
              <w:rPr>
                <w:sz w:val="15"/>
              </w:rPr>
            </w:pPr>
            <w:r>
              <w:rPr>
                <w:sz w:val="15"/>
              </w:rPr>
              <w:t>$6.00</w:t>
            </w:r>
          </w:p>
        </w:tc>
      </w:tr>
      <w:tr>
        <w:trPr>
          <w:trHeight w:val="209" w:hRule="atLeast"/>
        </w:trPr>
        <w:tc>
          <w:tcPr>
            <w:tcW w:w="3925" w:type="dxa"/>
          </w:tcPr>
          <w:p>
            <w:pPr>
              <w:pStyle w:val="TableParagraph"/>
              <w:spacing w:line="172" w:lineRule="exact" w:before="18"/>
              <w:ind w:left="50"/>
              <w:rPr>
                <w:sz w:val="15"/>
              </w:rPr>
            </w:pPr>
            <w:r>
              <w:rPr>
                <w:sz w:val="15"/>
              </w:rPr>
              <w:t>177. Sonda Foley #16</w:t>
            </w:r>
          </w:p>
        </w:tc>
        <w:tc>
          <w:tcPr>
            <w:tcW w:w="4415" w:type="dxa"/>
          </w:tcPr>
          <w:p>
            <w:pPr>
              <w:pStyle w:val="TableParagraph"/>
              <w:spacing w:line="172" w:lineRule="exact" w:before="18"/>
              <w:ind w:right="3328"/>
              <w:jc w:val="right"/>
              <w:rPr>
                <w:sz w:val="15"/>
              </w:rPr>
            </w:pPr>
            <w:r>
              <w:rPr>
                <w:sz w:val="15"/>
              </w:rPr>
              <w:t>$19.00</w:t>
            </w:r>
          </w:p>
        </w:tc>
        <w:tc>
          <w:tcPr>
            <w:tcW w:w="6704" w:type="dxa"/>
          </w:tcPr>
          <w:p>
            <w:pPr>
              <w:pStyle w:val="TableParagraph"/>
              <w:spacing w:before="17"/>
              <w:ind w:left="3331"/>
              <w:rPr>
                <w:sz w:val="15"/>
              </w:rPr>
            </w:pPr>
            <w:r>
              <w:rPr>
                <w:sz w:val="15"/>
              </w:rPr>
              <w:t>225. Venda yeso #10</w:t>
            </w:r>
          </w:p>
        </w:tc>
        <w:tc>
          <w:tcPr>
            <w:tcW w:w="1635" w:type="dxa"/>
          </w:tcPr>
          <w:p>
            <w:pPr>
              <w:pStyle w:val="TableParagraph"/>
              <w:spacing w:before="17"/>
              <w:ind w:right="45"/>
              <w:jc w:val="right"/>
              <w:rPr>
                <w:sz w:val="15"/>
              </w:rPr>
            </w:pPr>
            <w:r>
              <w:rPr>
                <w:sz w:val="15"/>
              </w:rPr>
              <w:t>$18.00</w:t>
            </w:r>
          </w:p>
        </w:tc>
      </w:tr>
      <w:tr>
        <w:trPr>
          <w:trHeight w:val="209" w:hRule="atLeast"/>
        </w:trPr>
        <w:tc>
          <w:tcPr>
            <w:tcW w:w="3925" w:type="dxa"/>
          </w:tcPr>
          <w:p>
            <w:pPr>
              <w:pStyle w:val="TableParagraph"/>
              <w:spacing w:line="172" w:lineRule="exact" w:before="18"/>
              <w:ind w:left="50"/>
              <w:rPr>
                <w:sz w:val="15"/>
              </w:rPr>
            </w:pPr>
            <w:r>
              <w:rPr>
                <w:sz w:val="15"/>
              </w:rPr>
              <w:t>178. Sonda Foley #16 3v</w:t>
            </w:r>
          </w:p>
        </w:tc>
        <w:tc>
          <w:tcPr>
            <w:tcW w:w="4415" w:type="dxa"/>
          </w:tcPr>
          <w:p>
            <w:pPr>
              <w:pStyle w:val="TableParagraph"/>
              <w:spacing w:line="172" w:lineRule="exact" w:before="18"/>
              <w:ind w:right="3328"/>
              <w:jc w:val="right"/>
              <w:rPr>
                <w:sz w:val="15"/>
              </w:rPr>
            </w:pPr>
            <w:r>
              <w:rPr>
                <w:sz w:val="15"/>
              </w:rPr>
              <w:t>$132.00</w:t>
            </w:r>
          </w:p>
        </w:tc>
        <w:tc>
          <w:tcPr>
            <w:tcW w:w="6704" w:type="dxa"/>
          </w:tcPr>
          <w:p>
            <w:pPr>
              <w:pStyle w:val="TableParagraph"/>
              <w:spacing w:before="17"/>
              <w:ind w:left="3331"/>
              <w:rPr>
                <w:sz w:val="15"/>
              </w:rPr>
            </w:pPr>
            <w:r>
              <w:rPr>
                <w:sz w:val="15"/>
              </w:rPr>
              <w:t>226. Venda yeso #15</w:t>
            </w:r>
          </w:p>
        </w:tc>
        <w:tc>
          <w:tcPr>
            <w:tcW w:w="1635" w:type="dxa"/>
          </w:tcPr>
          <w:p>
            <w:pPr>
              <w:pStyle w:val="TableParagraph"/>
              <w:spacing w:before="17"/>
              <w:ind w:right="46"/>
              <w:jc w:val="right"/>
              <w:rPr>
                <w:sz w:val="15"/>
              </w:rPr>
            </w:pPr>
            <w:r>
              <w:rPr>
                <w:sz w:val="15"/>
              </w:rPr>
              <w:t>$23.00</w:t>
            </w:r>
          </w:p>
        </w:tc>
      </w:tr>
      <w:tr>
        <w:trPr>
          <w:trHeight w:val="209" w:hRule="atLeast"/>
        </w:trPr>
        <w:tc>
          <w:tcPr>
            <w:tcW w:w="3925" w:type="dxa"/>
          </w:tcPr>
          <w:p>
            <w:pPr>
              <w:pStyle w:val="TableParagraph"/>
              <w:spacing w:line="172" w:lineRule="exact" w:before="18"/>
              <w:ind w:left="50"/>
              <w:rPr>
                <w:sz w:val="15"/>
              </w:rPr>
            </w:pPr>
            <w:r>
              <w:rPr>
                <w:sz w:val="15"/>
              </w:rPr>
              <w:t>179. Sonda Foley #18</w:t>
            </w:r>
          </w:p>
        </w:tc>
        <w:tc>
          <w:tcPr>
            <w:tcW w:w="4415" w:type="dxa"/>
          </w:tcPr>
          <w:p>
            <w:pPr>
              <w:pStyle w:val="TableParagraph"/>
              <w:spacing w:line="172" w:lineRule="exact" w:before="18"/>
              <w:ind w:right="3328"/>
              <w:jc w:val="right"/>
              <w:rPr>
                <w:sz w:val="15"/>
              </w:rPr>
            </w:pPr>
            <w:r>
              <w:rPr>
                <w:sz w:val="15"/>
              </w:rPr>
              <w:t>$19.00</w:t>
            </w:r>
          </w:p>
        </w:tc>
        <w:tc>
          <w:tcPr>
            <w:tcW w:w="6704" w:type="dxa"/>
          </w:tcPr>
          <w:p>
            <w:pPr>
              <w:pStyle w:val="TableParagraph"/>
              <w:spacing w:before="17"/>
              <w:ind w:left="3331"/>
              <w:rPr>
                <w:sz w:val="15"/>
              </w:rPr>
            </w:pPr>
            <w:r>
              <w:rPr>
                <w:sz w:val="15"/>
              </w:rPr>
              <w:t>227. Venda yeso #20</w:t>
            </w:r>
          </w:p>
        </w:tc>
        <w:tc>
          <w:tcPr>
            <w:tcW w:w="1635" w:type="dxa"/>
          </w:tcPr>
          <w:p>
            <w:pPr>
              <w:pStyle w:val="TableParagraph"/>
              <w:spacing w:before="17"/>
              <w:ind w:right="45"/>
              <w:jc w:val="right"/>
              <w:rPr>
                <w:sz w:val="15"/>
              </w:rPr>
            </w:pPr>
            <w:r>
              <w:rPr>
                <w:sz w:val="15"/>
              </w:rPr>
              <w:t>$20.00</w:t>
            </w:r>
          </w:p>
        </w:tc>
      </w:tr>
      <w:tr>
        <w:trPr>
          <w:trHeight w:val="209" w:hRule="atLeast"/>
        </w:trPr>
        <w:tc>
          <w:tcPr>
            <w:tcW w:w="3925" w:type="dxa"/>
          </w:tcPr>
          <w:p>
            <w:pPr>
              <w:pStyle w:val="TableParagraph"/>
              <w:spacing w:line="172" w:lineRule="exact" w:before="18"/>
              <w:ind w:left="50"/>
              <w:rPr>
                <w:sz w:val="15"/>
              </w:rPr>
            </w:pPr>
            <w:r>
              <w:rPr>
                <w:sz w:val="15"/>
              </w:rPr>
              <w:t>180. Sonda Foley #18 3v</w:t>
            </w:r>
          </w:p>
        </w:tc>
        <w:tc>
          <w:tcPr>
            <w:tcW w:w="4415" w:type="dxa"/>
          </w:tcPr>
          <w:p>
            <w:pPr>
              <w:pStyle w:val="TableParagraph"/>
              <w:spacing w:line="172" w:lineRule="exact" w:before="18"/>
              <w:ind w:right="3328"/>
              <w:jc w:val="right"/>
              <w:rPr>
                <w:sz w:val="15"/>
              </w:rPr>
            </w:pPr>
            <w:r>
              <w:rPr>
                <w:sz w:val="15"/>
              </w:rPr>
              <w:t>$74.00</w:t>
            </w:r>
          </w:p>
        </w:tc>
        <w:tc>
          <w:tcPr>
            <w:tcW w:w="6704" w:type="dxa"/>
          </w:tcPr>
          <w:p>
            <w:pPr>
              <w:pStyle w:val="TableParagraph"/>
              <w:spacing w:before="17"/>
              <w:ind w:left="3331"/>
              <w:rPr>
                <w:sz w:val="15"/>
              </w:rPr>
            </w:pPr>
            <w:r>
              <w:rPr>
                <w:sz w:val="15"/>
              </w:rPr>
              <w:t>228. Venda yeso #5</w:t>
            </w:r>
          </w:p>
        </w:tc>
        <w:tc>
          <w:tcPr>
            <w:tcW w:w="1635" w:type="dxa"/>
          </w:tcPr>
          <w:p>
            <w:pPr>
              <w:pStyle w:val="TableParagraph"/>
              <w:spacing w:before="17"/>
              <w:ind w:right="45"/>
              <w:jc w:val="right"/>
              <w:rPr>
                <w:sz w:val="15"/>
              </w:rPr>
            </w:pPr>
            <w:r>
              <w:rPr>
                <w:sz w:val="15"/>
              </w:rPr>
              <w:t>$5.00</w:t>
            </w:r>
          </w:p>
        </w:tc>
      </w:tr>
      <w:tr>
        <w:trPr>
          <w:trHeight w:val="209" w:hRule="atLeast"/>
        </w:trPr>
        <w:tc>
          <w:tcPr>
            <w:tcW w:w="3925" w:type="dxa"/>
          </w:tcPr>
          <w:p>
            <w:pPr>
              <w:pStyle w:val="TableParagraph"/>
              <w:spacing w:line="172" w:lineRule="exact" w:before="18"/>
              <w:ind w:left="50"/>
              <w:rPr>
                <w:sz w:val="15"/>
              </w:rPr>
            </w:pPr>
            <w:r>
              <w:rPr>
                <w:sz w:val="15"/>
              </w:rPr>
              <w:t>181. Sonda Foley #20</w:t>
            </w:r>
          </w:p>
        </w:tc>
        <w:tc>
          <w:tcPr>
            <w:tcW w:w="4415" w:type="dxa"/>
          </w:tcPr>
          <w:p>
            <w:pPr>
              <w:pStyle w:val="TableParagraph"/>
              <w:spacing w:line="172" w:lineRule="exact" w:before="18"/>
              <w:ind w:right="3328"/>
              <w:jc w:val="right"/>
              <w:rPr>
                <w:sz w:val="15"/>
              </w:rPr>
            </w:pPr>
            <w:r>
              <w:rPr>
                <w:sz w:val="15"/>
              </w:rPr>
              <w:t>$26.00</w:t>
            </w:r>
          </w:p>
        </w:tc>
        <w:tc>
          <w:tcPr>
            <w:tcW w:w="6704" w:type="dxa"/>
          </w:tcPr>
          <w:p>
            <w:pPr>
              <w:pStyle w:val="TableParagraph"/>
              <w:spacing w:before="17"/>
              <w:ind w:left="3331"/>
              <w:rPr>
                <w:sz w:val="15"/>
              </w:rPr>
            </w:pPr>
            <w:r>
              <w:rPr>
                <w:sz w:val="15"/>
              </w:rPr>
              <w:t>229. Suero alacramin frasco ámpula</w:t>
            </w:r>
          </w:p>
        </w:tc>
        <w:tc>
          <w:tcPr>
            <w:tcW w:w="1635" w:type="dxa"/>
          </w:tcPr>
          <w:p>
            <w:pPr>
              <w:pStyle w:val="TableParagraph"/>
              <w:spacing w:before="17"/>
              <w:ind w:right="46"/>
              <w:jc w:val="right"/>
              <w:rPr>
                <w:sz w:val="15"/>
              </w:rPr>
            </w:pPr>
            <w:r>
              <w:rPr>
                <w:sz w:val="15"/>
              </w:rPr>
              <w:t>$386.00</w:t>
            </w:r>
          </w:p>
        </w:tc>
      </w:tr>
      <w:tr>
        <w:trPr>
          <w:trHeight w:val="209" w:hRule="atLeast"/>
        </w:trPr>
        <w:tc>
          <w:tcPr>
            <w:tcW w:w="3925" w:type="dxa"/>
          </w:tcPr>
          <w:p>
            <w:pPr>
              <w:pStyle w:val="TableParagraph"/>
              <w:spacing w:line="172" w:lineRule="exact" w:before="18"/>
              <w:ind w:left="50"/>
              <w:rPr>
                <w:sz w:val="15"/>
              </w:rPr>
            </w:pPr>
            <w:r>
              <w:rPr>
                <w:sz w:val="15"/>
              </w:rPr>
              <w:t>182. Sonda Foley #22</w:t>
            </w:r>
          </w:p>
        </w:tc>
        <w:tc>
          <w:tcPr>
            <w:tcW w:w="4415" w:type="dxa"/>
          </w:tcPr>
          <w:p>
            <w:pPr>
              <w:pStyle w:val="TableParagraph"/>
              <w:spacing w:line="172" w:lineRule="exact" w:before="18"/>
              <w:ind w:right="3328"/>
              <w:jc w:val="right"/>
              <w:rPr>
                <w:sz w:val="15"/>
              </w:rPr>
            </w:pPr>
            <w:r>
              <w:rPr>
                <w:sz w:val="15"/>
              </w:rPr>
              <w:t>$20.00</w:t>
            </w:r>
          </w:p>
        </w:tc>
        <w:tc>
          <w:tcPr>
            <w:tcW w:w="6704" w:type="dxa"/>
          </w:tcPr>
          <w:p>
            <w:pPr>
              <w:pStyle w:val="TableParagraph"/>
              <w:spacing w:before="17"/>
              <w:ind w:left="3331"/>
              <w:rPr>
                <w:sz w:val="15"/>
              </w:rPr>
            </w:pPr>
            <w:r>
              <w:rPr>
                <w:sz w:val="15"/>
              </w:rPr>
              <w:t>230. Suero aracmyn frasco ámpula</w:t>
            </w:r>
          </w:p>
        </w:tc>
        <w:tc>
          <w:tcPr>
            <w:tcW w:w="1635" w:type="dxa"/>
          </w:tcPr>
          <w:p>
            <w:pPr>
              <w:pStyle w:val="TableParagraph"/>
              <w:spacing w:before="17"/>
              <w:ind w:right="46"/>
              <w:jc w:val="right"/>
              <w:rPr>
                <w:sz w:val="15"/>
              </w:rPr>
            </w:pPr>
            <w:r>
              <w:rPr>
                <w:sz w:val="15"/>
              </w:rPr>
              <w:t>$1,654.00</w:t>
            </w:r>
          </w:p>
        </w:tc>
      </w:tr>
      <w:tr>
        <w:trPr>
          <w:trHeight w:val="209" w:hRule="atLeast"/>
        </w:trPr>
        <w:tc>
          <w:tcPr>
            <w:tcW w:w="3925" w:type="dxa"/>
          </w:tcPr>
          <w:p>
            <w:pPr>
              <w:pStyle w:val="TableParagraph"/>
              <w:spacing w:line="172" w:lineRule="exact" w:before="18"/>
              <w:ind w:left="50"/>
              <w:rPr>
                <w:sz w:val="15"/>
              </w:rPr>
            </w:pPr>
            <w:r>
              <w:rPr>
                <w:sz w:val="15"/>
              </w:rPr>
              <w:t>183. Sonda Foley #24</w:t>
            </w:r>
          </w:p>
        </w:tc>
        <w:tc>
          <w:tcPr>
            <w:tcW w:w="4415" w:type="dxa"/>
          </w:tcPr>
          <w:p>
            <w:pPr>
              <w:pStyle w:val="TableParagraph"/>
              <w:spacing w:line="172" w:lineRule="exact" w:before="18"/>
              <w:ind w:right="3328"/>
              <w:jc w:val="right"/>
              <w:rPr>
                <w:sz w:val="15"/>
              </w:rPr>
            </w:pPr>
            <w:r>
              <w:rPr>
                <w:sz w:val="15"/>
              </w:rPr>
              <w:t>$19.00</w:t>
            </w:r>
          </w:p>
        </w:tc>
        <w:tc>
          <w:tcPr>
            <w:tcW w:w="6704" w:type="dxa"/>
          </w:tcPr>
          <w:p>
            <w:pPr>
              <w:pStyle w:val="TableParagraph"/>
              <w:spacing w:before="17"/>
              <w:ind w:left="3331"/>
              <w:rPr>
                <w:sz w:val="15"/>
              </w:rPr>
            </w:pPr>
            <w:r>
              <w:rPr>
                <w:sz w:val="15"/>
              </w:rPr>
              <w:t>231. Suero polvo en sobre</w:t>
            </w:r>
          </w:p>
        </w:tc>
        <w:tc>
          <w:tcPr>
            <w:tcW w:w="1635" w:type="dxa"/>
          </w:tcPr>
          <w:p>
            <w:pPr>
              <w:pStyle w:val="TableParagraph"/>
              <w:spacing w:before="17"/>
              <w:ind w:right="45"/>
              <w:jc w:val="right"/>
              <w:rPr>
                <w:sz w:val="15"/>
              </w:rPr>
            </w:pPr>
            <w:r>
              <w:rPr>
                <w:sz w:val="15"/>
              </w:rPr>
              <w:t>$5.00</w:t>
            </w:r>
          </w:p>
        </w:tc>
      </w:tr>
      <w:tr>
        <w:trPr>
          <w:trHeight w:val="209" w:hRule="atLeast"/>
        </w:trPr>
        <w:tc>
          <w:tcPr>
            <w:tcW w:w="3925" w:type="dxa"/>
          </w:tcPr>
          <w:p>
            <w:pPr>
              <w:pStyle w:val="TableParagraph"/>
              <w:spacing w:line="172" w:lineRule="exact" w:before="18"/>
              <w:ind w:left="50"/>
              <w:rPr>
                <w:sz w:val="15"/>
              </w:rPr>
            </w:pPr>
            <w:r>
              <w:rPr>
                <w:sz w:val="15"/>
              </w:rPr>
              <w:t>184. Sonda gástrica #10</w:t>
            </w:r>
          </w:p>
        </w:tc>
        <w:tc>
          <w:tcPr>
            <w:tcW w:w="4415" w:type="dxa"/>
          </w:tcPr>
          <w:p>
            <w:pPr>
              <w:pStyle w:val="TableParagraph"/>
              <w:spacing w:line="172" w:lineRule="exact" w:before="18"/>
              <w:ind w:right="3327"/>
              <w:jc w:val="right"/>
              <w:rPr>
                <w:sz w:val="15"/>
              </w:rPr>
            </w:pPr>
            <w:r>
              <w:rPr>
                <w:sz w:val="15"/>
              </w:rPr>
              <w:t>$7.00</w:t>
            </w:r>
          </w:p>
        </w:tc>
        <w:tc>
          <w:tcPr>
            <w:tcW w:w="6704" w:type="dxa"/>
          </w:tcPr>
          <w:p>
            <w:pPr>
              <w:pStyle w:val="TableParagraph"/>
              <w:spacing w:before="17"/>
              <w:ind w:left="3331"/>
              <w:rPr>
                <w:sz w:val="15"/>
              </w:rPr>
            </w:pPr>
            <w:r>
              <w:rPr>
                <w:sz w:val="15"/>
              </w:rPr>
              <w:t>232. Guantes estéril</w:t>
            </w:r>
          </w:p>
        </w:tc>
        <w:tc>
          <w:tcPr>
            <w:tcW w:w="1635" w:type="dxa"/>
          </w:tcPr>
          <w:p>
            <w:pPr>
              <w:pStyle w:val="TableParagraph"/>
              <w:spacing w:before="17"/>
              <w:ind w:right="46"/>
              <w:jc w:val="right"/>
              <w:rPr>
                <w:sz w:val="15"/>
              </w:rPr>
            </w:pPr>
            <w:r>
              <w:rPr>
                <w:sz w:val="15"/>
              </w:rPr>
              <w:t>$2.00</w:t>
            </w:r>
          </w:p>
        </w:tc>
      </w:tr>
      <w:tr>
        <w:trPr>
          <w:trHeight w:val="209" w:hRule="atLeast"/>
        </w:trPr>
        <w:tc>
          <w:tcPr>
            <w:tcW w:w="3925" w:type="dxa"/>
          </w:tcPr>
          <w:p>
            <w:pPr>
              <w:pStyle w:val="TableParagraph"/>
              <w:spacing w:line="172" w:lineRule="exact" w:before="18"/>
              <w:ind w:left="50"/>
              <w:rPr>
                <w:sz w:val="15"/>
              </w:rPr>
            </w:pPr>
            <w:r>
              <w:rPr>
                <w:sz w:val="15"/>
              </w:rPr>
              <w:t>185. Sonda gástrica #12</w:t>
            </w:r>
          </w:p>
        </w:tc>
        <w:tc>
          <w:tcPr>
            <w:tcW w:w="4415" w:type="dxa"/>
          </w:tcPr>
          <w:p>
            <w:pPr>
              <w:pStyle w:val="TableParagraph"/>
              <w:spacing w:line="172" w:lineRule="exact" w:before="18"/>
              <w:ind w:right="3327"/>
              <w:jc w:val="right"/>
              <w:rPr>
                <w:sz w:val="15"/>
              </w:rPr>
            </w:pPr>
            <w:r>
              <w:rPr>
                <w:sz w:val="15"/>
              </w:rPr>
              <w:t>$7.00</w:t>
            </w:r>
          </w:p>
        </w:tc>
        <w:tc>
          <w:tcPr>
            <w:tcW w:w="6704" w:type="dxa"/>
          </w:tcPr>
          <w:p>
            <w:pPr>
              <w:pStyle w:val="TableParagraph"/>
              <w:spacing w:before="17"/>
              <w:ind w:left="3331"/>
              <w:rPr>
                <w:sz w:val="15"/>
              </w:rPr>
            </w:pPr>
            <w:r>
              <w:rPr>
                <w:sz w:val="15"/>
              </w:rPr>
              <w:t>233. Guantes crudos</w:t>
            </w:r>
          </w:p>
        </w:tc>
        <w:tc>
          <w:tcPr>
            <w:tcW w:w="1635" w:type="dxa"/>
          </w:tcPr>
          <w:p>
            <w:pPr>
              <w:pStyle w:val="TableParagraph"/>
              <w:spacing w:before="17"/>
              <w:ind w:right="46"/>
              <w:jc w:val="right"/>
              <w:rPr>
                <w:sz w:val="15"/>
              </w:rPr>
            </w:pPr>
            <w:r>
              <w:rPr>
                <w:sz w:val="15"/>
              </w:rPr>
              <w:t>$2.00</w:t>
            </w:r>
          </w:p>
        </w:tc>
      </w:tr>
      <w:tr>
        <w:trPr>
          <w:trHeight w:val="209" w:hRule="atLeast"/>
        </w:trPr>
        <w:tc>
          <w:tcPr>
            <w:tcW w:w="3925" w:type="dxa"/>
          </w:tcPr>
          <w:p>
            <w:pPr>
              <w:pStyle w:val="TableParagraph"/>
              <w:spacing w:line="172" w:lineRule="exact" w:before="18"/>
              <w:ind w:left="50"/>
              <w:rPr>
                <w:sz w:val="15"/>
              </w:rPr>
            </w:pPr>
            <w:r>
              <w:rPr>
                <w:sz w:val="15"/>
              </w:rPr>
              <w:t>186. Sonda gástrica #14</w:t>
            </w:r>
          </w:p>
        </w:tc>
        <w:tc>
          <w:tcPr>
            <w:tcW w:w="4415" w:type="dxa"/>
          </w:tcPr>
          <w:p>
            <w:pPr>
              <w:pStyle w:val="TableParagraph"/>
              <w:spacing w:line="172" w:lineRule="exact" w:before="18"/>
              <w:ind w:right="3327"/>
              <w:jc w:val="right"/>
              <w:rPr>
                <w:sz w:val="15"/>
              </w:rPr>
            </w:pPr>
            <w:r>
              <w:rPr>
                <w:sz w:val="15"/>
              </w:rPr>
              <w:t>$7.00</w:t>
            </w:r>
          </w:p>
        </w:tc>
        <w:tc>
          <w:tcPr>
            <w:tcW w:w="6704" w:type="dxa"/>
          </w:tcPr>
          <w:p>
            <w:pPr>
              <w:pStyle w:val="TableParagraph"/>
              <w:spacing w:before="17"/>
              <w:ind w:left="3331"/>
              <w:rPr>
                <w:sz w:val="15"/>
              </w:rPr>
            </w:pPr>
            <w:r>
              <w:rPr>
                <w:sz w:val="15"/>
              </w:rPr>
              <w:t>234. Ligadura umbilical</w:t>
            </w:r>
          </w:p>
        </w:tc>
        <w:tc>
          <w:tcPr>
            <w:tcW w:w="1635" w:type="dxa"/>
          </w:tcPr>
          <w:p>
            <w:pPr>
              <w:pStyle w:val="TableParagraph"/>
              <w:spacing w:before="17"/>
              <w:ind w:right="46"/>
              <w:jc w:val="right"/>
              <w:rPr>
                <w:sz w:val="15"/>
              </w:rPr>
            </w:pPr>
            <w:r>
              <w:rPr>
                <w:sz w:val="15"/>
              </w:rPr>
              <w:t>$7.00</w:t>
            </w:r>
          </w:p>
        </w:tc>
      </w:tr>
      <w:tr>
        <w:trPr>
          <w:trHeight w:val="209" w:hRule="atLeast"/>
        </w:trPr>
        <w:tc>
          <w:tcPr>
            <w:tcW w:w="3925" w:type="dxa"/>
          </w:tcPr>
          <w:p>
            <w:pPr>
              <w:pStyle w:val="TableParagraph"/>
              <w:spacing w:line="172" w:lineRule="exact" w:before="18"/>
              <w:ind w:left="50"/>
              <w:rPr>
                <w:sz w:val="15"/>
              </w:rPr>
            </w:pPr>
            <w:r>
              <w:rPr>
                <w:sz w:val="15"/>
              </w:rPr>
              <w:t>187. Sonda gástrica #16</w:t>
            </w:r>
          </w:p>
        </w:tc>
        <w:tc>
          <w:tcPr>
            <w:tcW w:w="4415" w:type="dxa"/>
          </w:tcPr>
          <w:p>
            <w:pPr>
              <w:pStyle w:val="TableParagraph"/>
              <w:spacing w:line="172" w:lineRule="exact" w:before="18"/>
              <w:ind w:right="3327"/>
              <w:jc w:val="right"/>
              <w:rPr>
                <w:sz w:val="15"/>
              </w:rPr>
            </w:pPr>
            <w:r>
              <w:rPr>
                <w:sz w:val="15"/>
              </w:rPr>
              <w:t>$7.00</w:t>
            </w:r>
          </w:p>
        </w:tc>
        <w:tc>
          <w:tcPr>
            <w:tcW w:w="6704" w:type="dxa"/>
          </w:tcPr>
          <w:p>
            <w:pPr>
              <w:pStyle w:val="TableParagraph"/>
              <w:spacing w:before="17"/>
              <w:ind w:left="3331"/>
              <w:rPr>
                <w:sz w:val="15"/>
              </w:rPr>
            </w:pPr>
            <w:r>
              <w:rPr>
                <w:sz w:val="15"/>
              </w:rPr>
              <w:t>235. Termómetro</w:t>
            </w:r>
          </w:p>
        </w:tc>
        <w:tc>
          <w:tcPr>
            <w:tcW w:w="1635" w:type="dxa"/>
          </w:tcPr>
          <w:p>
            <w:pPr>
              <w:pStyle w:val="TableParagraph"/>
              <w:spacing w:before="17"/>
              <w:ind w:right="46"/>
              <w:jc w:val="right"/>
              <w:rPr>
                <w:sz w:val="15"/>
              </w:rPr>
            </w:pPr>
            <w:r>
              <w:rPr>
                <w:sz w:val="15"/>
              </w:rPr>
              <w:t>$13.00</w:t>
            </w:r>
          </w:p>
        </w:tc>
      </w:tr>
      <w:tr>
        <w:trPr>
          <w:trHeight w:val="209" w:hRule="atLeast"/>
        </w:trPr>
        <w:tc>
          <w:tcPr>
            <w:tcW w:w="3925" w:type="dxa"/>
          </w:tcPr>
          <w:p>
            <w:pPr>
              <w:pStyle w:val="TableParagraph"/>
              <w:spacing w:line="172" w:lineRule="exact" w:before="18"/>
              <w:ind w:left="50"/>
              <w:rPr>
                <w:sz w:val="15"/>
              </w:rPr>
            </w:pPr>
            <w:r>
              <w:rPr>
                <w:sz w:val="15"/>
              </w:rPr>
              <w:t>188. Sonda gástrica #18</w:t>
            </w:r>
          </w:p>
        </w:tc>
        <w:tc>
          <w:tcPr>
            <w:tcW w:w="4415" w:type="dxa"/>
          </w:tcPr>
          <w:p>
            <w:pPr>
              <w:pStyle w:val="TableParagraph"/>
              <w:spacing w:line="172" w:lineRule="exact" w:before="18"/>
              <w:ind w:right="3327"/>
              <w:jc w:val="right"/>
              <w:rPr>
                <w:sz w:val="15"/>
              </w:rPr>
            </w:pPr>
            <w:r>
              <w:rPr>
                <w:sz w:val="15"/>
              </w:rPr>
              <w:t>$7.00</w:t>
            </w:r>
          </w:p>
        </w:tc>
        <w:tc>
          <w:tcPr>
            <w:tcW w:w="6704" w:type="dxa"/>
          </w:tcPr>
          <w:p>
            <w:pPr>
              <w:pStyle w:val="TableParagraph"/>
              <w:spacing w:before="17"/>
              <w:ind w:left="3331"/>
              <w:rPr>
                <w:sz w:val="15"/>
              </w:rPr>
            </w:pPr>
            <w:r>
              <w:rPr>
                <w:sz w:val="15"/>
              </w:rPr>
              <w:t>236. Paquete de algodón</w:t>
            </w:r>
          </w:p>
        </w:tc>
        <w:tc>
          <w:tcPr>
            <w:tcW w:w="1635" w:type="dxa"/>
          </w:tcPr>
          <w:p>
            <w:pPr>
              <w:pStyle w:val="TableParagraph"/>
              <w:spacing w:before="17"/>
              <w:ind w:right="46"/>
              <w:jc w:val="right"/>
              <w:rPr>
                <w:sz w:val="15"/>
              </w:rPr>
            </w:pPr>
            <w:r>
              <w:rPr>
                <w:sz w:val="15"/>
              </w:rPr>
              <w:t>$32.00</w:t>
            </w:r>
          </w:p>
        </w:tc>
      </w:tr>
      <w:tr>
        <w:trPr>
          <w:trHeight w:val="209" w:hRule="atLeast"/>
        </w:trPr>
        <w:tc>
          <w:tcPr>
            <w:tcW w:w="3925" w:type="dxa"/>
          </w:tcPr>
          <w:p>
            <w:pPr>
              <w:pStyle w:val="TableParagraph"/>
              <w:spacing w:line="172" w:lineRule="exact" w:before="18"/>
              <w:ind w:left="50"/>
              <w:rPr>
                <w:sz w:val="15"/>
              </w:rPr>
            </w:pPr>
            <w:r>
              <w:rPr>
                <w:sz w:val="15"/>
              </w:rPr>
              <w:t>189. Sonda gástrica #8</w:t>
            </w:r>
          </w:p>
        </w:tc>
        <w:tc>
          <w:tcPr>
            <w:tcW w:w="4415" w:type="dxa"/>
          </w:tcPr>
          <w:p>
            <w:pPr>
              <w:pStyle w:val="TableParagraph"/>
              <w:spacing w:line="172" w:lineRule="exact" w:before="18"/>
              <w:ind w:right="3327"/>
              <w:jc w:val="right"/>
              <w:rPr>
                <w:sz w:val="15"/>
              </w:rPr>
            </w:pPr>
            <w:r>
              <w:rPr>
                <w:sz w:val="15"/>
              </w:rPr>
              <w:t>$7.00</w:t>
            </w:r>
          </w:p>
        </w:tc>
        <w:tc>
          <w:tcPr>
            <w:tcW w:w="6704" w:type="dxa"/>
          </w:tcPr>
          <w:p>
            <w:pPr>
              <w:pStyle w:val="TableParagraph"/>
              <w:spacing w:before="17"/>
              <w:ind w:left="3331"/>
              <w:rPr>
                <w:sz w:val="15"/>
              </w:rPr>
            </w:pPr>
            <w:r>
              <w:rPr>
                <w:sz w:val="15"/>
              </w:rPr>
              <w:t>237. Bata desechable manga corta</w:t>
            </w:r>
          </w:p>
        </w:tc>
        <w:tc>
          <w:tcPr>
            <w:tcW w:w="1635" w:type="dxa"/>
          </w:tcPr>
          <w:p>
            <w:pPr>
              <w:pStyle w:val="TableParagraph"/>
              <w:spacing w:before="17"/>
              <w:ind w:right="47"/>
              <w:jc w:val="right"/>
              <w:rPr>
                <w:sz w:val="15"/>
              </w:rPr>
            </w:pPr>
            <w:r>
              <w:rPr>
                <w:sz w:val="15"/>
              </w:rPr>
              <w:t>$21.00</w:t>
            </w:r>
          </w:p>
        </w:tc>
      </w:tr>
      <w:tr>
        <w:trPr>
          <w:trHeight w:val="209" w:hRule="atLeast"/>
        </w:trPr>
        <w:tc>
          <w:tcPr>
            <w:tcW w:w="3925" w:type="dxa"/>
          </w:tcPr>
          <w:p>
            <w:pPr>
              <w:pStyle w:val="TableParagraph"/>
              <w:spacing w:line="172" w:lineRule="exact" w:before="18"/>
              <w:ind w:left="50"/>
              <w:rPr>
                <w:sz w:val="15"/>
              </w:rPr>
            </w:pPr>
            <w:r>
              <w:rPr>
                <w:sz w:val="15"/>
              </w:rPr>
              <w:t>190. Sonda/alimentación infantil 8fr</w:t>
            </w:r>
          </w:p>
        </w:tc>
        <w:tc>
          <w:tcPr>
            <w:tcW w:w="4415" w:type="dxa"/>
          </w:tcPr>
          <w:p>
            <w:pPr>
              <w:pStyle w:val="TableParagraph"/>
              <w:spacing w:line="172" w:lineRule="exact" w:before="18"/>
              <w:ind w:right="3328"/>
              <w:jc w:val="right"/>
              <w:rPr>
                <w:sz w:val="15"/>
              </w:rPr>
            </w:pPr>
            <w:r>
              <w:rPr>
                <w:sz w:val="15"/>
              </w:rPr>
              <w:t>$4.00</w:t>
            </w:r>
          </w:p>
        </w:tc>
        <w:tc>
          <w:tcPr>
            <w:tcW w:w="6704" w:type="dxa"/>
          </w:tcPr>
          <w:p>
            <w:pPr>
              <w:pStyle w:val="TableParagraph"/>
              <w:spacing w:before="17"/>
              <w:ind w:left="3331"/>
              <w:rPr>
                <w:sz w:val="15"/>
              </w:rPr>
            </w:pPr>
            <w:r>
              <w:rPr>
                <w:sz w:val="15"/>
              </w:rPr>
              <w:t>238. Bata desechable manga larga</w:t>
            </w:r>
          </w:p>
        </w:tc>
        <w:tc>
          <w:tcPr>
            <w:tcW w:w="1635" w:type="dxa"/>
          </w:tcPr>
          <w:p>
            <w:pPr>
              <w:pStyle w:val="TableParagraph"/>
              <w:spacing w:before="17"/>
              <w:ind w:right="47"/>
              <w:jc w:val="right"/>
              <w:rPr>
                <w:sz w:val="15"/>
              </w:rPr>
            </w:pPr>
            <w:r>
              <w:rPr>
                <w:sz w:val="15"/>
              </w:rPr>
              <w:t>$83.00</w:t>
            </w:r>
          </w:p>
        </w:tc>
      </w:tr>
      <w:tr>
        <w:trPr>
          <w:trHeight w:val="209" w:hRule="atLeast"/>
        </w:trPr>
        <w:tc>
          <w:tcPr>
            <w:tcW w:w="3925" w:type="dxa"/>
          </w:tcPr>
          <w:p>
            <w:pPr>
              <w:pStyle w:val="TableParagraph"/>
              <w:spacing w:line="172" w:lineRule="exact" w:before="18"/>
              <w:ind w:left="50"/>
              <w:rPr>
                <w:sz w:val="15"/>
              </w:rPr>
            </w:pPr>
            <w:r>
              <w:rPr>
                <w:sz w:val="15"/>
              </w:rPr>
              <w:t>191. Sonda/alimentación infantil 5fr</w:t>
            </w:r>
          </w:p>
        </w:tc>
        <w:tc>
          <w:tcPr>
            <w:tcW w:w="4415" w:type="dxa"/>
          </w:tcPr>
          <w:p>
            <w:pPr>
              <w:pStyle w:val="TableParagraph"/>
              <w:spacing w:line="172" w:lineRule="exact" w:before="18"/>
              <w:ind w:right="3328"/>
              <w:jc w:val="right"/>
              <w:rPr>
                <w:sz w:val="15"/>
              </w:rPr>
            </w:pPr>
            <w:r>
              <w:rPr>
                <w:sz w:val="15"/>
              </w:rPr>
              <w:t>$6.00</w:t>
            </w:r>
          </w:p>
        </w:tc>
        <w:tc>
          <w:tcPr>
            <w:tcW w:w="6704" w:type="dxa"/>
          </w:tcPr>
          <w:p>
            <w:pPr>
              <w:pStyle w:val="TableParagraph"/>
              <w:spacing w:before="17"/>
              <w:ind w:left="3331"/>
              <w:rPr>
                <w:sz w:val="15"/>
              </w:rPr>
            </w:pPr>
            <w:r>
              <w:rPr>
                <w:sz w:val="15"/>
              </w:rPr>
              <w:t>239. Ámpula furdesol</w:t>
            </w:r>
          </w:p>
        </w:tc>
        <w:tc>
          <w:tcPr>
            <w:tcW w:w="1635" w:type="dxa"/>
          </w:tcPr>
          <w:p>
            <w:pPr>
              <w:pStyle w:val="TableParagraph"/>
              <w:spacing w:before="17"/>
              <w:ind w:right="46"/>
              <w:jc w:val="right"/>
              <w:rPr>
                <w:sz w:val="15"/>
              </w:rPr>
            </w:pPr>
            <w:r>
              <w:rPr>
                <w:sz w:val="15"/>
              </w:rPr>
              <w:t>$191.00</w:t>
            </w:r>
          </w:p>
        </w:tc>
      </w:tr>
      <w:tr>
        <w:trPr>
          <w:trHeight w:val="209" w:hRule="atLeast"/>
        </w:trPr>
        <w:tc>
          <w:tcPr>
            <w:tcW w:w="3925" w:type="dxa"/>
          </w:tcPr>
          <w:p>
            <w:pPr>
              <w:pStyle w:val="TableParagraph"/>
              <w:spacing w:line="172" w:lineRule="exact" w:before="18"/>
              <w:ind w:left="50"/>
              <w:rPr>
                <w:sz w:val="15"/>
              </w:rPr>
            </w:pPr>
            <w:r>
              <w:rPr>
                <w:sz w:val="15"/>
              </w:rPr>
              <w:t>192. Sonda/aspiración de secreciones 10</w:t>
            </w:r>
          </w:p>
        </w:tc>
        <w:tc>
          <w:tcPr>
            <w:tcW w:w="4415" w:type="dxa"/>
          </w:tcPr>
          <w:p>
            <w:pPr>
              <w:pStyle w:val="TableParagraph"/>
              <w:spacing w:line="172" w:lineRule="exact" w:before="18"/>
              <w:ind w:right="3328"/>
              <w:jc w:val="right"/>
              <w:rPr>
                <w:sz w:val="15"/>
              </w:rPr>
            </w:pPr>
            <w:r>
              <w:rPr>
                <w:sz w:val="15"/>
              </w:rPr>
              <w:t>$8.00</w:t>
            </w:r>
          </w:p>
        </w:tc>
        <w:tc>
          <w:tcPr>
            <w:tcW w:w="6704" w:type="dxa"/>
          </w:tcPr>
          <w:p>
            <w:pPr>
              <w:pStyle w:val="TableParagraph"/>
              <w:spacing w:before="17"/>
              <w:ind w:left="3331"/>
              <w:rPr>
                <w:sz w:val="15"/>
              </w:rPr>
            </w:pPr>
            <w:r>
              <w:rPr>
                <w:sz w:val="15"/>
              </w:rPr>
              <w:t>240. Cubre bocas</w:t>
            </w:r>
          </w:p>
        </w:tc>
        <w:tc>
          <w:tcPr>
            <w:tcW w:w="1635" w:type="dxa"/>
          </w:tcPr>
          <w:p>
            <w:pPr>
              <w:pStyle w:val="TableParagraph"/>
              <w:spacing w:before="17"/>
              <w:ind w:right="46"/>
              <w:jc w:val="right"/>
              <w:rPr>
                <w:sz w:val="15"/>
              </w:rPr>
            </w:pPr>
            <w:r>
              <w:rPr>
                <w:sz w:val="15"/>
              </w:rPr>
              <w:t>$3.00</w:t>
            </w:r>
          </w:p>
        </w:tc>
      </w:tr>
      <w:tr>
        <w:trPr>
          <w:trHeight w:val="209" w:hRule="atLeast"/>
        </w:trPr>
        <w:tc>
          <w:tcPr>
            <w:tcW w:w="3925" w:type="dxa"/>
          </w:tcPr>
          <w:p>
            <w:pPr>
              <w:pStyle w:val="TableParagraph"/>
              <w:spacing w:line="172" w:lineRule="exact" w:before="18"/>
              <w:ind w:left="50"/>
              <w:rPr>
                <w:sz w:val="15"/>
              </w:rPr>
            </w:pPr>
            <w:r>
              <w:rPr>
                <w:sz w:val="15"/>
              </w:rPr>
              <w:t>193. Sonda/aspiración de secreciones 14</w:t>
            </w:r>
          </w:p>
        </w:tc>
        <w:tc>
          <w:tcPr>
            <w:tcW w:w="4415" w:type="dxa"/>
          </w:tcPr>
          <w:p>
            <w:pPr>
              <w:pStyle w:val="TableParagraph"/>
              <w:spacing w:line="172" w:lineRule="exact" w:before="18"/>
              <w:ind w:right="3328"/>
              <w:jc w:val="right"/>
              <w:rPr>
                <w:sz w:val="15"/>
              </w:rPr>
            </w:pPr>
            <w:r>
              <w:rPr>
                <w:sz w:val="15"/>
              </w:rPr>
              <w:t>$8.00</w:t>
            </w:r>
          </w:p>
        </w:tc>
        <w:tc>
          <w:tcPr>
            <w:tcW w:w="6704" w:type="dxa"/>
          </w:tcPr>
          <w:p>
            <w:pPr>
              <w:pStyle w:val="TableParagraph"/>
              <w:spacing w:before="17"/>
              <w:ind w:left="3331"/>
              <w:rPr>
                <w:sz w:val="15"/>
              </w:rPr>
            </w:pPr>
            <w:r>
              <w:rPr>
                <w:sz w:val="15"/>
              </w:rPr>
              <w:t>241. Paquete de tres gasas</w:t>
            </w:r>
          </w:p>
        </w:tc>
        <w:tc>
          <w:tcPr>
            <w:tcW w:w="1635" w:type="dxa"/>
          </w:tcPr>
          <w:p>
            <w:pPr>
              <w:pStyle w:val="TableParagraph"/>
              <w:spacing w:before="17"/>
              <w:ind w:right="46"/>
              <w:jc w:val="right"/>
              <w:rPr>
                <w:sz w:val="15"/>
              </w:rPr>
            </w:pPr>
            <w:r>
              <w:rPr>
                <w:sz w:val="15"/>
              </w:rPr>
              <w:t>$6.00</w:t>
            </w:r>
          </w:p>
        </w:tc>
      </w:tr>
      <w:tr>
        <w:trPr>
          <w:trHeight w:val="209" w:hRule="atLeast"/>
        </w:trPr>
        <w:tc>
          <w:tcPr>
            <w:tcW w:w="3925" w:type="dxa"/>
          </w:tcPr>
          <w:p>
            <w:pPr>
              <w:pStyle w:val="TableParagraph"/>
              <w:spacing w:line="172" w:lineRule="exact" w:before="18"/>
              <w:ind w:left="50"/>
              <w:rPr>
                <w:sz w:val="15"/>
              </w:rPr>
            </w:pPr>
            <w:r>
              <w:rPr>
                <w:sz w:val="15"/>
              </w:rPr>
              <w:t>194. Sonda/aspiración de secreciones 18</w:t>
            </w:r>
          </w:p>
        </w:tc>
        <w:tc>
          <w:tcPr>
            <w:tcW w:w="4415" w:type="dxa"/>
          </w:tcPr>
          <w:p>
            <w:pPr>
              <w:pStyle w:val="TableParagraph"/>
              <w:spacing w:line="172" w:lineRule="exact" w:before="18"/>
              <w:ind w:right="3328"/>
              <w:jc w:val="right"/>
              <w:rPr>
                <w:sz w:val="15"/>
              </w:rPr>
            </w:pPr>
            <w:r>
              <w:rPr>
                <w:sz w:val="15"/>
              </w:rPr>
              <w:t>$8.00</w:t>
            </w:r>
          </w:p>
        </w:tc>
        <w:tc>
          <w:tcPr>
            <w:tcW w:w="6704" w:type="dxa"/>
          </w:tcPr>
          <w:p>
            <w:pPr>
              <w:pStyle w:val="TableParagraph"/>
              <w:spacing w:before="17"/>
              <w:ind w:left="3331"/>
              <w:rPr>
                <w:sz w:val="15"/>
              </w:rPr>
            </w:pPr>
            <w:r>
              <w:rPr>
                <w:sz w:val="15"/>
              </w:rPr>
              <w:t>242. Sábana desechable</w:t>
            </w:r>
          </w:p>
        </w:tc>
        <w:tc>
          <w:tcPr>
            <w:tcW w:w="1635" w:type="dxa"/>
          </w:tcPr>
          <w:p>
            <w:pPr>
              <w:pStyle w:val="TableParagraph"/>
              <w:spacing w:before="17"/>
              <w:ind w:right="46"/>
              <w:jc w:val="right"/>
              <w:rPr>
                <w:sz w:val="15"/>
              </w:rPr>
            </w:pPr>
            <w:r>
              <w:rPr>
                <w:sz w:val="15"/>
              </w:rPr>
              <w:t>$9.00</w:t>
            </w:r>
          </w:p>
        </w:tc>
      </w:tr>
      <w:tr>
        <w:trPr>
          <w:trHeight w:val="209" w:hRule="atLeast"/>
        </w:trPr>
        <w:tc>
          <w:tcPr>
            <w:tcW w:w="3925" w:type="dxa"/>
          </w:tcPr>
          <w:p>
            <w:pPr>
              <w:pStyle w:val="TableParagraph"/>
              <w:spacing w:line="172" w:lineRule="exact" w:before="18"/>
              <w:ind w:left="50"/>
              <w:rPr>
                <w:sz w:val="15"/>
              </w:rPr>
            </w:pPr>
            <w:r>
              <w:rPr>
                <w:sz w:val="15"/>
              </w:rPr>
              <w:t>195. Sonda/aspiración de secreciones 16</w:t>
            </w:r>
          </w:p>
        </w:tc>
        <w:tc>
          <w:tcPr>
            <w:tcW w:w="4415" w:type="dxa"/>
          </w:tcPr>
          <w:p>
            <w:pPr>
              <w:pStyle w:val="TableParagraph"/>
              <w:spacing w:line="172" w:lineRule="exact" w:before="18"/>
              <w:ind w:right="3328"/>
              <w:jc w:val="right"/>
              <w:rPr>
                <w:sz w:val="15"/>
              </w:rPr>
            </w:pPr>
            <w:r>
              <w:rPr>
                <w:sz w:val="15"/>
              </w:rPr>
              <w:t>$8.00</w:t>
            </w:r>
          </w:p>
        </w:tc>
        <w:tc>
          <w:tcPr>
            <w:tcW w:w="6704" w:type="dxa"/>
          </w:tcPr>
          <w:p>
            <w:pPr>
              <w:pStyle w:val="TableParagraph"/>
              <w:spacing w:before="17"/>
              <w:ind w:left="3331"/>
              <w:rPr>
                <w:sz w:val="15"/>
              </w:rPr>
            </w:pPr>
            <w:r>
              <w:rPr>
                <w:sz w:val="15"/>
              </w:rPr>
              <w:t>243. Hoja de bisturí</w:t>
            </w:r>
          </w:p>
        </w:tc>
        <w:tc>
          <w:tcPr>
            <w:tcW w:w="1635" w:type="dxa"/>
          </w:tcPr>
          <w:p>
            <w:pPr>
              <w:pStyle w:val="TableParagraph"/>
              <w:spacing w:before="17"/>
              <w:ind w:right="46"/>
              <w:jc w:val="right"/>
              <w:rPr>
                <w:sz w:val="15"/>
              </w:rPr>
            </w:pPr>
            <w:r>
              <w:rPr>
                <w:sz w:val="15"/>
              </w:rPr>
              <w:t>$3.00</w:t>
            </w:r>
          </w:p>
        </w:tc>
      </w:tr>
      <w:tr>
        <w:trPr>
          <w:trHeight w:val="209" w:hRule="atLeast"/>
        </w:trPr>
        <w:tc>
          <w:tcPr>
            <w:tcW w:w="3925" w:type="dxa"/>
          </w:tcPr>
          <w:p>
            <w:pPr>
              <w:pStyle w:val="TableParagraph"/>
              <w:spacing w:line="172" w:lineRule="exact" w:before="18"/>
              <w:ind w:left="50"/>
              <w:rPr>
                <w:sz w:val="15"/>
              </w:rPr>
            </w:pPr>
            <w:r>
              <w:rPr>
                <w:sz w:val="15"/>
              </w:rPr>
              <w:t>196. Sonda/aspiración de secreciones 8</w:t>
            </w:r>
          </w:p>
        </w:tc>
        <w:tc>
          <w:tcPr>
            <w:tcW w:w="4415" w:type="dxa"/>
          </w:tcPr>
          <w:p>
            <w:pPr>
              <w:pStyle w:val="TableParagraph"/>
              <w:spacing w:line="172" w:lineRule="exact" w:before="18"/>
              <w:ind w:right="3328"/>
              <w:jc w:val="right"/>
              <w:rPr>
                <w:sz w:val="15"/>
              </w:rPr>
            </w:pPr>
            <w:r>
              <w:rPr>
                <w:sz w:val="15"/>
              </w:rPr>
              <w:t>$8.00</w:t>
            </w:r>
          </w:p>
        </w:tc>
        <w:tc>
          <w:tcPr>
            <w:tcW w:w="6704" w:type="dxa"/>
          </w:tcPr>
          <w:p>
            <w:pPr>
              <w:pStyle w:val="TableParagraph"/>
              <w:spacing w:before="17"/>
              <w:ind w:left="3331"/>
              <w:rPr>
                <w:sz w:val="15"/>
              </w:rPr>
            </w:pPr>
            <w:r>
              <w:rPr>
                <w:sz w:val="15"/>
              </w:rPr>
              <w:t>244. Abatelenguas</w:t>
            </w:r>
          </w:p>
        </w:tc>
        <w:tc>
          <w:tcPr>
            <w:tcW w:w="1635" w:type="dxa"/>
          </w:tcPr>
          <w:p>
            <w:pPr>
              <w:pStyle w:val="TableParagraph"/>
              <w:spacing w:before="17"/>
              <w:ind w:right="46"/>
              <w:jc w:val="right"/>
              <w:rPr>
                <w:sz w:val="15"/>
              </w:rPr>
            </w:pPr>
            <w:r>
              <w:rPr>
                <w:sz w:val="15"/>
              </w:rPr>
              <w:t>$3.00</w:t>
            </w:r>
          </w:p>
        </w:tc>
      </w:tr>
      <w:tr>
        <w:trPr>
          <w:trHeight w:val="209" w:hRule="atLeast"/>
        </w:trPr>
        <w:tc>
          <w:tcPr>
            <w:tcW w:w="3925" w:type="dxa"/>
          </w:tcPr>
          <w:p>
            <w:pPr>
              <w:pStyle w:val="TableParagraph"/>
              <w:spacing w:line="172" w:lineRule="exact" w:before="18"/>
              <w:ind w:left="50"/>
              <w:rPr>
                <w:sz w:val="15"/>
              </w:rPr>
            </w:pPr>
            <w:r>
              <w:rPr>
                <w:sz w:val="15"/>
              </w:rPr>
              <w:t>197. Sujetador para tubo endotraqueal adulto</w:t>
            </w:r>
          </w:p>
        </w:tc>
        <w:tc>
          <w:tcPr>
            <w:tcW w:w="4415" w:type="dxa"/>
          </w:tcPr>
          <w:p>
            <w:pPr>
              <w:pStyle w:val="TableParagraph"/>
              <w:spacing w:line="172" w:lineRule="exact" w:before="18"/>
              <w:ind w:right="3328"/>
              <w:jc w:val="right"/>
              <w:rPr>
                <w:sz w:val="15"/>
              </w:rPr>
            </w:pPr>
            <w:r>
              <w:rPr>
                <w:sz w:val="15"/>
              </w:rPr>
              <w:t>$60.00</w:t>
            </w:r>
          </w:p>
        </w:tc>
        <w:tc>
          <w:tcPr>
            <w:tcW w:w="6704" w:type="dxa"/>
          </w:tcPr>
          <w:p>
            <w:pPr>
              <w:pStyle w:val="TableParagraph"/>
              <w:spacing w:before="17"/>
              <w:ind w:left="3331"/>
              <w:rPr>
                <w:sz w:val="15"/>
              </w:rPr>
            </w:pPr>
            <w:r>
              <w:rPr>
                <w:sz w:val="15"/>
              </w:rPr>
              <w:t>245. Espejo Vaginal</w:t>
            </w:r>
          </w:p>
        </w:tc>
        <w:tc>
          <w:tcPr>
            <w:tcW w:w="1635" w:type="dxa"/>
          </w:tcPr>
          <w:p>
            <w:pPr>
              <w:pStyle w:val="TableParagraph"/>
              <w:spacing w:before="17"/>
              <w:ind w:right="46"/>
              <w:jc w:val="right"/>
              <w:rPr>
                <w:sz w:val="15"/>
              </w:rPr>
            </w:pPr>
            <w:r>
              <w:rPr>
                <w:sz w:val="15"/>
              </w:rPr>
              <w:t>$15.00</w:t>
            </w:r>
          </w:p>
        </w:tc>
      </w:tr>
      <w:tr>
        <w:trPr>
          <w:trHeight w:val="209" w:hRule="atLeast"/>
        </w:trPr>
        <w:tc>
          <w:tcPr>
            <w:tcW w:w="3925" w:type="dxa"/>
          </w:tcPr>
          <w:p>
            <w:pPr>
              <w:pStyle w:val="TableParagraph"/>
              <w:spacing w:line="172" w:lineRule="exact" w:before="18"/>
              <w:ind w:left="50"/>
              <w:rPr>
                <w:sz w:val="15"/>
              </w:rPr>
            </w:pPr>
            <w:r>
              <w:rPr>
                <w:sz w:val="15"/>
              </w:rPr>
              <w:t>198. Sujetador para tubo endotraqueal infantil</w:t>
            </w:r>
          </w:p>
        </w:tc>
        <w:tc>
          <w:tcPr>
            <w:tcW w:w="4415" w:type="dxa"/>
          </w:tcPr>
          <w:p>
            <w:pPr>
              <w:pStyle w:val="TableParagraph"/>
              <w:spacing w:line="172" w:lineRule="exact" w:before="18"/>
              <w:ind w:right="3328"/>
              <w:jc w:val="right"/>
              <w:rPr>
                <w:sz w:val="15"/>
              </w:rPr>
            </w:pPr>
            <w:r>
              <w:rPr>
                <w:sz w:val="15"/>
              </w:rPr>
              <w:t>$60.00</w:t>
            </w:r>
          </w:p>
        </w:tc>
        <w:tc>
          <w:tcPr>
            <w:tcW w:w="6704" w:type="dxa"/>
          </w:tcPr>
          <w:p>
            <w:pPr>
              <w:pStyle w:val="TableParagraph"/>
              <w:spacing w:before="17"/>
              <w:ind w:left="3331"/>
              <w:rPr>
                <w:sz w:val="15"/>
              </w:rPr>
            </w:pPr>
            <w:r>
              <w:rPr>
                <w:sz w:val="15"/>
              </w:rPr>
              <w:t>246. Vaso para muestra de orina</w:t>
            </w:r>
          </w:p>
        </w:tc>
        <w:tc>
          <w:tcPr>
            <w:tcW w:w="1635" w:type="dxa"/>
          </w:tcPr>
          <w:p>
            <w:pPr>
              <w:pStyle w:val="TableParagraph"/>
              <w:spacing w:before="17"/>
              <w:ind w:right="46"/>
              <w:jc w:val="right"/>
              <w:rPr>
                <w:sz w:val="15"/>
              </w:rPr>
            </w:pPr>
            <w:r>
              <w:rPr>
                <w:sz w:val="15"/>
              </w:rPr>
              <w:t>$18.00</w:t>
            </w:r>
          </w:p>
        </w:tc>
      </w:tr>
      <w:tr>
        <w:trPr>
          <w:trHeight w:val="191" w:hRule="atLeast"/>
        </w:trPr>
        <w:tc>
          <w:tcPr>
            <w:tcW w:w="3925" w:type="dxa"/>
          </w:tcPr>
          <w:p>
            <w:pPr>
              <w:pStyle w:val="TableParagraph"/>
              <w:spacing w:line="153" w:lineRule="exact" w:before="18"/>
              <w:ind w:left="50"/>
              <w:rPr>
                <w:sz w:val="15"/>
              </w:rPr>
            </w:pPr>
            <w:r>
              <w:rPr>
                <w:sz w:val="15"/>
              </w:rPr>
              <w:t>199. Sujetador para tubo endotraqueal pediátrico</w:t>
            </w:r>
          </w:p>
        </w:tc>
        <w:tc>
          <w:tcPr>
            <w:tcW w:w="4415" w:type="dxa"/>
          </w:tcPr>
          <w:p>
            <w:pPr>
              <w:pStyle w:val="TableParagraph"/>
              <w:spacing w:line="153" w:lineRule="exact" w:before="18"/>
              <w:ind w:right="3329"/>
              <w:jc w:val="right"/>
              <w:rPr>
                <w:sz w:val="15"/>
              </w:rPr>
            </w:pPr>
            <w:r>
              <w:rPr>
                <w:sz w:val="15"/>
              </w:rPr>
              <w:t>$60.00</w:t>
            </w:r>
          </w:p>
        </w:tc>
        <w:tc>
          <w:tcPr>
            <w:tcW w:w="6704" w:type="dxa"/>
          </w:tcPr>
          <w:p>
            <w:pPr>
              <w:pStyle w:val="TableParagraph"/>
              <w:spacing w:line="154" w:lineRule="exact" w:before="17"/>
              <w:ind w:left="3331"/>
              <w:rPr>
                <w:sz w:val="15"/>
              </w:rPr>
            </w:pPr>
            <w:r>
              <w:rPr>
                <w:sz w:val="15"/>
              </w:rPr>
              <w:t>247. Argental en crema</w:t>
            </w:r>
          </w:p>
        </w:tc>
        <w:tc>
          <w:tcPr>
            <w:tcW w:w="1635" w:type="dxa"/>
          </w:tcPr>
          <w:p>
            <w:pPr>
              <w:pStyle w:val="TableParagraph"/>
              <w:spacing w:line="154" w:lineRule="exact" w:before="17"/>
              <w:ind w:right="45"/>
              <w:jc w:val="right"/>
              <w:rPr>
                <w:sz w:val="15"/>
              </w:rPr>
            </w:pPr>
            <w:r>
              <w:rPr>
                <w:sz w:val="15"/>
              </w:rPr>
              <w:t>$32.00</w:t>
            </w:r>
          </w:p>
        </w:tc>
      </w:tr>
    </w:tbl>
    <w:p>
      <w:pPr>
        <w:spacing w:after="0" w:line="154" w:lineRule="exact"/>
        <w:jc w:val="right"/>
        <w:rPr>
          <w:sz w:val="15"/>
        </w:rPr>
        <w:sectPr>
          <w:headerReference w:type="default" r:id="rId105"/>
          <w:pgSz w:w="23250" w:h="15310" w:orient="landscape"/>
          <w:pgMar w:header="881" w:footer="499" w:top="1920" w:bottom="680" w:left="1880" w:right="1520"/>
        </w:sect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18"/>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9"/>
        <w:gridCol w:w="1259"/>
        <w:gridCol w:w="10909"/>
        <w:gridCol w:w="2917"/>
      </w:tblGrid>
      <w:tr>
        <w:trPr>
          <w:trHeight w:val="174" w:hRule="atLeast"/>
        </w:trPr>
        <w:tc>
          <w:tcPr>
            <w:tcW w:w="3799" w:type="dxa"/>
          </w:tcPr>
          <w:p>
            <w:pPr>
              <w:pStyle w:val="TableParagraph"/>
              <w:spacing w:line="154" w:lineRule="exact"/>
              <w:ind w:left="50"/>
              <w:rPr>
                <w:sz w:val="15"/>
              </w:rPr>
            </w:pPr>
            <w:r>
              <w:rPr>
                <w:sz w:val="15"/>
              </w:rPr>
              <w:t>248. Xylocaína con epinefrina</w:t>
            </w:r>
          </w:p>
        </w:tc>
        <w:tc>
          <w:tcPr>
            <w:tcW w:w="1259" w:type="dxa"/>
          </w:tcPr>
          <w:p>
            <w:pPr>
              <w:pStyle w:val="TableParagraph"/>
              <w:spacing w:line="154" w:lineRule="exact"/>
              <w:ind w:left="-1" w:right="47"/>
              <w:jc w:val="right"/>
              <w:rPr>
                <w:sz w:val="15"/>
              </w:rPr>
            </w:pPr>
            <w:r>
              <w:rPr>
                <w:sz w:val="15"/>
              </w:rPr>
              <w:t>$29.00</w:t>
            </w:r>
          </w:p>
        </w:tc>
        <w:tc>
          <w:tcPr>
            <w:tcW w:w="13826" w:type="dxa"/>
            <w:gridSpan w:val="2"/>
          </w:tcPr>
          <w:p>
            <w:pPr>
              <w:pStyle w:val="TableParagraph"/>
              <w:rPr>
                <w:rFonts w:ascii="Times New Roman"/>
                <w:sz w:val="10"/>
              </w:rPr>
            </w:pPr>
          </w:p>
        </w:tc>
      </w:tr>
      <w:tr>
        <w:trPr>
          <w:trHeight w:val="226" w:hRule="atLeast"/>
        </w:trPr>
        <w:tc>
          <w:tcPr>
            <w:tcW w:w="3799" w:type="dxa"/>
          </w:tcPr>
          <w:p>
            <w:pPr>
              <w:pStyle w:val="TableParagraph"/>
              <w:spacing w:before="34"/>
              <w:ind w:left="50"/>
              <w:rPr>
                <w:sz w:val="15"/>
              </w:rPr>
            </w:pPr>
            <w:r>
              <w:rPr>
                <w:sz w:val="15"/>
              </w:rPr>
              <w:t>249. Xylocaína simple</w:t>
            </w:r>
          </w:p>
        </w:tc>
        <w:tc>
          <w:tcPr>
            <w:tcW w:w="1259" w:type="dxa"/>
          </w:tcPr>
          <w:p>
            <w:pPr>
              <w:pStyle w:val="TableParagraph"/>
              <w:spacing w:before="34"/>
              <w:ind w:left="-1" w:right="46"/>
              <w:jc w:val="right"/>
              <w:rPr>
                <w:sz w:val="15"/>
              </w:rPr>
            </w:pPr>
            <w:r>
              <w:rPr>
                <w:sz w:val="15"/>
              </w:rPr>
              <w:t>$39.00</w:t>
            </w:r>
          </w:p>
        </w:tc>
        <w:tc>
          <w:tcPr>
            <w:tcW w:w="13826" w:type="dxa"/>
            <w:gridSpan w:val="2"/>
          </w:tcPr>
          <w:p>
            <w:pPr>
              <w:pStyle w:val="TableParagraph"/>
              <w:spacing w:before="1"/>
              <w:ind w:left="6614"/>
              <w:rPr>
                <w:sz w:val="15"/>
              </w:rPr>
            </w:pPr>
            <w:r>
              <w:rPr>
                <w:sz w:val="15"/>
              </w:rPr>
              <w:t>Las cuotas señaladas en el presente artículo podrán ser reducidas hasta un 100%, cuando se trate de</w:t>
            </w:r>
          </w:p>
        </w:tc>
      </w:tr>
      <w:tr>
        <w:trPr>
          <w:trHeight w:val="209" w:hRule="atLeast"/>
        </w:trPr>
        <w:tc>
          <w:tcPr>
            <w:tcW w:w="3799" w:type="dxa"/>
          </w:tcPr>
          <w:p>
            <w:pPr>
              <w:pStyle w:val="TableParagraph"/>
              <w:spacing w:line="171" w:lineRule="exact"/>
              <w:ind w:left="50"/>
              <w:rPr>
                <w:sz w:val="15"/>
              </w:rPr>
            </w:pPr>
            <w:r>
              <w:rPr>
                <w:sz w:val="15"/>
              </w:rPr>
              <w:t>250. Xylocaínaspray</w:t>
            </w:r>
          </w:p>
        </w:tc>
        <w:tc>
          <w:tcPr>
            <w:tcW w:w="15085" w:type="dxa"/>
            <w:gridSpan w:val="3"/>
          </w:tcPr>
          <w:p>
            <w:pPr>
              <w:pStyle w:val="TableParagraph"/>
              <w:tabs>
                <w:tab w:pos="7475" w:val="left" w:leader="none"/>
              </w:tabs>
              <w:spacing w:line="124" w:lineRule="auto"/>
              <w:ind w:left="739"/>
              <w:rPr>
                <w:sz w:val="15"/>
              </w:rPr>
            </w:pPr>
            <w:r>
              <w:rPr>
                <w:position w:val="-6"/>
                <w:sz w:val="15"/>
              </w:rPr>
              <w:t>$91.00</w:t>
              <w:tab/>
            </w:r>
            <w:r>
              <w:rPr>
                <w:sz w:val="15"/>
              </w:rPr>
              <w:t>personas</w:t>
            </w:r>
            <w:r>
              <w:rPr>
                <w:spacing w:val="9"/>
                <w:sz w:val="15"/>
              </w:rPr>
              <w:t> </w:t>
            </w:r>
            <w:r>
              <w:rPr>
                <w:sz w:val="15"/>
              </w:rPr>
              <w:t>cuya</w:t>
            </w:r>
            <w:r>
              <w:rPr>
                <w:spacing w:val="11"/>
                <w:sz w:val="15"/>
              </w:rPr>
              <w:t> </w:t>
            </w:r>
            <w:r>
              <w:rPr>
                <w:sz w:val="15"/>
              </w:rPr>
              <w:t>situación</w:t>
            </w:r>
            <w:r>
              <w:rPr>
                <w:spacing w:val="10"/>
                <w:sz w:val="15"/>
              </w:rPr>
              <w:t> </w:t>
            </w:r>
            <w:r>
              <w:rPr>
                <w:sz w:val="15"/>
              </w:rPr>
              <w:t>económica</w:t>
            </w:r>
            <w:r>
              <w:rPr>
                <w:spacing w:val="11"/>
                <w:sz w:val="15"/>
              </w:rPr>
              <w:t> </w:t>
            </w:r>
            <w:r>
              <w:rPr>
                <w:sz w:val="15"/>
              </w:rPr>
              <w:t>no</w:t>
            </w:r>
            <w:r>
              <w:rPr>
                <w:spacing w:val="10"/>
                <w:sz w:val="15"/>
              </w:rPr>
              <w:t> </w:t>
            </w:r>
            <w:r>
              <w:rPr>
                <w:sz w:val="15"/>
              </w:rPr>
              <w:t>les</w:t>
            </w:r>
            <w:r>
              <w:rPr>
                <w:spacing w:val="11"/>
                <w:sz w:val="15"/>
              </w:rPr>
              <w:t> </w:t>
            </w:r>
            <w:r>
              <w:rPr>
                <w:sz w:val="15"/>
              </w:rPr>
              <w:t>permita</w:t>
            </w:r>
            <w:r>
              <w:rPr>
                <w:spacing w:val="10"/>
                <w:sz w:val="15"/>
              </w:rPr>
              <w:t> </w:t>
            </w:r>
            <w:r>
              <w:rPr>
                <w:sz w:val="15"/>
              </w:rPr>
              <w:t>realizar</w:t>
            </w:r>
            <w:r>
              <w:rPr>
                <w:spacing w:val="11"/>
                <w:sz w:val="15"/>
              </w:rPr>
              <w:t> </w:t>
            </w:r>
            <w:r>
              <w:rPr>
                <w:sz w:val="15"/>
              </w:rPr>
              <w:t>el</w:t>
            </w:r>
            <w:r>
              <w:rPr>
                <w:spacing w:val="11"/>
                <w:sz w:val="15"/>
              </w:rPr>
              <w:t> </w:t>
            </w:r>
            <w:r>
              <w:rPr>
                <w:sz w:val="15"/>
              </w:rPr>
              <w:t>pago</w:t>
            </w:r>
            <w:r>
              <w:rPr>
                <w:spacing w:val="10"/>
                <w:sz w:val="15"/>
              </w:rPr>
              <w:t> </w:t>
            </w:r>
            <w:r>
              <w:rPr>
                <w:sz w:val="15"/>
              </w:rPr>
              <w:t>de</w:t>
            </w:r>
            <w:r>
              <w:rPr>
                <w:spacing w:val="11"/>
                <w:sz w:val="15"/>
              </w:rPr>
              <w:t> </w:t>
            </w:r>
            <w:r>
              <w:rPr>
                <w:sz w:val="15"/>
              </w:rPr>
              <w:t>las</w:t>
            </w:r>
            <w:r>
              <w:rPr>
                <w:spacing w:val="10"/>
                <w:sz w:val="15"/>
              </w:rPr>
              <w:t> </w:t>
            </w:r>
            <w:r>
              <w:rPr>
                <w:sz w:val="15"/>
              </w:rPr>
              <w:t>mismas</w:t>
            </w:r>
            <w:r>
              <w:rPr>
                <w:spacing w:val="11"/>
                <w:sz w:val="15"/>
              </w:rPr>
              <w:t> </w:t>
            </w:r>
            <w:r>
              <w:rPr>
                <w:sz w:val="15"/>
              </w:rPr>
              <w:t>o</w:t>
            </w:r>
            <w:r>
              <w:rPr>
                <w:spacing w:val="10"/>
                <w:sz w:val="15"/>
              </w:rPr>
              <w:t> </w:t>
            </w:r>
            <w:r>
              <w:rPr>
                <w:sz w:val="15"/>
              </w:rPr>
              <w:t>podrán</w:t>
            </w:r>
            <w:r>
              <w:rPr>
                <w:spacing w:val="11"/>
                <w:sz w:val="15"/>
              </w:rPr>
              <w:t> </w:t>
            </w:r>
            <w:r>
              <w:rPr>
                <w:sz w:val="15"/>
              </w:rPr>
              <w:t>pagar</w:t>
            </w:r>
            <w:r>
              <w:rPr>
                <w:spacing w:val="11"/>
                <w:sz w:val="15"/>
              </w:rPr>
              <w:t> </w:t>
            </w:r>
            <w:r>
              <w:rPr>
                <w:sz w:val="15"/>
              </w:rPr>
              <w:t>en</w:t>
            </w:r>
          </w:p>
        </w:tc>
      </w:tr>
      <w:tr>
        <w:trPr>
          <w:trHeight w:val="209" w:hRule="atLeast"/>
        </w:trPr>
        <w:tc>
          <w:tcPr>
            <w:tcW w:w="3799" w:type="dxa"/>
          </w:tcPr>
          <w:p>
            <w:pPr>
              <w:pStyle w:val="TableParagraph"/>
              <w:spacing w:before="17"/>
              <w:ind w:left="50"/>
              <w:rPr>
                <w:sz w:val="15"/>
              </w:rPr>
            </w:pPr>
            <w:r>
              <w:rPr>
                <w:sz w:val="15"/>
              </w:rPr>
              <w:t>251. Burnfree para quemaduras</w:t>
            </w:r>
          </w:p>
        </w:tc>
        <w:tc>
          <w:tcPr>
            <w:tcW w:w="15085" w:type="dxa"/>
            <w:gridSpan w:val="3"/>
          </w:tcPr>
          <w:p>
            <w:pPr>
              <w:pStyle w:val="TableParagraph"/>
              <w:tabs>
                <w:tab w:pos="7475" w:val="left" w:leader="none"/>
              </w:tabs>
              <w:spacing w:line="98" w:lineRule="auto"/>
              <w:ind w:left="653"/>
              <w:rPr>
                <w:sz w:val="15"/>
              </w:rPr>
            </w:pPr>
            <w:r>
              <w:rPr>
                <w:position w:val="-9"/>
                <w:sz w:val="15"/>
              </w:rPr>
              <w:t>$171.00</w:t>
              <w:tab/>
            </w:r>
            <w:r>
              <w:rPr>
                <w:sz w:val="15"/>
              </w:rPr>
              <w:t>parcialidades, según convenio acordado por ambas</w:t>
            </w:r>
            <w:r>
              <w:rPr>
                <w:spacing w:val="11"/>
                <w:sz w:val="15"/>
              </w:rPr>
              <w:t> </w:t>
            </w:r>
            <w:r>
              <w:rPr>
                <w:sz w:val="15"/>
              </w:rPr>
              <w:t>partes.</w:t>
            </w:r>
          </w:p>
        </w:tc>
      </w:tr>
      <w:tr>
        <w:trPr>
          <w:trHeight w:val="209" w:hRule="atLeast"/>
        </w:trPr>
        <w:tc>
          <w:tcPr>
            <w:tcW w:w="3799" w:type="dxa"/>
          </w:tcPr>
          <w:p>
            <w:pPr>
              <w:pStyle w:val="TableParagraph"/>
              <w:spacing w:before="17"/>
              <w:ind w:left="50"/>
              <w:rPr>
                <w:sz w:val="15"/>
              </w:rPr>
            </w:pPr>
            <w:r>
              <w:rPr>
                <w:sz w:val="15"/>
              </w:rPr>
              <w:t>252. Hidrasec en sobre 10 mg</w:t>
            </w:r>
          </w:p>
        </w:tc>
        <w:tc>
          <w:tcPr>
            <w:tcW w:w="15085" w:type="dxa"/>
            <w:gridSpan w:val="3"/>
          </w:tcPr>
          <w:p>
            <w:pPr>
              <w:pStyle w:val="TableParagraph"/>
              <w:tabs>
                <w:tab w:pos="7873" w:val="left" w:leader="none"/>
              </w:tabs>
              <w:spacing w:line="177" w:lineRule="exact" w:before="12"/>
              <w:ind w:left="824"/>
              <w:rPr>
                <w:sz w:val="15"/>
              </w:rPr>
            </w:pPr>
            <w:r>
              <w:rPr>
                <w:position w:val="5"/>
                <w:sz w:val="15"/>
              </w:rPr>
              <w:t>$9.00</w:t>
              <w:tab/>
            </w:r>
            <w:r>
              <w:rPr>
                <w:b/>
                <w:sz w:val="15"/>
              </w:rPr>
              <w:t>Artículo</w:t>
            </w:r>
            <w:r>
              <w:rPr>
                <w:b/>
                <w:spacing w:val="7"/>
                <w:sz w:val="15"/>
              </w:rPr>
              <w:t> </w:t>
            </w:r>
            <w:r>
              <w:rPr>
                <w:b/>
                <w:sz w:val="15"/>
              </w:rPr>
              <w:t>116.-</w:t>
            </w:r>
            <w:r>
              <w:rPr>
                <w:b/>
                <w:spacing w:val="7"/>
                <w:sz w:val="15"/>
              </w:rPr>
              <w:t> </w:t>
            </w:r>
            <w:r>
              <w:rPr>
                <w:sz w:val="15"/>
              </w:rPr>
              <w:t>Por</w:t>
            </w:r>
            <w:r>
              <w:rPr>
                <w:spacing w:val="7"/>
                <w:sz w:val="15"/>
              </w:rPr>
              <w:t> </w:t>
            </w:r>
            <w:r>
              <w:rPr>
                <w:sz w:val="15"/>
              </w:rPr>
              <w:t>servicios</w:t>
            </w:r>
            <w:r>
              <w:rPr>
                <w:spacing w:val="7"/>
                <w:sz w:val="15"/>
              </w:rPr>
              <w:t> </w:t>
            </w:r>
            <w:r>
              <w:rPr>
                <w:sz w:val="15"/>
              </w:rPr>
              <w:t>otorgados</w:t>
            </w:r>
            <w:r>
              <w:rPr>
                <w:spacing w:val="7"/>
                <w:sz w:val="15"/>
              </w:rPr>
              <w:t> </w:t>
            </w:r>
            <w:r>
              <w:rPr>
                <w:sz w:val="15"/>
              </w:rPr>
              <w:t>en</w:t>
            </w:r>
            <w:r>
              <w:rPr>
                <w:spacing w:val="7"/>
                <w:sz w:val="15"/>
              </w:rPr>
              <w:t> </w:t>
            </w:r>
            <w:r>
              <w:rPr>
                <w:sz w:val="15"/>
              </w:rPr>
              <w:t>la</w:t>
            </w:r>
            <w:r>
              <w:rPr>
                <w:spacing w:val="8"/>
                <w:sz w:val="15"/>
              </w:rPr>
              <w:t> </w:t>
            </w:r>
            <w:r>
              <w:rPr>
                <w:sz w:val="15"/>
              </w:rPr>
              <w:t>Unidad</w:t>
            </w:r>
            <w:r>
              <w:rPr>
                <w:spacing w:val="7"/>
                <w:sz w:val="15"/>
              </w:rPr>
              <w:t> </w:t>
            </w:r>
            <w:r>
              <w:rPr>
                <w:sz w:val="15"/>
              </w:rPr>
              <w:t>de</w:t>
            </w:r>
            <w:r>
              <w:rPr>
                <w:spacing w:val="-3"/>
                <w:sz w:val="15"/>
              </w:rPr>
              <w:t> </w:t>
            </w:r>
            <w:r>
              <w:rPr>
                <w:sz w:val="15"/>
              </w:rPr>
              <w:t>Acopio</w:t>
            </w:r>
            <w:r>
              <w:rPr>
                <w:spacing w:val="7"/>
                <w:sz w:val="15"/>
              </w:rPr>
              <w:t> </w:t>
            </w:r>
            <w:r>
              <w:rPr>
                <w:sz w:val="15"/>
              </w:rPr>
              <w:t>y</w:t>
            </w:r>
            <w:r>
              <w:rPr>
                <w:spacing w:val="7"/>
                <w:sz w:val="15"/>
              </w:rPr>
              <w:t> </w:t>
            </w:r>
            <w:r>
              <w:rPr>
                <w:sz w:val="15"/>
              </w:rPr>
              <w:t>Salud</w:t>
            </w:r>
            <w:r>
              <w:rPr>
                <w:spacing w:val="-3"/>
                <w:sz w:val="15"/>
              </w:rPr>
              <w:t> </w:t>
            </w:r>
            <w:r>
              <w:rPr>
                <w:sz w:val="15"/>
              </w:rPr>
              <w:t>Animal</w:t>
            </w:r>
            <w:r>
              <w:rPr>
                <w:spacing w:val="7"/>
                <w:sz w:val="15"/>
              </w:rPr>
              <w:t> </w:t>
            </w:r>
            <w:r>
              <w:rPr>
                <w:sz w:val="15"/>
              </w:rPr>
              <w:t>Municipal</w:t>
            </w:r>
            <w:r>
              <w:rPr>
                <w:spacing w:val="7"/>
                <w:sz w:val="15"/>
              </w:rPr>
              <w:t> </w:t>
            </w:r>
            <w:r>
              <w:rPr>
                <w:sz w:val="15"/>
              </w:rPr>
              <w:t>(UNASAM):</w:t>
            </w:r>
          </w:p>
        </w:tc>
      </w:tr>
      <w:tr>
        <w:trPr>
          <w:trHeight w:val="209" w:hRule="atLeast"/>
        </w:trPr>
        <w:tc>
          <w:tcPr>
            <w:tcW w:w="3799" w:type="dxa"/>
          </w:tcPr>
          <w:p>
            <w:pPr>
              <w:pStyle w:val="TableParagraph"/>
              <w:spacing w:before="17"/>
              <w:ind w:left="50"/>
              <w:rPr>
                <w:sz w:val="15"/>
              </w:rPr>
            </w:pPr>
            <w:r>
              <w:rPr>
                <w:sz w:val="15"/>
              </w:rPr>
              <w:t>253. Hidrasec en sobre 30 mg</w:t>
            </w:r>
          </w:p>
        </w:tc>
        <w:tc>
          <w:tcPr>
            <w:tcW w:w="15085" w:type="dxa"/>
            <w:gridSpan w:val="3"/>
          </w:tcPr>
          <w:p>
            <w:pPr>
              <w:pStyle w:val="TableParagraph"/>
              <w:spacing w:before="17"/>
              <w:ind w:left="738"/>
              <w:rPr>
                <w:sz w:val="15"/>
              </w:rPr>
            </w:pPr>
            <w:r>
              <w:rPr>
                <w:sz w:val="15"/>
              </w:rPr>
              <w:t>$12.00</w:t>
            </w:r>
          </w:p>
        </w:tc>
      </w:tr>
      <w:tr>
        <w:trPr>
          <w:trHeight w:val="190" w:hRule="atLeast"/>
        </w:trPr>
        <w:tc>
          <w:tcPr>
            <w:tcW w:w="3799" w:type="dxa"/>
          </w:tcPr>
          <w:p>
            <w:pPr>
              <w:pStyle w:val="TableParagraph"/>
              <w:spacing w:line="153" w:lineRule="exact" w:before="17"/>
              <w:ind w:left="50"/>
              <w:rPr>
                <w:sz w:val="15"/>
              </w:rPr>
            </w:pPr>
            <w:r>
              <w:rPr>
                <w:sz w:val="15"/>
              </w:rPr>
              <w:t>254. Omeprazol</w:t>
            </w:r>
          </w:p>
        </w:tc>
        <w:tc>
          <w:tcPr>
            <w:tcW w:w="15085" w:type="dxa"/>
            <w:gridSpan w:val="3"/>
          </w:tcPr>
          <w:p>
            <w:pPr>
              <w:pStyle w:val="TableParagraph"/>
              <w:tabs>
                <w:tab w:pos="13080" w:val="left" w:leader="none"/>
              </w:tabs>
              <w:spacing w:line="171" w:lineRule="exact"/>
              <w:ind w:left="739"/>
              <w:rPr>
                <w:sz w:val="15"/>
              </w:rPr>
            </w:pPr>
            <w:r>
              <w:rPr>
                <w:position w:val="-1"/>
                <w:sz w:val="15"/>
              </w:rPr>
              <w:t>$40.00</w:t>
              <w:tab/>
            </w:r>
            <w:r>
              <w:rPr>
                <w:spacing w:val="-3"/>
                <w:sz w:val="15"/>
              </w:rPr>
              <w:t>TARIFAS</w:t>
            </w:r>
          </w:p>
        </w:tc>
      </w:tr>
      <w:tr>
        <w:trPr>
          <w:trHeight w:val="229" w:hRule="atLeast"/>
        </w:trPr>
        <w:tc>
          <w:tcPr>
            <w:tcW w:w="3799" w:type="dxa"/>
          </w:tcPr>
          <w:p>
            <w:pPr>
              <w:pStyle w:val="TableParagraph"/>
              <w:spacing w:before="36"/>
              <w:ind w:left="50"/>
              <w:rPr>
                <w:sz w:val="15"/>
              </w:rPr>
            </w:pPr>
            <w:r>
              <w:rPr>
                <w:sz w:val="15"/>
              </w:rPr>
              <w:t>255. Adenosina ampula inyectable 6mg/2ml</w:t>
            </w:r>
          </w:p>
        </w:tc>
        <w:tc>
          <w:tcPr>
            <w:tcW w:w="1259" w:type="dxa"/>
          </w:tcPr>
          <w:p>
            <w:pPr>
              <w:pStyle w:val="TableParagraph"/>
              <w:spacing w:before="36"/>
              <w:ind w:left="-1" w:right="47"/>
              <w:jc w:val="right"/>
              <w:rPr>
                <w:sz w:val="15"/>
              </w:rPr>
            </w:pPr>
            <w:r>
              <w:rPr>
                <w:sz w:val="15"/>
              </w:rPr>
              <w:t>$445.00</w:t>
            </w:r>
          </w:p>
        </w:tc>
        <w:tc>
          <w:tcPr>
            <w:tcW w:w="13826" w:type="dxa"/>
            <w:gridSpan w:val="2"/>
          </w:tcPr>
          <w:p>
            <w:pPr>
              <w:pStyle w:val="TableParagraph"/>
              <w:spacing w:line="156" w:lineRule="exact"/>
              <w:ind w:left="6614"/>
              <w:rPr>
                <w:sz w:val="15"/>
              </w:rPr>
            </w:pPr>
            <w:r>
              <w:rPr>
                <w:sz w:val="15"/>
              </w:rPr>
              <w:t>I. Los servicios que a continuación se indican, conforme a la siguiente:</w:t>
            </w:r>
          </w:p>
        </w:tc>
      </w:tr>
      <w:tr>
        <w:trPr>
          <w:trHeight w:val="238" w:hRule="atLeast"/>
        </w:trPr>
        <w:tc>
          <w:tcPr>
            <w:tcW w:w="3799" w:type="dxa"/>
          </w:tcPr>
          <w:p>
            <w:pPr>
              <w:pStyle w:val="TableParagraph"/>
              <w:spacing w:line="171" w:lineRule="exact"/>
              <w:ind w:left="50"/>
              <w:rPr>
                <w:sz w:val="15"/>
              </w:rPr>
            </w:pPr>
            <w:r>
              <w:rPr>
                <w:sz w:val="15"/>
              </w:rPr>
              <w:t>256. Alfa metildopa tabletas de 250 mg</w:t>
            </w:r>
          </w:p>
        </w:tc>
        <w:tc>
          <w:tcPr>
            <w:tcW w:w="15085" w:type="dxa"/>
            <w:gridSpan w:val="3"/>
          </w:tcPr>
          <w:p>
            <w:pPr>
              <w:pStyle w:val="TableParagraph"/>
              <w:tabs>
                <w:tab w:pos="7872" w:val="left" w:leader="none"/>
                <w:tab w:pos="12258" w:val="left" w:leader="none"/>
              </w:tabs>
              <w:spacing w:line="200" w:lineRule="exact"/>
              <w:ind w:left="652"/>
              <w:rPr>
                <w:sz w:val="15"/>
              </w:rPr>
            </w:pPr>
            <w:r>
              <w:rPr>
                <w:position w:val="9"/>
                <w:sz w:val="15"/>
              </w:rPr>
              <w:t>$329.00</w:t>
              <w:tab/>
            </w:r>
            <w:r>
              <w:rPr>
                <w:sz w:val="15"/>
              </w:rPr>
              <w:t>a)</w:t>
            </w:r>
            <w:r>
              <w:rPr>
                <w:spacing w:val="5"/>
                <w:sz w:val="15"/>
              </w:rPr>
              <w:t> </w:t>
            </w:r>
            <w:r>
              <w:rPr>
                <w:sz w:val="15"/>
              </w:rPr>
              <w:t>Por</w:t>
            </w:r>
            <w:r>
              <w:rPr>
                <w:spacing w:val="5"/>
                <w:sz w:val="15"/>
              </w:rPr>
              <w:t> </w:t>
            </w:r>
            <w:r>
              <w:rPr>
                <w:sz w:val="15"/>
              </w:rPr>
              <w:t>consulta:</w:t>
              <w:tab/>
              <w:t>$122.00</w:t>
            </w:r>
          </w:p>
        </w:tc>
      </w:tr>
      <w:tr>
        <w:trPr>
          <w:trHeight w:val="209" w:hRule="atLeast"/>
        </w:trPr>
        <w:tc>
          <w:tcPr>
            <w:tcW w:w="3799" w:type="dxa"/>
          </w:tcPr>
          <w:p>
            <w:pPr>
              <w:pStyle w:val="TableParagraph"/>
              <w:spacing w:line="161" w:lineRule="exact"/>
              <w:ind w:left="50"/>
              <w:rPr>
                <w:sz w:val="15"/>
              </w:rPr>
            </w:pPr>
            <w:r>
              <w:rPr>
                <w:sz w:val="15"/>
              </w:rPr>
              <w:t>257. Amoxicilina Ac clavulanic solución inyectable 500</w:t>
            </w:r>
          </w:p>
        </w:tc>
        <w:tc>
          <w:tcPr>
            <w:tcW w:w="1259" w:type="dxa"/>
          </w:tcPr>
          <w:p>
            <w:pPr>
              <w:pStyle w:val="TableParagraph"/>
              <w:tabs>
                <w:tab w:pos="737" w:val="left" w:leader="none"/>
              </w:tabs>
              <w:spacing w:line="161" w:lineRule="exact"/>
              <w:ind w:left="-1" w:right="46"/>
              <w:jc w:val="right"/>
              <w:rPr>
                <w:sz w:val="15"/>
              </w:rPr>
            </w:pPr>
            <w:r>
              <w:rPr>
                <w:sz w:val="15"/>
              </w:rPr>
              <w:t>mg</w:t>
              <w:tab/>
            </w:r>
            <w:r>
              <w:rPr>
                <w:spacing w:val="-3"/>
                <w:sz w:val="15"/>
              </w:rPr>
              <w:t>$97.00</w:t>
            </w:r>
          </w:p>
        </w:tc>
        <w:tc>
          <w:tcPr>
            <w:tcW w:w="10909" w:type="dxa"/>
          </w:tcPr>
          <w:p>
            <w:pPr>
              <w:pStyle w:val="TableParagraph"/>
              <w:spacing w:line="143" w:lineRule="exact" w:before="46"/>
              <w:ind w:left="6613"/>
              <w:rPr>
                <w:sz w:val="15"/>
              </w:rPr>
            </w:pPr>
            <w:r>
              <w:rPr>
                <w:sz w:val="15"/>
              </w:rPr>
              <w:t>b) Vacuna Puppy:</w:t>
            </w:r>
          </w:p>
        </w:tc>
        <w:tc>
          <w:tcPr>
            <w:tcW w:w="2917" w:type="dxa"/>
          </w:tcPr>
          <w:p>
            <w:pPr>
              <w:pStyle w:val="TableParagraph"/>
              <w:spacing w:line="143" w:lineRule="exact" w:before="46"/>
              <w:ind w:left="89"/>
              <w:rPr>
                <w:sz w:val="15"/>
              </w:rPr>
            </w:pPr>
            <w:r>
              <w:rPr>
                <w:sz w:val="15"/>
              </w:rPr>
              <w:t>$155.00</w:t>
            </w:r>
          </w:p>
        </w:tc>
      </w:tr>
      <w:tr>
        <w:trPr>
          <w:trHeight w:val="189" w:hRule="atLeast"/>
        </w:trPr>
        <w:tc>
          <w:tcPr>
            <w:tcW w:w="3799" w:type="dxa"/>
          </w:tcPr>
          <w:p>
            <w:pPr>
              <w:pStyle w:val="TableParagraph"/>
              <w:spacing w:line="161" w:lineRule="exact"/>
              <w:ind w:left="50"/>
              <w:rPr>
                <w:sz w:val="15"/>
              </w:rPr>
            </w:pPr>
            <w:r>
              <w:rPr>
                <w:sz w:val="15"/>
              </w:rPr>
              <w:t>258. Amoxicilina solución inyectable 500 mg</w:t>
            </w:r>
          </w:p>
        </w:tc>
        <w:tc>
          <w:tcPr>
            <w:tcW w:w="1259" w:type="dxa"/>
          </w:tcPr>
          <w:p>
            <w:pPr>
              <w:pStyle w:val="TableParagraph"/>
              <w:spacing w:line="161" w:lineRule="exact"/>
              <w:ind w:left="-1" w:right="47"/>
              <w:jc w:val="right"/>
              <w:rPr>
                <w:sz w:val="15"/>
              </w:rPr>
            </w:pPr>
            <w:r>
              <w:rPr>
                <w:sz w:val="15"/>
              </w:rPr>
              <w:t>$48.00</w:t>
            </w:r>
          </w:p>
        </w:tc>
        <w:tc>
          <w:tcPr>
            <w:tcW w:w="10909" w:type="dxa"/>
          </w:tcPr>
          <w:p>
            <w:pPr>
              <w:pStyle w:val="TableParagraph"/>
              <w:spacing w:line="156" w:lineRule="exact" w:before="13"/>
              <w:ind w:left="6613"/>
              <w:rPr>
                <w:sz w:val="15"/>
              </w:rPr>
            </w:pPr>
            <w:r>
              <w:rPr>
                <w:sz w:val="15"/>
              </w:rPr>
              <w:t>c) Vacuna Bordetella:</w:t>
            </w:r>
          </w:p>
        </w:tc>
        <w:tc>
          <w:tcPr>
            <w:tcW w:w="2917" w:type="dxa"/>
          </w:tcPr>
          <w:p>
            <w:pPr>
              <w:pStyle w:val="TableParagraph"/>
              <w:spacing w:line="156" w:lineRule="exact" w:before="13"/>
              <w:ind w:left="89"/>
              <w:rPr>
                <w:sz w:val="15"/>
              </w:rPr>
            </w:pPr>
            <w:r>
              <w:rPr>
                <w:sz w:val="15"/>
              </w:rPr>
              <w:t>$155.00</w:t>
            </w:r>
          </w:p>
        </w:tc>
      </w:tr>
      <w:tr>
        <w:trPr>
          <w:trHeight w:val="180" w:hRule="atLeast"/>
        </w:trPr>
        <w:tc>
          <w:tcPr>
            <w:tcW w:w="3799" w:type="dxa"/>
          </w:tcPr>
          <w:p>
            <w:pPr>
              <w:pStyle w:val="TableParagraph"/>
              <w:spacing w:line="152" w:lineRule="exact" w:before="9"/>
              <w:ind w:left="50"/>
              <w:rPr>
                <w:sz w:val="15"/>
              </w:rPr>
            </w:pPr>
            <w:r>
              <w:rPr>
                <w:sz w:val="15"/>
              </w:rPr>
              <w:t>259. Capropril tabletas 25 mg</w:t>
            </w:r>
          </w:p>
        </w:tc>
        <w:tc>
          <w:tcPr>
            <w:tcW w:w="1259" w:type="dxa"/>
          </w:tcPr>
          <w:p>
            <w:pPr>
              <w:pStyle w:val="TableParagraph"/>
              <w:spacing w:line="152" w:lineRule="exact" w:before="9"/>
              <w:ind w:left="-1" w:right="48"/>
              <w:jc w:val="right"/>
              <w:rPr>
                <w:sz w:val="15"/>
              </w:rPr>
            </w:pPr>
            <w:r>
              <w:rPr>
                <w:sz w:val="15"/>
              </w:rPr>
              <w:t>$5.00</w:t>
            </w:r>
          </w:p>
        </w:tc>
        <w:tc>
          <w:tcPr>
            <w:tcW w:w="10909" w:type="dxa"/>
          </w:tcPr>
          <w:p>
            <w:pPr>
              <w:pStyle w:val="TableParagraph"/>
              <w:spacing w:line="159" w:lineRule="exact" w:before="1"/>
              <w:ind w:left="6613"/>
              <w:rPr>
                <w:sz w:val="15"/>
              </w:rPr>
            </w:pPr>
            <w:r>
              <w:rPr>
                <w:sz w:val="15"/>
              </w:rPr>
              <w:t>d) Vacuna Múltiple:</w:t>
            </w:r>
          </w:p>
        </w:tc>
        <w:tc>
          <w:tcPr>
            <w:tcW w:w="2917" w:type="dxa"/>
          </w:tcPr>
          <w:p>
            <w:pPr>
              <w:pStyle w:val="TableParagraph"/>
              <w:spacing w:line="159" w:lineRule="exact" w:before="1"/>
              <w:ind w:left="89"/>
              <w:rPr>
                <w:sz w:val="15"/>
              </w:rPr>
            </w:pPr>
            <w:r>
              <w:rPr>
                <w:sz w:val="15"/>
              </w:rPr>
              <w:t>$155.00</w:t>
            </w:r>
          </w:p>
        </w:tc>
      </w:tr>
      <w:tr>
        <w:trPr>
          <w:trHeight w:val="230" w:hRule="atLeast"/>
        </w:trPr>
        <w:tc>
          <w:tcPr>
            <w:tcW w:w="3799" w:type="dxa"/>
          </w:tcPr>
          <w:p>
            <w:pPr>
              <w:pStyle w:val="TableParagraph"/>
              <w:spacing w:before="38"/>
              <w:ind w:left="50"/>
              <w:rPr>
                <w:sz w:val="15"/>
              </w:rPr>
            </w:pPr>
            <w:r>
              <w:rPr>
                <w:sz w:val="15"/>
              </w:rPr>
              <w:t>260. Clopidogrel tabletas 75 mg</w:t>
            </w:r>
          </w:p>
        </w:tc>
        <w:tc>
          <w:tcPr>
            <w:tcW w:w="1259" w:type="dxa"/>
          </w:tcPr>
          <w:p>
            <w:pPr>
              <w:pStyle w:val="TableParagraph"/>
              <w:spacing w:before="38"/>
              <w:ind w:left="-1" w:right="47"/>
              <w:jc w:val="right"/>
              <w:rPr>
                <w:sz w:val="15"/>
              </w:rPr>
            </w:pPr>
            <w:r>
              <w:rPr>
                <w:sz w:val="15"/>
              </w:rPr>
              <w:t>$473.00</w:t>
            </w:r>
          </w:p>
        </w:tc>
        <w:tc>
          <w:tcPr>
            <w:tcW w:w="10909" w:type="dxa"/>
          </w:tcPr>
          <w:p>
            <w:pPr>
              <w:pStyle w:val="TableParagraph"/>
              <w:spacing w:line="169" w:lineRule="exact"/>
              <w:ind w:left="6613"/>
              <w:rPr>
                <w:sz w:val="15"/>
              </w:rPr>
            </w:pPr>
            <w:r>
              <w:rPr>
                <w:sz w:val="15"/>
              </w:rPr>
              <w:t>e) Vacuna triple felina:</w:t>
            </w:r>
          </w:p>
        </w:tc>
        <w:tc>
          <w:tcPr>
            <w:tcW w:w="2917" w:type="dxa"/>
          </w:tcPr>
          <w:p>
            <w:pPr>
              <w:pStyle w:val="TableParagraph"/>
              <w:spacing w:line="169" w:lineRule="exact"/>
              <w:ind w:left="89"/>
              <w:rPr>
                <w:sz w:val="15"/>
              </w:rPr>
            </w:pPr>
            <w:r>
              <w:rPr>
                <w:sz w:val="15"/>
              </w:rPr>
              <w:t>$155.00</w:t>
            </w:r>
          </w:p>
        </w:tc>
      </w:tr>
      <w:tr>
        <w:trPr>
          <w:trHeight w:val="209" w:hRule="atLeast"/>
        </w:trPr>
        <w:tc>
          <w:tcPr>
            <w:tcW w:w="3799" w:type="dxa"/>
          </w:tcPr>
          <w:p>
            <w:pPr>
              <w:pStyle w:val="TableParagraph"/>
              <w:spacing w:line="171" w:lineRule="exact"/>
              <w:ind w:left="50"/>
              <w:rPr>
                <w:sz w:val="15"/>
              </w:rPr>
            </w:pPr>
            <w:r>
              <w:rPr>
                <w:sz w:val="15"/>
              </w:rPr>
              <w:t>261. Difenhidramina Jarabe 100 mg</w:t>
            </w:r>
          </w:p>
        </w:tc>
        <w:tc>
          <w:tcPr>
            <w:tcW w:w="15085" w:type="dxa"/>
            <w:gridSpan w:val="3"/>
          </w:tcPr>
          <w:p>
            <w:pPr>
              <w:pStyle w:val="TableParagraph"/>
              <w:tabs>
                <w:tab w:pos="7872" w:val="left" w:leader="none"/>
                <w:tab w:pos="12257" w:val="left" w:leader="none"/>
              </w:tabs>
              <w:spacing w:line="110" w:lineRule="auto"/>
              <w:ind w:left="738"/>
              <w:rPr>
                <w:sz w:val="15"/>
              </w:rPr>
            </w:pPr>
            <w:r>
              <w:rPr>
                <w:position w:val="-6"/>
                <w:sz w:val="15"/>
              </w:rPr>
              <w:t>$40.00</w:t>
              <w:tab/>
            </w:r>
            <w:r>
              <w:rPr>
                <w:sz w:val="15"/>
              </w:rPr>
              <w:t>f) Vacuna virus de</w:t>
            </w:r>
            <w:r>
              <w:rPr>
                <w:spacing w:val="23"/>
                <w:sz w:val="15"/>
              </w:rPr>
              <w:t> </w:t>
            </w:r>
            <w:r>
              <w:rPr>
                <w:sz w:val="15"/>
              </w:rPr>
              <w:t>leucemia</w:t>
            </w:r>
            <w:r>
              <w:rPr>
                <w:spacing w:val="6"/>
                <w:sz w:val="15"/>
              </w:rPr>
              <w:t> </w:t>
            </w:r>
            <w:r>
              <w:rPr>
                <w:sz w:val="15"/>
              </w:rPr>
              <w:t>felina:</w:t>
              <w:tab/>
              <w:t>$155.00</w:t>
            </w:r>
          </w:p>
        </w:tc>
      </w:tr>
      <w:tr>
        <w:trPr>
          <w:trHeight w:val="209" w:hRule="atLeast"/>
        </w:trPr>
        <w:tc>
          <w:tcPr>
            <w:tcW w:w="3799" w:type="dxa"/>
          </w:tcPr>
          <w:p>
            <w:pPr>
              <w:pStyle w:val="TableParagraph"/>
              <w:spacing w:before="17"/>
              <w:ind w:left="50"/>
              <w:rPr>
                <w:sz w:val="15"/>
              </w:rPr>
            </w:pPr>
            <w:r>
              <w:rPr>
                <w:sz w:val="15"/>
              </w:rPr>
              <w:t>262. Difenhidramina capsulas oral mg</w:t>
            </w:r>
          </w:p>
        </w:tc>
        <w:tc>
          <w:tcPr>
            <w:tcW w:w="15085" w:type="dxa"/>
            <w:gridSpan w:val="3"/>
          </w:tcPr>
          <w:p>
            <w:pPr>
              <w:pStyle w:val="TableParagraph"/>
              <w:tabs>
                <w:tab w:pos="7872" w:val="left" w:leader="none"/>
              </w:tabs>
              <w:spacing w:line="86" w:lineRule="auto"/>
              <w:ind w:left="738"/>
              <w:rPr>
                <w:sz w:val="15"/>
              </w:rPr>
            </w:pPr>
            <w:r>
              <w:rPr>
                <w:position w:val="-10"/>
                <w:sz w:val="15"/>
              </w:rPr>
              <w:t>$44.00</w:t>
              <w:tab/>
            </w:r>
            <w:r>
              <w:rPr>
                <w:sz w:val="15"/>
              </w:rPr>
              <w:t>g)</w:t>
            </w:r>
            <w:r>
              <w:rPr>
                <w:spacing w:val="11"/>
                <w:sz w:val="15"/>
              </w:rPr>
              <w:t> </w:t>
            </w:r>
            <w:r>
              <w:rPr>
                <w:sz w:val="15"/>
              </w:rPr>
              <w:t>Cualquiera</w:t>
            </w:r>
            <w:r>
              <w:rPr>
                <w:spacing w:val="12"/>
                <w:sz w:val="15"/>
              </w:rPr>
              <w:t> </w:t>
            </w:r>
            <w:r>
              <w:rPr>
                <w:sz w:val="15"/>
              </w:rPr>
              <w:t>otra</w:t>
            </w:r>
            <w:r>
              <w:rPr>
                <w:spacing w:val="12"/>
                <w:sz w:val="15"/>
              </w:rPr>
              <w:t> </w:t>
            </w:r>
            <w:r>
              <w:rPr>
                <w:sz w:val="15"/>
              </w:rPr>
              <w:t>vacuna</w:t>
            </w:r>
            <w:r>
              <w:rPr>
                <w:spacing w:val="12"/>
                <w:sz w:val="15"/>
              </w:rPr>
              <w:t> </w:t>
            </w:r>
            <w:r>
              <w:rPr>
                <w:sz w:val="15"/>
              </w:rPr>
              <w:t>no</w:t>
            </w:r>
            <w:r>
              <w:rPr>
                <w:spacing w:val="11"/>
                <w:sz w:val="15"/>
              </w:rPr>
              <w:t> </w:t>
            </w:r>
            <w:r>
              <w:rPr>
                <w:sz w:val="15"/>
              </w:rPr>
              <w:t>especificada</w:t>
            </w:r>
            <w:r>
              <w:rPr>
                <w:spacing w:val="10"/>
                <w:sz w:val="15"/>
              </w:rPr>
              <w:t> </w:t>
            </w:r>
            <w:r>
              <w:rPr>
                <w:sz w:val="15"/>
              </w:rPr>
              <w:t>en</w:t>
            </w:r>
            <w:r>
              <w:rPr>
                <w:spacing w:val="12"/>
                <w:sz w:val="15"/>
              </w:rPr>
              <w:t> </w:t>
            </w:r>
            <w:r>
              <w:rPr>
                <w:sz w:val="15"/>
              </w:rPr>
              <w:t>los</w:t>
            </w:r>
            <w:r>
              <w:rPr>
                <w:spacing w:val="12"/>
                <w:sz w:val="15"/>
              </w:rPr>
              <w:t> </w:t>
            </w:r>
            <w:r>
              <w:rPr>
                <w:sz w:val="15"/>
              </w:rPr>
              <w:t>incisos</w:t>
            </w:r>
            <w:r>
              <w:rPr>
                <w:spacing w:val="19"/>
                <w:sz w:val="15"/>
              </w:rPr>
              <w:t> </w:t>
            </w:r>
            <w:r>
              <w:rPr>
                <w:sz w:val="15"/>
              </w:rPr>
              <w:t>$161.00</w:t>
            </w:r>
          </w:p>
          <w:p>
            <w:pPr>
              <w:pStyle w:val="TableParagraph"/>
              <w:spacing w:line="86" w:lineRule="exact"/>
              <w:ind w:left="7539" w:right="6839"/>
              <w:jc w:val="center"/>
              <w:rPr>
                <w:sz w:val="15"/>
              </w:rPr>
            </w:pPr>
            <w:r>
              <w:rPr>
                <w:sz w:val="15"/>
              </w:rPr>
              <w:t>anteriores</w:t>
            </w:r>
          </w:p>
        </w:tc>
      </w:tr>
      <w:tr>
        <w:trPr>
          <w:trHeight w:val="178" w:hRule="atLeast"/>
        </w:trPr>
        <w:tc>
          <w:tcPr>
            <w:tcW w:w="3799" w:type="dxa"/>
          </w:tcPr>
          <w:p>
            <w:pPr>
              <w:pStyle w:val="TableParagraph"/>
              <w:spacing w:line="121" w:lineRule="exact"/>
              <w:ind w:left="50"/>
              <w:rPr>
                <w:sz w:val="15"/>
              </w:rPr>
            </w:pPr>
            <w:r>
              <w:rPr>
                <w:sz w:val="15"/>
              </w:rPr>
              <w:t>263. Difenhidramina solución inyectable</w:t>
            </w:r>
          </w:p>
        </w:tc>
        <w:tc>
          <w:tcPr>
            <w:tcW w:w="1259" w:type="dxa"/>
          </w:tcPr>
          <w:p>
            <w:pPr>
              <w:pStyle w:val="TableParagraph"/>
              <w:spacing w:line="121" w:lineRule="exact"/>
              <w:ind w:left="-1" w:right="47"/>
              <w:jc w:val="right"/>
              <w:rPr>
                <w:sz w:val="15"/>
              </w:rPr>
            </w:pPr>
            <w:r>
              <w:rPr>
                <w:sz w:val="15"/>
              </w:rPr>
              <w:t>$105.00</w:t>
            </w:r>
          </w:p>
        </w:tc>
        <w:tc>
          <w:tcPr>
            <w:tcW w:w="10909" w:type="dxa"/>
          </w:tcPr>
          <w:p>
            <w:pPr>
              <w:pStyle w:val="TableParagraph"/>
              <w:spacing w:line="140" w:lineRule="exact"/>
              <w:ind w:left="6613"/>
              <w:rPr>
                <w:sz w:val="15"/>
              </w:rPr>
            </w:pPr>
            <w:r>
              <w:rPr>
                <w:sz w:val="15"/>
              </w:rPr>
              <w:t>h) Desparasitación en cachorros</w:t>
            </w:r>
          </w:p>
        </w:tc>
        <w:tc>
          <w:tcPr>
            <w:tcW w:w="2917" w:type="dxa"/>
          </w:tcPr>
          <w:p>
            <w:pPr>
              <w:pStyle w:val="TableParagraph"/>
              <w:spacing w:line="140" w:lineRule="exact"/>
              <w:ind w:left="174"/>
              <w:rPr>
                <w:sz w:val="15"/>
              </w:rPr>
            </w:pPr>
            <w:r>
              <w:rPr>
                <w:sz w:val="15"/>
              </w:rPr>
              <w:t>$43.00</w:t>
            </w:r>
          </w:p>
        </w:tc>
      </w:tr>
      <w:tr>
        <w:trPr>
          <w:trHeight w:val="178" w:hRule="atLeast"/>
        </w:trPr>
        <w:tc>
          <w:tcPr>
            <w:tcW w:w="3799" w:type="dxa"/>
          </w:tcPr>
          <w:p>
            <w:pPr>
              <w:pStyle w:val="TableParagraph"/>
              <w:spacing w:line="159" w:lineRule="exact"/>
              <w:ind w:left="50"/>
              <w:rPr>
                <w:sz w:val="15"/>
              </w:rPr>
            </w:pPr>
            <w:r>
              <w:rPr>
                <w:sz w:val="15"/>
              </w:rPr>
              <w:t>264. Epinefrina Racemica para nebulizar</w:t>
            </w:r>
          </w:p>
        </w:tc>
        <w:tc>
          <w:tcPr>
            <w:tcW w:w="1259" w:type="dxa"/>
          </w:tcPr>
          <w:p>
            <w:pPr>
              <w:pStyle w:val="TableParagraph"/>
              <w:spacing w:line="159" w:lineRule="exact"/>
              <w:ind w:left="-1" w:right="47"/>
              <w:jc w:val="right"/>
              <w:rPr>
                <w:sz w:val="15"/>
              </w:rPr>
            </w:pPr>
            <w:r>
              <w:rPr>
                <w:sz w:val="15"/>
              </w:rPr>
              <w:t>$109.00</w:t>
            </w:r>
          </w:p>
        </w:tc>
        <w:tc>
          <w:tcPr>
            <w:tcW w:w="10909" w:type="dxa"/>
          </w:tcPr>
          <w:p>
            <w:pPr>
              <w:pStyle w:val="TableParagraph"/>
              <w:spacing w:line="156" w:lineRule="exact" w:before="2"/>
              <w:ind w:left="6613"/>
              <w:rPr>
                <w:sz w:val="15"/>
              </w:rPr>
            </w:pPr>
            <w:r>
              <w:rPr>
                <w:sz w:val="15"/>
              </w:rPr>
              <w:t>i) Desparasitación en perros adultos conforme a lo siguiente:</w:t>
            </w:r>
          </w:p>
        </w:tc>
        <w:tc>
          <w:tcPr>
            <w:tcW w:w="2917" w:type="dxa"/>
          </w:tcPr>
          <w:p>
            <w:pPr>
              <w:pStyle w:val="TableParagraph"/>
              <w:rPr>
                <w:rFonts w:ascii="Times New Roman"/>
                <w:sz w:val="12"/>
              </w:rPr>
            </w:pPr>
          </w:p>
        </w:tc>
      </w:tr>
      <w:tr>
        <w:trPr>
          <w:trHeight w:val="222" w:hRule="atLeast"/>
        </w:trPr>
        <w:tc>
          <w:tcPr>
            <w:tcW w:w="3799" w:type="dxa"/>
          </w:tcPr>
          <w:p>
            <w:pPr>
              <w:pStyle w:val="TableParagraph"/>
              <w:spacing w:before="30"/>
              <w:ind w:left="50"/>
              <w:rPr>
                <w:sz w:val="15"/>
              </w:rPr>
            </w:pPr>
            <w:r>
              <w:rPr>
                <w:sz w:val="15"/>
              </w:rPr>
              <w:t>265. Flumazenilampula con 0.5mg/ml</w:t>
            </w:r>
          </w:p>
        </w:tc>
        <w:tc>
          <w:tcPr>
            <w:tcW w:w="1259" w:type="dxa"/>
          </w:tcPr>
          <w:p>
            <w:pPr>
              <w:pStyle w:val="TableParagraph"/>
              <w:spacing w:before="30"/>
              <w:ind w:left="-1" w:right="46"/>
              <w:jc w:val="right"/>
              <w:rPr>
                <w:sz w:val="15"/>
              </w:rPr>
            </w:pPr>
            <w:r>
              <w:rPr>
                <w:sz w:val="15"/>
              </w:rPr>
              <w:t>$281.00</w:t>
            </w:r>
          </w:p>
        </w:tc>
        <w:tc>
          <w:tcPr>
            <w:tcW w:w="10909" w:type="dxa"/>
          </w:tcPr>
          <w:p>
            <w:pPr>
              <w:pStyle w:val="TableParagraph"/>
              <w:spacing w:before="1"/>
              <w:ind w:left="6613"/>
              <w:rPr>
                <w:sz w:val="15"/>
              </w:rPr>
            </w:pPr>
            <w:r>
              <w:rPr>
                <w:sz w:val="15"/>
              </w:rPr>
              <w:t>1. Hasta 10 kg., de peso</w:t>
            </w:r>
          </w:p>
        </w:tc>
        <w:tc>
          <w:tcPr>
            <w:tcW w:w="2917" w:type="dxa"/>
          </w:tcPr>
          <w:p>
            <w:pPr>
              <w:pStyle w:val="TableParagraph"/>
              <w:spacing w:before="1"/>
              <w:ind w:left="175"/>
              <w:rPr>
                <w:sz w:val="15"/>
              </w:rPr>
            </w:pPr>
            <w:r>
              <w:rPr>
                <w:sz w:val="15"/>
              </w:rPr>
              <w:t>$43.00</w:t>
            </w:r>
          </w:p>
        </w:tc>
      </w:tr>
      <w:tr>
        <w:trPr>
          <w:trHeight w:val="209" w:hRule="atLeast"/>
        </w:trPr>
        <w:tc>
          <w:tcPr>
            <w:tcW w:w="3799" w:type="dxa"/>
          </w:tcPr>
          <w:p>
            <w:pPr>
              <w:pStyle w:val="TableParagraph"/>
              <w:spacing w:line="171" w:lineRule="exact"/>
              <w:ind w:left="50"/>
              <w:rPr>
                <w:sz w:val="15"/>
              </w:rPr>
            </w:pPr>
            <w:r>
              <w:rPr>
                <w:sz w:val="15"/>
              </w:rPr>
              <w:t>266. Hidralazina tabletas 50 mg</w:t>
            </w:r>
          </w:p>
        </w:tc>
        <w:tc>
          <w:tcPr>
            <w:tcW w:w="15085" w:type="dxa"/>
            <w:gridSpan w:val="3"/>
          </w:tcPr>
          <w:p>
            <w:pPr>
              <w:pStyle w:val="TableParagraph"/>
              <w:tabs>
                <w:tab w:pos="7872" w:val="left" w:leader="none"/>
                <w:tab w:pos="12343" w:val="left" w:leader="none"/>
              </w:tabs>
              <w:spacing w:line="132" w:lineRule="auto"/>
              <w:ind w:left="652"/>
              <w:rPr>
                <w:sz w:val="15"/>
              </w:rPr>
            </w:pPr>
            <w:r>
              <w:rPr>
                <w:position w:val="-5"/>
                <w:sz w:val="15"/>
              </w:rPr>
              <w:t>$119.00</w:t>
              <w:tab/>
            </w:r>
            <w:r>
              <w:rPr>
                <w:sz w:val="15"/>
              </w:rPr>
              <w:t>2. De más de 10 kg., hasta 20 kg., </w:t>
            </w:r>
            <w:r>
              <w:rPr>
                <w:spacing w:val="7"/>
                <w:sz w:val="15"/>
              </w:rPr>
              <w:t> </w:t>
            </w:r>
            <w:r>
              <w:rPr>
                <w:sz w:val="15"/>
              </w:rPr>
              <w:t>de</w:t>
            </w:r>
            <w:r>
              <w:rPr>
                <w:spacing w:val="5"/>
                <w:sz w:val="15"/>
              </w:rPr>
              <w:t> </w:t>
            </w:r>
            <w:r>
              <w:rPr>
                <w:sz w:val="15"/>
              </w:rPr>
              <w:t>peso:</w:t>
              <w:tab/>
              <w:t>$86.00</w:t>
            </w:r>
          </w:p>
        </w:tc>
      </w:tr>
      <w:tr>
        <w:trPr>
          <w:trHeight w:val="209" w:hRule="atLeast"/>
        </w:trPr>
        <w:tc>
          <w:tcPr>
            <w:tcW w:w="3799" w:type="dxa"/>
          </w:tcPr>
          <w:p>
            <w:pPr>
              <w:pStyle w:val="TableParagraph"/>
              <w:spacing w:before="17"/>
              <w:ind w:left="50"/>
              <w:rPr>
                <w:sz w:val="15"/>
              </w:rPr>
            </w:pPr>
            <w:r>
              <w:rPr>
                <w:sz w:val="15"/>
              </w:rPr>
              <w:t>267. Insulina acción rápida</w:t>
            </w:r>
          </w:p>
        </w:tc>
        <w:tc>
          <w:tcPr>
            <w:tcW w:w="15085" w:type="dxa"/>
            <w:gridSpan w:val="3"/>
          </w:tcPr>
          <w:p>
            <w:pPr>
              <w:pStyle w:val="TableParagraph"/>
              <w:tabs>
                <w:tab w:pos="7872" w:val="left" w:leader="none"/>
                <w:tab w:pos="12258" w:val="left" w:leader="none"/>
              </w:tabs>
              <w:spacing w:line="108" w:lineRule="auto"/>
              <w:ind w:left="652"/>
              <w:rPr>
                <w:sz w:val="15"/>
              </w:rPr>
            </w:pPr>
            <w:r>
              <w:rPr>
                <w:position w:val="-8"/>
                <w:sz w:val="15"/>
              </w:rPr>
              <w:t>$212.00</w:t>
              <w:tab/>
            </w:r>
            <w:r>
              <w:rPr>
                <w:sz w:val="15"/>
              </w:rPr>
              <w:t>3. De más de 20 kg.,</w:t>
            </w:r>
            <w:r>
              <w:rPr>
                <w:spacing w:val="31"/>
                <w:sz w:val="15"/>
              </w:rPr>
              <w:t> </w:t>
            </w:r>
            <w:r>
              <w:rPr>
                <w:sz w:val="15"/>
              </w:rPr>
              <w:t>de</w:t>
            </w:r>
            <w:r>
              <w:rPr>
                <w:spacing w:val="4"/>
                <w:sz w:val="15"/>
              </w:rPr>
              <w:t> </w:t>
            </w:r>
            <w:r>
              <w:rPr>
                <w:sz w:val="15"/>
              </w:rPr>
              <w:t>peso:</w:t>
              <w:tab/>
              <w:t>$129.00</w:t>
            </w:r>
          </w:p>
          <w:p>
            <w:pPr>
              <w:pStyle w:val="TableParagraph"/>
              <w:tabs>
                <w:tab w:pos="12259" w:val="left" w:leader="none"/>
              </w:tabs>
              <w:spacing w:line="70" w:lineRule="exact"/>
              <w:ind w:left="7872"/>
              <w:rPr>
                <w:sz w:val="15"/>
              </w:rPr>
            </w:pPr>
            <w:r>
              <w:rPr>
                <w:sz w:val="15"/>
              </w:rPr>
              <w:t>4. De más de 40kg.,</w:t>
            </w:r>
            <w:r>
              <w:rPr>
                <w:spacing w:val="31"/>
                <w:sz w:val="15"/>
              </w:rPr>
              <w:t> </w:t>
            </w:r>
            <w:r>
              <w:rPr>
                <w:sz w:val="15"/>
              </w:rPr>
              <w:t>de</w:t>
            </w:r>
            <w:r>
              <w:rPr>
                <w:spacing w:val="5"/>
                <w:sz w:val="15"/>
              </w:rPr>
              <w:t> </w:t>
            </w:r>
            <w:r>
              <w:rPr>
                <w:sz w:val="15"/>
              </w:rPr>
              <w:t>peso:</w:t>
              <w:tab/>
              <w:t>$169.00</w:t>
            </w:r>
          </w:p>
        </w:tc>
      </w:tr>
      <w:tr>
        <w:trPr>
          <w:trHeight w:val="206" w:hRule="atLeast"/>
        </w:trPr>
        <w:tc>
          <w:tcPr>
            <w:tcW w:w="3799" w:type="dxa"/>
          </w:tcPr>
          <w:p>
            <w:pPr>
              <w:pStyle w:val="TableParagraph"/>
              <w:spacing w:line="142" w:lineRule="exact"/>
              <w:ind w:left="50"/>
              <w:rPr>
                <w:sz w:val="15"/>
              </w:rPr>
            </w:pPr>
            <w:r>
              <w:rPr>
                <w:sz w:val="15"/>
              </w:rPr>
              <w:t>268. Insulina</w:t>
            </w:r>
          </w:p>
        </w:tc>
        <w:tc>
          <w:tcPr>
            <w:tcW w:w="1259" w:type="dxa"/>
          </w:tcPr>
          <w:p>
            <w:pPr>
              <w:pStyle w:val="TableParagraph"/>
              <w:spacing w:line="142" w:lineRule="exact"/>
              <w:ind w:left="-1" w:right="47"/>
              <w:jc w:val="right"/>
              <w:rPr>
                <w:sz w:val="15"/>
              </w:rPr>
            </w:pPr>
            <w:r>
              <w:rPr>
                <w:sz w:val="15"/>
              </w:rPr>
              <w:t>$218.00</w:t>
            </w:r>
          </w:p>
        </w:tc>
        <w:tc>
          <w:tcPr>
            <w:tcW w:w="13826" w:type="dxa"/>
            <w:gridSpan w:val="2"/>
          </w:tcPr>
          <w:p>
            <w:pPr>
              <w:pStyle w:val="TableParagraph"/>
              <w:spacing w:line="147" w:lineRule="exact" w:before="19"/>
              <w:ind w:left="6613"/>
              <w:rPr>
                <w:sz w:val="15"/>
              </w:rPr>
            </w:pPr>
            <w:r>
              <w:rPr>
                <w:sz w:val="15"/>
              </w:rPr>
              <w:t>j) Eutanasia a instancia de parte interesada, para perros o</w:t>
            </w:r>
          </w:p>
        </w:tc>
      </w:tr>
      <w:tr>
        <w:trPr>
          <w:trHeight w:val="182" w:hRule="atLeast"/>
        </w:trPr>
        <w:tc>
          <w:tcPr>
            <w:tcW w:w="3799" w:type="dxa"/>
          </w:tcPr>
          <w:p>
            <w:pPr>
              <w:pStyle w:val="TableParagraph"/>
              <w:spacing w:line="162" w:lineRule="exact"/>
              <w:ind w:left="50"/>
              <w:rPr>
                <w:sz w:val="15"/>
              </w:rPr>
            </w:pPr>
            <w:r>
              <w:rPr>
                <w:sz w:val="15"/>
              </w:rPr>
              <w:t>269. Isosorbide 10mg vía oral</w:t>
            </w:r>
          </w:p>
        </w:tc>
        <w:tc>
          <w:tcPr>
            <w:tcW w:w="1259" w:type="dxa"/>
          </w:tcPr>
          <w:p>
            <w:pPr>
              <w:pStyle w:val="TableParagraph"/>
              <w:spacing w:line="162" w:lineRule="exact"/>
              <w:ind w:left="-1" w:right="47"/>
              <w:jc w:val="right"/>
              <w:rPr>
                <w:sz w:val="15"/>
              </w:rPr>
            </w:pPr>
            <w:r>
              <w:rPr>
                <w:sz w:val="15"/>
              </w:rPr>
              <w:t>$48.00</w:t>
            </w:r>
          </w:p>
        </w:tc>
        <w:tc>
          <w:tcPr>
            <w:tcW w:w="13826" w:type="dxa"/>
            <w:gridSpan w:val="2"/>
          </w:tcPr>
          <w:p>
            <w:pPr>
              <w:pStyle w:val="TableParagraph"/>
              <w:spacing w:line="153" w:lineRule="exact" w:before="9"/>
              <w:ind w:left="6279" w:right="7098"/>
              <w:jc w:val="center"/>
              <w:rPr>
                <w:sz w:val="15"/>
              </w:rPr>
            </w:pPr>
            <w:r>
              <w:rPr>
                <w:sz w:val="15"/>
              </w:rPr>
              <w:t>gatos:</w:t>
            </w:r>
          </w:p>
        </w:tc>
      </w:tr>
      <w:tr>
        <w:trPr>
          <w:trHeight w:val="212" w:hRule="atLeast"/>
        </w:trPr>
        <w:tc>
          <w:tcPr>
            <w:tcW w:w="3799" w:type="dxa"/>
          </w:tcPr>
          <w:p>
            <w:pPr>
              <w:pStyle w:val="TableParagraph"/>
              <w:spacing w:before="14"/>
              <w:ind w:left="50"/>
              <w:rPr>
                <w:sz w:val="15"/>
              </w:rPr>
            </w:pPr>
            <w:r>
              <w:rPr>
                <w:sz w:val="15"/>
              </w:rPr>
              <w:t>270. Isosorbidespray</w:t>
            </w:r>
          </w:p>
        </w:tc>
        <w:tc>
          <w:tcPr>
            <w:tcW w:w="1259" w:type="dxa"/>
          </w:tcPr>
          <w:p>
            <w:pPr>
              <w:pStyle w:val="TableParagraph"/>
              <w:spacing w:before="14"/>
              <w:ind w:left="-1" w:right="47"/>
              <w:jc w:val="right"/>
              <w:rPr>
                <w:sz w:val="15"/>
              </w:rPr>
            </w:pPr>
            <w:r>
              <w:rPr>
                <w:sz w:val="15"/>
              </w:rPr>
              <w:t>$352.00</w:t>
            </w:r>
          </w:p>
        </w:tc>
        <w:tc>
          <w:tcPr>
            <w:tcW w:w="10909" w:type="dxa"/>
          </w:tcPr>
          <w:p>
            <w:pPr>
              <w:pStyle w:val="TableParagraph"/>
              <w:spacing w:line="171" w:lineRule="exact"/>
              <w:ind w:left="6613"/>
              <w:rPr>
                <w:sz w:val="15"/>
              </w:rPr>
            </w:pPr>
            <w:r>
              <w:rPr>
                <w:sz w:val="15"/>
              </w:rPr>
              <w:t>1.- Menos de 20 kg. de peso del animal:</w:t>
            </w:r>
          </w:p>
        </w:tc>
        <w:tc>
          <w:tcPr>
            <w:tcW w:w="2917" w:type="dxa"/>
          </w:tcPr>
          <w:p>
            <w:pPr>
              <w:pStyle w:val="TableParagraph"/>
              <w:spacing w:line="171" w:lineRule="exact"/>
              <w:ind w:left="90"/>
              <w:rPr>
                <w:sz w:val="15"/>
              </w:rPr>
            </w:pPr>
            <w:r>
              <w:rPr>
                <w:sz w:val="15"/>
              </w:rPr>
              <w:t>$146.00</w:t>
            </w:r>
          </w:p>
        </w:tc>
      </w:tr>
      <w:tr>
        <w:trPr>
          <w:trHeight w:val="209" w:hRule="atLeast"/>
        </w:trPr>
        <w:tc>
          <w:tcPr>
            <w:tcW w:w="3799" w:type="dxa"/>
          </w:tcPr>
          <w:p>
            <w:pPr>
              <w:pStyle w:val="TableParagraph"/>
              <w:spacing w:line="171" w:lineRule="exact"/>
              <w:ind w:left="50"/>
              <w:rPr>
                <w:sz w:val="15"/>
              </w:rPr>
            </w:pPr>
            <w:r>
              <w:rPr>
                <w:sz w:val="15"/>
              </w:rPr>
              <w:t>271. Isosorbide sublingual 5mg e intravenosa</w:t>
            </w:r>
          </w:p>
        </w:tc>
        <w:tc>
          <w:tcPr>
            <w:tcW w:w="15085" w:type="dxa"/>
            <w:gridSpan w:val="3"/>
          </w:tcPr>
          <w:p>
            <w:pPr>
              <w:pStyle w:val="TableParagraph"/>
              <w:tabs>
                <w:tab w:pos="7872" w:val="left" w:leader="none"/>
              </w:tabs>
              <w:spacing w:line="153" w:lineRule="auto"/>
              <w:ind w:left="652"/>
              <w:rPr>
                <w:sz w:val="15"/>
              </w:rPr>
            </w:pPr>
            <w:r>
              <w:rPr>
                <w:position w:val="-4"/>
                <w:sz w:val="15"/>
              </w:rPr>
              <w:t>$122.00</w:t>
              <w:tab/>
            </w:r>
            <w:r>
              <w:rPr>
                <w:sz w:val="15"/>
              </w:rPr>
              <w:t>2.- Más de 20 kilogramosy hasta 40 kg de peso del</w:t>
            </w:r>
            <w:r>
              <w:rPr>
                <w:spacing w:val="20"/>
                <w:sz w:val="15"/>
              </w:rPr>
              <w:t> </w:t>
            </w:r>
            <w:r>
              <w:rPr>
                <w:sz w:val="15"/>
              </w:rPr>
              <w:t>animal:</w:t>
            </w:r>
          </w:p>
        </w:tc>
      </w:tr>
      <w:tr>
        <w:trPr>
          <w:trHeight w:val="209" w:hRule="atLeast"/>
        </w:trPr>
        <w:tc>
          <w:tcPr>
            <w:tcW w:w="3799" w:type="dxa"/>
          </w:tcPr>
          <w:p>
            <w:pPr>
              <w:pStyle w:val="TableParagraph"/>
              <w:spacing w:before="17"/>
              <w:ind w:left="50"/>
              <w:rPr>
                <w:sz w:val="15"/>
              </w:rPr>
            </w:pPr>
            <w:r>
              <w:rPr>
                <w:sz w:val="15"/>
              </w:rPr>
              <w:t>272. KetaminaFco. Ampulas 500 mg.</w:t>
            </w:r>
          </w:p>
        </w:tc>
        <w:tc>
          <w:tcPr>
            <w:tcW w:w="15085" w:type="dxa"/>
            <w:gridSpan w:val="3"/>
          </w:tcPr>
          <w:p>
            <w:pPr>
              <w:pStyle w:val="TableParagraph"/>
              <w:tabs>
                <w:tab w:pos="12257" w:val="left" w:leader="none"/>
              </w:tabs>
              <w:spacing w:line="129" w:lineRule="auto"/>
              <w:ind w:left="739"/>
              <w:rPr>
                <w:sz w:val="15"/>
              </w:rPr>
            </w:pPr>
            <w:r>
              <w:rPr>
                <w:position w:val="-7"/>
                <w:sz w:val="15"/>
              </w:rPr>
              <w:t>$72.00</w:t>
              <w:tab/>
            </w:r>
            <w:r>
              <w:rPr>
                <w:sz w:val="15"/>
              </w:rPr>
              <w:t>$207.00</w:t>
            </w:r>
          </w:p>
        </w:tc>
      </w:tr>
      <w:tr>
        <w:trPr>
          <w:trHeight w:val="190" w:hRule="atLeast"/>
        </w:trPr>
        <w:tc>
          <w:tcPr>
            <w:tcW w:w="3799" w:type="dxa"/>
          </w:tcPr>
          <w:p>
            <w:pPr>
              <w:pStyle w:val="TableParagraph"/>
              <w:spacing w:line="153" w:lineRule="exact" w:before="17"/>
              <w:ind w:left="50"/>
              <w:rPr>
                <w:sz w:val="15"/>
              </w:rPr>
            </w:pPr>
            <w:r>
              <w:rPr>
                <w:sz w:val="15"/>
              </w:rPr>
              <w:t>273. Metroprolol tabletas 100 mg</w:t>
            </w:r>
          </w:p>
        </w:tc>
        <w:tc>
          <w:tcPr>
            <w:tcW w:w="15085" w:type="dxa"/>
            <w:gridSpan w:val="3"/>
          </w:tcPr>
          <w:p>
            <w:pPr>
              <w:pStyle w:val="TableParagraph"/>
              <w:tabs>
                <w:tab w:pos="7872" w:val="left" w:leader="none"/>
                <w:tab w:pos="12257" w:val="left" w:leader="none"/>
              </w:tabs>
              <w:spacing w:line="74" w:lineRule="auto"/>
              <w:ind w:left="738"/>
              <w:rPr>
                <w:sz w:val="15"/>
              </w:rPr>
            </w:pPr>
            <w:r>
              <w:rPr>
                <w:position w:val="-10"/>
                <w:sz w:val="15"/>
              </w:rPr>
              <w:t>$56.00</w:t>
              <w:tab/>
            </w:r>
            <w:r>
              <w:rPr>
                <w:sz w:val="15"/>
              </w:rPr>
              <w:t>3.-  40 kg. de peso del animal</w:t>
            </w:r>
            <w:r>
              <w:rPr>
                <w:spacing w:val="39"/>
                <w:sz w:val="15"/>
              </w:rPr>
              <w:t> </w:t>
            </w:r>
            <w:r>
              <w:rPr>
                <w:sz w:val="15"/>
              </w:rPr>
              <w:t>o</w:t>
            </w:r>
            <w:r>
              <w:rPr>
                <w:spacing w:val="5"/>
                <w:sz w:val="15"/>
              </w:rPr>
              <w:t> </w:t>
            </w:r>
            <w:r>
              <w:rPr>
                <w:sz w:val="15"/>
              </w:rPr>
              <w:t>más</w:t>
              <w:tab/>
              <w:t>$255.00</w:t>
            </w:r>
          </w:p>
          <w:p>
            <w:pPr>
              <w:pStyle w:val="TableParagraph"/>
              <w:spacing w:line="83" w:lineRule="exact"/>
              <w:ind w:left="7872"/>
              <w:rPr>
                <w:sz w:val="15"/>
              </w:rPr>
            </w:pPr>
            <w:r>
              <w:rPr>
                <w:sz w:val="15"/>
              </w:rPr>
              <w:t>k) Esterilización (incluidas sus curaciones normales), por</w:t>
            </w:r>
          </w:p>
        </w:tc>
      </w:tr>
    </w:tbl>
    <w:p>
      <w:pPr>
        <w:spacing w:after="0" w:line="83" w:lineRule="exact"/>
        <w:rPr>
          <w:sz w:val="15"/>
        </w:rPr>
        <w:sectPr>
          <w:headerReference w:type="default" r:id="rId106"/>
          <w:pgSz w:w="23250" w:h="15310" w:orient="landscape"/>
          <w:pgMar w:header="881" w:footer="499" w:top="1920" w:bottom="680" w:left="1880" w:right="1520"/>
        </w:sectPr>
      </w:pPr>
    </w:p>
    <w:p>
      <w:pPr>
        <w:pStyle w:val="ListParagraph"/>
        <w:numPr>
          <w:ilvl w:val="1"/>
          <w:numId w:val="165"/>
        </w:numPr>
        <w:tabs>
          <w:tab w:pos="891" w:val="left" w:leader="none"/>
          <w:tab w:pos="4950" w:val="left" w:leader="none"/>
        </w:tabs>
        <w:spacing w:line="240" w:lineRule="auto" w:before="36" w:after="0"/>
        <w:ind w:left="890" w:right="0" w:hanging="343"/>
        <w:jc w:val="left"/>
        <w:rPr>
          <w:sz w:val="15"/>
        </w:rPr>
      </w:pPr>
      <w:r>
        <w:rPr>
          <w:sz w:val="15"/>
        </w:rPr>
        <w:t>Naloxona</w:t>
      </w:r>
      <w:r>
        <w:rPr>
          <w:spacing w:val="15"/>
          <w:sz w:val="15"/>
        </w:rPr>
        <w:t> </w:t>
      </w:r>
      <w:r>
        <w:rPr>
          <w:sz w:val="15"/>
        </w:rPr>
        <w:t>4mg/ml</w:t>
        <w:tab/>
        <w:t>$218.00</w:t>
      </w:r>
    </w:p>
    <w:p>
      <w:pPr>
        <w:pStyle w:val="ListParagraph"/>
        <w:numPr>
          <w:ilvl w:val="1"/>
          <w:numId w:val="165"/>
        </w:numPr>
        <w:tabs>
          <w:tab w:pos="891" w:val="left" w:leader="none"/>
          <w:tab w:pos="5035" w:val="left" w:leader="none"/>
        </w:tabs>
        <w:spacing w:line="240" w:lineRule="auto" w:before="38" w:after="0"/>
        <w:ind w:left="890" w:right="0" w:hanging="343"/>
        <w:jc w:val="left"/>
        <w:rPr>
          <w:sz w:val="15"/>
        </w:rPr>
      </w:pPr>
      <w:r>
        <w:rPr>
          <w:sz w:val="15"/>
        </w:rPr>
        <w:t>Nifedipino 300 mg y 10 </w:t>
      </w:r>
      <w:r>
        <w:rPr>
          <w:spacing w:val="6"/>
          <w:sz w:val="15"/>
        </w:rPr>
        <w:t> </w:t>
      </w:r>
      <w:r>
        <w:rPr>
          <w:sz w:val="15"/>
        </w:rPr>
        <w:t>mg</w:t>
      </w:r>
      <w:r>
        <w:rPr>
          <w:spacing w:val="10"/>
          <w:sz w:val="15"/>
        </w:rPr>
        <w:t> </w:t>
      </w:r>
      <w:r>
        <w:rPr>
          <w:sz w:val="15"/>
        </w:rPr>
        <w:t>tabletas</w:t>
        <w:tab/>
        <w:t>$56.00</w:t>
      </w:r>
    </w:p>
    <w:p>
      <w:pPr>
        <w:pStyle w:val="ListParagraph"/>
        <w:numPr>
          <w:ilvl w:val="1"/>
          <w:numId w:val="165"/>
        </w:numPr>
        <w:tabs>
          <w:tab w:pos="891" w:val="left" w:leader="none"/>
          <w:tab w:pos="5035" w:val="left" w:leader="none"/>
        </w:tabs>
        <w:spacing w:line="240" w:lineRule="auto" w:before="37" w:after="0"/>
        <w:ind w:left="890" w:right="0" w:hanging="343"/>
        <w:jc w:val="left"/>
        <w:rPr>
          <w:sz w:val="15"/>
        </w:rPr>
      </w:pPr>
      <w:r>
        <w:rPr>
          <w:sz w:val="15"/>
        </w:rPr>
        <w:t>Norepinefrina solución inyectable </w:t>
      </w:r>
      <w:r>
        <w:rPr>
          <w:spacing w:val="6"/>
          <w:sz w:val="15"/>
        </w:rPr>
        <w:t> </w:t>
      </w:r>
      <w:r>
        <w:rPr>
          <w:sz w:val="15"/>
        </w:rPr>
        <w:t>4</w:t>
      </w:r>
      <w:r>
        <w:rPr>
          <w:spacing w:val="16"/>
          <w:sz w:val="15"/>
        </w:rPr>
        <w:t> </w:t>
      </w:r>
      <w:r>
        <w:rPr>
          <w:sz w:val="15"/>
        </w:rPr>
        <w:t>ml-4mg</w:t>
        <w:tab/>
        <w:t>$76.00</w:t>
      </w:r>
    </w:p>
    <w:p>
      <w:pPr>
        <w:pStyle w:val="BodyText"/>
        <w:tabs>
          <w:tab w:pos="5340" w:val="left" w:leader="none"/>
        </w:tabs>
        <w:spacing w:before="66"/>
        <w:ind w:left="548"/>
      </w:pPr>
      <w:r>
        <w:rPr/>
        <w:br w:type="column"/>
      </w:r>
      <w:r>
        <w:rPr/>
        <w:t>cada</w:t>
      </w:r>
      <w:r>
        <w:rPr>
          <w:spacing w:val="7"/>
        </w:rPr>
        <w:t> </w:t>
      </w:r>
      <w:r>
        <w:rPr/>
        <w:t>animal:</w:t>
        <w:tab/>
        <w:t>$67.00</w:t>
      </w:r>
    </w:p>
    <w:p>
      <w:pPr>
        <w:pStyle w:val="BodyText"/>
        <w:spacing w:before="9"/>
      </w:pPr>
    </w:p>
    <w:p>
      <w:pPr>
        <w:pStyle w:val="BodyText"/>
        <w:ind w:left="869"/>
      </w:pPr>
      <w:r>
        <w:rPr/>
        <w:t>1.- Costo de procedimiento quirúrgico, anestésico y material</w:t>
      </w:r>
    </w:p>
    <w:p>
      <w:pPr>
        <w:spacing w:after="0"/>
        <w:sectPr>
          <w:type w:val="continuous"/>
          <w:pgSz w:w="23250" w:h="15310" w:orient="landscape"/>
          <w:pgMar w:top="0" w:bottom="0" w:left="1880" w:right="1520"/>
          <w:cols w:num="2" w:equalWidth="0">
            <w:col w:w="5547" w:space="5753"/>
            <w:col w:w="8550"/>
          </w:cols>
        </w:sectPr>
      </w:pPr>
    </w:p>
    <w:p>
      <w:pPr>
        <w:pStyle w:val="BodyText"/>
        <w:spacing w:before="5"/>
        <w:rPr>
          <w:sz w:val="3"/>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4"/>
        <w:gridCol w:w="1092"/>
        <w:gridCol w:w="4383"/>
        <w:gridCol w:w="6520"/>
        <w:gridCol w:w="700"/>
      </w:tblGrid>
      <w:tr>
        <w:trPr>
          <w:trHeight w:val="190" w:hRule="atLeast"/>
        </w:trPr>
        <w:tc>
          <w:tcPr>
            <w:tcW w:w="4364" w:type="dxa"/>
          </w:tcPr>
          <w:p>
            <w:pPr>
              <w:pStyle w:val="TableParagraph"/>
              <w:spacing w:line="171" w:lineRule="exact"/>
              <w:ind w:left="447"/>
              <w:rPr>
                <w:sz w:val="15"/>
              </w:rPr>
            </w:pPr>
            <w:r>
              <w:rPr>
                <w:sz w:val="15"/>
              </w:rPr>
              <w:t>277. Paracetamol gotas 100 mg</w:t>
            </w:r>
          </w:p>
        </w:tc>
        <w:tc>
          <w:tcPr>
            <w:tcW w:w="12695" w:type="dxa"/>
            <w:gridSpan w:val="4"/>
          </w:tcPr>
          <w:p>
            <w:pPr>
              <w:pStyle w:val="TableParagraph"/>
              <w:tabs>
                <w:tab w:pos="7383" w:val="left" w:leader="none"/>
              </w:tabs>
              <w:spacing w:line="117" w:lineRule="auto"/>
              <w:ind w:left="657"/>
              <w:rPr>
                <w:sz w:val="15"/>
              </w:rPr>
            </w:pPr>
            <w:r>
              <w:rPr>
                <w:position w:val="-6"/>
                <w:sz w:val="15"/>
              </w:rPr>
              <w:t>$7.00</w:t>
              <w:tab/>
            </w:r>
            <w:r>
              <w:rPr>
                <w:sz w:val="15"/>
              </w:rPr>
              <w:t>para</w:t>
            </w:r>
            <w:r>
              <w:rPr>
                <w:spacing w:val="1"/>
                <w:sz w:val="15"/>
              </w:rPr>
              <w:t> </w:t>
            </w:r>
            <w:r>
              <w:rPr>
                <w:sz w:val="15"/>
              </w:rPr>
              <w:t>felinos;</w:t>
            </w:r>
          </w:p>
        </w:tc>
      </w:tr>
      <w:tr>
        <w:trPr>
          <w:trHeight w:val="209" w:hRule="atLeast"/>
        </w:trPr>
        <w:tc>
          <w:tcPr>
            <w:tcW w:w="4364" w:type="dxa"/>
          </w:tcPr>
          <w:p>
            <w:pPr>
              <w:pStyle w:val="TableParagraph"/>
              <w:spacing w:before="17"/>
              <w:ind w:left="447"/>
              <w:rPr>
                <w:sz w:val="15"/>
              </w:rPr>
            </w:pPr>
            <w:r>
              <w:rPr>
                <w:sz w:val="15"/>
              </w:rPr>
              <w:t>278.Paracetamol tabletas 500 mg</w:t>
            </w:r>
          </w:p>
        </w:tc>
        <w:tc>
          <w:tcPr>
            <w:tcW w:w="12695" w:type="dxa"/>
            <w:gridSpan w:val="4"/>
          </w:tcPr>
          <w:p>
            <w:pPr>
              <w:pStyle w:val="TableParagraph"/>
              <w:tabs>
                <w:tab w:pos="7704" w:val="left" w:leader="none"/>
              </w:tabs>
              <w:spacing w:line="168" w:lineRule="exact" w:before="22"/>
              <w:ind w:left="657"/>
              <w:rPr>
                <w:sz w:val="15"/>
              </w:rPr>
            </w:pPr>
            <w:r>
              <w:rPr>
                <w:position w:val="7"/>
                <w:sz w:val="15"/>
              </w:rPr>
              <w:t>$7.00</w:t>
              <w:tab/>
            </w:r>
            <w:r>
              <w:rPr>
                <w:sz w:val="15"/>
              </w:rPr>
              <w:t>a) Gatos</w:t>
            </w:r>
            <w:r>
              <w:rPr>
                <w:spacing w:val="2"/>
                <w:sz w:val="15"/>
              </w:rPr>
              <w:t> </w:t>
            </w:r>
            <w:r>
              <w:rPr>
                <w:sz w:val="15"/>
              </w:rPr>
              <w:t>$100.00</w:t>
            </w:r>
          </w:p>
        </w:tc>
      </w:tr>
      <w:tr>
        <w:trPr>
          <w:trHeight w:val="230" w:hRule="atLeast"/>
        </w:trPr>
        <w:tc>
          <w:tcPr>
            <w:tcW w:w="4364" w:type="dxa"/>
          </w:tcPr>
          <w:p>
            <w:pPr>
              <w:pStyle w:val="TableParagraph"/>
              <w:spacing w:line="171" w:lineRule="exact"/>
              <w:ind w:left="447"/>
              <w:rPr>
                <w:sz w:val="15"/>
              </w:rPr>
            </w:pPr>
            <w:r>
              <w:rPr>
                <w:sz w:val="15"/>
              </w:rPr>
              <w:t>279. Paracetamol solución intravenosa 500 mg.</w:t>
            </w:r>
          </w:p>
        </w:tc>
        <w:tc>
          <w:tcPr>
            <w:tcW w:w="1092" w:type="dxa"/>
          </w:tcPr>
          <w:p>
            <w:pPr>
              <w:pStyle w:val="TableParagraph"/>
              <w:spacing w:line="171" w:lineRule="exact"/>
              <w:ind w:right="48"/>
              <w:jc w:val="right"/>
              <w:rPr>
                <w:sz w:val="15"/>
              </w:rPr>
            </w:pPr>
            <w:r>
              <w:rPr>
                <w:sz w:val="15"/>
              </w:rPr>
              <w:t>$182.00</w:t>
            </w:r>
          </w:p>
        </w:tc>
        <w:tc>
          <w:tcPr>
            <w:tcW w:w="11603" w:type="dxa"/>
            <w:gridSpan w:val="3"/>
          </w:tcPr>
          <w:p>
            <w:pPr>
              <w:pStyle w:val="TableParagraph"/>
              <w:spacing w:line="151" w:lineRule="exact" w:before="40"/>
              <w:ind w:left="6612"/>
              <w:rPr>
                <w:sz w:val="15"/>
              </w:rPr>
            </w:pPr>
            <w:r>
              <w:rPr>
                <w:sz w:val="15"/>
              </w:rPr>
              <w:t>b) Gatas $150.00</w:t>
            </w:r>
          </w:p>
        </w:tc>
      </w:tr>
      <w:tr>
        <w:trPr>
          <w:trHeight w:val="177" w:hRule="atLeast"/>
        </w:trPr>
        <w:tc>
          <w:tcPr>
            <w:tcW w:w="4364" w:type="dxa"/>
          </w:tcPr>
          <w:p>
            <w:pPr>
              <w:pStyle w:val="TableParagraph"/>
              <w:spacing w:line="157" w:lineRule="exact"/>
              <w:ind w:left="447"/>
              <w:rPr>
                <w:sz w:val="15"/>
              </w:rPr>
            </w:pPr>
            <w:r>
              <w:rPr>
                <w:sz w:val="15"/>
              </w:rPr>
              <w:t>280. Paracetamol supositorios 150 mg</w:t>
            </w:r>
          </w:p>
        </w:tc>
        <w:tc>
          <w:tcPr>
            <w:tcW w:w="1092" w:type="dxa"/>
          </w:tcPr>
          <w:p>
            <w:pPr>
              <w:pStyle w:val="TableParagraph"/>
              <w:spacing w:line="157" w:lineRule="exact"/>
              <w:ind w:right="48"/>
              <w:jc w:val="right"/>
              <w:rPr>
                <w:sz w:val="15"/>
              </w:rPr>
            </w:pPr>
            <w:r>
              <w:rPr>
                <w:sz w:val="15"/>
              </w:rPr>
              <w:t>$125.00</w:t>
            </w:r>
          </w:p>
        </w:tc>
        <w:tc>
          <w:tcPr>
            <w:tcW w:w="11603" w:type="dxa"/>
            <w:gridSpan w:val="3"/>
          </w:tcPr>
          <w:p>
            <w:pPr>
              <w:pStyle w:val="TableParagraph"/>
              <w:rPr>
                <w:rFonts w:ascii="Times New Roman"/>
                <w:sz w:val="10"/>
              </w:rPr>
            </w:pPr>
          </w:p>
        </w:tc>
      </w:tr>
      <w:tr>
        <w:trPr>
          <w:trHeight w:val="221" w:hRule="atLeast"/>
        </w:trPr>
        <w:tc>
          <w:tcPr>
            <w:tcW w:w="4364" w:type="dxa"/>
          </w:tcPr>
          <w:p>
            <w:pPr>
              <w:pStyle w:val="TableParagraph"/>
              <w:spacing w:before="29"/>
              <w:ind w:left="447"/>
              <w:rPr>
                <w:sz w:val="15"/>
              </w:rPr>
            </w:pPr>
            <w:r>
              <w:rPr>
                <w:sz w:val="15"/>
              </w:rPr>
              <w:t>281. Propofol solución inyectable 2mg 1ml.</w:t>
            </w:r>
          </w:p>
        </w:tc>
        <w:tc>
          <w:tcPr>
            <w:tcW w:w="1092" w:type="dxa"/>
          </w:tcPr>
          <w:p>
            <w:pPr>
              <w:pStyle w:val="TableParagraph"/>
              <w:spacing w:before="29"/>
              <w:ind w:right="48"/>
              <w:jc w:val="right"/>
              <w:rPr>
                <w:sz w:val="15"/>
              </w:rPr>
            </w:pPr>
            <w:r>
              <w:rPr>
                <w:sz w:val="15"/>
              </w:rPr>
              <w:t>$246.00</w:t>
            </w:r>
          </w:p>
        </w:tc>
        <w:tc>
          <w:tcPr>
            <w:tcW w:w="11603" w:type="dxa"/>
            <w:gridSpan w:val="3"/>
          </w:tcPr>
          <w:p>
            <w:pPr>
              <w:pStyle w:val="TableParagraph"/>
              <w:spacing w:before="5"/>
              <w:ind w:left="6612"/>
              <w:rPr>
                <w:sz w:val="15"/>
              </w:rPr>
            </w:pPr>
            <w:r>
              <w:rPr>
                <w:sz w:val="15"/>
              </w:rPr>
              <w:t>2.- Costo de procedimiento quirúrgico, anestésico y material</w:t>
            </w:r>
          </w:p>
        </w:tc>
      </w:tr>
      <w:tr>
        <w:trPr>
          <w:trHeight w:val="209" w:hRule="atLeast"/>
        </w:trPr>
        <w:tc>
          <w:tcPr>
            <w:tcW w:w="4364" w:type="dxa"/>
          </w:tcPr>
          <w:p>
            <w:pPr>
              <w:pStyle w:val="TableParagraph"/>
              <w:spacing w:line="171" w:lineRule="exact"/>
              <w:ind w:left="447"/>
              <w:rPr>
                <w:sz w:val="15"/>
              </w:rPr>
            </w:pPr>
            <w:r>
              <w:rPr>
                <w:sz w:val="15"/>
              </w:rPr>
              <w:t>282. Alfa metil dopa tabletas de 250 mg. por pieza</w:t>
            </w:r>
          </w:p>
        </w:tc>
        <w:tc>
          <w:tcPr>
            <w:tcW w:w="12695" w:type="dxa"/>
            <w:gridSpan w:val="4"/>
          </w:tcPr>
          <w:p>
            <w:pPr>
              <w:pStyle w:val="TableParagraph"/>
              <w:tabs>
                <w:tab w:pos="7383" w:val="left" w:leader="none"/>
              </w:tabs>
              <w:spacing w:line="139" w:lineRule="auto"/>
              <w:ind w:left="656"/>
              <w:rPr>
                <w:sz w:val="15"/>
              </w:rPr>
            </w:pPr>
            <w:r>
              <w:rPr>
                <w:position w:val="-5"/>
                <w:sz w:val="15"/>
              </w:rPr>
              <w:t>$7.00</w:t>
              <w:tab/>
            </w:r>
            <w:r>
              <w:rPr>
                <w:sz w:val="15"/>
              </w:rPr>
              <w:t>para</w:t>
            </w:r>
            <w:r>
              <w:rPr>
                <w:spacing w:val="1"/>
                <w:sz w:val="15"/>
              </w:rPr>
              <w:t> </w:t>
            </w:r>
            <w:r>
              <w:rPr>
                <w:sz w:val="15"/>
              </w:rPr>
              <w:t>caninos;</w:t>
            </w:r>
          </w:p>
        </w:tc>
      </w:tr>
      <w:tr>
        <w:trPr>
          <w:trHeight w:val="237" w:hRule="atLeast"/>
        </w:trPr>
        <w:tc>
          <w:tcPr>
            <w:tcW w:w="4364" w:type="dxa"/>
          </w:tcPr>
          <w:p>
            <w:pPr>
              <w:pStyle w:val="TableParagraph"/>
              <w:spacing w:before="17"/>
              <w:ind w:left="447"/>
              <w:rPr>
                <w:sz w:val="15"/>
              </w:rPr>
            </w:pPr>
            <w:r>
              <w:rPr>
                <w:sz w:val="15"/>
              </w:rPr>
              <w:t>283. Copidrogrel tabletas 75 mg pieza</w:t>
            </w:r>
          </w:p>
        </w:tc>
        <w:tc>
          <w:tcPr>
            <w:tcW w:w="12695" w:type="dxa"/>
            <w:gridSpan w:val="4"/>
          </w:tcPr>
          <w:p>
            <w:pPr>
              <w:pStyle w:val="TableParagraph"/>
              <w:tabs>
                <w:tab w:pos="7704" w:val="left" w:leader="none"/>
              </w:tabs>
              <w:spacing w:line="202" w:lineRule="exact" w:before="14"/>
              <w:ind w:left="570"/>
              <w:rPr>
                <w:sz w:val="15"/>
              </w:rPr>
            </w:pPr>
            <w:r>
              <w:rPr>
                <w:position w:val="9"/>
                <w:sz w:val="15"/>
              </w:rPr>
              <w:t>$20.00</w:t>
              <w:tab/>
            </w:r>
            <w:r>
              <w:rPr>
                <w:sz w:val="15"/>
              </w:rPr>
              <w:t>a) 1 hasta 10 kg.</w:t>
            </w:r>
            <w:r>
              <w:rPr>
                <w:spacing w:val="7"/>
                <w:sz w:val="15"/>
              </w:rPr>
              <w:t> </w:t>
            </w:r>
            <w:r>
              <w:rPr>
                <w:sz w:val="15"/>
              </w:rPr>
              <w:t>$177.00</w:t>
            </w:r>
          </w:p>
        </w:tc>
      </w:tr>
      <w:tr>
        <w:trPr>
          <w:trHeight w:val="398" w:hRule="atLeast"/>
        </w:trPr>
        <w:tc>
          <w:tcPr>
            <w:tcW w:w="4364" w:type="dxa"/>
          </w:tcPr>
          <w:p>
            <w:pPr>
              <w:pStyle w:val="TableParagraph"/>
              <w:numPr>
                <w:ilvl w:val="0"/>
                <w:numId w:val="169"/>
              </w:numPr>
              <w:tabs>
                <w:tab w:pos="790" w:val="left" w:leader="none"/>
              </w:tabs>
              <w:spacing w:line="163" w:lineRule="exact" w:before="0" w:after="0"/>
              <w:ind w:left="789" w:right="0" w:hanging="343"/>
              <w:jc w:val="left"/>
              <w:rPr>
                <w:sz w:val="15"/>
              </w:rPr>
            </w:pPr>
            <w:r>
              <w:rPr>
                <w:sz w:val="15"/>
              </w:rPr>
              <w:t>Difenhidramina solución inyectable por</w:t>
            </w:r>
            <w:r>
              <w:rPr>
                <w:spacing w:val="25"/>
                <w:sz w:val="15"/>
              </w:rPr>
              <w:t> </w:t>
            </w:r>
            <w:r>
              <w:rPr>
                <w:sz w:val="15"/>
              </w:rPr>
              <w:t>ámpula</w:t>
            </w:r>
          </w:p>
          <w:p>
            <w:pPr>
              <w:pStyle w:val="TableParagraph"/>
              <w:numPr>
                <w:ilvl w:val="0"/>
                <w:numId w:val="169"/>
              </w:numPr>
              <w:tabs>
                <w:tab w:pos="790" w:val="left" w:leader="none"/>
              </w:tabs>
              <w:spacing w:line="240" w:lineRule="auto" w:before="37" w:after="0"/>
              <w:ind w:left="789" w:right="0" w:hanging="343"/>
              <w:jc w:val="left"/>
              <w:rPr>
                <w:sz w:val="15"/>
              </w:rPr>
            </w:pPr>
            <w:r>
              <w:rPr>
                <w:sz w:val="15"/>
              </w:rPr>
              <w:t>Epinefrina rasemica por</w:t>
            </w:r>
            <w:r>
              <w:rPr>
                <w:spacing w:val="8"/>
                <w:sz w:val="15"/>
              </w:rPr>
              <w:t> </w:t>
            </w:r>
            <w:r>
              <w:rPr>
                <w:sz w:val="15"/>
              </w:rPr>
              <w:t>pieza</w:t>
            </w:r>
          </w:p>
        </w:tc>
        <w:tc>
          <w:tcPr>
            <w:tcW w:w="1092" w:type="dxa"/>
          </w:tcPr>
          <w:p>
            <w:pPr>
              <w:pStyle w:val="TableParagraph"/>
              <w:spacing w:line="163" w:lineRule="exact"/>
              <w:ind w:left="484"/>
              <w:rPr>
                <w:sz w:val="15"/>
              </w:rPr>
            </w:pPr>
            <w:r>
              <w:rPr>
                <w:sz w:val="15"/>
              </w:rPr>
              <w:t>$105.00</w:t>
            </w:r>
          </w:p>
          <w:p>
            <w:pPr>
              <w:pStyle w:val="TableParagraph"/>
              <w:spacing w:before="37"/>
              <w:ind w:left="571"/>
              <w:rPr>
                <w:sz w:val="15"/>
              </w:rPr>
            </w:pPr>
            <w:r>
              <w:rPr>
                <w:sz w:val="15"/>
              </w:rPr>
              <w:t>$30.00</w:t>
            </w:r>
          </w:p>
        </w:tc>
        <w:tc>
          <w:tcPr>
            <w:tcW w:w="11603" w:type="dxa"/>
            <w:gridSpan w:val="3"/>
          </w:tcPr>
          <w:p>
            <w:pPr>
              <w:pStyle w:val="TableParagraph"/>
              <w:spacing w:before="44"/>
              <w:ind w:left="6612"/>
              <w:rPr>
                <w:sz w:val="15"/>
              </w:rPr>
            </w:pPr>
            <w:r>
              <w:rPr>
                <w:sz w:val="15"/>
              </w:rPr>
              <w:t>b)    hasta 20 kg.</w:t>
            </w:r>
            <w:r>
              <w:rPr>
                <w:spacing w:val="-4"/>
                <w:sz w:val="15"/>
              </w:rPr>
              <w:t> </w:t>
            </w:r>
            <w:r>
              <w:rPr>
                <w:sz w:val="15"/>
              </w:rPr>
              <w:t>$250.00</w:t>
            </w:r>
          </w:p>
          <w:p>
            <w:pPr>
              <w:pStyle w:val="TableParagraph"/>
              <w:spacing w:line="156" w:lineRule="exact" w:before="5"/>
              <w:ind w:left="6612"/>
              <w:rPr>
                <w:sz w:val="15"/>
              </w:rPr>
            </w:pPr>
            <w:r>
              <w:rPr>
                <w:sz w:val="15"/>
              </w:rPr>
              <w:t>c)    hasta 30 kg.</w:t>
            </w:r>
            <w:r>
              <w:rPr>
                <w:spacing w:val="-5"/>
                <w:sz w:val="15"/>
              </w:rPr>
              <w:t> </w:t>
            </w:r>
            <w:r>
              <w:rPr>
                <w:sz w:val="15"/>
              </w:rPr>
              <w:t>$350.00</w:t>
            </w:r>
          </w:p>
        </w:tc>
      </w:tr>
      <w:tr>
        <w:trPr>
          <w:trHeight w:val="182" w:hRule="atLeast"/>
        </w:trPr>
        <w:tc>
          <w:tcPr>
            <w:tcW w:w="4364" w:type="dxa"/>
          </w:tcPr>
          <w:p>
            <w:pPr>
              <w:pStyle w:val="TableParagraph"/>
              <w:spacing w:line="150" w:lineRule="exact" w:before="12"/>
              <w:ind w:left="447"/>
              <w:rPr>
                <w:sz w:val="15"/>
              </w:rPr>
            </w:pPr>
            <w:r>
              <w:rPr>
                <w:sz w:val="15"/>
              </w:rPr>
              <w:t>286. Hidralazina tableta 50mg. por pieza</w:t>
            </w:r>
          </w:p>
        </w:tc>
        <w:tc>
          <w:tcPr>
            <w:tcW w:w="1092" w:type="dxa"/>
          </w:tcPr>
          <w:p>
            <w:pPr>
              <w:pStyle w:val="TableParagraph"/>
              <w:spacing w:line="150" w:lineRule="exact" w:before="12"/>
              <w:ind w:right="48"/>
              <w:jc w:val="right"/>
              <w:rPr>
                <w:sz w:val="15"/>
              </w:rPr>
            </w:pPr>
            <w:r>
              <w:rPr>
                <w:sz w:val="15"/>
              </w:rPr>
              <w:t>$20.00</w:t>
            </w:r>
          </w:p>
        </w:tc>
        <w:tc>
          <w:tcPr>
            <w:tcW w:w="11603" w:type="dxa"/>
            <w:gridSpan w:val="3"/>
          </w:tcPr>
          <w:p>
            <w:pPr>
              <w:pStyle w:val="TableParagraph"/>
              <w:spacing w:line="162" w:lineRule="exact" w:before="1"/>
              <w:ind w:left="6612"/>
              <w:rPr>
                <w:sz w:val="15"/>
              </w:rPr>
            </w:pPr>
            <w:r>
              <w:rPr>
                <w:sz w:val="15"/>
              </w:rPr>
              <w:t>d) hasta 40 kg. $400.00</w:t>
            </w:r>
          </w:p>
        </w:tc>
      </w:tr>
      <w:tr>
        <w:trPr>
          <w:trHeight w:val="231" w:hRule="atLeast"/>
        </w:trPr>
        <w:tc>
          <w:tcPr>
            <w:tcW w:w="4364" w:type="dxa"/>
          </w:tcPr>
          <w:p>
            <w:pPr>
              <w:pStyle w:val="TableParagraph"/>
              <w:spacing w:before="39"/>
              <w:ind w:left="447"/>
              <w:rPr>
                <w:sz w:val="15"/>
              </w:rPr>
            </w:pPr>
            <w:r>
              <w:rPr>
                <w:sz w:val="15"/>
              </w:rPr>
              <w:t>287. Paracetamol supositorio pieza</w:t>
            </w:r>
          </w:p>
        </w:tc>
        <w:tc>
          <w:tcPr>
            <w:tcW w:w="1092" w:type="dxa"/>
          </w:tcPr>
          <w:p>
            <w:pPr>
              <w:pStyle w:val="TableParagraph"/>
              <w:spacing w:before="39"/>
              <w:ind w:right="48"/>
              <w:jc w:val="right"/>
              <w:rPr>
                <w:sz w:val="15"/>
              </w:rPr>
            </w:pPr>
            <w:r>
              <w:rPr>
                <w:sz w:val="15"/>
              </w:rPr>
              <w:t>$15.00</w:t>
            </w:r>
          </w:p>
        </w:tc>
        <w:tc>
          <w:tcPr>
            <w:tcW w:w="11603" w:type="dxa"/>
            <w:gridSpan w:val="3"/>
          </w:tcPr>
          <w:p>
            <w:pPr>
              <w:pStyle w:val="TableParagraph"/>
              <w:spacing w:line="168" w:lineRule="exact"/>
              <w:ind w:left="6612"/>
              <w:rPr>
                <w:sz w:val="15"/>
              </w:rPr>
            </w:pPr>
            <w:r>
              <w:rPr>
                <w:sz w:val="15"/>
              </w:rPr>
              <w:t>e) 41 kg. o más $500.00</w:t>
            </w:r>
          </w:p>
        </w:tc>
      </w:tr>
      <w:tr>
        <w:trPr>
          <w:trHeight w:val="209" w:hRule="atLeast"/>
        </w:trPr>
        <w:tc>
          <w:tcPr>
            <w:tcW w:w="4364" w:type="dxa"/>
          </w:tcPr>
          <w:p>
            <w:pPr>
              <w:pStyle w:val="TableParagraph"/>
              <w:spacing w:line="171" w:lineRule="exact"/>
              <w:ind w:left="447"/>
              <w:rPr>
                <w:sz w:val="15"/>
              </w:rPr>
            </w:pPr>
            <w:r>
              <w:rPr>
                <w:sz w:val="15"/>
              </w:rPr>
              <w:t>288. Equipo de bomba de infusión</w:t>
            </w:r>
          </w:p>
        </w:tc>
        <w:tc>
          <w:tcPr>
            <w:tcW w:w="12695" w:type="dxa"/>
            <w:gridSpan w:val="4"/>
          </w:tcPr>
          <w:p>
            <w:pPr>
              <w:pStyle w:val="TableParagraph"/>
              <w:tabs>
                <w:tab w:pos="7704" w:val="left" w:leader="none"/>
              </w:tabs>
              <w:spacing w:line="171" w:lineRule="exact"/>
              <w:ind w:left="485"/>
              <w:rPr>
                <w:sz w:val="15"/>
              </w:rPr>
            </w:pPr>
            <w:r>
              <w:rPr>
                <w:position w:val="10"/>
                <w:sz w:val="15"/>
              </w:rPr>
              <w:t>$215.00</w:t>
              <w:tab/>
            </w:r>
            <w:r>
              <w:rPr>
                <w:sz w:val="15"/>
              </w:rPr>
              <w:t>1.- En campañas de esterilización fuera de la UNASAM</w:t>
            </w:r>
            <w:r>
              <w:rPr>
                <w:spacing w:val="17"/>
                <w:sz w:val="15"/>
              </w:rPr>
              <w:t> </w:t>
            </w:r>
            <w:r>
              <w:rPr>
                <w:sz w:val="15"/>
              </w:rPr>
              <w:t>el</w:t>
            </w:r>
          </w:p>
        </w:tc>
      </w:tr>
      <w:tr>
        <w:trPr>
          <w:trHeight w:val="210" w:hRule="atLeast"/>
        </w:trPr>
        <w:tc>
          <w:tcPr>
            <w:tcW w:w="4364" w:type="dxa"/>
          </w:tcPr>
          <w:p>
            <w:pPr>
              <w:pStyle w:val="TableParagraph"/>
              <w:spacing w:before="14"/>
              <w:ind w:left="447"/>
              <w:rPr>
                <w:sz w:val="10"/>
              </w:rPr>
            </w:pPr>
            <w:r>
              <w:rPr>
                <w:sz w:val="15"/>
              </w:rPr>
              <w:t>289. Oxígeno por m</w:t>
            </w:r>
            <w:r>
              <w:rPr>
                <w:position w:val="5"/>
                <w:sz w:val="10"/>
              </w:rPr>
              <w:t>3</w:t>
            </w:r>
          </w:p>
        </w:tc>
        <w:tc>
          <w:tcPr>
            <w:tcW w:w="12695" w:type="dxa"/>
            <w:gridSpan w:val="4"/>
          </w:tcPr>
          <w:p>
            <w:pPr>
              <w:pStyle w:val="TableParagraph"/>
              <w:tabs>
                <w:tab w:pos="7383" w:val="left" w:leader="none"/>
              </w:tabs>
              <w:spacing w:line="176" w:lineRule="exact" w:before="14"/>
              <w:ind w:left="571"/>
              <w:rPr>
                <w:sz w:val="15"/>
              </w:rPr>
            </w:pPr>
            <w:r>
              <w:rPr>
                <w:position w:val="7"/>
                <w:sz w:val="15"/>
              </w:rPr>
              <w:t>$34.00</w:t>
              <w:tab/>
            </w:r>
            <w:r>
              <w:rPr>
                <w:sz w:val="15"/>
              </w:rPr>
              <w:t>costo</w:t>
            </w:r>
            <w:r>
              <w:rPr>
                <w:spacing w:val="1"/>
                <w:sz w:val="15"/>
              </w:rPr>
              <w:t> </w:t>
            </w:r>
            <w:r>
              <w:rPr>
                <w:sz w:val="15"/>
              </w:rPr>
              <w:t>será:</w:t>
            </w:r>
          </w:p>
        </w:tc>
      </w:tr>
      <w:tr>
        <w:trPr>
          <w:trHeight w:val="226" w:hRule="atLeast"/>
        </w:trPr>
        <w:tc>
          <w:tcPr>
            <w:tcW w:w="4364" w:type="dxa"/>
          </w:tcPr>
          <w:p>
            <w:pPr>
              <w:pStyle w:val="TableParagraph"/>
              <w:spacing w:line="171" w:lineRule="exact"/>
              <w:ind w:left="447"/>
              <w:rPr>
                <w:sz w:val="15"/>
              </w:rPr>
            </w:pPr>
            <w:r>
              <w:rPr>
                <w:sz w:val="15"/>
              </w:rPr>
              <w:t>290. Oxígeno portátil</w:t>
            </w:r>
          </w:p>
        </w:tc>
        <w:tc>
          <w:tcPr>
            <w:tcW w:w="1092" w:type="dxa"/>
          </w:tcPr>
          <w:p>
            <w:pPr>
              <w:pStyle w:val="TableParagraph"/>
              <w:spacing w:line="171" w:lineRule="exact"/>
              <w:ind w:right="48"/>
              <w:jc w:val="right"/>
              <w:rPr>
                <w:sz w:val="15"/>
              </w:rPr>
            </w:pPr>
            <w:r>
              <w:rPr>
                <w:sz w:val="15"/>
              </w:rPr>
              <w:t>$127.00</w:t>
            </w:r>
          </w:p>
        </w:tc>
        <w:tc>
          <w:tcPr>
            <w:tcW w:w="10903" w:type="dxa"/>
            <w:gridSpan w:val="2"/>
          </w:tcPr>
          <w:p>
            <w:pPr>
              <w:pStyle w:val="TableParagraph"/>
              <w:spacing w:line="156" w:lineRule="exact" w:before="32"/>
              <w:ind w:left="6612"/>
              <w:rPr>
                <w:sz w:val="15"/>
              </w:rPr>
            </w:pPr>
            <w:r>
              <w:rPr>
                <w:sz w:val="15"/>
              </w:rPr>
              <w:t>l) Curaciones, por cada una:</w:t>
            </w:r>
          </w:p>
        </w:tc>
        <w:tc>
          <w:tcPr>
            <w:tcW w:w="700" w:type="dxa"/>
          </w:tcPr>
          <w:p>
            <w:pPr>
              <w:pStyle w:val="TableParagraph"/>
              <w:spacing w:line="156" w:lineRule="exact" w:before="32"/>
              <w:ind w:left="166" w:right="34"/>
              <w:jc w:val="center"/>
              <w:rPr>
                <w:sz w:val="15"/>
              </w:rPr>
            </w:pPr>
            <w:r>
              <w:rPr>
                <w:sz w:val="15"/>
              </w:rPr>
              <w:t>$82.00</w:t>
            </w:r>
          </w:p>
        </w:tc>
      </w:tr>
      <w:tr>
        <w:trPr>
          <w:trHeight w:val="351" w:hRule="atLeast"/>
        </w:trPr>
        <w:tc>
          <w:tcPr>
            <w:tcW w:w="4364" w:type="dxa"/>
          </w:tcPr>
          <w:p>
            <w:pPr>
              <w:pStyle w:val="TableParagraph"/>
              <w:spacing w:before="1"/>
              <w:ind w:left="447"/>
              <w:rPr>
                <w:sz w:val="15"/>
              </w:rPr>
            </w:pPr>
            <w:r>
              <w:rPr>
                <w:sz w:val="15"/>
              </w:rPr>
              <w:t>291. Adenosina Ampula 6mg.</w:t>
            </w:r>
          </w:p>
        </w:tc>
        <w:tc>
          <w:tcPr>
            <w:tcW w:w="1092" w:type="dxa"/>
          </w:tcPr>
          <w:p>
            <w:pPr>
              <w:pStyle w:val="TableParagraph"/>
              <w:spacing w:before="1"/>
              <w:ind w:right="48"/>
              <w:jc w:val="right"/>
              <w:rPr>
                <w:sz w:val="15"/>
              </w:rPr>
            </w:pPr>
            <w:r>
              <w:rPr>
                <w:sz w:val="15"/>
              </w:rPr>
              <w:t>$200.00</w:t>
            </w:r>
          </w:p>
        </w:tc>
        <w:tc>
          <w:tcPr>
            <w:tcW w:w="10903" w:type="dxa"/>
            <w:gridSpan w:val="2"/>
          </w:tcPr>
          <w:p>
            <w:pPr>
              <w:pStyle w:val="TableParagraph"/>
              <w:spacing w:before="1"/>
              <w:ind w:left="6612"/>
              <w:rPr>
                <w:sz w:val="15"/>
              </w:rPr>
            </w:pPr>
            <w:r>
              <w:rPr>
                <w:sz w:val="15"/>
              </w:rPr>
              <w:t>m) Sutura de Heridas:</w:t>
            </w:r>
          </w:p>
          <w:p>
            <w:pPr>
              <w:pStyle w:val="TableParagraph"/>
              <w:spacing w:line="153" w:lineRule="exact" w:before="4"/>
              <w:ind w:left="6612"/>
              <w:rPr>
                <w:sz w:val="15"/>
              </w:rPr>
            </w:pPr>
            <w:r>
              <w:rPr>
                <w:sz w:val="15"/>
              </w:rPr>
              <w:t>1.- De menos de 3 puntadas:</w:t>
            </w:r>
          </w:p>
        </w:tc>
        <w:tc>
          <w:tcPr>
            <w:tcW w:w="700" w:type="dxa"/>
          </w:tcPr>
          <w:p>
            <w:pPr>
              <w:pStyle w:val="TableParagraph"/>
              <w:spacing w:before="5"/>
              <w:rPr>
                <w:sz w:val="15"/>
              </w:rPr>
            </w:pPr>
          </w:p>
          <w:p>
            <w:pPr>
              <w:pStyle w:val="TableParagraph"/>
              <w:spacing w:line="153" w:lineRule="exact"/>
              <w:ind w:left="166" w:right="34"/>
              <w:jc w:val="center"/>
              <w:rPr>
                <w:sz w:val="15"/>
              </w:rPr>
            </w:pPr>
            <w:r>
              <w:rPr>
                <w:sz w:val="15"/>
              </w:rPr>
              <w:t>$40.00</w:t>
            </w:r>
          </w:p>
        </w:tc>
      </w:tr>
      <w:tr>
        <w:trPr>
          <w:trHeight w:val="177" w:hRule="atLeast"/>
        </w:trPr>
        <w:tc>
          <w:tcPr>
            <w:tcW w:w="16359" w:type="dxa"/>
            <w:gridSpan w:val="4"/>
          </w:tcPr>
          <w:p>
            <w:pPr>
              <w:pStyle w:val="TableParagraph"/>
              <w:tabs>
                <w:tab w:pos="12068" w:val="left" w:leader="none"/>
              </w:tabs>
              <w:spacing w:line="150" w:lineRule="exact" w:before="1"/>
              <w:ind w:left="447"/>
              <w:rPr>
                <w:sz w:val="15"/>
              </w:rPr>
            </w:pPr>
            <w:r>
              <w:rPr>
                <w:sz w:val="15"/>
              </w:rPr>
              <w:t>Tratándose</w:t>
            </w:r>
            <w:r>
              <w:rPr>
                <w:spacing w:val="21"/>
                <w:sz w:val="15"/>
              </w:rPr>
              <w:t> </w:t>
            </w:r>
            <w:r>
              <w:rPr>
                <w:sz w:val="15"/>
              </w:rPr>
              <w:t>de</w:t>
            </w:r>
            <w:r>
              <w:rPr>
                <w:spacing w:val="21"/>
                <w:sz w:val="15"/>
              </w:rPr>
              <w:t> </w:t>
            </w:r>
            <w:r>
              <w:rPr>
                <w:sz w:val="15"/>
              </w:rPr>
              <w:t>servicios</w:t>
            </w:r>
            <w:r>
              <w:rPr>
                <w:spacing w:val="22"/>
                <w:sz w:val="15"/>
              </w:rPr>
              <w:t> </w:t>
            </w:r>
            <w:r>
              <w:rPr>
                <w:sz w:val="15"/>
              </w:rPr>
              <w:t>médicos</w:t>
            </w:r>
            <w:r>
              <w:rPr>
                <w:spacing w:val="21"/>
                <w:sz w:val="15"/>
              </w:rPr>
              <w:t> </w:t>
            </w:r>
            <w:r>
              <w:rPr>
                <w:sz w:val="15"/>
              </w:rPr>
              <w:t>municipales,</w:t>
            </w:r>
            <w:r>
              <w:rPr>
                <w:spacing w:val="22"/>
                <w:sz w:val="15"/>
              </w:rPr>
              <w:t> </w:t>
            </w:r>
            <w:r>
              <w:rPr>
                <w:sz w:val="15"/>
              </w:rPr>
              <w:t>las</w:t>
            </w:r>
            <w:r>
              <w:rPr>
                <w:spacing w:val="21"/>
                <w:sz w:val="15"/>
              </w:rPr>
              <w:t> </w:t>
            </w:r>
            <w:r>
              <w:rPr>
                <w:sz w:val="15"/>
              </w:rPr>
              <w:t>tarifas</w:t>
            </w:r>
            <w:r>
              <w:rPr>
                <w:spacing w:val="22"/>
                <w:sz w:val="15"/>
              </w:rPr>
              <w:t> </w:t>
            </w:r>
            <w:r>
              <w:rPr>
                <w:sz w:val="15"/>
              </w:rPr>
              <w:t>que</w:t>
            </w:r>
            <w:r>
              <w:rPr>
                <w:spacing w:val="21"/>
                <w:sz w:val="15"/>
              </w:rPr>
              <w:t> </w:t>
            </w:r>
            <w:r>
              <w:rPr>
                <w:sz w:val="15"/>
              </w:rPr>
              <w:t>no</w:t>
            </w:r>
            <w:r>
              <w:rPr>
                <w:spacing w:val="25"/>
                <w:sz w:val="15"/>
              </w:rPr>
              <w:t> </w:t>
            </w:r>
            <w:r>
              <w:rPr>
                <w:sz w:val="15"/>
              </w:rPr>
              <w:t>estén</w:t>
            </w:r>
            <w:r>
              <w:rPr>
                <w:spacing w:val="22"/>
                <w:sz w:val="15"/>
              </w:rPr>
              <w:t> </w:t>
            </w:r>
            <w:r>
              <w:rPr>
                <w:sz w:val="15"/>
              </w:rPr>
              <w:t>contempladas</w:t>
            </w:r>
            <w:r>
              <w:rPr>
                <w:spacing w:val="21"/>
                <w:sz w:val="15"/>
              </w:rPr>
              <w:t> </w:t>
            </w:r>
            <w:r>
              <w:rPr>
                <w:sz w:val="15"/>
              </w:rPr>
              <w:t>en</w:t>
            </w:r>
            <w:r>
              <w:rPr>
                <w:spacing w:val="22"/>
                <w:sz w:val="15"/>
              </w:rPr>
              <w:t> </w:t>
            </w:r>
            <w:r>
              <w:rPr>
                <w:sz w:val="15"/>
              </w:rPr>
              <w:t>esta</w:t>
            </w:r>
            <w:r>
              <w:rPr>
                <w:spacing w:val="21"/>
                <w:sz w:val="15"/>
              </w:rPr>
              <w:t> </w:t>
            </w:r>
            <w:r>
              <w:rPr>
                <w:sz w:val="15"/>
              </w:rPr>
              <w:t>ley</w:t>
            </w:r>
            <w:r>
              <w:rPr>
                <w:spacing w:val="22"/>
                <w:sz w:val="15"/>
              </w:rPr>
              <w:t> </w:t>
            </w:r>
            <w:r>
              <w:rPr>
                <w:sz w:val="15"/>
              </w:rPr>
              <w:t>serán</w:t>
              <w:tab/>
            </w:r>
            <w:r>
              <w:rPr>
                <w:position w:val="3"/>
                <w:sz w:val="15"/>
              </w:rPr>
              <w:t>2.- Entre 4 y 10</w:t>
            </w:r>
            <w:r>
              <w:rPr>
                <w:spacing w:val="7"/>
                <w:position w:val="3"/>
                <w:sz w:val="15"/>
              </w:rPr>
              <w:t> </w:t>
            </w:r>
            <w:r>
              <w:rPr>
                <w:position w:val="3"/>
                <w:sz w:val="15"/>
              </w:rPr>
              <w:t>puntadas:</w:t>
            </w:r>
          </w:p>
        </w:tc>
        <w:tc>
          <w:tcPr>
            <w:tcW w:w="700" w:type="dxa"/>
          </w:tcPr>
          <w:p>
            <w:pPr>
              <w:pStyle w:val="TableParagraph"/>
              <w:spacing w:line="152" w:lineRule="exact"/>
              <w:ind w:left="165" w:right="34"/>
              <w:jc w:val="center"/>
              <w:rPr>
                <w:sz w:val="15"/>
              </w:rPr>
            </w:pPr>
            <w:r>
              <w:rPr>
                <w:sz w:val="15"/>
              </w:rPr>
              <w:t>$82.00</w:t>
            </w:r>
          </w:p>
        </w:tc>
      </w:tr>
      <w:tr>
        <w:trPr>
          <w:trHeight w:val="196" w:hRule="atLeast"/>
        </w:trPr>
        <w:tc>
          <w:tcPr>
            <w:tcW w:w="9839" w:type="dxa"/>
            <w:gridSpan w:val="3"/>
          </w:tcPr>
          <w:p>
            <w:pPr>
              <w:pStyle w:val="TableParagraph"/>
              <w:spacing w:line="140" w:lineRule="exact" w:before="31"/>
              <w:ind w:left="50"/>
              <w:rPr>
                <w:sz w:val="15"/>
              </w:rPr>
            </w:pPr>
            <w:r>
              <w:rPr>
                <w:sz w:val="15"/>
              </w:rPr>
              <w:t>cobradas según el valor del mercado, previo dictamen socioeconómico que al efecto formule la Dirección</w:t>
            </w:r>
          </w:p>
        </w:tc>
        <w:tc>
          <w:tcPr>
            <w:tcW w:w="6520" w:type="dxa"/>
          </w:tcPr>
          <w:p>
            <w:pPr>
              <w:pStyle w:val="TableParagraph"/>
              <w:spacing w:line="171" w:lineRule="exact"/>
              <w:ind w:left="2229"/>
              <w:rPr>
                <w:sz w:val="15"/>
              </w:rPr>
            </w:pPr>
            <w:r>
              <w:rPr>
                <w:sz w:val="15"/>
              </w:rPr>
              <w:t>3.- Más de 11 puntadas:</w:t>
            </w:r>
          </w:p>
        </w:tc>
        <w:tc>
          <w:tcPr>
            <w:tcW w:w="700" w:type="dxa"/>
          </w:tcPr>
          <w:p>
            <w:pPr>
              <w:pStyle w:val="TableParagraph"/>
              <w:spacing w:line="171" w:lineRule="exact"/>
              <w:ind w:left="80" w:right="34"/>
              <w:jc w:val="center"/>
              <w:rPr>
                <w:sz w:val="15"/>
              </w:rPr>
            </w:pPr>
            <w:r>
              <w:rPr>
                <w:sz w:val="15"/>
              </w:rPr>
              <w:t>$120.00</w:t>
            </w:r>
          </w:p>
        </w:tc>
      </w:tr>
      <w:tr>
        <w:trPr>
          <w:trHeight w:val="190" w:hRule="atLeast"/>
        </w:trPr>
        <w:tc>
          <w:tcPr>
            <w:tcW w:w="9839" w:type="dxa"/>
            <w:gridSpan w:val="3"/>
          </w:tcPr>
          <w:p>
            <w:pPr>
              <w:pStyle w:val="TableParagraph"/>
              <w:spacing w:line="153" w:lineRule="exact" w:before="16"/>
              <w:ind w:left="50"/>
              <w:rPr>
                <w:sz w:val="15"/>
              </w:rPr>
            </w:pPr>
            <w:r>
              <w:rPr>
                <w:sz w:val="15"/>
              </w:rPr>
              <w:t>General de Servicios Médicos Municipales.</w:t>
            </w:r>
          </w:p>
        </w:tc>
        <w:tc>
          <w:tcPr>
            <w:tcW w:w="6520" w:type="dxa"/>
          </w:tcPr>
          <w:p>
            <w:pPr>
              <w:pStyle w:val="TableParagraph"/>
              <w:spacing w:line="157" w:lineRule="exact"/>
              <w:ind w:left="2229"/>
              <w:rPr>
                <w:sz w:val="15"/>
              </w:rPr>
            </w:pPr>
            <w:r>
              <w:rPr>
                <w:sz w:val="15"/>
              </w:rPr>
              <w:t>n) Terapia de fluidos, por cada animal:</w:t>
            </w:r>
          </w:p>
        </w:tc>
        <w:tc>
          <w:tcPr>
            <w:tcW w:w="700" w:type="dxa"/>
          </w:tcPr>
          <w:p>
            <w:pPr>
              <w:pStyle w:val="TableParagraph"/>
              <w:spacing w:line="157" w:lineRule="exact"/>
              <w:ind w:left="80" w:right="34"/>
              <w:jc w:val="center"/>
              <w:rPr>
                <w:sz w:val="15"/>
              </w:rPr>
            </w:pPr>
            <w:r>
              <w:rPr>
                <w:sz w:val="15"/>
              </w:rPr>
              <w:t>$179.00</w:t>
            </w:r>
          </w:p>
        </w:tc>
      </w:tr>
    </w:tbl>
    <w:p>
      <w:pPr>
        <w:spacing w:after="0" w:line="157" w:lineRule="exact"/>
        <w:jc w:val="center"/>
        <w:rPr>
          <w:sz w:val="15"/>
        </w:rPr>
        <w:sectPr>
          <w:type w:val="continuous"/>
          <w:pgSz w:w="23250" w:h="15310" w:orient="landscape"/>
          <w:pgMar w:top="0" w:bottom="0" w:left="1880" w:right="1520"/>
        </w:sectPr>
      </w:pPr>
    </w:p>
    <w:p>
      <w:pPr>
        <w:pStyle w:val="BodyText"/>
        <w:rPr>
          <w:sz w:val="20"/>
        </w:rPr>
      </w:pPr>
    </w:p>
    <w:p>
      <w:pPr>
        <w:pStyle w:val="BodyText"/>
        <w:spacing w:before="7"/>
        <w:rPr>
          <w:sz w:val="29"/>
        </w:rPr>
      </w:pPr>
    </w:p>
    <w:p>
      <w:pPr>
        <w:spacing w:after="0"/>
        <w:rPr>
          <w:sz w:val="29"/>
        </w:rPr>
        <w:sectPr>
          <w:headerReference w:type="default" r:id="rId107"/>
          <w:pgSz w:w="23250" w:h="15310" w:orient="landscape"/>
          <w:pgMar w:header="881" w:footer="499" w:top="1920" w:bottom="680" w:left="1880" w:right="1520"/>
        </w:sectPr>
      </w:pPr>
    </w:p>
    <w:p>
      <w:pPr>
        <w:pStyle w:val="ListParagraph"/>
        <w:numPr>
          <w:ilvl w:val="1"/>
          <w:numId w:val="164"/>
        </w:numPr>
        <w:tabs>
          <w:tab w:pos="747" w:val="left" w:leader="none"/>
        </w:tabs>
        <w:spacing w:line="247" w:lineRule="auto" w:before="99" w:after="0"/>
        <w:ind w:left="226" w:right="0" w:firstLine="320"/>
        <w:jc w:val="both"/>
        <w:rPr>
          <w:sz w:val="15"/>
        </w:rPr>
      </w:pPr>
      <w:r>
        <w:rPr>
          <w:sz w:val="15"/>
        </w:rPr>
        <w:t>Por devolución de perro, por cada día, correspondiente a   su alimento, además de pagar el uso de un  bien  público establecido en el artículo 73 fracción II de esta</w:t>
      </w:r>
      <w:r>
        <w:rPr>
          <w:spacing w:val="25"/>
          <w:sz w:val="15"/>
        </w:rPr>
        <w:t> </w:t>
      </w:r>
      <w:r>
        <w:rPr>
          <w:sz w:val="15"/>
        </w:rPr>
        <w:t>ley:</w:t>
      </w:r>
    </w:p>
    <w:p>
      <w:pPr>
        <w:pStyle w:val="BodyText"/>
        <w:spacing w:before="2"/>
      </w:pPr>
    </w:p>
    <w:p>
      <w:pPr>
        <w:pStyle w:val="ListParagraph"/>
        <w:numPr>
          <w:ilvl w:val="1"/>
          <w:numId w:val="164"/>
        </w:numPr>
        <w:tabs>
          <w:tab w:pos="728" w:val="left" w:leader="none"/>
        </w:tabs>
        <w:spacing w:line="240" w:lineRule="auto" w:before="0" w:after="0"/>
        <w:ind w:left="727" w:right="0" w:hanging="181"/>
        <w:jc w:val="left"/>
        <w:rPr>
          <w:sz w:val="15"/>
        </w:rPr>
      </w:pPr>
      <w:r>
        <w:rPr>
          <w:sz w:val="15"/>
        </w:rPr>
        <w:t>Incineración para caninos y</w:t>
      </w:r>
      <w:r>
        <w:rPr>
          <w:spacing w:val="8"/>
          <w:sz w:val="15"/>
        </w:rPr>
        <w:t> </w:t>
      </w:r>
      <w:r>
        <w:rPr>
          <w:sz w:val="15"/>
        </w:rPr>
        <w:t>felinos:</w:t>
      </w:r>
    </w:p>
    <w:p>
      <w:pPr>
        <w:pStyle w:val="BodyText"/>
        <w:rPr>
          <w:sz w:val="16"/>
        </w:rPr>
      </w:pPr>
      <w:r>
        <w:rPr/>
        <w:br w:type="column"/>
      </w:r>
      <w:r>
        <w:rPr>
          <w:sz w:val="16"/>
        </w:rPr>
      </w:r>
    </w:p>
    <w:p>
      <w:pPr>
        <w:pStyle w:val="BodyText"/>
        <w:rPr>
          <w:sz w:val="16"/>
        </w:rPr>
      </w:pPr>
    </w:p>
    <w:p>
      <w:pPr>
        <w:pStyle w:val="BodyText"/>
        <w:spacing w:before="8"/>
        <w:rPr>
          <w:sz w:val="22"/>
        </w:rPr>
      </w:pPr>
    </w:p>
    <w:p>
      <w:pPr>
        <w:pStyle w:val="BodyText"/>
        <w:spacing w:before="1"/>
        <w:ind w:left="183"/>
      </w:pPr>
      <w:r>
        <w:rPr/>
        <w:t>$40.00</w:t>
      </w:r>
    </w:p>
    <w:p>
      <w:pPr>
        <w:pStyle w:val="BodyText"/>
        <w:spacing w:line="247" w:lineRule="auto" w:before="118"/>
        <w:ind w:left="226" w:right="2074" w:firstLine="397"/>
      </w:pPr>
      <w:r>
        <w:rPr/>
        <w:br w:type="column"/>
      </w:r>
      <w:r>
        <w:rPr/>
        <w:t>e) EC0076 Evaluación de la Competencia de Candidatos con base en Estándares de Competencia:</w:t>
      </w:r>
    </w:p>
    <w:p>
      <w:pPr>
        <w:pStyle w:val="BodyText"/>
        <w:spacing w:before="7"/>
        <w:rPr>
          <w:sz w:val="18"/>
        </w:rPr>
      </w:pPr>
    </w:p>
    <w:p>
      <w:pPr>
        <w:pStyle w:val="BodyText"/>
        <w:spacing w:before="1"/>
        <w:ind w:left="624"/>
      </w:pPr>
      <w:r>
        <w:rPr/>
        <w:t>IV. Evaluación para la certificación estándar de competencia, por cada evento:</w:t>
      </w:r>
    </w:p>
    <w:p>
      <w:pPr>
        <w:pStyle w:val="BodyText"/>
        <w:tabs>
          <w:tab w:pos="7078" w:val="left" w:leader="none"/>
        </w:tabs>
        <w:spacing w:line="81" w:lineRule="exact" w:before="44"/>
        <w:ind w:left="624"/>
      </w:pPr>
      <w:r>
        <w:rPr/>
        <w:t>a) EC0002 Asistencia primaria de un </w:t>
      </w:r>
      <w:r>
        <w:rPr>
          <w:spacing w:val="6"/>
        </w:rPr>
        <w:t> </w:t>
      </w:r>
      <w:r>
        <w:rPr/>
        <w:t>evento</w:t>
      </w:r>
      <w:r>
        <w:rPr>
          <w:spacing w:val="10"/>
        </w:rPr>
        <w:t> </w:t>
      </w:r>
      <w:r>
        <w:rPr/>
        <w:t>adverso:</w:t>
        <w:tab/>
        <w:t>$2,547.00</w:t>
      </w:r>
    </w:p>
    <w:p>
      <w:pPr>
        <w:spacing w:after="0" w:line="81" w:lineRule="exact"/>
        <w:sectPr>
          <w:type w:val="continuous"/>
          <w:pgSz w:w="23250" w:h="15310" w:orient="landscape"/>
          <w:pgMar w:top="0" w:bottom="0" w:left="1880" w:right="1520"/>
          <w:cols w:num="3" w:equalWidth="0">
            <w:col w:w="4795" w:space="40"/>
            <w:col w:w="695" w:space="6016"/>
            <w:col w:w="8304"/>
          </w:cols>
        </w:sectPr>
      </w:pPr>
    </w:p>
    <w:p>
      <w:pPr>
        <w:pStyle w:val="BodyText"/>
        <w:tabs>
          <w:tab w:pos="4933" w:val="left" w:leader="none"/>
          <w:tab w:pos="5019" w:val="left" w:leader="none"/>
        </w:tabs>
        <w:spacing w:line="247" w:lineRule="auto"/>
        <w:ind w:left="547" w:right="38"/>
        <w:jc w:val="both"/>
      </w:pPr>
      <w:r>
        <w:rPr/>
        <w:t>1.- Menos de 20kg. de peso </w:t>
      </w:r>
      <w:r>
        <w:rPr>
          <w:spacing w:val="1"/>
        </w:rPr>
        <w:t> </w:t>
      </w:r>
      <w:r>
        <w:rPr/>
        <w:t>del</w:t>
      </w:r>
      <w:r>
        <w:rPr>
          <w:spacing w:val="7"/>
        </w:rPr>
        <w:t> </w:t>
      </w:r>
      <w:r>
        <w:rPr/>
        <w:t>animal</w:t>
        <w:tab/>
        <w:tab/>
      </w:r>
      <w:r>
        <w:rPr>
          <w:spacing w:val="-3"/>
        </w:rPr>
        <w:t>$97.00 </w:t>
      </w:r>
      <w:r>
        <w:rPr/>
        <w:t>2.-</w:t>
      </w:r>
      <w:r>
        <w:rPr>
          <w:spacing w:val="5"/>
        </w:rPr>
        <w:t> </w:t>
      </w:r>
      <w:r>
        <w:rPr/>
        <w:t>Más</w:t>
      </w:r>
      <w:r>
        <w:rPr>
          <w:spacing w:val="6"/>
        </w:rPr>
        <w:t> </w:t>
      </w:r>
      <w:r>
        <w:rPr/>
        <w:t>de</w:t>
      </w:r>
      <w:r>
        <w:rPr>
          <w:spacing w:val="6"/>
        </w:rPr>
        <w:t> </w:t>
      </w:r>
      <w:r>
        <w:rPr/>
        <w:t>20</w:t>
      </w:r>
      <w:r>
        <w:rPr>
          <w:spacing w:val="6"/>
        </w:rPr>
        <w:t> </w:t>
      </w:r>
      <w:r>
        <w:rPr/>
        <w:t>kg.</w:t>
      </w:r>
      <w:r>
        <w:rPr>
          <w:spacing w:val="6"/>
        </w:rPr>
        <w:t> </w:t>
      </w:r>
      <w:r>
        <w:rPr/>
        <w:t>y</w:t>
      </w:r>
      <w:r>
        <w:rPr>
          <w:spacing w:val="6"/>
        </w:rPr>
        <w:t> </w:t>
      </w:r>
      <w:r>
        <w:rPr/>
        <w:t>hasta</w:t>
      </w:r>
      <w:r>
        <w:rPr>
          <w:spacing w:val="6"/>
        </w:rPr>
        <w:t> </w:t>
      </w:r>
      <w:r>
        <w:rPr/>
        <w:t>40</w:t>
      </w:r>
      <w:r>
        <w:rPr>
          <w:spacing w:val="6"/>
        </w:rPr>
        <w:t> </w:t>
      </w:r>
      <w:r>
        <w:rPr/>
        <w:t>kg.</w:t>
      </w:r>
      <w:r>
        <w:rPr>
          <w:spacing w:val="6"/>
        </w:rPr>
        <w:t> </w:t>
      </w:r>
      <w:r>
        <w:rPr/>
        <w:t>de</w:t>
      </w:r>
      <w:r>
        <w:rPr>
          <w:spacing w:val="5"/>
        </w:rPr>
        <w:t> </w:t>
      </w:r>
      <w:r>
        <w:rPr/>
        <w:t>peso</w:t>
      </w:r>
      <w:r>
        <w:rPr>
          <w:spacing w:val="6"/>
        </w:rPr>
        <w:t> </w:t>
      </w:r>
      <w:r>
        <w:rPr/>
        <w:t>del</w:t>
      </w:r>
      <w:r>
        <w:rPr>
          <w:spacing w:val="6"/>
        </w:rPr>
        <w:t> </w:t>
      </w:r>
      <w:r>
        <w:rPr/>
        <w:t>animal</w:t>
        <w:tab/>
      </w:r>
      <w:r>
        <w:rPr>
          <w:spacing w:val="-3"/>
        </w:rPr>
        <w:t>$134.00 </w:t>
      </w:r>
      <w:r>
        <w:rPr/>
        <w:t>3.-  Más de 40 kg. de peso </w:t>
      </w:r>
      <w:r>
        <w:rPr>
          <w:spacing w:val="2"/>
        </w:rPr>
        <w:t> </w:t>
      </w:r>
      <w:r>
        <w:rPr/>
        <w:t>del</w:t>
      </w:r>
      <w:r>
        <w:rPr>
          <w:spacing w:val="5"/>
        </w:rPr>
        <w:t> </w:t>
      </w:r>
      <w:r>
        <w:rPr/>
        <w:t>animal</w:t>
        <w:tab/>
      </w:r>
      <w:r>
        <w:rPr>
          <w:spacing w:val="-3"/>
        </w:rPr>
        <w:t>$164.00</w:t>
      </w:r>
    </w:p>
    <w:p>
      <w:pPr>
        <w:pStyle w:val="ListParagraph"/>
        <w:numPr>
          <w:ilvl w:val="0"/>
          <w:numId w:val="170"/>
        </w:numPr>
        <w:tabs>
          <w:tab w:pos="725" w:val="left" w:leader="none"/>
          <w:tab w:pos="5018" w:val="left" w:leader="none"/>
        </w:tabs>
        <w:spacing w:line="171" w:lineRule="exact" w:before="0" w:after="0"/>
        <w:ind w:left="724" w:right="0" w:hanging="178"/>
        <w:jc w:val="left"/>
        <w:rPr>
          <w:sz w:val="15"/>
        </w:rPr>
      </w:pPr>
      <w:r>
        <w:rPr>
          <w:sz w:val="15"/>
        </w:rPr>
        <w:t>Tratamiento para Sarna, por</w:t>
      </w:r>
      <w:r>
        <w:rPr>
          <w:spacing w:val="40"/>
          <w:sz w:val="15"/>
        </w:rPr>
        <w:t> </w:t>
      </w:r>
      <w:r>
        <w:rPr>
          <w:sz w:val="15"/>
        </w:rPr>
        <w:t>cada</w:t>
      </w:r>
      <w:r>
        <w:rPr>
          <w:spacing w:val="11"/>
          <w:sz w:val="15"/>
        </w:rPr>
        <w:t> </w:t>
      </w:r>
      <w:r>
        <w:rPr>
          <w:sz w:val="15"/>
        </w:rPr>
        <w:t>uno:</w:t>
        <w:tab/>
        <w:t>$67.00</w:t>
      </w:r>
    </w:p>
    <w:p>
      <w:pPr>
        <w:pStyle w:val="ListParagraph"/>
        <w:numPr>
          <w:ilvl w:val="0"/>
          <w:numId w:val="170"/>
        </w:numPr>
        <w:tabs>
          <w:tab w:pos="691" w:val="left" w:leader="none"/>
          <w:tab w:pos="5018" w:val="left" w:leader="none"/>
        </w:tabs>
        <w:spacing w:line="240" w:lineRule="auto" w:before="2" w:after="0"/>
        <w:ind w:left="690" w:right="0" w:hanging="144"/>
        <w:jc w:val="left"/>
        <w:rPr>
          <w:sz w:val="15"/>
        </w:rPr>
      </w:pPr>
      <w:r>
        <w:rPr>
          <w:sz w:val="15"/>
        </w:rPr>
        <w:t>Tratamiento</w:t>
      </w:r>
      <w:r>
        <w:rPr>
          <w:spacing w:val="16"/>
          <w:sz w:val="15"/>
        </w:rPr>
        <w:t> </w:t>
      </w:r>
      <w:r>
        <w:rPr>
          <w:sz w:val="15"/>
        </w:rPr>
        <w:t>contra</w:t>
      </w:r>
      <w:r>
        <w:rPr>
          <w:spacing w:val="15"/>
          <w:sz w:val="15"/>
        </w:rPr>
        <w:t> </w:t>
      </w:r>
      <w:r>
        <w:rPr>
          <w:sz w:val="15"/>
        </w:rPr>
        <w:t>garrapatas:</w:t>
        <w:tab/>
        <w:t>$67.00</w:t>
      </w:r>
    </w:p>
    <w:p>
      <w:pPr>
        <w:pStyle w:val="ListParagraph"/>
        <w:numPr>
          <w:ilvl w:val="0"/>
          <w:numId w:val="170"/>
        </w:numPr>
        <w:tabs>
          <w:tab w:pos="719" w:val="left" w:leader="none"/>
          <w:tab w:pos="4933" w:val="left" w:leader="none"/>
        </w:tabs>
        <w:spacing w:line="240" w:lineRule="auto" w:before="5" w:after="0"/>
        <w:ind w:left="718" w:right="0" w:hanging="172"/>
        <w:jc w:val="left"/>
        <w:rPr>
          <w:sz w:val="15"/>
        </w:rPr>
      </w:pPr>
      <w:r>
        <w:rPr>
          <w:sz w:val="15"/>
        </w:rPr>
        <w:t>Cirugía(CX)</w:t>
        <w:tab/>
        <w:t>$146.00</w:t>
      </w:r>
    </w:p>
    <w:p>
      <w:pPr>
        <w:pStyle w:val="ListParagraph"/>
        <w:numPr>
          <w:ilvl w:val="0"/>
          <w:numId w:val="170"/>
        </w:numPr>
        <w:tabs>
          <w:tab w:pos="677" w:val="left" w:leader="none"/>
          <w:tab w:pos="5018" w:val="left" w:leader="none"/>
        </w:tabs>
        <w:spacing w:line="240" w:lineRule="auto" w:before="5" w:after="0"/>
        <w:ind w:left="676" w:right="0" w:hanging="130"/>
        <w:jc w:val="left"/>
        <w:rPr>
          <w:sz w:val="15"/>
        </w:rPr>
      </w:pPr>
      <w:r>
        <w:rPr>
          <w:sz w:val="15"/>
        </w:rPr>
        <w:t>Anestesia</w:t>
      </w:r>
      <w:r>
        <w:rPr>
          <w:spacing w:val="14"/>
          <w:sz w:val="15"/>
        </w:rPr>
        <w:t> </w:t>
      </w:r>
      <w:r>
        <w:rPr>
          <w:sz w:val="15"/>
        </w:rPr>
        <w:t>por</w:t>
      </w:r>
      <w:r>
        <w:rPr>
          <w:spacing w:val="16"/>
          <w:sz w:val="15"/>
        </w:rPr>
        <w:t> </w:t>
      </w:r>
      <w:r>
        <w:rPr>
          <w:sz w:val="15"/>
        </w:rPr>
        <w:t>mililitro:</w:t>
        <w:tab/>
        <w:t>$72.00</w:t>
      </w:r>
    </w:p>
    <w:p>
      <w:pPr>
        <w:pStyle w:val="ListParagraph"/>
        <w:numPr>
          <w:ilvl w:val="0"/>
          <w:numId w:val="170"/>
        </w:numPr>
        <w:tabs>
          <w:tab w:pos="728" w:val="left" w:leader="none"/>
          <w:tab w:pos="5018" w:val="left" w:leader="none"/>
        </w:tabs>
        <w:spacing w:line="240" w:lineRule="auto" w:before="4" w:after="0"/>
        <w:ind w:left="727" w:right="0" w:hanging="181"/>
        <w:jc w:val="left"/>
        <w:rPr>
          <w:sz w:val="15"/>
        </w:rPr>
      </w:pPr>
      <w:r>
        <w:rPr>
          <w:sz w:val="15"/>
        </w:rPr>
        <w:t>Sutura</w:t>
      </w:r>
      <w:r>
        <w:rPr>
          <w:spacing w:val="24"/>
          <w:sz w:val="15"/>
        </w:rPr>
        <w:t> </w:t>
      </w:r>
      <w:r>
        <w:rPr>
          <w:sz w:val="15"/>
        </w:rPr>
        <w:t>(sobre):</w:t>
        <w:tab/>
        <w:t>$46.00</w:t>
      </w:r>
    </w:p>
    <w:p>
      <w:pPr>
        <w:pStyle w:val="ListParagraph"/>
        <w:numPr>
          <w:ilvl w:val="0"/>
          <w:numId w:val="170"/>
        </w:numPr>
        <w:tabs>
          <w:tab w:pos="719" w:val="left" w:leader="none"/>
        </w:tabs>
        <w:spacing w:line="244" w:lineRule="auto" w:before="5" w:after="0"/>
        <w:ind w:left="547" w:right="992" w:firstLine="0"/>
        <w:jc w:val="left"/>
        <w:rPr>
          <w:sz w:val="15"/>
        </w:rPr>
      </w:pPr>
      <w:r>
        <w:rPr>
          <w:sz w:val="15"/>
        </w:rPr>
        <w:t>Medicamento fuera del cuadro básico, por cada mililitro: 1.- Citrato de</w:t>
      </w:r>
      <w:r>
        <w:rPr>
          <w:spacing w:val="4"/>
          <w:sz w:val="15"/>
        </w:rPr>
        <w:t> </w:t>
      </w:r>
      <w:r>
        <w:rPr>
          <w:sz w:val="15"/>
        </w:rPr>
        <w:t>Maropitant:</w:t>
      </w:r>
    </w:p>
    <w:p>
      <w:pPr>
        <w:pStyle w:val="BodyText"/>
        <w:rPr>
          <w:sz w:val="16"/>
        </w:rPr>
      </w:pPr>
      <w:r>
        <w:rPr/>
        <w:br w:type="column"/>
      </w:r>
      <w:r>
        <w:rPr>
          <w:sz w:val="16"/>
        </w:rPr>
      </w:r>
    </w:p>
    <w:p>
      <w:pPr>
        <w:pStyle w:val="ListParagraph"/>
        <w:numPr>
          <w:ilvl w:val="1"/>
          <w:numId w:val="170"/>
        </w:numPr>
        <w:tabs>
          <w:tab w:pos="1125" w:val="left" w:leader="none"/>
        </w:tabs>
        <w:spacing w:line="240" w:lineRule="auto" w:before="128" w:after="0"/>
        <w:ind w:left="1124" w:right="0" w:hanging="180"/>
        <w:jc w:val="left"/>
        <w:rPr>
          <w:sz w:val="15"/>
        </w:rPr>
      </w:pPr>
      <w:r>
        <w:rPr>
          <w:sz w:val="15"/>
        </w:rPr>
        <w:t>EC0290 Atención de incendios que involucran materiales productos y</w:t>
      </w:r>
      <w:r>
        <w:rPr>
          <w:spacing w:val="16"/>
          <w:sz w:val="15"/>
        </w:rPr>
        <w:t> </w:t>
      </w:r>
      <w:r>
        <w:rPr>
          <w:sz w:val="15"/>
        </w:rPr>
        <w:t>sustancias</w:t>
      </w:r>
    </w:p>
    <w:p>
      <w:pPr>
        <w:pStyle w:val="BodyText"/>
        <w:tabs>
          <w:tab w:pos="7399" w:val="left" w:leader="none"/>
        </w:tabs>
        <w:spacing w:before="5"/>
        <w:ind w:left="547"/>
      </w:pPr>
      <w:r>
        <w:rPr/>
        <w:t>químicas:</w:t>
        <w:tab/>
        <w:t>$2,547.00</w:t>
      </w:r>
    </w:p>
    <w:p>
      <w:pPr>
        <w:pStyle w:val="BodyText"/>
        <w:spacing w:before="2"/>
        <w:rPr>
          <w:sz w:val="19"/>
        </w:rPr>
      </w:pPr>
    </w:p>
    <w:p>
      <w:pPr>
        <w:pStyle w:val="ListParagraph"/>
        <w:numPr>
          <w:ilvl w:val="1"/>
          <w:numId w:val="170"/>
        </w:numPr>
        <w:tabs>
          <w:tab w:pos="1117" w:val="left" w:leader="none"/>
          <w:tab w:pos="7399" w:val="left" w:leader="none"/>
        </w:tabs>
        <w:spacing w:line="240" w:lineRule="auto" w:before="0" w:after="0"/>
        <w:ind w:left="1116" w:right="0" w:hanging="172"/>
        <w:jc w:val="left"/>
        <w:rPr>
          <w:sz w:val="15"/>
        </w:rPr>
      </w:pPr>
      <w:r>
        <w:rPr>
          <w:sz w:val="15"/>
        </w:rPr>
        <w:t>EC0426 Combate y  extinción de</w:t>
      </w:r>
      <w:r>
        <w:rPr>
          <w:spacing w:val="32"/>
          <w:sz w:val="15"/>
        </w:rPr>
        <w:t> </w:t>
      </w:r>
      <w:r>
        <w:rPr>
          <w:sz w:val="15"/>
        </w:rPr>
        <w:t>incendios</w:t>
      </w:r>
      <w:r>
        <w:rPr>
          <w:spacing w:val="15"/>
          <w:sz w:val="15"/>
        </w:rPr>
        <w:t> </w:t>
      </w:r>
      <w:r>
        <w:rPr>
          <w:sz w:val="15"/>
        </w:rPr>
        <w:t>estructurales:</w:t>
        <w:tab/>
        <w:t>$2,547.00</w:t>
      </w:r>
    </w:p>
    <w:p>
      <w:pPr>
        <w:pStyle w:val="BodyText"/>
        <w:spacing w:before="3"/>
        <w:rPr>
          <w:sz w:val="19"/>
        </w:rPr>
      </w:pPr>
    </w:p>
    <w:p>
      <w:pPr>
        <w:pStyle w:val="ListParagraph"/>
        <w:numPr>
          <w:ilvl w:val="1"/>
          <w:numId w:val="170"/>
        </w:numPr>
        <w:tabs>
          <w:tab w:pos="1125" w:val="left" w:leader="none"/>
        </w:tabs>
        <w:spacing w:line="240" w:lineRule="auto" w:before="0" w:after="0"/>
        <w:ind w:left="1124" w:right="0" w:hanging="180"/>
        <w:jc w:val="left"/>
        <w:rPr>
          <w:sz w:val="15"/>
        </w:rPr>
      </w:pPr>
      <w:r>
        <w:rPr>
          <w:sz w:val="15"/>
        </w:rPr>
        <w:t>EC0594 Implementación del Sistema de Comando de Incidentes en</w:t>
      </w:r>
      <w:r>
        <w:rPr>
          <w:spacing w:val="24"/>
          <w:sz w:val="15"/>
        </w:rPr>
        <w:t> </w:t>
      </w:r>
      <w:r>
        <w:rPr>
          <w:sz w:val="15"/>
        </w:rPr>
        <w:t>periodo</w:t>
      </w:r>
    </w:p>
    <w:p>
      <w:pPr>
        <w:pStyle w:val="BodyText"/>
        <w:tabs>
          <w:tab w:pos="7397" w:val="left" w:leader="none"/>
        </w:tabs>
        <w:spacing w:before="4"/>
        <w:ind w:left="547"/>
      </w:pPr>
      <w:r>
        <w:rPr/>
        <w:t>inicial:</w:t>
        <w:tab/>
        <w:t>$2,547.00</w:t>
      </w:r>
    </w:p>
    <w:p>
      <w:pPr>
        <w:spacing w:after="0"/>
        <w:sectPr>
          <w:type w:val="continuous"/>
          <w:pgSz w:w="23250" w:h="15310" w:orient="landscape"/>
          <w:pgMar w:top="0" w:bottom="0" w:left="1880" w:right="1520"/>
          <w:cols w:num="2" w:equalWidth="0">
            <w:col w:w="5531" w:space="5695"/>
            <w:col w:w="8624"/>
          </w:cols>
        </w:sectPr>
      </w:pPr>
    </w:p>
    <w:p>
      <w:pPr>
        <w:pStyle w:val="BodyText"/>
        <w:spacing w:before="2"/>
        <w:ind w:left="547"/>
      </w:pPr>
      <w:r>
        <w:rPr/>
        <w:t>2.- Hepatoprotector:</w:t>
      </w:r>
    </w:p>
    <w:p>
      <w:pPr>
        <w:pStyle w:val="BodyText"/>
        <w:spacing w:before="5"/>
        <w:ind w:left="547"/>
      </w:pPr>
      <w:r>
        <w:rPr/>
        <w:t>3.-</w:t>
      </w:r>
      <w:r>
        <w:rPr>
          <w:spacing w:val="20"/>
        </w:rPr>
        <w:t> </w:t>
      </w:r>
      <w:r>
        <w:rPr/>
        <w:t>Inmunest</w:t>
      </w:r>
    </w:p>
    <w:p>
      <w:pPr>
        <w:pStyle w:val="BodyText"/>
        <w:spacing w:before="4"/>
        <w:ind w:left="547"/>
      </w:pPr>
      <w:r>
        <w:rPr/>
        <w:t>4.-</w:t>
      </w:r>
      <w:r>
        <w:rPr>
          <w:spacing w:val="17"/>
        </w:rPr>
        <w:t> </w:t>
      </w:r>
      <w:r>
        <w:rPr/>
        <w:t>Soludelta</w:t>
      </w:r>
    </w:p>
    <w:p>
      <w:pPr>
        <w:pStyle w:val="BodyText"/>
        <w:spacing w:before="5"/>
        <w:ind w:left="547"/>
      </w:pPr>
      <w:r>
        <w:rPr/>
        <w:t>5.- Analéptico cardiorespiratorio:</w:t>
      </w:r>
    </w:p>
    <w:p>
      <w:pPr>
        <w:pStyle w:val="BodyText"/>
        <w:spacing w:before="4"/>
        <w:ind w:left="547"/>
      </w:pPr>
      <w:r>
        <w:rPr/>
        <w:t>6.- Estimulante respiratorio</w:t>
      </w:r>
    </w:p>
    <w:p>
      <w:pPr>
        <w:pStyle w:val="BodyText"/>
        <w:spacing w:before="5"/>
        <w:ind w:left="547"/>
      </w:pPr>
      <w:r>
        <w:rPr/>
        <w:t>7.- Voluven</w:t>
      </w:r>
    </w:p>
    <w:p>
      <w:pPr>
        <w:pStyle w:val="BodyText"/>
        <w:spacing w:before="5"/>
        <w:ind w:left="547"/>
      </w:pPr>
      <w:r>
        <w:rPr/>
        <w:t>8.- Ectoline aplicación</w:t>
      </w:r>
    </w:p>
    <w:p>
      <w:pPr>
        <w:pStyle w:val="BodyText"/>
        <w:spacing w:before="4"/>
        <w:ind w:left="547"/>
      </w:pPr>
      <w:r>
        <w:rPr/>
        <w:t>9.- Trak aplicación</w:t>
      </w:r>
    </w:p>
    <w:p>
      <w:pPr>
        <w:pStyle w:val="BodyText"/>
        <w:spacing w:before="5"/>
        <w:ind w:left="547"/>
      </w:pPr>
      <w:r>
        <w:rPr/>
        <w:t>10.- Piroflox pastilla</w:t>
      </w:r>
    </w:p>
    <w:p>
      <w:pPr>
        <w:pStyle w:val="BodyText"/>
        <w:spacing w:before="5"/>
        <w:ind w:left="547"/>
      </w:pPr>
      <w:r>
        <w:rPr/>
        <w:t>11.- Ivermectina aplicación</w:t>
      </w:r>
    </w:p>
    <w:p>
      <w:pPr>
        <w:pStyle w:val="BodyText"/>
        <w:spacing w:before="2"/>
        <w:ind w:left="633"/>
      </w:pPr>
      <w:r>
        <w:rPr/>
        <w:br w:type="column"/>
      </w:r>
      <w:r>
        <w:rPr/>
        <w:t>$80.00</w:t>
      </w:r>
    </w:p>
    <w:p>
      <w:pPr>
        <w:pStyle w:val="BodyText"/>
        <w:spacing w:before="5"/>
        <w:ind w:left="633"/>
      </w:pPr>
      <w:r>
        <w:rPr/>
        <w:t>$10.00</w:t>
      </w:r>
    </w:p>
    <w:p>
      <w:pPr>
        <w:pStyle w:val="BodyText"/>
        <w:spacing w:before="4"/>
        <w:ind w:left="547"/>
      </w:pPr>
      <w:r>
        <w:rPr/>
        <w:t>$122.00</w:t>
      </w:r>
    </w:p>
    <w:p>
      <w:pPr>
        <w:pStyle w:val="BodyText"/>
        <w:spacing w:before="5"/>
        <w:ind w:left="633"/>
      </w:pPr>
      <w:r>
        <w:rPr/>
        <w:t>$72.00</w:t>
      </w:r>
    </w:p>
    <w:p>
      <w:pPr>
        <w:pStyle w:val="BodyText"/>
        <w:spacing w:before="4"/>
        <w:ind w:left="633"/>
      </w:pPr>
      <w:r>
        <w:rPr/>
        <w:t>$43.00</w:t>
      </w:r>
    </w:p>
    <w:p>
      <w:pPr>
        <w:pStyle w:val="BodyText"/>
        <w:spacing w:before="5"/>
        <w:ind w:left="633"/>
      </w:pPr>
      <w:r>
        <w:rPr/>
        <w:t>$43.00</w:t>
      </w:r>
    </w:p>
    <w:p>
      <w:pPr>
        <w:pStyle w:val="BodyText"/>
        <w:spacing w:before="4"/>
        <w:ind w:left="633"/>
      </w:pPr>
      <w:r>
        <w:rPr/>
        <w:t>$14.00</w:t>
      </w:r>
    </w:p>
    <w:p>
      <w:pPr>
        <w:pStyle w:val="BodyText"/>
        <w:spacing w:before="5"/>
        <w:ind w:left="633"/>
      </w:pPr>
      <w:r>
        <w:rPr/>
        <w:t>$38.00</w:t>
      </w:r>
    </w:p>
    <w:p>
      <w:pPr>
        <w:pStyle w:val="BodyText"/>
        <w:spacing w:before="5"/>
        <w:ind w:left="633"/>
      </w:pPr>
      <w:r>
        <w:rPr/>
        <w:t>$38.00</w:t>
      </w:r>
    </w:p>
    <w:p>
      <w:pPr>
        <w:pStyle w:val="BodyText"/>
        <w:spacing w:before="5"/>
        <w:ind w:left="633"/>
      </w:pPr>
      <w:r>
        <w:rPr/>
        <w:t>$14.00</w:t>
      </w:r>
    </w:p>
    <w:p>
      <w:pPr>
        <w:pStyle w:val="BodyText"/>
        <w:spacing w:before="3"/>
        <w:ind w:left="633"/>
      </w:pPr>
      <w:r>
        <w:rPr/>
        <w:t>$38.00</w:t>
      </w:r>
    </w:p>
    <w:p>
      <w:pPr>
        <w:pStyle w:val="ListParagraph"/>
        <w:numPr>
          <w:ilvl w:val="1"/>
          <w:numId w:val="170"/>
        </w:numPr>
        <w:tabs>
          <w:tab w:pos="1125" w:val="left" w:leader="none"/>
        </w:tabs>
        <w:spacing w:line="240" w:lineRule="auto" w:before="80" w:after="0"/>
        <w:ind w:left="1124" w:right="0" w:hanging="180"/>
        <w:jc w:val="left"/>
        <w:rPr>
          <w:sz w:val="15"/>
        </w:rPr>
      </w:pPr>
      <w:r>
        <w:rPr>
          <w:w w:val="102"/>
          <w:sz w:val="15"/>
        </w:rPr>
        <w:br w:type="column"/>
      </w:r>
      <w:r>
        <w:rPr>
          <w:sz w:val="15"/>
        </w:rPr>
        <w:t>EC0076 Evaluación de la Competencia de Candidatos con base en</w:t>
      </w:r>
      <w:r>
        <w:rPr>
          <w:spacing w:val="28"/>
          <w:sz w:val="15"/>
        </w:rPr>
        <w:t> </w:t>
      </w:r>
      <w:r>
        <w:rPr>
          <w:sz w:val="15"/>
        </w:rPr>
        <w:t>Estándares</w:t>
      </w:r>
    </w:p>
    <w:p>
      <w:pPr>
        <w:pStyle w:val="BodyText"/>
        <w:tabs>
          <w:tab w:pos="7397" w:val="left" w:leader="none"/>
        </w:tabs>
        <w:spacing w:before="4"/>
        <w:ind w:left="547"/>
      </w:pPr>
      <w:r>
        <w:rPr/>
        <w:t>de</w:t>
      </w:r>
      <w:r>
        <w:rPr>
          <w:spacing w:val="9"/>
        </w:rPr>
        <w:t> </w:t>
      </w:r>
      <w:r>
        <w:rPr/>
        <w:t>Competencia:</w:t>
        <w:tab/>
        <w:t>$2,547.00</w:t>
      </w:r>
    </w:p>
    <w:p>
      <w:pPr>
        <w:pStyle w:val="BodyText"/>
        <w:spacing w:before="6"/>
        <w:rPr>
          <w:sz w:val="17"/>
        </w:rPr>
      </w:pPr>
    </w:p>
    <w:p>
      <w:pPr>
        <w:pStyle w:val="BodyText"/>
        <w:spacing w:line="247" w:lineRule="auto"/>
        <w:ind w:left="547" w:right="509" w:firstLine="397"/>
        <w:jc w:val="both"/>
      </w:pPr>
      <w:r>
        <w:rPr/>
        <w:t>Los servicios a que se refiere el presente artículo podrán ser permutados por una contraprestación en especie a favor de la Dirección General de Protección Civil y Bomberos equivalente al valor de los derechos    que se generen, previo convenio al que se adhieran autorizado por el Ayuntamiento, con excepción de los señalados en los incisos III y</w:t>
      </w:r>
      <w:r>
        <w:rPr>
          <w:spacing w:val="8"/>
        </w:rPr>
        <w:t> </w:t>
      </w:r>
      <w:r>
        <w:rPr>
          <w:spacing w:val="-5"/>
        </w:rPr>
        <w:t>IV.</w:t>
      </w:r>
    </w:p>
    <w:p>
      <w:pPr>
        <w:pStyle w:val="BodyText"/>
        <w:spacing w:before="3"/>
      </w:pPr>
    </w:p>
    <w:p>
      <w:pPr>
        <w:pStyle w:val="Heading4"/>
        <w:ind w:left="3255" w:right="2822"/>
      </w:pPr>
      <w:r>
        <w:rPr/>
        <w:t>CAPITULO QUINTO</w:t>
      </w:r>
    </w:p>
    <w:p>
      <w:pPr>
        <w:spacing w:before="4"/>
        <w:ind w:left="3255" w:right="2821" w:firstLine="0"/>
        <w:jc w:val="center"/>
        <w:rPr>
          <w:b/>
          <w:sz w:val="15"/>
        </w:rPr>
      </w:pPr>
      <w:r>
        <w:rPr>
          <w:b/>
          <w:sz w:val="15"/>
        </w:rPr>
        <w:t>De los Accesorios de los Derechos</w:t>
      </w:r>
    </w:p>
    <w:p>
      <w:pPr>
        <w:spacing w:after="0"/>
        <w:jc w:val="center"/>
        <w:rPr>
          <w:sz w:val="15"/>
        </w:rPr>
        <w:sectPr>
          <w:type w:val="continuous"/>
          <w:pgSz w:w="23250" w:h="15310" w:orient="landscape"/>
          <w:pgMar w:top="0" w:bottom="0" w:left="1880" w:right="1520"/>
          <w:cols w:num="3" w:equalWidth="0">
            <w:col w:w="2797" w:space="1589"/>
            <w:col w:w="1145" w:space="5695"/>
            <w:col w:w="8624"/>
          </w:cols>
        </w:sectPr>
      </w:pPr>
    </w:p>
    <w:p>
      <w:pPr>
        <w:pStyle w:val="ListParagraph"/>
        <w:numPr>
          <w:ilvl w:val="0"/>
          <w:numId w:val="170"/>
        </w:numPr>
        <w:tabs>
          <w:tab w:pos="640" w:val="left" w:leader="none"/>
        </w:tabs>
        <w:spacing w:line="247" w:lineRule="auto" w:before="5" w:after="0"/>
        <w:ind w:left="151" w:right="39" w:firstLine="251"/>
        <w:jc w:val="left"/>
        <w:rPr>
          <w:sz w:val="15"/>
        </w:rPr>
      </w:pPr>
      <w:r>
        <w:rPr>
          <w:sz w:val="15"/>
        </w:rPr>
        <w:t>Procedimientos quirúrgicos dependiendo el peso del animal, el tipo de procedimiento y el material utilizado, el costo lo determinará la</w:t>
      </w:r>
      <w:r>
        <w:rPr>
          <w:spacing w:val="7"/>
          <w:sz w:val="15"/>
        </w:rPr>
        <w:t> </w:t>
      </w:r>
      <w:r>
        <w:rPr>
          <w:sz w:val="15"/>
        </w:rPr>
        <w:t>UNASAM.</w:t>
      </w:r>
    </w:p>
    <w:p>
      <w:pPr>
        <w:pStyle w:val="BodyText"/>
        <w:spacing w:before="4"/>
      </w:pPr>
    </w:p>
    <w:p>
      <w:pPr>
        <w:pStyle w:val="BodyText"/>
        <w:spacing w:line="244" w:lineRule="auto"/>
        <w:ind w:left="151" w:right="77" w:firstLine="252"/>
      </w:pPr>
      <w:r>
        <w:rPr/>
        <w:t>Para asociaciones o personas físicas debidamente registradas en la UNASAM como protectoras de animales,</w:t>
      </w:r>
      <w:r>
        <w:rPr>
          <w:spacing w:val="8"/>
        </w:rPr>
        <w:t> </w:t>
      </w:r>
      <w:r>
        <w:rPr/>
        <w:t>la</w:t>
      </w:r>
      <w:r>
        <w:rPr>
          <w:spacing w:val="5"/>
        </w:rPr>
        <w:t> </w:t>
      </w:r>
      <w:r>
        <w:rPr/>
        <w:t>Tesorería</w:t>
      </w:r>
      <w:r>
        <w:rPr>
          <w:spacing w:val="9"/>
        </w:rPr>
        <w:t> </w:t>
      </w:r>
      <w:r>
        <w:rPr/>
        <w:t>Municipal</w:t>
      </w:r>
      <w:r>
        <w:rPr>
          <w:spacing w:val="9"/>
        </w:rPr>
        <w:t> </w:t>
      </w:r>
      <w:r>
        <w:rPr/>
        <w:t>podrá</w:t>
      </w:r>
      <w:r>
        <w:rPr>
          <w:spacing w:val="8"/>
        </w:rPr>
        <w:t> </w:t>
      </w:r>
      <w:r>
        <w:rPr/>
        <w:t>conceder</w:t>
      </w:r>
      <w:r>
        <w:rPr>
          <w:spacing w:val="8"/>
        </w:rPr>
        <w:t> </w:t>
      </w:r>
      <w:r>
        <w:rPr/>
        <w:t>hasta</w:t>
      </w:r>
      <w:r>
        <w:rPr>
          <w:spacing w:val="9"/>
        </w:rPr>
        <w:t> </w:t>
      </w:r>
      <w:r>
        <w:rPr/>
        <w:t>50%</w:t>
      </w:r>
      <w:r>
        <w:rPr>
          <w:spacing w:val="9"/>
        </w:rPr>
        <w:t> </w:t>
      </w:r>
      <w:r>
        <w:rPr/>
        <w:t>de</w:t>
      </w:r>
      <w:r>
        <w:rPr>
          <w:spacing w:val="9"/>
        </w:rPr>
        <w:t> </w:t>
      </w:r>
      <w:r>
        <w:rPr/>
        <w:t>descuento</w:t>
      </w:r>
      <w:r>
        <w:rPr>
          <w:spacing w:val="9"/>
        </w:rPr>
        <w:t> </w:t>
      </w:r>
      <w:r>
        <w:rPr/>
        <w:t>previo</w:t>
      </w:r>
      <w:r>
        <w:rPr>
          <w:spacing w:val="9"/>
        </w:rPr>
        <w:t> </w:t>
      </w:r>
      <w:r>
        <w:rPr/>
        <w:t>visto</w:t>
      </w:r>
      <w:r>
        <w:rPr>
          <w:spacing w:val="9"/>
        </w:rPr>
        <w:t> </w:t>
      </w:r>
      <w:r>
        <w:rPr/>
        <w:t>bueno</w:t>
      </w:r>
      <w:r>
        <w:rPr>
          <w:spacing w:val="9"/>
        </w:rPr>
        <w:t> </w:t>
      </w:r>
      <w:r>
        <w:rPr/>
        <w:t>de</w:t>
      </w:r>
      <w:r>
        <w:rPr>
          <w:spacing w:val="9"/>
        </w:rPr>
        <w:t> </w:t>
      </w:r>
      <w:r>
        <w:rPr/>
        <w:t>la</w:t>
      </w:r>
      <w:r>
        <w:rPr>
          <w:spacing w:val="8"/>
        </w:rPr>
        <w:t> </w:t>
      </w:r>
      <w:r>
        <w:rPr/>
        <w:t>UNASAM.</w:t>
      </w:r>
    </w:p>
    <w:p>
      <w:pPr>
        <w:pStyle w:val="BodyText"/>
        <w:spacing w:before="6"/>
      </w:pPr>
    </w:p>
    <w:p>
      <w:pPr>
        <w:pStyle w:val="BodyText"/>
        <w:spacing w:line="247" w:lineRule="auto" w:before="1"/>
        <w:ind w:left="151" w:firstLine="251"/>
      </w:pPr>
      <w:r>
        <w:rPr/>
        <w:t>A los propietarios que demuestren tener esterilizada a su mascota y mantenerla en buenas condiciones la Tesorería Municipal les podrá otorgar hasta el 50% de descuento previo visto bueno de la UNASAM.</w:t>
      </w:r>
    </w:p>
    <w:p>
      <w:pPr>
        <w:pStyle w:val="BodyText"/>
        <w:spacing w:before="3"/>
      </w:pPr>
    </w:p>
    <w:p>
      <w:pPr>
        <w:pStyle w:val="BodyText"/>
        <w:spacing w:line="244" w:lineRule="auto"/>
        <w:ind w:left="151" w:right="199" w:firstLine="397"/>
      </w:pPr>
      <w:r>
        <w:rPr/>
        <w:t>Tratándose de servicios prestados por la UNASAM, las tarifas que no estén contempladas en esta ley serán cobradas según el valor del mercado determinado por la propia</w:t>
      </w:r>
      <w:r>
        <w:rPr>
          <w:spacing w:val="35"/>
        </w:rPr>
        <w:t> </w:t>
      </w:r>
      <w:r>
        <w:rPr/>
        <w:t>dependencia.</w:t>
      </w:r>
    </w:p>
    <w:p>
      <w:pPr>
        <w:pStyle w:val="BodyText"/>
        <w:spacing w:before="7"/>
      </w:pPr>
    </w:p>
    <w:p>
      <w:pPr>
        <w:pStyle w:val="BodyText"/>
        <w:spacing w:line="247" w:lineRule="auto"/>
        <w:ind w:left="151" w:firstLine="397"/>
      </w:pPr>
      <w:r>
        <w:rPr>
          <w:b/>
        </w:rPr>
        <w:t>Artículo 117.- </w:t>
      </w:r>
      <w:r>
        <w:rPr/>
        <w:t>Por prestar servicios de capacitación de primeros auxilios, uso y manejo de extintores, evacuación, manejo de materiales peligrosos y otros, por la Dirección General de Protección Civil y Bomberos:</w:t>
      </w:r>
    </w:p>
    <w:p>
      <w:pPr>
        <w:pStyle w:val="BodyText"/>
        <w:spacing w:line="247" w:lineRule="auto" w:before="103"/>
        <w:ind w:left="151" w:right="748" w:firstLine="397"/>
      </w:pPr>
      <w:r>
        <w:rPr/>
        <w:br w:type="column"/>
      </w:r>
      <w:r>
        <w:rPr>
          <w:b/>
        </w:rPr>
        <w:t>Artículo 118.- </w:t>
      </w:r>
      <w:r>
        <w:rPr/>
        <w:t>Los ingresos por concepto de accesorios derivados de la falta de pago oportuno de las contribuciones establecidas en esta ley, son los que se perciben por:</w:t>
      </w:r>
    </w:p>
    <w:p>
      <w:pPr>
        <w:pStyle w:val="BodyText"/>
        <w:spacing w:before="2"/>
      </w:pPr>
    </w:p>
    <w:p>
      <w:pPr>
        <w:pStyle w:val="ListParagraph"/>
        <w:numPr>
          <w:ilvl w:val="0"/>
          <w:numId w:val="171"/>
        </w:numPr>
        <w:tabs>
          <w:tab w:pos="686" w:val="left" w:leader="none"/>
        </w:tabs>
        <w:spacing w:line="247" w:lineRule="auto" w:before="1" w:after="0"/>
        <w:ind w:left="151" w:right="512" w:firstLine="397"/>
        <w:jc w:val="left"/>
        <w:rPr>
          <w:sz w:val="15"/>
        </w:rPr>
      </w:pPr>
      <w:r>
        <w:rPr>
          <w:sz w:val="15"/>
        </w:rPr>
        <w:t>Recargos: Los que se causarán conforme a las reglas establecidas por la Ley de Hacienda Municipal   del Estado de</w:t>
      </w:r>
      <w:r>
        <w:rPr>
          <w:spacing w:val="3"/>
          <w:sz w:val="15"/>
        </w:rPr>
        <w:t> </w:t>
      </w:r>
      <w:r>
        <w:rPr>
          <w:sz w:val="15"/>
        </w:rPr>
        <w:t>Jalisco;</w:t>
      </w:r>
    </w:p>
    <w:p>
      <w:pPr>
        <w:pStyle w:val="BodyText"/>
        <w:spacing w:before="3"/>
      </w:pPr>
    </w:p>
    <w:p>
      <w:pPr>
        <w:pStyle w:val="ListParagraph"/>
        <w:numPr>
          <w:ilvl w:val="0"/>
          <w:numId w:val="171"/>
        </w:numPr>
        <w:tabs>
          <w:tab w:pos="712" w:val="left" w:leader="none"/>
        </w:tabs>
        <w:spacing w:line="240" w:lineRule="auto" w:before="0" w:after="0"/>
        <w:ind w:left="711" w:right="0" w:hanging="164"/>
        <w:jc w:val="left"/>
        <w:rPr>
          <w:sz w:val="15"/>
        </w:rPr>
      </w:pPr>
      <w:r>
        <w:rPr>
          <w:sz w:val="15"/>
        </w:rPr>
        <w:t>Actualización;</w:t>
      </w:r>
    </w:p>
    <w:p>
      <w:pPr>
        <w:pStyle w:val="BodyText"/>
        <w:spacing w:before="10"/>
      </w:pPr>
    </w:p>
    <w:p>
      <w:pPr>
        <w:pStyle w:val="ListParagraph"/>
        <w:numPr>
          <w:ilvl w:val="0"/>
          <w:numId w:val="171"/>
        </w:numPr>
        <w:tabs>
          <w:tab w:pos="763" w:val="left" w:leader="none"/>
        </w:tabs>
        <w:spacing w:line="240" w:lineRule="auto" w:before="0" w:after="0"/>
        <w:ind w:left="762" w:right="0" w:hanging="215"/>
        <w:jc w:val="left"/>
        <w:rPr>
          <w:sz w:val="15"/>
        </w:rPr>
      </w:pPr>
      <w:r>
        <w:rPr>
          <w:sz w:val="15"/>
        </w:rPr>
        <w:t>Multas;</w:t>
      </w:r>
    </w:p>
    <w:p>
      <w:pPr>
        <w:pStyle w:val="BodyText"/>
        <w:spacing w:before="8"/>
      </w:pPr>
    </w:p>
    <w:p>
      <w:pPr>
        <w:pStyle w:val="ListParagraph"/>
        <w:numPr>
          <w:ilvl w:val="0"/>
          <w:numId w:val="171"/>
        </w:numPr>
        <w:tabs>
          <w:tab w:pos="766" w:val="left" w:leader="none"/>
        </w:tabs>
        <w:spacing w:line="240" w:lineRule="auto" w:before="1" w:after="0"/>
        <w:ind w:left="765" w:right="0" w:hanging="218"/>
        <w:jc w:val="left"/>
        <w:rPr>
          <w:sz w:val="15"/>
        </w:rPr>
      </w:pPr>
      <w:r>
        <w:rPr>
          <w:sz w:val="15"/>
        </w:rPr>
        <w:t>Intereses;</w:t>
      </w:r>
    </w:p>
    <w:p>
      <w:pPr>
        <w:pStyle w:val="BodyText"/>
        <w:spacing w:before="9"/>
      </w:pPr>
    </w:p>
    <w:p>
      <w:pPr>
        <w:pStyle w:val="ListParagraph"/>
        <w:numPr>
          <w:ilvl w:val="0"/>
          <w:numId w:val="171"/>
        </w:numPr>
        <w:tabs>
          <w:tab w:pos="723" w:val="left" w:leader="none"/>
        </w:tabs>
        <w:spacing w:line="240" w:lineRule="auto" w:before="0" w:after="0"/>
        <w:ind w:left="722" w:right="0" w:hanging="175"/>
        <w:jc w:val="left"/>
        <w:rPr>
          <w:sz w:val="15"/>
        </w:rPr>
      </w:pPr>
      <w:r>
        <w:rPr>
          <w:sz w:val="15"/>
        </w:rPr>
        <w:t>Gastos de notificación y</w:t>
      </w:r>
      <w:r>
        <w:rPr>
          <w:spacing w:val="5"/>
          <w:sz w:val="15"/>
        </w:rPr>
        <w:t> </w:t>
      </w:r>
      <w:r>
        <w:rPr>
          <w:sz w:val="15"/>
        </w:rPr>
        <w:t>ejecución;</w:t>
      </w:r>
    </w:p>
    <w:p>
      <w:pPr>
        <w:spacing w:after="0" w:line="240" w:lineRule="auto"/>
        <w:jc w:val="left"/>
        <w:rPr>
          <w:sz w:val="15"/>
        </w:rPr>
        <w:sectPr>
          <w:type w:val="continuous"/>
          <w:pgSz w:w="23250" w:h="15310" w:orient="landscape"/>
          <w:pgMar w:top="0" w:bottom="0" w:left="1880" w:right="1520"/>
          <w:cols w:num="2" w:equalWidth="0">
            <w:col w:w="7751" w:space="3871"/>
            <w:col w:w="8228"/>
          </w:cols>
        </w:sectPr>
      </w:pPr>
    </w:p>
    <w:p>
      <w:pPr>
        <w:pStyle w:val="BodyText"/>
        <w:spacing w:before="5"/>
        <w:rPr>
          <w:sz w:val="8"/>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04"/>
        <w:gridCol w:w="3627"/>
        <w:gridCol w:w="9653"/>
      </w:tblGrid>
      <w:tr>
        <w:trPr>
          <w:trHeight w:val="243" w:hRule="atLeast"/>
        </w:trPr>
        <w:tc>
          <w:tcPr>
            <w:tcW w:w="5604" w:type="dxa"/>
          </w:tcPr>
          <w:p>
            <w:pPr>
              <w:pStyle w:val="TableParagraph"/>
              <w:spacing w:line="94" w:lineRule="exact"/>
              <w:ind w:left="50"/>
              <w:rPr>
                <w:sz w:val="15"/>
              </w:rPr>
            </w:pPr>
            <w:r>
              <w:rPr>
                <w:sz w:val="15"/>
              </w:rPr>
              <w:t>I. Capacitación menor de 10 horas por persona:</w:t>
            </w:r>
          </w:p>
        </w:tc>
        <w:tc>
          <w:tcPr>
            <w:tcW w:w="3627" w:type="dxa"/>
          </w:tcPr>
          <w:p>
            <w:pPr>
              <w:pStyle w:val="TableParagraph"/>
              <w:spacing w:line="94" w:lineRule="exact"/>
              <w:ind w:right="2043"/>
              <w:jc w:val="right"/>
              <w:rPr>
                <w:sz w:val="15"/>
              </w:rPr>
            </w:pPr>
            <w:r>
              <w:rPr>
                <w:sz w:val="15"/>
              </w:rPr>
              <w:t>$505.00</w:t>
            </w:r>
          </w:p>
        </w:tc>
        <w:tc>
          <w:tcPr>
            <w:tcW w:w="9653" w:type="dxa"/>
          </w:tcPr>
          <w:p>
            <w:pPr>
              <w:pStyle w:val="TableParagraph"/>
              <w:spacing w:line="171" w:lineRule="exact"/>
              <w:ind w:left="2441"/>
              <w:rPr>
                <w:sz w:val="15"/>
              </w:rPr>
            </w:pPr>
            <w:r>
              <w:rPr>
                <w:sz w:val="15"/>
              </w:rPr>
              <w:t>VI. Indemnizaciones, y</w:t>
            </w:r>
          </w:p>
        </w:tc>
      </w:tr>
      <w:tr>
        <w:trPr>
          <w:trHeight w:val="373" w:hRule="atLeast"/>
        </w:trPr>
        <w:tc>
          <w:tcPr>
            <w:tcW w:w="5604" w:type="dxa"/>
          </w:tcPr>
          <w:p>
            <w:pPr>
              <w:pStyle w:val="TableParagraph"/>
              <w:spacing w:before="70"/>
              <w:ind w:left="50"/>
              <w:rPr>
                <w:sz w:val="15"/>
              </w:rPr>
            </w:pPr>
            <w:r>
              <w:rPr>
                <w:sz w:val="15"/>
              </w:rPr>
              <w:t>II. Capacitación mayor de 10 horas por persona:</w:t>
            </w:r>
          </w:p>
        </w:tc>
        <w:tc>
          <w:tcPr>
            <w:tcW w:w="3627" w:type="dxa"/>
          </w:tcPr>
          <w:p>
            <w:pPr>
              <w:pStyle w:val="TableParagraph"/>
              <w:spacing w:before="70"/>
              <w:ind w:right="2041"/>
              <w:jc w:val="right"/>
              <w:rPr>
                <w:sz w:val="15"/>
              </w:rPr>
            </w:pPr>
            <w:r>
              <w:rPr>
                <w:sz w:val="15"/>
              </w:rPr>
              <w:t>$839.00</w:t>
            </w:r>
          </w:p>
        </w:tc>
        <w:tc>
          <w:tcPr>
            <w:tcW w:w="9653" w:type="dxa"/>
          </w:tcPr>
          <w:p>
            <w:pPr>
              <w:pStyle w:val="TableParagraph"/>
              <w:spacing w:before="109"/>
              <w:ind w:left="2441"/>
              <w:rPr>
                <w:sz w:val="15"/>
              </w:rPr>
            </w:pPr>
            <w:r>
              <w:rPr>
                <w:sz w:val="15"/>
              </w:rPr>
              <w:t>VII. Otros no especificados.</w:t>
            </w:r>
          </w:p>
        </w:tc>
      </w:tr>
      <w:tr>
        <w:trPr>
          <w:trHeight w:val="480" w:hRule="atLeast"/>
        </w:trPr>
        <w:tc>
          <w:tcPr>
            <w:tcW w:w="5604" w:type="dxa"/>
          </w:tcPr>
          <w:p>
            <w:pPr>
              <w:pStyle w:val="TableParagraph"/>
              <w:spacing w:before="91"/>
              <w:ind w:left="50"/>
              <w:rPr>
                <w:sz w:val="15"/>
              </w:rPr>
            </w:pPr>
            <w:r>
              <w:rPr>
                <w:sz w:val="15"/>
              </w:rPr>
              <w:t>III. Cursos de alineación estándar de competencia, por cada evento:</w:t>
            </w:r>
          </w:p>
          <w:p>
            <w:pPr>
              <w:pStyle w:val="TableParagraph"/>
              <w:spacing w:line="153" w:lineRule="exact" w:before="43"/>
              <w:ind w:left="50"/>
              <w:rPr>
                <w:sz w:val="15"/>
              </w:rPr>
            </w:pPr>
            <w:r>
              <w:rPr>
                <w:sz w:val="15"/>
              </w:rPr>
              <w:t>a) EC0002 Asistencia primaria de un evento adverso:</w:t>
            </w:r>
          </w:p>
        </w:tc>
        <w:tc>
          <w:tcPr>
            <w:tcW w:w="3627" w:type="dxa"/>
          </w:tcPr>
          <w:p>
            <w:pPr>
              <w:pStyle w:val="TableParagraph"/>
              <w:rPr>
                <w:sz w:val="16"/>
              </w:rPr>
            </w:pPr>
          </w:p>
          <w:p>
            <w:pPr>
              <w:pStyle w:val="TableParagraph"/>
              <w:spacing w:line="153" w:lineRule="exact" w:before="123"/>
              <w:ind w:right="2041"/>
              <w:jc w:val="right"/>
              <w:rPr>
                <w:sz w:val="15"/>
              </w:rPr>
            </w:pPr>
            <w:r>
              <w:rPr>
                <w:sz w:val="15"/>
              </w:rPr>
              <w:t>$2,547.00</w:t>
            </w:r>
          </w:p>
        </w:tc>
        <w:tc>
          <w:tcPr>
            <w:tcW w:w="9653" w:type="dxa"/>
          </w:tcPr>
          <w:p>
            <w:pPr>
              <w:pStyle w:val="TableParagraph"/>
              <w:spacing w:line="247" w:lineRule="auto" w:before="90"/>
              <w:ind w:left="2043" w:firstLine="397"/>
              <w:rPr>
                <w:sz w:val="15"/>
              </w:rPr>
            </w:pPr>
            <w:r>
              <w:rPr>
                <w:b/>
                <w:sz w:val="15"/>
              </w:rPr>
              <w:t>Artículo 119.- </w:t>
            </w:r>
            <w:r>
              <w:rPr>
                <w:sz w:val="15"/>
              </w:rPr>
              <w:t>Los conceptos del artículo anterior son accesorios de las contribuciones y participan de la naturaleza de éstas.</w:t>
            </w:r>
          </w:p>
        </w:tc>
      </w:tr>
    </w:tbl>
    <w:p>
      <w:pPr>
        <w:pStyle w:val="BodyText"/>
        <w:spacing w:before="1"/>
        <w:rPr>
          <w:sz w:val="6"/>
        </w:rPr>
      </w:pPr>
    </w:p>
    <w:p>
      <w:pPr>
        <w:spacing w:after="0"/>
        <w:rPr>
          <w:sz w:val="6"/>
        </w:rPr>
        <w:sectPr>
          <w:type w:val="continuous"/>
          <w:pgSz w:w="23250" w:h="15310" w:orient="landscape"/>
          <w:pgMar w:top="0" w:bottom="0" w:left="1880" w:right="1520"/>
        </w:sectPr>
      </w:pPr>
    </w:p>
    <w:p>
      <w:pPr>
        <w:pStyle w:val="BodyText"/>
        <w:rPr>
          <w:sz w:val="13"/>
        </w:rPr>
      </w:pPr>
    </w:p>
    <w:p>
      <w:pPr>
        <w:pStyle w:val="ListParagraph"/>
        <w:numPr>
          <w:ilvl w:val="1"/>
          <w:numId w:val="170"/>
        </w:numPr>
        <w:tabs>
          <w:tab w:pos="729" w:val="left" w:leader="none"/>
        </w:tabs>
        <w:spacing w:line="240" w:lineRule="auto" w:before="0" w:after="0"/>
        <w:ind w:left="728" w:right="0" w:hanging="181"/>
        <w:jc w:val="left"/>
        <w:rPr>
          <w:sz w:val="15"/>
        </w:rPr>
      </w:pPr>
      <w:r>
        <w:rPr>
          <w:sz w:val="15"/>
        </w:rPr>
        <w:t>EC0290 Atención de incendios que involucran materiales productos y</w:t>
      </w:r>
      <w:r>
        <w:rPr>
          <w:spacing w:val="21"/>
          <w:sz w:val="15"/>
        </w:rPr>
        <w:t> </w:t>
      </w:r>
      <w:r>
        <w:rPr>
          <w:sz w:val="15"/>
        </w:rPr>
        <w:t>sustancias</w:t>
      </w:r>
    </w:p>
    <w:p>
      <w:pPr>
        <w:pStyle w:val="BodyText"/>
        <w:tabs>
          <w:tab w:pos="7002" w:val="left" w:leader="none"/>
        </w:tabs>
        <w:spacing w:before="5"/>
        <w:ind w:left="151"/>
      </w:pPr>
      <w:r>
        <w:rPr/>
        <w:t>químicas:</w:t>
        <w:tab/>
        <w:t>$2,547.00</w:t>
      </w:r>
    </w:p>
    <w:p>
      <w:pPr>
        <w:pStyle w:val="BodyText"/>
        <w:spacing w:before="2"/>
        <w:rPr>
          <w:sz w:val="19"/>
        </w:rPr>
      </w:pPr>
    </w:p>
    <w:p>
      <w:pPr>
        <w:pStyle w:val="ListParagraph"/>
        <w:numPr>
          <w:ilvl w:val="1"/>
          <w:numId w:val="170"/>
        </w:numPr>
        <w:tabs>
          <w:tab w:pos="720" w:val="left" w:leader="none"/>
          <w:tab w:pos="7001" w:val="left" w:leader="none"/>
        </w:tabs>
        <w:spacing w:line="240" w:lineRule="auto" w:before="0" w:after="0"/>
        <w:ind w:left="719" w:right="0" w:hanging="172"/>
        <w:jc w:val="left"/>
        <w:rPr>
          <w:sz w:val="15"/>
        </w:rPr>
      </w:pPr>
      <w:r>
        <w:rPr>
          <w:sz w:val="15"/>
        </w:rPr>
        <w:t>EC0426 Combate y  extinción de</w:t>
      </w:r>
      <w:r>
        <w:rPr>
          <w:spacing w:val="32"/>
          <w:sz w:val="15"/>
        </w:rPr>
        <w:t> </w:t>
      </w:r>
      <w:r>
        <w:rPr>
          <w:sz w:val="15"/>
        </w:rPr>
        <w:t>incendios</w:t>
      </w:r>
      <w:r>
        <w:rPr>
          <w:spacing w:val="15"/>
          <w:sz w:val="15"/>
        </w:rPr>
        <w:t> </w:t>
      </w:r>
      <w:r>
        <w:rPr>
          <w:sz w:val="15"/>
        </w:rPr>
        <w:t>estructurales:</w:t>
        <w:tab/>
        <w:t>$2,547.00</w:t>
      </w:r>
    </w:p>
    <w:p>
      <w:pPr>
        <w:pStyle w:val="BodyText"/>
        <w:spacing w:before="3"/>
        <w:rPr>
          <w:sz w:val="19"/>
        </w:rPr>
      </w:pPr>
    </w:p>
    <w:p>
      <w:pPr>
        <w:pStyle w:val="ListParagraph"/>
        <w:numPr>
          <w:ilvl w:val="1"/>
          <w:numId w:val="170"/>
        </w:numPr>
        <w:tabs>
          <w:tab w:pos="729" w:val="left" w:leader="none"/>
        </w:tabs>
        <w:spacing w:line="240" w:lineRule="auto" w:before="0" w:after="0"/>
        <w:ind w:left="728" w:right="0" w:hanging="181"/>
        <w:jc w:val="left"/>
        <w:rPr>
          <w:sz w:val="15"/>
        </w:rPr>
      </w:pPr>
      <w:r>
        <w:rPr>
          <w:sz w:val="15"/>
        </w:rPr>
        <w:t>EC0594 Implementación del Sistema de Comando de Incidentes en</w:t>
      </w:r>
      <w:r>
        <w:rPr>
          <w:spacing w:val="28"/>
          <w:sz w:val="15"/>
        </w:rPr>
        <w:t> </w:t>
      </w:r>
      <w:r>
        <w:rPr>
          <w:sz w:val="15"/>
        </w:rPr>
        <w:t>periodo</w:t>
      </w:r>
    </w:p>
    <w:p>
      <w:pPr>
        <w:pStyle w:val="BodyText"/>
        <w:tabs>
          <w:tab w:pos="6850" w:val="left" w:leader="none"/>
        </w:tabs>
        <w:spacing w:before="5"/>
        <w:ind w:right="38"/>
        <w:jc w:val="right"/>
      </w:pPr>
      <w:r>
        <w:rPr/>
        <w:t>inicial:</w:t>
        <w:tab/>
        <w:t>$2,547.00</w:t>
      </w:r>
    </w:p>
    <w:p>
      <w:pPr>
        <w:pStyle w:val="BodyText"/>
        <w:spacing w:before="43"/>
        <w:ind w:right="38"/>
        <w:jc w:val="right"/>
      </w:pPr>
      <w:r>
        <w:rPr/>
        <w:t>$2,547.00</w:t>
      </w:r>
    </w:p>
    <w:p>
      <w:pPr>
        <w:pStyle w:val="BodyText"/>
        <w:spacing w:line="247" w:lineRule="auto" w:before="70"/>
        <w:ind w:left="150" w:right="508" w:firstLine="397"/>
        <w:jc w:val="both"/>
      </w:pPr>
      <w:r>
        <w:rPr/>
        <w:br w:type="column"/>
      </w:r>
      <w:r>
        <w:rPr>
          <w:b/>
        </w:rPr>
        <w:t>Artículo 120.- </w:t>
      </w:r>
      <w:r>
        <w:rPr/>
        <w:t>Las multas derivadas del incumplimiento en el pago de contribuciones en la forma, fecha     y términos que establezcan en esta ley y en las disposiciones fiscales respectivas, siempre que no esté considerado otro porcentaje en alguna otra disposición de esta ley o en alguna otra disposición fiscal, sobre el monto total de la obligación fiscal omitida, del: 20% a</w:t>
      </w:r>
      <w:r>
        <w:rPr>
          <w:spacing w:val="17"/>
        </w:rPr>
        <w:t> </w:t>
      </w:r>
      <w:r>
        <w:rPr/>
        <w:t>50%.</w:t>
      </w:r>
    </w:p>
    <w:p>
      <w:pPr>
        <w:pStyle w:val="BodyText"/>
        <w:spacing w:before="2"/>
      </w:pPr>
    </w:p>
    <w:p>
      <w:pPr>
        <w:pStyle w:val="BodyText"/>
        <w:spacing w:line="247" w:lineRule="auto"/>
        <w:ind w:left="150" w:right="511" w:firstLine="397"/>
        <w:jc w:val="both"/>
      </w:pPr>
      <w:r>
        <w:rPr>
          <w:b/>
        </w:rPr>
        <w:t>Artículo 121- </w:t>
      </w:r>
      <w:r>
        <w:rPr/>
        <w:t>La tasa de recargos por falta de pago oportuno de las obligaciones fiscales, será del 1% mensual.</w:t>
      </w:r>
    </w:p>
    <w:p>
      <w:pPr>
        <w:pStyle w:val="BodyText"/>
        <w:spacing w:before="4"/>
      </w:pPr>
    </w:p>
    <w:p>
      <w:pPr>
        <w:pStyle w:val="BodyText"/>
        <w:ind w:left="548"/>
      </w:pPr>
      <w:r>
        <w:rPr>
          <w:b/>
        </w:rPr>
        <w:t>Artículo 122</w:t>
      </w:r>
      <w:r>
        <w:rPr/>
        <w:t>.- Cuando no se cubran las contribuciones por concepto de los impuestos, derechos,</w:t>
      </w:r>
    </w:p>
    <w:p>
      <w:pPr>
        <w:spacing w:after="0"/>
        <w:sectPr>
          <w:type w:val="continuous"/>
          <w:pgSz w:w="23250" w:h="15310" w:orient="landscape"/>
          <w:pgMar w:top="0" w:bottom="0" w:left="1880" w:right="1520"/>
          <w:cols w:num="2" w:equalWidth="0">
            <w:col w:w="7727" w:space="3895"/>
            <w:col w:w="8228"/>
          </w:cols>
        </w:sectPr>
      </w:pPr>
    </w:p>
    <w:p>
      <w:pPr>
        <w:pStyle w:val="BodyText"/>
        <w:rPr>
          <w:sz w:val="20"/>
        </w:rPr>
      </w:pPr>
    </w:p>
    <w:p>
      <w:pPr>
        <w:pStyle w:val="BodyText"/>
        <w:spacing w:before="7"/>
        <w:rPr>
          <w:sz w:val="29"/>
        </w:rPr>
      </w:pPr>
    </w:p>
    <w:p>
      <w:pPr>
        <w:spacing w:after="0"/>
        <w:rPr>
          <w:sz w:val="29"/>
        </w:rPr>
        <w:sectPr>
          <w:headerReference w:type="default" r:id="rId108"/>
          <w:pgSz w:w="23250" w:h="15310" w:orient="landscape"/>
          <w:pgMar w:header="881" w:footer="499" w:top="1920" w:bottom="680" w:left="1880" w:right="1520"/>
        </w:sectPr>
      </w:pPr>
    </w:p>
    <w:p>
      <w:pPr>
        <w:pStyle w:val="BodyText"/>
        <w:spacing w:line="247" w:lineRule="auto" w:before="99"/>
        <w:ind w:left="151" w:right="38"/>
        <w:jc w:val="both"/>
      </w:pPr>
      <w:r>
        <w:rPr/>
        <w:t>aprovechamientos y contribuciones especiales municipales, dentro de los plazos establecidos por la ley, se actualizarán por el transcurso del tiempo y con motivo de los cambios de precios en el país, para lo cual se aplicará el factor de actualización a las cantidades que se deban actualizar.</w:t>
      </w:r>
    </w:p>
    <w:p>
      <w:pPr>
        <w:pStyle w:val="BodyText"/>
        <w:spacing w:before="2"/>
      </w:pPr>
    </w:p>
    <w:p>
      <w:pPr>
        <w:pStyle w:val="BodyText"/>
        <w:ind w:left="548"/>
      </w:pPr>
      <w:r>
        <w:rPr/>
        <w:t>En el caso de un crédito fiscal el factor de actualización se obtendrá dividiendo A entre B donde:</w:t>
      </w:r>
    </w:p>
    <w:p>
      <w:pPr>
        <w:pStyle w:val="BodyText"/>
        <w:spacing w:before="10"/>
      </w:pPr>
    </w:p>
    <w:p>
      <w:pPr>
        <w:pStyle w:val="BodyText"/>
        <w:spacing w:line="247" w:lineRule="auto"/>
        <w:ind w:left="151" w:right="39" w:firstLine="397"/>
        <w:jc w:val="both"/>
      </w:pPr>
      <w:r>
        <w:rPr/>
        <w:t>A= Índice nacional de precios al consumidor vigente en el momento en que suceda el pago del contribuyente;</w:t>
      </w:r>
    </w:p>
    <w:p>
      <w:pPr>
        <w:pStyle w:val="BodyText"/>
        <w:spacing w:before="3"/>
      </w:pPr>
    </w:p>
    <w:p>
      <w:pPr>
        <w:pStyle w:val="BodyText"/>
        <w:spacing w:line="494" w:lineRule="auto"/>
        <w:ind w:left="548" w:right="882"/>
      </w:pPr>
      <w:r>
        <w:rPr/>
        <w:t>B= Índice citado, vigente en el momento en que se hace exigible el pago por parte del fisco. Los créditos fiscales, no se actualizarán por fracciones de mes.</w:t>
      </w:r>
    </w:p>
    <w:p>
      <w:pPr>
        <w:pStyle w:val="BodyText"/>
        <w:spacing w:line="244" w:lineRule="auto"/>
        <w:ind w:left="151" w:right="38" w:firstLine="397"/>
        <w:jc w:val="both"/>
      </w:pPr>
      <w:r>
        <w:rPr/>
        <w:t>En los casos en que el Índice Nacional de Precios al Consumidor del mes anterior al más reciente del periodo, no haya sido publicado por el Instituto Nacional de Estadística y Geografía y/o Banco de México, la actualización de que se trate se realizará aplicando el último índice mensual publicado.</w:t>
      </w:r>
    </w:p>
    <w:p>
      <w:pPr>
        <w:pStyle w:val="BodyText"/>
        <w:spacing w:before="6"/>
      </w:pPr>
    </w:p>
    <w:p>
      <w:pPr>
        <w:pStyle w:val="BodyText"/>
        <w:ind w:left="548"/>
      </w:pPr>
      <w:r>
        <w:rPr/>
        <w:t>Las cantidades actualizadas, conservará la naturaleza jurídica que tenían antes de la actualización.</w:t>
      </w:r>
    </w:p>
    <w:p>
      <w:pPr>
        <w:pStyle w:val="BodyText"/>
        <w:spacing w:before="8"/>
      </w:pPr>
    </w:p>
    <w:p>
      <w:pPr>
        <w:pStyle w:val="BodyText"/>
        <w:spacing w:line="247" w:lineRule="auto"/>
        <w:ind w:left="151" w:right="40" w:firstLine="397"/>
        <w:jc w:val="both"/>
      </w:pPr>
      <w:r>
        <w:rPr>
          <w:b/>
        </w:rPr>
        <w:t>Artículo 123.- </w:t>
      </w:r>
      <w:r>
        <w:rPr/>
        <w:t>Cuando se concedan plazos para pagar obligaciones fiscales, la tasa de interés será el costo porcentual promedio </w:t>
      </w:r>
      <w:r>
        <w:rPr>
          <w:spacing w:val="-5"/>
        </w:rPr>
        <w:t>(C.P.P.), </w:t>
      </w:r>
      <w:r>
        <w:rPr/>
        <w:t>del mes inmediato anterior, que determine el Banco de</w:t>
      </w:r>
      <w:r>
        <w:rPr>
          <w:spacing w:val="40"/>
        </w:rPr>
        <w:t> </w:t>
      </w:r>
      <w:r>
        <w:rPr/>
        <w:t>México.</w:t>
      </w:r>
    </w:p>
    <w:p>
      <w:pPr>
        <w:pStyle w:val="BodyText"/>
        <w:spacing w:before="4"/>
      </w:pPr>
    </w:p>
    <w:p>
      <w:pPr>
        <w:pStyle w:val="BodyText"/>
        <w:spacing w:line="247" w:lineRule="auto"/>
        <w:ind w:left="151" w:right="38" w:firstLine="397"/>
        <w:jc w:val="both"/>
      </w:pPr>
      <w:r>
        <w:rPr>
          <w:b/>
        </w:rPr>
        <w:t>Artículo 124.- </w:t>
      </w:r>
      <w:r>
        <w:rPr/>
        <w:t>Los gastos de notificación y ejecución de créditos fiscales determinados por el incumplimiento del pago de las obligaciones fiscales establecidas en esta ley y demás disposiciones fiscales aplicables, se cubrirán a la Hacienda Municipal, conjuntamente con el crédito fiscal, conforme a las siguientes bases:</w:t>
      </w:r>
    </w:p>
    <w:p>
      <w:pPr>
        <w:pStyle w:val="BodyText"/>
        <w:spacing w:before="2"/>
      </w:pPr>
    </w:p>
    <w:p>
      <w:pPr>
        <w:pStyle w:val="BodyText"/>
        <w:spacing w:before="1"/>
        <w:ind w:left="548"/>
      </w:pPr>
      <w:r>
        <w:rPr/>
        <w:t>I. Por gastos de notificación de créditos fiscales determinados por la autoridad fiscal:</w:t>
      </w:r>
    </w:p>
    <w:p>
      <w:pPr>
        <w:pStyle w:val="BodyText"/>
        <w:spacing w:line="247" w:lineRule="auto" w:before="98"/>
        <w:ind w:left="151" w:right="507" w:firstLine="397"/>
        <w:jc w:val="both"/>
      </w:pPr>
      <w:r>
        <w:rPr/>
        <w:br w:type="column"/>
      </w:r>
      <w:r>
        <w:rPr/>
        <w:t>b) Del importe de 45 unidades de medida y actualización, por la notificación del mandamiento  de  ejecución con el cual se dé inicio al procedimiento administrativo de ejecución mediante el cual  se pretenda hacer efectivo un crédito fiscal, así como por cada diligencia correspondiente a éste que implique la extracción  de</w:t>
      </w:r>
      <w:r>
        <w:rPr>
          <w:spacing w:val="1"/>
        </w:rPr>
        <w:t> </w:t>
      </w:r>
      <w:r>
        <w:rPr/>
        <w:t>bienes</w:t>
      </w:r>
    </w:p>
    <w:p>
      <w:pPr>
        <w:pStyle w:val="BodyText"/>
        <w:spacing w:before="2"/>
      </w:pPr>
    </w:p>
    <w:p>
      <w:pPr>
        <w:pStyle w:val="BodyText"/>
        <w:spacing w:line="247" w:lineRule="auto"/>
        <w:ind w:left="151" w:right="507" w:firstLine="397"/>
        <w:jc w:val="both"/>
      </w:pPr>
      <w:r>
        <w:rPr>
          <w:spacing w:val="-4"/>
        </w:rPr>
        <w:t>Todos  </w:t>
      </w:r>
      <w:r>
        <w:rPr/>
        <w:t>los gastos de notificación y ejecución de créditos fiscales serán a cargo del contribuyente, en  ningún caso, podrán ser condonados total o</w:t>
      </w:r>
      <w:r>
        <w:rPr>
          <w:spacing w:val="12"/>
        </w:rPr>
        <w:t> </w:t>
      </w:r>
      <w:r>
        <w:rPr/>
        <w:t>parcialmente.</w:t>
      </w:r>
    </w:p>
    <w:p>
      <w:pPr>
        <w:pStyle w:val="BodyText"/>
        <w:spacing w:before="4"/>
      </w:pPr>
    </w:p>
    <w:p>
      <w:pPr>
        <w:pStyle w:val="BodyText"/>
        <w:spacing w:line="247" w:lineRule="auto"/>
        <w:ind w:left="151" w:right="509" w:firstLine="397"/>
        <w:jc w:val="both"/>
      </w:pPr>
      <w:r>
        <w:rPr/>
        <w:t>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de Jalisco.</w:t>
      </w:r>
    </w:p>
    <w:p>
      <w:pPr>
        <w:pStyle w:val="BodyText"/>
        <w:spacing w:before="3"/>
      </w:pPr>
    </w:p>
    <w:p>
      <w:pPr>
        <w:pStyle w:val="Heading4"/>
        <w:ind w:left="318" w:right="674"/>
      </w:pPr>
      <w:r>
        <w:rPr/>
        <w:t>LIBRO TERCERO</w:t>
      </w:r>
    </w:p>
    <w:p>
      <w:pPr>
        <w:spacing w:before="4"/>
        <w:ind w:left="318" w:right="674" w:firstLine="0"/>
        <w:jc w:val="center"/>
        <w:rPr>
          <w:b/>
          <w:sz w:val="15"/>
        </w:rPr>
      </w:pPr>
      <w:r>
        <w:rPr>
          <w:b/>
          <w:sz w:val="15"/>
        </w:rPr>
        <w:t>De los Ingresos No Tributarios</w:t>
      </w:r>
    </w:p>
    <w:p>
      <w:pPr>
        <w:pStyle w:val="BodyText"/>
        <w:spacing w:before="10"/>
        <w:rPr>
          <w:b/>
        </w:rPr>
      </w:pPr>
    </w:p>
    <w:p>
      <w:pPr>
        <w:spacing w:before="0"/>
        <w:ind w:left="317" w:right="674" w:firstLine="0"/>
        <w:jc w:val="center"/>
        <w:rPr>
          <w:b/>
          <w:sz w:val="15"/>
        </w:rPr>
      </w:pPr>
      <w:r>
        <w:rPr>
          <w:b/>
          <w:sz w:val="15"/>
        </w:rPr>
        <w:t>TÍTULO PRIMERO</w:t>
      </w:r>
    </w:p>
    <w:p>
      <w:pPr>
        <w:spacing w:before="5"/>
        <w:ind w:left="318" w:right="674" w:firstLine="0"/>
        <w:jc w:val="center"/>
        <w:rPr>
          <w:b/>
          <w:sz w:val="15"/>
        </w:rPr>
      </w:pPr>
      <w:r>
        <w:rPr>
          <w:b/>
          <w:sz w:val="15"/>
        </w:rPr>
        <w:t>Productos</w:t>
      </w:r>
    </w:p>
    <w:p>
      <w:pPr>
        <w:pStyle w:val="BodyText"/>
        <w:spacing w:before="8"/>
        <w:rPr>
          <w:b/>
        </w:rPr>
      </w:pPr>
    </w:p>
    <w:p>
      <w:pPr>
        <w:spacing w:before="0"/>
        <w:ind w:left="317" w:right="674" w:firstLine="0"/>
        <w:jc w:val="center"/>
        <w:rPr>
          <w:b/>
          <w:sz w:val="15"/>
        </w:rPr>
      </w:pPr>
      <w:r>
        <w:rPr>
          <w:b/>
          <w:sz w:val="15"/>
        </w:rPr>
        <w:t>CAPÍTULO PRIMERO</w:t>
      </w:r>
    </w:p>
    <w:p>
      <w:pPr>
        <w:spacing w:before="5"/>
        <w:ind w:left="319" w:right="674" w:firstLine="0"/>
        <w:jc w:val="center"/>
        <w:rPr>
          <w:b/>
          <w:sz w:val="15"/>
        </w:rPr>
      </w:pPr>
      <w:r>
        <w:rPr>
          <w:b/>
          <w:sz w:val="15"/>
        </w:rPr>
        <w:t>De los Productos de Tipo Corriente</w:t>
      </w:r>
    </w:p>
    <w:p>
      <w:pPr>
        <w:pStyle w:val="BodyText"/>
        <w:spacing w:before="9"/>
        <w:rPr>
          <w:b/>
        </w:rPr>
      </w:pPr>
    </w:p>
    <w:p>
      <w:pPr>
        <w:spacing w:before="0"/>
        <w:ind w:left="322" w:right="674" w:firstLine="0"/>
        <w:jc w:val="center"/>
        <w:rPr>
          <w:b/>
          <w:sz w:val="15"/>
        </w:rPr>
      </w:pPr>
      <w:r>
        <w:rPr>
          <w:b/>
          <w:sz w:val="15"/>
        </w:rPr>
        <w:t>SECCIÓN PRIMERA</w:t>
      </w:r>
    </w:p>
    <w:p>
      <w:pPr>
        <w:spacing w:before="5"/>
        <w:ind w:left="318" w:right="674" w:firstLine="0"/>
        <w:jc w:val="center"/>
        <w:rPr>
          <w:b/>
          <w:sz w:val="15"/>
        </w:rPr>
      </w:pPr>
      <w:r>
        <w:rPr>
          <w:b/>
          <w:sz w:val="15"/>
        </w:rPr>
        <w:t>De los Bienes Muebles e Inmuebles Municipales de Dominio Privado</w:t>
      </w:r>
    </w:p>
    <w:p>
      <w:pPr>
        <w:pStyle w:val="BodyText"/>
        <w:spacing w:before="8"/>
        <w:rPr>
          <w:b/>
        </w:rPr>
      </w:pPr>
    </w:p>
    <w:p>
      <w:pPr>
        <w:pStyle w:val="BodyText"/>
        <w:spacing w:line="247" w:lineRule="auto"/>
        <w:ind w:left="151" w:right="509" w:firstLine="397"/>
        <w:jc w:val="both"/>
      </w:pPr>
      <w:r>
        <w:rPr>
          <w:b/>
        </w:rPr>
        <w:t>Artículo 125.- </w:t>
      </w:r>
      <w:r>
        <w:rPr/>
        <w:t>Las personas físicas o jurídicas que tomen en arrendamiento o concesión toda clase de bienes propiedad del Municipio de dominio privado pagarán a éste las rentas respectivas, de conformidad con  las</w:t>
      </w:r>
      <w:r>
        <w:rPr>
          <w:spacing w:val="1"/>
        </w:rPr>
        <w:t> </w:t>
      </w:r>
      <w:r>
        <w:rPr/>
        <w:t>siguientes:</w:t>
      </w:r>
    </w:p>
    <w:p>
      <w:pPr>
        <w:spacing w:after="0" w:line="247" w:lineRule="auto"/>
        <w:jc w:val="both"/>
        <w:sectPr>
          <w:type w:val="continuous"/>
          <w:pgSz w:w="23250" w:h="15310" w:orient="landscape"/>
          <w:pgMar w:top="0" w:bottom="0" w:left="1880" w:right="1520"/>
          <w:cols w:num="2" w:equalWidth="0">
            <w:col w:w="7752" w:space="3871"/>
            <w:col w:w="8227"/>
          </w:cols>
        </w:sectPr>
      </w:pPr>
    </w:p>
    <w:p>
      <w:pPr>
        <w:pStyle w:val="BodyText"/>
        <w:spacing w:before="4"/>
      </w:pPr>
    </w:p>
    <w:p>
      <w:pPr>
        <w:pStyle w:val="ListParagraph"/>
        <w:numPr>
          <w:ilvl w:val="0"/>
          <w:numId w:val="172"/>
        </w:numPr>
        <w:tabs>
          <w:tab w:pos="732" w:val="left" w:leader="none"/>
        </w:tabs>
        <w:spacing w:line="244" w:lineRule="auto" w:before="0" w:after="0"/>
        <w:ind w:left="151" w:right="39" w:firstLine="397"/>
        <w:jc w:val="left"/>
        <w:rPr>
          <w:sz w:val="15"/>
        </w:rPr>
      </w:pPr>
      <w:r>
        <w:rPr>
          <w:sz w:val="15"/>
        </w:rPr>
        <w:t>Cuando se realicen en la cabecera municipal, el 5% del crédito fiscal, sin que su importe sea menor a una unidad de medida y actualización;</w:t>
      </w:r>
      <w:r>
        <w:rPr>
          <w:spacing w:val="7"/>
          <w:sz w:val="15"/>
        </w:rPr>
        <w:t> </w:t>
      </w:r>
      <w:r>
        <w:rPr>
          <w:sz w:val="15"/>
        </w:rPr>
        <w:t>o</w:t>
      </w:r>
    </w:p>
    <w:p>
      <w:pPr>
        <w:pStyle w:val="BodyText"/>
        <w:spacing w:before="6"/>
      </w:pPr>
    </w:p>
    <w:p>
      <w:pPr>
        <w:pStyle w:val="ListParagraph"/>
        <w:numPr>
          <w:ilvl w:val="0"/>
          <w:numId w:val="172"/>
        </w:numPr>
        <w:tabs>
          <w:tab w:pos="748" w:val="left" w:leader="none"/>
        </w:tabs>
        <w:spacing w:line="240" w:lineRule="auto" w:before="0" w:after="0"/>
        <w:ind w:left="747" w:right="0" w:hanging="200"/>
        <w:jc w:val="left"/>
        <w:rPr>
          <w:sz w:val="15"/>
        </w:rPr>
      </w:pPr>
      <w:r>
        <w:rPr>
          <w:sz w:val="15"/>
        </w:rPr>
        <w:t>Cuando</w:t>
      </w:r>
      <w:r>
        <w:rPr>
          <w:spacing w:val="28"/>
          <w:sz w:val="15"/>
        </w:rPr>
        <w:t> </w:t>
      </w:r>
      <w:r>
        <w:rPr>
          <w:sz w:val="15"/>
        </w:rPr>
        <w:t>se</w:t>
      </w:r>
      <w:r>
        <w:rPr>
          <w:spacing w:val="27"/>
          <w:sz w:val="15"/>
        </w:rPr>
        <w:t> </w:t>
      </w:r>
      <w:r>
        <w:rPr>
          <w:sz w:val="15"/>
        </w:rPr>
        <w:t>realice</w:t>
      </w:r>
      <w:r>
        <w:rPr>
          <w:spacing w:val="28"/>
          <w:sz w:val="15"/>
        </w:rPr>
        <w:t> </w:t>
      </w:r>
      <w:r>
        <w:rPr>
          <w:sz w:val="15"/>
        </w:rPr>
        <w:t>fuera</w:t>
      </w:r>
      <w:r>
        <w:rPr>
          <w:spacing w:val="28"/>
          <w:sz w:val="15"/>
        </w:rPr>
        <w:t> </w:t>
      </w:r>
      <w:r>
        <w:rPr>
          <w:sz w:val="15"/>
        </w:rPr>
        <w:t>de</w:t>
      </w:r>
      <w:r>
        <w:rPr>
          <w:spacing w:val="27"/>
          <w:sz w:val="15"/>
        </w:rPr>
        <w:t> </w:t>
      </w:r>
      <w:r>
        <w:rPr>
          <w:sz w:val="15"/>
        </w:rPr>
        <w:t>la</w:t>
      </w:r>
      <w:r>
        <w:rPr>
          <w:spacing w:val="28"/>
          <w:sz w:val="15"/>
        </w:rPr>
        <w:t> </w:t>
      </w:r>
      <w:r>
        <w:rPr>
          <w:sz w:val="15"/>
        </w:rPr>
        <w:t>cabecera</w:t>
      </w:r>
      <w:r>
        <w:rPr>
          <w:spacing w:val="27"/>
          <w:sz w:val="15"/>
        </w:rPr>
        <w:t> </w:t>
      </w:r>
      <w:r>
        <w:rPr>
          <w:sz w:val="15"/>
        </w:rPr>
        <w:t>municipal,</w:t>
      </w:r>
      <w:r>
        <w:rPr>
          <w:spacing w:val="28"/>
          <w:sz w:val="15"/>
        </w:rPr>
        <w:t> </w:t>
      </w:r>
      <w:r>
        <w:rPr>
          <w:sz w:val="15"/>
        </w:rPr>
        <w:t>el</w:t>
      </w:r>
      <w:r>
        <w:rPr>
          <w:spacing w:val="26"/>
          <w:sz w:val="15"/>
        </w:rPr>
        <w:t> </w:t>
      </w:r>
      <w:r>
        <w:rPr>
          <w:sz w:val="15"/>
        </w:rPr>
        <w:t>8%</w:t>
      </w:r>
      <w:r>
        <w:rPr>
          <w:spacing w:val="28"/>
          <w:sz w:val="15"/>
        </w:rPr>
        <w:t> </w:t>
      </w:r>
      <w:r>
        <w:rPr>
          <w:sz w:val="15"/>
        </w:rPr>
        <w:t>del</w:t>
      </w:r>
      <w:r>
        <w:rPr>
          <w:spacing w:val="31"/>
          <w:sz w:val="15"/>
        </w:rPr>
        <w:t> </w:t>
      </w:r>
      <w:r>
        <w:rPr>
          <w:sz w:val="15"/>
        </w:rPr>
        <w:t>crédito</w:t>
      </w:r>
      <w:r>
        <w:rPr>
          <w:spacing w:val="28"/>
          <w:sz w:val="15"/>
        </w:rPr>
        <w:t> </w:t>
      </w:r>
      <w:r>
        <w:rPr>
          <w:sz w:val="15"/>
        </w:rPr>
        <w:t>fiscal,</w:t>
      </w:r>
      <w:r>
        <w:rPr>
          <w:spacing w:val="28"/>
          <w:sz w:val="15"/>
        </w:rPr>
        <w:t> </w:t>
      </w:r>
      <w:r>
        <w:rPr>
          <w:sz w:val="15"/>
        </w:rPr>
        <w:t>sin</w:t>
      </w:r>
      <w:r>
        <w:rPr>
          <w:spacing w:val="27"/>
          <w:sz w:val="15"/>
        </w:rPr>
        <w:t> </w:t>
      </w:r>
      <w:r>
        <w:rPr>
          <w:sz w:val="15"/>
        </w:rPr>
        <w:t>que</w:t>
      </w:r>
      <w:r>
        <w:rPr>
          <w:spacing w:val="28"/>
          <w:sz w:val="15"/>
        </w:rPr>
        <w:t> </w:t>
      </w:r>
      <w:r>
        <w:rPr>
          <w:sz w:val="15"/>
        </w:rPr>
        <w:t>su</w:t>
      </w:r>
      <w:r>
        <w:rPr>
          <w:spacing w:val="27"/>
          <w:sz w:val="15"/>
        </w:rPr>
        <w:t> </w:t>
      </w:r>
      <w:r>
        <w:rPr>
          <w:sz w:val="15"/>
        </w:rPr>
        <w:t>importe</w:t>
      </w:r>
      <w:r>
        <w:rPr>
          <w:spacing w:val="28"/>
          <w:sz w:val="15"/>
        </w:rPr>
        <w:t> </w:t>
      </w:r>
      <w:r>
        <w:rPr>
          <w:sz w:val="15"/>
        </w:rPr>
        <w:t>sea</w:t>
      </w:r>
    </w:p>
    <w:p>
      <w:pPr>
        <w:pStyle w:val="BodyText"/>
        <w:spacing w:before="11"/>
        <w:rPr>
          <w:sz w:val="16"/>
        </w:rPr>
      </w:pPr>
      <w:r>
        <w:rPr/>
        <w:br w:type="column"/>
      </w:r>
      <w:r>
        <w:rPr>
          <w:sz w:val="16"/>
        </w:rPr>
      </w:r>
    </w:p>
    <w:p>
      <w:pPr>
        <w:pStyle w:val="ListParagraph"/>
        <w:numPr>
          <w:ilvl w:val="0"/>
          <w:numId w:val="173"/>
        </w:numPr>
        <w:tabs>
          <w:tab w:pos="288" w:val="left" w:leader="none"/>
        </w:tabs>
        <w:spacing w:line="240" w:lineRule="auto" w:before="0" w:after="0"/>
        <w:ind w:left="287" w:right="0" w:hanging="137"/>
        <w:jc w:val="left"/>
        <w:rPr>
          <w:sz w:val="15"/>
        </w:rPr>
      </w:pPr>
      <w:r>
        <w:rPr>
          <w:sz w:val="15"/>
        </w:rPr>
        <w:t>Arrendamiento</w:t>
      </w:r>
      <w:r>
        <w:rPr>
          <w:spacing w:val="20"/>
          <w:sz w:val="15"/>
        </w:rPr>
        <w:t> </w:t>
      </w:r>
      <w:r>
        <w:rPr>
          <w:sz w:val="15"/>
        </w:rPr>
        <w:t>de</w:t>
      </w:r>
      <w:r>
        <w:rPr>
          <w:spacing w:val="20"/>
          <w:sz w:val="15"/>
        </w:rPr>
        <w:t> </w:t>
      </w:r>
      <w:r>
        <w:rPr>
          <w:sz w:val="15"/>
        </w:rPr>
        <w:t>locales</w:t>
      </w:r>
      <w:r>
        <w:rPr>
          <w:spacing w:val="20"/>
          <w:sz w:val="15"/>
        </w:rPr>
        <w:t> </w:t>
      </w:r>
      <w:r>
        <w:rPr>
          <w:sz w:val="15"/>
        </w:rPr>
        <w:t>en</w:t>
      </w:r>
      <w:r>
        <w:rPr>
          <w:spacing w:val="20"/>
          <w:sz w:val="15"/>
        </w:rPr>
        <w:t> </w:t>
      </w:r>
      <w:r>
        <w:rPr>
          <w:sz w:val="15"/>
        </w:rPr>
        <w:t>el</w:t>
      </w:r>
      <w:r>
        <w:rPr>
          <w:spacing w:val="20"/>
          <w:sz w:val="15"/>
        </w:rPr>
        <w:t> </w:t>
      </w:r>
      <w:r>
        <w:rPr>
          <w:sz w:val="15"/>
        </w:rPr>
        <w:t>interior</w:t>
      </w:r>
      <w:r>
        <w:rPr>
          <w:spacing w:val="20"/>
          <w:sz w:val="15"/>
        </w:rPr>
        <w:t> </w:t>
      </w:r>
      <w:r>
        <w:rPr>
          <w:sz w:val="15"/>
        </w:rPr>
        <w:t>de</w:t>
      </w:r>
      <w:r>
        <w:rPr>
          <w:spacing w:val="20"/>
          <w:sz w:val="15"/>
        </w:rPr>
        <w:t> </w:t>
      </w:r>
      <w:r>
        <w:rPr>
          <w:sz w:val="15"/>
        </w:rPr>
        <w:t>mercados</w:t>
      </w:r>
      <w:r>
        <w:rPr>
          <w:spacing w:val="20"/>
          <w:sz w:val="15"/>
        </w:rPr>
        <w:t> </w:t>
      </w:r>
      <w:r>
        <w:rPr>
          <w:sz w:val="15"/>
        </w:rPr>
        <w:t>de</w:t>
      </w:r>
    </w:p>
    <w:p>
      <w:pPr>
        <w:pStyle w:val="BodyText"/>
        <w:tabs>
          <w:tab w:pos="4540" w:val="left" w:leader="none"/>
        </w:tabs>
        <w:spacing w:before="5"/>
        <w:ind w:right="38"/>
        <w:jc w:val="right"/>
      </w:pPr>
      <w:r>
        <w:rPr/>
        <w:t>dominio  privado,  por  metro  cuadrado,</w:t>
      </w:r>
      <w:r>
        <w:rPr>
          <w:spacing w:val="11"/>
        </w:rPr>
        <w:t> </w:t>
      </w:r>
      <w:r>
        <w:rPr/>
        <w:t>mensualmente,</w:t>
      </w:r>
      <w:r>
        <w:rPr>
          <w:spacing w:val="35"/>
        </w:rPr>
        <w:t> </w:t>
      </w:r>
      <w:r>
        <w:rPr/>
        <w:t>de:</w:t>
        <w:tab/>
        <w:t>$40.00</w:t>
      </w:r>
      <w:r>
        <w:rPr>
          <w:spacing w:val="15"/>
        </w:rPr>
        <w:t> </w:t>
      </w:r>
      <w:r>
        <w:rPr/>
        <w:t>a</w:t>
      </w:r>
    </w:p>
    <w:p>
      <w:pPr>
        <w:pStyle w:val="BodyText"/>
        <w:spacing w:before="5"/>
        <w:ind w:right="38"/>
        <w:jc w:val="right"/>
      </w:pPr>
      <w:r>
        <w:rPr/>
        <w:t>$106.00</w:t>
      </w:r>
    </w:p>
    <w:p>
      <w:pPr>
        <w:pStyle w:val="BodyText"/>
        <w:spacing w:line="171" w:lineRule="exact"/>
        <w:ind w:left="151"/>
      </w:pPr>
      <w:r>
        <w:rPr/>
        <w:br w:type="column"/>
      </w:r>
      <w:r>
        <w:rPr/>
        <w:t>TARIFA</w:t>
      </w:r>
    </w:p>
    <w:p>
      <w:pPr>
        <w:spacing w:after="0" w:line="171" w:lineRule="exact"/>
        <w:sectPr>
          <w:type w:val="continuous"/>
          <w:pgSz w:w="23250" w:h="15310" w:orient="landscape"/>
          <w:pgMar w:top="0" w:bottom="0" w:left="1880" w:right="1520"/>
          <w:cols w:num="3" w:equalWidth="0">
            <w:col w:w="7752" w:space="4267"/>
            <w:col w:w="5332" w:space="42"/>
            <w:col w:w="2457"/>
          </w:cols>
        </w:sectPr>
      </w:pPr>
    </w:p>
    <w:p>
      <w:pPr>
        <w:pStyle w:val="BodyText"/>
        <w:spacing w:before="5"/>
        <w:ind w:left="151"/>
      </w:pPr>
      <w:r>
        <w:rPr/>
        <w:t>menor a una unidad de medida y actualización.</w:t>
      </w:r>
    </w:p>
    <w:p>
      <w:pPr>
        <w:pStyle w:val="BodyText"/>
        <w:spacing w:before="9"/>
      </w:pPr>
    </w:p>
    <w:p>
      <w:pPr>
        <w:pStyle w:val="ListParagraph"/>
        <w:numPr>
          <w:ilvl w:val="0"/>
          <w:numId w:val="173"/>
        </w:numPr>
        <w:tabs>
          <w:tab w:pos="721" w:val="left" w:leader="none"/>
        </w:tabs>
        <w:spacing w:line="240" w:lineRule="auto" w:before="0" w:after="0"/>
        <w:ind w:left="720" w:right="0" w:hanging="173"/>
        <w:jc w:val="left"/>
        <w:rPr>
          <w:sz w:val="15"/>
        </w:rPr>
      </w:pPr>
      <w:r>
        <w:rPr>
          <w:sz w:val="15"/>
        </w:rPr>
        <w:t>Por gastos de ejecución de los créditos fiscales determinados por la autoridad</w:t>
      </w:r>
      <w:r>
        <w:rPr>
          <w:spacing w:val="4"/>
          <w:sz w:val="15"/>
        </w:rPr>
        <w:t> </w:t>
      </w:r>
      <w:r>
        <w:rPr>
          <w:sz w:val="15"/>
        </w:rPr>
        <w:t>fiscal.</w:t>
      </w:r>
    </w:p>
    <w:p>
      <w:pPr>
        <w:pStyle w:val="BodyText"/>
        <w:spacing w:before="9"/>
      </w:pPr>
    </w:p>
    <w:p>
      <w:pPr>
        <w:pStyle w:val="ListParagraph"/>
        <w:numPr>
          <w:ilvl w:val="0"/>
          <w:numId w:val="174"/>
        </w:numPr>
        <w:tabs>
          <w:tab w:pos="732" w:val="left" w:leader="none"/>
        </w:tabs>
        <w:spacing w:line="247" w:lineRule="auto" w:before="0" w:after="0"/>
        <w:ind w:left="151" w:right="39" w:firstLine="397"/>
        <w:jc w:val="left"/>
        <w:rPr>
          <w:sz w:val="15"/>
        </w:rPr>
      </w:pPr>
      <w:r>
        <w:rPr>
          <w:sz w:val="15"/>
        </w:rPr>
        <w:t>Cuando se realicen en la cabecera municipal, el 5% del crédito fiscal, sin que su importe sea menor a una unidad de medida y actualización;</w:t>
      </w:r>
      <w:r>
        <w:rPr>
          <w:spacing w:val="7"/>
          <w:sz w:val="15"/>
        </w:rPr>
        <w:t> </w:t>
      </w:r>
      <w:r>
        <w:rPr>
          <w:sz w:val="15"/>
        </w:rPr>
        <w:t>o</w:t>
      </w:r>
    </w:p>
    <w:p>
      <w:pPr>
        <w:pStyle w:val="BodyText"/>
        <w:spacing w:before="4"/>
      </w:pPr>
    </w:p>
    <w:p>
      <w:pPr>
        <w:pStyle w:val="ListParagraph"/>
        <w:numPr>
          <w:ilvl w:val="0"/>
          <w:numId w:val="174"/>
        </w:numPr>
        <w:tabs>
          <w:tab w:pos="748" w:val="left" w:leader="none"/>
        </w:tabs>
        <w:spacing w:line="244" w:lineRule="auto" w:before="0" w:after="0"/>
        <w:ind w:left="151" w:right="38" w:firstLine="397"/>
        <w:jc w:val="left"/>
        <w:rPr>
          <w:sz w:val="15"/>
        </w:rPr>
      </w:pPr>
      <w:r>
        <w:rPr>
          <w:sz w:val="15"/>
        </w:rPr>
        <w:t>Cuando se realice fuera de la cabecera municipal, el 8% del crédito fiscal, sin que su importe sea  menor a una unidad de medida y</w:t>
      </w:r>
      <w:r>
        <w:rPr>
          <w:spacing w:val="10"/>
          <w:sz w:val="15"/>
        </w:rPr>
        <w:t> </w:t>
      </w:r>
      <w:r>
        <w:rPr>
          <w:sz w:val="15"/>
        </w:rPr>
        <w:t>actualización.</w:t>
      </w:r>
    </w:p>
    <w:p>
      <w:pPr>
        <w:pStyle w:val="BodyText"/>
        <w:spacing w:before="6"/>
      </w:pPr>
    </w:p>
    <w:p>
      <w:pPr>
        <w:pStyle w:val="BodyText"/>
        <w:spacing w:line="247" w:lineRule="auto"/>
        <w:ind w:left="151" w:right="38" w:firstLine="397"/>
        <w:jc w:val="both"/>
      </w:pPr>
      <w:r>
        <w:rPr/>
        <w:t>Estos gastos serán determinados y cobrados por la notificación  del mandamiento de ejecución con el   cual se dé inicio al procedimiento administrativo de ejecución mediante el cual se pretenda hacer efectivo un crédito</w:t>
      </w:r>
      <w:r>
        <w:rPr>
          <w:spacing w:val="6"/>
        </w:rPr>
        <w:t> </w:t>
      </w:r>
      <w:r>
        <w:rPr/>
        <w:t>fiscal,</w:t>
      </w:r>
      <w:r>
        <w:rPr>
          <w:spacing w:val="7"/>
        </w:rPr>
        <w:t> </w:t>
      </w:r>
      <w:r>
        <w:rPr/>
        <w:t>así</w:t>
      </w:r>
      <w:r>
        <w:rPr>
          <w:spacing w:val="7"/>
        </w:rPr>
        <w:t> </w:t>
      </w:r>
      <w:r>
        <w:rPr/>
        <w:t>como</w:t>
      </w:r>
      <w:r>
        <w:rPr>
          <w:spacing w:val="6"/>
        </w:rPr>
        <w:t> </w:t>
      </w:r>
      <w:r>
        <w:rPr/>
        <w:t>por</w:t>
      </w:r>
      <w:r>
        <w:rPr>
          <w:spacing w:val="7"/>
        </w:rPr>
        <w:t> </w:t>
      </w:r>
      <w:r>
        <w:rPr/>
        <w:t>cada</w:t>
      </w:r>
      <w:r>
        <w:rPr>
          <w:spacing w:val="7"/>
        </w:rPr>
        <w:t> </w:t>
      </w:r>
      <w:r>
        <w:rPr/>
        <w:t>diligencia</w:t>
      </w:r>
      <w:r>
        <w:rPr>
          <w:spacing w:val="6"/>
        </w:rPr>
        <w:t> </w:t>
      </w:r>
      <w:r>
        <w:rPr/>
        <w:t>correspondiente</w:t>
      </w:r>
      <w:r>
        <w:rPr>
          <w:spacing w:val="7"/>
        </w:rPr>
        <w:t> </w:t>
      </w:r>
      <w:r>
        <w:rPr/>
        <w:t>a</w:t>
      </w:r>
      <w:r>
        <w:rPr>
          <w:spacing w:val="7"/>
        </w:rPr>
        <w:t> </w:t>
      </w:r>
      <w:r>
        <w:rPr/>
        <w:t>éste</w:t>
      </w:r>
      <w:r>
        <w:rPr>
          <w:spacing w:val="7"/>
        </w:rPr>
        <w:t> </w:t>
      </w:r>
      <w:r>
        <w:rPr/>
        <w:t>que</w:t>
      </w:r>
      <w:r>
        <w:rPr>
          <w:spacing w:val="6"/>
        </w:rPr>
        <w:t> </w:t>
      </w:r>
      <w:r>
        <w:rPr/>
        <w:t>implique</w:t>
      </w:r>
      <w:r>
        <w:rPr>
          <w:spacing w:val="7"/>
        </w:rPr>
        <w:t> </w:t>
      </w:r>
      <w:r>
        <w:rPr/>
        <w:t>la</w:t>
      </w:r>
      <w:r>
        <w:rPr>
          <w:spacing w:val="7"/>
        </w:rPr>
        <w:t> </w:t>
      </w:r>
      <w:r>
        <w:rPr/>
        <w:t>extracción</w:t>
      </w:r>
      <w:r>
        <w:rPr>
          <w:spacing w:val="6"/>
        </w:rPr>
        <w:t> </w:t>
      </w:r>
      <w:r>
        <w:rPr/>
        <w:t>de</w:t>
      </w:r>
      <w:r>
        <w:rPr>
          <w:spacing w:val="7"/>
        </w:rPr>
        <w:t> </w:t>
      </w:r>
      <w:r>
        <w:rPr/>
        <w:t>bienes:</w:t>
      </w:r>
    </w:p>
    <w:p>
      <w:pPr>
        <w:pStyle w:val="BodyText"/>
        <w:spacing w:before="3"/>
      </w:pPr>
    </w:p>
    <w:p>
      <w:pPr>
        <w:pStyle w:val="ListParagraph"/>
        <w:numPr>
          <w:ilvl w:val="0"/>
          <w:numId w:val="173"/>
        </w:numPr>
        <w:tabs>
          <w:tab w:pos="812" w:val="left" w:leader="none"/>
        </w:tabs>
        <w:spacing w:line="247" w:lineRule="auto" w:before="0" w:after="0"/>
        <w:ind w:left="151" w:right="39" w:firstLine="397"/>
        <w:jc w:val="left"/>
        <w:rPr>
          <w:sz w:val="15"/>
        </w:rPr>
      </w:pPr>
      <w:r>
        <w:rPr>
          <w:sz w:val="15"/>
        </w:rPr>
        <w:t>Los demás gastos que sean erogados en el procedimiento administrativo de ejecución serán reembolsados a la hacienda municipal por los</w:t>
      </w:r>
      <w:r>
        <w:rPr>
          <w:spacing w:val="14"/>
          <w:sz w:val="15"/>
        </w:rPr>
        <w:t> </w:t>
      </w:r>
      <w:r>
        <w:rPr>
          <w:sz w:val="15"/>
        </w:rPr>
        <w:t>contribuyentes.</w:t>
      </w:r>
    </w:p>
    <w:p>
      <w:pPr>
        <w:pStyle w:val="ListParagraph"/>
        <w:numPr>
          <w:ilvl w:val="0"/>
          <w:numId w:val="175"/>
        </w:numPr>
        <w:tabs>
          <w:tab w:pos="353" w:val="left" w:leader="none"/>
        </w:tabs>
        <w:spacing w:line="247" w:lineRule="auto" w:before="63" w:after="0"/>
        <w:ind w:left="151" w:right="41" w:firstLine="0"/>
        <w:jc w:val="both"/>
        <w:rPr>
          <w:sz w:val="15"/>
        </w:rPr>
      </w:pPr>
      <w:r>
        <w:rPr>
          <w:w w:val="102"/>
          <w:sz w:val="15"/>
        </w:rPr>
        <w:br w:type="column"/>
      </w:r>
      <w:r>
        <w:rPr>
          <w:sz w:val="15"/>
        </w:rPr>
        <w:t>Arrendamiento de locales exteriores en mercados de dominio privado, por metro cuadrado mensualmente,</w:t>
      </w:r>
      <w:r>
        <w:rPr>
          <w:spacing w:val="14"/>
          <w:sz w:val="15"/>
        </w:rPr>
        <w:t> </w:t>
      </w:r>
      <w:r>
        <w:rPr>
          <w:sz w:val="15"/>
        </w:rPr>
        <w:t>de:</w:t>
      </w:r>
    </w:p>
    <w:p>
      <w:pPr>
        <w:pStyle w:val="BodyText"/>
        <w:spacing w:before="8"/>
        <w:rPr>
          <w:sz w:val="18"/>
        </w:rPr>
      </w:pPr>
    </w:p>
    <w:p>
      <w:pPr>
        <w:pStyle w:val="ListParagraph"/>
        <w:numPr>
          <w:ilvl w:val="0"/>
          <w:numId w:val="175"/>
        </w:numPr>
        <w:tabs>
          <w:tab w:pos="415" w:val="left" w:leader="none"/>
        </w:tabs>
        <w:spacing w:line="247" w:lineRule="auto" w:before="1" w:after="0"/>
        <w:ind w:left="151" w:right="38" w:firstLine="0"/>
        <w:jc w:val="both"/>
        <w:rPr>
          <w:sz w:val="15"/>
        </w:rPr>
      </w:pPr>
      <w:r>
        <w:rPr>
          <w:sz w:val="15"/>
        </w:rPr>
        <w:t>Arrendamiento o concesión de excusados y baños públicos en bienes de dominio privado, por  metro  cuadrado, mensualmente,</w:t>
      </w:r>
      <w:r>
        <w:rPr>
          <w:spacing w:val="3"/>
          <w:sz w:val="15"/>
        </w:rPr>
        <w:t> </w:t>
      </w:r>
      <w:r>
        <w:rPr>
          <w:sz w:val="15"/>
        </w:rPr>
        <w:t>de:</w:t>
      </w:r>
    </w:p>
    <w:p>
      <w:pPr>
        <w:pStyle w:val="BodyText"/>
        <w:spacing w:before="7"/>
        <w:rPr>
          <w:sz w:val="18"/>
        </w:rPr>
      </w:pPr>
    </w:p>
    <w:p>
      <w:pPr>
        <w:pStyle w:val="ListParagraph"/>
        <w:numPr>
          <w:ilvl w:val="0"/>
          <w:numId w:val="175"/>
        </w:numPr>
        <w:tabs>
          <w:tab w:pos="386" w:val="left" w:leader="none"/>
        </w:tabs>
        <w:spacing w:line="247" w:lineRule="auto" w:before="0" w:after="0"/>
        <w:ind w:left="151" w:right="38" w:firstLine="0"/>
        <w:jc w:val="both"/>
        <w:rPr>
          <w:sz w:val="15"/>
        </w:rPr>
      </w:pPr>
      <w:r>
        <w:rPr>
          <w:sz w:val="15"/>
        </w:rPr>
        <w:t>Arrendamiento de inmuebles de dominio privado para anuncios eventuales, por metro cuadrado,</w:t>
      </w:r>
      <w:r>
        <w:rPr>
          <w:spacing w:val="39"/>
          <w:sz w:val="15"/>
        </w:rPr>
        <w:t> </w:t>
      </w:r>
      <w:r>
        <w:rPr>
          <w:sz w:val="15"/>
        </w:rPr>
        <w:t>diariamente:</w:t>
      </w:r>
    </w:p>
    <w:p>
      <w:pPr>
        <w:pStyle w:val="BodyText"/>
        <w:rPr>
          <w:sz w:val="16"/>
        </w:rPr>
      </w:pPr>
    </w:p>
    <w:p>
      <w:pPr>
        <w:pStyle w:val="BodyText"/>
        <w:spacing w:before="1"/>
        <w:rPr>
          <w:sz w:val="18"/>
        </w:rPr>
      </w:pPr>
    </w:p>
    <w:p>
      <w:pPr>
        <w:pStyle w:val="ListParagraph"/>
        <w:numPr>
          <w:ilvl w:val="0"/>
          <w:numId w:val="175"/>
        </w:numPr>
        <w:tabs>
          <w:tab w:pos="350" w:val="left" w:leader="none"/>
          <w:tab w:pos="2881" w:val="left" w:leader="none"/>
        </w:tabs>
        <w:spacing w:line="244" w:lineRule="auto" w:before="0" w:after="0"/>
        <w:ind w:left="151" w:right="39" w:firstLine="0"/>
        <w:jc w:val="both"/>
        <w:rPr>
          <w:sz w:val="15"/>
        </w:rPr>
      </w:pPr>
      <w:r>
        <w:rPr>
          <w:sz w:val="15"/>
        </w:rPr>
        <w:t>Arrendamiento de inmuebles de dominio privado para anuncios     </w:t>
      </w:r>
      <w:r>
        <w:rPr>
          <w:spacing w:val="8"/>
          <w:sz w:val="15"/>
        </w:rPr>
        <w:t> </w:t>
      </w:r>
      <w:r>
        <w:rPr>
          <w:sz w:val="15"/>
        </w:rPr>
        <w:t>permanentes,     </w:t>
      </w:r>
      <w:r>
        <w:rPr>
          <w:spacing w:val="9"/>
          <w:sz w:val="15"/>
        </w:rPr>
        <w:t> </w:t>
      </w:r>
      <w:r>
        <w:rPr>
          <w:sz w:val="15"/>
        </w:rPr>
        <w:t>por</w:t>
        <w:tab/>
        <w:t>metro cuadrado, mensualmente,</w:t>
      </w:r>
      <w:r>
        <w:rPr>
          <w:spacing w:val="1"/>
          <w:sz w:val="15"/>
        </w:rPr>
        <w:t> </w:t>
      </w:r>
      <w:r>
        <w:rPr>
          <w:sz w:val="15"/>
        </w:rPr>
        <w:t>de:</w:t>
      </w:r>
    </w:p>
    <w:p>
      <w:pPr>
        <w:pStyle w:val="BodyText"/>
        <w:spacing w:before="63"/>
        <w:ind w:left="151"/>
      </w:pPr>
      <w:r>
        <w:rPr/>
        <w:br w:type="column"/>
      </w:r>
      <w:r>
        <w:rPr/>
        <w:t>$47.00</w:t>
      </w:r>
      <w:r>
        <w:rPr>
          <w:spacing w:val="14"/>
        </w:rPr>
        <w:t> </w:t>
      </w:r>
      <w:r>
        <w:rPr/>
        <w:t>a</w:t>
      </w:r>
    </w:p>
    <w:p>
      <w:pPr>
        <w:pStyle w:val="BodyText"/>
        <w:spacing w:before="5"/>
        <w:ind w:left="194"/>
      </w:pPr>
      <w:r>
        <w:rPr/>
        <w:t>$148.00</w:t>
      </w:r>
    </w:p>
    <w:p>
      <w:pPr>
        <w:pStyle w:val="BodyText"/>
        <w:rPr>
          <w:sz w:val="16"/>
        </w:rPr>
      </w:pPr>
    </w:p>
    <w:p>
      <w:pPr>
        <w:pStyle w:val="BodyText"/>
        <w:spacing w:before="7"/>
        <w:rPr>
          <w:sz w:val="18"/>
        </w:rPr>
      </w:pPr>
    </w:p>
    <w:p>
      <w:pPr>
        <w:pStyle w:val="BodyText"/>
        <w:ind w:left="151"/>
      </w:pPr>
      <w:r>
        <w:rPr/>
        <w:t>$60.00</w:t>
      </w:r>
      <w:r>
        <w:rPr>
          <w:spacing w:val="14"/>
        </w:rPr>
        <w:t> </w:t>
      </w:r>
      <w:r>
        <w:rPr/>
        <w:t>a</w:t>
      </w:r>
    </w:p>
    <w:p>
      <w:pPr>
        <w:pStyle w:val="BodyText"/>
        <w:spacing w:before="5"/>
        <w:ind w:left="194"/>
      </w:pPr>
      <w:r>
        <w:rPr/>
        <w:t>$151.00</w:t>
      </w:r>
    </w:p>
    <w:p>
      <w:pPr>
        <w:pStyle w:val="BodyText"/>
        <w:rPr>
          <w:sz w:val="16"/>
        </w:rPr>
      </w:pPr>
    </w:p>
    <w:p>
      <w:pPr>
        <w:pStyle w:val="BodyText"/>
        <w:rPr>
          <w:sz w:val="16"/>
        </w:rPr>
      </w:pPr>
    </w:p>
    <w:p>
      <w:pPr>
        <w:pStyle w:val="BodyText"/>
        <w:rPr>
          <w:sz w:val="18"/>
        </w:rPr>
      </w:pPr>
    </w:p>
    <w:p>
      <w:pPr>
        <w:pStyle w:val="BodyText"/>
        <w:ind w:right="2531"/>
        <w:jc w:val="right"/>
      </w:pPr>
      <w:r>
        <w:rPr>
          <w:spacing w:val="-1"/>
        </w:rPr>
        <w:t>$6.00</w:t>
      </w:r>
    </w:p>
    <w:p>
      <w:pPr>
        <w:pStyle w:val="BodyText"/>
        <w:rPr>
          <w:sz w:val="16"/>
        </w:rPr>
      </w:pPr>
    </w:p>
    <w:p>
      <w:pPr>
        <w:pStyle w:val="BodyText"/>
        <w:spacing w:before="7"/>
        <w:rPr>
          <w:sz w:val="18"/>
        </w:rPr>
      </w:pPr>
    </w:p>
    <w:p>
      <w:pPr>
        <w:pStyle w:val="BodyText"/>
        <w:ind w:right="2531"/>
        <w:jc w:val="right"/>
      </w:pPr>
      <w:r>
        <w:rPr/>
        <w:t>$43.00</w:t>
      </w:r>
      <w:r>
        <w:rPr>
          <w:spacing w:val="14"/>
        </w:rPr>
        <w:t> </w:t>
      </w:r>
      <w:r>
        <w:rPr/>
        <w:t>a</w:t>
      </w:r>
    </w:p>
    <w:p>
      <w:pPr>
        <w:pStyle w:val="BodyText"/>
        <w:spacing w:before="4"/>
        <w:ind w:right="2531"/>
        <w:jc w:val="right"/>
      </w:pPr>
      <w:r>
        <w:rPr/>
        <w:t>$54.00</w:t>
      </w:r>
    </w:p>
    <w:p>
      <w:pPr>
        <w:spacing w:after="0"/>
        <w:jc w:val="right"/>
        <w:sectPr>
          <w:type w:val="continuous"/>
          <w:pgSz w:w="23250" w:h="15310" w:orient="landscape"/>
          <w:pgMar w:top="0" w:bottom="0" w:left="1880" w:right="1520"/>
          <w:cols w:num="3" w:equalWidth="0">
            <w:col w:w="7752" w:space="4267"/>
            <w:col w:w="4240" w:space="300"/>
            <w:col w:w="3291"/>
          </w:cols>
        </w:sectPr>
      </w:pPr>
    </w:p>
    <w:p>
      <w:pPr>
        <w:pStyle w:val="BodyText"/>
        <w:spacing w:before="4"/>
      </w:pPr>
    </w:p>
    <w:p>
      <w:pPr>
        <w:pStyle w:val="BodyText"/>
        <w:spacing w:line="247" w:lineRule="auto"/>
        <w:ind w:left="151" w:right="199" w:firstLine="397"/>
      </w:pPr>
      <w:r>
        <w:rPr>
          <w:spacing w:val="-5"/>
        </w:rPr>
        <w:t>IV.  </w:t>
      </w:r>
      <w:r>
        <w:rPr/>
        <w:t>El cobro de los gastos de notificación y ejecución de créditos fiscales, en ningún caso, excederá de    los siguientes</w:t>
      </w:r>
      <w:r>
        <w:rPr>
          <w:spacing w:val="2"/>
        </w:rPr>
        <w:t> </w:t>
      </w:r>
      <w:r>
        <w:rPr/>
        <w:t>límites:</w:t>
      </w:r>
    </w:p>
    <w:p>
      <w:pPr>
        <w:pStyle w:val="BodyText"/>
        <w:spacing w:before="3"/>
      </w:pPr>
    </w:p>
    <w:p>
      <w:pPr>
        <w:pStyle w:val="BodyText"/>
        <w:spacing w:line="247" w:lineRule="auto"/>
        <w:ind w:left="151" w:firstLine="397"/>
      </w:pPr>
      <w:r>
        <w:rPr/>
        <w:t>a) Del importe de 30 unidades de medida y actualización, por las notificaciones de los créditos fiscales determinados por la autoridad fiscal por el incumplimiento en el pago de las obligaciones fiscales.</w:t>
      </w:r>
    </w:p>
    <w:p>
      <w:pPr>
        <w:pStyle w:val="BodyText"/>
        <w:spacing w:line="247" w:lineRule="auto" w:before="17"/>
        <w:ind w:left="151" w:right="508" w:firstLine="397"/>
        <w:jc w:val="both"/>
      </w:pPr>
      <w:r>
        <w:rPr/>
        <w:br w:type="column"/>
      </w:r>
      <w:r>
        <w:rPr>
          <w:b/>
        </w:rPr>
        <w:t>Artículo 126.- </w:t>
      </w:r>
      <w:r>
        <w:rPr/>
        <w:t>El importe de las rentas o de los ingresos por las concesiones de otros bienes muebles o inmuebles, propiedad del Municipio de dominio privado, no especificados en el artículo anterior, será fijado en  los contratos respectivos, previo acuerdo del Ayuntamiento y en los términos del artículo 180 de la Ley de Hacienda Municipal del Estado de</w:t>
      </w:r>
      <w:r>
        <w:rPr>
          <w:spacing w:val="6"/>
        </w:rPr>
        <w:t> </w:t>
      </w:r>
      <w:r>
        <w:rPr/>
        <w:t>Jalisco.</w:t>
      </w:r>
    </w:p>
    <w:p>
      <w:pPr>
        <w:pStyle w:val="BodyText"/>
        <w:spacing w:before="3"/>
      </w:pPr>
    </w:p>
    <w:p>
      <w:pPr>
        <w:pStyle w:val="BodyText"/>
        <w:spacing w:line="244" w:lineRule="auto"/>
        <w:ind w:left="151" w:right="507" w:firstLine="397"/>
        <w:jc w:val="both"/>
      </w:pPr>
      <w:r>
        <w:rPr>
          <w:b/>
        </w:rPr>
        <w:t>Artículo 127.- </w:t>
      </w:r>
      <w:r>
        <w:rPr/>
        <w:t>En los casos de traspaso de giros instalados en locales  de  propiedad  municipal  de dominio</w:t>
      </w:r>
      <w:r>
        <w:rPr>
          <w:spacing w:val="19"/>
        </w:rPr>
        <w:t> </w:t>
      </w:r>
      <w:r>
        <w:rPr/>
        <w:t>privado,</w:t>
      </w:r>
      <w:r>
        <w:rPr>
          <w:spacing w:val="20"/>
        </w:rPr>
        <w:t> </w:t>
      </w:r>
      <w:r>
        <w:rPr/>
        <w:t>el</w:t>
      </w:r>
      <w:r>
        <w:rPr>
          <w:spacing w:val="20"/>
        </w:rPr>
        <w:t> </w:t>
      </w:r>
      <w:r>
        <w:rPr/>
        <w:t>Municipio</w:t>
      </w:r>
      <w:r>
        <w:rPr>
          <w:spacing w:val="19"/>
        </w:rPr>
        <w:t> </w:t>
      </w:r>
      <w:r>
        <w:rPr/>
        <w:t>se</w:t>
      </w:r>
      <w:r>
        <w:rPr>
          <w:spacing w:val="20"/>
        </w:rPr>
        <w:t> </w:t>
      </w:r>
      <w:r>
        <w:rPr/>
        <w:t>reserva</w:t>
      </w:r>
      <w:r>
        <w:rPr>
          <w:spacing w:val="20"/>
        </w:rPr>
        <w:t> </w:t>
      </w:r>
      <w:r>
        <w:rPr/>
        <w:t>la</w:t>
      </w:r>
      <w:r>
        <w:rPr>
          <w:spacing w:val="19"/>
        </w:rPr>
        <w:t> </w:t>
      </w:r>
      <w:r>
        <w:rPr/>
        <w:t>facultad</w:t>
      </w:r>
      <w:r>
        <w:rPr>
          <w:spacing w:val="20"/>
        </w:rPr>
        <w:t> </w:t>
      </w:r>
      <w:r>
        <w:rPr/>
        <w:t>de</w:t>
      </w:r>
      <w:r>
        <w:rPr>
          <w:spacing w:val="20"/>
        </w:rPr>
        <w:t> </w:t>
      </w:r>
      <w:r>
        <w:rPr/>
        <w:t>autorizar</w:t>
      </w:r>
      <w:r>
        <w:rPr>
          <w:spacing w:val="20"/>
        </w:rPr>
        <w:t> </w:t>
      </w:r>
      <w:r>
        <w:rPr/>
        <w:t>éstos,</w:t>
      </w:r>
      <w:r>
        <w:rPr>
          <w:spacing w:val="19"/>
        </w:rPr>
        <w:t> </w:t>
      </w:r>
      <w:r>
        <w:rPr/>
        <w:t>mediante</w:t>
      </w:r>
      <w:r>
        <w:rPr>
          <w:spacing w:val="19"/>
        </w:rPr>
        <w:t> </w:t>
      </w:r>
      <w:r>
        <w:rPr/>
        <w:t>acuerdo</w:t>
      </w:r>
      <w:r>
        <w:rPr>
          <w:spacing w:val="20"/>
        </w:rPr>
        <w:t> </w:t>
      </w:r>
      <w:r>
        <w:rPr/>
        <w:t>de</w:t>
      </w:r>
      <w:r>
        <w:rPr>
          <w:spacing w:val="11"/>
        </w:rPr>
        <w:t> </w:t>
      </w:r>
      <w:r>
        <w:rPr/>
        <w:t>Ayuntamiento,</w:t>
      </w:r>
      <w:r>
        <w:rPr>
          <w:spacing w:val="20"/>
        </w:rPr>
        <w:t> </w:t>
      </w:r>
      <w:r>
        <w:rPr/>
        <w:t>y</w:t>
      </w:r>
    </w:p>
    <w:p>
      <w:pPr>
        <w:spacing w:after="0" w:line="244" w:lineRule="auto"/>
        <w:jc w:val="both"/>
        <w:sectPr>
          <w:type w:val="continuous"/>
          <w:pgSz w:w="23250" w:h="15310" w:orient="landscape"/>
          <w:pgMar w:top="0" w:bottom="0" w:left="1880" w:right="1520"/>
          <w:cols w:num="2" w:equalWidth="0">
            <w:col w:w="7751" w:space="3871"/>
            <w:col w:w="8228"/>
          </w:cols>
        </w:sectPr>
      </w:pPr>
    </w:p>
    <w:p>
      <w:pPr>
        <w:pStyle w:val="BodyText"/>
        <w:rPr>
          <w:sz w:val="20"/>
        </w:rPr>
      </w:pPr>
    </w:p>
    <w:p>
      <w:pPr>
        <w:pStyle w:val="BodyText"/>
        <w:spacing w:before="7"/>
        <w:rPr>
          <w:sz w:val="29"/>
        </w:rPr>
      </w:pPr>
    </w:p>
    <w:p>
      <w:pPr>
        <w:spacing w:after="0"/>
        <w:rPr>
          <w:sz w:val="29"/>
        </w:rPr>
        <w:sectPr>
          <w:headerReference w:type="default" r:id="rId109"/>
          <w:pgSz w:w="23250" w:h="15310" w:orient="landscape"/>
          <w:pgMar w:header="881" w:footer="499" w:top="1920" w:bottom="680" w:left="1880" w:right="1520"/>
        </w:sectPr>
      </w:pPr>
    </w:p>
    <w:p>
      <w:pPr>
        <w:pStyle w:val="BodyText"/>
        <w:spacing w:line="247" w:lineRule="auto" w:before="99"/>
        <w:ind w:left="151" w:right="233"/>
      </w:pPr>
      <w:r>
        <w:rPr/>
        <w:t>fijar los productos correspondientes de conformidad con lo dispuesto por el artículo 125 de esta </w:t>
      </w:r>
      <w:r>
        <w:rPr>
          <w:spacing w:val="-4"/>
        </w:rPr>
        <w:t>Ley,  </w:t>
      </w:r>
      <w:r>
        <w:rPr/>
        <w:t>o anular   los convenios que, en lo particular celebren los</w:t>
      </w:r>
      <w:r>
        <w:rPr>
          <w:spacing w:val="14"/>
        </w:rPr>
        <w:t> </w:t>
      </w:r>
      <w:r>
        <w:rPr/>
        <w:t>interesados.</w:t>
      </w:r>
    </w:p>
    <w:p>
      <w:pPr>
        <w:pStyle w:val="BodyText"/>
        <w:spacing w:before="3"/>
      </w:pPr>
    </w:p>
    <w:p>
      <w:pPr>
        <w:pStyle w:val="BodyText"/>
        <w:spacing w:line="247" w:lineRule="auto"/>
        <w:ind w:left="151" w:right="38" w:firstLine="397"/>
        <w:jc w:val="both"/>
      </w:pPr>
      <w:r>
        <w:rPr>
          <w:b/>
        </w:rPr>
        <w:t>Artículo 128.- </w:t>
      </w:r>
      <w:r>
        <w:rPr/>
        <w:t>El gasto de luz y fuerza motriz de los locales arrendados de dominio privado,  será  calculado</w:t>
      </w:r>
      <w:r>
        <w:rPr>
          <w:spacing w:val="5"/>
        </w:rPr>
        <w:t> </w:t>
      </w:r>
      <w:r>
        <w:rPr/>
        <w:t>de</w:t>
      </w:r>
      <w:r>
        <w:rPr>
          <w:spacing w:val="7"/>
        </w:rPr>
        <w:t> </w:t>
      </w:r>
      <w:r>
        <w:rPr/>
        <w:t>acuerdo</w:t>
      </w:r>
      <w:r>
        <w:rPr>
          <w:spacing w:val="7"/>
        </w:rPr>
        <w:t> </w:t>
      </w:r>
      <w:r>
        <w:rPr/>
        <w:t>con</w:t>
      </w:r>
      <w:r>
        <w:rPr>
          <w:spacing w:val="7"/>
        </w:rPr>
        <w:t> </w:t>
      </w:r>
      <w:r>
        <w:rPr/>
        <w:t>el</w:t>
      </w:r>
      <w:r>
        <w:rPr>
          <w:spacing w:val="7"/>
        </w:rPr>
        <w:t> </w:t>
      </w:r>
      <w:r>
        <w:rPr/>
        <w:t>consumo</w:t>
      </w:r>
      <w:r>
        <w:rPr>
          <w:spacing w:val="6"/>
        </w:rPr>
        <w:t> </w:t>
      </w:r>
      <w:r>
        <w:rPr/>
        <w:t>visible</w:t>
      </w:r>
      <w:r>
        <w:rPr>
          <w:spacing w:val="7"/>
        </w:rPr>
        <w:t> </w:t>
      </w:r>
      <w:r>
        <w:rPr/>
        <w:t>de</w:t>
      </w:r>
      <w:r>
        <w:rPr>
          <w:spacing w:val="7"/>
        </w:rPr>
        <w:t> </w:t>
      </w:r>
      <w:r>
        <w:rPr/>
        <w:t>cada</w:t>
      </w:r>
      <w:r>
        <w:rPr>
          <w:spacing w:val="7"/>
        </w:rPr>
        <w:t> </w:t>
      </w:r>
      <w:r>
        <w:rPr/>
        <w:t>uno,</w:t>
      </w:r>
      <w:r>
        <w:rPr>
          <w:spacing w:val="6"/>
        </w:rPr>
        <w:t> </w:t>
      </w:r>
      <w:r>
        <w:rPr/>
        <w:t>y</w:t>
      </w:r>
      <w:r>
        <w:rPr>
          <w:spacing w:val="5"/>
        </w:rPr>
        <w:t> </w:t>
      </w:r>
      <w:r>
        <w:rPr/>
        <w:t>se</w:t>
      </w:r>
      <w:r>
        <w:rPr>
          <w:spacing w:val="7"/>
        </w:rPr>
        <w:t> </w:t>
      </w:r>
      <w:r>
        <w:rPr/>
        <w:t>acumulará</w:t>
      </w:r>
      <w:r>
        <w:rPr>
          <w:spacing w:val="7"/>
        </w:rPr>
        <w:t> </w:t>
      </w:r>
      <w:r>
        <w:rPr/>
        <w:t>al</w:t>
      </w:r>
      <w:r>
        <w:rPr>
          <w:spacing w:val="7"/>
        </w:rPr>
        <w:t> </w:t>
      </w:r>
      <w:r>
        <w:rPr/>
        <w:t>importe</w:t>
      </w:r>
      <w:r>
        <w:rPr>
          <w:spacing w:val="7"/>
        </w:rPr>
        <w:t> </w:t>
      </w:r>
      <w:r>
        <w:rPr/>
        <w:t>del</w:t>
      </w:r>
      <w:r>
        <w:rPr>
          <w:spacing w:val="6"/>
        </w:rPr>
        <w:t> </w:t>
      </w:r>
      <w:r>
        <w:rPr/>
        <w:t>arrendamiento.</w:t>
      </w:r>
    </w:p>
    <w:p>
      <w:pPr>
        <w:pStyle w:val="BodyText"/>
        <w:spacing w:before="3"/>
      </w:pPr>
    </w:p>
    <w:p>
      <w:pPr>
        <w:pStyle w:val="BodyText"/>
        <w:spacing w:line="247" w:lineRule="auto" w:before="1"/>
        <w:ind w:left="151" w:right="38" w:firstLine="397"/>
        <w:jc w:val="both"/>
      </w:pPr>
      <w:r>
        <w:rPr>
          <w:b/>
        </w:rPr>
        <w:t>Artículo 129.- </w:t>
      </w:r>
      <w:r>
        <w:rPr/>
        <w:t>Las personas que hagan uso de bienes inmuebles propiedad del Municipio de dominio privado, pagarán los productos correspondientes conforme a lo siguiente:</w:t>
      </w:r>
    </w:p>
    <w:p>
      <w:pPr>
        <w:pStyle w:val="BodyText"/>
        <w:spacing w:before="2"/>
      </w:pPr>
    </w:p>
    <w:p>
      <w:pPr>
        <w:pStyle w:val="ListParagraph"/>
        <w:numPr>
          <w:ilvl w:val="0"/>
          <w:numId w:val="176"/>
        </w:numPr>
        <w:tabs>
          <w:tab w:pos="687" w:val="left" w:leader="none"/>
          <w:tab w:pos="6848" w:val="left" w:leader="none"/>
        </w:tabs>
        <w:spacing w:line="247" w:lineRule="auto" w:before="1" w:after="0"/>
        <w:ind w:left="151" w:right="39" w:firstLine="397"/>
        <w:jc w:val="left"/>
        <w:rPr>
          <w:sz w:val="15"/>
        </w:rPr>
      </w:pPr>
      <w:r>
        <w:rPr>
          <w:sz w:val="15"/>
        </w:rPr>
        <w:t>Excusados y baños públicos en bienes de dominio privado, cada vez que se usen, excepto por niños menores</w:t>
      </w:r>
      <w:r>
        <w:rPr>
          <w:spacing w:val="11"/>
          <w:sz w:val="15"/>
        </w:rPr>
        <w:t> </w:t>
      </w:r>
      <w:r>
        <w:rPr>
          <w:sz w:val="15"/>
        </w:rPr>
        <w:t>de</w:t>
      </w:r>
      <w:r>
        <w:rPr>
          <w:spacing w:val="11"/>
          <w:sz w:val="15"/>
        </w:rPr>
        <w:t> </w:t>
      </w:r>
      <w:r>
        <w:rPr>
          <w:sz w:val="15"/>
        </w:rPr>
        <w:t>12</w:t>
      </w:r>
      <w:r>
        <w:rPr>
          <w:spacing w:val="11"/>
          <w:sz w:val="15"/>
        </w:rPr>
        <w:t> </w:t>
      </w:r>
      <w:r>
        <w:rPr>
          <w:sz w:val="15"/>
        </w:rPr>
        <w:t>años,</w:t>
      </w:r>
      <w:r>
        <w:rPr>
          <w:spacing w:val="11"/>
          <w:sz w:val="15"/>
        </w:rPr>
        <w:t> </w:t>
      </w:r>
      <w:r>
        <w:rPr>
          <w:sz w:val="15"/>
        </w:rPr>
        <w:t>los</w:t>
      </w:r>
      <w:r>
        <w:rPr>
          <w:spacing w:val="12"/>
          <w:sz w:val="15"/>
        </w:rPr>
        <w:t> </w:t>
      </w:r>
      <w:r>
        <w:rPr>
          <w:sz w:val="15"/>
        </w:rPr>
        <w:t>cuales</w:t>
      </w:r>
      <w:r>
        <w:rPr>
          <w:spacing w:val="11"/>
          <w:sz w:val="15"/>
        </w:rPr>
        <w:t> </w:t>
      </w:r>
      <w:r>
        <w:rPr>
          <w:sz w:val="15"/>
        </w:rPr>
        <w:t>quedan</w:t>
      </w:r>
      <w:r>
        <w:rPr>
          <w:spacing w:val="11"/>
          <w:sz w:val="15"/>
        </w:rPr>
        <w:t> </w:t>
      </w:r>
      <w:r>
        <w:rPr>
          <w:sz w:val="15"/>
        </w:rPr>
        <w:t>exentos:</w:t>
        <w:tab/>
        <w:t>$7.00</w:t>
      </w:r>
    </w:p>
    <w:p>
      <w:pPr>
        <w:pStyle w:val="BodyText"/>
        <w:spacing w:before="3"/>
      </w:pPr>
    </w:p>
    <w:p>
      <w:pPr>
        <w:pStyle w:val="ListParagraph"/>
        <w:numPr>
          <w:ilvl w:val="0"/>
          <w:numId w:val="176"/>
        </w:numPr>
        <w:tabs>
          <w:tab w:pos="732" w:val="left" w:leader="none"/>
        </w:tabs>
        <w:spacing w:line="247" w:lineRule="auto" w:before="1" w:after="0"/>
        <w:ind w:left="151" w:right="38" w:firstLine="397"/>
        <w:jc w:val="left"/>
        <w:rPr>
          <w:sz w:val="15"/>
        </w:rPr>
      </w:pPr>
      <w:r>
        <w:rPr>
          <w:sz w:val="15"/>
        </w:rPr>
        <w:t>Uso de corrales en bienes de dominio privado para guardar animales que transiten en la vía pública    sin</w:t>
      </w:r>
      <w:r>
        <w:rPr>
          <w:spacing w:val="5"/>
          <w:sz w:val="15"/>
        </w:rPr>
        <w:t> </w:t>
      </w:r>
      <w:r>
        <w:rPr>
          <w:sz w:val="15"/>
        </w:rPr>
        <w:t>vigilancia</w:t>
      </w:r>
      <w:r>
        <w:rPr>
          <w:spacing w:val="6"/>
          <w:sz w:val="15"/>
        </w:rPr>
        <w:t> </w:t>
      </w:r>
      <w:r>
        <w:rPr>
          <w:sz w:val="15"/>
        </w:rPr>
        <w:t>de</w:t>
      </w:r>
      <w:r>
        <w:rPr>
          <w:spacing w:val="6"/>
          <w:sz w:val="15"/>
        </w:rPr>
        <w:t> </w:t>
      </w:r>
      <w:r>
        <w:rPr>
          <w:sz w:val="15"/>
        </w:rPr>
        <w:t>sus</w:t>
      </w:r>
      <w:r>
        <w:rPr>
          <w:spacing w:val="6"/>
          <w:sz w:val="15"/>
        </w:rPr>
        <w:t> </w:t>
      </w:r>
      <w:r>
        <w:rPr>
          <w:sz w:val="15"/>
        </w:rPr>
        <w:t>dueños,</w:t>
      </w:r>
      <w:r>
        <w:rPr>
          <w:spacing w:val="6"/>
          <w:sz w:val="15"/>
        </w:rPr>
        <w:t> </w:t>
      </w:r>
      <w:r>
        <w:rPr>
          <w:sz w:val="15"/>
        </w:rPr>
        <w:t>diariamente,</w:t>
      </w:r>
      <w:r>
        <w:rPr>
          <w:spacing w:val="5"/>
          <w:sz w:val="15"/>
        </w:rPr>
        <w:t> </w:t>
      </w:r>
      <w:r>
        <w:rPr>
          <w:sz w:val="15"/>
        </w:rPr>
        <w:t>por</w:t>
      </w:r>
      <w:r>
        <w:rPr>
          <w:spacing w:val="6"/>
          <w:sz w:val="15"/>
        </w:rPr>
        <w:t> </w:t>
      </w:r>
      <w:r>
        <w:rPr>
          <w:sz w:val="15"/>
        </w:rPr>
        <w:t>cada</w:t>
      </w:r>
      <w:r>
        <w:rPr>
          <w:spacing w:val="6"/>
          <w:sz w:val="15"/>
        </w:rPr>
        <w:t> </w:t>
      </w:r>
      <w:r>
        <w:rPr>
          <w:sz w:val="15"/>
        </w:rPr>
        <w:t>uno</w:t>
      </w:r>
      <w:r>
        <w:rPr>
          <w:spacing w:val="6"/>
          <w:sz w:val="15"/>
        </w:rPr>
        <w:t> </w:t>
      </w:r>
      <w:r>
        <w:rPr>
          <w:sz w:val="15"/>
        </w:rPr>
        <w:t>(sin</w:t>
      </w:r>
      <w:r>
        <w:rPr>
          <w:spacing w:val="5"/>
          <w:sz w:val="15"/>
        </w:rPr>
        <w:t> </w:t>
      </w:r>
      <w:r>
        <w:rPr>
          <w:sz w:val="15"/>
        </w:rPr>
        <w:t>considerar</w:t>
      </w:r>
      <w:r>
        <w:rPr>
          <w:spacing w:val="4"/>
          <w:sz w:val="15"/>
        </w:rPr>
        <w:t> </w:t>
      </w:r>
      <w:r>
        <w:rPr>
          <w:sz w:val="15"/>
        </w:rPr>
        <w:t>el</w:t>
      </w:r>
      <w:r>
        <w:rPr>
          <w:spacing w:val="6"/>
          <w:sz w:val="15"/>
        </w:rPr>
        <w:t> </w:t>
      </w:r>
      <w:r>
        <w:rPr>
          <w:sz w:val="15"/>
        </w:rPr>
        <w:t>costo</w:t>
      </w:r>
      <w:r>
        <w:rPr>
          <w:spacing w:val="6"/>
          <w:sz w:val="15"/>
        </w:rPr>
        <w:t> </w:t>
      </w:r>
      <w:r>
        <w:rPr>
          <w:sz w:val="15"/>
        </w:rPr>
        <w:t>del</w:t>
      </w:r>
      <w:r>
        <w:rPr>
          <w:spacing w:val="5"/>
          <w:sz w:val="15"/>
        </w:rPr>
        <w:t> </w:t>
      </w:r>
      <w:r>
        <w:rPr>
          <w:sz w:val="15"/>
        </w:rPr>
        <w:t>alimento):</w:t>
      </w:r>
      <w:r>
        <w:rPr>
          <w:spacing w:val="23"/>
          <w:sz w:val="15"/>
        </w:rPr>
        <w:t> </w:t>
      </w:r>
      <w:r>
        <w:rPr>
          <w:sz w:val="15"/>
        </w:rPr>
        <w:t>$62.00</w:t>
      </w:r>
    </w:p>
    <w:p>
      <w:pPr>
        <w:pStyle w:val="BodyText"/>
        <w:spacing w:before="2"/>
      </w:pPr>
    </w:p>
    <w:p>
      <w:pPr>
        <w:pStyle w:val="BodyText"/>
        <w:spacing w:line="247" w:lineRule="auto" w:before="1"/>
        <w:ind w:left="151" w:right="38" w:firstLine="397"/>
        <w:jc w:val="both"/>
      </w:pPr>
      <w:r>
        <w:rPr>
          <w:b/>
        </w:rPr>
        <w:t>Artículo 130.- </w:t>
      </w:r>
      <w:r>
        <w:rPr/>
        <w:t>Las personas físicas que tengan la posesión de bienes inmuebles a título de censo enfitéutico, propiedad del Municipio de dominio privado, de conformidad a lo establecido por la Ley Federal del  25 de junio de 1856, pagarán los productos correspondientes al  erario municipal en los términos establecidos   en</w:t>
      </w:r>
      <w:r>
        <w:rPr>
          <w:spacing w:val="5"/>
        </w:rPr>
        <w:t> </w:t>
      </w:r>
      <w:r>
        <w:rPr/>
        <w:t>el</w:t>
      </w:r>
      <w:r>
        <w:rPr>
          <w:spacing w:val="6"/>
        </w:rPr>
        <w:t> </w:t>
      </w:r>
      <w:r>
        <w:rPr/>
        <w:t>contrato</w:t>
      </w:r>
      <w:r>
        <w:rPr>
          <w:spacing w:val="6"/>
        </w:rPr>
        <w:t> </w:t>
      </w:r>
      <w:r>
        <w:rPr/>
        <w:t>que</w:t>
      </w:r>
      <w:r>
        <w:rPr>
          <w:spacing w:val="6"/>
        </w:rPr>
        <w:t> </w:t>
      </w:r>
      <w:r>
        <w:rPr/>
        <w:t>al</w:t>
      </w:r>
      <w:r>
        <w:rPr>
          <w:spacing w:val="6"/>
        </w:rPr>
        <w:t> </w:t>
      </w:r>
      <w:r>
        <w:rPr/>
        <w:t>respecto</w:t>
      </w:r>
      <w:r>
        <w:rPr>
          <w:spacing w:val="6"/>
        </w:rPr>
        <w:t> </w:t>
      </w:r>
      <w:r>
        <w:rPr/>
        <w:t>celebren</w:t>
      </w:r>
      <w:r>
        <w:rPr>
          <w:spacing w:val="6"/>
        </w:rPr>
        <w:t> </w:t>
      </w:r>
      <w:r>
        <w:rPr/>
        <w:t>con</w:t>
      </w:r>
      <w:r>
        <w:rPr>
          <w:spacing w:val="6"/>
        </w:rPr>
        <w:t> </w:t>
      </w:r>
      <w:r>
        <w:rPr/>
        <w:t>el</w:t>
      </w:r>
      <w:r>
        <w:rPr>
          <w:spacing w:val="6"/>
        </w:rPr>
        <w:t> </w:t>
      </w:r>
      <w:r>
        <w:rPr/>
        <w:t>presidente</w:t>
      </w:r>
      <w:r>
        <w:rPr>
          <w:spacing w:val="6"/>
        </w:rPr>
        <w:t> </w:t>
      </w:r>
      <w:r>
        <w:rPr/>
        <w:t>municipal,</w:t>
      </w:r>
      <w:r>
        <w:rPr>
          <w:spacing w:val="6"/>
        </w:rPr>
        <w:t> </w:t>
      </w:r>
      <w:r>
        <w:rPr/>
        <w:t>previo</w:t>
      </w:r>
      <w:r>
        <w:rPr>
          <w:spacing w:val="6"/>
        </w:rPr>
        <w:t> </w:t>
      </w:r>
      <w:r>
        <w:rPr/>
        <w:t>acuerdo</w:t>
      </w:r>
      <w:r>
        <w:rPr>
          <w:spacing w:val="6"/>
        </w:rPr>
        <w:t> </w:t>
      </w:r>
      <w:r>
        <w:rPr/>
        <w:t>del</w:t>
      </w:r>
      <w:r>
        <w:rPr>
          <w:spacing w:val="-4"/>
        </w:rPr>
        <w:t> </w:t>
      </w:r>
      <w:r>
        <w:rPr/>
        <w:t>Ayuntamiento.</w:t>
      </w:r>
    </w:p>
    <w:p>
      <w:pPr>
        <w:pStyle w:val="BodyText"/>
        <w:rPr>
          <w:sz w:val="16"/>
        </w:rPr>
      </w:pPr>
    </w:p>
    <w:p>
      <w:pPr>
        <w:pStyle w:val="BodyText"/>
        <w:spacing w:before="7"/>
        <w:rPr>
          <w:sz w:val="14"/>
        </w:rPr>
      </w:pPr>
    </w:p>
    <w:p>
      <w:pPr>
        <w:pStyle w:val="Heading4"/>
        <w:ind w:left="274" w:right="157"/>
      </w:pPr>
      <w:r>
        <w:rPr/>
        <w:t>SECCIÓN SEGUNDA</w:t>
      </w:r>
    </w:p>
    <w:p>
      <w:pPr>
        <w:spacing w:before="5"/>
        <w:ind w:left="271" w:right="160" w:firstLine="0"/>
        <w:jc w:val="center"/>
        <w:rPr>
          <w:b/>
          <w:sz w:val="15"/>
        </w:rPr>
      </w:pPr>
      <w:r>
        <w:rPr>
          <w:b/>
          <w:sz w:val="15"/>
        </w:rPr>
        <w:t>De los Cementerios de Dominio Privado</w:t>
      </w:r>
    </w:p>
    <w:p>
      <w:pPr>
        <w:pStyle w:val="BodyText"/>
        <w:spacing w:before="9"/>
        <w:rPr>
          <w:b/>
        </w:rPr>
      </w:pPr>
    </w:p>
    <w:p>
      <w:pPr>
        <w:pStyle w:val="BodyText"/>
        <w:spacing w:line="244" w:lineRule="auto"/>
        <w:ind w:left="151" w:right="38" w:firstLine="397"/>
        <w:jc w:val="both"/>
      </w:pPr>
      <w:r>
        <w:rPr>
          <w:b/>
        </w:rPr>
        <w:t>Artículo 131.- </w:t>
      </w:r>
      <w:r>
        <w:rPr/>
        <w:t>Las personas físicas o jurídicas que soliciten lotes de terreno o espacios en  los  cementerios municipales de dominio privado, para la construcción y uso de fosas, criptas, gavetas o nichos, pagarán los derechos correspondientes de acuerdo a las</w:t>
      </w:r>
      <w:r>
        <w:rPr>
          <w:spacing w:val="17"/>
        </w:rPr>
        <w:t> </w:t>
      </w:r>
      <w:r>
        <w:rPr/>
        <w:t>siguientes:</w:t>
      </w:r>
    </w:p>
    <w:p>
      <w:pPr>
        <w:pStyle w:val="ListParagraph"/>
        <w:numPr>
          <w:ilvl w:val="0"/>
          <w:numId w:val="177"/>
        </w:numPr>
        <w:tabs>
          <w:tab w:pos="695" w:val="left" w:leader="none"/>
        </w:tabs>
        <w:spacing w:line="247" w:lineRule="auto" w:before="99" w:after="0"/>
        <w:ind w:left="151" w:right="509" w:firstLine="397"/>
        <w:jc w:val="both"/>
        <w:rPr>
          <w:sz w:val="15"/>
        </w:rPr>
      </w:pPr>
      <w:r>
        <w:rPr>
          <w:spacing w:val="-3"/>
          <w:w w:val="102"/>
          <w:sz w:val="15"/>
        </w:rPr>
        <w:br w:type="column"/>
      </w:r>
      <w:r>
        <w:rPr>
          <w:sz w:val="15"/>
        </w:rPr>
        <w:t>Para </w:t>
      </w:r>
      <w:r>
        <w:rPr>
          <w:spacing w:val="-3"/>
          <w:sz w:val="15"/>
        </w:rPr>
        <w:t>féretros especiales </w:t>
      </w:r>
      <w:r>
        <w:rPr>
          <w:sz w:val="15"/>
        </w:rPr>
        <w:t>de </w:t>
      </w:r>
      <w:r>
        <w:rPr>
          <w:spacing w:val="-3"/>
          <w:sz w:val="15"/>
        </w:rPr>
        <w:t>adulto serán </w:t>
      </w:r>
      <w:r>
        <w:rPr>
          <w:sz w:val="15"/>
        </w:rPr>
        <w:t>de 2.50 </w:t>
      </w:r>
      <w:r>
        <w:rPr>
          <w:spacing w:val="-3"/>
          <w:sz w:val="15"/>
        </w:rPr>
        <w:t>metros </w:t>
      </w:r>
      <w:r>
        <w:rPr>
          <w:sz w:val="15"/>
        </w:rPr>
        <w:t>de largo por 1.10 </w:t>
      </w:r>
      <w:r>
        <w:rPr>
          <w:spacing w:val="-3"/>
          <w:sz w:val="15"/>
        </w:rPr>
        <w:t>metros </w:t>
      </w:r>
      <w:r>
        <w:rPr>
          <w:sz w:val="15"/>
        </w:rPr>
        <w:t>de ancho por 1.50  </w:t>
      </w:r>
      <w:r>
        <w:rPr>
          <w:spacing w:val="-3"/>
          <w:sz w:val="15"/>
        </w:rPr>
        <w:t>metros </w:t>
      </w:r>
      <w:r>
        <w:rPr>
          <w:sz w:val="15"/>
        </w:rPr>
        <w:t>de </w:t>
      </w:r>
      <w:r>
        <w:rPr>
          <w:spacing w:val="-3"/>
          <w:sz w:val="15"/>
        </w:rPr>
        <w:t>profundidad, contada ésta desde </w:t>
      </w:r>
      <w:r>
        <w:rPr>
          <w:sz w:val="15"/>
        </w:rPr>
        <w:t>el nivel de la </w:t>
      </w:r>
      <w:r>
        <w:rPr>
          <w:spacing w:val="-3"/>
          <w:sz w:val="15"/>
        </w:rPr>
        <w:t>calle </w:t>
      </w:r>
      <w:r>
        <w:rPr>
          <w:sz w:val="15"/>
        </w:rPr>
        <w:t>o </w:t>
      </w:r>
      <w:r>
        <w:rPr>
          <w:spacing w:val="-3"/>
          <w:sz w:val="15"/>
        </w:rPr>
        <w:t>andador adyacente, </w:t>
      </w:r>
      <w:r>
        <w:rPr>
          <w:sz w:val="15"/>
        </w:rPr>
        <w:t>con una </w:t>
      </w:r>
      <w:r>
        <w:rPr>
          <w:spacing w:val="-3"/>
          <w:sz w:val="15"/>
        </w:rPr>
        <w:t>separación </w:t>
      </w:r>
      <w:r>
        <w:rPr>
          <w:sz w:val="15"/>
        </w:rPr>
        <w:t>de 0.50 </w:t>
      </w:r>
      <w:r>
        <w:rPr>
          <w:spacing w:val="-3"/>
          <w:sz w:val="15"/>
        </w:rPr>
        <w:t>metros </w:t>
      </w:r>
      <w:r>
        <w:rPr>
          <w:sz w:val="15"/>
        </w:rPr>
        <w:t>entre cada</w:t>
      </w:r>
      <w:r>
        <w:rPr>
          <w:spacing w:val="-6"/>
          <w:sz w:val="15"/>
        </w:rPr>
        <w:t> </w:t>
      </w:r>
      <w:r>
        <w:rPr>
          <w:spacing w:val="-3"/>
          <w:sz w:val="15"/>
        </w:rPr>
        <w:t>fosa;</w:t>
      </w:r>
    </w:p>
    <w:p>
      <w:pPr>
        <w:pStyle w:val="BodyText"/>
        <w:spacing w:before="2"/>
      </w:pPr>
    </w:p>
    <w:p>
      <w:pPr>
        <w:pStyle w:val="ListParagraph"/>
        <w:numPr>
          <w:ilvl w:val="0"/>
          <w:numId w:val="177"/>
        </w:numPr>
        <w:tabs>
          <w:tab w:pos="715" w:val="left" w:leader="none"/>
        </w:tabs>
        <w:spacing w:line="247" w:lineRule="auto" w:before="0" w:after="0"/>
        <w:ind w:left="151" w:right="509" w:firstLine="397"/>
        <w:jc w:val="both"/>
        <w:rPr>
          <w:sz w:val="15"/>
        </w:rPr>
      </w:pPr>
      <w:r>
        <w:rPr>
          <w:spacing w:val="-3"/>
          <w:sz w:val="15"/>
        </w:rPr>
        <w:t>Para féretros </w:t>
      </w:r>
      <w:r>
        <w:rPr>
          <w:sz w:val="15"/>
        </w:rPr>
        <w:t>de </w:t>
      </w:r>
      <w:r>
        <w:rPr>
          <w:spacing w:val="-3"/>
          <w:sz w:val="15"/>
        </w:rPr>
        <w:t>tamaño normal; serán </w:t>
      </w:r>
      <w:r>
        <w:rPr>
          <w:sz w:val="15"/>
        </w:rPr>
        <w:t>de </w:t>
      </w:r>
      <w:r>
        <w:rPr>
          <w:spacing w:val="-3"/>
          <w:sz w:val="15"/>
        </w:rPr>
        <w:t>2.00 metros </w:t>
      </w:r>
      <w:r>
        <w:rPr>
          <w:sz w:val="15"/>
        </w:rPr>
        <w:t>de largo por 1.00 </w:t>
      </w:r>
      <w:r>
        <w:rPr>
          <w:spacing w:val="-3"/>
          <w:sz w:val="15"/>
        </w:rPr>
        <w:t>metro </w:t>
      </w:r>
      <w:r>
        <w:rPr>
          <w:sz w:val="15"/>
        </w:rPr>
        <w:t>de ancho por 1.50 </w:t>
      </w:r>
      <w:r>
        <w:rPr>
          <w:spacing w:val="-3"/>
          <w:sz w:val="15"/>
        </w:rPr>
        <w:t>metros  </w:t>
      </w:r>
      <w:r>
        <w:rPr>
          <w:sz w:val="15"/>
        </w:rPr>
        <w:t>de </w:t>
      </w:r>
      <w:r>
        <w:rPr>
          <w:spacing w:val="-3"/>
          <w:sz w:val="15"/>
        </w:rPr>
        <w:t>profundidad, contada ésta </w:t>
      </w:r>
      <w:r>
        <w:rPr>
          <w:sz w:val="15"/>
        </w:rPr>
        <w:t>a </w:t>
      </w:r>
      <w:r>
        <w:rPr>
          <w:spacing w:val="-3"/>
          <w:sz w:val="15"/>
        </w:rPr>
        <w:t>partir </w:t>
      </w:r>
      <w:r>
        <w:rPr>
          <w:sz w:val="15"/>
        </w:rPr>
        <w:t>del nivel de la calle o  </w:t>
      </w:r>
      <w:r>
        <w:rPr>
          <w:spacing w:val="-3"/>
          <w:sz w:val="15"/>
        </w:rPr>
        <w:t>andador  adyacente  </w:t>
      </w:r>
      <w:r>
        <w:rPr>
          <w:sz w:val="15"/>
        </w:rPr>
        <w:t>con una </w:t>
      </w:r>
      <w:r>
        <w:rPr>
          <w:spacing w:val="-3"/>
          <w:sz w:val="15"/>
        </w:rPr>
        <w:t>separación  </w:t>
      </w:r>
      <w:r>
        <w:rPr>
          <w:sz w:val="15"/>
        </w:rPr>
        <w:t>de 0.50  </w:t>
      </w:r>
      <w:r>
        <w:rPr>
          <w:spacing w:val="-3"/>
          <w:sz w:val="15"/>
        </w:rPr>
        <w:t>metros </w:t>
      </w:r>
      <w:r>
        <w:rPr>
          <w:sz w:val="15"/>
        </w:rPr>
        <w:t>entre cada</w:t>
      </w:r>
      <w:r>
        <w:rPr>
          <w:spacing w:val="-6"/>
          <w:sz w:val="15"/>
        </w:rPr>
        <w:t> </w:t>
      </w:r>
      <w:r>
        <w:rPr>
          <w:spacing w:val="-3"/>
          <w:sz w:val="15"/>
        </w:rPr>
        <w:t>fosa;</w:t>
      </w:r>
    </w:p>
    <w:p>
      <w:pPr>
        <w:pStyle w:val="BodyText"/>
        <w:spacing w:before="4"/>
      </w:pPr>
    </w:p>
    <w:p>
      <w:pPr>
        <w:pStyle w:val="ListParagraph"/>
        <w:numPr>
          <w:ilvl w:val="0"/>
          <w:numId w:val="177"/>
        </w:numPr>
        <w:tabs>
          <w:tab w:pos="777" w:val="left" w:leader="none"/>
        </w:tabs>
        <w:spacing w:line="244" w:lineRule="auto" w:before="0" w:after="0"/>
        <w:ind w:left="151" w:right="509" w:firstLine="397"/>
        <w:jc w:val="both"/>
        <w:rPr>
          <w:sz w:val="15"/>
        </w:rPr>
      </w:pPr>
      <w:r>
        <w:rPr>
          <w:sz w:val="15"/>
        </w:rPr>
        <w:t>Las fosas serán de 2.25 </w:t>
      </w:r>
      <w:r>
        <w:rPr>
          <w:spacing w:val="-3"/>
          <w:sz w:val="15"/>
        </w:rPr>
        <w:t>metros </w:t>
      </w:r>
      <w:r>
        <w:rPr>
          <w:sz w:val="15"/>
        </w:rPr>
        <w:t>de largo por 1.00 metro de ancho por; 1.50 </w:t>
      </w:r>
      <w:r>
        <w:rPr>
          <w:spacing w:val="-3"/>
          <w:sz w:val="15"/>
        </w:rPr>
        <w:t>metros </w:t>
      </w:r>
      <w:r>
        <w:rPr>
          <w:sz w:val="15"/>
        </w:rPr>
        <w:t>de </w:t>
      </w:r>
      <w:r>
        <w:rPr>
          <w:spacing w:val="-3"/>
          <w:sz w:val="15"/>
        </w:rPr>
        <w:t>profundidad, contada</w:t>
      </w:r>
      <w:r>
        <w:rPr>
          <w:spacing w:val="2"/>
          <w:sz w:val="15"/>
        </w:rPr>
        <w:t> </w:t>
      </w:r>
      <w:r>
        <w:rPr>
          <w:spacing w:val="-3"/>
          <w:sz w:val="15"/>
        </w:rPr>
        <w:t>ésta</w:t>
      </w:r>
      <w:r>
        <w:rPr>
          <w:spacing w:val="3"/>
          <w:sz w:val="15"/>
        </w:rPr>
        <w:t> </w:t>
      </w:r>
      <w:r>
        <w:rPr>
          <w:spacing w:val="-3"/>
          <w:sz w:val="15"/>
        </w:rPr>
        <w:t>desde</w:t>
      </w:r>
      <w:r>
        <w:rPr>
          <w:spacing w:val="3"/>
          <w:sz w:val="15"/>
        </w:rPr>
        <w:t> </w:t>
      </w:r>
      <w:r>
        <w:rPr>
          <w:sz w:val="15"/>
        </w:rPr>
        <w:t>el</w:t>
      </w:r>
      <w:r>
        <w:rPr>
          <w:spacing w:val="3"/>
          <w:sz w:val="15"/>
        </w:rPr>
        <w:t> </w:t>
      </w:r>
      <w:r>
        <w:rPr>
          <w:spacing w:val="-3"/>
          <w:sz w:val="15"/>
        </w:rPr>
        <w:t>nivel</w:t>
      </w:r>
      <w:r>
        <w:rPr>
          <w:spacing w:val="3"/>
          <w:sz w:val="15"/>
        </w:rPr>
        <w:t> </w:t>
      </w:r>
      <w:r>
        <w:rPr>
          <w:sz w:val="15"/>
        </w:rPr>
        <w:t>de</w:t>
      </w:r>
      <w:r>
        <w:rPr>
          <w:spacing w:val="5"/>
          <w:sz w:val="15"/>
        </w:rPr>
        <w:t> </w:t>
      </w:r>
      <w:r>
        <w:rPr>
          <w:sz w:val="15"/>
        </w:rPr>
        <w:t>la</w:t>
      </w:r>
      <w:r>
        <w:rPr>
          <w:spacing w:val="2"/>
          <w:sz w:val="15"/>
        </w:rPr>
        <w:t> </w:t>
      </w:r>
      <w:r>
        <w:rPr>
          <w:spacing w:val="-3"/>
          <w:sz w:val="15"/>
        </w:rPr>
        <w:t>calle</w:t>
      </w:r>
      <w:r>
        <w:rPr>
          <w:spacing w:val="2"/>
          <w:sz w:val="15"/>
        </w:rPr>
        <w:t> </w:t>
      </w:r>
      <w:r>
        <w:rPr>
          <w:sz w:val="15"/>
        </w:rPr>
        <w:t>o</w:t>
      </w:r>
      <w:r>
        <w:rPr>
          <w:spacing w:val="1"/>
          <w:sz w:val="15"/>
        </w:rPr>
        <w:t> </w:t>
      </w:r>
      <w:r>
        <w:rPr>
          <w:spacing w:val="-3"/>
          <w:sz w:val="15"/>
        </w:rPr>
        <w:t>andador</w:t>
      </w:r>
      <w:r>
        <w:rPr>
          <w:spacing w:val="2"/>
          <w:sz w:val="15"/>
        </w:rPr>
        <w:t> </w:t>
      </w:r>
      <w:r>
        <w:rPr>
          <w:spacing w:val="-3"/>
          <w:sz w:val="15"/>
        </w:rPr>
        <w:t>adyacente,</w:t>
      </w:r>
      <w:r>
        <w:rPr>
          <w:spacing w:val="2"/>
          <w:sz w:val="15"/>
        </w:rPr>
        <w:t> </w:t>
      </w:r>
      <w:r>
        <w:rPr>
          <w:sz w:val="15"/>
        </w:rPr>
        <w:t>con</w:t>
      </w:r>
      <w:r>
        <w:rPr>
          <w:spacing w:val="3"/>
          <w:sz w:val="15"/>
        </w:rPr>
        <w:t> </w:t>
      </w:r>
      <w:r>
        <w:rPr>
          <w:sz w:val="15"/>
        </w:rPr>
        <w:t>una</w:t>
      </w:r>
      <w:r>
        <w:rPr>
          <w:spacing w:val="3"/>
          <w:sz w:val="15"/>
        </w:rPr>
        <w:t> </w:t>
      </w:r>
      <w:r>
        <w:rPr>
          <w:spacing w:val="-3"/>
          <w:sz w:val="15"/>
        </w:rPr>
        <w:t>separación</w:t>
      </w:r>
      <w:r>
        <w:rPr>
          <w:spacing w:val="2"/>
          <w:sz w:val="15"/>
        </w:rPr>
        <w:t> </w:t>
      </w:r>
      <w:r>
        <w:rPr>
          <w:sz w:val="15"/>
        </w:rPr>
        <w:t>de</w:t>
      </w:r>
      <w:r>
        <w:rPr>
          <w:spacing w:val="3"/>
          <w:sz w:val="15"/>
        </w:rPr>
        <w:t> </w:t>
      </w:r>
      <w:r>
        <w:rPr>
          <w:sz w:val="15"/>
        </w:rPr>
        <w:t>0.50</w:t>
      </w:r>
      <w:r>
        <w:rPr>
          <w:spacing w:val="4"/>
          <w:sz w:val="15"/>
        </w:rPr>
        <w:t> </w:t>
      </w:r>
      <w:r>
        <w:rPr>
          <w:spacing w:val="-3"/>
          <w:sz w:val="15"/>
        </w:rPr>
        <w:t>metros</w:t>
      </w:r>
      <w:r>
        <w:rPr>
          <w:spacing w:val="2"/>
          <w:sz w:val="15"/>
        </w:rPr>
        <w:t> </w:t>
      </w:r>
      <w:r>
        <w:rPr>
          <w:sz w:val="15"/>
        </w:rPr>
        <w:t>de</w:t>
      </w:r>
      <w:r>
        <w:rPr>
          <w:spacing w:val="3"/>
          <w:sz w:val="15"/>
        </w:rPr>
        <w:t> </w:t>
      </w:r>
      <w:r>
        <w:rPr>
          <w:sz w:val="15"/>
        </w:rPr>
        <w:t>cada</w:t>
      </w:r>
      <w:r>
        <w:rPr>
          <w:spacing w:val="2"/>
          <w:sz w:val="15"/>
        </w:rPr>
        <w:t> </w:t>
      </w:r>
      <w:r>
        <w:rPr>
          <w:spacing w:val="-3"/>
          <w:sz w:val="15"/>
        </w:rPr>
        <w:t>fosa;</w:t>
      </w:r>
    </w:p>
    <w:p>
      <w:pPr>
        <w:pStyle w:val="BodyText"/>
        <w:spacing w:before="6"/>
      </w:pPr>
    </w:p>
    <w:p>
      <w:pPr>
        <w:pStyle w:val="ListParagraph"/>
        <w:numPr>
          <w:ilvl w:val="0"/>
          <w:numId w:val="177"/>
        </w:numPr>
        <w:tabs>
          <w:tab w:pos="757" w:val="left" w:leader="none"/>
        </w:tabs>
        <w:spacing w:line="240" w:lineRule="auto" w:before="0" w:after="0"/>
        <w:ind w:left="757" w:right="0" w:hanging="209"/>
        <w:jc w:val="left"/>
        <w:rPr>
          <w:sz w:val="15"/>
        </w:rPr>
      </w:pPr>
      <w:r>
        <w:rPr>
          <w:sz w:val="15"/>
        </w:rPr>
        <w:t>Las </w:t>
      </w:r>
      <w:r>
        <w:rPr>
          <w:spacing w:val="-3"/>
          <w:sz w:val="15"/>
        </w:rPr>
        <w:t>gavetas deberán </w:t>
      </w:r>
      <w:r>
        <w:rPr>
          <w:sz w:val="15"/>
        </w:rPr>
        <w:t>tener como </w:t>
      </w:r>
      <w:r>
        <w:rPr>
          <w:spacing w:val="-3"/>
          <w:sz w:val="15"/>
        </w:rPr>
        <w:t>dimensiones mínimas interiores </w:t>
      </w:r>
      <w:r>
        <w:rPr>
          <w:sz w:val="15"/>
        </w:rPr>
        <w:t>2.30 por 0.80 </w:t>
      </w:r>
      <w:r>
        <w:rPr>
          <w:spacing w:val="-3"/>
          <w:sz w:val="15"/>
        </w:rPr>
        <w:t>metros </w:t>
      </w:r>
      <w:r>
        <w:rPr>
          <w:sz w:val="15"/>
        </w:rPr>
        <w:t>de</w:t>
      </w:r>
      <w:r>
        <w:rPr>
          <w:spacing w:val="22"/>
          <w:sz w:val="15"/>
        </w:rPr>
        <w:t> </w:t>
      </w:r>
      <w:r>
        <w:rPr>
          <w:spacing w:val="-3"/>
          <w:sz w:val="15"/>
        </w:rPr>
        <w:t>altura;</w:t>
      </w:r>
    </w:p>
    <w:p>
      <w:pPr>
        <w:pStyle w:val="BodyText"/>
        <w:spacing w:before="10"/>
      </w:pPr>
    </w:p>
    <w:p>
      <w:pPr>
        <w:pStyle w:val="ListParagraph"/>
        <w:numPr>
          <w:ilvl w:val="0"/>
          <w:numId w:val="177"/>
        </w:numPr>
        <w:tabs>
          <w:tab w:pos="738" w:val="left" w:leader="none"/>
        </w:tabs>
        <w:spacing w:line="244" w:lineRule="auto" w:before="0" w:after="0"/>
        <w:ind w:left="151" w:right="509" w:firstLine="397"/>
        <w:jc w:val="both"/>
        <w:rPr>
          <w:sz w:val="15"/>
        </w:rPr>
      </w:pPr>
      <w:r>
        <w:rPr>
          <w:sz w:val="15"/>
        </w:rPr>
        <w:t>Las </w:t>
      </w:r>
      <w:r>
        <w:rPr>
          <w:spacing w:val="-3"/>
          <w:sz w:val="15"/>
        </w:rPr>
        <w:t>criptas familiares serán </w:t>
      </w:r>
      <w:r>
        <w:rPr>
          <w:sz w:val="15"/>
        </w:rPr>
        <w:t>de </w:t>
      </w:r>
      <w:r>
        <w:rPr>
          <w:spacing w:val="-3"/>
          <w:sz w:val="15"/>
        </w:rPr>
        <w:t>cuando menos </w:t>
      </w:r>
      <w:r>
        <w:rPr>
          <w:sz w:val="15"/>
        </w:rPr>
        <w:t>de </w:t>
      </w:r>
      <w:r>
        <w:rPr>
          <w:spacing w:val="-3"/>
          <w:sz w:val="15"/>
        </w:rPr>
        <w:t>3.00  metros  </w:t>
      </w:r>
      <w:r>
        <w:rPr>
          <w:sz w:val="15"/>
        </w:rPr>
        <w:t>por  2.50  </w:t>
      </w:r>
      <w:r>
        <w:rPr>
          <w:spacing w:val="-3"/>
          <w:sz w:val="15"/>
        </w:rPr>
        <w:t>metros,  </w:t>
      </w:r>
      <w:r>
        <w:rPr>
          <w:sz w:val="15"/>
        </w:rPr>
        <w:t>la </w:t>
      </w:r>
      <w:r>
        <w:rPr>
          <w:spacing w:val="-3"/>
          <w:sz w:val="15"/>
        </w:rPr>
        <w:t>profundidad  </w:t>
      </w:r>
      <w:r>
        <w:rPr>
          <w:sz w:val="15"/>
        </w:rPr>
        <w:t>de </w:t>
      </w:r>
      <w:r>
        <w:rPr>
          <w:spacing w:val="-3"/>
          <w:sz w:val="15"/>
        </w:rPr>
        <w:t>la cripta </w:t>
      </w:r>
      <w:r>
        <w:rPr>
          <w:sz w:val="15"/>
        </w:rPr>
        <w:t>será </w:t>
      </w:r>
      <w:r>
        <w:rPr>
          <w:spacing w:val="-3"/>
          <w:sz w:val="15"/>
        </w:rPr>
        <w:t>tal </w:t>
      </w:r>
      <w:r>
        <w:rPr>
          <w:sz w:val="15"/>
        </w:rPr>
        <w:t>que </w:t>
      </w:r>
      <w:r>
        <w:rPr>
          <w:spacing w:val="-3"/>
          <w:sz w:val="15"/>
        </w:rPr>
        <w:t>permita construir bajo </w:t>
      </w:r>
      <w:r>
        <w:rPr>
          <w:sz w:val="15"/>
        </w:rPr>
        <w:t>el </w:t>
      </w:r>
      <w:r>
        <w:rPr>
          <w:spacing w:val="-3"/>
          <w:sz w:val="15"/>
        </w:rPr>
        <w:t>nivel </w:t>
      </w:r>
      <w:r>
        <w:rPr>
          <w:sz w:val="15"/>
        </w:rPr>
        <w:t>del </w:t>
      </w:r>
      <w:r>
        <w:rPr>
          <w:spacing w:val="-3"/>
          <w:sz w:val="15"/>
        </w:rPr>
        <w:t>piso </w:t>
      </w:r>
      <w:r>
        <w:rPr>
          <w:sz w:val="15"/>
        </w:rPr>
        <w:t>hasta tres </w:t>
      </w:r>
      <w:r>
        <w:rPr>
          <w:spacing w:val="-3"/>
          <w:sz w:val="15"/>
        </w:rPr>
        <w:t>gavetas superpuestas;</w:t>
      </w:r>
      <w:r>
        <w:rPr>
          <w:spacing w:val="9"/>
          <w:sz w:val="15"/>
        </w:rPr>
        <w:t> </w:t>
      </w:r>
      <w:r>
        <w:rPr>
          <w:sz w:val="15"/>
        </w:rPr>
        <w:t>y</w:t>
      </w:r>
    </w:p>
    <w:p>
      <w:pPr>
        <w:pStyle w:val="BodyText"/>
        <w:spacing w:before="6"/>
      </w:pPr>
    </w:p>
    <w:p>
      <w:pPr>
        <w:pStyle w:val="ListParagraph"/>
        <w:numPr>
          <w:ilvl w:val="0"/>
          <w:numId w:val="177"/>
        </w:numPr>
        <w:tabs>
          <w:tab w:pos="778" w:val="left" w:leader="none"/>
        </w:tabs>
        <w:spacing w:line="247" w:lineRule="auto" w:before="0" w:after="0"/>
        <w:ind w:left="548" w:right="511" w:firstLine="0"/>
        <w:jc w:val="left"/>
        <w:rPr>
          <w:sz w:val="15"/>
        </w:rPr>
      </w:pPr>
      <w:r>
        <w:rPr>
          <w:sz w:val="15"/>
        </w:rPr>
        <w:t>Los </w:t>
      </w:r>
      <w:r>
        <w:rPr>
          <w:spacing w:val="-3"/>
          <w:sz w:val="15"/>
        </w:rPr>
        <w:t>nichos para restos áridos </w:t>
      </w:r>
      <w:r>
        <w:rPr>
          <w:sz w:val="15"/>
        </w:rPr>
        <w:t>o </w:t>
      </w:r>
      <w:r>
        <w:rPr>
          <w:spacing w:val="-3"/>
          <w:sz w:val="15"/>
        </w:rPr>
        <w:t>cremados, tendrán </w:t>
      </w:r>
      <w:r>
        <w:rPr>
          <w:sz w:val="15"/>
        </w:rPr>
        <w:t>como </w:t>
      </w:r>
      <w:r>
        <w:rPr>
          <w:spacing w:val="-3"/>
          <w:sz w:val="15"/>
        </w:rPr>
        <w:t>dimensiones mínimas: </w:t>
      </w:r>
      <w:r>
        <w:rPr>
          <w:sz w:val="15"/>
        </w:rPr>
        <w:t>0.5 por 0.50 </w:t>
      </w:r>
      <w:r>
        <w:rPr>
          <w:spacing w:val="-3"/>
          <w:sz w:val="15"/>
        </w:rPr>
        <w:t>metros de profundidad.</w:t>
      </w:r>
    </w:p>
    <w:p>
      <w:pPr>
        <w:pStyle w:val="BodyText"/>
        <w:spacing w:before="3"/>
      </w:pPr>
    </w:p>
    <w:p>
      <w:pPr>
        <w:pStyle w:val="BodyText"/>
        <w:spacing w:line="247" w:lineRule="auto"/>
        <w:ind w:left="151" w:right="748" w:firstLine="397"/>
      </w:pPr>
      <w:r>
        <w:rPr/>
        <w:t>Para realizar alguna obra de construcción dentro de un </w:t>
      </w:r>
      <w:r>
        <w:rPr>
          <w:spacing w:val="-2"/>
        </w:rPr>
        <w:t>cementerio </w:t>
      </w:r>
      <w:r>
        <w:rPr/>
        <w:t>de dominio privado, será </w:t>
      </w:r>
      <w:r>
        <w:rPr>
          <w:spacing w:val="-3"/>
        </w:rPr>
        <w:t>necesario contar</w:t>
      </w:r>
      <w:r>
        <w:rPr>
          <w:spacing w:val="3"/>
        </w:rPr>
        <w:t> </w:t>
      </w:r>
      <w:r>
        <w:rPr/>
        <w:t>con</w:t>
      </w:r>
      <w:r>
        <w:rPr>
          <w:spacing w:val="4"/>
        </w:rPr>
        <w:t> </w:t>
      </w:r>
      <w:r>
        <w:rPr/>
        <w:t>la</w:t>
      </w:r>
      <w:r>
        <w:rPr>
          <w:spacing w:val="4"/>
        </w:rPr>
        <w:t> </w:t>
      </w:r>
      <w:r>
        <w:rPr>
          <w:spacing w:val="-3"/>
        </w:rPr>
        <w:t>correspondiente</w:t>
      </w:r>
      <w:r>
        <w:rPr>
          <w:spacing w:val="4"/>
        </w:rPr>
        <w:t> </w:t>
      </w:r>
      <w:r>
        <w:rPr>
          <w:spacing w:val="-3"/>
        </w:rPr>
        <w:t>licencia</w:t>
      </w:r>
      <w:r>
        <w:rPr>
          <w:spacing w:val="4"/>
        </w:rPr>
        <w:t> </w:t>
      </w:r>
      <w:r>
        <w:rPr/>
        <w:t>de</w:t>
      </w:r>
      <w:r>
        <w:rPr>
          <w:spacing w:val="4"/>
        </w:rPr>
        <w:t> </w:t>
      </w:r>
      <w:r>
        <w:rPr/>
        <w:t>construcción</w:t>
      </w:r>
      <w:r>
        <w:rPr>
          <w:spacing w:val="4"/>
        </w:rPr>
        <w:t> </w:t>
      </w:r>
      <w:r>
        <w:rPr>
          <w:spacing w:val="-3"/>
        </w:rPr>
        <w:t>emitida</w:t>
      </w:r>
      <w:r>
        <w:rPr>
          <w:spacing w:val="4"/>
        </w:rPr>
        <w:t> </w:t>
      </w:r>
      <w:r>
        <w:rPr/>
        <w:t>por</w:t>
      </w:r>
      <w:r>
        <w:rPr>
          <w:spacing w:val="3"/>
        </w:rPr>
        <w:t> </w:t>
      </w:r>
      <w:r>
        <w:rPr/>
        <w:t>la</w:t>
      </w:r>
      <w:r>
        <w:rPr>
          <w:spacing w:val="2"/>
        </w:rPr>
        <w:t> </w:t>
      </w:r>
      <w:r>
        <w:rPr>
          <w:spacing w:val="-3"/>
        </w:rPr>
        <w:t>Dirección</w:t>
      </w:r>
      <w:r>
        <w:rPr>
          <w:spacing w:val="3"/>
        </w:rPr>
        <w:t> </w:t>
      </w:r>
      <w:r>
        <w:rPr/>
        <w:t>de</w:t>
      </w:r>
      <w:r>
        <w:rPr>
          <w:spacing w:val="3"/>
        </w:rPr>
        <w:t> </w:t>
      </w:r>
      <w:r>
        <w:rPr>
          <w:spacing w:val="-3"/>
        </w:rPr>
        <w:t>General</w:t>
      </w:r>
      <w:r>
        <w:rPr>
          <w:spacing w:val="4"/>
        </w:rPr>
        <w:t> </w:t>
      </w:r>
      <w:r>
        <w:rPr/>
        <w:t>de</w:t>
      </w:r>
      <w:r>
        <w:rPr>
          <w:spacing w:val="3"/>
        </w:rPr>
        <w:t> </w:t>
      </w:r>
      <w:r>
        <w:rPr>
          <w:spacing w:val="-3"/>
        </w:rPr>
        <w:t>Obras</w:t>
      </w:r>
      <w:r>
        <w:rPr>
          <w:spacing w:val="3"/>
        </w:rPr>
        <w:t> </w:t>
      </w:r>
      <w:r>
        <w:rPr>
          <w:spacing w:val="-3"/>
        </w:rPr>
        <w:t>Públicas.</w:t>
      </w:r>
    </w:p>
    <w:p>
      <w:pPr>
        <w:pStyle w:val="BodyText"/>
        <w:spacing w:before="5"/>
      </w:pPr>
    </w:p>
    <w:p>
      <w:pPr>
        <w:pStyle w:val="Heading4"/>
        <w:ind w:left="280" w:right="632"/>
      </w:pPr>
      <w:r>
        <w:rPr/>
        <w:t>SECCIÓN TERCERA</w:t>
      </w:r>
    </w:p>
    <w:p>
      <w:pPr>
        <w:spacing w:before="5"/>
        <w:ind w:left="275" w:right="632" w:firstLine="0"/>
        <w:jc w:val="center"/>
        <w:rPr>
          <w:b/>
          <w:sz w:val="15"/>
        </w:rPr>
      </w:pPr>
      <w:r>
        <w:rPr>
          <w:b/>
          <w:sz w:val="15"/>
        </w:rPr>
        <w:t>De los Productos Diversos</w:t>
      </w:r>
    </w:p>
    <w:p>
      <w:pPr>
        <w:pStyle w:val="BodyText"/>
        <w:spacing w:before="7"/>
        <w:rPr>
          <w:b/>
        </w:rPr>
      </w:pPr>
    </w:p>
    <w:p>
      <w:pPr>
        <w:pStyle w:val="BodyText"/>
        <w:spacing w:line="247" w:lineRule="auto"/>
        <w:ind w:left="151" w:right="748" w:firstLine="397"/>
      </w:pPr>
      <w:r>
        <w:rPr>
          <w:b/>
        </w:rPr>
        <w:t>Artículo 133.- </w:t>
      </w:r>
      <w:r>
        <w:rPr/>
        <w:t>Los productos por concepto de formas impresas  o  electrónicas,  calcomanías,  credenciales</w:t>
      </w:r>
      <w:r>
        <w:rPr>
          <w:spacing w:val="4"/>
        </w:rPr>
        <w:t> </w:t>
      </w:r>
      <w:r>
        <w:rPr/>
        <w:t>y</w:t>
      </w:r>
      <w:r>
        <w:rPr>
          <w:spacing w:val="5"/>
        </w:rPr>
        <w:t> </w:t>
      </w:r>
      <w:r>
        <w:rPr/>
        <w:t>otros</w:t>
      </w:r>
      <w:r>
        <w:rPr>
          <w:spacing w:val="5"/>
        </w:rPr>
        <w:t> </w:t>
      </w:r>
      <w:r>
        <w:rPr/>
        <w:t>medios</w:t>
      </w:r>
      <w:r>
        <w:rPr>
          <w:spacing w:val="4"/>
        </w:rPr>
        <w:t> </w:t>
      </w:r>
      <w:r>
        <w:rPr/>
        <w:t>de</w:t>
      </w:r>
      <w:r>
        <w:rPr>
          <w:spacing w:val="5"/>
        </w:rPr>
        <w:t> </w:t>
      </w:r>
      <w:r>
        <w:rPr/>
        <w:t>identificación,</w:t>
      </w:r>
      <w:r>
        <w:rPr>
          <w:spacing w:val="5"/>
        </w:rPr>
        <w:t> </w:t>
      </w:r>
      <w:r>
        <w:rPr/>
        <w:t>se</w:t>
      </w:r>
      <w:r>
        <w:rPr>
          <w:spacing w:val="3"/>
        </w:rPr>
        <w:t> </w:t>
      </w:r>
      <w:r>
        <w:rPr/>
        <w:t>causarán</w:t>
      </w:r>
      <w:r>
        <w:rPr>
          <w:spacing w:val="5"/>
        </w:rPr>
        <w:t> </w:t>
      </w:r>
      <w:r>
        <w:rPr/>
        <w:t>y</w:t>
      </w:r>
      <w:r>
        <w:rPr>
          <w:spacing w:val="5"/>
        </w:rPr>
        <w:t> </w:t>
      </w:r>
      <w:r>
        <w:rPr/>
        <w:t>pagarán</w:t>
      </w:r>
      <w:r>
        <w:rPr>
          <w:spacing w:val="5"/>
        </w:rPr>
        <w:t> </w:t>
      </w:r>
      <w:r>
        <w:rPr/>
        <w:t>conforme</w:t>
      </w:r>
      <w:r>
        <w:rPr>
          <w:spacing w:val="4"/>
        </w:rPr>
        <w:t> </w:t>
      </w:r>
      <w:r>
        <w:rPr/>
        <w:t>a</w:t>
      </w:r>
      <w:r>
        <w:rPr>
          <w:spacing w:val="5"/>
        </w:rPr>
        <w:t> </w:t>
      </w:r>
      <w:r>
        <w:rPr/>
        <w:t>las</w:t>
      </w:r>
      <w:r>
        <w:rPr>
          <w:spacing w:val="5"/>
        </w:rPr>
        <w:t> </w:t>
      </w:r>
      <w:r>
        <w:rPr/>
        <w:t>siguientes:</w:t>
      </w:r>
    </w:p>
    <w:p>
      <w:pPr>
        <w:spacing w:after="0" w:line="247" w:lineRule="auto"/>
        <w:sectPr>
          <w:type w:val="continuous"/>
          <w:pgSz w:w="23250" w:h="15310" w:orient="landscape"/>
          <w:pgMar w:top="0" w:bottom="0" w:left="1880" w:right="1520"/>
          <w:cols w:num="2" w:equalWidth="0">
            <w:col w:w="7752" w:space="3870"/>
            <w:col w:w="8228"/>
          </w:cols>
        </w:sectPr>
      </w:pPr>
    </w:p>
    <w:p>
      <w:pPr>
        <w:pStyle w:val="BodyText"/>
        <w:rPr>
          <w:sz w:val="16"/>
        </w:rPr>
      </w:pPr>
    </w:p>
    <w:p>
      <w:pPr>
        <w:pStyle w:val="BodyText"/>
        <w:spacing w:before="9"/>
        <w:rPr>
          <w:sz w:val="14"/>
        </w:rPr>
      </w:pPr>
    </w:p>
    <w:p>
      <w:pPr>
        <w:pStyle w:val="ListParagraph"/>
        <w:numPr>
          <w:ilvl w:val="0"/>
          <w:numId w:val="178"/>
        </w:numPr>
        <w:tabs>
          <w:tab w:pos="700" w:val="left" w:leader="none"/>
        </w:tabs>
        <w:spacing w:line="244" w:lineRule="auto" w:before="0" w:after="0"/>
        <w:ind w:left="170" w:right="38" w:firstLine="377"/>
        <w:jc w:val="left"/>
        <w:rPr>
          <w:sz w:val="15"/>
        </w:rPr>
      </w:pPr>
      <w:r>
        <w:rPr>
          <w:sz w:val="15"/>
        </w:rPr>
        <w:t>Lotes de terreno o espacios de uso a perpetuidad, por metro</w:t>
      </w:r>
      <w:r>
        <w:rPr>
          <w:spacing w:val="1"/>
          <w:sz w:val="15"/>
        </w:rPr>
        <w:t> </w:t>
      </w:r>
      <w:r>
        <w:rPr>
          <w:sz w:val="15"/>
        </w:rPr>
        <w:t>cuadrado:</w:t>
      </w:r>
    </w:p>
    <w:p>
      <w:pPr>
        <w:pStyle w:val="BodyText"/>
        <w:spacing w:before="7"/>
      </w:pPr>
    </w:p>
    <w:p>
      <w:pPr>
        <w:pStyle w:val="ListParagraph"/>
        <w:numPr>
          <w:ilvl w:val="0"/>
          <w:numId w:val="178"/>
        </w:numPr>
        <w:tabs>
          <w:tab w:pos="740" w:val="left" w:leader="none"/>
        </w:tabs>
        <w:spacing w:line="240" w:lineRule="auto" w:before="0" w:after="0"/>
        <w:ind w:left="739" w:right="0" w:hanging="193"/>
        <w:jc w:val="left"/>
        <w:rPr>
          <w:sz w:val="15"/>
        </w:rPr>
      </w:pPr>
      <w:r>
        <w:rPr>
          <w:sz w:val="15"/>
        </w:rPr>
        <w:t>Lotes</w:t>
      </w:r>
      <w:r>
        <w:rPr>
          <w:spacing w:val="28"/>
          <w:sz w:val="15"/>
        </w:rPr>
        <w:t> </w:t>
      </w:r>
      <w:r>
        <w:rPr>
          <w:sz w:val="15"/>
        </w:rPr>
        <w:t>de</w:t>
      </w:r>
      <w:r>
        <w:rPr>
          <w:spacing w:val="27"/>
          <w:sz w:val="15"/>
        </w:rPr>
        <w:t> </w:t>
      </w:r>
      <w:r>
        <w:rPr>
          <w:sz w:val="15"/>
        </w:rPr>
        <w:t>terreno</w:t>
      </w:r>
      <w:r>
        <w:rPr>
          <w:spacing w:val="28"/>
          <w:sz w:val="15"/>
        </w:rPr>
        <w:t> </w:t>
      </w:r>
      <w:r>
        <w:rPr>
          <w:sz w:val="15"/>
        </w:rPr>
        <w:t>o</w:t>
      </w:r>
      <w:r>
        <w:rPr>
          <w:spacing w:val="28"/>
          <w:sz w:val="15"/>
        </w:rPr>
        <w:t> </w:t>
      </w:r>
      <w:r>
        <w:rPr>
          <w:sz w:val="15"/>
        </w:rPr>
        <w:t>espacios</w:t>
      </w:r>
      <w:r>
        <w:rPr>
          <w:spacing w:val="28"/>
          <w:sz w:val="15"/>
        </w:rPr>
        <w:t> </w:t>
      </w:r>
      <w:r>
        <w:rPr>
          <w:sz w:val="15"/>
        </w:rPr>
        <w:t>de</w:t>
      </w:r>
      <w:r>
        <w:rPr>
          <w:spacing w:val="27"/>
          <w:sz w:val="15"/>
        </w:rPr>
        <w:t> </w:t>
      </w:r>
      <w:r>
        <w:rPr>
          <w:sz w:val="15"/>
        </w:rPr>
        <w:t>uso</w:t>
      </w:r>
      <w:r>
        <w:rPr>
          <w:spacing w:val="28"/>
          <w:sz w:val="15"/>
        </w:rPr>
        <w:t> </w:t>
      </w:r>
      <w:r>
        <w:rPr>
          <w:sz w:val="15"/>
        </w:rPr>
        <w:t>a</w:t>
      </w:r>
      <w:r>
        <w:rPr>
          <w:spacing w:val="28"/>
          <w:sz w:val="15"/>
        </w:rPr>
        <w:t> </w:t>
      </w:r>
      <w:r>
        <w:rPr>
          <w:sz w:val="15"/>
        </w:rPr>
        <w:t>temporalidad</w:t>
      </w:r>
      <w:r>
        <w:rPr>
          <w:spacing w:val="29"/>
          <w:sz w:val="15"/>
        </w:rPr>
        <w:t> </w:t>
      </w:r>
      <w:r>
        <w:rPr>
          <w:sz w:val="15"/>
        </w:rPr>
        <w:t>de</w:t>
      </w:r>
    </w:p>
    <w:p>
      <w:pPr>
        <w:pStyle w:val="BodyText"/>
        <w:rPr>
          <w:sz w:val="16"/>
        </w:rPr>
      </w:pPr>
      <w:r>
        <w:rPr/>
        <w:br w:type="column"/>
      </w:r>
      <w:r>
        <w:rPr>
          <w:sz w:val="16"/>
        </w:rPr>
      </w:r>
    </w:p>
    <w:p>
      <w:pPr>
        <w:pStyle w:val="BodyText"/>
        <w:spacing w:before="9"/>
        <w:rPr>
          <w:sz w:val="14"/>
        </w:rPr>
      </w:pPr>
    </w:p>
    <w:p>
      <w:pPr>
        <w:pStyle w:val="BodyText"/>
        <w:ind w:left="170"/>
      </w:pPr>
      <w:r>
        <w:rPr/>
        <w:t>$469.00</w:t>
      </w:r>
    </w:p>
    <w:p>
      <w:pPr>
        <w:pStyle w:val="BodyText"/>
        <w:spacing w:before="4"/>
      </w:pPr>
      <w:r>
        <w:rPr/>
        <w:br w:type="column"/>
      </w:r>
      <w:r>
        <w:rPr/>
      </w:r>
    </w:p>
    <w:p>
      <w:pPr>
        <w:pStyle w:val="BodyText"/>
        <w:ind w:left="169"/>
      </w:pPr>
      <w:r>
        <w:rPr/>
        <w:t>CUOTAS</w:t>
      </w:r>
    </w:p>
    <w:p>
      <w:pPr>
        <w:pStyle w:val="BodyText"/>
        <w:rPr>
          <w:sz w:val="16"/>
        </w:rPr>
      </w:pPr>
      <w:r>
        <w:rPr/>
        <w:br w:type="column"/>
      </w:r>
      <w:r>
        <w:rPr>
          <w:sz w:val="16"/>
        </w:rPr>
      </w:r>
    </w:p>
    <w:p>
      <w:pPr>
        <w:pStyle w:val="BodyText"/>
        <w:spacing w:before="9"/>
        <w:rPr>
          <w:sz w:val="14"/>
        </w:rPr>
      </w:pPr>
    </w:p>
    <w:p>
      <w:pPr>
        <w:pStyle w:val="ListParagraph"/>
        <w:numPr>
          <w:ilvl w:val="0"/>
          <w:numId w:val="179"/>
        </w:numPr>
        <w:tabs>
          <w:tab w:pos="300" w:val="left" w:leader="none"/>
        </w:tabs>
        <w:spacing w:line="240" w:lineRule="auto" w:before="0" w:after="0"/>
        <w:ind w:left="299" w:right="0" w:hanging="130"/>
        <w:jc w:val="left"/>
        <w:rPr>
          <w:sz w:val="15"/>
        </w:rPr>
      </w:pPr>
      <w:r>
        <w:rPr>
          <w:sz w:val="15"/>
        </w:rPr>
        <w:t>En</w:t>
      </w:r>
      <w:r>
        <w:rPr>
          <w:spacing w:val="5"/>
          <w:sz w:val="15"/>
        </w:rPr>
        <w:t> </w:t>
      </w:r>
      <w:r>
        <w:rPr>
          <w:sz w:val="15"/>
        </w:rPr>
        <w:t>la</w:t>
      </w:r>
      <w:r>
        <w:rPr>
          <w:spacing w:val="5"/>
          <w:sz w:val="15"/>
        </w:rPr>
        <w:t> </w:t>
      </w:r>
      <w:r>
        <w:rPr>
          <w:sz w:val="15"/>
        </w:rPr>
        <w:t>venta</w:t>
      </w:r>
      <w:r>
        <w:rPr>
          <w:spacing w:val="5"/>
          <w:sz w:val="15"/>
        </w:rPr>
        <w:t> </w:t>
      </w:r>
      <w:r>
        <w:rPr>
          <w:sz w:val="15"/>
        </w:rPr>
        <w:t>de</w:t>
      </w:r>
      <w:r>
        <w:rPr>
          <w:spacing w:val="5"/>
          <w:sz w:val="15"/>
        </w:rPr>
        <w:t> </w:t>
      </w:r>
      <w:r>
        <w:rPr>
          <w:sz w:val="15"/>
        </w:rPr>
        <w:t>formas</w:t>
      </w:r>
      <w:r>
        <w:rPr>
          <w:spacing w:val="5"/>
          <w:sz w:val="15"/>
        </w:rPr>
        <w:t> </w:t>
      </w:r>
      <w:r>
        <w:rPr>
          <w:sz w:val="15"/>
        </w:rPr>
        <w:t>se</w:t>
      </w:r>
      <w:r>
        <w:rPr>
          <w:spacing w:val="5"/>
          <w:sz w:val="15"/>
        </w:rPr>
        <w:t> </w:t>
      </w:r>
      <w:r>
        <w:rPr>
          <w:sz w:val="15"/>
        </w:rPr>
        <w:t>cobrará</w:t>
      </w:r>
      <w:r>
        <w:rPr>
          <w:spacing w:val="5"/>
          <w:sz w:val="15"/>
        </w:rPr>
        <w:t> </w:t>
      </w:r>
      <w:r>
        <w:rPr>
          <w:sz w:val="15"/>
        </w:rPr>
        <w:t>el</w:t>
      </w:r>
      <w:r>
        <w:rPr>
          <w:spacing w:val="5"/>
          <w:sz w:val="15"/>
        </w:rPr>
        <w:t> </w:t>
      </w:r>
      <w:r>
        <w:rPr>
          <w:sz w:val="15"/>
        </w:rPr>
        <w:t>valor</w:t>
      </w:r>
      <w:r>
        <w:rPr>
          <w:spacing w:val="5"/>
          <w:sz w:val="15"/>
        </w:rPr>
        <w:t> </w:t>
      </w:r>
      <w:r>
        <w:rPr>
          <w:sz w:val="15"/>
        </w:rPr>
        <w:t>consignado</w:t>
      </w:r>
      <w:r>
        <w:rPr>
          <w:spacing w:val="5"/>
          <w:sz w:val="15"/>
        </w:rPr>
        <w:t> </w:t>
      </w:r>
      <w:r>
        <w:rPr>
          <w:sz w:val="15"/>
        </w:rPr>
        <w:t>en</w:t>
      </w:r>
      <w:r>
        <w:rPr>
          <w:spacing w:val="5"/>
          <w:sz w:val="15"/>
        </w:rPr>
        <w:t> </w:t>
      </w:r>
      <w:r>
        <w:rPr>
          <w:sz w:val="15"/>
        </w:rPr>
        <w:t>las</w:t>
      </w:r>
      <w:r>
        <w:rPr>
          <w:spacing w:val="4"/>
          <w:sz w:val="15"/>
        </w:rPr>
        <w:t> </w:t>
      </w:r>
      <w:r>
        <w:rPr>
          <w:sz w:val="15"/>
        </w:rPr>
        <w:t>mismas:</w:t>
      </w:r>
    </w:p>
    <w:p>
      <w:pPr>
        <w:pStyle w:val="BodyText"/>
        <w:spacing w:before="6"/>
        <w:rPr>
          <w:sz w:val="17"/>
        </w:rPr>
      </w:pPr>
    </w:p>
    <w:p>
      <w:pPr>
        <w:pStyle w:val="ListParagraph"/>
        <w:numPr>
          <w:ilvl w:val="1"/>
          <w:numId w:val="179"/>
        </w:numPr>
        <w:tabs>
          <w:tab w:pos="1220" w:val="left" w:leader="none"/>
        </w:tabs>
        <w:spacing w:line="244" w:lineRule="auto" w:before="0" w:after="0"/>
        <w:ind w:left="624" w:right="38" w:firstLine="377"/>
        <w:jc w:val="left"/>
        <w:rPr>
          <w:sz w:val="15"/>
        </w:rPr>
      </w:pPr>
      <w:r>
        <w:rPr>
          <w:sz w:val="15"/>
        </w:rPr>
        <w:t>Formatos de solicitudes de licencias, dictámenes de trazo,  usos y destinos específicos del suelo, o de usos y</w:t>
      </w:r>
      <w:r>
        <w:rPr>
          <w:spacing w:val="39"/>
          <w:sz w:val="15"/>
        </w:rPr>
        <w:t> </w:t>
      </w:r>
      <w:r>
        <w:rPr>
          <w:sz w:val="15"/>
        </w:rPr>
        <w:t>destinos:</w:t>
      </w:r>
    </w:p>
    <w:p>
      <w:pPr>
        <w:pStyle w:val="BodyText"/>
        <w:spacing w:before="4"/>
      </w:pPr>
      <w:r>
        <w:rPr/>
        <w:br w:type="column"/>
      </w:r>
      <w:r>
        <w:rPr/>
      </w:r>
    </w:p>
    <w:p>
      <w:pPr>
        <w:pStyle w:val="BodyText"/>
        <w:ind w:left="170"/>
      </w:pPr>
      <w:r>
        <w:rPr/>
        <w:t>TARIFAS</w:t>
      </w:r>
    </w:p>
    <w:p>
      <w:pPr>
        <w:spacing w:after="0"/>
        <w:sectPr>
          <w:type w:val="continuous"/>
          <w:pgSz w:w="23250" w:h="15310" w:orient="landscape"/>
          <w:pgMar w:top="0" w:bottom="0" w:left="1880" w:right="1520"/>
          <w:cols w:num="5" w:equalWidth="0">
            <w:col w:w="4637" w:space="126"/>
            <w:col w:w="728" w:space="39"/>
            <w:col w:w="840" w:space="5630"/>
            <w:col w:w="5517" w:space="1016"/>
            <w:col w:w="1317"/>
          </w:cols>
        </w:sectPr>
      </w:pPr>
    </w:p>
    <w:p>
      <w:pPr>
        <w:pStyle w:val="BodyText"/>
        <w:tabs>
          <w:tab w:pos="5019" w:val="left" w:leader="none"/>
        </w:tabs>
        <w:spacing w:line="155" w:lineRule="exact"/>
        <w:ind w:left="170"/>
      </w:pPr>
      <w:r>
        <w:rPr/>
        <w:t>seis años, por</w:t>
      </w:r>
      <w:r>
        <w:rPr>
          <w:spacing w:val="25"/>
        </w:rPr>
        <w:t> </w:t>
      </w:r>
      <w:r>
        <w:rPr/>
        <w:t>metro</w:t>
      </w:r>
      <w:r>
        <w:rPr>
          <w:spacing w:val="9"/>
        </w:rPr>
        <w:t> </w:t>
      </w:r>
      <w:r>
        <w:rPr/>
        <w:t>cuadrado:</w:t>
        <w:tab/>
        <w:t>$18.00</w:t>
      </w:r>
    </w:p>
    <w:p>
      <w:pPr>
        <w:pStyle w:val="BodyText"/>
        <w:spacing w:before="9"/>
      </w:pPr>
    </w:p>
    <w:p>
      <w:pPr>
        <w:pStyle w:val="ListParagraph"/>
        <w:numPr>
          <w:ilvl w:val="0"/>
          <w:numId w:val="180"/>
        </w:numPr>
        <w:tabs>
          <w:tab w:pos="779" w:val="left" w:leader="none"/>
        </w:tabs>
        <w:spacing w:line="240" w:lineRule="auto" w:before="0" w:after="0"/>
        <w:ind w:left="778" w:right="0" w:hanging="232"/>
        <w:jc w:val="left"/>
        <w:rPr>
          <w:sz w:val="15"/>
        </w:rPr>
      </w:pPr>
      <w:r>
        <w:rPr>
          <w:sz w:val="15"/>
        </w:rPr>
        <w:t>Lotes</w:t>
      </w:r>
      <w:r>
        <w:rPr>
          <w:spacing w:val="20"/>
          <w:sz w:val="15"/>
        </w:rPr>
        <w:t> </w:t>
      </w:r>
      <w:r>
        <w:rPr>
          <w:sz w:val="15"/>
        </w:rPr>
        <w:t>de</w:t>
      </w:r>
      <w:r>
        <w:rPr>
          <w:spacing w:val="19"/>
          <w:sz w:val="15"/>
        </w:rPr>
        <w:t> </w:t>
      </w:r>
      <w:r>
        <w:rPr>
          <w:sz w:val="15"/>
        </w:rPr>
        <w:t>terreno</w:t>
      </w:r>
      <w:r>
        <w:rPr>
          <w:spacing w:val="20"/>
          <w:sz w:val="15"/>
        </w:rPr>
        <w:t> </w:t>
      </w:r>
      <w:r>
        <w:rPr>
          <w:sz w:val="15"/>
        </w:rPr>
        <w:t>o</w:t>
      </w:r>
      <w:r>
        <w:rPr>
          <w:spacing w:val="18"/>
          <w:sz w:val="15"/>
        </w:rPr>
        <w:t> </w:t>
      </w:r>
      <w:r>
        <w:rPr>
          <w:sz w:val="15"/>
        </w:rPr>
        <w:t>espacios</w:t>
      </w:r>
      <w:r>
        <w:rPr>
          <w:spacing w:val="21"/>
          <w:sz w:val="15"/>
        </w:rPr>
        <w:t> </w:t>
      </w:r>
      <w:r>
        <w:rPr>
          <w:sz w:val="15"/>
        </w:rPr>
        <w:t>de</w:t>
      </w:r>
      <w:r>
        <w:rPr>
          <w:spacing w:val="18"/>
          <w:sz w:val="15"/>
        </w:rPr>
        <w:t> </w:t>
      </w:r>
      <w:r>
        <w:rPr>
          <w:sz w:val="15"/>
        </w:rPr>
        <w:t>uso</w:t>
      </w:r>
      <w:r>
        <w:rPr>
          <w:spacing w:val="21"/>
          <w:sz w:val="15"/>
        </w:rPr>
        <w:t> </w:t>
      </w:r>
      <w:r>
        <w:rPr>
          <w:sz w:val="15"/>
        </w:rPr>
        <w:t>a</w:t>
      </w:r>
      <w:r>
        <w:rPr>
          <w:spacing w:val="18"/>
          <w:sz w:val="15"/>
        </w:rPr>
        <w:t> </w:t>
      </w:r>
      <w:r>
        <w:rPr>
          <w:sz w:val="15"/>
        </w:rPr>
        <w:t>temporalidad</w:t>
      </w:r>
      <w:r>
        <w:rPr>
          <w:spacing w:val="21"/>
          <w:sz w:val="15"/>
        </w:rPr>
        <w:t> </w:t>
      </w:r>
      <w:r>
        <w:rPr>
          <w:sz w:val="15"/>
        </w:rPr>
        <w:t>de</w:t>
      </w:r>
    </w:p>
    <w:p>
      <w:pPr>
        <w:pStyle w:val="BodyText"/>
        <w:tabs>
          <w:tab w:pos="5020" w:val="left" w:leader="none"/>
        </w:tabs>
        <w:spacing w:before="4"/>
        <w:ind w:left="170"/>
      </w:pPr>
      <w:r>
        <w:rPr/>
        <w:t>doce años, por</w:t>
      </w:r>
      <w:r>
        <w:rPr>
          <w:spacing w:val="26"/>
        </w:rPr>
        <w:t> </w:t>
      </w:r>
      <w:r>
        <w:rPr/>
        <w:t>metro</w:t>
      </w:r>
      <w:r>
        <w:rPr>
          <w:spacing w:val="9"/>
        </w:rPr>
        <w:t> </w:t>
      </w:r>
      <w:r>
        <w:rPr/>
        <w:t>cuadrado:</w:t>
        <w:tab/>
        <w:t>$34.00</w:t>
      </w:r>
    </w:p>
    <w:p>
      <w:pPr>
        <w:pStyle w:val="BodyText"/>
        <w:rPr>
          <w:sz w:val="19"/>
        </w:rPr>
      </w:pPr>
      <w:r>
        <w:rPr/>
        <w:br w:type="column"/>
      </w:r>
      <w:r>
        <w:rPr>
          <w:sz w:val="19"/>
        </w:rPr>
      </w:r>
    </w:p>
    <w:p>
      <w:pPr>
        <w:pStyle w:val="ListParagraph"/>
        <w:numPr>
          <w:ilvl w:val="1"/>
          <w:numId w:val="179"/>
        </w:numPr>
        <w:tabs>
          <w:tab w:pos="743" w:val="left" w:leader="none"/>
        </w:tabs>
        <w:spacing w:line="244" w:lineRule="auto" w:before="0" w:after="0"/>
        <w:ind w:left="170" w:right="38" w:firstLine="377"/>
        <w:jc w:val="both"/>
        <w:rPr>
          <w:sz w:val="15"/>
        </w:rPr>
      </w:pPr>
      <w:r>
        <w:rPr>
          <w:sz w:val="15"/>
        </w:rPr>
        <w:t>Cédula municipal de licencia de giro, que comprende cambio  de giro, reposición de licencia, traspaso o cambio de  domicilio,  por cada movimiento que se realice, por</w:t>
      </w:r>
      <w:r>
        <w:rPr>
          <w:spacing w:val="11"/>
          <w:sz w:val="15"/>
        </w:rPr>
        <w:t> </w:t>
      </w:r>
      <w:r>
        <w:rPr>
          <w:sz w:val="15"/>
        </w:rPr>
        <w:t>juego:</w:t>
      </w:r>
    </w:p>
    <w:p>
      <w:pPr>
        <w:pStyle w:val="BodyText"/>
        <w:spacing w:before="2"/>
        <w:ind w:left="170"/>
      </w:pPr>
      <w:r>
        <w:rPr/>
        <w:br w:type="column"/>
      </w:r>
      <w:r>
        <w:rPr/>
        <w:t>$137.00</w:t>
      </w:r>
    </w:p>
    <w:p>
      <w:pPr>
        <w:pStyle w:val="BodyText"/>
        <w:rPr>
          <w:sz w:val="16"/>
        </w:rPr>
      </w:pPr>
    </w:p>
    <w:p>
      <w:pPr>
        <w:pStyle w:val="BodyText"/>
        <w:rPr>
          <w:sz w:val="16"/>
        </w:rPr>
      </w:pPr>
    </w:p>
    <w:p>
      <w:pPr>
        <w:pStyle w:val="BodyText"/>
        <w:rPr>
          <w:sz w:val="18"/>
        </w:rPr>
      </w:pPr>
    </w:p>
    <w:p>
      <w:pPr>
        <w:pStyle w:val="BodyText"/>
        <w:spacing w:line="120" w:lineRule="exact"/>
        <w:ind w:left="170"/>
      </w:pPr>
      <w:r>
        <w:rPr/>
        <w:t>$236.00</w:t>
      </w:r>
    </w:p>
    <w:p>
      <w:pPr>
        <w:spacing w:after="0" w:line="120" w:lineRule="exact"/>
        <w:sectPr>
          <w:type w:val="continuous"/>
          <w:pgSz w:w="23250" w:h="15310" w:orient="landscape"/>
          <w:pgMar w:top="0" w:bottom="0" w:left="1880" w:right="1520"/>
          <w:cols w:num="3" w:equalWidth="0">
            <w:col w:w="5532" w:space="6922"/>
            <w:col w:w="5064" w:space="237"/>
            <w:col w:w="2095"/>
          </w:cols>
        </w:sectPr>
      </w:pPr>
    </w:p>
    <w:p>
      <w:pPr>
        <w:pStyle w:val="ListParagraph"/>
        <w:numPr>
          <w:ilvl w:val="0"/>
          <w:numId w:val="180"/>
        </w:numPr>
        <w:tabs>
          <w:tab w:pos="765" w:val="left" w:leader="none"/>
        </w:tabs>
        <w:spacing w:line="247" w:lineRule="auto" w:before="0" w:after="0"/>
        <w:ind w:left="170" w:right="38" w:firstLine="377"/>
        <w:jc w:val="left"/>
        <w:rPr>
          <w:sz w:val="15"/>
        </w:rPr>
      </w:pPr>
      <w:r>
        <w:rPr>
          <w:sz w:val="15"/>
        </w:rPr>
        <w:t>Para el mantenimiento de las áreas comunes de los cementerios de dominio privado (calles, andadores, bardas, y jardines)</w:t>
      </w:r>
      <w:r>
        <w:rPr>
          <w:spacing w:val="8"/>
          <w:sz w:val="15"/>
        </w:rPr>
        <w:t> </w:t>
      </w:r>
      <w:r>
        <w:rPr>
          <w:sz w:val="15"/>
        </w:rPr>
        <w:t>de</w:t>
      </w:r>
      <w:r>
        <w:rPr>
          <w:spacing w:val="8"/>
          <w:sz w:val="15"/>
        </w:rPr>
        <w:t> </w:t>
      </w:r>
      <w:r>
        <w:rPr>
          <w:sz w:val="15"/>
        </w:rPr>
        <w:t>cada</w:t>
      </w:r>
      <w:r>
        <w:rPr>
          <w:spacing w:val="9"/>
          <w:sz w:val="15"/>
        </w:rPr>
        <w:t> </w:t>
      </w:r>
      <w:r>
        <w:rPr>
          <w:sz w:val="15"/>
        </w:rPr>
        <w:t>fosa</w:t>
      </w:r>
      <w:r>
        <w:rPr>
          <w:spacing w:val="9"/>
          <w:sz w:val="15"/>
        </w:rPr>
        <w:t> </w:t>
      </w:r>
      <w:r>
        <w:rPr>
          <w:sz w:val="15"/>
        </w:rPr>
        <w:t>en</w:t>
      </w:r>
      <w:r>
        <w:rPr>
          <w:spacing w:val="9"/>
          <w:sz w:val="15"/>
        </w:rPr>
        <w:t> </w:t>
      </w:r>
      <w:r>
        <w:rPr>
          <w:sz w:val="15"/>
        </w:rPr>
        <w:t>uso</w:t>
      </w:r>
      <w:r>
        <w:rPr>
          <w:spacing w:val="9"/>
          <w:sz w:val="15"/>
        </w:rPr>
        <w:t> </w:t>
      </w:r>
      <w:r>
        <w:rPr>
          <w:sz w:val="15"/>
        </w:rPr>
        <w:t>a</w:t>
      </w:r>
      <w:r>
        <w:rPr>
          <w:spacing w:val="9"/>
          <w:sz w:val="15"/>
        </w:rPr>
        <w:t> </w:t>
      </w:r>
      <w:r>
        <w:rPr>
          <w:sz w:val="15"/>
        </w:rPr>
        <w:t>perpetuidad</w:t>
      </w:r>
      <w:r>
        <w:rPr>
          <w:spacing w:val="9"/>
          <w:sz w:val="15"/>
        </w:rPr>
        <w:t> </w:t>
      </w:r>
      <w:r>
        <w:rPr>
          <w:sz w:val="15"/>
        </w:rPr>
        <w:t>o</w:t>
      </w:r>
      <w:r>
        <w:rPr>
          <w:spacing w:val="9"/>
          <w:sz w:val="15"/>
        </w:rPr>
        <w:t> </w:t>
      </w:r>
      <w:r>
        <w:rPr>
          <w:sz w:val="15"/>
        </w:rPr>
        <w:t>uso</w:t>
      </w:r>
      <w:r>
        <w:rPr>
          <w:spacing w:val="9"/>
          <w:sz w:val="15"/>
        </w:rPr>
        <w:t> </w:t>
      </w:r>
      <w:r>
        <w:rPr>
          <w:sz w:val="15"/>
        </w:rPr>
        <w:t>temporal</w:t>
      </w:r>
      <w:r>
        <w:rPr>
          <w:spacing w:val="9"/>
          <w:sz w:val="15"/>
        </w:rPr>
        <w:t> </w:t>
      </w:r>
      <w:r>
        <w:rPr>
          <w:sz w:val="15"/>
        </w:rPr>
        <w:t>se</w:t>
      </w:r>
    </w:p>
    <w:p>
      <w:pPr>
        <w:pStyle w:val="ListParagraph"/>
        <w:numPr>
          <w:ilvl w:val="1"/>
          <w:numId w:val="179"/>
        </w:numPr>
        <w:tabs>
          <w:tab w:pos="342" w:val="left" w:leader="none"/>
          <w:tab w:pos="5180" w:val="left" w:leader="none"/>
        </w:tabs>
        <w:spacing w:line="240" w:lineRule="auto" w:before="96" w:after="0"/>
        <w:ind w:left="341" w:right="0" w:hanging="172"/>
        <w:jc w:val="left"/>
        <w:rPr>
          <w:sz w:val="15"/>
        </w:rPr>
      </w:pPr>
      <w:r>
        <w:rPr>
          <w:w w:val="102"/>
          <w:sz w:val="15"/>
        </w:rPr>
        <w:br w:type="column"/>
      </w:r>
      <w:r>
        <w:rPr>
          <w:sz w:val="15"/>
        </w:rPr>
        <w:t>Forma universal para </w:t>
      </w:r>
      <w:r>
        <w:rPr>
          <w:spacing w:val="3"/>
          <w:sz w:val="15"/>
        </w:rPr>
        <w:t> </w:t>
      </w:r>
      <w:r>
        <w:rPr>
          <w:sz w:val="15"/>
        </w:rPr>
        <w:t>trámites</w:t>
      </w:r>
      <w:r>
        <w:rPr>
          <w:spacing w:val="15"/>
          <w:sz w:val="15"/>
        </w:rPr>
        <w:t> </w:t>
      </w:r>
      <w:r>
        <w:rPr>
          <w:sz w:val="15"/>
        </w:rPr>
        <w:t>catastrales:</w:t>
        <w:tab/>
        <w:t>$61.00</w:t>
      </w:r>
    </w:p>
    <w:p>
      <w:pPr>
        <w:pStyle w:val="ListParagraph"/>
        <w:numPr>
          <w:ilvl w:val="1"/>
          <w:numId w:val="179"/>
        </w:numPr>
        <w:tabs>
          <w:tab w:pos="351" w:val="left" w:leader="none"/>
          <w:tab w:pos="5180" w:val="left" w:leader="none"/>
        </w:tabs>
        <w:spacing w:line="240" w:lineRule="auto" w:before="44" w:after="0"/>
        <w:ind w:left="350" w:right="0" w:hanging="181"/>
        <w:jc w:val="left"/>
        <w:rPr>
          <w:sz w:val="15"/>
        </w:rPr>
      </w:pPr>
      <w:r>
        <w:rPr>
          <w:sz w:val="15"/>
        </w:rPr>
        <w:t>Para</w:t>
      </w:r>
      <w:r>
        <w:rPr>
          <w:spacing w:val="11"/>
          <w:sz w:val="15"/>
        </w:rPr>
        <w:t> </w:t>
      </w:r>
      <w:r>
        <w:rPr>
          <w:sz w:val="15"/>
        </w:rPr>
        <w:t>registro</w:t>
      </w:r>
      <w:r>
        <w:rPr>
          <w:spacing w:val="11"/>
          <w:sz w:val="15"/>
        </w:rPr>
        <w:t> </w:t>
      </w:r>
      <w:r>
        <w:rPr>
          <w:sz w:val="15"/>
        </w:rPr>
        <w:t>o</w:t>
      </w:r>
      <w:r>
        <w:rPr>
          <w:spacing w:val="11"/>
          <w:sz w:val="15"/>
        </w:rPr>
        <w:t> </w:t>
      </w:r>
      <w:r>
        <w:rPr>
          <w:sz w:val="15"/>
        </w:rPr>
        <w:t>certificación</w:t>
      </w:r>
      <w:r>
        <w:rPr>
          <w:spacing w:val="11"/>
          <w:sz w:val="15"/>
        </w:rPr>
        <w:t> </w:t>
      </w:r>
      <w:r>
        <w:rPr>
          <w:sz w:val="15"/>
        </w:rPr>
        <w:t>de</w:t>
      </w:r>
      <w:r>
        <w:rPr>
          <w:spacing w:val="11"/>
          <w:sz w:val="15"/>
        </w:rPr>
        <w:t> </w:t>
      </w:r>
      <w:r>
        <w:rPr>
          <w:sz w:val="15"/>
        </w:rPr>
        <w:t>residencia,</w:t>
      </w:r>
      <w:r>
        <w:rPr>
          <w:spacing w:val="10"/>
          <w:sz w:val="15"/>
        </w:rPr>
        <w:t> </w:t>
      </w:r>
      <w:r>
        <w:rPr>
          <w:sz w:val="15"/>
        </w:rPr>
        <w:t>por</w:t>
      </w:r>
      <w:r>
        <w:rPr>
          <w:spacing w:val="11"/>
          <w:sz w:val="15"/>
        </w:rPr>
        <w:t> </w:t>
      </w:r>
      <w:r>
        <w:rPr>
          <w:sz w:val="15"/>
        </w:rPr>
        <w:t>juego:</w:t>
        <w:tab/>
        <w:t>$67.00</w:t>
      </w:r>
    </w:p>
    <w:p>
      <w:pPr>
        <w:spacing w:after="0" w:line="240" w:lineRule="auto"/>
        <w:jc w:val="left"/>
        <w:rPr>
          <w:sz w:val="15"/>
        </w:rPr>
        <w:sectPr>
          <w:type w:val="continuous"/>
          <w:pgSz w:w="23250" w:h="15310" w:orient="landscape"/>
          <w:pgMar w:top="0" w:bottom="0" w:left="1880" w:right="1520"/>
          <w:cols w:num="2" w:equalWidth="0">
            <w:col w:w="4482" w:space="8349"/>
            <w:col w:w="7019"/>
          </w:cols>
        </w:sectPr>
      </w:pPr>
    </w:p>
    <w:p>
      <w:pPr>
        <w:pStyle w:val="BodyText"/>
        <w:spacing w:line="169" w:lineRule="exact"/>
        <w:ind w:left="170"/>
      </w:pPr>
      <w:r>
        <w:rPr/>
        <w:t>pagará anualmente, por metro cuadrado, durante los meses de</w:t>
      </w:r>
    </w:p>
    <w:p>
      <w:pPr>
        <w:pStyle w:val="BodyText"/>
        <w:tabs>
          <w:tab w:pos="5019" w:val="left" w:leader="none"/>
        </w:tabs>
        <w:spacing w:before="4"/>
        <w:ind w:left="170"/>
      </w:pPr>
      <w:r>
        <w:rPr/>
        <w:t>enero</w:t>
      </w:r>
      <w:r>
        <w:rPr>
          <w:spacing w:val="7"/>
        </w:rPr>
        <w:t> </w:t>
      </w:r>
      <w:r>
        <w:rPr/>
        <w:t>y</w:t>
      </w:r>
      <w:r>
        <w:rPr>
          <w:spacing w:val="7"/>
        </w:rPr>
        <w:t> </w:t>
      </w:r>
      <w:r>
        <w:rPr/>
        <w:t>febrero:</w:t>
        <w:tab/>
        <w:t>$40.00</w:t>
      </w:r>
    </w:p>
    <w:p>
      <w:pPr>
        <w:pStyle w:val="BodyText"/>
        <w:spacing w:before="10"/>
      </w:pPr>
    </w:p>
    <w:p>
      <w:pPr>
        <w:pStyle w:val="ListParagraph"/>
        <w:numPr>
          <w:ilvl w:val="0"/>
          <w:numId w:val="180"/>
        </w:numPr>
        <w:tabs>
          <w:tab w:pos="722" w:val="left" w:leader="none"/>
        </w:tabs>
        <w:spacing w:line="240" w:lineRule="auto" w:before="0" w:after="0"/>
        <w:ind w:left="721" w:right="0" w:hanging="175"/>
        <w:jc w:val="left"/>
        <w:rPr>
          <w:sz w:val="15"/>
        </w:rPr>
      </w:pPr>
      <w:r>
        <w:rPr>
          <w:sz w:val="15"/>
        </w:rPr>
        <w:t>Por la construcción de fosas, criptas, gavetas o</w:t>
      </w:r>
      <w:r>
        <w:rPr>
          <w:spacing w:val="24"/>
          <w:sz w:val="15"/>
        </w:rPr>
        <w:t> </w:t>
      </w:r>
      <w:r>
        <w:rPr>
          <w:sz w:val="15"/>
        </w:rPr>
        <w:t>nichos,</w:t>
      </w:r>
    </w:p>
    <w:p>
      <w:pPr>
        <w:pStyle w:val="ListParagraph"/>
        <w:numPr>
          <w:ilvl w:val="1"/>
          <w:numId w:val="179"/>
        </w:numPr>
        <w:tabs>
          <w:tab w:pos="756" w:val="left" w:leader="none"/>
        </w:tabs>
        <w:spacing w:line="244" w:lineRule="auto" w:before="0" w:after="0"/>
        <w:ind w:left="170" w:right="38" w:firstLine="377"/>
        <w:jc w:val="left"/>
        <w:rPr>
          <w:sz w:val="15"/>
        </w:rPr>
      </w:pPr>
      <w:r>
        <w:rPr>
          <w:spacing w:val="-1"/>
          <w:w w:val="102"/>
          <w:sz w:val="15"/>
        </w:rPr>
        <w:br w:type="column"/>
      </w:r>
      <w:r>
        <w:rPr>
          <w:sz w:val="15"/>
        </w:rPr>
        <w:t>Solicitud de aclaración de actas administrativas de Registro Civil, por cada</w:t>
      </w:r>
      <w:r>
        <w:rPr>
          <w:spacing w:val="4"/>
          <w:sz w:val="15"/>
        </w:rPr>
        <w:t> </w:t>
      </w:r>
      <w:r>
        <w:rPr>
          <w:sz w:val="15"/>
        </w:rPr>
        <w:t>una:</w:t>
      </w:r>
    </w:p>
    <w:p>
      <w:pPr>
        <w:pStyle w:val="ListParagraph"/>
        <w:numPr>
          <w:ilvl w:val="1"/>
          <w:numId w:val="179"/>
        </w:numPr>
        <w:tabs>
          <w:tab w:pos="685" w:val="left" w:leader="none"/>
        </w:tabs>
        <w:spacing w:line="247" w:lineRule="auto" w:before="37" w:after="0"/>
        <w:ind w:left="170" w:right="465" w:firstLine="377"/>
        <w:jc w:val="left"/>
        <w:rPr>
          <w:sz w:val="15"/>
        </w:rPr>
      </w:pPr>
      <w:r>
        <w:rPr>
          <w:sz w:val="15"/>
        </w:rPr>
        <w:t>Para constancia de los actos del registro civil, excepto de nacimiento por cada</w:t>
      </w:r>
      <w:r>
        <w:rPr>
          <w:spacing w:val="3"/>
          <w:sz w:val="15"/>
        </w:rPr>
        <w:t> </w:t>
      </w:r>
      <w:r>
        <w:rPr>
          <w:sz w:val="15"/>
        </w:rPr>
        <w:t>folio:</w:t>
      </w:r>
    </w:p>
    <w:p>
      <w:pPr>
        <w:pStyle w:val="BodyText"/>
        <w:spacing w:line="169" w:lineRule="exact"/>
        <w:ind w:left="170"/>
      </w:pPr>
      <w:r>
        <w:rPr/>
        <w:br w:type="column"/>
      </w:r>
      <w:r>
        <w:rPr/>
        <w:t>$82.00</w:t>
      </w:r>
    </w:p>
    <w:p>
      <w:pPr>
        <w:pStyle w:val="BodyText"/>
        <w:spacing w:before="2"/>
        <w:rPr>
          <w:sz w:val="19"/>
        </w:rPr>
      </w:pPr>
    </w:p>
    <w:p>
      <w:pPr>
        <w:pStyle w:val="BodyText"/>
        <w:ind w:left="170"/>
      </w:pPr>
      <w:r>
        <w:rPr/>
        <w:t>$42.00</w:t>
      </w:r>
    </w:p>
    <w:p>
      <w:pPr>
        <w:spacing w:after="0"/>
        <w:sectPr>
          <w:type w:val="continuous"/>
          <w:pgSz w:w="23250" w:h="15310" w:orient="landscape"/>
          <w:pgMar w:top="0" w:bottom="0" w:left="1880" w:right="1520"/>
          <w:cols w:num="3" w:equalWidth="0">
            <w:col w:w="5531" w:space="6923"/>
            <w:col w:w="5060" w:space="327"/>
            <w:col w:w="2009"/>
          </w:cols>
        </w:sectPr>
      </w:pPr>
    </w:p>
    <w:p>
      <w:pPr>
        <w:pStyle w:val="BodyText"/>
        <w:tabs>
          <w:tab w:pos="5018" w:val="left" w:leader="none"/>
        </w:tabs>
        <w:spacing w:line="134" w:lineRule="exact"/>
        <w:ind w:left="170"/>
      </w:pPr>
      <w:r>
        <w:rPr/>
        <w:t>se pagara por metro cuadrado la </w:t>
      </w:r>
      <w:r>
        <w:rPr>
          <w:spacing w:val="6"/>
        </w:rPr>
        <w:t> </w:t>
      </w:r>
      <w:r>
        <w:rPr/>
        <w:t>cantidad</w:t>
      </w:r>
      <w:r>
        <w:rPr>
          <w:spacing w:val="9"/>
        </w:rPr>
        <w:t> </w:t>
      </w:r>
      <w:r>
        <w:rPr/>
        <w:t>de:</w:t>
        <w:tab/>
        <w:t>$84.00</w:t>
      </w:r>
    </w:p>
    <w:p>
      <w:pPr>
        <w:pStyle w:val="BodyText"/>
        <w:spacing w:before="8"/>
      </w:pPr>
    </w:p>
    <w:p>
      <w:pPr>
        <w:pStyle w:val="BodyText"/>
        <w:spacing w:line="247" w:lineRule="auto"/>
        <w:ind w:left="151" w:right="38" w:firstLine="397"/>
        <w:jc w:val="both"/>
      </w:pPr>
      <w:r>
        <w:rPr/>
        <w:t>Las personas con discapacidad, indigentes, adultas mayores de 60 años o de escasos recursos económicos, no serán sujetos al pago de las tarifas señaladas en las fracciones II y IV de este artículo, previa comprobación de su insolvencia por parte de la Coordinación General de Participación Ciudadana  y Construcción de Comunidad, a través de su dependencia competente para tal efecto, mediante la emisión de    un estudio</w:t>
      </w:r>
      <w:r>
        <w:rPr>
          <w:spacing w:val="2"/>
        </w:rPr>
        <w:t> </w:t>
      </w:r>
      <w:r>
        <w:rPr/>
        <w:t>socioeconómico.</w:t>
      </w:r>
    </w:p>
    <w:p>
      <w:pPr>
        <w:pStyle w:val="ListParagraph"/>
        <w:numPr>
          <w:ilvl w:val="1"/>
          <w:numId w:val="179"/>
        </w:numPr>
        <w:tabs>
          <w:tab w:pos="709" w:val="left" w:leader="none"/>
          <w:tab w:pos="5454" w:val="left" w:leader="none"/>
        </w:tabs>
        <w:spacing w:line="240" w:lineRule="auto" w:before="38" w:after="0"/>
        <w:ind w:left="708" w:right="0" w:hanging="181"/>
        <w:jc w:val="left"/>
        <w:rPr>
          <w:sz w:val="15"/>
        </w:rPr>
      </w:pPr>
      <w:r>
        <w:rPr>
          <w:w w:val="102"/>
          <w:sz w:val="15"/>
        </w:rPr>
        <w:br w:type="column"/>
      </w:r>
      <w:r>
        <w:rPr>
          <w:sz w:val="15"/>
        </w:rPr>
        <w:t>Solicitud de matrimonio civil, por </w:t>
      </w:r>
      <w:r>
        <w:rPr>
          <w:spacing w:val="19"/>
          <w:sz w:val="15"/>
        </w:rPr>
        <w:t> </w:t>
      </w:r>
      <w:r>
        <w:rPr>
          <w:sz w:val="15"/>
        </w:rPr>
        <w:t>cada</w:t>
      </w:r>
      <w:r>
        <w:rPr>
          <w:spacing w:val="12"/>
          <w:sz w:val="15"/>
        </w:rPr>
        <w:t> </w:t>
      </w:r>
      <w:r>
        <w:rPr>
          <w:sz w:val="15"/>
        </w:rPr>
        <w:t>forma:</w:t>
        <w:tab/>
        <w:t>$202.00</w:t>
      </w:r>
    </w:p>
    <w:p>
      <w:pPr>
        <w:pStyle w:val="ListParagraph"/>
        <w:numPr>
          <w:ilvl w:val="1"/>
          <w:numId w:val="179"/>
        </w:numPr>
        <w:tabs>
          <w:tab w:pos="709" w:val="left" w:leader="none"/>
        </w:tabs>
        <w:spacing w:line="240" w:lineRule="auto" w:before="44" w:after="0"/>
        <w:ind w:left="708" w:right="0" w:hanging="181"/>
        <w:jc w:val="left"/>
        <w:rPr>
          <w:sz w:val="15"/>
        </w:rPr>
      </w:pPr>
      <w:r>
        <w:rPr>
          <w:sz w:val="15"/>
        </w:rPr>
        <w:t>Formato para expedir copias o extractos</w:t>
      </w:r>
      <w:r>
        <w:rPr>
          <w:spacing w:val="11"/>
          <w:sz w:val="15"/>
        </w:rPr>
        <w:t> </w:t>
      </w:r>
      <w:r>
        <w:rPr>
          <w:sz w:val="15"/>
        </w:rPr>
        <w:t>certificados</w:t>
      </w:r>
    </w:p>
    <w:p>
      <w:pPr>
        <w:pStyle w:val="BodyText"/>
        <w:tabs>
          <w:tab w:pos="5537" w:val="left" w:leader="none"/>
        </w:tabs>
        <w:spacing w:before="4"/>
        <w:ind w:left="151"/>
      </w:pPr>
      <w:r>
        <w:rPr/>
        <w:t>municipales de</w:t>
      </w:r>
      <w:r>
        <w:rPr>
          <w:spacing w:val="16"/>
        </w:rPr>
        <w:t> </w:t>
      </w:r>
      <w:r>
        <w:rPr/>
        <w:t>registro</w:t>
      </w:r>
      <w:r>
        <w:rPr>
          <w:spacing w:val="10"/>
        </w:rPr>
        <w:t> </w:t>
      </w:r>
      <w:r>
        <w:rPr/>
        <w:t>civil.</w:t>
        <w:tab/>
        <w:t>$46.00</w:t>
      </w:r>
    </w:p>
    <w:p>
      <w:pPr>
        <w:pStyle w:val="ListParagraph"/>
        <w:numPr>
          <w:ilvl w:val="1"/>
          <w:numId w:val="179"/>
        </w:numPr>
        <w:tabs>
          <w:tab w:pos="657" w:val="left" w:leader="none"/>
          <w:tab w:pos="5538" w:val="left" w:leader="none"/>
        </w:tabs>
        <w:spacing w:line="240" w:lineRule="auto" w:before="44" w:after="0"/>
        <w:ind w:left="656" w:right="0" w:hanging="129"/>
        <w:jc w:val="left"/>
        <w:rPr>
          <w:sz w:val="15"/>
        </w:rPr>
      </w:pPr>
      <w:r>
        <w:rPr>
          <w:sz w:val="15"/>
        </w:rPr>
        <w:t>Formato de Impuesto Sobre </w:t>
      </w:r>
      <w:r>
        <w:rPr>
          <w:spacing w:val="18"/>
          <w:sz w:val="15"/>
        </w:rPr>
        <w:t> </w:t>
      </w:r>
      <w:r>
        <w:rPr>
          <w:sz w:val="15"/>
        </w:rPr>
        <w:t>Negocios</w:t>
      </w:r>
      <w:r>
        <w:rPr>
          <w:spacing w:val="15"/>
          <w:sz w:val="15"/>
        </w:rPr>
        <w:t> </w:t>
      </w:r>
      <w:r>
        <w:rPr>
          <w:sz w:val="15"/>
        </w:rPr>
        <w:t>Jurídicos:</w:t>
        <w:tab/>
        <w:t>$72.00</w:t>
      </w:r>
    </w:p>
    <w:p>
      <w:pPr>
        <w:pStyle w:val="ListParagraph"/>
        <w:numPr>
          <w:ilvl w:val="1"/>
          <w:numId w:val="179"/>
        </w:numPr>
        <w:tabs>
          <w:tab w:pos="657" w:val="left" w:leader="none"/>
          <w:tab w:pos="5538" w:val="left" w:leader="none"/>
        </w:tabs>
        <w:spacing w:line="240" w:lineRule="auto" w:before="44" w:after="0"/>
        <w:ind w:left="656" w:right="0" w:hanging="129"/>
        <w:jc w:val="left"/>
        <w:rPr>
          <w:sz w:val="15"/>
        </w:rPr>
      </w:pPr>
      <w:r>
        <w:rPr>
          <w:sz w:val="15"/>
        </w:rPr>
        <w:t>Formato para el Aviso de </w:t>
      </w:r>
      <w:r>
        <w:rPr>
          <w:spacing w:val="3"/>
          <w:sz w:val="15"/>
        </w:rPr>
        <w:t> </w:t>
      </w:r>
      <w:r>
        <w:rPr>
          <w:sz w:val="15"/>
        </w:rPr>
        <w:t>Transmisión</w:t>
      </w:r>
      <w:r>
        <w:rPr>
          <w:spacing w:val="12"/>
          <w:sz w:val="15"/>
        </w:rPr>
        <w:t> </w:t>
      </w:r>
      <w:r>
        <w:rPr>
          <w:sz w:val="15"/>
        </w:rPr>
        <w:t>Patrimonial:</w:t>
        <w:tab/>
        <w:t>$72.00</w:t>
      </w:r>
    </w:p>
    <w:p>
      <w:pPr>
        <w:pStyle w:val="ListParagraph"/>
        <w:numPr>
          <w:ilvl w:val="1"/>
          <w:numId w:val="179"/>
        </w:numPr>
        <w:tabs>
          <w:tab w:pos="700" w:val="left" w:leader="none"/>
        </w:tabs>
        <w:spacing w:line="240" w:lineRule="auto" w:before="45" w:after="0"/>
        <w:ind w:left="699" w:right="0" w:hanging="173"/>
        <w:jc w:val="left"/>
        <w:rPr>
          <w:sz w:val="15"/>
        </w:rPr>
      </w:pPr>
      <w:r>
        <w:rPr>
          <w:sz w:val="15"/>
        </w:rPr>
        <w:t>Formato de certificado de no adeudo de Impuesto</w:t>
      </w:r>
      <w:r>
        <w:rPr>
          <w:spacing w:val="17"/>
          <w:sz w:val="15"/>
        </w:rPr>
        <w:t> </w:t>
      </w:r>
      <w:r>
        <w:rPr>
          <w:sz w:val="15"/>
        </w:rPr>
        <w:t>Predial:</w:t>
      </w:r>
    </w:p>
    <w:p>
      <w:pPr>
        <w:spacing w:after="0" w:line="240" w:lineRule="auto"/>
        <w:jc w:val="left"/>
        <w:rPr>
          <w:sz w:val="15"/>
        </w:rPr>
        <w:sectPr>
          <w:type w:val="continuous"/>
          <w:pgSz w:w="23250" w:h="15310" w:orient="landscape"/>
          <w:pgMar w:top="0" w:bottom="0" w:left="1880" w:right="1520"/>
          <w:cols w:num="2" w:equalWidth="0">
            <w:col w:w="7751" w:space="4722"/>
            <w:col w:w="7377"/>
          </w:cols>
        </w:sectPr>
      </w:pPr>
    </w:p>
    <w:p>
      <w:pPr>
        <w:pStyle w:val="BodyText"/>
        <w:spacing w:before="123"/>
        <w:ind w:left="548"/>
      </w:pPr>
      <w:r>
        <w:rPr>
          <w:b/>
        </w:rPr>
        <w:t>Artículo 132.- </w:t>
      </w:r>
      <w:r>
        <w:rPr/>
        <w:t>En ningún caso, las dimensiones utilizadas en los cementerios municipales de dominio</w:t>
      </w:r>
    </w:p>
    <w:p>
      <w:pPr>
        <w:pStyle w:val="BodyText"/>
        <w:spacing w:before="1"/>
        <w:rPr>
          <w:sz w:val="19"/>
        </w:rPr>
      </w:pPr>
      <w:r>
        <w:rPr/>
        <w:br w:type="column"/>
      </w:r>
      <w:r>
        <w:rPr>
          <w:sz w:val="19"/>
        </w:rPr>
      </w:r>
    </w:p>
    <w:p>
      <w:pPr>
        <w:pStyle w:val="ListParagraph"/>
        <w:numPr>
          <w:ilvl w:val="1"/>
          <w:numId w:val="179"/>
        </w:numPr>
        <w:tabs>
          <w:tab w:pos="734" w:val="left" w:leader="none"/>
        </w:tabs>
        <w:spacing w:line="82" w:lineRule="exact" w:before="1" w:after="0"/>
        <w:ind w:left="733" w:right="0" w:hanging="186"/>
        <w:jc w:val="left"/>
        <w:rPr>
          <w:sz w:val="15"/>
        </w:rPr>
      </w:pPr>
      <w:r>
        <w:rPr>
          <w:sz w:val="15"/>
        </w:rPr>
        <w:t>Formato</w:t>
      </w:r>
      <w:r>
        <w:rPr>
          <w:spacing w:val="24"/>
          <w:sz w:val="15"/>
        </w:rPr>
        <w:t> </w:t>
      </w:r>
      <w:r>
        <w:rPr>
          <w:sz w:val="15"/>
        </w:rPr>
        <w:t>de</w:t>
      </w:r>
      <w:r>
        <w:rPr>
          <w:spacing w:val="24"/>
          <w:sz w:val="15"/>
        </w:rPr>
        <w:t> </w:t>
      </w:r>
      <w:r>
        <w:rPr>
          <w:sz w:val="15"/>
        </w:rPr>
        <w:t>certificado</w:t>
      </w:r>
      <w:r>
        <w:rPr>
          <w:spacing w:val="23"/>
          <w:sz w:val="15"/>
        </w:rPr>
        <w:t> </w:t>
      </w:r>
      <w:r>
        <w:rPr>
          <w:sz w:val="15"/>
        </w:rPr>
        <w:t>de</w:t>
      </w:r>
      <w:r>
        <w:rPr>
          <w:spacing w:val="24"/>
          <w:sz w:val="15"/>
        </w:rPr>
        <w:t> </w:t>
      </w:r>
      <w:r>
        <w:rPr>
          <w:sz w:val="15"/>
        </w:rPr>
        <w:t>no</w:t>
      </w:r>
      <w:r>
        <w:rPr>
          <w:spacing w:val="23"/>
          <w:sz w:val="15"/>
        </w:rPr>
        <w:t> </w:t>
      </w:r>
      <w:r>
        <w:rPr>
          <w:sz w:val="15"/>
        </w:rPr>
        <w:t>adeudo</w:t>
      </w:r>
      <w:r>
        <w:rPr>
          <w:spacing w:val="24"/>
          <w:sz w:val="15"/>
        </w:rPr>
        <w:t> </w:t>
      </w:r>
      <w:r>
        <w:rPr>
          <w:sz w:val="15"/>
        </w:rPr>
        <w:t>de</w:t>
      </w:r>
      <w:r>
        <w:rPr>
          <w:spacing w:val="23"/>
          <w:sz w:val="15"/>
        </w:rPr>
        <w:t> </w:t>
      </w:r>
      <w:r>
        <w:rPr>
          <w:sz w:val="15"/>
        </w:rPr>
        <w:t>agua</w:t>
      </w:r>
      <w:r>
        <w:rPr>
          <w:spacing w:val="24"/>
          <w:sz w:val="15"/>
        </w:rPr>
        <w:t> </w:t>
      </w:r>
      <w:r>
        <w:rPr>
          <w:sz w:val="15"/>
        </w:rPr>
        <w:t>potable</w:t>
      </w:r>
      <w:r>
        <w:rPr>
          <w:spacing w:val="23"/>
          <w:sz w:val="15"/>
        </w:rPr>
        <w:t> </w:t>
      </w:r>
      <w:r>
        <w:rPr>
          <w:sz w:val="15"/>
        </w:rPr>
        <w:t>y</w:t>
      </w:r>
    </w:p>
    <w:p>
      <w:pPr>
        <w:pStyle w:val="BodyText"/>
        <w:spacing w:before="4"/>
        <w:ind w:left="496"/>
      </w:pPr>
      <w:r>
        <w:rPr/>
        <w:br w:type="column"/>
      </w:r>
      <w:r>
        <w:rPr/>
        <w:t>$45.00</w:t>
      </w:r>
    </w:p>
    <w:p>
      <w:pPr>
        <w:spacing w:after="0"/>
        <w:sectPr>
          <w:type w:val="continuous"/>
          <w:pgSz w:w="23250" w:h="15310" w:orient="landscape"/>
          <w:pgMar w:top="0" w:bottom="0" w:left="1880" w:right="1520"/>
          <w:cols w:num="3" w:equalWidth="0">
            <w:col w:w="7751" w:space="4702"/>
            <w:col w:w="5023" w:space="39"/>
            <w:col w:w="2335"/>
          </w:cols>
        </w:sectPr>
      </w:pPr>
    </w:p>
    <w:p>
      <w:pPr>
        <w:pStyle w:val="BodyText"/>
        <w:spacing w:line="171" w:lineRule="exact"/>
        <w:ind w:left="151"/>
      </w:pPr>
      <w:r>
        <w:rPr/>
        <w:t>privado, podrán ser inferiores a las siguientes:</w:t>
      </w:r>
    </w:p>
    <w:p>
      <w:pPr>
        <w:pStyle w:val="BodyText"/>
        <w:tabs>
          <w:tab w:pos="5537" w:val="left" w:leader="none"/>
        </w:tabs>
        <w:spacing w:before="95"/>
        <w:ind w:left="151"/>
      </w:pPr>
      <w:r>
        <w:rPr/>
        <w:br w:type="column"/>
      </w:r>
      <w:r>
        <w:rPr/>
        <w:t>alcantarillado:</w:t>
        <w:tab/>
        <w:t>$45.00</w:t>
      </w:r>
    </w:p>
    <w:p>
      <w:pPr>
        <w:pStyle w:val="ListParagraph"/>
        <w:numPr>
          <w:ilvl w:val="1"/>
          <w:numId w:val="179"/>
        </w:numPr>
        <w:tabs>
          <w:tab w:pos="876" w:val="left" w:leader="none"/>
        </w:tabs>
        <w:spacing w:line="240" w:lineRule="auto" w:before="45" w:after="0"/>
        <w:ind w:left="875" w:right="0" w:hanging="348"/>
        <w:jc w:val="left"/>
        <w:rPr>
          <w:sz w:val="15"/>
        </w:rPr>
      </w:pPr>
      <w:r>
        <w:rPr>
          <w:sz w:val="15"/>
        </w:rPr>
        <w:t>Por</w:t>
      </w:r>
      <w:r>
        <w:rPr>
          <w:spacing w:val="4"/>
          <w:sz w:val="15"/>
        </w:rPr>
        <w:t> </w:t>
      </w:r>
      <w:r>
        <w:rPr>
          <w:sz w:val="15"/>
        </w:rPr>
        <w:t>las</w:t>
      </w:r>
      <w:r>
        <w:rPr>
          <w:spacing w:val="4"/>
          <w:sz w:val="15"/>
        </w:rPr>
        <w:t> </w:t>
      </w:r>
      <w:r>
        <w:rPr>
          <w:sz w:val="15"/>
        </w:rPr>
        <w:t>formas</w:t>
      </w:r>
      <w:r>
        <w:rPr>
          <w:spacing w:val="4"/>
          <w:sz w:val="15"/>
        </w:rPr>
        <w:t> </w:t>
      </w:r>
      <w:r>
        <w:rPr>
          <w:sz w:val="15"/>
        </w:rPr>
        <w:t>derivadas</w:t>
      </w:r>
      <w:r>
        <w:rPr>
          <w:spacing w:val="5"/>
          <w:sz w:val="15"/>
        </w:rPr>
        <w:t> </w:t>
      </w:r>
      <w:r>
        <w:rPr>
          <w:sz w:val="15"/>
        </w:rPr>
        <w:t>del</w:t>
      </w:r>
      <w:r>
        <w:rPr>
          <w:spacing w:val="4"/>
          <w:sz w:val="15"/>
        </w:rPr>
        <w:t> </w:t>
      </w:r>
      <w:r>
        <w:rPr>
          <w:sz w:val="15"/>
        </w:rPr>
        <w:t>trámite</w:t>
      </w:r>
      <w:r>
        <w:rPr>
          <w:spacing w:val="4"/>
          <w:sz w:val="15"/>
        </w:rPr>
        <w:t> </w:t>
      </w:r>
      <w:r>
        <w:rPr>
          <w:sz w:val="15"/>
        </w:rPr>
        <w:t>de</w:t>
      </w:r>
      <w:r>
        <w:rPr>
          <w:spacing w:val="5"/>
          <w:sz w:val="15"/>
        </w:rPr>
        <w:t> </w:t>
      </w:r>
      <w:r>
        <w:rPr>
          <w:sz w:val="15"/>
        </w:rPr>
        <w:t>divorcio</w:t>
      </w:r>
    </w:p>
    <w:p>
      <w:pPr>
        <w:spacing w:after="0" w:line="240" w:lineRule="auto"/>
        <w:jc w:val="left"/>
        <w:rPr>
          <w:sz w:val="15"/>
        </w:rPr>
        <w:sectPr>
          <w:type w:val="continuous"/>
          <w:pgSz w:w="23250" w:h="15310" w:orient="landscape"/>
          <w:pgMar w:top="0" w:bottom="0" w:left="1880" w:right="1520"/>
          <w:cols w:num="2" w:equalWidth="0">
            <w:col w:w="3341" w:space="9131"/>
            <w:col w:w="7378"/>
          </w:cols>
        </w:sectPr>
      </w:pPr>
    </w:p>
    <w:p>
      <w:pPr>
        <w:pStyle w:val="BodyText"/>
        <w:rPr>
          <w:sz w:val="20"/>
        </w:rPr>
      </w:pPr>
    </w:p>
    <w:p>
      <w:pPr>
        <w:pStyle w:val="BodyText"/>
        <w:rPr>
          <w:sz w:val="20"/>
        </w:rPr>
      </w:pPr>
    </w:p>
    <w:p>
      <w:pPr>
        <w:pStyle w:val="BodyText"/>
        <w:rPr>
          <w:sz w:val="17"/>
        </w:rPr>
      </w:pPr>
    </w:p>
    <w:tbl>
      <w:tblPr>
        <w:tblW w:w="0" w:type="auto"/>
        <w:jc w:val="left"/>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67"/>
        <w:gridCol w:w="4098"/>
        <w:gridCol w:w="7098"/>
        <w:gridCol w:w="847"/>
      </w:tblGrid>
      <w:tr>
        <w:trPr>
          <w:trHeight w:val="194" w:hRule="atLeast"/>
        </w:trPr>
        <w:tc>
          <w:tcPr>
            <w:tcW w:w="4267" w:type="dxa"/>
          </w:tcPr>
          <w:p>
            <w:pPr>
              <w:pStyle w:val="TableParagraph"/>
              <w:spacing w:line="142" w:lineRule="exact" w:before="32"/>
              <w:ind w:left="50"/>
              <w:rPr>
                <w:sz w:val="15"/>
              </w:rPr>
            </w:pPr>
            <w:r>
              <w:rPr>
                <w:sz w:val="15"/>
              </w:rPr>
              <w:t>administrativo:</w:t>
            </w:r>
          </w:p>
        </w:tc>
        <w:tc>
          <w:tcPr>
            <w:tcW w:w="4098" w:type="dxa"/>
          </w:tcPr>
          <w:p>
            <w:pPr>
              <w:pStyle w:val="TableParagraph"/>
              <w:rPr>
                <w:rFonts w:ascii="Times New Roman"/>
                <w:sz w:val="12"/>
              </w:rPr>
            </w:pPr>
          </w:p>
        </w:tc>
        <w:tc>
          <w:tcPr>
            <w:tcW w:w="7098" w:type="dxa"/>
          </w:tcPr>
          <w:p>
            <w:pPr>
              <w:pStyle w:val="TableParagraph"/>
              <w:spacing w:line="142" w:lineRule="exact" w:before="32"/>
              <w:ind w:left="2456"/>
              <w:rPr>
                <w:sz w:val="15"/>
              </w:rPr>
            </w:pPr>
            <w:r>
              <w:rPr>
                <w:sz w:val="15"/>
              </w:rPr>
              <w:t>hoja:</w:t>
            </w:r>
          </w:p>
        </w:tc>
        <w:tc>
          <w:tcPr>
            <w:tcW w:w="847" w:type="dxa"/>
          </w:tcPr>
          <w:p>
            <w:pPr>
              <w:pStyle w:val="TableParagraph"/>
              <w:spacing w:line="142" w:lineRule="exact" w:before="32"/>
              <w:ind w:right="48"/>
              <w:jc w:val="right"/>
              <w:rPr>
                <w:sz w:val="15"/>
              </w:rPr>
            </w:pPr>
            <w:r>
              <w:rPr>
                <w:sz w:val="15"/>
              </w:rPr>
              <w:t>$7.00</w:t>
            </w:r>
          </w:p>
        </w:tc>
      </w:tr>
      <w:tr>
        <w:trPr>
          <w:trHeight w:val="196" w:hRule="atLeast"/>
        </w:trPr>
        <w:tc>
          <w:tcPr>
            <w:tcW w:w="4267" w:type="dxa"/>
          </w:tcPr>
          <w:p>
            <w:pPr>
              <w:pStyle w:val="TableParagraph"/>
              <w:rPr>
                <w:rFonts w:ascii="Times New Roman"/>
                <w:sz w:val="12"/>
              </w:rPr>
            </w:pPr>
          </w:p>
        </w:tc>
        <w:tc>
          <w:tcPr>
            <w:tcW w:w="4098" w:type="dxa"/>
          </w:tcPr>
          <w:p>
            <w:pPr>
              <w:pStyle w:val="TableParagraph"/>
              <w:rPr>
                <w:rFonts w:ascii="Times New Roman"/>
                <w:sz w:val="12"/>
              </w:rPr>
            </w:pPr>
          </w:p>
        </w:tc>
        <w:tc>
          <w:tcPr>
            <w:tcW w:w="7098" w:type="dxa"/>
          </w:tcPr>
          <w:p>
            <w:pPr>
              <w:pStyle w:val="TableParagraph"/>
              <w:spacing w:line="122" w:lineRule="exact" w:before="55"/>
              <w:ind w:left="2853"/>
              <w:rPr>
                <w:sz w:val="15"/>
              </w:rPr>
            </w:pPr>
            <w:r>
              <w:rPr>
                <w:sz w:val="15"/>
              </w:rPr>
              <w:t>g) Fotografías para el trámite de pasaporte:</w:t>
            </w:r>
          </w:p>
        </w:tc>
        <w:tc>
          <w:tcPr>
            <w:tcW w:w="847" w:type="dxa"/>
          </w:tcPr>
          <w:p>
            <w:pPr>
              <w:pStyle w:val="TableParagraph"/>
              <w:spacing w:line="122" w:lineRule="exact" w:before="55"/>
              <w:ind w:right="48"/>
              <w:jc w:val="right"/>
              <w:rPr>
                <w:sz w:val="15"/>
              </w:rPr>
            </w:pPr>
            <w:r>
              <w:rPr>
                <w:sz w:val="15"/>
              </w:rPr>
              <w:t>$62.00</w:t>
            </w:r>
          </w:p>
        </w:tc>
      </w:tr>
      <w:tr>
        <w:trPr>
          <w:trHeight w:val="215" w:hRule="atLeast"/>
        </w:trPr>
        <w:tc>
          <w:tcPr>
            <w:tcW w:w="4267" w:type="dxa"/>
          </w:tcPr>
          <w:p>
            <w:pPr>
              <w:pStyle w:val="TableParagraph"/>
              <w:spacing w:line="161" w:lineRule="exact" w:before="35"/>
              <w:ind w:left="427"/>
              <w:rPr>
                <w:sz w:val="15"/>
              </w:rPr>
            </w:pPr>
            <w:r>
              <w:rPr>
                <w:sz w:val="15"/>
              </w:rPr>
              <w:t>1. Solicitud de divorcio:</w:t>
            </w:r>
          </w:p>
        </w:tc>
        <w:tc>
          <w:tcPr>
            <w:tcW w:w="4098" w:type="dxa"/>
          </w:tcPr>
          <w:p>
            <w:pPr>
              <w:pStyle w:val="TableParagraph"/>
              <w:spacing w:line="161" w:lineRule="exact" w:before="35"/>
              <w:ind w:left="1085"/>
              <w:rPr>
                <w:sz w:val="15"/>
              </w:rPr>
            </w:pPr>
            <w:r>
              <w:rPr>
                <w:sz w:val="15"/>
              </w:rPr>
              <w:t>$155.00</w:t>
            </w:r>
          </w:p>
        </w:tc>
        <w:tc>
          <w:tcPr>
            <w:tcW w:w="7098" w:type="dxa"/>
          </w:tcPr>
          <w:p>
            <w:pPr>
              <w:pStyle w:val="TableParagraph"/>
              <w:spacing w:line="122" w:lineRule="exact" w:before="73"/>
              <w:ind w:right="195"/>
              <w:jc w:val="right"/>
              <w:rPr>
                <w:sz w:val="15"/>
              </w:rPr>
            </w:pPr>
            <w:r>
              <w:rPr>
                <w:sz w:val="15"/>
              </w:rPr>
              <w:t>h) En los demás casos similares no previstos en los incisos</w:t>
            </w:r>
          </w:p>
        </w:tc>
        <w:tc>
          <w:tcPr>
            <w:tcW w:w="847" w:type="dxa"/>
          </w:tcPr>
          <w:p>
            <w:pPr>
              <w:pStyle w:val="TableParagraph"/>
              <w:spacing w:line="122" w:lineRule="exact" w:before="73"/>
              <w:ind w:right="49"/>
              <w:jc w:val="right"/>
              <w:rPr>
                <w:sz w:val="15"/>
              </w:rPr>
            </w:pPr>
            <w:r>
              <w:rPr>
                <w:sz w:val="15"/>
              </w:rPr>
              <w:t>$22.00 a</w:t>
            </w:r>
          </w:p>
        </w:tc>
      </w:tr>
      <w:tr>
        <w:trPr>
          <w:trHeight w:val="196" w:hRule="atLeast"/>
        </w:trPr>
        <w:tc>
          <w:tcPr>
            <w:tcW w:w="4267" w:type="dxa"/>
          </w:tcPr>
          <w:p>
            <w:pPr>
              <w:pStyle w:val="TableParagraph"/>
              <w:spacing w:line="142" w:lineRule="exact" w:before="35"/>
              <w:ind w:left="427"/>
              <w:rPr>
                <w:sz w:val="15"/>
              </w:rPr>
            </w:pPr>
            <w:r>
              <w:rPr>
                <w:sz w:val="15"/>
              </w:rPr>
              <w:t>2. Acta de solicitud del divorcio:</w:t>
            </w:r>
          </w:p>
        </w:tc>
        <w:tc>
          <w:tcPr>
            <w:tcW w:w="4098" w:type="dxa"/>
          </w:tcPr>
          <w:p>
            <w:pPr>
              <w:pStyle w:val="TableParagraph"/>
              <w:spacing w:line="142" w:lineRule="exact" w:before="35"/>
              <w:ind w:left="1085"/>
              <w:rPr>
                <w:sz w:val="15"/>
              </w:rPr>
            </w:pPr>
            <w:r>
              <w:rPr>
                <w:sz w:val="15"/>
              </w:rPr>
              <w:t>$155.00</w:t>
            </w:r>
          </w:p>
        </w:tc>
        <w:tc>
          <w:tcPr>
            <w:tcW w:w="7098" w:type="dxa"/>
          </w:tcPr>
          <w:p>
            <w:pPr>
              <w:pStyle w:val="TableParagraph"/>
              <w:spacing w:line="142" w:lineRule="exact" w:before="35"/>
              <w:ind w:left="2456"/>
              <w:rPr>
                <w:sz w:val="15"/>
              </w:rPr>
            </w:pPr>
            <w:r>
              <w:rPr>
                <w:sz w:val="15"/>
              </w:rPr>
              <w:t>anteriores, cada uno, de:</w:t>
            </w:r>
          </w:p>
        </w:tc>
        <w:tc>
          <w:tcPr>
            <w:tcW w:w="847" w:type="dxa"/>
          </w:tcPr>
          <w:p>
            <w:pPr>
              <w:pStyle w:val="TableParagraph"/>
              <w:spacing w:line="142" w:lineRule="exact" w:before="35"/>
              <w:ind w:right="48"/>
              <w:jc w:val="right"/>
              <w:rPr>
                <w:sz w:val="15"/>
              </w:rPr>
            </w:pPr>
            <w:r>
              <w:rPr>
                <w:sz w:val="15"/>
              </w:rPr>
              <w:t>$97.00</w:t>
            </w:r>
          </w:p>
        </w:tc>
      </w:tr>
      <w:tr>
        <w:trPr>
          <w:trHeight w:val="196" w:hRule="atLeast"/>
        </w:trPr>
        <w:tc>
          <w:tcPr>
            <w:tcW w:w="4267" w:type="dxa"/>
          </w:tcPr>
          <w:p>
            <w:pPr>
              <w:pStyle w:val="TableParagraph"/>
              <w:spacing w:line="122" w:lineRule="exact" w:before="55"/>
              <w:ind w:left="427"/>
              <w:rPr>
                <w:sz w:val="15"/>
              </w:rPr>
            </w:pPr>
            <w:r>
              <w:rPr>
                <w:sz w:val="15"/>
              </w:rPr>
              <w:t>3. Ratificación de solicitud del divorcio:</w:t>
            </w:r>
          </w:p>
        </w:tc>
        <w:tc>
          <w:tcPr>
            <w:tcW w:w="4098" w:type="dxa"/>
          </w:tcPr>
          <w:p>
            <w:pPr>
              <w:pStyle w:val="TableParagraph"/>
              <w:spacing w:line="122" w:lineRule="exact" w:before="55"/>
              <w:ind w:left="1085"/>
              <w:rPr>
                <w:sz w:val="15"/>
              </w:rPr>
            </w:pPr>
            <w:r>
              <w:rPr>
                <w:sz w:val="15"/>
              </w:rPr>
              <w:t>$162.00</w:t>
            </w:r>
          </w:p>
        </w:tc>
        <w:tc>
          <w:tcPr>
            <w:tcW w:w="7098" w:type="dxa"/>
          </w:tcPr>
          <w:p>
            <w:pPr>
              <w:pStyle w:val="TableParagraph"/>
              <w:spacing w:line="122" w:lineRule="exact" w:before="55"/>
              <w:ind w:right="196"/>
              <w:jc w:val="right"/>
              <w:rPr>
                <w:sz w:val="15"/>
              </w:rPr>
            </w:pPr>
            <w:r>
              <w:rPr>
                <w:sz w:val="15"/>
              </w:rPr>
              <w:t>i) Hologramas o códigos de barras auto adheribles para</w:t>
            </w:r>
          </w:p>
        </w:tc>
        <w:tc>
          <w:tcPr>
            <w:tcW w:w="847" w:type="dxa"/>
          </w:tcPr>
          <w:p>
            <w:pPr>
              <w:pStyle w:val="TableParagraph"/>
              <w:rPr>
                <w:rFonts w:ascii="Times New Roman"/>
                <w:sz w:val="12"/>
              </w:rPr>
            </w:pPr>
          </w:p>
        </w:tc>
      </w:tr>
      <w:tr>
        <w:trPr>
          <w:trHeight w:val="213" w:hRule="atLeast"/>
        </w:trPr>
        <w:tc>
          <w:tcPr>
            <w:tcW w:w="4267" w:type="dxa"/>
          </w:tcPr>
          <w:p>
            <w:pPr>
              <w:pStyle w:val="TableParagraph"/>
              <w:spacing w:line="119" w:lineRule="exact" w:before="74"/>
              <w:ind w:left="427"/>
              <w:rPr>
                <w:sz w:val="15"/>
              </w:rPr>
            </w:pPr>
            <w:r>
              <w:rPr>
                <w:sz w:val="15"/>
              </w:rPr>
              <w:t>4. Resolución administrativa de divorcio:</w:t>
            </w:r>
          </w:p>
        </w:tc>
        <w:tc>
          <w:tcPr>
            <w:tcW w:w="4098" w:type="dxa"/>
          </w:tcPr>
          <w:p>
            <w:pPr>
              <w:pStyle w:val="TableParagraph"/>
              <w:spacing w:line="119" w:lineRule="exact" w:before="74"/>
              <w:ind w:left="1085"/>
              <w:rPr>
                <w:sz w:val="15"/>
              </w:rPr>
            </w:pPr>
            <w:r>
              <w:rPr>
                <w:sz w:val="15"/>
              </w:rPr>
              <w:t>$169.00</w:t>
            </w:r>
          </w:p>
        </w:tc>
        <w:tc>
          <w:tcPr>
            <w:tcW w:w="7098" w:type="dxa"/>
          </w:tcPr>
          <w:p>
            <w:pPr>
              <w:pStyle w:val="TableParagraph"/>
              <w:spacing w:line="159" w:lineRule="exact" w:before="34"/>
              <w:ind w:right="195"/>
              <w:jc w:val="right"/>
              <w:rPr>
                <w:sz w:val="15"/>
              </w:rPr>
            </w:pPr>
            <w:r>
              <w:rPr>
                <w:sz w:val="15"/>
              </w:rPr>
              <w:t>identificación de aparatos con explotación de tecnologías,</w:t>
            </w:r>
          </w:p>
        </w:tc>
        <w:tc>
          <w:tcPr>
            <w:tcW w:w="847" w:type="dxa"/>
          </w:tcPr>
          <w:p>
            <w:pPr>
              <w:pStyle w:val="TableParagraph"/>
              <w:rPr>
                <w:rFonts w:ascii="Times New Roman"/>
                <w:sz w:val="14"/>
              </w:rPr>
            </w:pPr>
          </w:p>
        </w:tc>
      </w:tr>
    </w:tbl>
    <w:p>
      <w:pPr>
        <w:spacing w:after="0"/>
        <w:rPr>
          <w:rFonts w:ascii="Times New Roman"/>
          <w:sz w:val="14"/>
        </w:rPr>
        <w:sectPr>
          <w:headerReference w:type="default" r:id="rId110"/>
          <w:pgSz w:w="23250" w:h="15310" w:orient="landscape"/>
          <w:pgMar w:header="881" w:footer="499" w:top="1920" w:bottom="680" w:left="1880" w:right="1520"/>
        </w:sectPr>
      </w:pPr>
    </w:p>
    <w:p>
      <w:pPr>
        <w:pStyle w:val="BodyText"/>
        <w:tabs>
          <w:tab w:pos="6303" w:val="left" w:leader="none"/>
        </w:tabs>
        <w:spacing w:before="77"/>
        <w:ind w:left="1379"/>
      </w:pPr>
      <w:r>
        <w:rPr/>
        <w:t>5. Acta</w:t>
      </w:r>
      <w:r>
        <w:rPr>
          <w:spacing w:val="2"/>
        </w:rPr>
        <w:t> </w:t>
      </w:r>
      <w:r>
        <w:rPr/>
        <w:t>de</w:t>
      </w:r>
      <w:r>
        <w:rPr>
          <w:spacing w:val="6"/>
        </w:rPr>
        <w:t> </w:t>
      </w:r>
      <w:r>
        <w:rPr/>
        <w:t>divorcio:</w:t>
        <w:tab/>
        <w:t>$208.00</w:t>
      </w:r>
    </w:p>
    <w:p>
      <w:pPr>
        <w:pStyle w:val="ListParagraph"/>
        <w:numPr>
          <w:ilvl w:val="1"/>
          <w:numId w:val="179"/>
        </w:numPr>
        <w:tabs>
          <w:tab w:pos="1559" w:val="left" w:leader="none"/>
          <w:tab w:pos="6389" w:val="left" w:leader="none"/>
        </w:tabs>
        <w:spacing w:line="300" w:lineRule="auto" w:before="44" w:after="0"/>
        <w:ind w:left="1379" w:right="887" w:firstLine="0"/>
        <w:jc w:val="left"/>
        <w:rPr>
          <w:sz w:val="15"/>
        </w:rPr>
      </w:pPr>
      <w:r>
        <w:rPr>
          <w:sz w:val="15"/>
        </w:rPr>
        <w:t>Para reposición de licencias, por </w:t>
      </w:r>
      <w:r>
        <w:rPr>
          <w:spacing w:val="18"/>
          <w:sz w:val="15"/>
        </w:rPr>
        <w:t> </w:t>
      </w:r>
      <w:r>
        <w:rPr>
          <w:sz w:val="15"/>
        </w:rPr>
        <w:t>cada</w:t>
      </w:r>
      <w:r>
        <w:rPr>
          <w:spacing w:val="12"/>
          <w:sz w:val="15"/>
        </w:rPr>
        <w:t> </w:t>
      </w:r>
      <w:r>
        <w:rPr>
          <w:sz w:val="15"/>
        </w:rPr>
        <w:t>forma:</w:t>
        <w:tab/>
      </w:r>
      <w:r>
        <w:rPr>
          <w:spacing w:val="-3"/>
          <w:sz w:val="15"/>
        </w:rPr>
        <w:t>$67.00 </w:t>
      </w:r>
      <w:r>
        <w:rPr>
          <w:sz w:val="15"/>
        </w:rPr>
        <w:t>ñ)</w:t>
      </w:r>
      <w:r>
        <w:rPr>
          <w:spacing w:val="6"/>
          <w:sz w:val="15"/>
        </w:rPr>
        <w:t> </w:t>
      </w:r>
      <w:r>
        <w:rPr>
          <w:sz w:val="15"/>
        </w:rPr>
        <w:t>Bitácora</w:t>
      </w:r>
      <w:r>
        <w:rPr>
          <w:spacing w:val="7"/>
          <w:sz w:val="15"/>
        </w:rPr>
        <w:t> </w:t>
      </w:r>
      <w:r>
        <w:rPr>
          <w:sz w:val="15"/>
        </w:rPr>
        <w:t>oficial</w:t>
      </w:r>
      <w:r>
        <w:rPr>
          <w:spacing w:val="7"/>
          <w:sz w:val="15"/>
        </w:rPr>
        <w:t> </w:t>
      </w:r>
      <w:r>
        <w:rPr>
          <w:sz w:val="15"/>
        </w:rPr>
        <w:t>para</w:t>
      </w:r>
      <w:r>
        <w:rPr>
          <w:spacing w:val="6"/>
          <w:sz w:val="15"/>
        </w:rPr>
        <w:t> </w:t>
      </w:r>
      <w:r>
        <w:rPr>
          <w:sz w:val="15"/>
        </w:rPr>
        <w:t>control</w:t>
      </w:r>
      <w:r>
        <w:rPr>
          <w:spacing w:val="7"/>
          <w:sz w:val="15"/>
        </w:rPr>
        <w:t> </w:t>
      </w:r>
      <w:r>
        <w:rPr>
          <w:sz w:val="15"/>
        </w:rPr>
        <w:t>y</w:t>
      </w:r>
      <w:r>
        <w:rPr>
          <w:spacing w:val="7"/>
          <w:sz w:val="15"/>
        </w:rPr>
        <w:t> </w:t>
      </w:r>
      <w:r>
        <w:rPr>
          <w:sz w:val="15"/>
        </w:rPr>
        <w:t>ejecución</w:t>
      </w:r>
      <w:r>
        <w:rPr>
          <w:spacing w:val="7"/>
          <w:sz w:val="15"/>
        </w:rPr>
        <w:t> </w:t>
      </w:r>
      <w:r>
        <w:rPr>
          <w:sz w:val="15"/>
        </w:rPr>
        <w:t>de</w:t>
      </w:r>
      <w:r>
        <w:rPr>
          <w:spacing w:val="7"/>
          <w:sz w:val="15"/>
        </w:rPr>
        <w:t> </w:t>
      </w:r>
      <w:r>
        <w:rPr>
          <w:sz w:val="15"/>
        </w:rPr>
        <w:t>obra</w:t>
      </w:r>
      <w:r>
        <w:rPr>
          <w:spacing w:val="7"/>
          <w:sz w:val="15"/>
        </w:rPr>
        <w:t> </w:t>
      </w:r>
      <w:r>
        <w:rPr>
          <w:sz w:val="15"/>
        </w:rPr>
        <w:t>de</w:t>
      </w:r>
      <w:r>
        <w:rPr>
          <w:spacing w:val="7"/>
          <w:sz w:val="15"/>
        </w:rPr>
        <w:t> </w:t>
      </w:r>
      <w:r>
        <w:rPr>
          <w:sz w:val="15"/>
        </w:rPr>
        <w:t>edificación,</w:t>
      </w:r>
    </w:p>
    <w:p>
      <w:pPr>
        <w:pStyle w:val="BodyText"/>
        <w:spacing w:line="134" w:lineRule="exact"/>
        <w:ind w:left="1001"/>
      </w:pPr>
      <w:r>
        <w:rPr/>
        <w:t>de mantenimiento de anuncios estructurales o relativa, por cada una:</w:t>
      </w:r>
    </w:p>
    <w:p>
      <w:pPr>
        <w:pStyle w:val="BodyText"/>
        <w:spacing w:before="4"/>
        <w:ind w:left="6303"/>
      </w:pPr>
      <w:r>
        <w:rPr/>
        <w:t>$246.00</w:t>
      </w:r>
    </w:p>
    <w:p>
      <w:pPr>
        <w:pStyle w:val="BodyText"/>
        <w:spacing w:before="6"/>
        <w:rPr>
          <w:sz w:val="17"/>
        </w:rPr>
      </w:pPr>
    </w:p>
    <w:p>
      <w:pPr>
        <w:pStyle w:val="BodyText"/>
        <w:ind w:left="548"/>
      </w:pPr>
      <w:r>
        <w:rPr/>
        <w:t>Queda exento el Municipio del pago de los formatos previstos en los incisos i), j) k) y l) de la presente</w:t>
      </w:r>
    </w:p>
    <w:p>
      <w:pPr>
        <w:pStyle w:val="BodyText"/>
        <w:spacing w:line="247" w:lineRule="auto"/>
        <w:ind w:left="548"/>
        <w:jc w:val="both"/>
      </w:pPr>
      <w:r>
        <w:rPr/>
        <w:br w:type="column"/>
      </w:r>
      <w:r>
        <w:rPr/>
        <w:t>electrónicas, de vídeo, cómputo, y de composición mixta  con  fines de diversión o dispensadoras de bienes de consumo, así como juegos montables, mesas de billar, filas de boliche y máquinas despachadoras de</w:t>
      </w:r>
      <w:r>
        <w:rPr>
          <w:spacing w:val="6"/>
        </w:rPr>
        <w:t> </w:t>
      </w:r>
      <w:r>
        <w:rPr/>
        <w:t>refrescos:</w:t>
      </w:r>
    </w:p>
    <w:p>
      <w:pPr>
        <w:pStyle w:val="BodyText"/>
        <w:spacing w:before="5"/>
        <w:rPr>
          <w:sz w:val="18"/>
        </w:rPr>
      </w:pPr>
    </w:p>
    <w:p>
      <w:pPr>
        <w:pStyle w:val="BodyText"/>
        <w:spacing w:line="247" w:lineRule="auto"/>
        <w:ind w:left="548" w:firstLine="397"/>
        <w:jc w:val="both"/>
      </w:pPr>
      <w:r>
        <w:rPr/>
        <w:t>j) Hologramas o códigos de barras auto adheribles para identificación de aparatos con explotación de tecnologías mecánicas, con fines de diversión o dispensadoras de bienes</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5"/>
        <w:rPr>
          <w:sz w:val="13"/>
        </w:rPr>
      </w:pPr>
    </w:p>
    <w:p>
      <w:pPr>
        <w:pStyle w:val="BodyText"/>
        <w:ind w:left="396"/>
      </w:pPr>
      <w:r>
        <w:rPr/>
        <w:t>$146.00</w:t>
      </w:r>
    </w:p>
    <w:p>
      <w:pPr>
        <w:spacing w:after="0"/>
        <w:sectPr>
          <w:type w:val="continuous"/>
          <w:pgSz w:w="23250" w:h="15310" w:orient="landscape"/>
          <w:pgMar w:top="0" w:bottom="0" w:left="1880" w:right="1520"/>
          <w:cols w:num="3" w:equalWidth="0">
            <w:col w:w="7750" w:space="3474"/>
            <w:col w:w="4994" w:space="40"/>
            <w:col w:w="3592"/>
          </w:cols>
        </w:sectPr>
      </w:pPr>
    </w:p>
    <w:p>
      <w:pPr>
        <w:pStyle w:val="BodyText"/>
        <w:spacing w:line="132" w:lineRule="exact"/>
        <w:ind w:left="150"/>
      </w:pPr>
      <w:r>
        <w:rPr/>
        <w:t>fracción.</w:t>
      </w:r>
    </w:p>
    <w:p>
      <w:pPr>
        <w:pStyle w:val="BodyText"/>
        <w:spacing w:before="9"/>
      </w:pPr>
    </w:p>
    <w:p>
      <w:pPr>
        <w:pStyle w:val="BodyText"/>
        <w:ind w:left="548"/>
        <w:jc w:val="both"/>
      </w:pPr>
      <w:r>
        <w:rPr/>
        <w:t>II. Permisos para actividades eventuales de:</w:t>
      </w:r>
    </w:p>
    <w:p>
      <w:pPr>
        <w:pStyle w:val="BodyText"/>
        <w:spacing w:before="6"/>
        <w:rPr>
          <w:sz w:val="17"/>
        </w:rPr>
      </w:pPr>
    </w:p>
    <w:p>
      <w:pPr>
        <w:pStyle w:val="ListParagraph"/>
        <w:numPr>
          <w:ilvl w:val="0"/>
          <w:numId w:val="181"/>
        </w:numPr>
        <w:tabs>
          <w:tab w:pos="729" w:val="left" w:leader="none"/>
          <w:tab w:pos="5019" w:val="left" w:leader="none"/>
        </w:tabs>
        <w:spacing w:line="240" w:lineRule="auto" w:before="0" w:after="0"/>
        <w:ind w:left="728" w:right="0" w:hanging="181"/>
        <w:jc w:val="both"/>
        <w:rPr>
          <w:sz w:val="15"/>
        </w:rPr>
      </w:pPr>
      <w:r>
        <w:rPr>
          <w:sz w:val="15"/>
        </w:rPr>
        <w:t>Giros comerciales o de prestación </w:t>
      </w:r>
      <w:r>
        <w:rPr>
          <w:spacing w:val="14"/>
          <w:sz w:val="15"/>
        </w:rPr>
        <w:t> </w:t>
      </w:r>
      <w:r>
        <w:rPr>
          <w:sz w:val="15"/>
        </w:rPr>
        <w:t>de</w:t>
      </w:r>
      <w:r>
        <w:rPr>
          <w:spacing w:val="12"/>
          <w:sz w:val="15"/>
        </w:rPr>
        <w:t> </w:t>
      </w:r>
      <w:r>
        <w:rPr>
          <w:sz w:val="15"/>
        </w:rPr>
        <w:t>servicios:</w:t>
        <w:tab/>
        <w:t>$64.00</w:t>
      </w:r>
    </w:p>
    <w:p>
      <w:pPr>
        <w:pStyle w:val="ListParagraph"/>
        <w:numPr>
          <w:ilvl w:val="0"/>
          <w:numId w:val="181"/>
        </w:numPr>
        <w:tabs>
          <w:tab w:pos="781" w:val="left" w:leader="none"/>
        </w:tabs>
        <w:spacing w:line="240" w:lineRule="auto" w:before="43" w:after="0"/>
        <w:ind w:left="781" w:right="0" w:hanging="233"/>
        <w:jc w:val="both"/>
        <w:rPr>
          <w:sz w:val="15"/>
        </w:rPr>
      </w:pPr>
      <w:r>
        <w:rPr>
          <w:sz w:val="15"/>
        </w:rPr>
        <w:t>Permiso</w:t>
      </w:r>
      <w:r>
        <w:rPr>
          <w:spacing w:val="16"/>
          <w:sz w:val="15"/>
        </w:rPr>
        <w:t> </w:t>
      </w:r>
      <w:r>
        <w:rPr>
          <w:sz w:val="15"/>
        </w:rPr>
        <w:t>mensual</w:t>
      </w:r>
      <w:r>
        <w:rPr>
          <w:spacing w:val="16"/>
          <w:sz w:val="15"/>
        </w:rPr>
        <w:t> </w:t>
      </w:r>
      <w:r>
        <w:rPr>
          <w:sz w:val="15"/>
        </w:rPr>
        <w:t>para</w:t>
      </w:r>
      <w:r>
        <w:rPr>
          <w:spacing w:val="16"/>
          <w:sz w:val="15"/>
        </w:rPr>
        <w:t> </w:t>
      </w:r>
      <w:r>
        <w:rPr>
          <w:sz w:val="15"/>
        </w:rPr>
        <w:t>la</w:t>
      </w:r>
      <w:r>
        <w:rPr>
          <w:spacing w:val="16"/>
          <w:sz w:val="15"/>
        </w:rPr>
        <w:t> </w:t>
      </w:r>
      <w:r>
        <w:rPr>
          <w:sz w:val="15"/>
        </w:rPr>
        <w:t>prestación</w:t>
      </w:r>
      <w:r>
        <w:rPr>
          <w:spacing w:val="16"/>
          <w:sz w:val="15"/>
        </w:rPr>
        <w:t> </w:t>
      </w:r>
      <w:r>
        <w:rPr>
          <w:sz w:val="15"/>
        </w:rPr>
        <w:t>de</w:t>
      </w:r>
      <w:r>
        <w:rPr>
          <w:spacing w:val="16"/>
          <w:sz w:val="15"/>
        </w:rPr>
        <w:t> </w:t>
      </w:r>
      <w:r>
        <w:rPr>
          <w:sz w:val="15"/>
        </w:rPr>
        <w:t>servicio</w:t>
      </w:r>
      <w:r>
        <w:rPr>
          <w:spacing w:val="16"/>
          <w:sz w:val="15"/>
        </w:rPr>
        <w:t> </w:t>
      </w:r>
      <w:r>
        <w:rPr>
          <w:sz w:val="15"/>
        </w:rPr>
        <w:t>de</w:t>
      </w:r>
    </w:p>
    <w:p>
      <w:pPr>
        <w:pStyle w:val="BodyText"/>
        <w:tabs>
          <w:tab w:pos="4932" w:val="left" w:leader="none"/>
        </w:tabs>
        <w:spacing w:before="5"/>
        <w:ind w:left="150"/>
        <w:jc w:val="both"/>
      </w:pPr>
      <w:r>
        <w:rPr/>
        <w:t>salones de</w:t>
      </w:r>
      <w:r>
        <w:rPr>
          <w:spacing w:val="17"/>
        </w:rPr>
        <w:t> </w:t>
      </w:r>
      <w:r>
        <w:rPr/>
        <w:t>fiestas</w:t>
      </w:r>
      <w:r>
        <w:rPr>
          <w:spacing w:val="8"/>
        </w:rPr>
        <w:t> </w:t>
      </w:r>
      <w:r>
        <w:rPr/>
        <w:t>infantiles:</w:t>
        <w:tab/>
        <w:t>$217.00</w:t>
      </w:r>
    </w:p>
    <w:p>
      <w:pPr>
        <w:pStyle w:val="ListParagraph"/>
        <w:numPr>
          <w:ilvl w:val="0"/>
          <w:numId w:val="181"/>
        </w:numPr>
        <w:tabs>
          <w:tab w:pos="774" w:val="left" w:leader="none"/>
        </w:tabs>
        <w:spacing w:line="240" w:lineRule="auto" w:before="43" w:after="0"/>
        <w:ind w:left="773" w:right="0" w:hanging="226"/>
        <w:jc w:val="both"/>
        <w:rPr>
          <w:sz w:val="15"/>
        </w:rPr>
      </w:pPr>
      <w:r>
        <w:rPr>
          <w:sz w:val="15"/>
        </w:rPr>
        <w:t>Permiso</w:t>
      </w:r>
      <w:r>
        <w:rPr>
          <w:spacing w:val="17"/>
          <w:sz w:val="15"/>
        </w:rPr>
        <w:t> </w:t>
      </w:r>
      <w:r>
        <w:rPr>
          <w:sz w:val="15"/>
        </w:rPr>
        <w:t>mensual</w:t>
      </w:r>
      <w:r>
        <w:rPr>
          <w:spacing w:val="17"/>
          <w:sz w:val="15"/>
        </w:rPr>
        <w:t> </w:t>
      </w:r>
      <w:r>
        <w:rPr>
          <w:sz w:val="15"/>
        </w:rPr>
        <w:t>para</w:t>
      </w:r>
      <w:r>
        <w:rPr>
          <w:spacing w:val="17"/>
          <w:sz w:val="15"/>
        </w:rPr>
        <w:t> </w:t>
      </w:r>
      <w:r>
        <w:rPr>
          <w:sz w:val="15"/>
        </w:rPr>
        <w:t>la</w:t>
      </w:r>
      <w:r>
        <w:rPr>
          <w:spacing w:val="17"/>
          <w:sz w:val="15"/>
        </w:rPr>
        <w:t> </w:t>
      </w:r>
      <w:r>
        <w:rPr>
          <w:sz w:val="15"/>
        </w:rPr>
        <w:t>prestación</w:t>
      </w:r>
      <w:r>
        <w:rPr>
          <w:spacing w:val="17"/>
          <w:sz w:val="15"/>
        </w:rPr>
        <w:t> </w:t>
      </w:r>
      <w:r>
        <w:rPr>
          <w:sz w:val="15"/>
        </w:rPr>
        <w:t>de</w:t>
      </w:r>
      <w:r>
        <w:rPr>
          <w:spacing w:val="18"/>
          <w:sz w:val="15"/>
        </w:rPr>
        <w:t> </w:t>
      </w:r>
      <w:r>
        <w:rPr>
          <w:sz w:val="15"/>
        </w:rPr>
        <w:t>servicio</w:t>
      </w:r>
      <w:r>
        <w:rPr>
          <w:spacing w:val="17"/>
          <w:sz w:val="15"/>
        </w:rPr>
        <w:t> </w:t>
      </w:r>
      <w:r>
        <w:rPr>
          <w:sz w:val="15"/>
        </w:rPr>
        <w:t>de</w:t>
      </w:r>
    </w:p>
    <w:p>
      <w:pPr>
        <w:pStyle w:val="BodyText"/>
        <w:tabs>
          <w:tab w:pos="4933" w:val="left" w:leader="none"/>
        </w:tabs>
        <w:spacing w:before="5"/>
        <w:ind w:left="150"/>
        <w:jc w:val="both"/>
      </w:pPr>
      <w:r>
        <w:rPr/>
        <w:t>salones</w:t>
      </w:r>
      <w:r>
        <w:rPr>
          <w:spacing w:val="8"/>
        </w:rPr>
        <w:t> </w:t>
      </w:r>
      <w:r>
        <w:rPr/>
        <w:t>de</w:t>
      </w:r>
      <w:r>
        <w:rPr>
          <w:spacing w:val="8"/>
        </w:rPr>
        <w:t> </w:t>
      </w:r>
      <w:r>
        <w:rPr/>
        <w:t>eventos:</w:t>
        <w:tab/>
        <w:t>$217.00</w:t>
      </w:r>
    </w:p>
    <w:p>
      <w:pPr>
        <w:pStyle w:val="ListParagraph"/>
        <w:numPr>
          <w:ilvl w:val="0"/>
          <w:numId w:val="181"/>
        </w:numPr>
        <w:tabs>
          <w:tab w:pos="750" w:val="left" w:leader="none"/>
        </w:tabs>
        <w:spacing w:line="244" w:lineRule="auto" w:before="44" w:after="0"/>
        <w:ind w:left="150" w:right="933" w:firstLine="397"/>
        <w:jc w:val="both"/>
        <w:rPr>
          <w:sz w:val="15"/>
        </w:rPr>
      </w:pPr>
      <w:r>
        <w:rPr>
          <w:sz w:val="15"/>
        </w:rPr>
        <w:t>Permiso de uno a treinta días para la exhibición en el exterior</w:t>
      </w:r>
      <w:r>
        <w:rPr>
          <w:spacing w:val="28"/>
          <w:sz w:val="15"/>
        </w:rPr>
        <w:t> </w:t>
      </w:r>
      <w:r>
        <w:rPr>
          <w:sz w:val="15"/>
        </w:rPr>
        <w:t>de</w:t>
      </w:r>
      <w:r>
        <w:rPr>
          <w:spacing w:val="31"/>
          <w:sz w:val="15"/>
        </w:rPr>
        <w:t> </w:t>
      </w:r>
      <w:r>
        <w:rPr>
          <w:sz w:val="15"/>
        </w:rPr>
        <w:t>propiedad</w:t>
      </w:r>
      <w:r>
        <w:rPr>
          <w:spacing w:val="28"/>
          <w:sz w:val="15"/>
        </w:rPr>
        <w:t> </w:t>
      </w:r>
      <w:r>
        <w:rPr>
          <w:sz w:val="15"/>
        </w:rPr>
        <w:t>privada,</w:t>
      </w:r>
      <w:r>
        <w:rPr>
          <w:spacing w:val="29"/>
          <w:sz w:val="15"/>
        </w:rPr>
        <w:t> </w:t>
      </w:r>
      <w:r>
        <w:rPr>
          <w:sz w:val="15"/>
        </w:rPr>
        <w:t>en</w:t>
      </w:r>
      <w:r>
        <w:rPr>
          <w:spacing w:val="29"/>
          <w:sz w:val="15"/>
        </w:rPr>
        <w:t> </w:t>
      </w:r>
      <w:r>
        <w:rPr>
          <w:sz w:val="15"/>
        </w:rPr>
        <w:t>establecimientos</w:t>
      </w:r>
      <w:r>
        <w:rPr>
          <w:spacing w:val="29"/>
          <w:sz w:val="15"/>
        </w:rPr>
        <w:t> </w:t>
      </w:r>
      <w:r>
        <w:rPr>
          <w:sz w:val="15"/>
        </w:rPr>
        <w:t>que</w:t>
      </w:r>
      <w:r>
        <w:rPr>
          <w:spacing w:val="29"/>
          <w:sz w:val="15"/>
        </w:rPr>
        <w:t> </w:t>
      </w:r>
      <w:r>
        <w:rPr>
          <w:sz w:val="15"/>
        </w:rPr>
        <w:t>cuenten</w:t>
      </w:r>
    </w:p>
    <w:p>
      <w:pPr>
        <w:pStyle w:val="BodyText"/>
        <w:tabs>
          <w:tab w:pos="4931" w:val="left" w:leader="none"/>
        </w:tabs>
        <w:spacing w:before="2"/>
        <w:ind w:left="150"/>
        <w:jc w:val="both"/>
      </w:pPr>
      <w:r>
        <w:rPr/>
        <w:t>con</w:t>
      </w:r>
      <w:r>
        <w:rPr>
          <w:spacing w:val="8"/>
        </w:rPr>
        <w:t> </w:t>
      </w:r>
      <w:r>
        <w:rPr/>
        <w:t>licencia</w:t>
      </w:r>
      <w:r>
        <w:rPr>
          <w:spacing w:val="8"/>
        </w:rPr>
        <w:t> </w:t>
      </w:r>
      <w:r>
        <w:rPr/>
        <w:t>municipal:</w:t>
        <w:tab/>
        <w:t>$885.00</w:t>
      </w:r>
    </w:p>
    <w:p>
      <w:pPr>
        <w:pStyle w:val="ListParagraph"/>
        <w:numPr>
          <w:ilvl w:val="0"/>
          <w:numId w:val="181"/>
        </w:numPr>
        <w:tabs>
          <w:tab w:pos="785" w:val="left" w:leader="none"/>
        </w:tabs>
        <w:spacing w:line="247" w:lineRule="auto" w:before="44" w:after="0"/>
        <w:ind w:left="150" w:right="931" w:firstLine="397"/>
        <w:jc w:val="both"/>
        <w:rPr>
          <w:sz w:val="15"/>
        </w:rPr>
      </w:pPr>
      <w:r>
        <w:rPr>
          <w:sz w:val="15"/>
        </w:rPr>
        <w:t>Permiso mensual para las islas y locales movibles  dentro de plazas y centros comerciales, previa autorización de la administración del condominio o de la plaza comercial, y la correspondiente acreditación y autorización de la Dirección General de Protección Civil y Bomberos,</w:t>
      </w:r>
      <w:r>
        <w:rPr>
          <w:spacing w:val="14"/>
          <w:sz w:val="15"/>
        </w:rPr>
        <w:t> </w:t>
      </w:r>
      <w:r>
        <w:rPr>
          <w:sz w:val="15"/>
        </w:rPr>
        <w:t>de:</w:t>
      </w:r>
    </w:p>
    <w:p>
      <w:pPr>
        <w:pStyle w:val="ListParagraph"/>
        <w:numPr>
          <w:ilvl w:val="0"/>
          <w:numId w:val="182"/>
        </w:numPr>
        <w:tabs>
          <w:tab w:pos="757" w:val="left" w:leader="none"/>
        </w:tabs>
        <w:spacing w:line="240" w:lineRule="auto" w:before="36" w:after="0"/>
        <w:ind w:left="756" w:right="0" w:hanging="209"/>
        <w:jc w:val="both"/>
        <w:rPr>
          <w:sz w:val="15"/>
        </w:rPr>
      </w:pPr>
      <w:r>
        <w:rPr>
          <w:sz w:val="15"/>
        </w:rPr>
        <w:t>Por metro cuadrado, sin exceder un máximo de</w:t>
      </w:r>
      <w:r>
        <w:rPr>
          <w:spacing w:val="39"/>
          <w:sz w:val="15"/>
        </w:rPr>
        <w:t> </w:t>
      </w:r>
      <w:r>
        <w:rPr>
          <w:sz w:val="15"/>
        </w:rPr>
        <w:t>tres</w:t>
      </w:r>
    </w:p>
    <w:p>
      <w:pPr>
        <w:pStyle w:val="BodyText"/>
        <w:tabs>
          <w:tab w:pos="4933" w:val="left" w:leader="none"/>
        </w:tabs>
        <w:spacing w:before="5"/>
        <w:ind w:left="150"/>
        <w:jc w:val="both"/>
      </w:pPr>
      <w:r>
        <w:rPr/>
        <w:t>metros</w:t>
      </w:r>
      <w:r>
        <w:rPr>
          <w:spacing w:val="10"/>
        </w:rPr>
        <w:t> </w:t>
      </w:r>
      <w:r>
        <w:rPr/>
        <w:t>cuadrados:</w:t>
        <w:tab/>
        <w:t>$128.00</w:t>
      </w:r>
    </w:p>
    <w:p>
      <w:pPr>
        <w:pStyle w:val="ListParagraph"/>
        <w:numPr>
          <w:ilvl w:val="0"/>
          <w:numId w:val="182"/>
        </w:numPr>
        <w:tabs>
          <w:tab w:pos="720" w:val="left" w:leader="none"/>
          <w:tab w:pos="4933" w:val="left" w:leader="none"/>
        </w:tabs>
        <w:spacing w:line="240" w:lineRule="auto" w:before="44" w:after="0"/>
        <w:ind w:left="719" w:right="0" w:hanging="172"/>
        <w:jc w:val="both"/>
        <w:rPr>
          <w:sz w:val="15"/>
        </w:rPr>
      </w:pPr>
      <w:r>
        <w:rPr>
          <w:sz w:val="15"/>
        </w:rPr>
        <w:t>Por cada metro </w:t>
      </w:r>
      <w:r>
        <w:rPr>
          <w:spacing w:val="4"/>
          <w:sz w:val="15"/>
        </w:rPr>
        <w:t> </w:t>
      </w:r>
      <w:r>
        <w:rPr>
          <w:sz w:val="15"/>
        </w:rPr>
        <w:t>cuadrado</w:t>
      </w:r>
      <w:r>
        <w:rPr>
          <w:spacing w:val="15"/>
          <w:sz w:val="15"/>
        </w:rPr>
        <w:t> </w:t>
      </w:r>
      <w:r>
        <w:rPr>
          <w:sz w:val="15"/>
        </w:rPr>
        <w:t>excedente:</w:t>
        <w:tab/>
        <w:t>$254.00</w:t>
      </w:r>
    </w:p>
    <w:p>
      <w:pPr>
        <w:pStyle w:val="ListParagraph"/>
        <w:numPr>
          <w:ilvl w:val="0"/>
          <w:numId w:val="181"/>
        </w:numPr>
        <w:tabs>
          <w:tab w:pos="688" w:val="left" w:leader="none"/>
        </w:tabs>
        <w:spacing w:line="240" w:lineRule="auto" w:before="43" w:after="0"/>
        <w:ind w:left="687" w:right="0" w:hanging="140"/>
        <w:jc w:val="both"/>
        <w:rPr>
          <w:sz w:val="15"/>
        </w:rPr>
      </w:pPr>
      <w:r>
        <w:rPr>
          <w:sz w:val="15"/>
        </w:rPr>
        <w:t>Reimpresión de ficha de trámite para solicitud de</w:t>
      </w:r>
      <w:r>
        <w:rPr>
          <w:spacing w:val="39"/>
          <w:sz w:val="15"/>
        </w:rPr>
        <w:t> </w:t>
      </w:r>
      <w:r>
        <w:rPr>
          <w:sz w:val="15"/>
        </w:rPr>
        <w:t>licencia</w:t>
      </w:r>
    </w:p>
    <w:p>
      <w:pPr>
        <w:pStyle w:val="BodyText"/>
        <w:tabs>
          <w:tab w:pos="5018" w:val="left" w:leader="none"/>
        </w:tabs>
        <w:spacing w:before="5"/>
        <w:ind w:left="150"/>
        <w:jc w:val="both"/>
      </w:pPr>
      <w:r>
        <w:rPr/>
        <w:t>de giro</w:t>
      </w:r>
      <w:r>
        <w:rPr>
          <w:spacing w:val="12"/>
        </w:rPr>
        <w:t> </w:t>
      </w:r>
      <w:r>
        <w:rPr/>
        <w:t>o</w:t>
      </w:r>
      <w:r>
        <w:rPr>
          <w:spacing w:val="6"/>
        </w:rPr>
        <w:t> </w:t>
      </w:r>
      <w:r>
        <w:rPr/>
        <w:t>anuncio:</w:t>
        <w:tab/>
        <w:t>$51.00</w:t>
      </w:r>
    </w:p>
    <w:p>
      <w:pPr>
        <w:pStyle w:val="ListParagraph"/>
        <w:numPr>
          <w:ilvl w:val="0"/>
          <w:numId w:val="181"/>
        </w:numPr>
        <w:tabs>
          <w:tab w:pos="728" w:val="left" w:leader="none"/>
        </w:tabs>
        <w:spacing w:line="240" w:lineRule="auto" w:before="43" w:after="0"/>
        <w:ind w:left="727" w:right="0" w:hanging="180"/>
        <w:jc w:val="both"/>
        <w:rPr>
          <w:sz w:val="15"/>
        </w:rPr>
      </w:pPr>
      <w:r>
        <w:rPr>
          <w:sz w:val="15"/>
        </w:rPr>
        <w:t>Constancia de licencia de giro o anuncio, por cada</w:t>
      </w:r>
      <w:r>
        <w:rPr>
          <w:spacing w:val="29"/>
          <w:sz w:val="15"/>
        </w:rPr>
        <w:t> </w:t>
      </w:r>
      <w:r>
        <w:rPr>
          <w:sz w:val="15"/>
        </w:rPr>
        <w:t>uno:</w:t>
      </w:r>
    </w:p>
    <w:p>
      <w:pPr>
        <w:pStyle w:val="BodyText"/>
        <w:spacing w:before="5"/>
        <w:ind w:left="5018"/>
      </w:pPr>
      <w:r>
        <w:rPr/>
        <w:t>$64.00</w:t>
      </w:r>
    </w:p>
    <w:p>
      <w:pPr>
        <w:pStyle w:val="ListParagraph"/>
        <w:numPr>
          <w:ilvl w:val="0"/>
          <w:numId w:val="181"/>
        </w:numPr>
        <w:tabs>
          <w:tab w:pos="802" w:val="left" w:leader="none"/>
        </w:tabs>
        <w:spacing w:line="240" w:lineRule="auto" w:before="44" w:after="0"/>
        <w:ind w:left="801" w:right="0" w:hanging="254"/>
        <w:jc w:val="left"/>
        <w:rPr>
          <w:sz w:val="15"/>
        </w:rPr>
      </w:pPr>
      <w:r>
        <w:rPr>
          <w:sz w:val="15"/>
        </w:rPr>
        <w:t>Constancia de antecedente de licencia de giro</w:t>
      </w:r>
      <w:r>
        <w:rPr>
          <w:spacing w:val="7"/>
          <w:sz w:val="15"/>
        </w:rPr>
        <w:t> </w:t>
      </w:r>
      <w:r>
        <w:rPr>
          <w:sz w:val="15"/>
        </w:rPr>
        <w:t>o</w:t>
      </w:r>
    </w:p>
    <w:p>
      <w:pPr>
        <w:pStyle w:val="BodyText"/>
        <w:tabs>
          <w:tab w:pos="5019" w:val="left" w:leader="none"/>
        </w:tabs>
        <w:spacing w:before="5"/>
        <w:ind w:left="150"/>
      </w:pPr>
      <w:r>
        <w:rPr/>
        <w:t>anuncio, por</w:t>
      </w:r>
      <w:r>
        <w:rPr>
          <w:spacing w:val="14"/>
        </w:rPr>
        <w:t> </w:t>
      </w:r>
      <w:r>
        <w:rPr/>
        <w:t>cada</w:t>
      </w:r>
      <w:r>
        <w:rPr>
          <w:spacing w:val="8"/>
        </w:rPr>
        <w:t> </w:t>
      </w:r>
      <w:r>
        <w:rPr/>
        <w:t>uno:</w:t>
        <w:tab/>
        <w:t>$46.00</w:t>
      </w:r>
    </w:p>
    <w:p>
      <w:pPr>
        <w:pStyle w:val="ListParagraph"/>
        <w:numPr>
          <w:ilvl w:val="0"/>
          <w:numId w:val="181"/>
        </w:numPr>
        <w:tabs>
          <w:tab w:pos="733" w:val="left" w:leader="none"/>
        </w:tabs>
        <w:spacing w:line="247" w:lineRule="auto" w:before="43" w:after="0"/>
        <w:ind w:left="150" w:right="932" w:firstLine="397"/>
        <w:jc w:val="left"/>
        <w:rPr>
          <w:sz w:val="15"/>
        </w:rPr>
      </w:pPr>
      <w:r>
        <w:rPr>
          <w:spacing w:val="-3"/>
          <w:sz w:val="15"/>
        </w:rPr>
        <w:t>Tarjetón </w:t>
      </w:r>
      <w:r>
        <w:rPr>
          <w:sz w:val="15"/>
        </w:rPr>
        <w:t>para locatarios de mercados, puestos fijos, semifijos</w:t>
      </w:r>
      <w:r>
        <w:rPr>
          <w:spacing w:val="15"/>
          <w:sz w:val="15"/>
        </w:rPr>
        <w:t> </w:t>
      </w:r>
      <w:r>
        <w:rPr>
          <w:sz w:val="15"/>
        </w:rPr>
        <w:t>o</w:t>
      </w:r>
      <w:r>
        <w:rPr>
          <w:spacing w:val="14"/>
          <w:sz w:val="15"/>
        </w:rPr>
        <w:t> </w:t>
      </w:r>
      <w:r>
        <w:rPr>
          <w:sz w:val="15"/>
        </w:rPr>
        <w:t>móviles</w:t>
      </w:r>
      <w:r>
        <w:rPr>
          <w:spacing w:val="15"/>
          <w:sz w:val="15"/>
        </w:rPr>
        <w:t> </w:t>
      </w:r>
      <w:r>
        <w:rPr>
          <w:sz w:val="15"/>
        </w:rPr>
        <w:t>y</w:t>
      </w:r>
      <w:r>
        <w:rPr>
          <w:spacing w:val="15"/>
          <w:sz w:val="15"/>
        </w:rPr>
        <w:t> </w:t>
      </w:r>
      <w:r>
        <w:rPr>
          <w:sz w:val="15"/>
        </w:rPr>
        <w:t>tianguistas,</w:t>
      </w:r>
      <w:r>
        <w:rPr>
          <w:spacing w:val="16"/>
          <w:sz w:val="15"/>
        </w:rPr>
        <w:t> </w:t>
      </w:r>
      <w:r>
        <w:rPr>
          <w:sz w:val="15"/>
        </w:rPr>
        <w:t>así</w:t>
      </w:r>
      <w:r>
        <w:rPr>
          <w:spacing w:val="15"/>
          <w:sz w:val="15"/>
        </w:rPr>
        <w:t> </w:t>
      </w:r>
      <w:r>
        <w:rPr>
          <w:sz w:val="15"/>
        </w:rPr>
        <w:t>como</w:t>
      </w:r>
      <w:r>
        <w:rPr>
          <w:spacing w:val="15"/>
          <w:sz w:val="15"/>
        </w:rPr>
        <w:t> </w:t>
      </w:r>
      <w:r>
        <w:rPr>
          <w:sz w:val="15"/>
        </w:rPr>
        <w:t>la</w:t>
      </w:r>
      <w:r>
        <w:rPr>
          <w:spacing w:val="15"/>
          <w:sz w:val="15"/>
        </w:rPr>
        <w:t> </w:t>
      </w:r>
      <w:r>
        <w:rPr>
          <w:sz w:val="15"/>
        </w:rPr>
        <w:t>reposición</w:t>
      </w:r>
      <w:r>
        <w:rPr>
          <w:spacing w:val="16"/>
          <w:sz w:val="15"/>
        </w:rPr>
        <w:t> </w:t>
      </w:r>
      <w:r>
        <w:rPr>
          <w:sz w:val="15"/>
        </w:rPr>
        <w:t>de</w:t>
      </w:r>
    </w:p>
    <w:p>
      <w:pPr>
        <w:pStyle w:val="BodyText"/>
        <w:tabs>
          <w:tab w:pos="4933" w:val="left" w:leader="none"/>
        </w:tabs>
        <w:spacing w:line="172" w:lineRule="exact"/>
        <w:ind w:left="150"/>
      </w:pPr>
      <w:r>
        <w:rPr/>
        <w:t>permiso:</w:t>
        <w:tab/>
        <w:t>$152.00</w:t>
      </w:r>
    </w:p>
    <w:p>
      <w:pPr>
        <w:pStyle w:val="BodyText"/>
        <w:tabs>
          <w:tab w:pos="5120" w:val="left" w:leader="none"/>
        </w:tabs>
        <w:spacing w:line="171" w:lineRule="exact"/>
        <w:ind w:left="150"/>
        <w:jc w:val="both"/>
      </w:pPr>
      <w:r>
        <w:rPr/>
        <w:br w:type="column"/>
      </w:r>
      <w:r>
        <w:rPr/>
        <w:t>de</w:t>
      </w:r>
      <w:r>
        <w:rPr>
          <w:spacing w:val="7"/>
        </w:rPr>
        <w:t> </w:t>
      </w:r>
      <w:r>
        <w:rPr/>
        <w:t>consumo:</w:t>
        <w:tab/>
        <w:t>$32.00</w:t>
      </w:r>
    </w:p>
    <w:p>
      <w:pPr>
        <w:pStyle w:val="ListParagraph"/>
        <w:numPr>
          <w:ilvl w:val="0"/>
          <w:numId w:val="183"/>
        </w:numPr>
        <w:tabs>
          <w:tab w:pos="746" w:val="left" w:leader="none"/>
        </w:tabs>
        <w:spacing w:line="247" w:lineRule="auto" w:before="44" w:after="0"/>
        <w:ind w:left="150" w:right="3623" w:firstLine="397"/>
        <w:jc w:val="both"/>
        <w:rPr>
          <w:sz w:val="15"/>
        </w:rPr>
      </w:pPr>
      <w:r>
        <w:rPr>
          <w:sz w:val="15"/>
        </w:rPr>
        <w:t>Hologramas o códigos de barras auto adheribles para identificación de aparatos con exportación de tecnologías, electrónicas</w:t>
      </w:r>
      <w:r>
        <w:rPr>
          <w:spacing w:val="18"/>
          <w:sz w:val="15"/>
        </w:rPr>
        <w:t> </w:t>
      </w:r>
      <w:r>
        <w:rPr>
          <w:sz w:val="15"/>
        </w:rPr>
        <w:t>de</w:t>
      </w:r>
      <w:r>
        <w:rPr>
          <w:spacing w:val="36"/>
          <w:sz w:val="15"/>
        </w:rPr>
        <w:t> </w:t>
      </w:r>
      <w:r>
        <w:rPr>
          <w:sz w:val="15"/>
        </w:rPr>
        <w:t>vídeo,</w:t>
      </w:r>
      <w:r>
        <w:rPr>
          <w:spacing w:val="18"/>
          <w:sz w:val="15"/>
        </w:rPr>
        <w:t> </w:t>
      </w:r>
      <w:r>
        <w:rPr>
          <w:sz w:val="15"/>
        </w:rPr>
        <w:t>cómputo</w:t>
      </w:r>
      <w:r>
        <w:rPr>
          <w:spacing w:val="18"/>
          <w:sz w:val="15"/>
        </w:rPr>
        <w:t> </w:t>
      </w:r>
      <w:r>
        <w:rPr>
          <w:sz w:val="15"/>
        </w:rPr>
        <w:t>y</w:t>
      </w:r>
      <w:r>
        <w:rPr>
          <w:spacing w:val="19"/>
          <w:sz w:val="15"/>
        </w:rPr>
        <w:t> </w:t>
      </w:r>
      <w:r>
        <w:rPr>
          <w:sz w:val="15"/>
        </w:rPr>
        <w:t>sonido</w:t>
      </w:r>
      <w:r>
        <w:rPr>
          <w:spacing w:val="18"/>
          <w:sz w:val="15"/>
        </w:rPr>
        <w:t> </w:t>
      </w:r>
      <w:r>
        <w:rPr>
          <w:sz w:val="15"/>
        </w:rPr>
        <w:t>de</w:t>
      </w:r>
      <w:r>
        <w:rPr>
          <w:spacing w:val="18"/>
          <w:sz w:val="15"/>
        </w:rPr>
        <w:t> </w:t>
      </w:r>
      <w:r>
        <w:rPr>
          <w:sz w:val="15"/>
        </w:rPr>
        <w:t>composición</w:t>
      </w:r>
      <w:r>
        <w:rPr>
          <w:spacing w:val="17"/>
          <w:sz w:val="15"/>
        </w:rPr>
        <w:t> </w:t>
      </w:r>
      <w:r>
        <w:rPr>
          <w:sz w:val="15"/>
        </w:rPr>
        <w:t>mixta,</w:t>
      </w:r>
    </w:p>
    <w:p>
      <w:pPr>
        <w:pStyle w:val="BodyText"/>
        <w:tabs>
          <w:tab w:pos="5032" w:val="left" w:leader="none"/>
        </w:tabs>
        <w:spacing w:line="170" w:lineRule="exact"/>
        <w:ind w:left="150"/>
        <w:jc w:val="both"/>
      </w:pPr>
      <w:r>
        <w:rPr/>
        <w:t>con fines</w:t>
      </w:r>
      <w:r>
        <w:rPr>
          <w:spacing w:val="15"/>
        </w:rPr>
        <w:t> </w:t>
      </w:r>
      <w:r>
        <w:rPr/>
        <w:t>de</w:t>
      </w:r>
      <w:r>
        <w:rPr>
          <w:spacing w:val="7"/>
        </w:rPr>
        <w:t> </w:t>
      </w:r>
      <w:r>
        <w:rPr/>
        <w:t>diversión:</w:t>
        <w:tab/>
        <w:t>$402.00</w:t>
      </w:r>
    </w:p>
    <w:p>
      <w:pPr>
        <w:pStyle w:val="ListParagraph"/>
        <w:numPr>
          <w:ilvl w:val="0"/>
          <w:numId w:val="183"/>
        </w:numPr>
        <w:tabs>
          <w:tab w:pos="700" w:val="left" w:leader="none"/>
        </w:tabs>
        <w:spacing w:line="247" w:lineRule="auto" w:before="44" w:after="0"/>
        <w:ind w:left="150" w:right="3625" w:firstLine="397"/>
        <w:jc w:val="both"/>
        <w:rPr>
          <w:sz w:val="15"/>
        </w:rPr>
      </w:pPr>
      <w:r>
        <w:rPr>
          <w:sz w:val="15"/>
        </w:rPr>
        <w:t>Hologramas o códigos de barras auto adheribles para identificación por cada uno de los monitores, máquinas de apuestas, terminales remotas en establecimientos casinos o que ofrezcan entretenimiento con sorteos de números, juegos de apuestas con autorización legal, centros de apuestas remotas y apuestas autorizados, pago anual</w:t>
      </w:r>
      <w:r>
        <w:rPr>
          <w:spacing w:val="8"/>
          <w:sz w:val="15"/>
        </w:rPr>
        <w:t> </w:t>
      </w:r>
      <w:r>
        <w:rPr>
          <w:sz w:val="15"/>
        </w:rPr>
        <w:t>de:</w:t>
      </w:r>
    </w:p>
    <w:p>
      <w:pPr>
        <w:pStyle w:val="BodyText"/>
        <w:spacing w:line="169" w:lineRule="exact"/>
        <w:ind w:left="4903"/>
      </w:pPr>
      <w:r>
        <w:rPr/>
        <w:t>$1,405.00</w:t>
      </w:r>
    </w:p>
    <w:p>
      <w:pPr>
        <w:pStyle w:val="ListParagraph"/>
        <w:numPr>
          <w:ilvl w:val="0"/>
          <w:numId w:val="183"/>
        </w:numPr>
        <w:tabs>
          <w:tab w:pos="821" w:val="left" w:leader="none"/>
        </w:tabs>
        <w:spacing w:line="240" w:lineRule="auto" w:before="44" w:after="0"/>
        <w:ind w:left="820" w:right="0" w:hanging="273"/>
        <w:jc w:val="left"/>
        <w:rPr>
          <w:sz w:val="15"/>
        </w:rPr>
      </w:pPr>
      <w:r>
        <w:rPr>
          <w:sz w:val="15"/>
        </w:rPr>
        <w:t>Credenciales para prestadores de servicios,</w:t>
      </w:r>
      <w:r>
        <w:rPr>
          <w:spacing w:val="23"/>
          <w:sz w:val="15"/>
        </w:rPr>
        <w:t> </w:t>
      </w:r>
      <w:r>
        <w:rPr>
          <w:sz w:val="15"/>
        </w:rPr>
        <w:t>aseadores</w:t>
      </w:r>
    </w:p>
    <w:p>
      <w:pPr>
        <w:pStyle w:val="BodyText"/>
        <w:tabs>
          <w:tab w:pos="5032" w:val="left" w:leader="none"/>
        </w:tabs>
        <w:spacing w:before="4"/>
        <w:ind w:left="150"/>
      </w:pPr>
      <w:r>
        <w:rPr/>
        <w:t>de calzado, músicos, fotógrafos </w:t>
      </w:r>
      <w:r>
        <w:rPr>
          <w:spacing w:val="2"/>
        </w:rPr>
        <w:t> </w:t>
      </w:r>
      <w:r>
        <w:rPr/>
        <w:t>y</w:t>
      </w:r>
      <w:r>
        <w:rPr>
          <w:spacing w:val="12"/>
        </w:rPr>
        <w:t> </w:t>
      </w:r>
      <w:r>
        <w:rPr/>
        <w:t>camarógrafos:</w:t>
        <w:tab/>
        <w:t>$222.00</w:t>
      </w:r>
    </w:p>
    <w:p>
      <w:pPr>
        <w:pStyle w:val="ListParagraph"/>
        <w:numPr>
          <w:ilvl w:val="0"/>
          <w:numId w:val="183"/>
        </w:numPr>
        <w:tabs>
          <w:tab w:pos="737" w:val="left" w:leader="none"/>
        </w:tabs>
        <w:spacing w:line="240" w:lineRule="auto" w:before="44" w:after="0"/>
        <w:ind w:left="736" w:right="0" w:hanging="189"/>
        <w:jc w:val="left"/>
        <w:rPr>
          <w:sz w:val="15"/>
        </w:rPr>
      </w:pPr>
      <w:r>
        <w:rPr>
          <w:sz w:val="15"/>
        </w:rPr>
        <w:t>Por</w:t>
      </w:r>
      <w:r>
        <w:rPr>
          <w:spacing w:val="10"/>
          <w:sz w:val="15"/>
        </w:rPr>
        <w:t> </w:t>
      </w:r>
      <w:r>
        <w:rPr>
          <w:sz w:val="15"/>
        </w:rPr>
        <w:t>reexpedición</w:t>
      </w:r>
      <w:r>
        <w:rPr>
          <w:spacing w:val="10"/>
          <w:sz w:val="15"/>
        </w:rPr>
        <w:t> </w:t>
      </w:r>
      <w:r>
        <w:rPr>
          <w:sz w:val="15"/>
        </w:rPr>
        <w:t>de</w:t>
      </w:r>
      <w:r>
        <w:rPr>
          <w:spacing w:val="10"/>
          <w:sz w:val="15"/>
        </w:rPr>
        <w:t> </w:t>
      </w:r>
      <w:r>
        <w:rPr>
          <w:sz w:val="15"/>
        </w:rPr>
        <w:t>gafete</w:t>
      </w:r>
      <w:r>
        <w:rPr>
          <w:spacing w:val="10"/>
          <w:sz w:val="15"/>
        </w:rPr>
        <w:t> </w:t>
      </w:r>
      <w:r>
        <w:rPr>
          <w:sz w:val="15"/>
        </w:rPr>
        <w:t>para</w:t>
      </w:r>
      <w:r>
        <w:rPr>
          <w:spacing w:val="11"/>
          <w:sz w:val="15"/>
        </w:rPr>
        <w:t> </w:t>
      </w:r>
      <w:r>
        <w:rPr>
          <w:sz w:val="15"/>
        </w:rPr>
        <w:t>servidores</w:t>
      </w:r>
      <w:r>
        <w:rPr>
          <w:spacing w:val="10"/>
          <w:sz w:val="15"/>
        </w:rPr>
        <w:t> </w:t>
      </w:r>
      <w:r>
        <w:rPr>
          <w:sz w:val="15"/>
        </w:rPr>
        <w:t>públicos</w:t>
      </w:r>
      <w:r>
        <w:rPr>
          <w:spacing w:val="10"/>
          <w:sz w:val="15"/>
        </w:rPr>
        <w:t> </w:t>
      </w:r>
      <w:r>
        <w:rPr>
          <w:sz w:val="15"/>
        </w:rPr>
        <w:t>del</w:t>
      </w:r>
    </w:p>
    <w:p>
      <w:pPr>
        <w:pStyle w:val="BodyText"/>
        <w:tabs>
          <w:tab w:pos="5031" w:val="left" w:leader="none"/>
        </w:tabs>
        <w:spacing w:before="4"/>
        <w:ind w:left="150"/>
      </w:pPr>
      <w:r>
        <w:rPr/>
        <w:t>municipio por</w:t>
      </w:r>
      <w:r>
        <w:rPr>
          <w:spacing w:val="16"/>
        </w:rPr>
        <w:t> </w:t>
      </w:r>
      <w:r>
        <w:rPr/>
        <w:t>cada</w:t>
      </w:r>
      <w:r>
        <w:rPr>
          <w:spacing w:val="8"/>
        </w:rPr>
        <w:t> </w:t>
      </w:r>
      <w:r>
        <w:rPr/>
        <w:t>uno:</w:t>
        <w:tab/>
        <w:t>$290.00</w:t>
      </w:r>
    </w:p>
    <w:p>
      <w:pPr>
        <w:pStyle w:val="BodyText"/>
        <w:spacing w:before="6"/>
        <w:rPr>
          <w:sz w:val="17"/>
        </w:rPr>
      </w:pPr>
    </w:p>
    <w:p>
      <w:pPr>
        <w:pStyle w:val="ListParagraph"/>
        <w:numPr>
          <w:ilvl w:val="0"/>
          <w:numId w:val="184"/>
        </w:numPr>
        <w:tabs>
          <w:tab w:pos="792" w:val="left" w:leader="none"/>
        </w:tabs>
        <w:spacing w:line="247" w:lineRule="auto" w:before="0" w:after="0"/>
        <w:ind w:left="150" w:right="511" w:firstLine="397"/>
        <w:jc w:val="left"/>
        <w:rPr>
          <w:sz w:val="15"/>
        </w:rPr>
      </w:pPr>
      <w:r>
        <w:rPr>
          <w:sz w:val="15"/>
        </w:rPr>
        <w:t>Las ediciones impresas por el Municipio, se pagarán según el precio que  en las  mismas  se  fije, previo acuerdo del </w:t>
      </w:r>
      <w:r>
        <w:rPr>
          <w:spacing w:val="-3"/>
          <w:sz w:val="15"/>
        </w:rPr>
        <w:t>Tesorero</w:t>
      </w:r>
      <w:r>
        <w:rPr>
          <w:spacing w:val="3"/>
          <w:sz w:val="15"/>
        </w:rPr>
        <w:t> </w:t>
      </w:r>
      <w:r>
        <w:rPr>
          <w:sz w:val="15"/>
        </w:rPr>
        <w:t>Municipal;</w:t>
      </w:r>
    </w:p>
    <w:p>
      <w:pPr>
        <w:pStyle w:val="BodyText"/>
        <w:rPr>
          <w:sz w:val="17"/>
        </w:rPr>
      </w:pPr>
    </w:p>
    <w:p>
      <w:pPr>
        <w:pStyle w:val="ListParagraph"/>
        <w:numPr>
          <w:ilvl w:val="0"/>
          <w:numId w:val="184"/>
        </w:numPr>
        <w:tabs>
          <w:tab w:pos="723" w:val="left" w:leader="none"/>
        </w:tabs>
        <w:spacing w:line="240" w:lineRule="auto" w:before="1" w:after="0"/>
        <w:ind w:left="722" w:right="0" w:hanging="175"/>
        <w:jc w:val="left"/>
        <w:rPr>
          <w:sz w:val="15"/>
        </w:rPr>
      </w:pPr>
      <w:r>
        <w:rPr>
          <w:sz w:val="15"/>
        </w:rPr>
        <w:t>Por cada Gaceta</w:t>
      </w:r>
      <w:r>
        <w:rPr>
          <w:spacing w:val="3"/>
          <w:sz w:val="15"/>
        </w:rPr>
        <w:t> </w:t>
      </w:r>
      <w:r>
        <w:rPr>
          <w:sz w:val="15"/>
        </w:rPr>
        <w:t>Municipal:</w:t>
      </w:r>
    </w:p>
    <w:p>
      <w:pPr>
        <w:pStyle w:val="BodyText"/>
        <w:spacing w:before="1"/>
        <w:rPr>
          <w:sz w:val="19"/>
        </w:rPr>
      </w:pPr>
    </w:p>
    <w:p>
      <w:pPr>
        <w:pStyle w:val="ListParagraph"/>
        <w:numPr>
          <w:ilvl w:val="0"/>
          <w:numId w:val="185"/>
        </w:numPr>
        <w:tabs>
          <w:tab w:pos="728" w:val="left" w:leader="none"/>
          <w:tab w:pos="5032" w:val="left" w:leader="none"/>
        </w:tabs>
        <w:spacing w:line="240" w:lineRule="auto" w:before="1" w:after="0"/>
        <w:ind w:left="727" w:right="0" w:hanging="180"/>
        <w:jc w:val="left"/>
        <w:rPr>
          <w:sz w:val="15"/>
        </w:rPr>
      </w:pPr>
      <w:r>
        <w:rPr>
          <w:sz w:val="15"/>
        </w:rPr>
        <w:t>Hasta</w:t>
      </w:r>
      <w:r>
        <w:rPr>
          <w:spacing w:val="10"/>
          <w:sz w:val="15"/>
        </w:rPr>
        <w:t> </w:t>
      </w:r>
      <w:r>
        <w:rPr>
          <w:sz w:val="15"/>
        </w:rPr>
        <w:t>50</w:t>
      </w:r>
      <w:r>
        <w:rPr>
          <w:spacing w:val="11"/>
          <w:sz w:val="15"/>
        </w:rPr>
        <w:t> </w:t>
      </w:r>
      <w:r>
        <w:rPr>
          <w:sz w:val="15"/>
        </w:rPr>
        <w:t>hojas:</w:t>
        <w:tab/>
        <w:t>$105.00</w:t>
      </w:r>
    </w:p>
    <w:p>
      <w:pPr>
        <w:pStyle w:val="ListParagraph"/>
        <w:numPr>
          <w:ilvl w:val="0"/>
          <w:numId w:val="185"/>
        </w:numPr>
        <w:tabs>
          <w:tab w:pos="728" w:val="left" w:leader="none"/>
          <w:tab w:pos="5033" w:val="left" w:leader="none"/>
        </w:tabs>
        <w:spacing w:line="240" w:lineRule="auto" w:before="44" w:after="0"/>
        <w:ind w:left="727" w:right="0" w:hanging="180"/>
        <w:jc w:val="left"/>
        <w:rPr>
          <w:sz w:val="15"/>
        </w:rPr>
      </w:pPr>
      <w:r>
        <w:rPr>
          <w:sz w:val="15"/>
        </w:rPr>
        <w:t>Más de</w:t>
      </w:r>
      <w:r>
        <w:rPr>
          <w:spacing w:val="18"/>
          <w:sz w:val="15"/>
        </w:rPr>
        <w:t> </w:t>
      </w:r>
      <w:r>
        <w:rPr>
          <w:sz w:val="15"/>
        </w:rPr>
        <w:t>50</w:t>
      </w:r>
      <w:r>
        <w:rPr>
          <w:spacing w:val="10"/>
          <w:sz w:val="15"/>
        </w:rPr>
        <w:t> </w:t>
      </w:r>
      <w:r>
        <w:rPr>
          <w:sz w:val="15"/>
        </w:rPr>
        <w:t>hojas:</w:t>
        <w:tab/>
        <w:t>$232.00</w:t>
      </w:r>
    </w:p>
    <w:p>
      <w:pPr>
        <w:pStyle w:val="ListParagraph"/>
        <w:numPr>
          <w:ilvl w:val="0"/>
          <w:numId w:val="185"/>
        </w:numPr>
        <w:tabs>
          <w:tab w:pos="720" w:val="left" w:leader="none"/>
          <w:tab w:pos="5034" w:val="left" w:leader="none"/>
        </w:tabs>
        <w:spacing w:line="240" w:lineRule="auto" w:before="43" w:after="0"/>
        <w:ind w:left="719" w:right="0" w:hanging="172"/>
        <w:jc w:val="left"/>
        <w:rPr>
          <w:sz w:val="15"/>
        </w:rPr>
      </w:pPr>
      <w:r>
        <w:rPr>
          <w:sz w:val="15"/>
        </w:rPr>
        <w:t>Con</w:t>
      </w:r>
      <w:r>
        <w:rPr>
          <w:spacing w:val="20"/>
          <w:sz w:val="15"/>
        </w:rPr>
        <w:t> </w:t>
      </w:r>
      <w:r>
        <w:rPr>
          <w:sz w:val="15"/>
        </w:rPr>
        <w:t>Planos:</w:t>
        <w:tab/>
        <w:t>$463.00</w:t>
      </w:r>
    </w:p>
    <w:p>
      <w:pPr>
        <w:pStyle w:val="BodyText"/>
        <w:spacing w:before="3"/>
        <w:rPr>
          <w:sz w:val="19"/>
        </w:rPr>
      </w:pPr>
    </w:p>
    <w:p>
      <w:pPr>
        <w:pStyle w:val="ListParagraph"/>
        <w:numPr>
          <w:ilvl w:val="0"/>
          <w:numId w:val="184"/>
        </w:numPr>
        <w:tabs>
          <w:tab w:pos="878" w:val="left" w:leader="none"/>
        </w:tabs>
        <w:spacing w:line="244" w:lineRule="auto" w:before="0" w:after="0"/>
        <w:ind w:left="150" w:right="3722" w:firstLine="397"/>
        <w:jc w:val="both"/>
        <w:rPr>
          <w:sz w:val="15"/>
        </w:rPr>
      </w:pPr>
      <w:r>
        <w:rPr>
          <w:sz w:val="15"/>
        </w:rPr>
        <w:t>La Información por medios magnéticos de la administración municipal, requerida por particulares, el costo será:</w:t>
      </w:r>
    </w:p>
    <w:p>
      <w:pPr>
        <w:spacing w:after="0" w:line="244" w:lineRule="auto"/>
        <w:jc w:val="both"/>
        <w:rPr>
          <w:sz w:val="15"/>
        </w:rPr>
        <w:sectPr>
          <w:type w:val="continuous"/>
          <w:pgSz w:w="23250" w:h="15310" w:orient="landscape"/>
          <w:pgMar w:top="0" w:bottom="0" w:left="1880" w:right="1520"/>
          <w:cols w:num="2" w:equalWidth="0">
            <w:col w:w="5531" w:space="6091"/>
            <w:col w:w="8228"/>
          </w:cols>
        </w:sectPr>
      </w:pPr>
    </w:p>
    <w:p>
      <w:pPr>
        <w:pStyle w:val="BodyText"/>
        <w:spacing w:before="5" w:after="1"/>
        <w:rPr>
          <w:sz w:val="16"/>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83"/>
        <w:gridCol w:w="4022"/>
        <w:gridCol w:w="6515"/>
        <w:gridCol w:w="1547"/>
      </w:tblGrid>
      <w:tr>
        <w:trPr>
          <w:trHeight w:val="194" w:hRule="atLeast"/>
        </w:trPr>
        <w:tc>
          <w:tcPr>
            <w:tcW w:w="4583" w:type="dxa"/>
          </w:tcPr>
          <w:p>
            <w:pPr>
              <w:pStyle w:val="TableParagraph"/>
              <w:spacing w:line="162" w:lineRule="exact" w:before="12"/>
              <w:ind w:left="50"/>
              <w:rPr>
                <w:sz w:val="15"/>
              </w:rPr>
            </w:pPr>
            <w:r>
              <w:rPr>
                <w:sz w:val="15"/>
              </w:rPr>
              <w:t>III. Calcomanías, credenciales, placas, escudos y otros medios de</w:t>
            </w:r>
          </w:p>
        </w:tc>
        <w:tc>
          <w:tcPr>
            <w:tcW w:w="4022" w:type="dxa"/>
          </w:tcPr>
          <w:p>
            <w:pPr>
              <w:pStyle w:val="TableParagraph"/>
              <w:spacing w:line="162" w:lineRule="exact" w:before="12"/>
              <w:ind w:left="21"/>
              <w:rPr>
                <w:sz w:val="15"/>
              </w:rPr>
            </w:pPr>
            <w:r>
              <w:rPr>
                <w:sz w:val="15"/>
              </w:rPr>
              <w:t>identificación:</w:t>
            </w:r>
          </w:p>
        </w:tc>
        <w:tc>
          <w:tcPr>
            <w:tcW w:w="6515" w:type="dxa"/>
          </w:tcPr>
          <w:p>
            <w:pPr>
              <w:pStyle w:val="TableParagraph"/>
              <w:spacing w:line="162" w:lineRule="exact" w:before="12"/>
              <w:ind w:left="3067"/>
              <w:rPr>
                <w:sz w:val="15"/>
              </w:rPr>
            </w:pPr>
            <w:r>
              <w:rPr>
                <w:sz w:val="15"/>
              </w:rPr>
              <w:t>a) Por cada CD:</w:t>
            </w:r>
          </w:p>
        </w:tc>
        <w:tc>
          <w:tcPr>
            <w:tcW w:w="1547" w:type="dxa"/>
          </w:tcPr>
          <w:p>
            <w:pPr>
              <w:pStyle w:val="TableParagraph"/>
              <w:spacing w:line="162" w:lineRule="exact" w:before="12"/>
              <w:ind w:right="50"/>
              <w:jc w:val="right"/>
              <w:rPr>
                <w:sz w:val="15"/>
              </w:rPr>
            </w:pPr>
            <w:r>
              <w:rPr>
                <w:sz w:val="15"/>
              </w:rPr>
              <w:t>$24.00</w:t>
            </w:r>
          </w:p>
        </w:tc>
      </w:tr>
      <w:tr>
        <w:trPr>
          <w:trHeight w:val="373" w:hRule="atLeast"/>
        </w:trPr>
        <w:tc>
          <w:tcPr>
            <w:tcW w:w="4583" w:type="dxa"/>
          </w:tcPr>
          <w:p>
            <w:pPr>
              <w:pStyle w:val="TableParagraph"/>
              <w:spacing w:before="7"/>
              <w:rPr>
                <w:sz w:val="16"/>
              </w:rPr>
            </w:pPr>
          </w:p>
          <w:p>
            <w:pPr>
              <w:pStyle w:val="TableParagraph"/>
              <w:spacing w:line="162" w:lineRule="exact"/>
              <w:ind w:left="50"/>
              <w:rPr>
                <w:sz w:val="15"/>
              </w:rPr>
            </w:pPr>
            <w:r>
              <w:rPr>
                <w:sz w:val="15"/>
              </w:rPr>
              <w:t>a) Calcomanías, cada una:</w:t>
            </w:r>
          </w:p>
        </w:tc>
        <w:tc>
          <w:tcPr>
            <w:tcW w:w="4022" w:type="dxa"/>
          </w:tcPr>
          <w:p>
            <w:pPr>
              <w:pStyle w:val="TableParagraph"/>
              <w:spacing w:before="7"/>
              <w:rPr>
                <w:sz w:val="16"/>
              </w:rPr>
            </w:pPr>
          </w:p>
          <w:p>
            <w:pPr>
              <w:pStyle w:val="TableParagraph"/>
              <w:spacing w:line="162" w:lineRule="exact"/>
              <w:ind w:left="37"/>
              <w:rPr>
                <w:sz w:val="15"/>
              </w:rPr>
            </w:pPr>
            <w:r>
              <w:rPr>
                <w:sz w:val="15"/>
              </w:rPr>
              <w:t>$32.00</w:t>
            </w:r>
          </w:p>
        </w:tc>
        <w:tc>
          <w:tcPr>
            <w:tcW w:w="6515" w:type="dxa"/>
          </w:tcPr>
          <w:p>
            <w:pPr>
              <w:pStyle w:val="TableParagraph"/>
              <w:spacing w:before="34"/>
              <w:ind w:left="3067"/>
              <w:rPr>
                <w:sz w:val="15"/>
              </w:rPr>
            </w:pPr>
            <w:r>
              <w:rPr>
                <w:sz w:val="15"/>
              </w:rPr>
              <w:t>b) Por cada disquete:</w:t>
            </w:r>
          </w:p>
        </w:tc>
        <w:tc>
          <w:tcPr>
            <w:tcW w:w="1547" w:type="dxa"/>
          </w:tcPr>
          <w:p>
            <w:pPr>
              <w:pStyle w:val="TableParagraph"/>
              <w:spacing w:before="34"/>
              <w:ind w:right="50"/>
              <w:jc w:val="right"/>
              <w:rPr>
                <w:sz w:val="15"/>
              </w:rPr>
            </w:pPr>
            <w:r>
              <w:rPr>
                <w:sz w:val="15"/>
              </w:rPr>
              <w:t>$24.00</w:t>
            </w:r>
          </w:p>
        </w:tc>
      </w:tr>
      <w:tr>
        <w:trPr>
          <w:trHeight w:val="226" w:hRule="atLeast"/>
        </w:trPr>
        <w:tc>
          <w:tcPr>
            <w:tcW w:w="4583" w:type="dxa"/>
          </w:tcPr>
          <w:p>
            <w:pPr>
              <w:pStyle w:val="TableParagraph"/>
              <w:spacing w:line="172" w:lineRule="exact" w:before="34"/>
              <w:ind w:left="50"/>
              <w:rPr>
                <w:sz w:val="15"/>
              </w:rPr>
            </w:pPr>
            <w:r>
              <w:rPr>
                <w:sz w:val="15"/>
              </w:rPr>
              <w:t>b) Escudos, cada uno:</w:t>
            </w:r>
          </w:p>
        </w:tc>
        <w:tc>
          <w:tcPr>
            <w:tcW w:w="4022" w:type="dxa"/>
          </w:tcPr>
          <w:p>
            <w:pPr>
              <w:pStyle w:val="TableParagraph"/>
              <w:spacing w:line="172" w:lineRule="exact" w:before="34"/>
              <w:ind w:left="37"/>
              <w:rPr>
                <w:sz w:val="15"/>
              </w:rPr>
            </w:pPr>
            <w:r>
              <w:rPr>
                <w:sz w:val="15"/>
              </w:rPr>
              <w:t>$80.00</w:t>
            </w:r>
          </w:p>
        </w:tc>
        <w:tc>
          <w:tcPr>
            <w:tcW w:w="6515" w:type="dxa"/>
          </w:tcPr>
          <w:p>
            <w:pPr>
              <w:pStyle w:val="TableParagraph"/>
              <w:spacing w:line="152" w:lineRule="exact" w:before="54"/>
              <w:ind w:left="3067"/>
              <w:rPr>
                <w:sz w:val="15"/>
              </w:rPr>
            </w:pPr>
            <w:r>
              <w:rPr>
                <w:sz w:val="15"/>
              </w:rPr>
              <w:t>VII. Placas de identificación animal.</w:t>
            </w:r>
          </w:p>
        </w:tc>
        <w:tc>
          <w:tcPr>
            <w:tcW w:w="1547" w:type="dxa"/>
          </w:tcPr>
          <w:p>
            <w:pPr>
              <w:pStyle w:val="TableParagraph"/>
              <w:spacing w:line="152" w:lineRule="exact" w:before="54"/>
              <w:ind w:right="50"/>
              <w:jc w:val="right"/>
              <w:rPr>
                <w:sz w:val="15"/>
              </w:rPr>
            </w:pPr>
            <w:r>
              <w:rPr>
                <w:sz w:val="15"/>
              </w:rPr>
              <w:t>$67.00</w:t>
            </w:r>
          </w:p>
        </w:tc>
      </w:tr>
      <w:tr>
        <w:trPr>
          <w:trHeight w:val="196" w:hRule="atLeast"/>
        </w:trPr>
        <w:tc>
          <w:tcPr>
            <w:tcW w:w="4583" w:type="dxa"/>
          </w:tcPr>
          <w:p>
            <w:pPr>
              <w:pStyle w:val="TableParagraph"/>
              <w:spacing w:line="152" w:lineRule="exact" w:before="24"/>
              <w:ind w:left="50"/>
              <w:rPr>
                <w:sz w:val="15"/>
              </w:rPr>
            </w:pPr>
            <w:r>
              <w:rPr>
                <w:sz w:val="15"/>
              </w:rPr>
              <w:t>c) Credenciales, cada una:</w:t>
            </w:r>
          </w:p>
        </w:tc>
        <w:tc>
          <w:tcPr>
            <w:tcW w:w="4022" w:type="dxa"/>
          </w:tcPr>
          <w:p>
            <w:pPr>
              <w:pStyle w:val="TableParagraph"/>
              <w:spacing w:line="152" w:lineRule="exact" w:before="24"/>
              <w:ind w:left="37"/>
              <w:rPr>
                <w:sz w:val="15"/>
              </w:rPr>
            </w:pPr>
            <w:r>
              <w:rPr>
                <w:sz w:val="15"/>
              </w:rPr>
              <w:t>$30.00</w:t>
            </w:r>
          </w:p>
        </w:tc>
        <w:tc>
          <w:tcPr>
            <w:tcW w:w="6515" w:type="dxa"/>
          </w:tcPr>
          <w:p>
            <w:pPr>
              <w:pStyle w:val="TableParagraph"/>
              <w:rPr>
                <w:rFonts w:ascii="Times New Roman"/>
                <w:sz w:val="12"/>
              </w:rPr>
            </w:pPr>
          </w:p>
        </w:tc>
        <w:tc>
          <w:tcPr>
            <w:tcW w:w="1547" w:type="dxa"/>
          </w:tcPr>
          <w:p>
            <w:pPr>
              <w:pStyle w:val="TableParagraph"/>
              <w:rPr>
                <w:rFonts w:ascii="Times New Roman"/>
                <w:sz w:val="12"/>
              </w:rPr>
            </w:pPr>
          </w:p>
        </w:tc>
      </w:tr>
      <w:tr>
        <w:trPr>
          <w:trHeight w:val="202" w:hRule="atLeast"/>
        </w:trPr>
        <w:tc>
          <w:tcPr>
            <w:tcW w:w="4583" w:type="dxa"/>
          </w:tcPr>
          <w:p>
            <w:pPr>
              <w:pStyle w:val="TableParagraph"/>
              <w:spacing w:line="140" w:lineRule="exact" w:before="43"/>
              <w:ind w:left="50"/>
              <w:rPr>
                <w:sz w:val="15"/>
              </w:rPr>
            </w:pPr>
            <w:r>
              <w:rPr>
                <w:sz w:val="15"/>
              </w:rPr>
              <w:t>d) Números para casa, cada pieza:</w:t>
            </w:r>
          </w:p>
        </w:tc>
        <w:tc>
          <w:tcPr>
            <w:tcW w:w="4022" w:type="dxa"/>
          </w:tcPr>
          <w:p>
            <w:pPr>
              <w:pStyle w:val="TableParagraph"/>
              <w:spacing w:line="140" w:lineRule="exact" w:before="43"/>
              <w:ind w:left="38"/>
              <w:rPr>
                <w:sz w:val="15"/>
              </w:rPr>
            </w:pPr>
            <w:r>
              <w:rPr>
                <w:sz w:val="15"/>
              </w:rPr>
              <w:t>$62.00</w:t>
            </w:r>
          </w:p>
        </w:tc>
        <w:tc>
          <w:tcPr>
            <w:tcW w:w="6515" w:type="dxa"/>
          </w:tcPr>
          <w:p>
            <w:pPr>
              <w:pStyle w:val="TableParagraph"/>
              <w:spacing w:line="158" w:lineRule="exact" w:before="25"/>
              <w:ind w:left="3067"/>
              <w:rPr>
                <w:sz w:val="15"/>
              </w:rPr>
            </w:pPr>
            <w:r>
              <w:rPr>
                <w:sz w:val="15"/>
              </w:rPr>
              <w:t>VIII. Otros formatos:</w:t>
            </w:r>
          </w:p>
        </w:tc>
        <w:tc>
          <w:tcPr>
            <w:tcW w:w="1547" w:type="dxa"/>
          </w:tcPr>
          <w:p>
            <w:pPr>
              <w:pStyle w:val="TableParagraph"/>
              <w:rPr>
                <w:rFonts w:ascii="Times New Roman"/>
                <w:sz w:val="14"/>
              </w:rPr>
            </w:pPr>
          </w:p>
        </w:tc>
      </w:tr>
    </w:tbl>
    <w:p>
      <w:pPr>
        <w:spacing w:after="0"/>
        <w:rPr>
          <w:rFonts w:ascii="Times New Roman"/>
          <w:sz w:val="14"/>
        </w:rPr>
        <w:sectPr>
          <w:type w:val="continuous"/>
          <w:pgSz w:w="23250" w:h="15310" w:orient="landscape"/>
          <w:pgMar w:top="0" w:bottom="0" w:left="1880" w:right="1520"/>
        </w:sectPr>
      </w:pPr>
    </w:p>
    <w:p>
      <w:pPr>
        <w:pStyle w:val="ListParagraph"/>
        <w:numPr>
          <w:ilvl w:val="0"/>
          <w:numId w:val="186"/>
        </w:numPr>
        <w:tabs>
          <w:tab w:pos="728" w:val="left" w:leader="none"/>
          <w:tab w:pos="5203" w:val="left" w:leader="none"/>
        </w:tabs>
        <w:spacing w:line="240" w:lineRule="auto" w:before="57" w:after="0"/>
        <w:ind w:left="727" w:right="0" w:hanging="181"/>
        <w:jc w:val="left"/>
        <w:rPr>
          <w:sz w:val="15"/>
        </w:rPr>
      </w:pPr>
      <w:r>
        <w:rPr>
          <w:sz w:val="15"/>
        </w:rPr>
        <w:t>Copias fotostáticas simples </w:t>
      </w:r>
      <w:r>
        <w:rPr>
          <w:spacing w:val="1"/>
          <w:sz w:val="15"/>
        </w:rPr>
        <w:t> </w:t>
      </w:r>
      <w:r>
        <w:rPr>
          <w:sz w:val="15"/>
        </w:rPr>
        <w:t>cada</w:t>
      </w:r>
      <w:r>
        <w:rPr>
          <w:spacing w:val="13"/>
          <w:sz w:val="15"/>
        </w:rPr>
        <w:t> </w:t>
      </w:r>
      <w:r>
        <w:rPr>
          <w:sz w:val="15"/>
        </w:rPr>
        <w:t>una:</w:t>
        <w:tab/>
        <w:t>$8.00</w:t>
      </w:r>
    </w:p>
    <w:p>
      <w:pPr>
        <w:pStyle w:val="ListParagraph"/>
        <w:numPr>
          <w:ilvl w:val="0"/>
          <w:numId w:val="186"/>
        </w:numPr>
        <w:tabs>
          <w:tab w:pos="701" w:val="left" w:leader="none"/>
        </w:tabs>
        <w:spacing w:line="240" w:lineRule="auto" w:before="43" w:after="0"/>
        <w:ind w:left="700" w:right="0" w:hanging="154"/>
        <w:jc w:val="left"/>
        <w:rPr>
          <w:sz w:val="15"/>
        </w:rPr>
      </w:pPr>
      <w:r>
        <w:rPr>
          <w:sz w:val="15"/>
        </w:rPr>
        <w:t>Copias</w:t>
      </w:r>
      <w:r>
        <w:rPr>
          <w:spacing w:val="19"/>
          <w:sz w:val="15"/>
        </w:rPr>
        <w:t> </w:t>
      </w:r>
      <w:r>
        <w:rPr>
          <w:sz w:val="15"/>
        </w:rPr>
        <w:t>en</w:t>
      </w:r>
      <w:r>
        <w:rPr>
          <w:spacing w:val="19"/>
          <w:sz w:val="15"/>
        </w:rPr>
        <w:t> </w:t>
      </w:r>
      <w:r>
        <w:rPr>
          <w:sz w:val="15"/>
        </w:rPr>
        <w:t>búsqueda</w:t>
      </w:r>
      <w:r>
        <w:rPr>
          <w:spacing w:val="18"/>
          <w:sz w:val="15"/>
        </w:rPr>
        <w:t> </w:t>
      </w:r>
      <w:r>
        <w:rPr>
          <w:sz w:val="15"/>
        </w:rPr>
        <w:t>de</w:t>
      </w:r>
      <w:r>
        <w:rPr>
          <w:spacing w:val="19"/>
          <w:sz w:val="15"/>
        </w:rPr>
        <w:t> </w:t>
      </w:r>
      <w:r>
        <w:rPr>
          <w:sz w:val="15"/>
        </w:rPr>
        <w:t>documentos</w:t>
      </w:r>
      <w:r>
        <w:rPr>
          <w:spacing w:val="19"/>
          <w:sz w:val="15"/>
        </w:rPr>
        <w:t> </w:t>
      </w:r>
      <w:r>
        <w:rPr>
          <w:sz w:val="15"/>
        </w:rPr>
        <w:t>oficiales,</w:t>
      </w:r>
      <w:r>
        <w:rPr>
          <w:spacing w:val="19"/>
          <w:sz w:val="15"/>
        </w:rPr>
        <w:t> </w:t>
      </w:r>
      <w:r>
        <w:rPr>
          <w:sz w:val="15"/>
        </w:rPr>
        <w:t>por</w:t>
      </w:r>
      <w:r>
        <w:rPr>
          <w:spacing w:val="20"/>
          <w:sz w:val="15"/>
        </w:rPr>
        <w:t> </w:t>
      </w:r>
      <w:r>
        <w:rPr>
          <w:sz w:val="15"/>
        </w:rPr>
        <w:t>cada</w:t>
      </w:r>
    </w:p>
    <w:p>
      <w:pPr>
        <w:pStyle w:val="BodyText"/>
        <w:spacing w:line="247" w:lineRule="auto"/>
        <w:ind w:left="799" w:hanging="252"/>
      </w:pPr>
      <w:r>
        <w:rPr/>
        <w:br w:type="column"/>
      </w:r>
      <w:r>
        <w:rPr/>
        <w:t>a) Por formato de orden de sacrificio del rastro, por cada uno</w:t>
      </w:r>
    </w:p>
    <w:p>
      <w:pPr>
        <w:pStyle w:val="BodyText"/>
        <w:spacing w:line="171" w:lineRule="exact"/>
        <w:ind w:left="480"/>
      </w:pPr>
      <w:r>
        <w:rPr/>
        <w:br w:type="column"/>
      </w:r>
      <w:r>
        <w:rPr/>
        <w:t>$30.00</w:t>
      </w:r>
    </w:p>
    <w:p>
      <w:pPr>
        <w:spacing w:after="0" w:line="171" w:lineRule="exact"/>
        <w:sectPr>
          <w:type w:val="continuous"/>
          <w:pgSz w:w="23250" w:h="15310" w:orient="landscape"/>
          <w:pgMar w:top="0" w:bottom="0" w:left="1880" w:right="1520"/>
          <w:cols w:num="3" w:equalWidth="0">
            <w:col w:w="5629" w:space="5993"/>
            <w:col w:w="4498" w:space="40"/>
            <w:col w:w="3690"/>
          </w:cols>
        </w:sectPr>
      </w:pPr>
    </w:p>
    <w:p>
      <w:pPr>
        <w:pStyle w:val="BodyText"/>
        <w:rPr>
          <w:sz w:val="20"/>
        </w:rPr>
      </w:pPr>
    </w:p>
    <w:p>
      <w:pPr>
        <w:pStyle w:val="BodyText"/>
        <w:spacing w:before="6"/>
        <w:rPr>
          <w:sz w:val="29"/>
        </w:rPr>
      </w:pPr>
    </w:p>
    <w:p>
      <w:pPr>
        <w:spacing w:after="0"/>
        <w:rPr>
          <w:sz w:val="29"/>
        </w:rPr>
        <w:sectPr>
          <w:headerReference w:type="default" r:id="rId111"/>
          <w:pgSz w:w="23250" w:h="15310" w:orient="landscape"/>
          <w:pgMar w:header="881" w:footer="499" w:top="1920" w:bottom="680" w:left="1880" w:right="1520"/>
        </w:sectPr>
      </w:pPr>
    </w:p>
    <w:p>
      <w:pPr>
        <w:pStyle w:val="BodyText"/>
        <w:rPr>
          <w:sz w:val="16"/>
        </w:rPr>
      </w:pPr>
    </w:p>
    <w:p>
      <w:pPr>
        <w:pStyle w:val="BodyText"/>
        <w:spacing w:line="247" w:lineRule="auto" w:before="112"/>
        <w:ind w:left="150" w:firstLine="377"/>
      </w:pPr>
      <w:r>
        <w:rPr/>
        <w:t>IX. Bases de concurso o licitación de acuerdo a lo establecido en la convocatoria:</w:t>
      </w:r>
    </w:p>
    <w:p>
      <w:pPr>
        <w:pStyle w:val="BodyText"/>
        <w:rPr>
          <w:sz w:val="16"/>
        </w:rPr>
      </w:pPr>
      <w:r>
        <w:rPr/>
        <w:br w:type="column"/>
      </w:r>
      <w:r>
        <w:rPr>
          <w:sz w:val="16"/>
        </w:rPr>
      </w:r>
    </w:p>
    <w:p>
      <w:pPr>
        <w:pStyle w:val="BodyText"/>
        <w:spacing w:before="112"/>
        <w:ind w:left="236"/>
      </w:pPr>
      <w:r>
        <w:rPr/>
        <w:t>$300.00</w:t>
      </w:r>
      <w:r>
        <w:rPr>
          <w:spacing w:val="16"/>
        </w:rPr>
        <w:t> </w:t>
      </w:r>
      <w:r>
        <w:rPr/>
        <w:t>a</w:t>
      </w:r>
    </w:p>
    <w:p>
      <w:pPr>
        <w:pStyle w:val="BodyText"/>
        <w:spacing w:before="5"/>
        <w:ind w:left="150"/>
      </w:pPr>
      <w:r>
        <w:rPr/>
        <w:t>$10,000.00</w:t>
      </w:r>
    </w:p>
    <w:p>
      <w:pPr>
        <w:pStyle w:val="BodyText"/>
        <w:spacing w:before="99"/>
        <w:ind w:left="150"/>
      </w:pPr>
      <w:r>
        <w:rPr/>
        <w:br w:type="column"/>
      </w:r>
      <w:r>
        <w:rPr/>
        <w:t>Las primeras veinte copias simples sobre cada solicitud de información serán sin costo alguno.</w:t>
      </w:r>
    </w:p>
    <w:p>
      <w:pPr>
        <w:pStyle w:val="BodyText"/>
        <w:spacing w:before="9"/>
      </w:pPr>
    </w:p>
    <w:p>
      <w:pPr>
        <w:pStyle w:val="BodyText"/>
        <w:spacing w:line="244" w:lineRule="auto" w:before="1"/>
        <w:ind w:left="150" w:right="748"/>
      </w:pPr>
      <w:r>
        <w:rPr/>
        <w:t>Los ajustes razonables que realice el sujeto obligado para el acceso a la  información  de  solicitantes  con alguna discapacidad no tendrán costo</w:t>
      </w:r>
      <w:r>
        <w:rPr>
          <w:spacing w:val="7"/>
        </w:rPr>
        <w:t> </w:t>
      </w:r>
      <w:r>
        <w:rPr/>
        <w:t>alguno.</w:t>
      </w:r>
    </w:p>
    <w:p>
      <w:pPr>
        <w:spacing w:after="0" w:line="244" w:lineRule="auto"/>
        <w:sectPr>
          <w:type w:val="continuous"/>
          <w:pgSz w:w="23250" w:h="15310" w:orient="landscape"/>
          <w:pgMar w:top="0" w:bottom="0" w:left="1880" w:right="1520"/>
          <w:cols w:num="3" w:equalWidth="0">
            <w:col w:w="4498" w:space="70"/>
            <w:col w:w="962" w:space="6092"/>
            <w:col w:w="8228"/>
          </w:cols>
        </w:sectPr>
      </w:pPr>
    </w:p>
    <w:p>
      <w:pPr>
        <w:pStyle w:val="BodyText"/>
        <w:spacing w:line="247" w:lineRule="auto" w:before="41"/>
        <w:ind w:left="150" w:right="199" w:firstLine="397"/>
      </w:pPr>
      <w:r>
        <w:rPr>
          <w:b/>
        </w:rPr>
        <w:t>Artículo 134.- </w:t>
      </w:r>
      <w:r>
        <w:rPr/>
        <w:t>Además de los productos señalados en el artículo anterior, el Municipio percibirá los ingresos provenientes de los siguientes</w:t>
      </w:r>
      <w:r>
        <w:rPr>
          <w:spacing w:val="8"/>
        </w:rPr>
        <w:t> </w:t>
      </w:r>
      <w:r>
        <w:rPr/>
        <w:t>conceptos:</w:t>
      </w:r>
    </w:p>
    <w:p>
      <w:pPr>
        <w:pStyle w:val="BodyText"/>
        <w:spacing w:before="3"/>
      </w:pPr>
    </w:p>
    <w:p>
      <w:pPr>
        <w:pStyle w:val="BodyText"/>
        <w:ind w:right="1355"/>
        <w:jc w:val="right"/>
      </w:pPr>
      <w:r>
        <w:rPr/>
        <w:t>TARIFAS</w:t>
      </w:r>
    </w:p>
    <w:p>
      <w:pPr>
        <w:pStyle w:val="ListParagraph"/>
        <w:numPr>
          <w:ilvl w:val="0"/>
          <w:numId w:val="187"/>
        </w:numPr>
        <w:tabs>
          <w:tab w:pos="681" w:val="left" w:leader="none"/>
        </w:tabs>
        <w:spacing w:line="240" w:lineRule="auto" w:before="25" w:after="0"/>
        <w:ind w:left="680" w:right="0" w:hanging="133"/>
        <w:jc w:val="left"/>
        <w:rPr>
          <w:sz w:val="15"/>
        </w:rPr>
      </w:pPr>
      <w:r>
        <w:rPr>
          <w:sz w:val="15"/>
        </w:rPr>
        <w:t>Depósitos de vehículos, mercancías u otros objetos</w:t>
      </w:r>
      <w:r>
        <w:rPr>
          <w:spacing w:val="35"/>
          <w:sz w:val="15"/>
        </w:rPr>
        <w:t> </w:t>
      </w:r>
      <w:r>
        <w:rPr>
          <w:sz w:val="15"/>
        </w:rPr>
        <w:t>por</w:t>
      </w:r>
    </w:p>
    <w:p>
      <w:pPr>
        <w:pStyle w:val="BodyText"/>
        <w:spacing w:before="6"/>
      </w:pPr>
      <w:r>
        <w:rPr/>
        <w:br w:type="column"/>
      </w:r>
      <w:r>
        <w:rPr/>
      </w:r>
    </w:p>
    <w:p>
      <w:pPr>
        <w:pStyle w:val="BodyText"/>
        <w:ind w:left="150"/>
      </w:pPr>
      <w:r>
        <w:rPr/>
        <w:t>Por consultar, efectuar anotaciones, tomar fotos o videos no se generará costo alguno.</w:t>
      </w:r>
    </w:p>
    <w:p>
      <w:pPr>
        <w:pStyle w:val="BodyText"/>
        <w:spacing w:before="9"/>
      </w:pPr>
    </w:p>
    <w:p>
      <w:pPr>
        <w:pStyle w:val="BodyText"/>
        <w:spacing w:line="247" w:lineRule="auto" w:before="1"/>
        <w:ind w:left="150" w:right="748"/>
      </w:pPr>
      <w:r>
        <w:rPr/>
        <w:t>Los costos generados por envió de información estarán a cargo del solicitante, exceptuándose el  envió  mediante plataformas o medios digitales, lo cual no tendrá costo</w:t>
      </w:r>
      <w:r>
        <w:rPr>
          <w:spacing w:val="23"/>
        </w:rPr>
        <w:t> </w:t>
      </w:r>
      <w:r>
        <w:rPr/>
        <w:t>alguno.</w:t>
      </w:r>
    </w:p>
    <w:p>
      <w:pPr>
        <w:spacing w:after="0" w:line="247" w:lineRule="auto"/>
        <w:sectPr>
          <w:type w:val="continuous"/>
          <w:pgSz w:w="23250" w:h="15310" w:orient="landscape"/>
          <w:pgMar w:top="0" w:bottom="0" w:left="1880" w:right="1520"/>
          <w:cols w:num="2" w:equalWidth="0">
            <w:col w:w="7751" w:space="3871"/>
            <w:col w:w="8228"/>
          </w:cols>
        </w:sectPr>
      </w:pPr>
    </w:p>
    <w:p>
      <w:pPr>
        <w:pStyle w:val="BodyText"/>
        <w:spacing w:before="4"/>
        <w:ind w:left="150"/>
      </w:pPr>
      <w:r>
        <w:rPr/>
        <w:t>día:</w:t>
      </w:r>
    </w:p>
    <w:p>
      <w:pPr>
        <w:pStyle w:val="BodyText"/>
        <w:rPr>
          <w:sz w:val="16"/>
        </w:rPr>
      </w:pPr>
      <w:r>
        <w:rPr/>
        <w:br w:type="column"/>
      </w:r>
      <w:r>
        <w:rPr>
          <w:sz w:val="16"/>
        </w:rPr>
      </w:r>
    </w:p>
    <w:p>
      <w:pPr>
        <w:pStyle w:val="BodyText"/>
        <w:spacing w:before="6"/>
        <w:rPr>
          <w:sz w:val="23"/>
        </w:rPr>
      </w:pPr>
    </w:p>
    <w:p>
      <w:pPr>
        <w:pStyle w:val="ListParagraph"/>
        <w:numPr>
          <w:ilvl w:val="0"/>
          <w:numId w:val="188"/>
        </w:numPr>
        <w:tabs>
          <w:tab w:pos="272" w:val="left" w:leader="none"/>
          <w:tab w:pos="4555" w:val="left" w:leader="none"/>
        </w:tabs>
        <w:spacing w:line="240" w:lineRule="auto" w:before="0" w:after="0"/>
        <w:ind w:left="271" w:right="0" w:hanging="172"/>
        <w:jc w:val="left"/>
        <w:rPr>
          <w:sz w:val="15"/>
        </w:rPr>
      </w:pPr>
      <w:r>
        <w:rPr>
          <w:sz w:val="15"/>
        </w:rPr>
        <w:t>Autobuses, camiones, remolques </w:t>
      </w:r>
      <w:r>
        <w:rPr>
          <w:spacing w:val="10"/>
          <w:sz w:val="15"/>
        </w:rPr>
        <w:t> </w:t>
      </w:r>
      <w:r>
        <w:rPr>
          <w:sz w:val="15"/>
        </w:rPr>
        <w:t>o</w:t>
      </w:r>
      <w:r>
        <w:rPr>
          <w:spacing w:val="17"/>
          <w:sz w:val="15"/>
        </w:rPr>
        <w:t> </w:t>
      </w:r>
      <w:r>
        <w:rPr>
          <w:sz w:val="15"/>
        </w:rPr>
        <w:t>tractores</w:t>
        <w:tab/>
        <w:t>$100.00</w:t>
      </w:r>
    </w:p>
    <w:p>
      <w:pPr>
        <w:pStyle w:val="ListParagraph"/>
        <w:numPr>
          <w:ilvl w:val="0"/>
          <w:numId w:val="188"/>
        </w:numPr>
        <w:tabs>
          <w:tab w:pos="272" w:val="left" w:leader="none"/>
          <w:tab w:pos="4642" w:val="left" w:leader="none"/>
        </w:tabs>
        <w:spacing w:line="240" w:lineRule="auto" w:before="66" w:after="0"/>
        <w:ind w:left="271" w:right="0" w:hanging="172"/>
        <w:jc w:val="left"/>
        <w:rPr>
          <w:sz w:val="15"/>
        </w:rPr>
      </w:pPr>
      <w:r>
        <w:rPr>
          <w:sz w:val="15"/>
        </w:rPr>
        <w:t>Automóviles</w:t>
      </w:r>
      <w:r>
        <w:rPr>
          <w:spacing w:val="18"/>
          <w:sz w:val="15"/>
        </w:rPr>
        <w:t> </w:t>
      </w:r>
      <w:r>
        <w:rPr>
          <w:sz w:val="15"/>
        </w:rPr>
        <w:t>o</w:t>
      </w:r>
      <w:r>
        <w:rPr>
          <w:spacing w:val="18"/>
          <w:sz w:val="15"/>
        </w:rPr>
        <w:t> </w:t>
      </w:r>
      <w:r>
        <w:rPr>
          <w:sz w:val="15"/>
        </w:rPr>
        <w:t>camionetas:</w:t>
        <w:tab/>
        <w:t>$78.00</w:t>
      </w:r>
    </w:p>
    <w:p>
      <w:pPr>
        <w:pStyle w:val="ListParagraph"/>
        <w:numPr>
          <w:ilvl w:val="0"/>
          <w:numId w:val="188"/>
        </w:numPr>
        <w:tabs>
          <w:tab w:pos="272" w:val="left" w:leader="none"/>
          <w:tab w:pos="4642" w:val="left" w:leader="none"/>
        </w:tabs>
        <w:spacing w:line="240" w:lineRule="auto" w:before="67" w:after="0"/>
        <w:ind w:left="271" w:right="0" w:hanging="172"/>
        <w:jc w:val="left"/>
        <w:rPr>
          <w:sz w:val="15"/>
        </w:rPr>
      </w:pPr>
      <w:r>
        <w:rPr>
          <w:sz w:val="15"/>
        </w:rPr>
        <w:t>Motocicletas, motocarro, cuatrimoto </w:t>
      </w:r>
      <w:r>
        <w:rPr>
          <w:spacing w:val="8"/>
          <w:sz w:val="15"/>
        </w:rPr>
        <w:t> </w:t>
      </w:r>
      <w:r>
        <w:rPr>
          <w:sz w:val="15"/>
        </w:rPr>
        <w:t>o</w:t>
      </w:r>
      <w:r>
        <w:rPr>
          <w:spacing w:val="16"/>
          <w:sz w:val="15"/>
        </w:rPr>
        <w:t> </w:t>
      </w:r>
      <w:r>
        <w:rPr>
          <w:sz w:val="15"/>
        </w:rPr>
        <w:t>triciclo</w:t>
        <w:tab/>
        <w:t>$78.00</w:t>
      </w:r>
    </w:p>
    <w:p>
      <w:pPr>
        <w:pStyle w:val="ListParagraph"/>
        <w:numPr>
          <w:ilvl w:val="0"/>
          <w:numId w:val="188"/>
        </w:numPr>
        <w:tabs>
          <w:tab w:pos="281" w:val="left" w:leader="none"/>
          <w:tab w:pos="4729" w:val="left" w:leader="none"/>
        </w:tabs>
        <w:spacing w:line="240" w:lineRule="auto" w:before="66" w:after="0"/>
        <w:ind w:left="280" w:right="0" w:hanging="181"/>
        <w:jc w:val="left"/>
        <w:rPr>
          <w:sz w:val="15"/>
        </w:rPr>
      </w:pPr>
      <w:r>
        <w:rPr>
          <w:sz w:val="15"/>
        </w:rPr>
        <w:t>Otros:</w:t>
        <w:tab/>
        <w:t>$8.00</w:t>
      </w:r>
    </w:p>
    <w:p>
      <w:pPr>
        <w:pStyle w:val="ListParagraph"/>
        <w:numPr>
          <w:ilvl w:val="0"/>
          <w:numId w:val="188"/>
        </w:numPr>
        <w:tabs>
          <w:tab w:pos="281" w:val="left" w:leader="none"/>
          <w:tab w:pos="4727" w:val="left" w:leader="none"/>
        </w:tabs>
        <w:spacing w:line="240" w:lineRule="auto" w:before="66" w:after="0"/>
        <w:ind w:left="280" w:right="0" w:hanging="181"/>
        <w:jc w:val="left"/>
        <w:rPr>
          <w:sz w:val="15"/>
        </w:rPr>
      </w:pPr>
      <w:r>
        <w:rPr>
          <w:sz w:val="15"/>
        </w:rPr>
        <w:t>Otros objetos por</w:t>
      </w:r>
      <w:r>
        <w:rPr>
          <w:spacing w:val="38"/>
          <w:sz w:val="15"/>
        </w:rPr>
        <w:t> </w:t>
      </w:r>
      <w:r>
        <w:rPr>
          <w:sz w:val="15"/>
        </w:rPr>
        <w:t>metro</w:t>
      </w:r>
      <w:r>
        <w:rPr>
          <w:spacing w:val="13"/>
          <w:sz w:val="15"/>
        </w:rPr>
        <w:t> </w:t>
      </w:r>
      <w:r>
        <w:rPr>
          <w:sz w:val="15"/>
        </w:rPr>
        <w:t>cúbico:</w:t>
        <w:tab/>
        <w:t>$8.00</w:t>
      </w:r>
    </w:p>
    <w:p>
      <w:pPr>
        <w:pStyle w:val="BodyText"/>
        <w:spacing w:before="4"/>
        <w:rPr>
          <w:sz w:val="19"/>
        </w:rPr>
      </w:pPr>
    </w:p>
    <w:p>
      <w:pPr>
        <w:pStyle w:val="ListParagraph"/>
        <w:numPr>
          <w:ilvl w:val="0"/>
          <w:numId w:val="187"/>
        </w:numPr>
        <w:tabs>
          <w:tab w:pos="276" w:val="left" w:leader="none"/>
        </w:tabs>
        <w:spacing w:line="240" w:lineRule="auto" w:before="1" w:after="0"/>
        <w:ind w:left="275" w:right="0" w:hanging="176"/>
        <w:jc w:val="left"/>
        <w:rPr>
          <w:sz w:val="15"/>
        </w:rPr>
      </w:pPr>
      <w:r>
        <w:rPr>
          <w:sz w:val="15"/>
        </w:rPr>
        <w:t>La</w:t>
      </w:r>
      <w:r>
        <w:rPr>
          <w:spacing w:val="12"/>
          <w:sz w:val="15"/>
        </w:rPr>
        <w:t> </w:t>
      </w:r>
      <w:r>
        <w:rPr>
          <w:sz w:val="15"/>
        </w:rPr>
        <w:t>explotación</w:t>
      </w:r>
      <w:r>
        <w:rPr>
          <w:spacing w:val="13"/>
          <w:sz w:val="15"/>
        </w:rPr>
        <w:t> </w:t>
      </w:r>
      <w:r>
        <w:rPr>
          <w:sz w:val="15"/>
        </w:rPr>
        <w:t>de</w:t>
      </w:r>
      <w:r>
        <w:rPr>
          <w:spacing w:val="13"/>
          <w:sz w:val="15"/>
        </w:rPr>
        <w:t> </w:t>
      </w:r>
      <w:r>
        <w:rPr>
          <w:sz w:val="15"/>
        </w:rPr>
        <w:t>tierra</w:t>
      </w:r>
      <w:r>
        <w:rPr>
          <w:spacing w:val="12"/>
          <w:sz w:val="15"/>
        </w:rPr>
        <w:t> </w:t>
      </w:r>
      <w:r>
        <w:rPr>
          <w:sz w:val="15"/>
        </w:rPr>
        <w:t>para</w:t>
      </w:r>
      <w:r>
        <w:rPr>
          <w:spacing w:val="13"/>
          <w:sz w:val="15"/>
        </w:rPr>
        <w:t> </w:t>
      </w:r>
      <w:r>
        <w:rPr>
          <w:sz w:val="15"/>
        </w:rPr>
        <w:t>fabricación</w:t>
      </w:r>
      <w:r>
        <w:rPr>
          <w:spacing w:val="13"/>
          <w:sz w:val="15"/>
        </w:rPr>
        <w:t> </w:t>
      </w:r>
      <w:r>
        <w:rPr>
          <w:sz w:val="15"/>
        </w:rPr>
        <w:t>de</w:t>
      </w:r>
      <w:r>
        <w:rPr>
          <w:spacing w:val="12"/>
          <w:sz w:val="15"/>
        </w:rPr>
        <w:t> </w:t>
      </w:r>
      <w:r>
        <w:rPr>
          <w:sz w:val="15"/>
        </w:rPr>
        <w:t>adobe,</w:t>
      </w:r>
      <w:r>
        <w:rPr>
          <w:spacing w:val="13"/>
          <w:sz w:val="15"/>
        </w:rPr>
        <w:t> </w:t>
      </w:r>
      <w:r>
        <w:rPr>
          <w:sz w:val="15"/>
        </w:rPr>
        <w:t>teja</w:t>
      </w:r>
      <w:r>
        <w:rPr>
          <w:spacing w:val="13"/>
          <w:sz w:val="15"/>
        </w:rPr>
        <w:t> </w:t>
      </w:r>
      <w:r>
        <w:rPr>
          <w:sz w:val="15"/>
        </w:rPr>
        <w:t>y</w:t>
      </w:r>
      <w:r>
        <w:rPr>
          <w:spacing w:val="14"/>
          <w:sz w:val="15"/>
        </w:rPr>
        <w:t> </w:t>
      </w:r>
      <w:r>
        <w:rPr>
          <w:sz w:val="15"/>
        </w:rPr>
        <w:t>ladrillo,</w:t>
      </w:r>
      <w:r>
        <w:rPr>
          <w:spacing w:val="12"/>
          <w:sz w:val="15"/>
        </w:rPr>
        <w:t> </w:t>
      </w:r>
      <w:r>
        <w:rPr>
          <w:sz w:val="15"/>
        </w:rPr>
        <w:t>en</w:t>
      </w:r>
      <w:r>
        <w:rPr>
          <w:spacing w:val="12"/>
          <w:sz w:val="15"/>
        </w:rPr>
        <w:t> </w:t>
      </w:r>
      <w:r>
        <w:rPr>
          <w:sz w:val="15"/>
        </w:rPr>
        <w:t>terrenos</w:t>
      </w:r>
      <w:r>
        <w:rPr>
          <w:spacing w:val="12"/>
          <w:sz w:val="15"/>
        </w:rPr>
        <w:t> </w:t>
      </w:r>
      <w:r>
        <w:rPr>
          <w:sz w:val="15"/>
        </w:rPr>
        <w:t>propiedad</w:t>
      </w:r>
      <w:r>
        <w:rPr>
          <w:spacing w:val="13"/>
          <w:sz w:val="15"/>
        </w:rPr>
        <w:t> </w:t>
      </w:r>
      <w:r>
        <w:rPr>
          <w:sz w:val="15"/>
        </w:rPr>
        <w:t>del</w:t>
      </w:r>
      <w:r>
        <w:rPr>
          <w:spacing w:val="12"/>
          <w:sz w:val="15"/>
        </w:rPr>
        <w:t> </w:t>
      </w:r>
      <w:r>
        <w:rPr>
          <w:sz w:val="15"/>
        </w:rPr>
        <w:t>Municipio,</w:t>
      </w:r>
    </w:p>
    <w:p>
      <w:pPr>
        <w:pStyle w:val="ListParagraph"/>
        <w:numPr>
          <w:ilvl w:val="1"/>
          <w:numId w:val="187"/>
        </w:numPr>
        <w:tabs>
          <w:tab w:pos="814" w:val="left" w:leader="none"/>
          <w:tab w:pos="2793" w:val="left" w:leader="none"/>
          <w:tab w:pos="5041" w:val="left" w:leader="none"/>
          <w:tab w:pos="7282" w:val="left" w:leader="none"/>
        </w:tabs>
        <w:spacing w:line="247" w:lineRule="auto" w:before="122" w:after="0"/>
        <w:ind w:left="151" w:right="509" w:firstLine="397"/>
        <w:jc w:val="left"/>
        <w:rPr>
          <w:sz w:val="15"/>
        </w:rPr>
      </w:pPr>
      <w:r>
        <w:rPr>
          <w:spacing w:val="-1"/>
          <w:w w:val="102"/>
          <w:sz w:val="15"/>
        </w:rPr>
        <w:br w:type="column"/>
      </w:r>
      <w:r>
        <w:rPr>
          <w:sz w:val="15"/>
        </w:rPr>
        <w:t>Renta de ambulancias en eventos o espectáculos públicos, a solicitud de parte, por cada una, cubriendo</w:t>
        <w:tab/>
        <w:tab/>
        <w:t>sólo</w:t>
        <w:tab/>
        <w:t>seis</w:t>
        <w:tab/>
      </w:r>
      <w:r>
        <w:rPr>
          <w:spacing w:val="-3"/>
          <w:sz w:val="15"/>
        </w:rPr>
        <w:t>horas:</w:t>
      </w:r>
    </w:p>
    <w:p>
      <w:pPr>
        <w:pStyle w:val="BodyText"/>
        <w:spacing w:line="172" w:lineRule="exact"/>
        <w:ind w:left="150"/>
      </w:pPr>
      <w:r>
        <w:rPr/>
        <w:t>$ 2,130.00</w:t>
      </w:r>
    </w:p>
    <w:p>
      <w:pPr>
        <w:pStyle w:val="BodyText"/>
        <w:spacing w:before="9"/>
      </w:pPr>
    </w:p>
    <w:p>
      <w:pPr>
        <w:pStyle w:val="ListParagraph"/>
        <w:numPr>
          <w:ilvl w:val="1"/>
          <w:numId w:val="187"/>
        </w:numPr>
        <w:tabs>
          <w:tab w:pos="738" w:val="left" w:leader="none"/>
          <w:tab w:pos="6179" w:val="left" w:leader="none"/>
        </w:tabs>
        <w:spacing w:line="247" w:lineRule="auto" w:before="0" w:after="0"/>
        <w:ind w:left="150" w:right="510" w:firstLine="397"/>
        <w:jc w:val="left"/>
        <w:rPr>
          <w:sz w:val="15"/>
        </w:rPr>
      </w:pPr>
      <w:r>
        <w:rPr>
          <w:sz w:val="15"/>
        </w:rPr>
        <w:t>Renta de motocicletas de urgencias médicas en eventos o espectáculos públicos, a solicitud de parte, por cada una, cubriendo sólo </w:t>
      </w:r>
      <w:r>
        <w:rPr>
          <w:spacing w:val="9"/>
          <w:sz w:val="15"/>
        </w:rPr>
        <w:t> </w:t>
      </w:r>
      <w:r>
        <w:rPr>
          <w:sz w:val="15"/>
        </w:rPr>
        <w:t>seis</w:t>
      </w:r>
      <w:r>
        <w:rPr>
          <w:spacing w:val="11"/>
          <w:sz w:val="15"/>
        </w:rPr>
        <w:t> </w:t>
      </w:r>
      <w:r>
        <w:rPr>
          <w:sz w:val="15"/>
        </w:rPr>
        <w:t>horas:</w:t>
        <w:tab/>
        <w:t>$709.00</w:t>
      </w:r>
    </w:p>
    <w:p>
      <w:pPr>
        <w:pStyle w:val="BodyText"/>
        <w:spacing w:before="3"/>
      </w:pPr>
    </w:p>
    <w:p>
      <w:pPr>
        <w:pStyle w:val="ListParagraph"/>
        <w:numPr>
          <w:ilvl w:val="1"/>
          <w:numId w:val="187"/>
        </w:numPr>
        <w:tabs>
          <w:tab w:pos="787" w:val="left" w:leader="none"/>
        </w:tabs>
        <w:spacing w:line="240" w:lineRule="auto" w:before="1" w:after="0"/>
        <w:ind w:left="786" w:right="0" w:hanging="239"/>
        <w:jc w:val="left"/>
        <w:rPr>
          <w:sz w:val="15"/>
        </w:rPr>
      </w:pPr>
      <w:r>
        <w:rPr>
          <w:sz w:val="15"/>
        </w:rPr>
        <w:t>Por</w:t>
      </w:r>
      <w:r>
        <w:rPr>
          <w:spacing w:val="12"/>
          <w:sz w:val="15"/>
        </w:rPr>
        <w:t> </w:t>
      </w:r>
      <w:r>
        <w:rPr>
          <w:sz w:val="15"/>
        </w:rPr>
        <w:t>el</w:t>
      </w:r>
      <w:r>
        <w:rPr>
          <w:spacing w:val="13"/>
          <w:sz w:val="15"/>
        </w:rPr>
        <w:t> </w:t>
      </w:r>
      <w:r>
        <w:rPr>
          <w:sz w:val="15"/>
        </w:rPr>
        <w:t>préstamo</w:t>
      </w:r>
      <w:r>
        <w:rPr>
          <w:spacing w:val="13"/>
          <w:sz w:val="15"/>
        </w:rPr>
        <w:t> </w:t>
      </w:r>
      <w:r>
        <w:rPr>
          <w:sz w:val="15"/>
        </w:rPr>
        <w:t>de</w:t>
      </w:r>
      <w:r>
        <w:rPr>
          <w:spacing w:val="13"/>
          <w:sz w:val="15"/>
        </w:rPr>
        <w:t> </w:t>
      </w:r>
      <w:r>
        <w:rPr>
          <w:sz w:val="15"/>
        </w:rPr>
        <w:t>mobiliario</w:t>
      </w:r>
      <w:r>
        <w:rPr>
          <w:spacing w:val="13"/>
          <w:sz w:val="15"/>
        </w:rPr>
        <w:t> </w:t>
      </w:r>
      <w:r>
        <w:rPr>
          <w:sz w:val="15"/>
        </w:rPr>
        <w:t>hasta</w:t>
      </w:r>
      <w:r>
        <w:rPr>
          <w:spacing w:val="13"/>
          <w:sz w:val="15"/>
        </w:rPr>
        <w:t> </w:t>
      </w:r>
      <w:r>
        <w:rPr>
          <w:sz w:val="15"/>
        </w:rPr>
        <w:t>20</w:t>
      </w:r>
      <w:r>
        <w:rPr>
          <w:spacing w:val="13"/>
          <w:sz w:val="15"/>
        </w:rPr>
        <w:t> </w:t>
      </w:r>
      <w:r>
        <w:rPr>
          <w:sz w:val="15"/>
        </w:rPr>
        <w:t>sillas,</w:t>
      </w:r>
      <w:r>
        <w:rPr>
          <w:spacing w:val="13"/>
          <w:sz w:val="15"/>
        </w:rPr>
        <w:t> </w:t>
      </w:r>
      <w:r>
        <w:rPr>
          <w:sz w:val="15"/>
        </w:rPr>
        <w:t>1</w:t>
      </w:r>
      <w:r>
        <w:rPr>
          <w:spacing w:val="13"/>
          <w:sz w:val="15"/>
        </w:rPr>
        <w:t> </w:t>
      </w:r>
      <w:r>
        <w:rPr>
          <w:sz w:val="15"/>
        </w:rPr>
        <w:t>toldo,</w:t>
      </w:r>
      <w:r>
        <w:rPr>
          <w:spacing w:val="13"/>
          <w:sz w:val="15"/>
        </w:rPr>
        <w:t> </w:t>
      </w:r>
      <w:r>
        <w:rPr>
          <w:sz w:val="15"/>
        </w:rPr>
        <w:t>2</w:t>
      </w:r>
      <w:r>
        <w:rPr>
          <w:spacing w:val="13"/>
          <w:sz w:val="15"/>
        </w:rPr>
        <w:t> </w:t>
      </w:r>
      <w:r>
        <w:rPr>
          <w:sz w:val="15"/>
        </w:rPr>
        <w:t>tablones</w:t>
      </w:r>
      <w:r>
        <w:rPr>
          <w:spacing w:val="13"/>
          <w:sz w:val="15"/>
        </w:rPr>
        <w:t> </w:t>
      </w:r>
      <w:r>
        <w:rPr>
          <w:sz w:val="15"/>
        </w:rPr>
        <w:t>y</w:t>
      </w:r>
      <w:r>
        <w:rPr>
          <w:spacing w:val="13"/>
          <w:sz w:val="15"/>
        </w:rPr>
        <w:t> </w:t>
      </w:r>
      <w:r>
        <w:rPr>
          <w:sz w:val="15"/>
        </w:rPr>
        <w:t>2</w:t>
      </w:r>
      <w:r>
        <w:rPr>
          <w:spacing w:val="13"/>
          <w:sz w:val="15"/>
        </w:rPr>
        <w:t> </w:t>
      </w:r>
      <w:r>
        <w:rPr>
          <w:sz w:val="15"/>
        </w:rPr>
        <w:t>manteles,</w:t>
      </w:r>
      <w:r>
        <w:rPr>
          <w:spacing w:val="13"/>
          <w:sz w:val="15"/>
        </w:rPr>
        <w:t> </w:t>
      </w:r>
      <w:r>
        <w:rPr>
          <w:sz w:val="15"/>
        </w:rPr>
        <w:t>por</w:t>
      </w:r>
      <w:r>
        <w:rPr>
          <w:spacing w:val="13"/>
          <w:sz w:val="15"/>
        </w:rPr>
        <w:t> </w:t>
      </w:r>
      <w:r>
        <w:rPr>
          <w:sz w:val="15"/>
        </w:rPr>
        <w:t>evento</w:t>
      </w:r>
      <w:r>
        <w:rPr>
          <w:spacing w:val="13"/>
          <w:sz w:val="15"/>
        </w:rPr>
        <w:t> </w:t>
      </w:r>
      <w:r>
        <w:rPr>
          <w:sz w:val="15"/>
        </w:rPr>
        <w:t>no</w:t>
      </w:r>
      <w:r>
        <w:rPr>
          <w:spacing w:val="13"/>
          <w:sz w:val="15"/>
        </w:rPr>
        <w:t> </w:t>
      </w:r>
      <w:r>
        <w:rPr>
          <w:sz w:val="15"/>
        </w:rPr>
        <w:t>oficial:</w:t>
      </w:r>
    </w:p>
    <w:p>
      <w:pPr>
        <w:pStyle w:val="BodyText"/>
        <w:spacing w:before="4"/>
        <w:ind w:left="151"/>
      </w:pPr>
      <w:r>
        <w:rPr/>
        <w:t>$500.00.</w:t>
      </w:r>
    </w:p>
    <w:p>
      <w:pPr>
        <w:pStyle w:val="BodyText"/>
        <w:spacing w:before="9"/>
      </w:pPr>
    </w:p>
    <w:p>
      <w:pPr>
        <w:pStyle w:val="ListParagraph"/>
        <w:numPr>
          <w:ilvl w:val="1"/>
          <w:numId w:val="187"/>
        </w:numPr>
        <w:tabs>
          <w:tab w:pos="822" w:val="left" w:leader="none"/>
        </w:tabs>
        <w:spacing w:line="91" w:lineRule="exact" w:before="0" w:after="0"/>
        <w:ind w:left="821" w:right="0" w:hanging="274"/>
        <w:jc w:val="left"/>
        <w:rPr>
          <w:sz w:val="15"/>
        </w:rPr>
      </w:pPr>
      <w:r>
        <w:rPr>
          <w:sz w:val="15"/>
        </w:rPr>
        <w:t>Por el préstamo de un estrado, por evento no oficial:</w:t>
      </w:r>
      <w:r>
        <w:rPr>
          <w:spacing w:val="20"/>
          <w:sz w:val="15"/>
        </w:rPr>
        <w:t> </w:t>
      </w:r>
      <w:r>
        <w:rPr>
          <w:sz w:val="15"/>
        </w:rPr>
        <w:t>$2,000.00</w:t>
      </w:r>
    </w:p>
    <w:p>
      <w:pPr>
        <w:spacing w:after="0" w:line="91" w:lineRule="exact"/>
        <w:jc w:val="left"/>
        <w:rPr>
          <w:sz w:val="15"/>
        </w:rPr>
        <w:sectPr>
          <w:type w:val="continuous"/>
          <w:pgSz w:w="23250" w:h="15310" w:orient="landscape"/>
          <w:pgMar w:top="0" w:bottom="0" w:left="1880" w:right="1520"/>
          <w:cols w:num="3" w:equalWidth="0">
            <w:col w:w="408" w:space="40"/>
            <w:col w:w="7302" w:space="3872"/>
            <w:col w:w="8228"/>
          </w:cols>
        </w:sectPr>
      </w:pPr>
    </w:p>
    <w:p>
      <w:pPr>
        <w:pStyle w:val="BodyText"/>
        <w:spacing w:line="247" w:lineRule="auto"/>
        <w:ind w:left="150" w:right="199"/>
      </w:pPr>
      <w:r>
        <w:rPr/>
        <w:t>además de requerir el dictamen de la Dirección General de Protección y Sustentabilidad   Ambiental, causará   un producto del 20% sobre el valor de la</w:t>
      </w:r>
      <w:r>
        <w:rPr>
          <w:spacing w:val="14"/>
        </w:rPr>
        <w:t> </w:t>
      </w:r>
      <w:r>
        <w:rPr/>
        <w:t>producción;</w:t>
      </w:r>
    </w:p>
    <w:p>
      <w:pPr>
        <w:pStyle w:val="BodyText"/>
        <w:spacing w:before="2"/>
      </w:pPr>
    </w:p>
    <w:p>
      <w:pPr>
        <w:pStyle w:val="ListParagraph"/>
        <w:numPr>
          <w:ilvl w:val="0"/>
          <w:numId w:val="189"/>
        </w:numPr>
        <w:tabs>
          <w:tab w:pos="773" w:val="left" w:leader="none"/>
        </w:tabs>
        <w:spacing w:line="247" w:lineRule="auto" w:before="0" w:after="0"/>
        <w:ind w:left="150" w:right="39" w:firstLine="397"/>
        <w:jc w:val="both"/>
        <w:rPr>
          <w:sz w:val="15"/>
        </w:rPr>
      </w:pPr>
      <w:r>
        <w:rPr>
          <w:sz w:val="15"/>
        </w:rPr>
        <w:t>La extracción de cantera, piedra común y piedra para fabricación de cal, ajustándose a las leyes de equilibrio ecológico, en terrenos propiedad del Municipio, además de requerir el dictamen de la  Dirección General de Protección y Sustentabilidad Ambiental, causarán igualmente un del 20% sobre el  valor  del  producto</w:t>
      </w:r>
      <w:r>
        <w:rPr>
          <w:spacing w:val="1"/>
          <w:sz w:val="15"/>
        </w:rPr>
        <w:t> </w:t>
      </w:r>
      <w:r>
        <w:rPr>
          <w:sz w:val="15"/>
        </w:rPr>
        <w:t>extraído;</w:t>
      </w:r>
    </w:p>
    <w:p>
      <w:pPr>
        <w:pStyle w:val="BodyText"/>
        <w:spacing w:before="2"/>
      </w:pPr>
    </w:p>
    <w:p>
      <w:pPr>
        <w:pStyle w:val="ListParagraph"/>
        <w:numPr>
          <w:ilvl w:val="0"/>
          <w:numId w:val="189"/>
        </w:numPr>
        <w:tabs>
          <w:tab w:pos="770" w:val="left" w:leader="none"/>
        </w:tabs>
        <w:spacing w:line="247" w:lineRule="auto" w:before="1" w:after="0"/>
        <w:ind w:left="151" w:right="39" w:firstLine="397"/>
        <w:jc w:val="both"/>
        <w:rPr>
          <w:sz w:val="15"/>
        </w:rPr>
      </w:pPr>
      <w:r>
        <w:rPr>
          <w:sz w:val="15"/>
        </w:rPr>
        <w:t>Por la explotación de bienes municipales, concesión de servicios o por cualquier otro acto productivo  de la administración, según los contratos celebrados por el</w:t>
      </w:r>
      <w:r>
        <w:rPr>
          <w:spacing w:val="19"/>
          <w:sz w:val="15"/>
        </w:rPr>
        <w:t> </w:t>
      </w:r>
      <w:r>
        <w:rPr>
          <w:sz w:val="15"/>
        </w:rPr>
        <w:t>Municipio;</w:t>
      </w:r>
    </w:p>
    <w:p>
      <w:pPr>
        <w:pStyle w:val="BodyText"/>
        <w:spacing w:before="2"/>
      </w:pPr>
    </w:p>
    <w:p>
      <w:pPr>
        <w:pStyle w:val="BodyText"/>
        <w:spacing w:line="247" w:lineRule="auto" w:before="1"/>
        <w:ind w:left="150" w:right="199" w:firstLine="397"/>
      </w:pPr>
      <w:r>
        <w:rPr/>
        <w:t>En los casos de traspasos de giros instalados en locales de propiedad municipal causarán productos de    6 a 12 meses de las rentas establecidas en la presente</w:t>
      </w:r>
      <w:r>
        <w:rPr>
          <w:spacing w:val="20"/>
        </w:rPr>
        <w:t> </w:t>
      </w:r>
      <w:r>
        <w:rPr/>
        <w:t>ley;</w:t>
      </w:r>
    </w:p>
    <w:p>
      <w:pPr>
        <w:pStyle w:val="BodyText"/>
        <w:spacing w:before="3"/>
      </w:pPr>
    </w:p>
    <w:p>
      <w:pPr>
        <w:pStyle w:val="ListParagraph"/>
        <w:numPr>
          <w:ilvl w:val="0"/>
          <w:numId w:val="189"/>
        </w:numPr>
        <w:tabs>
          <w:tab w:pos="793" w:val="left" w:leader="none"/>
        </w:tabs>
        <w:spacing w:line="247" w:lineRule="auto" w:before="0" w:after="0"/>
        <w:ind w:left="150" w:right="38" w:firstLine="397"/>
        <w:jc w:val="both"/>
        <w:rPr>
          <w:sz w:val="15"/>
        </w:rPr>
      </w:pPr>
      <w:r>
        <w:rPr>
          <w:sz w:val="15"/>
        </w:rPr>
        <w:t>Por productos o utilidades de talleres y demás centros de trabajo que operen dentro de establecimientos</w:t>
      </w:r>
      <w:r>
        <w:rPr>
          <w:spacing w:val="1"/>
          <w:sz w:val="15"/>
        </w:rPr>
        <w:t> </w:t>
      </w:r>
      <w:r>
        <w:rPr>
          <w:sz w:val="15"/>
        </w:rPr>
        <w:t>municipales;</w:t>
      </w:r>
    </w:p>
    <w:p>
      <w:pPr>
        <w:pStyle w:val="BodyText"/>
        <w:spacing w:before="3"/>
      </w:pPr>
    </w:p>
    <w:p>
      <w:pPr>
        <w:pStyle w:val="ListParagraph"/>
        <w:numPr>
          <w:ilvl w:val="0"/>
          <w:numId w:val="189"/>
        </w:numPr>
        <w:tabs>
          <w:tab w:pos="780" w:val="left" w:leader="none"/>
        </w:tabs>
        <w:spacing w:line="240" w:lineRule="auto" w:before="0" w:after="0"/>
        <w:ind w:left="779" w:right="0" w:hanging="232"/>
        <w:jc w:val="left"/>
        <w:rPr>
          <w:sz w:val="15"/>
        </w:rPr>
      </w:pPr>
      <w:r>
        <w:rPr>
          <w:sz w:val="15"/>
        </w:rPr>
        <w:t>La venta de esquilmos, productos de aparcería, desechos y</w:t>
      </w:r>
      <w:r>
        <w:rPr>
          <w:spacing w:val="23"/>
          <w:sz w:val="15"/>
        </w:rPr>
        <w:t> </w:t>
      </w:r>
      <w:r>
        <w:rPr>
          <w:sz w:val="15"/>
        </w:rPr>
        <w:t>basuras;</w:t>
      </w:r>
    </w:p>
    <w:p>
      <w:pPr>
        <w:pStyle w:val="BodyText"/>
        <w:spacing w:before="10"/>
      </w:pPr>
    </w:p>
    <w:p>
      <w:pPr>
        <w:pStyle w:val="ListParagraph"/>
        <w:numPr>
          <w:ilvl w:val="0"/>
          <w:numId w:val="189"/>
        </w:numPr>
        <w:tabs>
          <w:tab w:pos="837" w:val="left" w:leader="none"/>
        </w:tabs>
        <w:spacing w:line="247" w:lineRule="auto" w:before="0" w:after="0"/>
        <w:ind w:left="151" w:right="39" w:firstLine="397"/>
        <w:jc w:val="both"/>
        <w:rPr>
          <w:sz w:val="15"/>
        </w:rPr>
      </w:pPr>
      <w:r>
        <w:rPr>
          <w:sz w:val="15"/>
        </w:rPr>
        <w:t>La  venta  de árboles, plantas, flores y demás productos procedentes de viveros y jardines públicos   de jurisdicción</w:t>
      </w:r>
      <w:r>
        <w:rPr>
          <w:spacing w:val="2"/>
          <w:sz w:val="15"/>
        </w:rPr>
        <w:t> </w:t>
      </w:r>
      <w:r>
        <w:rPr>
          <w:sz w:val="15"/>
        </w:rPr>
        <w:t>municipal;</w:t>
      </w:r>
    </w:p>
    <w:p>
      <w:pPr>
        <w:pStyle w:val="BodyText"/>
        <w:spacing w:before="3"/>
      </w:pPr>
    </w:p>
    <w:p>
      <w:pPr>
        <w:pStyle w:val="ListParagraph"/>
        <w:numPr>
          <w:ilvl w:val="0"/>
          <w:numId w:val="189"/>
        </w:numPr>
        <w:tabs>
          <w:tab w:pos="875" w:val="left" w:leader="none"/>
        </w:tabs>
        <w:spacing w:line="247" w:lineRule="auto" w:before="0" w:after="0"/>
        <w:ind w:left="151" w:right="40" w:firstLine="397"/>
        <w:jc w:val="both"/>
        <w:rPr>
          <w:sz w:val="15"/>
        </w:rPr>
      </w:pPr>
      <w:r>
        <w:rPr>
          <w:sz w:val="15"/>
        </w:rPr>
        <w:t>Productos que se originen por la atención de solicitudes de información en cumplimiento de la Ley    de</w:t>
      </w:r>
      <w:r>
        <w:rPr>
          <w:spacing w:val="3"/>
          <w:sz w:val="15"/>
        </w:rPr>
        <w:t> </w:t>
      </w:r>
      <w:r>
        <w:rPr>
          <w:sz w:val="15"/>
        </w:rPr>
        <w:t>Transparencia</w:t>
      </w:r>
      <w:r>
        <w:rPr>
          <w:spacing w:val="4"/>
          <w:sz w:val="15"/>
        </w:rPr>
        <w:t> </w:t>
      </w:r>
      <w:r>
        <w:rPr>
          <w:sz w:val="15"/>
        </w:rPr>
        <w:t>y</w:t>
      </w:r>
      <w:r>
        <w:rPr>
          <w:spacing w:val="4"/>
          <w:sz w:val="15"/>
        </w:rPr>
        <w:t> </w:t>
      </w:r>
      <w:r>
        <w:rPr>
          <w:sz w:val="15"/>
        </w:rPr>
        <w:t>Acceso</w:t>
      </w:r>
      <w:r>
        <w:rPr>
          <w:spacing w:val="4"/>
          <w:sz w:val="15"/>
        </w:rPr>
        <w:t> </w:t>
      </w:r>
      <w:r>
        <w:rPr>
          <w:sz w:val="15"/>
        </w:rPr>
        <w:t>a</w:t>
      </w:r>
      <w:r>
        <w:rPr>
          <w:spacing w:val="4"/>
          <w:sz w:val="15"/>
        </w:rPr>
        <w:t> </w:t>
      </w:r>
      <w:r>
        <w:rPr>
          <w:sz w:val="15"/>
        </w:rPr>
        <w:t>la</w:t>
      </w:r>
      <w:r>
        <w:rPr>
          <w:spacing w:val="4"/>
          <w:sz w:val="15"/>
        </w:rPr>
        <w:t> </w:t>
      </w:r>
      <w:r>
        <w:rPr>
          <w:sz w:val="15"/>
        </w:rPr>
        <w:t>Información</w:t>
      </w:r>
      <w:r>
        <w:rPr>
          <w:spacing w:val="4"/>
          <w:sz w:val="15"/>
        </w:rPr>
        <w:t> </w:t>
      </w:r>
      <w:r>
        <w:rPr>
          <w:sz w:val="15"/>
        </w:rPr>
        <w:t>Pública</w:t>
      </w:r>
      <w:r>
        <w:rPr>
          <w:spacing w:val="4"/>
          <w:sz w:val="15"/>
        </w:rPr>
        <w:t> </w:t>
      </w:r>
      <w:r>
        <w:rPr>
          <w:sz w:val="15"/>
        </w:rPr>
        <w:t>del</w:t>
      </w:r>
      <w:r>
        <w:rPr>
          <w:spacing w:val="4"/>
          <w:sz w:val="15"/>
        </w:rPr>
        <w:t> </w:t>
      </w:r>
      <w:r>
        <w:rPr>
          <w:sz w:val="15"/>
        </w:rPr>
        <w:t>Estado</w:t>
      </w:r>
      <w:r>
        <w:rPr>
          <w:spacing w:val="4"/>
          <w:sz w:val="15"/>
        </w:rPr>
        <w:t> </w:t>
      </w:r>
      <w:r>
        <w:rPr>
          <w:sz w:val="15"/>
        </w:rPr>
        <w:t>de</w:t>
      </w:r>
      <w:r>
        <w:rPr>
          <w:spacing w:val="4"/>
          <w:sz w:val="15"/>
        </w:rPr>
        <w:t> </w:t>
      </w:r>
      <w:r>
        <w:rPr>
          <w:sz w:val="15"/>
        </w:rPr>
        <w:t>Jalisco</w:t>
      </w:r>
      <w:r>
        <w:rPr>
          <w:spacing w:val="4"/>
          <w:sz w:val="15"/>
        </w:rPr>
        <w:t> </w:t>
      </w:r>
      <w:r>
        <w:rPr>
          <w:sz w:val="15"/>
        </w:rPr>
        <w:t>y</w:t>
      </w:r>
      <w:r>
        <w:rPr>
          <w:spacing w:val="4"/>
          <w:sz w:val="15"/>
        </w:rPr>
        <w:t> </w:t>
      </w:r>
      <w:r>
        <w:rPr>
          <w:sz w:val="15"/>
        </w:rPr>
        <w:t>sus</w:t>
      </w:r>
      <w:r>
        <w:rPr>
          <w:spacing w:val="4"/>
          <w:sz w:val="15"/>
        </w:rPr>
        <w:t> </w:t>
      </w:r>
      <w:r>
        <w:rPr>
          <w:sz w:val="15"/>
        </w:rPr>
        <w:t>Municipios:</w:t>
      </w:r>
    </w:p>
    <w:p>
      <w:pPr>
        <w:pStyle w:val="BodyText"/>
        <w:spacing w:before="5"/>
      </w:pPr>
    </w:p>
    <w:p>
      <w:pPr>
        <w:pStyle w:val="ListParagraph"/>
        <w:numPr>
          <w:ilvl w:val="0"/>
          <w:numId w:val="190"/>
        </w:numPr>
        <w:tabs>
          <w:tab w:pos="331" w:val="left" w:leader="none"/>
          <w:tab w:pos="7411" w:val="left" w:leader="none"/>
        </w:tabs>
        <w:spacing w:line="240" w:lineRule="auto" w:before="0" w:after="0"/>
        <w:ind w:left="330" w:right="0" w:hanging="180"/>
        <w:jc w:val="left"/>
        <w:rPr>
          <w:sz w:val="15"/>
        </w:rPr>
      </w:pPr>
      <w:r>
        <w:rPr>
          <w:sz w:val="15"/>
        </w:rPr>
        <w:t>Copia simple, por</w:t>
      </w:r>
      <w:r>
        <w:rPr>
          <w:spacing w:val="35"/>
          <w:sz w:val="15"/>
        </w:rPr>
        <w:t> </w:t>
      </w:r>
      <w:r>
        <w:rPr>
          <w:sz w:val="15"/>
        </w:rPr>
        <w:t>cada</w:t>
      </w:r>
      <w:r>
        <w:rPr>
          <w:spacing w:val="12"/>
          <w:sz w:val="15"/>
        </w:rPr>
        <w:t> </w:t>
      </w:r>
      <w:r>
        <w:rPr>
          <w:sz w:val="15"/>
        </w:rPr>
        <w:t>hoja:</w:t>
        <w:tab/>
        <w:t>$.50</w:t>
      </w:r>
    </w:p>
    <w:p>
      <w:pPr>
        <w:pStyle w:val="ListParagraph"/>
        <w:numPr>
          <w:ilvl w:val="0"/>
          <w:numId w:val="190"/>
        </w:numPr>
        <w:tabs>
          <w:tab w:pos="331" w:val="left" w:leader="none"/>
          <w:tab w:pos="7239" w:val="left" w:leader="none"/>
        </w:tabs>
        <w:spacing w:line="240" w:lineRule="auto" w:before="93" w:after="0"/>
        <w:ind w:left="330" w:right="0" w:hanging="180"/>
        <w:jc w:val="left"/>
        <w:rPr>
          <w:sz w:val="15"/>
        </w:rPr>
      </w:pPr>
      <w:r>
        <w:rPr>
          <w:sz w:val="15"/>
        </w:rPr>
        <w:t>Copia certificada, por</w:t>
      </w:r>
      <w:r>
        <w:rPr>
          <w:spacing w:val="38"/>
          <w:sz w:val="15"/>
        </w:rPr>
        <w:t> </w:t>
      </w:r>
      <w:r>
        <w:rPr>
          <w:sz w:val="15"/>
        </w:rPr>
        <w:t>cada</w:t>
      </w:r>
      <w:r>
        <w:rPr>
          <w:spacing w:val="14"/>
          <w:sz w:val="15"/>
        </w:rPr>
        <w:t> </w:t>
      </w:r>
      <w:r>
        <w:rPr>
          <w:sz w:val="15"/>
        </w:rPr>
        <w:t>hoja:</w:t>
        <w:tab/>
        <w:t>$20.00</w:t>
      </w:r>
    </w:p>
    <w:p>
      <w:pPr>
        <w:pStyle w:val="ListParagraph"/>
        <w:numPr>
          <w:ilvl w:val="0"/>
          <w:numId w:val="191"/>
        </w:numPr>
        <w:tabs>
          <w:tab w:pos="331" w:val="left" w:leader="none"/>
          <w:tab w:pos="6912" w:val="left" w:leader="none"/>
        </w:tabs>
        <w:spacing w:line="240" w:lineRule="auto" w:before="93" w:after="0"/>
        <w:ind w:left="330" w:right="0" w:hanging="180"/>
        <w:jc w:val="left"/>
        <w:rPr>
          <w:sz w:val="15"/>
        </w:rPr>
      </w:pPr>
      <w:r>
        <w:rPr>
          <w:sz w:val="15"/>
        </w:rPr>
        <w:t>Información en disco compacto, por </w:t>
      </w:r>
      <w:r>
        <w:rPr>
          <w:spacing w:val="20"/>
          <w:sz w:val="15"/>
        </w:rPr>
        <w:t> </w:t>
      </w:r>
      <w:r>
        <w:rPr>
          <w:sz w:val="15"/>
        </w:rPr>
        <w:t>cada</w:t>
      </w:r>
      <w:r>
        <w:rPr>
          <w:spacing w:val="13"/>
          <w:sz w:val="15"/>
        </w:rPr>
        <w:t> </w:t>
      </w:r>
      <w:r>
        <w:rPr>
          <w:sz w:val="15"/>
        </w:rPr>
        <w:t>uno:</w:t>
        <w:tab/>
        <w:t>$10.00</w:t>
      </w:r>
    </w:p>
    <w:p>
      <w:pPr>
        <w:pStyle w:val="ListParagraph"/>
        <w:numPr>
          <w:ilvl w:val="0"/>
          <w:numId w:val="191"/>
        </w:numPr>
        <w:tabs>
          <w:tab w:pos="331" w:val="left" w:leader="none"/>
          <w:tab w:pos="7239" w:val="left" w:leader="none"/>
        </w:tabs>
        <w:spacing w:line="240" w:lineRule="auto" w:before="92" w:after="0"/>
        <w:ind w:left="330" w:right="0" w:hanging="180"/>
        <w:jc w:val="left"/>
        <w:rPr>
          <w:sz w:val="15"/>
        </w:rPr>
      </w:pPr>
      <w:r>
        <w:rPr>
          <w:sz w:val="15"/>
        </w:rPr>
        <w:t>Memoria USB de 8gb, por </w:t>
      </w:r>
      <w:r>
        <w:rPr>
          <w:spacing w:val="5"/>
          <w:sz w:val="15"/>
        </w:rPr>
        <w:t> </w:t>
      </w:r>
      <w:r>
        <w:rPr>
          <w:sz w:val="15"/>
        </w:rPr>
        <w:t>cada</w:t>
      </w:r>
      <w:r>
        <w:rPr>
          <w:spacing w:val="10"/>
          <w:sz w:val="15"/>
        </w:rPr>
        <w:t> </w:t>
      </w:r>
      <w:r>
        <w:rPr>
          <w:sz w:val="15"/>
        </w:rPr>
        <w:t>uno:</w:t>
        <w:tab/>
        <w:t>$70.00</w:t>
      </w:r>
    </w:p>
    <w:p>
      <w:pPr>
        <w:pStyle w:val="BodyText"/>
        <w:rPr>
          <w:sz w:val="16"/>
        </w:rPr>
      </w:pPr>
    </w:p>
    <w:p>
      <w:pPr>
        <w:pStyle w:val="BodyText"/>
        <w:spacing w:before="2"/>
      </w:pPr>
    </w:p>
    <w:p>
      <w:pPr>
        <w:pStyle w:val="BodyText"/>
        <w:spacing w:line="247" w:lineRule="auto" w:before="1"/>
        <w:ind w:left="151" w:right="199"/>
      </w:pPr>
      <w:r>
        <w:rPr/>
        <w:t>Cuando la información se proporcione en formatos distintos a los mencionados en los incisos anteriores, el  cobro de los productos será el equivalente al precio de mercado que</w:t>
      </w:r>
      <w:r>
        <w:rPr>
          <w:spacing w:val="38"/>
        </w:rPr>
        <w:t> </w:t>
      </w:r>
      <w:r>
        <w:rPr/>
        <w:t>corresponda.</w:t>
      </w:r>
    </w:p>
    <w:p>
      <w:pPr>
        <w:pStyle w:val="BodyText"/>
        <w:spacing w:before="10"/>
        <w:rPr>
          <w:sz w:val="22"/>
        </w:rPr>
      </w:pPr>
      <w:r>
        <w:rPr/>
        <w:br w:type="column"/>
      </w:r>
      <w:r>
        <w:rPr>
          <w:sz w:val="22"/>
        </w:rPr>
      </w:r>
    </w:p>
    <w:p>
      <w:pPr>
        <w:pStyle w:val="ListParagraph"/>
        <w:numPr>
          <w:ilvl w:val="0"/>
          <w:numId w:val="192"/>
        </w:numPr>
        <w:tabs>
          <w:tab w:pos="866" w:val="left" w:leader="none"/>
        </w:tabs>
        <w:spacing w:line="240" w:lineRule="auto" w:before="1" w:after="0"/>
        <w:ind w:left="865" w:right="0" w:hanging="318"/>
        <w:jc w:val="left"/>
        <w:rPr>
          <w:sz w:val="15"/>
        </w:rPr>
      </w:pPr>
      <w:r>
        <w:rPr>
          <w:sz w:val="15"/>
        </w:rPr>
        <w:t>Otros productos de tipo corriente no especificados en este</w:t>
      </w:r>
      <w:r>
        <w:rPr>
          <w:spacing w:val="20"/>
          <w:sz w:val="15"/>
        </w:rPr>
        <w:t> </w:t>
      </w:r>
      <w:r>
        <w:rPr>
          <w:sz w:val="15"/>
        </w:rPr>
        <w:t>capítulo.</w:t>
      </w:r>
    </w:p>
    <w:p>
      <w:pPr>
        <w:pStyle w:val="BodyText"/>
        <w:spacing w:before="10"/>
      </w:pPr>
    </w:p>
    <w:p>
      <w:pPr>
        <w:pStyle w:val="Heading4"/>
        <w:ind w:left="0" w:right="3399"/>
        <w:jc w:val="right"/>
      </w:pPr>
      <w:r>
        <w:rPr/>
        <w:t>SECCIÓN</w:t>
      </w:r>
      <w:r>
        <w:rPr>
          <w:spacing w:val="33"/>
        </w:rPr>
        <w:t> </w:t>
      </w:r>
      <w:r>
        <w:rPr>
          <w:spacing w:val="-3"/>
        </w:rPr>
        <w:t>CUARTA</w:t>
      </w:r>
    </w:p>
    <w:p>
      <w:pPr>
        <w:spacing w:line="247" w:lineRule="auto" w:before="4"/>
        <w:ind w:left="493" w:right="849" w:firstLine="0"/>
        <w:jc w:val="center"/>
        <w:rPr>
          <w:b/>
          <w:sz w:val="15"/>
        </w:rPr>
      </w:pPr>
      <w:r>
        <w:rPr>
          <w:b/>
          <w:sz w:val="15"/>
        </w:rPr>
        <w:t>De la venta, reutilización y disposición de residuos orgánicos e inorgánicos derivados de la separación de la</w:t>
      </w:r>
      <w:r>
        <w:rPr>
          <w:b/>
          <w:spacing w:val="4"/>
          <w:sz w:val="15"/>
        </w:rPr>
        <w:t> </w:t>
      </w:r>
      <w:r>
        <w:rPr>
          <w:b/>
          <w:sz w:val="15"/>
        </w:rPr>
        <w:t>basura.</w:t>
      </w:r>
    </w:p>
    <w:p>
      <w:pPr>
        <w:pStyle w:val="BodyText"/>
        <w:spacing w:before="3"/>
        <w:rPr>
          <w:b/>
        </w:rPr>
      </w:pPr>
    </w:p>
    <w:p>
      <w:pPr>
        <w:pStyle w:val="BodyText"/>
        <w:spacing w:line="247" w:lineRule="auto"/>
        <w:ind w:left="150" w:right="509" w:firstLine="397"/>
        <w:jc w:val="both"/>
      </w:pPr>
      <w:r>
        <w:rPr>
          <w:b/>
        </w:rPr>
        <w:t>Artículo 135.- </w:t>
      </w:r>
      <w:r>
        <w:rPr/>
        <w:t>La separación de los residuos orgánicos e inorgánicos de los desechos que se hagan escalonadamente por zonas en el territorio municipal y se realice por administración directa, se llevará a cabo   de conformidad con los planes y programas que determine el Ayuntamiento, y en su caso, por los contratos de concesión del servicio de limpia, recolección, traslado, tratamiento y disposición final de residuos sólidos  urbanos que se tengan</w:t>
      </w:r>
      <w:r>
        <w:rPr>
          <w:spacing w:val="4"/>
        </w:rPr>
        <w:t> </w:t>
      </w:r>
      <w:r>
        <w:rPr/>
        <w:t>celebrados.</w:t>
      </w:r>
    </w:p>
    <w:p>
      <w:pPr>
        <w:pStyle w:val="BodyText"/>
        <w:spacing w:before="1"/>
      </w:pPr>
    </w:p>
    <w:p>
      <w:pPr>
        <w:pStyle w:val="BodyText"/>
        <w:spacing w:line="244" w:lineRule="auto"/>
        <w:ind w:left="151" w:right="508" w:firstLine="397"/>
        <w:jc w:val="both"/>
      </w:pPr>
      <w:r>
        <w:rPr>
          <w:b/>
        </w:rPr>
        <w:t>Artículo 136</w:t>
      </w:r>
      <w:r>
        <w:rPr/>
        <w:t>.- El producto de la separación de basura que se realice por administración directa del Municipio se considera como bienes de propiedad municipal de dominio privado, los cuales  se  podrán  enajenar, producto que se integrará al ingreso del</w:t>
      </w:r>
      <w:r>
        <w:rPr>
          <w:spacing w:val="13"/>
        </w:rPr>
        <w:t> </w:t>
      </w:r>
      <w:r>
        <w:rPr/>
        <w:t>Municipio.</w:t>
      </w:r>
    </w:p>
    <w:p>
      <w:pPr>
        <w:pStyle w:val="BodyText"/>
        <w:spacing w:before="8"/>
      </w:pPr>
    </w:p>
    <w:p>
      <w:pPr>
        <w:pStyle w:val="BodyText"/>
        <w:spacing w:line="247" w:lineRule="auto"/>
        <w:ind w:left="151" w:right="509" w:firstLine="397"/>
        <w:jc w:val="both"/>
      </w:pPr>
      <w:r>
        <w:rPr>
          <w:b/>
        </w:rPr>
        <w:t>Artículo 137</w:t>
      </w:r>
      <w:r>
        <w:rPr/>
        <w:t>.- Para fijar el precio de venta y proceder a la enajenación de los productos reciclables a     que se refiere el artículo anterior, se sujetarán al procedimiento establecido en la legislación y reglamentación   en materia de compras, enajenaciones y contratación de</w:t>
      </w:r>
      <w:r>
        <w:rPr>
          <w:spacing w:val="17"/>
        </w:rPr>
        <w:t> </w:t>
      </w:r>
      <w:r>
        <w:rPr/>
        <w:t>servicios.</w:t>
      </w:r>
    </w:p>
    <w:p>
      <w:pPr>
        <w:pStyle w:val="BodyText"/>
        <w:spacing w:before="3"/>
      </w:pPr>
    </w:p>
    <w:p>
      <w:pPr>
        <w:pStyle w:val="BodyText"/>
        <w:spacing w:line="247" w:lineRule="auto"/>
        <w:ind w:left="151" w:right="509" w:firstLine="397"/>
        <w:jc w:val="both"/>
      </w:pPr>
      <w:r>
        <w:rPr>
          <w:b/>
        </w:rPr>
        <w:t>Artículo 138.- </w:t>
      </w:r>
      <w:r>
        <w:rPr/>
        <w:t>Los productos a que se refiere la presente sección preferentemente servirán para incrementar la capacidad de recolección y procesamiento de los residuos sólidos urbanos, adquisición de insumos y en general de cualquier producto necesario tendente a mejorar los procesos de separación, venta, reutilización y disposición de residuos orgánicos e inorgánicos cuyo servicio de preste directamente por el Municipio.</w:t>
      </w:r>
    </w:p>
    <w:p>
      <w:pPr>
        <w:pStyle w:val="BodyText"/>
        <w:spacing w:before="1"/>
      </w:pPr>
    </w:p>
    <w:p>
      <w:pPr>
        <w:pStyle w:val="BodyText"/>
        <w:spacing w:line="247" w:lineRule="auto" w:before="1"/>
        <w:ind w:left="151" w:right="510" w:firstLine="397"/>
        <w:jc w:val="both"/>
      </w:pPr>
      <w:r>
        <w:rPr>
          <w:b/>
        </w:rPr>
        <w:t>Artículo 139.- </w:t>
      </w:r>
      <w:r>
        <w:rPr/>
        <w:t>Los ingresos derivados de la separación y disposición de residuos  orgánicos  e  inorgánicos, producto de los programas municipales de separación de la basura se ejercerán por la Tesorería Municipal mediante la implementación de destinos específicos en el Presupuesto de Egresos, conforme al Clasificador por Objeto del</w:t>
      </w:r>
      <w:r>
        <w:rPr>
          <w:spacing w:val="4"/>
        </w:rPr>
        <w:t> </w:t>
      </w:r>
      <w:r>
        <w:rPr/>
        <w:t>Gasto.</w:t>
      </w:r>
    </w:p>
    <w:p>
      <w:pPr>
        <w:pStyle w:val="BodyText"/>
        <w:spacing w:before="2"/>
      </w:pPr>
    </w:p>
    <w:p>
      <w:pPr>
        <w:pStyle w:val="Heading4"/>
        <w:spacing w:before="1"/>
        <w:ind w:left="0" w:right="3484"/>
        <w:jc w:val="right"/>
      </w:pPr>
      <w:r>
        <w:rPr/>
        <w:t>CAPÍTULO SEGUNDO</w:t>
      </w:r>
    </w:p>
    <w:p>
      <w:pPr>
        <w:spacing w:before="4"/>
        <w:ind w:left="276" w:right="632" w:firstLine="0"/>
        <w:jc w:val="center"/>
        <w:rPr>
          <w:b/>
          <w:sz w:val="15"/>
        </w:rPr>
      </w:pPr>
      <w:r>
        <w:rPr>
          <w:b/>
          <w:sz w:val="15"/>
        </w:rPr>
        <w:t>De los Productos de Capital</w:t>
      </w:r>
    </w:p>
    <w:p>
      <w:pPr>
        <w:spacing w:after="0"/>
        <w:jc w:val="center"/>
        <w:rPr>
          <w:sz w:val="15"/>
        </w:rPr>
        <w:sectPr>
          <w:type w:val="continuous"/>
          <w:pgSz w:w="23250" w:h="15310" w:orient="landscape"/>
          <w:pgMar w:top="0" w:bottom="0" w:left="1880" w:right="1520"/>
          <w:cols w:num="2" w:equalWidth="0">
            <w:col w:w="7751" w:space="3871"/>
            <w:col w:w="8228"/>
          </w:cols>
        </w:sectPr>
      </w:pPr>
    </w:p>
    <w:p>
      <w:pPr>
        <w:pStyle w:val="BodyText"/>
        <w:rPr>
          <w:b/>
          <w:sz w:val="20"/>
        </w:rPr>
      </w:pPr>
    </w:p>
    <w:p>
      <w:pPr>
        <w:pStyle w:val="BodyText"/>
        <w:spacing w:before="8"/>
        <w:rPr>
          <w:b/>
          <w:sz w:val="29"/>
        </w:rPr>
      </w:pPr>
    </w:p>
    <w:p>
      <w:pPr>
        <w:spacing w:after="0"/>
        <w:rPr>
          <w:sz w:val="29"/>
        </w:rPr>
        <w:sectPr>
          <w:headerReference w:type="default" r:id="rId112"/>
          <w:pgSz w:w="23250" w:h="15310" w:orient="landscape"/>
          <w:pgMar w:header="881" w:footer="499" w:top="1920" w:bottom="680" w:left="1880" w:right="1520"/>
        </w:sectPr>
      </w:pPr>
    </w:p>
    <w:p>
      <w:pPr>
        <w:spacing w:before="98"/>
        <w:ind w:left="668" w:right="552" w:firstLine="0"/>
        <w:jc w:val="center"/>
        <w:rPr>
          <w:b/>
          <w:sz w:val="15"/>
        </w:rPr>
      </w:pPr>
      <w:r>
        <w:rPr>
          <w:b/>
          <w:sz w:val="15"/>
        </w:rPr>
        <w:t>SECCIÓN ÚNICA</w:t>
      </w:r>
    </w:p>
    <w:p>
      <w:pPr>
        <w:spacing w:before="5"/>
        <w:ind w:left="668" w:right="555" w:firstLine="0"/>
        <w:jc w:val="center"/>
        <w:rPr>
          <w:b/>
          <w:sz w:val="15"/>
        </w:rPr>
      </w:pPr>
      <w:r>
        <w:rPr>
          <w:b/>
          <w:sz w:val="15"/>
        </w:rPr>
        <w:t>De los Productos de Capital</w:t>
      </w:r>
    </w:p>
    <w:p>
      <w:pPr>
        <w:pStyle w:val="BodyText"/>
        <w:spacing w:before="8"/>
        <w:rPr>
          <w:b/>
        </w:rPr>
      </w:pPr>
    </w:p>
    <w:p>
      <w:pPr>
        <w:pStyle w:val="BodyText"/>
        <w:ind w:left="646"/>
      </w:pPr>
      <w:r>
        <w:rPr>
          <w:b/>
        </w:rPr>
        <w:t>Artículo 140.- </w:t>
      </w:r>
      <w:r>
        <w:rPr/>
        <w:t>EI Municipio percibirá Ios productos de capitaI provenientes de Ios siguientes conceptos:</w:t>
      </w:r>
    </w:p>
    <w:p>
      <w:pPr>
        <w:pStyle w:val="BodyText"/>
        <w:spacing w:before="9"/>
      </w:pPr>
    </w:p>
    <w:p>
      <w:pPr>
        <w:pStyle w:val="ListParagraph"/>
        <w:numPr>
          <w:ilvl w:val="1"/>
          <w:numId w:val="192"/>
        </w:numPr>
        <w:tabs>
          <w:tab w:pos="793" w:val="left" w:leader="none"/>
        </w:tabs>
        <w:spacing w:line="247" w:lineRule="auto" w:before="0" w:after="0"/>
        <w:ind w:left="151" w:right="38" w:firstLine="495"/>
        <w:jc w:val="both"/>
        <w:rPr>
          <w:sz w:val="15"/>
        </w:rPr>
      </w:pPr>
      <w:r>
        <w:rPr>
          <w:sz w:val="15"/>
        </w:rPr>
        <w:t>La amortización deI capitaI e intereses de créditos otorgados por eI Municipio, de acuerdo con Ios contratos de su origen, o productos derivados de otras inversiones de</w:t>
      </w:r>
      <w:r>
        <w:rPr>
          <w:spacing w:val="26"/>
          <w:sz w:val="15"/>
        </w:rPr>
        <w:t> </w:t>
      </w:r>
      <w:r>
        <w:rPr>
          <w:sz w:val="15"/>
        </w:rPr>
        <w:t>capitaI;</w:t>
      </w:r>
    </w:p>
    <w:p>
      <w:pPr>
        <w:pStyle w:val="BodyText"/>
        <w:spacing w:before="4"/>
      </w:pPr>
    </w:p>
    <w:p>
      <w:pPr>
        <w:pStyle w:val="ListParagraph"/>
        <w:numPr>
          <w:ilvl w:val="1"/>
          <w:numId w:val="192"/>
        </w:numPr>
        <w:tabs>
          <w:tab w:pos="857" w:val="left" w:leader="none"/>
        </w:tabs>
        <w:spacing w:line="244" w:lineRule="auto" w:before="0" w:after="0"/>
        <w:ind w:left="151" w:right="38" w:firstLine="495"/>
        <w:jc w:val="both"/>
        <w:rPr>
          <w:sz w:val="15"/>
        </w:rPr>
      </w:pPr>
      <w:r>
        <w:rPr>
          <w:sz w:val="15"/>
        </w:rPr>
        <w:t>Los bienes vacantes, mostrencos, objetos asegurados y que hayan causado abandono en Ios términos de Ias Ieyes o regIamentos apIicabIes y aqueIIos embargados y adjudicados a favor deI Municipio en remate</w:t>
      </w:r>
      <w:r>
        <w:rPr>
          <w:spacing w:val="1"/>
          <w:sz w:val="15"/>
        </w:rPr>
        <w:t> </w:t>
      </w:r>
      <w:r>
        <w:rPr>
          <w:sz w:val="15"/>
        </w:rPr>
        <w:t>IegaI;</w:t>
      </w:r>
    </w:p>
    <w:p>
      <w:pPr>
        <w:pStyle w:val="BodyText"/>
        <w:spacing w:before="8"/>
      </w:pPr>
    </w:p>
    <w:p>
      <w:pPr>
        <w:pStyle w:val="ListParagraph"/>
        <w:numPr>
          <w:ilvl w:val="1"/>
          <w:numId w:val="192"/>
        </w:numPr>
        <w:tabs>
          <w:tab w:pos="862" w:val="left" w:leader="none"/>
        </w:tabs>
        <w:spacing w:line="240" w:lineRule="auto" w:before="0" w:after="0"/>
        <w:ind w:left="861" w:right="0" w:hanging="216"/>
        <w:jc w:val="left"/>
        <w:rPr>
          <w:sz w:val="15"/>
        </w:rPr>
      </w:pPr>
      <w:r>
        <w:rPr>
          <w:spacing w:val="-3"/>
          <w:sz w:val="15"/>
        </w:rPr>
        <w:t>Venta</w:t>
      </w:r>
      <w:r>
        <w:rPr>
          <w:spacing w:val="5"/>
          <w:sz w:val="15"/>
        </w:rPr>
        <w:t> </w:t>
      </w:r>
      <w:r>
        <w:rPr>
          <w:sz w:val="15"/>
        </w:rPr>
        <w:t>de</w:t>
      </w:r>
      <w:r>
        <w:rPr>
          <w:spacing w:val="5"/>
          <w:sz w:val="15"/>
        </w:rPr>
        <w:t> </w:t>
      </w:r>
      <w:r>
        <w:rPr>
          <w:sz w:val="15"/>
        </w:rPr>
        <w:t>bienes</w:t>
      </w:r>
      <w:r>
        <w:rPr>
          <w:spacing w:val="5"/>
          <w:sz w:val="15"/>
        </w:rPr>
        <w:t> </w:t>
      </w:r>
      <w:r>
        <w:rPr>
          <w:sz w:val="15"/>
        </w:rPr>
        <w:t>muebIes,</w:t>
      </w:r>
      <w:r>
        <w:rPr>
          <w:spacing w:val="5"/>
          <w:sz w:val="15"/>
        </w:rPr>
        <w:t> </w:t>
      </w:r>
      <w:r>
        <w:rPr>
          <w:sz w:val="15"/>
        </w:rPr>
        <w:t>en</w:t>
      </w:r>
      <w:r>
        <w:rPr>
          <w:spacing w:val="5"/>
          <w:sz w:val="15"/>
        </w:rPr>
        <w:t> </w:t>
      </w:r>
      <w:r>
        <w:rPr>
          <w:sz w:val="15"/>
        </w:rPr>
        <w:t>Ios</w:t>
      </w:r>
      <w:r>
        <w:rPr>
          <w:spacing w:val="4"/>
          <w:sz w:val="15"/>
        </w:rPr>
        <w:t> </w:t>
      </w:r>
      <w:r>
        <w:rPr>
          <w:sz w:val="15"/>
        </w:rPr>
        <w:t>términos</w:t>
      </w:r>
      <w:r>
        <w:rPr>
          <w:spacing w:val="5"/>
          <w:sz w:val="15"/>
        </w:rPr>
        <w:t> </w:t>
      </w:r>
      <w:r>
        <w:rPr>
          <w:sz w:val="15"/>
        </w:rPr>
        <w:t>de</w:t>
      </w:r>
      <w:r>
        <w:rPr>
          <w:spacing w:val="5"/>
          <w:sz w:val="15"/>
        </w:rPr>
        <w:t> </w:t>
      </w:r>
      <w:r>
        <w:rPr>
          <w:sz w:val="15"/>
        </w:rPr>
        <w:t>Ia</w:t>
      </w:r>
      <w:r>
        <w:rPr>
          <w:spacing w:val="6"/>
          <w:sz w:val="15"/>
        </w:rPr>
        <w:t> </w:t>
      </w:r>
      <w:r>
        <w:rPr>
          <w:sz w:val="15"/>
        </w:rPr>
        <w:t>Ley</w:t>
      </w:r>
      <w:r>
        <w:rPr>
          <w:spacing w:val="5"/>
          <w:sz w:val="15"/>
        </w:rPr>
        <w:t> </w:t>
      </w:r>
      <w:r>
        <w:rPr>
          <w:sz w:val="15"/>
        </w:rPr>
        <w:t>de</w:t>
      </w:r>
      <w:r>
        <w:rPr>
          <w:spacing w:val="5"/>
          <w:sz w:val="15"/>
        </w:rPr>
        <w:t> </w:t>
      </w:r>
      <w:r>
        <w:rPr>
          <w:sz w:val="15"/>
        </w:rPr>
        <w:t>Hacienda</w:t>
      </w:r>
      <w:r>
        <w:rPr>
          <w:spacing w:val="5"/>
          <w:sz w:val="15"/>
        </w:rPr>
        <w:t> </w:t>
      </w:r>
      <w:r>
        <w:rPr>
          <w:sz w:val="15"/>
        </w:rPr>
        <w:t>MunicipaI</w:t>
      </w:r>
      <w:r>
        <w:rPr>
          <w:spacing w:val="5"/>
          <w:sz w:val="15"/>
        </w:rPr>
        <w:t> </w:t>
      </w:r>
      <w:r>
        <w:rPr>
          <w:sz w:val="15"/>
        </w:rPr>
        <w:t>deI</w:t>
      </w:r>
      <w:r>
        <w:rPr>
          <w:spacing w:val="5"/>
          <w:sz w:val="15"/>
        </w:rPr>
        <w:t> </w:t>
      </w:r>
      <w:r>
        <w:rPr>
          <w:sz w:val="15"/>
        </w:rPr>
        <w:t>Estado</w:t>
      </w:r>
      <w:r>
        <w:rPr>
          <w:spacing w:val="5"/>
          <w:sz w:val="15"/>
        </w:rPr>
        <w:t> </w:t>
      </w:r>
      <w:r>
        <w:rPr>
          <w:sz w:val="15"/>
        </w:rPr>
        <w:t>de</w:t>
      </w:r>
      <w:r>
        <w:rPr>
          <w:spacing w:val="5"/>
          <w:sz w:val="15"/>
        </w:rPr>
        <w:t> </w:t>
      </w:r>
      <w:r>
        <w:rPr>
          <w:sz w:val="15"/>
        </w:rPr>
        <w:t>JaIisco;</w:t>
      </w:r>
    </w:p>
    <w:p>
      <w:pPr>
        <w:pStyle w:val="BodyText"/>
        <w:spacing w:before="8"/>
      </w:pPr>
    </w:p>
    <w:p>
      <w:pPr>
        <w:pStyle w:val="ListParagraph"/>
        <w:numPr>
          <w:ilvl w:val="1"/>
          <w:numId w:val="192"/>
        </w:numPr>
        <w:tabs>
          <w:tab w:pos="870" w:val="left" w:leader="none"/>
        </w:tabs>
        <w:spacing w:line="247" w:lineRule="auto" w:before="1" w:after="0"/>
        <w:ind w:left="151" w:right="38" w:firstLine="495"/>
        <w:jc w:val="both"/>
        <w:rPr>
          <w:sz w:val="15"/>
        </w:rPr>
      </w:pPr>
      <w:r>
        <w:rPr>
          <w:sz w:val="15"/>
        </w:rPr>
        <w:t>Enajenación de bienes inmuebIes, siempre y cuando se cumpIan Ias disposiciones señaIadas en Ia Ley deI Gobierno y Ia Administración PúbIica MunicipaI deI Estado de JaIisco y de Ia Ley  de  Hacienda MunicipaI deI Estado de</w:t>
      </w:r>
      <w:r>
        <w:rPr>
          <w:spacing w:val="4"/>
          <w:sz w:val="15"/>
        </w:rPr>
        <w:t> </w:t>
      </w:r>
      <w:r>
        <w:rPr>
          <w:sz w:val="15"/>
        </w:rPr>
        <w:t>JaIisco;</w:t>
      </w:r>
    </w:p>
    <w:p>
      <w:pPr>
        <w:pStyle w:val="BodyText"/>
        <w:spacing w:before="3"/>
      </w:pPr>
    </w:p>
    <w:p>
      <w:pPr>
        <w:pStyle w:val="ListParagraph"/>
        <w:numPr>
          <w:ilvl w:val="1"/>
          <w:numId w:val="192"/>
        </w:numPr>
        <w:tabs>
          <w:tab w:pos="813" w:val="left" w:leader="none"/>
        </w:tabs>
        <w:spacing w:line="240" w:lineRule="auto" w:before="0" w:after="0"/>
        <w:ind w:left="812" w:right="0" w:hanging="167"/>
        <w:jc w:val="left"/>
        <w:rPr>
          <w:sz w:val="15"/>
        </w:rPr>
      </w:pPr>
      <w:r>
        <w:rPr>
          <w:sz w:val="15"/>
        </w:rPr>
        <w:t>Aceptación de herencias, Iegados, donaciones u ofrecidos en pago aI</w:t>
      </w:r>
      <w:r>
        <w:rPr>
          <w:spacing w:val="33"/>
          <w:sz w:val="15"/>
        </w:rPr>
        <w:t> </w:t>
      </w:r>
      <w:r>
        <w:rPr>
          <w:sz w:val="15"/>
        </w:rPr>
        <w:t>Municipio;</w:t>
      </w:r>
    </w:p>
    <w:p>
      <w:pPr>
        <w:pStyle w:val="BodyText"/>
        <w:spacing w:before="9"/>
      </w:pPr>
    </w:p>
    <w:p>
      <w:pPr>
        <w:pStyle w:val="ListParagraph"/>
        <w:numPr>
          <w:ilvl w:val="1"/>
          <w:numId w:val="192"/>
        </w:numPr>
        <w:tabs>
          <w:tab w:pos="891" w:val="left" w:leader="none"/>
        </w:tabs>
        <w:spacing w:line="247" w:lineRule="auto" w:before="0" w:after="0"/>
        <w:ind w:left="151" w:right="38" w:firstLine="495"/>
        <w:jc w:val="both"/>
        <w:rPr>
          <w:sz w:val="15"/>
        </w:rPr>
      </w:pPr>
      <w:r>
        <w:rPr>
          <w:sz w:val="15"/>
        </w:rPr>
        <w:t>Resarcimiento de daños en su patrimonio por seguros, fianzas u otra cIase de indemnizaciones o compensaciones;</w:t>
      </w:r>
    </w:p>
    <w:p>
      <w:pPr>
        <w:pStyle w:val="BodyText"/>
        <w:spacing w:before="3"/>
      </w:pPr>
    </w:p>
    <w:p>
      <w:pPr>
        <w:pStyle w:val="ListParagraph"/>
        <w:numPr>
          <w:ilvl w:val="1"/>
          <w:numId w:val="192"/>
        </w:numPr>
        <w:tabs>
          <w:tab w:pos="921" w:val="left" w:leader="none"/>
        </w:tabs>
        <w:spacing w:line="240" w:lineRule="auto" w:before="1" w:after="0"/>
        <w:ind w:left="920" w:right="0" w:hanging="275"/>
        <w:jc w:val="left"/>
        <w:rPr>
          <w:sz w:val="15"/>
        </w:rPr>
      </w:pPr>
      <w:r>
        <w:rPr>
          <w:sz w:val="15"/>
        </w:rPr>
        <w:t>Depósitos, devoIuciones o reintegro de capitaIes y sus accesorios;</w:t>
      </w:r>
      <w:r>
        <w:rPr>
          <w:spacing w:val="21"/>
          <w:sz w:val="15"/>
        </w:rPr>
        <w:t> </w:t>
      </w:r>
      <w:r>
        <w:rPr>
          <w:sz w:val="15"/>
        </w:rPr>
        <w:t>y</w:t>
      </w:r>
    </w:p>
    <w:p>
      <w:pPr>
        <w:pStyle w:val="BodyText"/>
        <w:spacing w:before="8"/>
      </w:pPr>
    </w:p>
    <w:p>
      <w:pPr>
        <w:pStyle w:val="ListParagraph"/>
        <w:numPr>
          <w:ilvl w:val="1"/>
          <w:numId w:val="192"/>
        </w:numPr>
        <w:tabs>
          <w:tab w:pos="977" w:val="left" w:leader="none"/>
        </w:tabs>
        <w:spacing w:line="247" w:lineRule="auto" w:before="0" w:after="0"/>
        <w:ind w:left="151" w:right="39" w:firstLine="495"/>
        <w:jc w:val="both"/>
        <w:rPr>
          <w:sz w:val="15"/>
        </w:rPr>
      </w:pPr>
      <w:r>
        <w:rPr>
          <w:sz w:val="15"/>
        </w:rPr>
        <w:t>AqueIIos bienes, donativos y demás ingresos de Ios Organismos PúbIicos DescentraIizados deI Municipio, que se integrarán a Ias cuentas púbIicas de Ios</w:t>
      </w:r>
      <w:r>
        <w:rPr>
          <w:spacing w:val="17"/>
          <w:sz w:val="15"/>
        </w:rPr>
        <w:t> </w:t>
      </w:r>
      <w:r>
        <w:rPr>
          <w:sz w:val="15"/>
        </w:rPr>
        <w:t>mismos;</w:t>
      </w:r>
    </w:p>
    <w:p>
      <w:pPr>
        <w:pStyle w:val="BodyText"/>
        <w:spacing w:before="4"/>
      </w:pPr>
    </w:p>
    <w:p>
      <w:pPr>
        <w:pStyle w:val="ListParagraph"/>
        <w:numPr>
          <w:ilvl w:val="1"/>
          <w:numId w:val="192"/>
        </w:numPr>
        <w:tabs>
          <w:tab w:pos="878" w:val="left" w:leader="none"/>
        </w:tabs>
        <w:spacing w:line="240" w:lineRule="auto" w:before="0" w:after="0"/>
        <w:ind w:left="877" w:right="0" w:hanging="232"/>
        <w:jc w:val="left"/>
        <w:rPr>
          <w:sz w:val="15"/>
        </w:rPr>
      </w:pPr>
      <w:r>
        <w:rPr>
          <w:sz w:val="15"/>
        </w:rPr>
        <w:t>Otros productos de capitaI no especificados en este</w:t>
      </w:r>
      <w:r>
        <w:rPr>
          <w:spacing w:val="15"/>
          <w:sz w:val="15"/>
        </w:rPr>
        <w:t> </w:t>
      </w:r>
      <w:r>
        <w:rPr>
          <w:sz w:val="15"/>
        </w:rPr>
        <w:t>capítuIo.</w:t>
      </w:r>
    </w:p>
    <w:p>
      <w:pPr>
        <w:pStyle w:val="BodyText"/>
        <w:spacing w:before="8"/>
      </w:pPr>
    </w:p>
    <w:p>
      <w:pPr>
        <w:pStyle w:val="BodyText"/>
        <w:spacing w:line="247" w:lineRule="auto" w:before="1"/>
        <w:ind w:left="150" w:right="38" w:firstLine="397"/>
        <w:jc w:val="both"/>
      </w:pPr>
      <w:r>
        <w:rPr>
          <w:b/>
        </w:rPr>
        <w:t>Artículo 141.- </w:t>
      </w:r>
      <w:r>
        <w:rPr/>
        <w:t>Por Ia prestación o administración de servicios otorgados por empresas de participación municipaI mayoritaria, convenios de coIaboración para eI desarroIIo económico y sociaI en Ios que eI Municipio sea parte o cooperativas donde eI Municipio funja como recaudador de Ias cuotas  acordadas  por  Ios  miembros de Ia sociedad</w:t>
      </w:r>
      <w:r>
        <w:rPr>
          <w:spacing w:val="5"/>
        </w:rPr>
        <w:t> </w:t>
      </w:r>
      <w:r>
        <w:rPr/>
        <w:t>cooperativa.</w:t>
      </w:r>
    </w:p>
    <w:p>
      <w:pPr>
        <w:pStyle w:val="BodyText"/>
        <w:spacing w:before="3"/>
      </w:pPr>
    </w:p>
    <w:p>
      <w:pPr>
        <w:pStyle w:val="Heading4"/>
        <w:spacing w:before="1"/>
        <w:ind w:right="556"/>
      </w:pPr>
      <w:r>
        <w:rPr/>
        <w:t>TÍTULO</w:t>
      </w:r>
      <w:r>
        <w:rPr>
          <w:spacing w:val="33"/>
        </w:rPr>
        <w:t> </w:t>
      </w:r>
      <w:r>
        <w:rPr/>
        <w:t>SEGUNDO</w:t>
      </w:r>
    </w:p>
    <w:p>
      <w:pPr>
        <w:spacing w:before="4"/>
        <w:ind w:left="667" w:right="557" w:firstLine="0"/>
        <w:jc w:val="center"/>
        <w:rPr>
          <w:b/>
          <w:sz w:val="15"/>
        </w:rPr>
      </w:pPr>
      <w:r>
        <w:rPr>
          <w:b/>
          <w:sz w:val="15"/>
        </w:rPr>
        <w:t>Aprovechamientos</w:t>
      </w:r>
    </w:p>
    <w:p>
      <w:pPr>
        <w:pStyle w:val="BodyText"/>
        <w:spacing w:before="9"/>
        <w:rPr>
          <w:b/>
        </w:rPr>
      </w:pPr>
    </w:p>
    <w:p>
      <w:pPr>
        <w:spacing w:before="0"/>
        <w:ind w:left="667" w:right="557" w:firstLine="0"/>
        <w:jc w:val="center"/>
        <w:rPr>
          <w:b/>
          <w:sz w:val="15"/>
        </w:rPr>
      </w:pPr>
      <w:r>
        <w:rPr>
          <w:b/>
          <w:sz w:val="15"/>
        </w:rPr>
        <w:t>CAPÍTULO PRIMERO</w:t>
      </w:r>
    </w:p>
    <w:p>
      <w:pPr>
        <w:spacing w:before="5"/>
        <w:ind w:left="668" w:right="556" w:firstLine="0"/>
        <w:jc w:val="center"/>
        <w:rPr>
          <w:b/>
          <w:sz w:val="15"/>
        </w:rPr>
      </w:pPr>
      <w:r>
        <w:rPr>
          <w:b/>
          <w:sz w:val="15"/>
        </w:rPr>
        <w:t>De los Ingresos por Aprovechamientos de Tipo Corriente</w:t>
      </w:r>
    </w:p>
    <w:p>
      <w:pPr>
        <w:pStyle w:val="BodyText"/>
        <w:rPr>
          <w:b/>
          <w:sz w:val="16"/>
        </w:rPr>
      </w:pPr>
      <w:r>
        <w:rPr/>
        <w:br w:type="column"/>
      </w:r>
      <w:r>
        <w:rPr>
          <w:b/>
          <w:sz w:val="16"/>
        </w:rPr>
      </w:r>
    </w:p>
    <w:p>
      <w:pPr>
        <w:pStyle w:val="BodyText"/>
        <w:rPr>
          <w:b/>
          <w:sz w:val="13"/>
        </w:rPr>
      </w:pPr>
    </w:p>
    <w:p>
      <w:pPr>
        <w:pStyle w:val="BodyText"/>
        <w:spacing w:line="244" w:lineRule="auto"/>
        <w:ind w:left="150" w:right="2711" w:firstLine="397"/>
        <w:jc w:val="both"/>
      </w:pPr>
      <w:r>
        <w:rPr/>
        <w:t>2. En giros que se produzcan, transformen, industrialicen, vendan o almacenen productos químicos, inflamables, corrosivos, tóxicos, explosivos y combustibles, de:</w:t>
      </w:r>
    </w:p>
    <w:p>
      <w:pPr>
        <w:pStyle w:val="BodyText"/>
        <w:spacing w:before="8"/>
      </w:pPr>
    </w:p>
    <w:p>
      <w:pPr>
        <w:pStyle w:val="BodyText"/>
        <w:ind w:right="2711"/>
        <w:jc w:val="right"/>
      </w:pPr>
      <w:r>
        <w:rPr/>
        <w:t>59 a 104 unidades de medida y actualización;</w:t>
      </w:r>
    </w:p>
    <w:p>
      <w:pPr>
        <w:pStyle w:val="BodyText"/>
        <w:spacing w:before="2"/>
        <w:rPr>
          <w:sz w:val="19"/>
        </w:rPr>
      </w:pPr>
    </w:p>
    <w:p>
      <w:pPr>
        <w:pStyle w:val="ListParagraph"/>
        <w:numPr>
          <w:ilvl w:val="1"/>
          <w:numId w:val="191"/>
        </w:numPr>
        <w:tabs>
          <w:tab w:pos="729" w:val="left" w:leader="none"/>
        </w:tabs>
        <w:spacing w:line="240" w:lineRule="auto" w:before="0" w:after="0"/>
        <w:ind w:left="728" w:right="0" w:hanging="181"/>
        <w:jc w:val="both"/>
        <w:rPr>
          <w:sz w:val="15"/>
        </w:rPr>
      </w:pPr>
      <w:r>
        <w:rPr>
          <w:sz w:val="15"/>
        </w:rPr>
        <w:t>Por falta de refrendo de licencia municipal o permiso,</w:t>
      </w:r>
      <w:r>
        <w:rPr>
          <w:spacing w:val="15"/>
          <w:sz w:val="15"/>
        </w:rPr>
        <w:t> </w:t>
      </w:r>
      <w:r>
        <w:rPr>
          <w:sz w:val="15"/>
        </w:rPr>
        <w:t>de:</w:t>
      </w:r>
    </w:p>
    <w:p>
      <w:pPr>
        <w:pStyle w:val="BodyText"/>
        <w:spacing w:before="9"/>
      </w:pPr>
    </w:p>
    <w:p>
      <w:pPr>
        <w:pStyle w:val="BodyText"/>
        <w:spacing w:before="1"/>
        <w:ind w:right="2712"/>
        <w:jc w:val="right"/>
      </w:pPr>
      <w:r>
        <w:rPr/>
        <w:t>4 a 9 unidades de medida y actualización;</w:t>
      </w:r>
    </w:p>
    <w:p>
      <w:pPr>
        <w:pStyle w:val="BodyText"/>
        <w:spacing w:before="2"/>
        <w:rPr>
          <w:sz w:val="19"/>
        </w:rPr>
      </w:pPr>
    </w:p>
    <w:p>
      <w:pPr>
        <w:pStyle w:val="ListParagraph"/>
        <w:numPr>
          <w:ilvl w:val="1"/>
          <w:numId w:val="191"/>
        </w:numPr>
        <w:tabs>
          <w:tab w:pos="746" w:val="left" w:leader="none"/>
        </w:tabs>
        <w:spacing w:line="247" w:lineRule="auto" w:before="0" w:after="0"/>
        <w:ind w:left="151" w:right="2712" w:firstLine="397"/>
        <w:jc w:val="both"/>
        <w:rPr>
          <w:sz w:val="15"/>
        </w:rPr>
      </w:pPr>
      <w:r>
        <w:rPr>
          <w:sz w:val="15"/>
        </w:rPr>
        <w:t>Por no enterar los impuestos, contribuciones especiales, derechos, productos y aprovechamientos, en la forma y términos que establecen las disposiciones fiscales, sobre la suerte principal del crédito fiscal,</w:t>
      </w:r>
      <w:r>
        <w:rPr>
          <w:spacing w:val="1"/>
          <w:sz w:val="15"/>
        </w:rPr>
        <w:t> </w:t>
      </w:r>
      <w:r>
        <w:rPr>
          <w:sz w:val="15"/>
        </w:rPr>
        <w:t>del:</w:t>
      </w:r>
    </w:p>
    <w:p>
      <w:pPr>
        <w:pStyle w:val="BodyText"/>
        <w:spacing w:line="171" w:lineRule="exact"/>
        <w:ind w:left="4719"/>
        <w:jc w:val="both"/>
      </w:pPr>
      <w:r>
        <w:rPr/>
        <w:t>20% a 50%</w:t>
      </w:r>
    </w:p>
    <w:p>
      <w:pPr>
        <w:pStyle w:val="ListParagraph"/>
        <w:numPr>
          <w:ilvl w:val="1"/>
          <w:numId w:val="191"/>
        </w:numPr>
        <w:tabs>
          <w:tab w:pos="729" w:val="left" w:leader="none"/>
        </w:tabs>
        <w:spacing w:line="240" w:lineRule="auto" w:before="43" w:after="0"/>
        <w:ind w:left="728" w:right="0" w:hanging="181"/>
        <w:jc w:val="both"/>
        <w:rPr>
          <w:sz w:val="15"/>
        </w:rPr>
      </w:pPr>
      <w:r>
        <w:rPr>
          <w:sz w:val="15"/>
        </w:rPr>
        <w:t>Por no presentar licencia o permiso</w:t>
      </w:r>
      <w:r>
        <w:rPr>
          <w:spacing w:val="9"/>
          <w:sz w:val="15"/>
        </w:rPr>
        <w:t> </w:t>
      </w:r>
      <w:r>
        <w:rPr>
          <w:sz w:val="15"/>
        </w:rPr>
        <w:t>municipal:</w:t>
      </w:r>
    </w:p>
    <w:p>
      <w:pPr>
        <w:pStyle w:val="BodyText"/>
        <w:spacing w:before="3"/>
        <w:rPr>
          <w:sz w:val="19"/>
        </w:rPr>
      </w:pPr>
    </w:p>
    <w:p>
      <w:pPr>
        <w:pStyle w:val="BodyText"/>
        <w:ind w:left="493" w:right="2851"/>
        <w:jc w:val="center"/>
      </w:pPr>
      <w:r>
        <w:rPr/>
        <w:t>1.- En giros comerciales, industriales o de prestación de servicios, de:</w:t>
      </w:r>
    </w:p>
    <w:p>
      <w:pPr>
        <w:pStyle w:val="BodyText"/>
        <w:spacing w:before="4"/>
        <w:ind w:left="475" w:right="632"/>
        <w:jc w:val="center"/>
      </w:pPr>
      <w:r>
        <w:rPr/>
        <w:t>5 a 59 unidades de medida y actualización;</w:t>
      </w:r>
    </w:p>
    <w:p>
      <w:pPr>
        <w:pStyle w:val="BodyText"/>
        <w:spacing w:before="3"/>
        <w:rPr>
          <w:sz w:val="19"/>
        </w:rPr>
      </w:pPr>
    </w:p>
    <w:p>
      <w:pPr>
        <w:pStyle w:val="ListParagraph"/>
        <w:numPr>
          <w:ilvl w:val="1"/>
          <w:numId w:val="191"/>
        </w:numPr>
        <w:tabs>
          <w:tab w:pos="745" w:val="left" w:leader="none"/>
        </w:tabs>
        <w:spacing w:line="244" w:lineRule="auto" w:before="0" w:after="0"/>
        <w:ind w:left="151" w:right="2712" w:firstLine="397"/>
        <w:jc w:val="both"/>
        <w:rPr>
          <w:sz w:val="15"/>
        </w:rPr>
      </w:pPr>
      <w:r>
        <w:rPr>
          <w:sz w:val="15"/>
        </w:rPr>
        <w:t>Por la ocultación de giros gravados por la </w:t>
      </w:r>
      <w:r>
        <w:rPr>
          <w:spacing w:val="-4"/>
          <w:sz w:val="15"/>
        </w:rPr>
        <w:t>ley, </w:t>
      </w:r>
      <w:r>
        <w:rPr>
          <w:sz w:val="15"/>
        </w:rPr>
        <w:t>se sancionará con el importe,</w:t>
      </w:r>
      <w:r>
        <w:rPr>
          <w:spacing w:val="1"/>
          <w:sz w:val="15"/>
        </w:rPr>
        <w:t> </w:t>
      </w:r>
      <w:r>
        <w:rPr>
          <w:sz w:val="15"/>
        </w:rPr>
        <w:t>de:</w:t>
      </w:r>
    </w:p>
    <w:p>
      <w:pPr>
        <w:pStyle w:val="BodyText"/>
        <w:spacing w:before="6"/>
      </w:pPr>
    </w:p>
    <w:p>
      <w:pPr>
        <w:pStyle w:val="BodyText"/>
        <w:ind w:left="389" w:right="632"/>
        <w:jc w:val="center"/>
      </w:pPr>
      <w:r>
        <w:rPr/>
        <w:t>18 a 87 unidades de medida y actualización;</w:t>
      </w:r>
    </w:p>
    <w:p>
      <w:pPr>
        <w:pStyle w:val="BodyText"/>
        <w:spacing w:before="2"/>
        <w:rPr>
          <w:sz w:val="19"/>
        </w:rPr>
      </w:pPr>
    </w:p>
    <w:p>
      <w:pPr>
        <w:pStyle w:val="ListParagraph"/>
        <w:numPr>
          <w:ilvl w:val="1"/>
          <w:numId w:val="191"/>
        </w:numPr>
        <w:tabs>
          <w:tab w:pos="686" w:val="left" w:leader="none"/>
        </w:tabs>
        <w:spacing w:line="247" w:lineRule="auto" w:before="1" w:after="0"/>
        <w:ind w:left="151" w:right="3119" w:firstLine="397"/>
        <w:jc w:val="left"/>
        <w:rPr>
          <w:sz w:val="15"/>
        </w:rPr>
      </w:pPr>
      <w:r>
        <w:rPr>
          <w:sz w:val="15"/>
        </w:rPr>
        <w:t>Por no tener a la vista el original o copia certificada de la licencia municipal,</w:t>
      </w:r>
      <w:r>
        <w:rPr>
          <w:spacing w:val="1"/>
          <w:sz w:val="15"/>
        </w:rPr>
        <w:t> </w:t>
      </w:r>
      <w:r>
        <w:rPr>
          <w:sz w:val="15"/>
        </w:rPr>
        <w:t>de:</w:t>
      </w:r>
    </w:p>
    <w:p>
      <w:pPr>
        <w:pStyle w:val="BodyText"/>
        <w:spacing w:before="3"/>
      </w:pPr>
    </w:p>
    <w:p>
      <w:pPr>
        <w:pStyle w:val="BodyText"/>
        <w:spacing w:before="1"/>
        <w:ind w:left="473" w:right="632"/>
        <w:jc w:val="center"/>
      </w:pPr>
      <w:r>
        <w:rPr/>
        <w:t>3 a 81 unidades de medida y actualización;</w:t>
      </w:r>
    </w:p>
    <w:p>
      <w:pPr>
        <w:pStyle w:val="BodyText"/>
        <w:spacing w:before="2"/>
        <w:rPr>
          <w:sz w:val="19"/>
        </w:rPr>
      </w:pPr>
    </w:p>
    <w:p>
      <w:pPr>
        <w:pStyle w:val="ListParagraph"/>
        <w:numPr>
          <w:ilvl w:val="1"/>
          <w:numId w:val="191"/>
        </w:numPr>
        <w:tabs>
          <w:tab w:pos="783" w:val="left" w:leader="none"/>
        </w:tabs>
        <w:spacing w:line="247" w:lineRule="auto" w:before="0" w:after="0"/>
        <w:ind w:left="151" w:right="2713" w:firstLine="397"/>
        <w:jc w:val="left"/>
        <w:rPr>
          <w:sz w:val="15"/>
        </w:rPr>
      </w:pPr>
      <w:r>
        <w:rPr>
          <w:sz w:val="15"/>
        </w:rPr>
        <w:t>Por no mostrar la documentación de los pagos ordinarios a la Hacienda Municipal a inspectores y supervisores acreditados</w:t>
      </w:r>
      <w:r>
        <w:rPr>
          <w:spacing w:val="27"/>
          <w:sz w:val="15"/>
        </w:rPr>
        <w:t> </w:t>
      </w:r>
      <w:r>
        <w:rPr>
          <w:sz w:val="15"/>
        </w:rPr>
        <w:t>de:</w:t>
      </w:r>
    </w:p>
    <w:p>
      <w:pPr>
        <w:pStyle w:val="BodyText"/>
        <w:spacing w:before="4"/>
      </w:pPr>
    </w:p>
    <w:p>
      <w:pPr>
        <w:pStyle w:val="BodyText"/>
        <w:ind w:right="2713"/>
        <w:jc w:val="right"/>
      </w:pPr>
      <w:r>
        <w:rPr/>
        <w:t>2 a 3 unidades de medida y actualización;</w:t>
      </w:r>
    </w:p>
    <w:p>
      <w:pPr>
        <w:pStyle w:val="BodyText"/>
        <w:spacing w:before="2"/>
        <w:rPr>
          <w:sz w:val="19"/>
        </w:rPr>
      </w:pPr>
    </w:p>
    <w:p>
      <w:pPr>
        <w:pStyle w:val="ListParagraph"/>
        <w:numPr>
          <w:ilvl w:val="1"/>
          <w:numId w:val="191"/>
        </w:numPr>
        <w:tabs>
          <w:tab w:pos="764" w:val="left" w:leader="none"/>
        </w:tabs>
        <w:spacing w:line="244" w:lineRule="auto" w:before="0" w:after="0"/>
        <w:ind w:left="151" w:right="2710" w:firstLine="397"/>
        <w:jc w:val="both"/>
        <w:rPr>
          <w:sz w:val="15"/>
        </w:rPr>
      </w:pPr>
      <w:r>
        <w:rPr>
          <w:sz w:val="15"/>
        </w:rPr>
        <w:t>Por pagos extemporáneos por inspección y vigilancia, supervisión  para obras y servicios de bienestar social, sobre el monto de los pagos  omitidos,</w:t>
      </w:r>
      <w:r>
        <w:rPr>
          <w:spacing w:val="1"/>
          <w:sz w:val="15"/>
        </w:rPr>
        <w:t> </w:t>
      </w:r>
      <w:r>
        <w:rPr>
          <w:sz w:val="15"/>
        </w:rPr>
        <w:t>del:</w:t>
      </w:r>
    </w:p>
    <w:p>
      <w:pPr>
        <w:spacing w:after="0" w:line="244" w:lineRule="auto"/>
        <w:jc w:val="both"/>
        <w:rPr>
          <w:sz w:val="15"/>
        </w:rPr>
        <w:sectPr>
          <w:type w:val="continuous"/>
          <w:pgSz w:w="23250" w:h="15310" w:orient="landscape"/>
          <w:pgMar w:top="0" w:bottom="0" w:left="1880" w:right="1520"/>
          <w:cols w:num="2" w:equalWidth="0">
            <w:col w:w="7750" w:space="3872"/>
            <w:col w:w="8228"/>
          </w:cols>
        </w:sectPr>
      </w:pPr>
    </w:p>
    <w:p>
      <w:pPr>
        <w:pStyle w:val="BodyText"/>
        <w:rPr>
          <w:sz w:val="14"/>
        </w:rPr>
      </w:pPr>
    </w:p>
    <w:p>
      <w:pPr>
        <w:pStyle w:val="BodyText"/>
        <w:spacing w:line="247" w:lineRule="auto"/>
        <w:ind w:left="150" w:right="38" w:firstLine="321"/>
        <w:jc w:val="both"/>
      </w:pPr>
      <w:r>
        <w:rPr>
          <w:b/>
        </w:rPr>
        <w:t>Artículo 142.- </w:t>
      </w:r>
      <w:r>
        <w:rPr/>
        <w:t>Las sanciones de orden administrativo, que en uso de sus  facuItades,  imponga  Ia  autoridad municipaI, serán apIicadas con sujeción a Io dispuesto en eI artícuIo 197 de Ia Ley de Hacienda MunicipaI deI Estado de JaIisco, conforme a Io</w:t>
      </w:r>
      <w:r>
        <w:rPr>
          <w:spacing w:val="11"/>
        </w:rPr>
        <w:t> </w:t>
      </w:r>
      <w:r>
        <w:rPr/>
        <w:t>siguiente:</w:t>
      </w:r>
    </w:p>
    <w:p>
      <w:pPr>
        <w:pStyle w:val="BodyText"/>
        <w:spacing w:before="3"/>
        <w:ind w:left="4720"/>
      </w:pPr>
      <w:r>
        <w:rPr/>
        <w:br w:type="column"/>
      </w:r>
      <w:r>
        <w:rPr/>
        <w:t>10% a 30%</w:t>
      </w:r>
    </w:p>
    <w:p>
      <w:pPr>
        <w:pStyle w:val="ListParagraph"/>
        <w:numPr>
          <w:ilvl w:val="1"/>
          <w:numId w:val="191"/>
        </w:numPr>
        <w:tabs>
          <w:tab w:pos="711" w:val="left" w:leader="none"/>
        </w:tabs>
        <w:spacing w:line="247" w:lineRule="auto" w:before="44" w:after="0"/>
        <w:ind w:left="150" w:right="2712" w:firstLine="397"/>
        <w:jc w:val="left"/>
        <w:rPr>
          <w:sz w:val="15"/>
        </w:rPr>
      </w:pPr>
      <w:r>
        <w:rPr>
          <w:sz w:val="15"/>
        </w:rPr>
        <w:t>Por trabajar el giro después del horario autorizado, sin el permiso correspondiente, por cada hora o fracción,</w:t>
      </w:r>
      <w:r>
        <w:rPr>
          <w:spacing w:val="13"/>
          <w:sz w:val="15"/>
        </w:rPr>
        <w:t> </w:t>
      </w:r>
      <w:r>
        <w:rPr>
          <w:sz w:val="15"/>
        </w:rPr>
        <w:t>de:</w:t>
      </w:r>
    </w:p>
    <w:p>
      <w:pPr>
        <w:spacing w:after="0" w:line="247" w:lineRule="auto"/>
        <w:jc w:val="left"/>
        <w:rPr>
          <w:sz w:val="15"/>
        </w:rPr>
        <w:sectPr>
          <w:type w:val="continuous"/>
          <w:pgSz w:w="23250" w:h="15310" w:orient="landscape"/>
          <w:pgMar w:top="0" w:bottom="0" w:left="1880" w:right="1520"/>
          <w:cols w:num="2" w:equalWidth="0">
            <w:col w:w="7751" w:space="3872"/>
            <w:col w:w="8227"/>
          </w:cols>
        </w:sectPr>
      </w:pPr>
    </w:p>
    <w:p>
      <w:pPr>
        <w:pStyle w:val="BodyText"/>
        <w:spacing w:line="172" w:lineRule="exact"/>
        <w:ind w:right="1573"/>
        <w:jc w:val="right"/>
      </w:pPr>
      <w:r>
        <w:rPr/>
        <w:t>TARIFAS</w:t>
      </w:r>
    </w:p>
    <w:p>
      <w:pPr>
        <w:pStyle w:val="BodyText"/>
        <w:spacing w:before="9"/>
      </w:pPr>
    </w:p>
    <w:p>
      <w:pPr>
        <w:pStyle w:val="ListParagraph"/>
        <w:numPr>
          <w:ilvl w:val="0"/>
          <w:numId w:val="193"/>
        </w:numPr>
        <w:tabs>
          <w:tab w:pos="687" w:val="left" w:leader="none"/>
        </w:tabs>
        <w:spacing w:line="244" w:lineRule="auto" w:before="0" w:after="0"/>
        <w:ind w:left="150" w:right="38" w:firstLine="397"/>
        <w:jc w:val="left"/>
        <w:rPr>
          <w:sz w:val="15"/>
        </w:rPr>
      </w:pPr>
      <w:r>
        <w:rPr>
          <w:sz w:val="15"/>
        </w:rPr>
        <w:t>Por vioIación a Ia </w:t>
      </w:r>
      <w:r>
        <w:rPr>
          <w:spacing w:val="-4"/>
          <w:sz w:val="15"/>
        </w:rPr>
        <w:t>Ley,  </w:t>
      </w:r>
      <w:r>
        <w:rPr>
          <w:sz w:val="15"/>
        </w:rPr>
        <w:t>en materia de registro civiI, se cobrará conforme a Ias disposiciones de Ia Ley   deI Registro CiviI deI Estado de</w:t>
      </w:r>
      <w:r>
        <w:rPr>
          <w:spacing w:val="6"/>
          <w:sz w:val="15"/>
        </w:rPr>
        <w:t> </w:t>
      </w:r>
      <w:r>
        <w:rPr>
          <w:sz w:val="15"/>
        </w:rPr>
        <w:t>JaIisco;</w:t>
      </w:r>
    </w:p>
    <w:p>
      <w:pPr>
        <w:pStyle w:val="BodyText"/>
        <w:spacing w:before="6"/>
      </w:pPr>
    </w:p>
    <w:p>
      <w:pPr>
        <w:pStyle w:val="ListParagraph"/>
        <w:numPr>
          <w:ilvl w:val="0"/>
          <w:numId w:val="193"/>
        </w:numPr>
        <w:tabs>
          <w:tab w:pos="727" w:val="left" w:leader="none"/>
        </w:tabs>
        <w:spacing w:line="247" w:lineRule="auto" w:before="1" w:after="0"/>
        <w:ind w:left="150" w:right="39" w:firstLine="397"/>
        <w:jc w:val="left"/>
        <w:rPr>
          <w:sz w:val="15"/>
        </w:rPr>
      </w:pPr>
      <w:r>
        <w:rPr>
          <w:sz w:val="15"/>
        </w:rPr>
        <w:t>Son infracciones a Ias Ieyes fiscaIes y ordenamientos municipaIes, Ias que a continuación se indican, señaIándose Ias sanciones</w:t>
      </w:r>
      <w:r>
        <w:rPr>
          <w:spacing w:val="4"/>
          <w:sz w:val="15"/>
        </w:rPr>
        <w:t> </w:t>
      </w:r>
      <w:r>
        <w:rPr>
          <w:sz w:val="15"/>
        </w:rPr>
        <w:t>correspondientes:</w:t>
      </w:r>
    </w:p>
    <w:p>
      <w:pPr>
        <w:pStyle w:val="BodyText"/>
        <w:spacing w:before="2"/>
      </w:pPr>
    </w:p>
    <w:p>
      <w:pPr>
        <w:pStyle w:val="BodyText"/>
        <w:spacing w:before="1"/>
        <w:ind w:left="577"/>
      </w:pPr>
      <w:r>
        <w:rPr/>
        <w:t>a) Por faIta de Iicencia municipaI o permiso, de:</w:t>
      </w:r>
    </w:p>
    <w:p>
      <w:pPr>
        <w:pStyle w:val="BodyText"/>
        <w:spacing w:before="5"/>
        <w:rPr>
          <w:sz w:val="17"/>
        </w:rPr>
      </w:pPr>
    </w:p>
    <w:p>
      <w:pPr>
        <w:pStyle w:val="BodyText"/>
        <w:spacing w:before="1"/>
        <w:ind w:left="548"/>
      </w:pPr>
      <w:r>
        <w:rPr/>
        <w:t>1. En giros comerciaIes, industriaIes o de prestación de servicios, de:</w:t>
      </w:r>
    </w:p>
    <w:p>
      <w:pPr>
        <w:pStyle w:val="BodyText"/>
        <w:spacing w:before="4"/>
        <w:ind w:left="2468"/>
      </w:pPr>
      <w:r>
        <w:rPr/>
        <w:t>6 a 149 unidades de medida y actuaIización;</w:t>
      </w:r>
    </w:p>
    <w:p>
      <w:pPr>
        <w:pStyle w:val="BodyText"/>
        <w:spacing w:before="56"/>
        <w:ind w:right="2712"/>
        <w:jc w:val="right"/>
      </w:pPr>
      <w:r>
        <w:rPr/>
        <w:br w:type="column"/>
      </w:r>
      <w:r>
        <w:rPr/>
        <w:t>7</w:t>
      </w:r>
      <w:r>
        <w:rPr>
          <w:spacing w:val="10"/>
        </w:rPr>
        <w:t> </w:t>
      </w:r>
      <w:r>
        <w:rPr/>
        <w:t>a</w:t>
      </w:r>
      <w:r>
        <w:rPr>
          <w:spacing w:val="10"/>
        </w:rPr>
        <w:t> </w:t>
      </w:r>
      <w:r>
        <w:rPr/>
        <w:t>21</w:t>
      </w:r>
      <w:r>
        <w:rPr>
          <w:spacing w:val="10"/>
        </w:rPr>
        <w:t> </w:t>
      </w:r>
      <w:r>
        <w:rPr/>
        <w:t>unidades</w:t>
      </w:r>
      <w:r>
        <w:rPr>
          <w:spacing w:val="10"/>
        </w:rPr>
        <w:t> </w:t>
      </w:r>
      <w:r>
        <w:rPr/>
        <w:t>de</w:t>
      </w:r>
      <w:r>
        <w:rPr>
          <w:spacing w:val="10"/>
        </w:rPr>
        <w:t> </w:t>
      </w:r>
      <w:r>
        <w:rPr/>
        <w:t>medida</w:t>
      </w:r>
      <w:r>
        <w:rPr>
          <w:spacing w:val="10"/>
        </w:rPr>
        <w:t> </w:t>
      </w:r>
      <w:r>
        <w:rPr/>
        <w:t>y</w:t>
      </w:r>
      <w:r>
        <w:rPr>
          <w:spacing w:val="10"/>
        </w:rPr>
        <w:t> </w:t>
      </w:r>
      <w:r>
        <w:rPr/>
        <w:t>actualización;</w:t>
      </w:r>
    </w:p>
    <w:p>
      <w:pPr>
        <w:pStyle w:val="BodyText"/>
        <w:spacing w:before="3"/>
        <w:rPr>
          <w:sz w:val="19"/>
        </w:rPr>
      </w:pPr>
    </w:p>
    <w:p>
      <w:pPr>
        <w:pStyle w:val="ListParagraph"/>
        <w:numPr>
          <w:ilvl w:val="0"/>
          <w:numId w:val="194"/>
        </w:numPr>
        <w:tabs>
          <w:tab w:pos="713" w:val="left" w:leader="none"/>
        </w:tabs>
        <w:spacing w:line="244" w:lineRule="auto" w:before="1" w:after="0"/>
        <w:ind w:left="150" w:right="2712" w:firstLine="397"/>
        <w:jc w:val="left"/>
        <w:rPr>
          <w:sz w:val="15"/>
        </w:rPr>
      </w:pPr>
      <w:r>
        <w:rPr>
          <w:sz w:val="15"/>
        </w:rPr>
        <w:t>Por violar sellos, cuando un giro esté clausurado por la autoridad municipal,</w:t>
      </w:r>
      <w:r>
        <w:rPr>
          <w:spacing w:val="1"/>
          <w:sz w:val="15"/>
        </w:rPr>
        <w:t> </w:t>
      </w:r>
      <w:r>
        <w:rPr>
          <w:sz w:val="15"/>
        </w:rPr>
        <w:t>de:</w:t>
      </w:r>
    </w:p>
    <w:p>
      <w:pPr>
        <w:pStyle w:val="BodyText"/>
        <w:spacing w:before="6"/>
      </w:pPr>
    </w:p>
    <w:p>
      <w:pPr>
        <w:pStyle w:val="BodyText"/>
        <w:ind w:right="2711"/>
        <w:jc w:val="right"/>
      </w:pPr>
      <w:r>
        <w:rPr/>
        <w:t>50</w:t>
      </w:r>
      <w:r>
        <w:rPr>
          <w:spacing w:val="10"/>
        </w:rPr>
        <w:t> </w:t>
      </w:r>
      <w:r>
        <w:rPr/>
        <w:t>a</w:t>
      </w:r>
      <w:r>
        <w:rPr>
          <w:spacing w:val="11"/>
        </w:rPr>
        <w:t> </w:t>
      </w:r>
      <w:r>
        <w:rPr/>
        <w:t>100</w:t>
      </w:r>
      <w:r>
        <w:rPr>
          <w:spacing w:val="11"/>
        </w:rPr>
        <w:t> </w:t>
      </w:r>
      <w:r>
        <w:rPr/>
        <w:t>Unidades</w:t>
      </w:r>
      <w:r>
        <w:rPr>
          <w:spacing w:val="11"/>
        </w:rPr>
        <w:t> </w:t>
      </w:r>
      <w:r>
        <w:rPr/>
        <w:t>de</w:t>
      </w:r>
      <w:r>
        <w:rPr>
          <w:spacing w:val="11"/>
        </w:rPr>
        <w:t> </w:t>
      </w:r>
      <w:r>
        <w:rPr/>
        <w:t>Medida</w:t>
      </w:r>
      <w:r>
        <w:rPr>
          <w:spacing w:val="11"/>
        </w:rPr>
        <w:t> </w:t>
      </w:r>
      <w:r>
        <w:rPr/>
        <w:t>y</w:t>
      </w:r>
      <w:r>
        <w:rPr>
          <w:spacing w:val="11"/>
        </w:rPr>
        <w:t> </w:t>
      </w:r>
      <w:r>
        <w:rPr/>
        <w:t>Actualización;</w:t>
      </w:r>
    </w:p>
    <w:p>
      <w:pPr>
        <w:pStyle w:val="BodyText"/>
        <w:spacing w:before="2"/>
        <w:rPr>
          <w:sz w:val="19"/>
        </w:rPr>
      </w:pPr>
    </w:p>
    <w:p>
      <w:pPr>
        <w:pStyle w:val="ListParagraph"/>
        <w:numPr>
          <w:ilvl w:val="0"/>
          <w:numId w:val="194"/>
        </w:numPr>
        <w:tabs>
          <w:tab w:pos="720" w:val="left" w:leader="none"/>
        </w:tabs>
        <w:spacing w:line="247" w:lineRule="auto" w:before="0" w:after="0"/>
        <w:ind w:left="150" w:right="3165" w:firstLine="397"/>
        <w:jc w:val="left"/>
        <w:rPr>
          <w:sz w:val="15"/>
        </w:rPr>
      </w:pPr>
      <w:r>
        <w:rPr>
          <w:sz w:val="15"/>
        </w:rPr>
        <w:t>Por manifestar datos falsos y ocultar información al personal de inspección sobre el giro y/o actividad autorizada,</w:t>
      </w:r>
      <w:r>
        <w:rPr>
          <w:spacing w:val="19"/>
          <w:sz w:val="15"/>
        </w:rPr>
        <w:t> </w:t>
      </w:r>
      <w:r>
        <w:rPr>
          <w:sz w:val="15"/>
        </w:rPr>
        <w:t>de:</w:t>
      </w:r>
    </w:p>
    <w:p>
      <w:pPr>
        <w:pStyle w:val="BodyText"/>
        <w:spacing w:before="4"/>
      </w:pPr>
    </w:p>
    <w:p>
      <w:pPr>
        <w:pStyle w:val="BodyText"/>
        <w:ind w:right="2712"/>
        <w:jc w:val="right"/>
      </w:pPr>
      <w:r>
        <w:rPr/>
        <w:t>9 a 75 unidades de medida y actualización;</w:t>
      </w:r>
    </w:p>
    <w:p>
      <w:pPr>
        <w:spacing w:after="0"/>
        <w:jc w:val="right"/>
        <w:sectPr>
          <w:type w:val="continuous"/>
          <w:pgSz w:w="23250" w:h="15310" w:orient="landscape"/>
          <w:pgMar w:top="0" w:bottom="0" w:left="1880" w:right="1520"/>
          <w:cols w:num="2" w:equalWidth="0">
            <w:col w:w="7748" w:space="3874"/>
            <w:col w:w="8228"/>
          </w:cols>
        </w:sectPr>
      </w:pPr>
    </w:p>
    <w:p>
      <w:pPr>
        <w:pStyle w:val="BodyText"/>
        <w:rPr>
          <w:sz w:val="20"/>
        </w:rPr>
      </w:pPr>
    </w:p>
    <w:p>
      <w:pPr>
        <w:pStyle w:val="BodyText"/>
        <w:rPr>
          <w:sz w:val="20"/>
        </w:rPr>
      </w:pPr>
    </w:p>
    <w:p>
      <w:pPr>
        <w:spacing w:after="0"/>
        <w:rPr>
          <w:sz w:val="20"/>
        </w:rPr>
        <w:sectPr>
          <w:headerReference w:type="default" r:id="rId113"/>
          <w:pgSz w:w="23250" w:h="15310" w:orient="landscape"/>
          <w:pgMar w:header="881" w:footer="499" w:top="1920" w:bottom="680" w:left="1880" w:right="1520"/>
        </w:sectPr>
      </w:pPr>
    </w:p>
    <w:p>
      <w:pPr>
        <w:pStyle w:val="BodyText"/>
        <w:spacing w:before="10"/>
        <w:rPr>
          <w:sz w:val="19"/>
        </w:rPr>
      </w:pPr>
    </w:p>
    <w:p>
      <w:pPr>
        <w:pStyle w:val="BodyText"/>
        <w:ind w:left="548"/>
      </w:pPr>
      <w:r>
        <w:rPr/>
        <w:t>I) Por eI uso indebido de Iicencia municipaI, en Ios siguientes casos:</w:t>
      </w:r>
    </w:p>
    <w:p>
      <w:pPr>
        <w:pStyle w:val="BodyText"/>
        <w:spacing w:before="3"/>
        <w:rPr>
          <w:sz w:val="19"/>
        </w:rPr>
      </w:pPr>
    </w:p>
    <w:p>
      <w:pPr>
        <w:pStyle w:val="ListParagraph"/>
        <w:numPr>
          <w:ilvl w:val="0"/>
          <w:numId w:val="195"/>
        </w:numPr>
        <w:tabs>
          <w:tab w:pos="738" w:val="left" w:leader="none"/>
        </w:tabs>
        <w:spacing w:line="244" w:lineRule="auto" w:before="0" w:after="0"/>
        <w:ind w:left="150" w:right="38" w:firstLine="397"/>
        <w:jc w:val="both"/>
        <w:rPr>
          <w:sz w:val="15"/>
        </w:rPr>
      </w:pPr>
      <w:r>
        <w:rPr>
          <w:sz w:val="15"/>
        </w:rPr>
        <w:t>Tratándose de actividades no manifestadas o sin previa autorización  en giros tipo A y B,</w:t>
      </w:r>
      <w:r>
        <w:rPr>
          <w:spacing w:val="-10"/>
          <w:sz w:val="15"/>
        </w:rPr>
        <w:t> </w:t>
      </w:r>
      <w:r>
        <w:rPr>
          <w:sz w:val="15"/>
        </w:rPr>
        <w:t>de:</w:t>
      </w:r>
    </w:p>
    <w:p>
      <w:pPr>
        <w:pStyle w:val="BodyText"/>
        <w:spacing w:before="6"/>
      </w:pPr>
    </w:p>
    <w:p>
      <w:pPr>
        <w:pStyle w:val="BodyText"/>
        <w:ind w:right="39"/>
        <w:jc w:val="right"/>
      </w:pPr>
      <w:r>
        <w:rPr/>
        <w:t>9 a 124 unidades de medida y actuaIización;</w:t>
      </w:r>
    </w:p>
    <w:p>
      <w:pPr>
        <w:pStyle w:val="BodyText"/>
        <w:spacing w:before="2"/>
        <w:rPr>
          <w:sz w:val="19"/>
        </w:rPr>
      </w:pPr>
    </w:p>
    <w:p>
      <w:pPr>
        <w:pStyle w:val="ListParagraph"/>
        <w:numPr>
          <w:ilvl w:val="0"/>
          <w:numId w:val="195"/>
        </w:numPr>
        <w:tabs>
          <w:tab w:pos="808" w:val="left" w:leader="none"/>
        </w:tabs>
        <w:spacing w:line="247" w:lineRule="auto" w:before="0" w:after="0"/>
        <w:ind w:left="150" w:right="39" w:firstLine="397"/>
        <w:jc w:val="both"/>
        <w:rPr>
          <w:sz w:val="15"/>
        </w:rPr>
      </w:pPr>
      <w:r>
        <w:rPr>
          <w:sz w:val="15"/>
        </w:rPr>
        <w:t>Cuando se advierta su utiIización para Ia venta de  bebidas aIcohóIicas de:</w:t>
      </w:r>
    </w:p>
    <w:p>
      <w:pPr>
        <w:pStyle w:val="BodyText"/>
        <w:spacing w:before="4"/>
      </w:pPr>
    </w:p>
    <w:p>
      <w:pPr>
        <w:pStyle w:val="BodyText"/>
        <w:ind w:right="38"/>
        <w:jc w:val="right"/>
      </w:pPr>
      <w:r>
        <w:rPr/>
        <w:t>45</w:t>
      </w:r>
      <w:r>
        <w:rPr>
          <w:spacing w:val="9"/>
        </w:rPr>
        <w:t> </w:t>
      </w:r>
      <w:r>
        <w:rPr/>
        <w:t>a</w:t>
      </w:r>
      <w:r>
        <w:rPr>
          <w:spacing w:val="10"/>
        </w:rPr>
        <w:t> </w:t>
      </w:r>
      <w:r>
        <w:rPr/>
        <w:t>147</w:t>
      </w:r>
      <w:r>
        <w:rPr>
          <w:spacing w:val="9"/>
        </w:rPr>
        <w:t> </w:t>
      </w:r>
      <w:r>
        <w:rPr/>
        <w:t>unidades</w:t>
      </w:r>
      <w:r>
        <w:rPr>
          <w:spacing w:val="10"/>
        </w:rPr>
        <w:t> </w:t>
      </w:r>
      <w:r>
        <w:rPr/>
        <w:t>de</w:t>
      </w:r>
      <w:r>
        <w:rPr>
          <w:spacing w:val="9"/>
        </w:rPr>
        <w:t> </w:t>
      </w:r>
      <w:r>
        <w:rPr/>
        <w:t>medida</w:t>
      </w:r>
      <w:r>
        <w:rPr>
          <w:spacing w:val="10"/>
        </w:rPr>
        <w:t> </w:t>
      </w:r>
      <w:r>
        <w:rPr/>
        <w:t>y</w:t>
      </w:r>
      <w:r>
        <w:rPr>
          <w:spacing w:val="9"/>
        </w:rPr>
        <w:t> </w:t>
      </w:r>
      <w:r>
        <w:rPr/>
        <w:t>actuaIización;</w:t>
      </w:r>
    </w:p>
    <w:p>
      <w:pPr>
        <w:pStyle w:val="BodyText"/>
        <w:spacing w:before="2"/>
        <w:rPr>
          <w:sz w:val="19"/>
        </w:rPr>
      </w:pPr>
    </w:p>
    <w:p>
      <w:pPr>
        <w:pStyle w:val="ListParagraph"/>
        <w:numPr>
          <w:ilvl w:val="0"/>
          <w:numId w:val="195"/>
        </w:numPr>
        <w:tabs>
          <w:tab w:pos="808" w:val="left" w:leader="none"/>
        </w:tabs>
        <w:spacing w:line="247" w:lineRule="auto" w:before="1" w:after="0"/>
        <w:ind w:left="150" w:right="40" w:firstLine="397"/>
        <w:jc w:val="both"/>
        <w:rPr>
          <w:sz w:val="15"/>
        </w:rPr>
      </w:pPr>
      <w:r>
        <w:rPr>
          <w:sz w:val="15"/>
        </w:rPr>
        <w:t>Cuando se advierta su utiIización para consumo de bebidas aIcohóIicas, de:</w:t>
      </w:r>
    </w:p>
    <w:p>
      <w:pPr>
        <w:pStyle w:val="BodyText"/>
        <w:spacing w:before="3"/>
      </w:pPr>
    </w:p>
    <w:p>
      <w:pPr>
        <w:pStyle w:val="BodyText"/>
        <w:ind w:right="39"/>
        <w:jc w:val="right"/>
      </w:pPr>
      <w:r>
        <w:rPr/>
        <w:t>57</w:t>
      </w:r>
      <w:r>
        <w:rPr>
          <w:spacing w:val="9"/>
        </w:rPr>
        <w:t> </w:t>
      </w:r>
      <w:r>
        <w:rPr/>
        <w:t>a</w:t>
      </w:r>
      <w:r>
        <w:rPr>
          <w:spacing w:val="9"/>
        </w:rPr>
        <w:t> </w:t>
      </w:r>
      <w:r>
        <w:rPr/>
        <w:t>88</w:t>
      </w:r>
      <w:r>
        <w:rPr>
          <w:spacing w:val="9"/>
        </w:rPr>
        <w:t> </w:t>
      </w:r>
      <w:r>
        <w:rPr/>
        <w:t>unidades</w:t>
      </w:r>
      <w:r>
        <w:rPr>
          <w:spacing w:val="9"/>
        </w:rPr>
        <w:t> </w:t>
      </w:r>
      <w:r>
        <w:rPr/>
        <w:t>de</w:t>
      </w:r>
      <w:r>
        <w:rPr>
          <w:spacing w:val="9"/>
        </w:rPr>
        <w:t> </w:t>
      </w:r>
      <w:r>
        <w:rPr/>
        <w:t>medida</w:t>
      </w:r>
      <w:r>
        <w:rPr>
          <w:spacing w:val="9"/>
        </w:rPr>
        <w:t> </w:t>
      </w:r>
      <w:r>
        <w:rPr/>
        <w:t>y</w:t>
      </w:r>
      <w:r>
        <w:rPr>
          <w:spacing w:val="9"/>
        </w:rPr>
        <w:t> </w:t>
      </w:r>
      <w:r>
        <w:rPr/>
        <w:t>actuaIización;</w:t>
      </w:r>
    </w:p>
    <w:p>
      <w:pPr>
        <w:pStyle w:val="BodyText"/>
        <w:spacing w:before="2"/>
        <w:rPr>
          <w:sz w:val="19"/>
        </w:rPr>
      </w:pPr>
    </w:p>
    <w:p>
      <w:pPr>
        <w:pStyle w:val="ListParagraph"/>
        <w:numPr>
          <w:ilvl w:val="0"/>
          <w:numId w:val="195"/>
        </w:numPr>
        <w:tabs>
          <w:tab w:pos="832" w:val="left" w:leader="none"/>
        </w:tabs>
        <w:spacing w:line="247" w:lineRule="auto" w:before="1" w:after="0"/>
        <w:ind w:left="150" w:right="39" w:firstLine="397"/>
        <w:jc w:val="both"/>
        <w:rPr>
          <w:sz w:val="15"/>
        </w:rPr>
      </w:pPr>
      <w:r>
        <w:rPr>
          <w:sz w:val="15"/>
        </w:rPr>
        <w:t>Por evidenciar documentos faIsos (Iicencia, permiso, recibo MunicipaI), aIterados y modificados en todos sus eIementos,</w:t>
      </w:r>
      <w:r>
        <w:rPr>
          <w:spacing w:val="25"/>
          <w:sz w:val="15"/>
        </w:rPr>
        <w:t> </w:t>
      </w:r>
      <w:r>
        <w:rPr>
          <w:sz w:val="15"/>
        </w:rPr>
        <w:t>de:</w:t>
      </w:r>
    </w:p>
    <w:p>
      <w:pPr>
        <w:pStyle w:val="BodyText"/>
        <w:spacing w:before="2"/>
      </w:pPr>
    </w:p>
    <w:p>
      <w:pPr>
        <w:pStyle w:val="BodyText"/>
        <w:ind w:right="38"/>
        <w:jc w:val="right"/>
      </w:pPr>
      <w:r>
        <w:rPr/>
        <w:t>58 a 343 unidades de medida y actuaIización;</w:t>
      </w:r>
    </w:p>
    <w:p>
      <w:pPr>
        <w:pStyle w:val="BodyText"/>
        <w:spacing w:before="3"/>
        <w:rPr>
          <w:sz w:val="19"/>
        </w:rPr>
      </w:pPr>
    </w:p>
    <w:p>
      <w:pPr>
        <w:pStyle w:val="ListParagraph"/>
        <w:numPr>
          <w:ilvl w:val="0"/>
          <w:numId w:val="196"/>
        </w:numPr>
        <w:tabs>
          <w:tab w:pos="854" w:val="left" w:leader="none"/>
        </w:tabs>
        <w:spacing w:line="244" w:lineRule="auto" w:before="1" w:after="0"/>
        <w:ind w:left="150" w:right="39" w:firstLine="397"/>
        <w:jc w:val="both"/>
        <w:rPr>
          <w:sz w:val="15"/>
        </w:rPr>
      </w:pPr>
      <w:r>
        <w:rPr>
          <w:sz w:val="15"/>
        </w:rPr>
        <w:t>Por impedir que eI inspector, supervisor o interventor fiscaI autorizado reaIice Iabores de inspección,</w:t>
      </w:r>
      <w:r>
        <w:rPr>
          <w:spacing w:val="9"/>
          <w:sz w:val="15"/>
        </w:rPr>
        <w:t> </w:t>
      </w:r>
      <w:r>
        <w:rPr>
          <w:sz w:val="15"/>
        </w:rPr>
        <w:t>de:</w:t>
      </w:r>
    </w:p>
    <w:p>
      <w:pPr>
        <w:pStyle w:val="BodyText"/>
        <w:spacing w:before="6"/>
      </w:pPr>
    </w:p>
    <w:p>
      <w:pPr>
        <w:pStyle w:val="BodyText"/>
        <w:ind w:right="39"/>
        <w:jc w:val="right"/>
      </w:pPr>
      <w:r>
        <w:rPr/>
        <w:t>41 a 82 unidades de medida y actuaIización;</w:t>
      </w:r>
    </w:p>
    <w:p>
      <w:pPr>
        <w:pStyle w:val="BodyText"/>
        <w:spacing w:before="2"/>
        <w:rPr>
          <w:sz w:val="19"/>
        </w:rPr>
      </w:pPr>
    </w:p>
    <w:p>
      <w:pPr>
        <w:pStyle w:val="ListParagraph"/>
        <w:numPr>
          <w:ilvl w:val="0"/>
          <w:numId w:val="196"/>
        </w:numPr>
        <w:tabs>
          <w:tab w:pos="766" w:val="left" w:leader="none"/>
        </w:tabs>
        <w:spacing w:line="247" w:lineRule="auto" w:before="0" w:after="0"/>
        <w:ind w:left="150" w:right="38" w:firstLine="397"/>
        <w:jc w:val="both"/>
        <w:rPr>
          <w:sz w:val="15"/>
        </w:rPr>
      </w:pPr>
      <w:r>
        <w:rPr>
          <w:sz w:val="15"/>
        </w:rPr>
        <w:t>Por resistirse por cuaIquier medio a Ias visitas de inspección y/o auditoría, o por no suministrar Ios datos, informes, documentos o demás registros que IegaImente puedan exigir Ios inspectores, auditores y supervisores,</w:t>
      </w:r>
      <w:r>
        <w:rPr>
          <w:spacing w:val="1"/>
          <w:sz w:val="15"/>
        </w:rPr>
        <w:t> </w:t>
      </w:r>
      <w:r>
        <w:rPr>
          <w:sz w:val="15"/>
        </w:rPr>
        <w:t>de:</w:t>
      </w:r>
    </w:p>
    <w:p>
      <w:pPr>
        <w:pStyle w:val="BodyText"/>
        <w:spacing w:before="2"/>
      </w:pPr>
    </w:p>
    <w:p>
      <w:pPr>
        <w:pStyle w:val="BodyText"/>
        <w:ind w:right="39"/>
        <w:jc w:val="right"/>
      </w:pPr>
      <w:r>
        <w:rPr/>
        <w:t>25 a 49 unidades de medida y actuaIización;</w:t>
      </w:r>
    </w:p>
    <w:p>
      <w:pPr>
        <w:pStyle w:val="BodyText"/>
        <w:spacing w:before="3"/>
        <w:rPr>
          <w:sz w:val="19"/>
        </w:rPr>
      </w:pPr>
    </w:p>
    <w:p>
      <w:pPr>
        <w:pStyle w:val="BodyText"/>
        <w:spacing w:line="244" w:lineRule="auto"/>
        <w:ind w:left="151" w:right="39" w:firstLine="397"/>
        <w:jc w:val="both"/>
      </w:pPr>
      <w:r>
        <w:rPr/>
        <w:t>ñ) Por pagar Ios créditos fiscaIes con documentos incobrabIes, se apIicará, Ia indemnización que marca Ia Ley GeneraI de TítuIos y Operaciones de Crédito, en sus artícuIos reIativos.</w:t>
      </w:r>
    </w:p>
    <w:p>
      <w:pPr>
        <w:pStyle w:val="BodyText"/>
        <w:spacing w:before="1"/>
        <w:rPr>
          <w:sz w:val="19"/>
        </w:rPr>
      </w:pPr>
    </w:p>
    <w:p>
      <w:pPr>
        <w:pStyle w:val="ListParagraph"/>
        <w:numPr>
          <w:ilvl w:val="0"/>
          <w:numId w:val="196"/>
        </w:numPr>
        <w:tabs>
          <w:tab w:pos="778" w:val="left" w:leader="none"/>
        </w:tabs>
        <w:spacing w:line="247" w:lineRule="auto" w:before="0" w:after="0"/>
        <w:ind w:left="151" w:right="39" w:firstLine="397"/>
        <w:jc w:val="both"/>
        <w:rPr>
          <w:sz w:val="15"/>
        </w:rPr>
      </w:pPr>
      <w:r>
        <w:rPr>
          <w:sz w:val="15"/>
        </w:rPr>
        <w:t>Cuando Ias infracciones señaIadas en Ios incisos anteriores, se cometan en Ios estabIecimientos definidos en Ia Ley para  ReguIar Ia </w:t>
      </w:r>
      <w:r>
        <w:rPr>
          <w:spacing w:val="-3"/>
          <w:sz w:val="15"/>
        </w:rPr>
        <w:t>Venta  </w:t>
      </w:r>
      <w:r>
        <w:rPr>
          <w:sz w:val="15"/>
        </w:rPr>
        <w:t>y  eI Consumo de Bebidas AIcohóIicas deI Estado de JaIisco, se impondrá muIta, de:</w:t>
      </w:r>
    </w:p>
    <w:p>
      <w:pPr>
        <w:pStyle w:val="BodyText"/>
        <w:spacing w:before="2"/>
      </w:pPr>
    </w:p>
    <w:p>
      <w:pPr>
        <w:pStyle w:val="BodyText"/>
        <w:spacing w:before="1"/>
        <w:ind w:right="39"/>
        <w:jc w:val="right"/>
      </w:pPr>
      <w:r>
        <w:rPr/>
        <w:t>128 a 230 unidades de medida y actuaIización;</w:t>
      </w:r>
    </w:p>
    <w:p>
      <w:pPr>
        <w:pStyle w:val="BodyText"/>
        <w:spacing w:before="2"/>
        <w:rPr>
          <w:sz w:val="19"/>
        </w:rPr>
      </w:pPr>
    </w:p>
    <w:p>
      <w:pPr>
        <w:pStyle w:val="ListParagraph"/>
        <w:numPr>
          <w:ilvl w:val="0"/>
          <w:numId w:val="196"/>
        </w:numPr>
        <w:tabs>
          <w:tab w:pos="737" w:val="left" w:leader="none"/>
        </w:tabs>
        <w:spacing w:line="247" w:lineRule="auto" w:before="0" w:after="0"/>
        <w:ind w:left="151" w:right="38" w:firstLine="397"/>
        <w:jc w:val="both"/>
        <w:rPr>
          <w:sz w:val="15"/>
        </w:rPr>
      </w:pPr>
      <w:r>
        <w:rPr>
          <w:sz w:val="15"/>
        </w:rPr>
        <w:t>Por  no  presentar  Ias  manifestaciones,  decIaraciones  y   avisos  a  Ia autoridad municipaI que exijan Ias disposiciones fiscaIes,</w:t>
      </w:r>
      <w:r>
        <w:rPr>
          <w:spacing w:val="38"/>
          <w:sz w:val="15"/>
        </w:rPr>
        <w:t> </w:t>
      </w:r>
      <w:r>
        <w:rPr>
          <w:sz w:val="15"/>
        </w:rPr>
        <w:t>de:</w:t>
      </w:r>
    </w:p>
    <w:p>
      <w:pPr>
        <w:pStyle w:val="BodyText"/>
        <w:spacing w:line="172" w:lineRule="exact"/>
        <w:ind w:left="2896"/>
      </w:pPr>
      <w:r>
        <w:rPr/>
        <w:t>5 unidades de medida y actuaIización;</w:t>
      </w:r>
    </w:p>
    <w:p>
      <w:pPr>
        <w:pStyle w:val="BodyText"/>
        <w:spacing w:before="2"/>
        <w:rPr>
          <w:sz w:val="19"/>
        </w:rPr>
      </w:pPr>
    </w:p>
    <w:p>
      <w:pPr>
        <w:pStyle w:val="ListParagraph"/>
        <w:numPr>
          <w:ilvl w:val="0"/>
          <w:numId w:val="196"/>
        </w:numPr>
        <w:tabs>
          <w:tab w:pos="765" w:val="left" w:leader="none"/>
        </w:tabs>
        <w:spacing w:line="247" w:lineRule="auto" w:before="0" w:after="0"/>
        <w:ind w:left="151" w:right="38" w:firstLine="397"/>
        <w:jc w:val="both"/>
        <w:rPr>
          <w:sz w:val="15"/>
        </w:rPr>
      </w:pPr>
      <w:r>
        <w:rPr>
          <w:sz w:val="15"/>
        </w:rPr>
        <w:t>Las infracciones de carácter fiscaI que se cometan a Ias Ieyes y regIamentos municipaIes serán sancionadas por Ia Hacienda MunicipaI de conformidad con Io previsto en dichos ordenamientos; a faIta de sanción expresa, se apIicará una muIta</w:t>
      </w:r>
      <w:r>
        <w:rPr>
          <w:spacing w:val="6"/>
          <w:sz w:val="15"/>
        </w:rPr>
        <w:t> </w:t>
      </w:r>
      <w:r>
        <w:rPr>
          <w:sz w:val="15"/>
        </w:rPr>
        <w:t>de:</w:t>
      </w:r>
    </w:p>
    <w:p>
      <w:pPr>
        <w:pStyle w:val="BodyText"/>
        <w:spacing w:before="9"/>
        <w:rPr>
          <w:sz w:val="19"/>
        </w:rPr>
      </w:pPr>
      <w:r>
        <w:rPr/>
        <w:br w:type="column"/>
      </w:r>
      <w:r>
        <w:rPr>
          <w:sz w:val="19"/>
        </w:rPr>
      </w:r>
    </w:p>
    <w:p>
      <w:pPr>
        <w:pStyle w:val="BodyText"/>
        <w:ind w:right="2711"/>
        <w:jc w:val="right"/>
      </w:pPr>
      <w:r>
        <w:rPr/>
        <w:t>27 a 100 unidades de medida y actualización;</w:t>
      </w:r>
    </w:p>
    <w:p>
      <w:pPr>
        <w:pStyle w:val="BodyText"/>
        <w:spacing w:before="3"/>
        <w:rPr>
          <w:sz w:val="19"/>
        </w:rPr>
      </w:pPr>
    </w:p>
    <w:p>
      <w:pPr>
        <w:pStyle w:val="ListParagraph"/>
        <w:numPr>
          <w:ilvl w:val="0"/>
          <w:numId w:val="196"/>
        </w:numPr>
        <w:tabs>
          <w:tab w:pos="694" w:val="left" w:leader="none"/>
        </w:tabs>
        <w:spacing w:line="244" w:lineRule="auto" w:before="0" w:after="0"/>
        <w:ind w:left="150" w:right="2916" w:firstLine="397"/>
        <w:jc w:val="left"/>
        <w:rPr>
          <w:sz w:val="15"/>
        </w:rPr>
      </w:pPr>
      <w:r>
        <w:rPr>
          <w:sz w:val="15"/>
        </w:rPr>
        <w:t>Por infringir disposiciones fiscales municipales en forma no prevista en los incisos anteriores,</w:t>
      </w:r>
      <w:r>
        <w:rPr>
          <w:spacing w:val="5"/>
          <w:sz w:val="15"/>
        </w:rPr>
        <w:t> </w:t>
      </w:r>
      <w:r>
        <w:rPr>
          <w:sz w:val="15"/>
        </w:rPr>
        <w:t>de:</w:t>
      </w:r>
    </w:p>
    <w:p>
      <w:pPr>
        <w:pStyle w:val="BodyText"/>
        <w:spacing w:before="6"/>
      </w:pPr>
    </w:p>
    <w:p>
      <w:pPr>
        <w:pStyle w:val="BodyText"/>
        <w:spacing w:before="1"/>
        <w:ind w:right="2712"/>
        <w:jc w:val="right"/>
      </w:pPr>
      <w:r>
        <w:rPr/>
        <w:t>10 a 32 unidades de medida y actualización;</w:t>
      </w:r>
    </w:p>
    <w:p>
      <w:pPr>
        <w:pStyle w:val="BodyText"/>
        <w:spacing w:before="2"/>
        <w:rPr>
          <w:sz w:val="19"/>
        </w:rPr>
      </w:pPr>
    </w:p>
    <w:p>
      <w:pPr>
        <w:pStyle w:val="ListParagraph"/>
        <w:numPr>
          <w:ilvl w:val="0"/>
          <w:numId w:val="196"/>
        </w:numPr>
        <w:tabs>
          <w:tab w:pos="763" w:val="left" w:leader="none"/>
        </w:tabs>
        <w:spacing w:line="247" w:lineRule="auto" w:before="0" w:after="0"/>
        <w:ind w:left="150" w:right="2712" w:firstLine="397"/>
        <w:jc w:val="left"/>
        <w:rPr>
          <w:sz w:val="15"/>
        </w:rPr>
      </w:pPr>
      <w:r>
        <w:rPr>
          <w:sz w:val="15"/>
        </w:rPr>
        <w:t>Por infringir en forma no prevista en los incisos anteriores otras disposiciones de giros comerciales o de prestación de Servicios de:</w:t>
      </w:r>
    </w:p>
    <w:p>
      <w:pPr>
        <w:pStyle w:val="BodyText"/>
        <w:spacing w:before="3"/>
      </w:pPr>
    </w:p>
    <w:p>
      <w:pPr>
        <w:pStyle w:val="BodyText"/>
        <w:spacing w:before="1"/>
        <w:ind w:right="2712"/>
        <w:jc w:val="right"/>
      </w:pPr>
      <w:r>
        <w:rPr/>
        <w:t>14 a 72 unidades de medida y actualización;</w:t>
      </w:r>
    </w:p>
    <w:p>
      <w:pPr>
        <w:pStyle w:val="BodyText"/>
        <w:spacing w:before="2"/>
        <w:rPr>
          <w:sz w:val="19"/>
        </w:rPr>
      </w:pPr>
    </w:p>
    <w:p>
      <w:pPr>
        <w:pStyle w:val="ListParagraph"/>
        <w:numPr>
          <w:ilvl w:val="0"/>
          <w:numId w:val="196"/>
        </w:numPr>
        <w:tabs>
          <w:tab w:pos="732" w:val="left" w:leader="none"/>
        </w:tabs>
        <w:spacing w:line="247" w:lineRule="auto" w:before="0" w:after="0"/>
        <w:ind w:left="150" w:right="2712" w:firstLine="397"/>
        <w:jc w:val="left"/>
        <w:rPr>
          <w:sz w:val="15"/>
        </w:rPr>
      </w:pPr>
      <w:r>
        <w:rPr>
          <w:sz w:val="15"/>
        </w:rPr>
        <w:t>Por infringir en forma no prevista en los incisos anteriores otras disposiciones de giros industriales,</w:t>
      </w:r>
      <w:r>
        <w:rPr>
          <w:spacing w:val="5"/>
          <w:sz w:val="15"/>
        </w:rPr>
        <w:t> </w:t>
      </w:r>
      <w:r>
        <w:rPr>
          <w:sz w:val="15"/>
        </w:rPr>
        <w:t>de:</w:t>
      </w:r>
    </w:p>
    <w:p>
      <w:pPr>
        <w:pStyle w:val="BodyText"/>
        <w:spacing w:before="3"/>
      </w:pPr>
    </w:p>
    <w:p>
      <w:pPr>
        <w:pStyle w:val="BodyText"/>
        <w:spacing w:before="1"/>
        <w:ind w:right="2712"/>
        <w:jc w:val="right"/>
      </w:pPr>
      <w:r>
        <w:rPr/>
        <w:t>60 a 1,000 unidades de medida y actualización;</w:t>
      </w:r>
    </w:p>
    <w:p>
      <w:pPr>
        <w:pStyle w:val="BodyText"/>
        <w:spacing w:before="2"/>
        <w:rPr>
          <w:sz w:val="19"/>
        </w:rPr>
      </w:pPr>
    </w:p>
    <w:p>
      <w:pPr>
        <w:pStyle w:val="ListParagraph"/>
        <w:numPr>
          <w:ilvl w:val="0"/>
          <w:numId w:val="196"/>
        </w:numPr>
        <w:tabs>
          <w:tab w:pos="729" w:val="left" w:leader="none"/>
        </w:tabs>
        <w:spacing w:line="240" w:lineRule="auto" w:before="0" w:after="0"/>
        <w:ind w:left="728" w:right="0" w:hanging="181"/>
        <w:jc w:val="left"/>
        <w:rPr>
          <w:sz w:val="15"/>
        </w:rPr>
      </w:pPr>
      <w:r>
        <w:rPr>
          <w:sz w:val="15"/>
        </w:rPr>
        <w:t>Por insultar o agredir verbalmente al personal de inspección,</w:t>
      </w:r>
      <w:r>
        <w:rPr>
          <w:spacing w:val="18"/>
          <w:sz w:val="15"/>
        </w:rPr>
        <w:t> </w:t>
      </w:r>
      <w:r>
        <w:rPr>
          <w:sz w:val="15"/>
        </w:rPr>
        <w:t>de:</w:t>
      </w:r>
    </w:p>
    <w:p>
      <w:pPr>
        <w:pStyle w:val="BodyText"/>
        <w:spacing w:before="4"/>
        <w:ind w:left="2468"/>
      </w:pPr>
      <w:r>
        <w:rPr/>
        <w:t>14 a 72 unidades de medida y actualización;</w:t>
      </w:r>
    </w:p>
    <w:p>
      <w:pPr>
        <w:pStyle w:val="BodyText"/>
        <w:spacing w:before="3"/>
        <w:rPr>
          <w:sz w:val="19"/>
        </w:rPr>
      </w:pPr>
    </w:p>
    <w:p>
      <w:pPr>
        <w:pStyle w:val="ListParagraph"/>
        <w:numPr>
          <w:ilvl w:val="0"/>
          <w:numId w:val="196"/>
        </w:numPr>
        <w:tabs>
          <w:tab w:pos="735" w:val="left" w:leader="none"/>
        </w:tabs>
        <w:spacing w:line="247" w:lineRule="auto" w:before="0" w:after="0"/>
        <w:ind w:left="151" w:right="2711" w:firstLine="397"/>
        <w:jc w:val="both"/>
        <w:rPr>
          <w:sz w:val="15"/>
        </w:rPr>
      </w:pPr>
      <w:r>
        <w:rPr>
          <w:sz w:val="15"/>
        </w:rPr>
        <w:t>Por agredir físicamente al personal de inspección, además del pago   de los daños físicos o jurídicos que sufra el agredido, independientemente de   la acción jurídica o legal correspondiente,</w:t>
      </w:r>
      <w:r>
        <w:rPr>
          <w:spacing w:val="11"/>
          <w:sz w:val="15"/>
        </w:rPr>
        <w:t> </w:t>
      </w:r>
      <w:r>
        <w:rPr>
          <w:sz w:val="15"/>
        </w:rPr>
        <w:t>de:</w:t>
      </w:r>
    </w:p>
    <w:p>
      <w:pPr>
        <w:pStyle w:val="BodyText"/>
        <w:spacing w:before="2"/>
      </w:pPr>
    </w:p>
    <w:p>
      <w:pPr>
        <w:pStyle w:val="BodyText"/>
        <w:ind w:left="2382"/>
      </w:pPr>
      <w:r>
        <w:rPr/>
        <w:t>72 a 288 unidades de medida y actualización;</w:t>
      </w:r>
    </w:p>
    <w:p>
      <w:pPr>
        <w:pStyle w:val="BodyText"/>
        <w:spacing w:before="3"/>
        <w:rPr>
          <w:sz w:val="19"/>
        </w:rPr>
      </w:pPr>
    </w:p>
    <w:p>
      <w:pPr>
        <w:pStyle w:val="ListParagraph"/>
        <w:numPr>
          <w:ilvl w:val="0"/>
          <w:numId w:val="196"/>
        </w:numPr>
        <w:tabs>
          <w:tab w:pos="792" w:val="left" w:leader="none"/>
        </w:tabs>
        <w:spacing w:line="244" w:lineRule="auto" w:before="0" w:after="0"/>
        <w:ind w:left="151" w:right="2711" w:firstLine="397"/>
        <w:jc w:val="both"/>
        <w:rPr>
          <w:sz w:val="15"/>
        </w:rPr>
      </w:pPr>
      <w:r>
        <w:rPr>
          <w:sz w:val="15"/>
        </w:rPr>
        <w:t>Por realizar actividades de perifoneo o propaganda auditiva para promover el contenido de actividades comerciales  o  de  prestación  de servicios sin previa autorización,</w:t>
      </w:r>
      <w:r>
        <w:rPr>
          <w:spacing w:val="5"/>
          <w:sz w:val="15"/>
        </w:rPr>
        <w:t> </w:t>
      </w:r>
      <w:r>
        <w:rPr>
          <w:sz w:val="15"/>
        </w:rPr>
        <w:t>de:</w:t>
      </w:r>
    </w:p>
    <w:p>
      <w:pPr>
        <w:pStyle w:val="BodyText"/>
        <w:spacing w:before="8"/>
      </w:pPr>
    </w:p>
    <w:p>
      <w:pPr>
        <w:pStyle w:val="BodyText"/>
        <w:ind w:left="2382"/>
      </w:pPr>
      <w:r>
        <w:rPr/>
        <w:t>41 a 208 unidades de medida y actualización;</w:t>
      </w:r>
    </w:p>
    <w:p>
      <w:pPr>
        <w:pStyle w:val="BodyText"/>
        <w:spacing w:before="2"/>
        <w:rPr>
          <w:sz w:val="19"/>
        </w:rPr>
      </w:pPr>
    </w:p>
    <w:p>
      <w:pPr>
        <w:pStyle w:val="ListParagraph"/>
        <w:numPr>
          <w:ilvl w:val="0"/>
          <w:numId w:val="193"/>
        </w:numPr>
        <w:tabs>
          <w:tab w:pos="1560" w:val="left" w:leader="none"/>
        </w:tabs>
        <w:spacing w:line="240" w:lineRule="auto" w:before="0" w:after="0"/>
        <w:ind w:left="1559" w:right="0" w:hanging="216"/>
        <w:jc w:val="left"/>
        <w:rPr>
          <w:sz w:val="15"/>
        </w:rPr>
      </w:pPr>
      <w:r>
        <w:rPr>
          <w:sz w:val="15"/>
        </w:rPr>
        <w:t>Violaciones con relación a la matanza de ganado y</w:t>
      </w:r>
      <w:r>
        <w:rPr>
          <w:spacing w:val="18"/>
          <w:sz w:val="15"/>
        </w:rPr>
        <w:t> </w:t>
      </w:r>
      <w:r>
        <w:rPr>
          <w:sz w:val="15"/>
        </w:rPr>
        <w:t>rastro:</w:t>
      </w:r>
    </w:p>
    <w:p>
      <w:pPr>
        <w:pStyle w:val="ListParagraph"/>
        <w:numPr>
          <w:ilvl w:val="0"/>
          <w:numId w:val="197"/>
        </w:numPr>
        <w:tabs>
          <w:tab w:pos="729" w:val="left" w:leader="none"/>
          <w:tab w:pos="4083" w:val="left" w:leader="none"/>
        </w:tabs>
        <w:spacing w:line="240" w:lineRule="auto" w:before="45" w:after="0"/>
        <w:ind w:left="728" w:right="0" w:hanging="181"/>
        <w:jc w:val="left"/>
        <w:rPr>
          <w:sz w:val="15"/>
        </w:rPr>
      </w:pPr>
      <w:r>
        <w:rPr>
          <w:sz w:val="15"/>
        </w:rPr>
        <w:t>Por el sacrificio clandestino de </w:t>
      </w:r>
      <w:r>
        <w:rPr>
          <w:spacing w:val="9"/>
          <w:sz w:val="15"/>
        </w:rPr>
        <w:t> </w:t>
      </w:r>
      <w:r>
        <w:rPr>
          <w:sz w:val="15"/>
        </w:rPr>
        <w:t>ganado,</w:t>
      </w:r>
      <w:r>
        <w:rPr>
          <w:spacing w:val="10"/>
          <w:sz w:val="15"/>
        </w:rPr>
        <w:t> </w:t>
      </w:r>
      <w:r>
        <w:rPr>
          <w:sz w:val="15"/>
        </w:rPr>
        <w:t>por</w:t>
        <w:tab/>
        <w:t>Cabeza:</w:t>
      </w:r>
    </w:p>
    <w:p>
      <w:pPr>
        <w:pStyle w:val="BodyText"/>
        <w:spacing w:before="1"/>
        <w:rPr>
          <w:sz w:val="19"/>
        </w:rPr>
      </w:pPr>
    </w:p>
    <w:p>
      <w:pPr>
        <w:pStyle w:val="ListParagraph"/>
        <w:numPr>
          <w:ilvl w:val="1"/>
          <w:numId w:val="197"/>
        </w:numPr>
        <w:tabs>
          <w:tab w:pos="729" w:val="left" w:leader="none"/>
        </w:tabs>
        <w:spacing w:line="240" w:lineRule="auto" w:before="1" w:after="0"/>
        <w:ind w:left="728" w:right="0" w:hanging="181"/>
        <w:jc w:val="left"/>
        <w:rPr>
          <w:sz w:val="15"/>
        </w:rPr>
      </w:pPr>
      <w:r>
        <w:rPr>
          <w:sz w:val="15"/>
        </w:rPr>
        <w:t>Bovino,</w:t>
      </w:r>
      <w:r>
        <w:rPr>
          <w:spacing w:val="1"/>
          <w:sz w:val="15"/>
        </w:rPr>
        <w:t> </w:t>
      </w:r>
      <w:r>
        <w:rPr>
          <w:sz w:val="15"/>
        </w:rPr>
        <w:t>de:</w:t>
      </w:r>
    </w:p>
    <w:p>
      <w:pPr>
        <w:pStyle w:val="BodyText"/>
        <w:spacing w:before="4"/>
        <w:ind w:left="2468"/>
      </w:pPr>
      <w:r>
        <w:rPr/>
        <w:t>12 a 26 unidades de medida y actualización;</w:t>
      </w:r>
    </w:p>
    <w:p>
      <w:pPr>
        <w:pStyle w:val="ListParagraph"/>
        <w:numPr>
          <w:ilvl w:val="1"/>
          <w:numId w:val="197"/>
        </w:numPr>
        <w:tabs>
          <w:tab w:pos="332" w:val="left" w:leader="none"/>
        </w:tabs>
        <w:spacing w:line="240" w:lineRule="auto" w:before="44" w:after="0"/>
        <w:ind w:left="331" w:right="0" w:hanging="181"/>
        <w:jc w:val="left"/>
        <w:rPr>
          <w:sz w:val="15"/>
        </w:rPr>
      </w:pPr>
      <w:r>
        <w:rPr>
          <w:sz w:val="15"/>
        </w:rPr>
        <w:t>Porcino, de:</w:t>
      </w:r>
    </w:p>
    <w:p>
      <w:pPr>
        <w:pStyle w:val="BodyText"/>
        <w:spacing w:before="5"/>
        <w:ind w:left="2554"/>
      </w:pPr>
      <w:r>
        <w:rPr/>
        <w:t>9 a 15 unidades de medida y actualización;</w:t>
      </w:r>
    </w:p>
    <w:p>
      <w:pPr>
        <w:pStyle w:val="ListParagraph"/>
        <w:numPr>
          <w:ilvl w:val="1"/>
          <w:numId w:val="197"/>
        </w:numPr>
        <w:tabs>
          <w:tab w:pos="729" w:val="left" w:leader="none"/>
        </w:tabs>
        <w:spacing w:line="240" w:lineRule="auto" w:before="43" w:after="0"/>
        <w:ind w:left="728" w:right="0" w:hanging="181"/>
        <w:jc w:val="left"/>
        <w:rPr>
          <w:sz w:val="15"/>
        </w:rPr>
      </w:pPr>
      <w:r>
        <w:rPr>
          <w:sz w:val="15"/>
        </w:rPr>
        <w:t>Ovino y Caprino,</w:t>
      </w:r>
      <w:r>
        <w:rPr>
          <w:spacing w:val="4"/>
          <w:sz w:val="15"/>
        </w:rPr>
        <w:t> </w:t>
      </w:r>
      <w:r>
        <w:rPr>
          <w:sz w:val="15"/>
        </w:rPr>
        <w:t>de:</w:t>
      </w:r>
    </w:p>
    <w:p>
      <w:pPr>
        <w:pStyle w:val="BodyText"/>
        <w:spacing w:before="5"/>
        <w:ind w:right="2711"/>
        <w:jc w:val="right"/>
      </w:pPr>
      <w:r>
        <w:rPr/>
        <w:t>5</w:t>
      </w:r>
      <w:r>
        <w:rPr>
          <w:spacing w:val="10"/>
        </w:rPr>
        <w:t> </w:t>
      </w:r>
      <w:r>
        <w:rPr/>
        <w:t>a</w:t>
      </w:r>
      <w:r>
        <w:rPr>
          <w:spacing w:val="10"/>
        </w:rPr>
        <w:t> </w:t>
      </w:r>
      <w:r>
        <w:rPr/>
        <w:t>10</w:t>
      </w:r>
      <w:r>
        <w:rPr>
          <w:spacing w:val="10"/>
        </w:rPr>
        <w:t> </w:t>
      </w:r>
      <w:r>
        <w:rPr/>
        <w:t>unidades</w:t>
      </w:r>
      <w:r>
        <w:rPr>
          <w:spacing w:val="10"/>
        </w:rPr>
        <w:t> </w:t>
      </w:r>
      <w:r>
        <w:rPr/>
        <w:t>de</w:t>
      </w:r>
      <w:r>
        <w:rPr>
          <w:spacing w:val="10"/>
        </w:rPr>
        <w:t> </w:t>
      </w:r>
      <w:r>
        <w:rPr/>
        <w:t>medida</w:t>
      </w:r>
      <w:r>
        <w:rPr>
          <w:spacing w:val="10"/>
        </w:rPr>
        <w:t> </w:t>
      </w:r>
      <w:r>
        <w:rPr/>
        <w:t>y</w:t>
      </w:r>
      <w:r>
        <w:rPr>
          <w:spacing w:val="10"/>
        </w:rPr>
        <w:t> </w:t>
      </w:r>
      <w:r>
        <w:rPr/>
        <w:t>actualización;</w:t>
      </w:r>
    </w:p>
    <w:p>
      <w:pPr>
        <w:pStyle w:val="BodyText"/>
        <w:tabs>
          <w:tab w:pos="4361" w:val="left" w:leader="none"/>
        </w:tabs>
        <w:spacing w:before="44"/>
        <w:ind w:right="2710"/>
        <w:jc w:val="right"/>
      </w:pPr>
      <w:r>
        <w:rPr/>
        <w:t>4)</w:t>
      </w:r>
      <w:r>
        <w:rPr>
          <w:spacing w:val="-5"/>
        </w:rPr>
        <w:t> </w:t>
      </w:r>
      <w:r>
        <w:rPr/>
        <w:t>Aves,</w:t>
      </w:r>
      <w:r>
        <w:rPr>
          <w:spacing w:val="4"/>
        </w:rPr>
        <w:t> </w:t>
      </w:r>
      <w:r>
        <w:rPr/>
        <w:t>de:</w:t>
        <w:tab/>
        <w:t>$66.00</w:t>
      </w:r>
      <w:r>
        <w:rPr>
          <w:spacing w:val="14"/>
        </w:rPr>
        <w:t> </w:t>
      </w:r>
      <w:r>
        <w:rPr/>
        <w:t>a</w:t>
      </w:r>
    </w:p>
    <w:p>
      <w:pPr>
        <w:pStyle w:val="BodyText"/>
        <w:spacing w:before="5"/>
        <w:ind w:right="2711"/>
        <w:jc w:val="right"/>
      </w:pPr>
      <w:r>
        <w:rPr/>
        <w:t>$348.00</w:t>
      </w:r>
    </w:p>
    <w:p>
      <w:pPr>
        <w:pStyle w:val="BodyText"/>
        <w:spacing w:before="43"/>
        <w:ind w:left="548"/>
      </w:pPr>
      <w:r>
        <w:rPr/>
        <w:t>5) Otros, de:</w:t>
      </w:r>
    </w:p>
    <w:p>
      <w:pPr>
        <w:pStyle w:val="BodyText"/>
        <w:spacing w:before="5"/>
        <w:ind w:left="548" w:firstLine="2092"/>
      </w:pPr>
      <w:r>
        <w:rPr/>
        <w:t>2 a 5 unidades de medida y actualización;</w:t>
      </w:r>
    </w:p>
    <w:p>
      <w:pPr>
        <w:pStyle w:val="BodyText"/>
        <w:spacing w:line="247" w:lineRule="auto" w:before="43"/>
        <w:ind w:left="151" w:right="2849" w:firstLine="397"/>
      </w:pPr>
      <w:r>
        <w:rPr/>
        <w:t>En todos los casos es independientemente del decomiso de la canal y   del proceso legal correspondiente al</w:t>
      </w:r>
      <w:r>
        <w:rPr>
          <w:spacing w:val="9"/>
        </w:rPr>
        <w:t> </w:t>
      </w:r>
      <w:r>
        <w:rPr/>
        <w:t>infractor.</w:t>
      </w:r>
    </w:p>
    <w:p>
      <w:pPr>
        <w:pStyle w:val="BodyText"/>
        <w:spacing w:before="8"/>
        <w:rPr>
          <w:sz w:val="18"/>
        </w:rPr>
      </w:pPr>
    </w:p>
    <w:p>
      <w:pPr>
        <w:pStyle w:val="ListParagraph"/>
        <w:numPr>
          <w:ilvl w:val="0"/>
          <w:numId w:val="197"/>
        </w:numPr>
        <w:tabs>
          <w:tab w:pos="865" w:val="left" w:leader="none"/>
        </w:tabs>
        <w:spacing w:line="247" w:lineRule="auto" w:before="0" w:after="0"/>
        <w:ind w:left="151" w:right="2712" w:firstLine="397"/>
        <w:jc w:val="both"/>
        <w:rPr>
          <w:sz w:val="15"/>
        </w:rPr>
      </w:pPr>
      <w:r>
        <w:rPr>
          <w:sz w:val="15"/>
        </w:rPr>
        <w:t>Por vender carne no apta para el consumo humano, independientemente de su decomiso y del pago originado por los exámenes    de sanidad que se efectúen,</w:t>
      </w:r>
      <w:r>
        <w:rPr>
          <w:spacing w:val="6"/>
          <w:sz w:val="15"/>
        </w:rPr>
        <w:t> </w:t>
      </w:r>
      <w:r>
        <w:rPr>
          <w:sz w:val="15"/>
        </w:rPr>
        <w:t>de:</w:t>
      </w:r>
    </w:p>
    <w:p>
      <w:pPr>
        <w:pStyle w:val="BodyText"/>
        <w:spacing w:before="4"/>
      </w:pPr>
    </w:p>
    <w:p>
      <w:pPr>
        <w:pStyle w:val="BodyText"/>
        <w:ind w:right="2711"/>
        <w:jc w:val="right"/>
      </w:pPr>
      <w:r>
        <w:rPr/>
        <w:t>129 a 216 unidades de medida y actualización;</w:t>
      </w:r>
    </w:p>
    <w:p>
      <w:pPr>
        <w:spacing w:after="0"/>
        <w:jc w:val="right"/>
        <w:sectPr>
          <w:type w:val="continuous"/>
          <w:pgSz w:w="23250" w:h="15310" w:orient="landscape"/>
          <w:pgMar w:top="0" w:bottom="0" w:left="1880" w:right="1520"/>
          <w:cols w:num="2" w:equalWidth="0">
            <w:col w:w="5549" w:space="6073"/>
            <w:col w:w="8228"/>
          </w:cols>
        </w:sectPr>
      </w:pPr>
    </w:p>
    <w:p>
      <w:pPr>
        <w:pStyle w:val="BodyText"/>
        <w:rPr>
          <w:sz w:val="20"/>
        </w:rPr>
      </w:pPr>
    </w:p>
    <w:p>
      <w:pPr>
        <w:pStyle w:val="BodyText"/>
        <w:rPr>
          <w:sz w:val="20"/>
        </w:rPr>
      </w:pPr>
    </w:p>
    <w:p>
      <w:pPr>
        <w:spacing w:after="0"/>
        <w:rPr>
          <w:sz w:val="20"/>
        </w:rPr>
        <w:sectPr>
          <w:headerReference w:type="default" r:id="rId114"/>
          <w:pgSz w:w="23250" w:h="15310" w:orient="landscape"/>
          <w:pgMar w:header="881" w:footer="499" w:top="1920" w:bottom="680" w:left="1880" w:right="1520"/>
        </w:sectPr>
      </w:pPr>
    </w:p>
    <w:p>
      <w:pPr>
        <w:pStyle w:val="BodyText"/>
        <w:rPr>
          <w:sz w:val="16"/>
        </w:rPr>
      </w:pPr>
    </w:p>
    <w:p>
      <w:pPr>
        <w:pStyle w:val="BodyText"/>
        <w:spacing w:before="8"/>
        <w:rPr>
          <w:sz w:val="22"/>
        </w:rPr>
      </w:pPr>
    </w:p>
    <w:p>
      <w:pPr>
        <w:pStyle w:val="ListParagraph"/>
        <w:numPr>
          <w:ilvl w:val="0"/>
          <w:numId w:val="197"/>
        </w:numPr>
        <w:tabs>
          <w:tab w:pos="769" w:val="left" w:leader="none"/>
        </w:tabs>
        <w:spacing w:line="247" w:lineRule="auto" w:before="0" w:after="0"/>
        <w:ind w:left="151" w:right="38" w:firstLine="397"/>
        <w:jc w:val="left"/>
        <w:rPr>
          <w:sz w:val="15"/>
        </w:rPr>
      </w:pPr>
      <w:r>
        <w:rPr>
          <w:sz w:val="15"/>
        </w:rPr>
        <w:t>Por sacrificar más ganado del que se autorice en los permisos correspondientes;</w:t>
      </w:r>
      <w:r>
        <w:rPr>
          <w:spacing w:val="5"/>
          <w:sz w:val="15"/>
        </w:rPr>
        <w:t> </w:t>
      </w:r>
      <w:r>
        <w:rPr>
          <w:sz w:val="15"/>
        </w:rPr>
        <w:t>además</w:t>
      </w:r>
      <w:r>
        <w:rPr>
          <w:spacing w:val="6"/>
          <w:sz w:val="15"/>
        </w:rPr>
        <w:t> </w:t>
      </w:r>
      <w:r>
        <w:rPr>
          <w:sz w:val="15"/>
        </w:rPr>
        <w:t>del</w:t>
      </w:r>
      <w:r>
        <w:rPr>
          <w:spacing w:val="6"/>
          <w:sz w:val="15"/>
        </w:rPr>
        <w:t> </w:t>
      </w:r>
      <w:r>
        <w:rPr>
          <w:sz w:val="15"/>
        </w:rPr>
        <w:t>decomiso</w:t>
      </w:r>
      <w:r>
        <w:rPr>
          <w:spacing w:val="6"/>
          <w:sz w:val="15"/>
        </w:rPr>
        <w:t> </w:t>
      </w:r>
      <w:r>
        <w:rPr>
          <w:sz w:val="15"/>
        </w:rPr>
        <w:t>de</w:t>
      </w:r>
      <w:r>
        <w:rPr>
          <w:spacing w:val="6"/>
          <w:sz w:val="15"/>
        </w:rPr>
        <w:t> </w:t>
      </w:r>
      <w:r>
        <w:rPr>
          <w:sz w:val="15"/>
        </w:rPr>
        <w:t>las</w:t>
      </w:r>
      <w:r>
        <w:rPr>
          <w:spacing w:val="5"/>
          <w:sz w:val="15"/>
        </w:rPr>
        <w:t> </w:t>
      </w:r>
      <w:r>
        <w:rPr>
          <w:sz w:val="15"/>
        </w:rPr>
        <w:t>piezas</w:t>
      </w:r>
      <w:r>
        <w:rPr>
          <w:spacing w:val="5"/>
          <w:sz w:val="15"/>
        </w:rPr>
        <w:t> </w:t>
      </w:r>
      <w:r>
        <w:rPr>
          <w:sz w:val="15"/>
        </w:rPr>
        <w:t>y</w:t>
      </w:r>
      <w:r>
        <w:rPr>
          <w:spacing w:val="6"/>
          <w:sz w:val="15"/>
        </w:rPr>
        <w:t> </w:t>
      </w:r>
      <w:r>
        <w:rPr>
          <w:sz w:val="15"/>
        </w:rPr>
        <w:t>de</w:t>
      </w:r>
      <w:r>
        <w:rPr>
          <w:spacing w:val="6"/>
          <w:sz w:val="15"/>
        </w:rPr>
        <w:t> </w:t>
      </w:r>
      <w:r>
        <w:rPr>
          <w:sz w:val="15"/>
        </w:rPr>
        <w:t>la</w:t>
      </w:r>
      <w:r>
        <w:rPr>
          <w:spacing w:val="6"/>
          <w:sz w:val="15"/>
        </w:rPr>
        <w:t> </w:t>
      </w:r>
      <w:r>
        <w:rPr>
          <w:sz w:val="15"/>
        </w:rPr>
        <w:t>canal,</w:t>
      </w:r>
      <w:r>
        <w:rPr>
          <w:spacing w:val="6"/>
          <w:sz w:val="15"/>
        </w:rPr>
        <w:t> </w:t>
      </w:r>
      <w:r>
        <w:rPr>
          <w:sz w:val="15"/>
        </w:rPr>
        <w:t>de:</w:t>
      </w:r>
    </w:p>
    <w:p>
      <w:pPr>
        <w:pStyle w:val="BodyText"/>
        <w:spacing w:line="171" w:lineRule="exact"/>
        <w:ind w:left="2639"/>
      </w:pPr>
      <w:r>
        <w:rPr/>
        <w:t>6 a 9 unidades de medida y actualización;</w:t>
      </w:r>
    </w:p>
    <w:p>
      <w:pPr>
        <w:pStyle w:val="BodyText"/>
        <w:spacing w:before="10"/>
        <w:rPr>
          <w:sz w:val="19"/>
        </w:rPr>
      </w:pPr>
      <w:r>
        <w:rPr/>
        <w:br w:type="column"/>
      </w:r>
      <w:r>
        <w:rPr>
          <w:sz w:val="19"/>
        </w:rPr>
      </w:r>
    </w:p>
    <w:p>
      <w:pPr>
        <w:pStyle w:val="BodyText"/>
        <w:ind w:left="151"/>
      </w:pPr>
      <w:r>
        <w:rPr/>
        <w:t>sacrificio de animales, por cabeza, conforme a lo siguiente:</w:t>
      </w:r>
    </w:p>
    <w:p>
      <w:pPr>
        <w:pStyle w:val="BodyText"/>
        <w:spacing w:before="3"/>
        <w:rPr>
          <w:sz w:val="19"/>
        </w:rPr>
      </w:pPr>
    </w:p>
    <w:p>
      <w:pPr>
        <w:pStyle w:val="ListParagraph"/>
        <w:numPr>
          <w:ilvl w:val="0"/>
          <w:numId w:val="198"/>
        </w:numPr>
        <w:tabs>
          <w:tab w:pos="720" w:val="left" w:leader="none"/>
        </w:tabs>
        <w:spacing w:line="240" w:lineRule="auto" w:before="0" w:after="0"/>
        <w:ind w:left="719" w:right="0" w:hanging="172"/>
        <w:jc w:val="left"/>
        <w:rPr>
          <w:sz w:val="15"/>
        </w:rPr>
      </w:pPr>
      <w:r>
        <w:rPr>
          <w:sz w:val="15"/>
        </w:rPr>
        <w:t>Bovinos</w:t>
      </w:r>
      <w:r>
        <w:rPr>
          <w:spacing w:val="1"/>
          <w:sz w:val="15"/>
        </w:rPr>
        <w:t> </w:t>
      </w:r>
      <w:r>
        <w:rPr>
          <w:sz w:val="15"/>
        </w:rPr>
        <w:t>de:</w:t>
      </w:r>
    </w:p>
    <w:p>
      <w:pPr>
        <w:pStyle w:val="BodyText"/>
        <w:spacing w:before="4"/>
        <w:ind w:left="2468"/>
      </w:pPr>
      <w:r>
        <w:rPr/>
        <w:t>12 a 32 unidades de medida y actualización;</w:t>
      </w:r>
    </w:p>
    <w:p>
      <w:pPr>
        <w:spacing w:after="0"/>
        <w:sectPr>
          <w:type w:val="continuous"/>
          <w:pgSz w:w="23250" w:h="15310" w:orient="landscape"/>
          <w:pgMar w:top="0" w:bottom="0" w:left="1880" w:right="1520"/>
          <w:cols w:num="2" w:equalWidth="0">
            <w:col w:w="5548" w:space="6074"/>
            <w:col w:w="8228"/>
          </w:cols>
        </w:sectPr>
      </w:pPr>
    </w:p>
    <w:p>
      <w:pPr>
        <w:pStyle w:val="BodyText"/>
        <w:spacing w:before="8"/>
        <w:rPr>
          <w:sz w:val="10"/>
        </w:rPr>
      </w:pPr>
    </w:p>
    <w:p>
      <w:pPr>
        <w:spacing w:after="0"/>
        <w:rPr>
          <w:sz w:val="10"/>
        </w:rPr>
        <w:sectPr>
          <w:type w:val="continuous"/>
          <w:pgSz w:w="23250" w:h="15310" w:orient="landscape"/>
          <w:pgMar w:top="0" w:bottom="0" w:left="1880" w:right="1520"/>
        </w:sectPr>
      </w:pPr>
    </w:p>
    <w:p>
      <w:pPr>
        <w:pStyle w:val="ListParagraph"/>
        <w:numPr>
          <w:ilvl w:val="0"/>
          <w:numId w:val="197"/>
        </w:numPr>
        <w:tabs>
          <w:tab w:pos="729" w:val="left" w:leader="none"/>
        </w:tabs>
        <w:spacing w:line="240" w:lineRule="auto" w:before="98" w:after="0"/>
        <w:ind w:left="728" w:right="0" w:hanging="181"/>
        <w:jc w:val="left"/>
        <w:rPr>
          <w:sz w:val="15"/>
        </w:rPr>
      </w:pPr>
      <w:r>
        <w:rPr>
          <w:sz w:val="15"/>
        </w:rPr>
        <w:t>Por transportar carne en condiciones insalubres,</w:t>
      </w:r>
      <w:r>
        <w:rPr>
          <w:spacing w:val="31"/>
          <w:sz w:val="15"/>
        </w:rPr>
        <w:t> </w:t>
      </w:r>
      <w:r>
        <w:rPr>
          <w:sz w:val="15"/>
        </w:rPr>
        <w:t>de:</w:t>
      </w:r>
    </w:p>
    <w:p>
      <w:pPr>
        <w:pStyle w:val="BodyText"/>
        <w:spacing w:before="9"/>
      </w:pPr>
    </w:p>
    <w:p>
      <w:pPr>
        <w:pStyle w:val="BodyText"/>
        <w:ind w:left="548" w:firstLine="1920"/>
      </w:pPr>
      <w:r>
        <w:rPr/>
        <w:t>9 a 194 unidades de medida y actualización;</w:t>
      </w:r>
    </w:p>
    <w:p>
      <w:pPr>
        <w:pStyle w:val="BodyText"/>
        <w:spacing w:before="3"/>
        <w:rPr>
          <w:sz w:val="19"/>
        </w:rPr>
      </w:pPr>
    </w:p>
    <w:p>
      <w:pPr>
        <w:pStyle w:val="BodyText"/>
        <w:spacing w:line="244" w:lineRule="auto"/>
        <w:ind w:left="150" w:firstLine="397"/>
      </w:pPr>
      <w:r>
        <w:rPr/>
        <w:t>En caso de reincidencia, se cobrará el doble, se decomisará la carne y demás piezas.</w:t>
      </w:r>
    </w:p>
    <w:p>
      <w:pPr>
        <w:pStyle w:val="BodyText"/>
        <w:rPr>
          <w:sz w:val="19"/>
        </w:rPr>
      </w:pPr>
    </w:p>
    <w:p>
      <w:pPr>
        <w:pStyle w:val="ListParagraph"/>
        <w:numPr>
          <w:ilvl w:val="0"/>
          <w:numId w:val="197"/>
        </w:numPr>
        <w:tabs>
          <w:tab w:pos="798" w:val="left" w:leader="none"/>
        </w:tabs>
        <w:spacing w:line="240" w:lineRule="auto" w:before="0" w:after="0"/>
        <w:ind w:left="797" w:right="0" w:hanging="250"/>
        <w:jc w:val="left"/>
        <w:rPr>
          <w:sz w:val="15"/>
        </w:rPr>
      </w:pPr>
      <w:r>
        <w:rPr>
          <w:sz w:val="15"/>
        </w:rPr>
        <w:t>Por carecer de documentación que acredite la procedencia</w:t>
      </w:r>
      <w:r>
        <w:rPr>
          <w:spacing w:val="19"/>
          <w:sz w:val="15"/>
        </w:rPr>
        <w:t> </w:t>
      </w:r>
      <w:r>
        <w:rPr>
          <w:sz w:val="15"/>
        </w:rPr>
        <w:t>y</w:t>
      </w:r>
    </w:p>
    <w:p>
      <w:pPr>
        <w:pStyle w:val="ListParagraph"/>
        <w:numPr>
          <w:ilvl w:val="0"/>
          <w:numId w:val="198"/>
        </w:numPr>
        <w:tabs>
          <w:tab w:pos="323" w:val="left" w:leader="none"/>
        </w:tabs>
        <w:spacing w:line="240" w:lineRule="auto" w:before="98" w:after="0"/>
        <w:ind w:left="322" w:right="0" w:hanging="173"/>
        <w:jc w:val="left"/>
        <w:rPr>
          <w:sz w:val="15"/>
        </w:rPr>
      </w:pPr>
      <w:r>
        <w:rPr>
          <w:w w:val="102"/>
          <w:sz w:val="15"/>
        </w:rPr>
        <w:br w:type="column"/>
      </w:r>
      <w:r>
        <w:rPr>
          <w:sz w:val="15"/>
        </w:rPr>
        <w:t>Porcinos</w:t>
      </w:r>
      <w:r>
        <w:rPr>
          <w:spacing w:val="1"/>
          <w:sz w:val="15"/>
        </w:rPr>
        <w:t> </w:t>
      </w:r>
      <w:r>
        <w:rPr>
          <w:sz w:val="15"/>
        </w:rPr>
        <w:t>de:</w:t>
      </w:r>
    </w:p>
    <w:p>
      <w:pPr>
        <w:pStyle w:val="BodyText"/>
        <w:spacing w:before="2"/>
        <w:rPr>
          <w:sz w:val="19"/>
        </w:rPr>
      </w:pPr>
    </w:p>
    <w:p>
      <w:pPr>
        <w:pStyle w:val="ListParagraph"/>
        <w:numPr>
          <w:ilvl w:val="0"/>
          <w:numId w:val="198"/>
        </w:numPr>
        <w:tabs>
          <w:tab w:pos="314" w:val="left" w:leader="none"/>
        </w:tabs>
        <w:spacing w:line="240" w:lineRule="auto" w:before="0" w:after="0"/>
        <w:ind w:left="313" w:right="0" w:hanging="164"/>
        <w:jc w:val="left"/>
        <w:rPr>
          <w:sz w:val="15"/>
        </w:rPr>
      </w:pPr>
      <w:r>
        <w:rPr>
          <w:sz w:val="15"/>
        </w:rPr>
        <w:t>Aves</w:t>
      </w:r>
      <w:r>
        <w:rPr>
          <w:spacing w:val="1"/>
          <w:sz w:val="15"/>
        </w:rPr>
        <w:t> </w:t>
      </w:r>
      <w:r>
        <w:rPr>
          <w:sz w:val="15"/>
        </w:rPr>
        <w:t>de:</w:t>
      </w:r>
    </w:p>
    <w:p>
      <w:pPr>
        <w:pStyle w:val="BodyText"/>
        <w:rPr>
          <w:sz w:val="16"/>
        </w:rPr>
      </w:pPr>
    </w:p>
    <w:p>
      <w:pPr>
        <w:pStyle w:val="BodyText"/>
        <w:spacing w:before="7"/>
        <w:rPr>
          <w:sz w:val="18"/>
        </w:rPr>
      </w:pPr>
    </w:p>
    <w:p>
      <w:pPr>
        <w:pStyle w:val="ListParagraph"/>
        <w:numPr>
          <w:ilvl w:val="0"/>
          <w:numId w:val="198"/>
        </w:numPr>
        <w:tabs>
          <w:tab w:pos="323" w:val="left" w:leader="none"/>
        </w:tabs>
        <w:spacing w:line="240" w:lineRule="auto" w:before="0" w:after="0"/>
        <w:ind w:left="322" w:right="0" w:hanging="173"/>
        <w:jc w:val="left"/>
        <w:rPr>
          <w:sz w:val="15"/>
        </w:rPr>
      </w:pPr>
      <w:r>
        <w:rPr>
          <w:sz w:val="15"/>
        </w:rPr>
        <w:t>Ovinos y caprinos</w:t>
      </w:r>
      <w:r>
        <w:rPr>
          <w:spacing w:val="28"/>
          <w:sz w:val="15"/>
        </w:rPr>
        <w:t> </w:t>
      </w:r>
      <w:r>
        <w:rPr>
          <w:sz w:val="15"/>
        </w:rPr>
        <w:t>de:</w:t>
      </w:r>
    </w:p>
    <w:p>
      <w:pPr>
        <w:pStyle w:val="BodyText"/>
        <w:spacing w:before="11"/>
        <w:rPr>
          <w:sz w:val="23"/>
        </w:rPr>
      </w:pPr>
      <w:r>
        <w:rPr/>
        <w:br w:type="column"/>
      </w:r>
      <w:r>
        <w:rPr>
          <w:sz w:val="23"/>
        </w:rPr>
      </w:r>
    </w:p>
    <w:p>
      <w:pPr>
        <w:pStyle w:val="BodyText"/>
        <w:spacing w:line="547" w:lineRule="auto"/>
        <w:ind w:left="237" w:right="2711" w:hanging="87"/>
      </w:pPr>
      <w:r>
        <w:rPr/>
        <w:t>9 a 28 unidades de medida y actualización; 1 a 2 unidades de medida y </w:t>
      </w:r>
      <w:r>
        <w:rPr>
          <w:spacing w:val="15"/>
        </w:rPr>
        <w:t> </w:t>
      </w:r>
      <w:r>
        <w:rPr/>
        <w:t>actualización;</w:t>
      </w:r>
    </w:p>
    <w:p>
      <w:pPr>
        <w:pStyle w:val="BodyText"/>
        <w:spacing w:before="4"/>
      </w:pPr>
    </w:p>
    <w:p>
      <w:pPr>
        <w:pStyle w:val="BodyText"/>
        <w:ind w:left="150"/>
      </w:pPr>
      <w:r>
        <w:rPr/>
        <w:t>5</w:t>
      </w:r>
      <w:r>
        <w:rPr>
          <w:spacing w:val="10"/>
        </w:rPr>
        <w:t> </w:t>
      </w:r>
      <w:r>
        <w:rPr/>
        <w:t>a</w:t>
      </w:r>
      <w:r>
        <w:rPr>
          <w:spacing w:val="10"/>
        </w:rPr>
        <w:t> </w:t>
      </w:r>
      <w:r>
        <w:rPr/>
        <w:t>34</w:t>
      </w:r>
      <w:r>
        <w:rPr>
          <w:spacing w:val="10"/>
        </w:rPr>
        <w:t> </w:t>
      </w:r>
      <w:r>
        <w:rPr/>
        <w:t>unidades</w:t>
      </w:r>
      <w:r>
        <w:rPr>
          <w:spacing w:val="10"/>
        </w:rPr>
        <w:t> </w:t>
      </w:r>
      <w:r>
        <w:rPr/>
        <w:t>de</w:t>
      </w:r>
      <w:r>
        <w:rPr>
          <w:spacing w:val="10"/>
        </w:rPr>
        <w:t> </w:t>
      </w:r>
      <w:r>
        <w:rPr/>
        <w:t>medida</w:t>
      </w:r>
      <w:r>
        <w:rPr>
          <w:spacing w:val="10"/>
        </w:rPr>
        <w:t> </w:t>
      </w:r>
      <w:r>
        <w:rPr/>
        <w:t>y</w:t>
      </w:r>
      <w:r>
        <w:rPr>
          <w:spacing w:val="10"/>
        </w:rPr>
        <w:t> </w:t>
      </w:r>
      <w:r>
        <w:rPr/>
        <w:t>actualización;</w:t>
      </w:r>
    </w:p>
    <w:p>
      <w:pPr>
        <w:spacing w:after="0"/>
        <w:sectPr>
          <w:type w:val="continuous"/>
          <w:pgSz w:w="23250" w:h="15310" w:orient="landscape"/>
          <w:pgMar w:top="0" w:bottom="0" w:left="1880" w:right="1520"/>
          <w:cols w:num="3" w:equalWidth="0">
            <w:col w:w="5548" w:space="6471"/>
            <w:col w:w="1845" w:space="161"/>
            <w:col w:w="5825"/>
          </w:cols>
        </w:sectPr>
      </w:pPr>
    </w:p>
    <w:p>
      <w:pPr>
        <w:pStyle w:val="BodyText"/>
        <w:spacing w:line="244" w:lineRule="auto" w:before="5"/>
        <w:ind w:left="150" w:right="653"/>
      </w:pPr>
      <w:r>
        <w:rPr/>
        <w:t>propiedad de los productos y subproductos cárnicos y aves  que  se  sacrifiquen, independientemente del decomiso de la carne,</w:t>
      </w:r>
      <w:r>
        <w:rPr>
          <w:spacing w:val="25"/>
        </w:rPr>
        <w:t> </w:t>
      </w:r>
      <w:r>
        <w:rPr/>
        <w:t>de:</w:t>
      </w:r>
    </w:p>
    <w:p>
      <w:pPr>
        <w:pStyle w:val="BodyText"/>
        <w:spacing w:before="6"/>
      </w:pPr>
    </w:p>
    <w:p>
      <w:pPr>
        <w:pStyle w:val="BodyText"/>
        <w:ind w:right="39"/>
        <w:jc w:val="right"/>
      </w:pPr>
      <w:r>
        <w:rPr/>
        <w:t>21 a 32 unidades de medida y actualización;</w:t>
      </w:r>
    </w:p>
    <w:p>
      <w:pPr>
        <w:pStyle w:val="BodyText"/>
        <w:spacing w:before="2"/>
        <w:rPr>
          <w:sz w:val="19"/>
        </w:rPr>
      </w:pPr>
    </w:p>
    <w:p>
      <w:pPr>
        <w:pStyle w:val="ListParagraph"/>
        <w:numPr>
          <w:ilvl w:val="0"/>
          <w:numId w:val="197"/>
        </w:numPr>
        <w:tabs>
          <w:tab w:pos="694" w:val="left" w:leader="none"/>
        </w:tabs>
        <w:spacing w:line="247" w:lineRule="auto" w:before="0" w:after="0"/>
        <w:ind w:left="150" w:right="39" w:firstLine="397"/>
        <w:jc w:val="both"/>
        <w:rPr>
          <w:sz w:val="15"/>
        </w:rPr>
      </w:pPr>
      <w:r>
        <w:rPr>
          <w:sz w:val="15"/>
        </w:rPr>
        <w:t>Por encontrar el establecimiento en condiciones insalubres y fuera de norma, en, instalaciones, utensilios, equipos, almacenes,  congeladores,  vitrinas  mostradores materia prima, insumos, proceso, etc. que representen   un riesgo potencial sanitario al consumidor ,</w:t>
      </w:r>
      <w:r>
        <w:rPr>
          <w:spacing w:val="15"/>
          <w:sz w:val="15"/>
        </w:rPr>
        <w:t> </w:t>
      </w:r>
      <w:r>
        <w:rPr>
          <w:sz w:val="15"/>
        </w:rPr>
        <w:t>de:</w:t>
      </w:r>
    </w:p>
    <w:p>
      <w:pPr>
        <w:pStyle w:val="BodyText"/>
        <w:spacing w:before="2"/>
      </w:pPr>
    </w:p>
    <w:p>
      <w:pPr>
        <w:pStyle w:val="BodyText"/>
        <w:ind w:right="39"/>
        <w:jc w:val="right"/>
      </w:pPr>
      <w:r>
        <w:rPr/>
        <w:t>6 a 130 unidades de medida y actualización;</w:t>
      </w:r>
    </w:p>
    <w:p>
      <w:pPr>
        <w:pStyle w:val="BodyText"/>
        <w:spacing w:before="3"/>
        <w:rPr>
          <w:sz w:val="19"/>
        </w:rPr>
      </w:pPr>
    </w:p>
    <w:p>
      <w:pPr>
        <w:pStyle w:val="BodyText"/>
        <w:spacing w:line="244" w:lineRule="auto"/>
        <w:ind w:left="150" w:right="39" w:firstLine="397"/>
        <w:jc w:val="both"/>
      </w:pPr>
      <w:r>
        <w:rPr/>
        <w:t>Los giros cuyas instalaciones insalubres se reporten por el resguardo    del rastro y no se corrijan, después de haberlos apercibido a hacerlo, serán clausurados;</w:t>
      </w:r>
    </w:p>
    <w:p>
      <w:pPr>
        <w:pStyle w:val="BodyText"/>
        <w:spacing w:before="1"/>
        <w:rPr>
          <w:sz w:val="19"/>
        </w:rPr>
      </w:pPr>
    </w:p>
    <w:p>
      <w:pPr>
        <w:pStyle w:val="ListParagraph"/>
        <w:numPr>
          <w:ilvl w:val="0"/>
          <w:numId w:val="197"/>
        </w:numPr>
        <w:tabs>
          <w:tab w:pos="797" w:val="left" w:leader="none"/>
        </w:tabs>
        <w:spacing w:line="244" w:lineRule="auto" w:before="1" w:after="0"/>
        <w:ind w:left="150" w:right="38" w:firstLine="397"/>
        <w:jc w:val="both"/>
        <w:rPr>
          <w:sz w:val="15"/>
        </w:rPr>
      </w:pPr>
      <w:r>
        <w:rPr>
          <w:sz w:val="15"/>
        </w:rPr>
        <w:t>Por advertir el contacto directo por quien expenda al público  productos cárnicos, aves, leche y sus productos derivados, sin contar con las medidas de higiene correspondientes,</w:t>
      </w:r>
      <w:r>
        <w:rPr>
          <w:spacing w:val="10"/>
          <w:sz w:val="15"/>
        </w:rPr>
        <w:t> </w:t>
      </w:r>
      <w:r>
        <w:rPr>
          <w:sz w:val="15"/>
        </w:rPr>
        <w:t>de:</w:t>
      </w:r>
    </w:p>
    <w:p>
      <w:pPr>
        <w:pStyle w:val="BodyText"/>
        <w:spacing w:before="7"/>
      </w:pPr>
    </w:p>
    <w:p>
      <w:pPr>
        <w:pStyle w:val="BodyText"/>
        <w:ind w:right="38"/>
        <w:jc w:val="right"/>
      </w:pPr>
      <w:r>
        <w:rPr/>
        <w:t>15 a 150 unidades de medida y actualización;</w:t>
      </w:r>
    </w:p>
    <w:p>
      <w:pPr>
        <w:pStyle w:val="BodyText"/>
        <w:spacing w:before="2"/>
        <w:rPr>
          <w:sz w:val="19"/>
        </w:rPr>
      </w:pPr>
    </w:p>
    <w:p>
      <w:pPr>
        <w:pStyle w:val="BodyText"/>
        <w:spacing w:line="247" w:lineRule="auto" w:before="1"/>
        <w:ind w:left="150" w:right="39" w:firstLine="397"/>
        <w:jc w:val="both"/>
      </w:pPr>
      <w:r>
        <w:rPr/>
        <w:t>Los giros cuyas instalaciones insalubres se reporten por el resguardo    del rastro y no se corrijan, después de haberlos apercibido a hacerlo, serán clausurados;</w:t>
      </w:r>
    </w:p>
    <w:p>
      <w:pPr>
        <w:pStyle w:val="BodyText"/>
        <w:spacing w:before="7"/>
        <w:rPr>
          <w:sz w:val="18"/>
        </w:rPr>
      </w:pPr>
    </w:p>
    <w:p>
      <w:pPr>
        <w:pStyle w:val="ListParagraph"/>
        <w:numPr>
          <w:ilvl w:val="0"/>
          <w:numId w:val="197"/>
        </w:numPr>
        <w:tabs>
          <w:tab w:pos="754" w:val="left" w:leader="none"/>
        </w:tabs>
        <w:spacing w:line="247" w:lineRule="auto" w:before="0" w:after="0"/>
        <w:ind w:left="151" w:right="38" w:firstLine="397"/>
        <w:jc w:val="both"/>
        <w:rPr>
          <w:sz w:val="15"/>
        </w:rPr>
      </w:pPr>
      <w:r>
        <w:rPr>
          <w:sz w:val="15"/>
        </w:rPr>
        <w:t>Por falsificación de sellos o firmas del rastro o resguardo, independientemente </w:t>
      </w:r>
      <w:r>
        <w:rPr>
          <w:spacing w:val="21"/>
          <w:sz w:val="15"/>
        </w:rPr>
        <w:t> </w:t>
      </w:r>
      <w:r>
        <w:rPr>
          <w:sz w:val="15"/>
        </w:rPr>
        <w:t>del </w:t>
      </w:r>
      <w:r>
        <w:rPr>
          <w:spacing w:val="22"/>
          <w:sz w:val="15"/>
        </w:rPr>
        <w:t> </w:t>
      </w:r>
      <w:r>
        <w:rPr>
          <w:sz w:val="15"/>
        </w:rPr>
        <w:t>decomiso </w:t>
      </w:r>
      <w:r>
        <w:rPr>
          <w:spacing w:val="21"/>
          <w:sz w:val="15"/>
        </w:rPr>
        <w:t> </w:t>
      </w:r>
      <w:r>
        <w:rPr>
          <w:sz w:val="15"/>
        </w:rPr>
        <w:t>del </w:t>
      </w:r>
      <w:r>
        <w:rPr>
          <w:spacing w:val="22"/>
          <w:sz w:val="15"/>
        </w:rPr>
        <w:t> </w:t>
      </w:r>
      <w:r>
        <w:rPr>
          <w:sz w:val="15"/>
        </w:rPr>
        <w:t>producto, </w:t>
      </w:r>
      <w:r>
        <w:rPr>
          <w:spacing w:val="22"/>
          <w:sz w:val="15"/>
        </w:rPr>
        <w:t> </w:t>
      </w:r>
      <w:r>
        <w:rPr>
          <w:sz w:val="15"/>
        </w:rPr>
        <w:t>documentos </w:t>
      </w:r>
      <w:r>
        <w:rPr>
          <w:spacing w:val="24"/>
          <w:sz w:val="15"/>
        </w:rPr>
        <w:t> </w:t>
      </w:r>
      <w:r>
        <w:rPr>
          <w:sz w:val="15"/>
        </w:rPr>
        <w:t>y </w:t>
      </w:r>
      <w:r>
        <w:rPr>
          <w:spacing w:val="21"/>
          <w:sz w:val="15"/>
        </w:rPr>
        <w:t> </w:t>
      </w:r>
      <w:r>
        <w:rPr>
          <w:sz w:val="15"/>
        </w:rPr>
        <w:t>sellos,</w:t>
      </w:r>
      <w:r>
        <w:rPr>
          <w:spacing w:val="10"/>
          <w:sz w:val="15"/>
        </w:rPr>
        <w:t> </w:t>
      </w:r>
      <w:r>
        <w:rPr>
          <w:sz w:val="15"/>
        </w:rPr>
        <w:t>de:</w:t>
      </w:r>
    </w:p>
    <w:p>
      <w:pPr>
        <w:pStyle w:val="BodyText"/>
        <w:spacing w:before="4"/>
      </w:pPr>
    </w:p>
    <w:p>
      <w:pPr>
        <w:pStyle w:val="BodyText"/>
        <w:ind w:right="39"/>
        <w:jc w:val="right"/>
      </w:pPr>
      <w:r>
        <w:rPr/>
        <w:t>34</w:t>
      </w:r>
      <w:r>
        <w:rPr>
          <w:spacing w:val="10"/>
        </w:rPr>
        <w:t> </w:t>
      </w:r>
      <w:r>
        <w:rPr/>
        <w:t>a</w:t>
      </w:r>
      <w:r>
        <w:rPr>
          <w:spacing w:val="10"/>
        </w:rPr>
        <w:t> </w:t>
      </w:r>
      <w:r>
        <w:rPr/>
        <w:t>71</w:t>
      </w:r>
      <w:r>
        <w:rPr>
          <w:spacing w:val="10"/>
        </w:rPr>
        <w:t> </w:t>
      </w:r>
      <w:r>
        <w:rPr/>
        <w:t>unidades</w:t>
      </w:r>
      <w:r>
        <w:rPr>
          <w:spacing w:val="11"/>
        </w:rPr>
        <w:t> </w:t>
      </w:r>
      <w:r>
        <w:rPr/>
        <w:t>de</w:t>
      </w:r>
      <w:r>
        <w:rPr>
          <w:spacing w:val="10"/>
        </w:rPr>
        <w:t> </w:t>
      </w:r>
      <w:r>
        <w:rPr/>
        <w:t>medida</w:t>
      </w:r>
      <w:r>
        <w:rPr>
          <w:spacing w:val="10"/>
        </w:rPr>
        <w:t> </w:t>
      </w:r>
      <w:r>
        <w:rPr/>
        <w:t>y</w:t>
      </w:r>
      <w:r>
        <w:rPr>
          <w:spacing w:val="11"/>
        </w:rPr>
        <w:t> </w:t>
      </w:r>
      <w:r>
        <w:rPr/>
        <w:t>actualización;</w:t>
      </w:r>
    </w:p>
    <w:p>
      <w:pPr>
        <w:pStyle w:val="BodyText"/>
        <w:spacing w:before="2"/>
        <w:rPr>
          <w:sz w:val="19"/>
        </w:rPr>
      </w:pPr>
    </w:p>
    <w:p>
      <w:pPr>
        <w:pStyle w:val="ListParagraph"/>
        <w:numPr>
          <w:ilvl w:val="0"/>
          <w:numId w:val="197"/>
        </w:numPr>
        <w:tabs>
          <w:tab w:pos="683" w:val="left" w:leader="none"/>
        </w:tabs>
        <w:spacing w:line="247" w:lineRule="auto" w:before="0" w:after="0"/>
        <w:ind w:left="150" w:right="38" w:firstLine="397"/>
        <w:jc w:val="both"/>
        <w:rPr>
          <w:sz w:val="15"/>
        </w:rPr>
      </w:pPr>
      <w:r>
        <w:rPr>
          <w:sz w:val="15"/>
        </w:rPr>
        <w:t>Por cada acarreo de carnes del rastro en vehículos que no tengan autorización</w:t>
      </w:r>
      <w:r>
        <w:rPr>
          <w:spacing w:val="7"/>
          <w:sz w:val="15"/>
        </w:rPr>
        <w:t> </w:t>
      </w:r>
      <w:r>
        <w:rPr>
          <w:sz w:val="15"/>
        </w:rPr>
        <w:t>del</w:t>
      </w:r>
      <w:r>
        <w:rPr>
          <w:spacing w:val="5"/>
          <w:sz w:val="15"/>
        </w:rPr>
        <w:t> </w:t>
      </w:r>
      <w:r>
        <w:rPr>
          <w:sz w:val="15"/>
        </w:rPr>
        <w:t>Municipio,</w:t>
      </w:r>
      <w:r>
        <w:rPr>
          <w:spacing w:val="4"/>
          <w:sz w:val="15"/>
        </w:rPr>
        <w:t> </w:t>
      </w:r>
      <w:r>
        <w:rPr>
          <w:sz w:val="15"/>
        </w:rPr>
        <w:t>por</w:t>
      </w:r>
      <w:r>
        <w:rPr>
          <w:spacing w:val="5"/>
          <w:sz w:val="15"/>
        </w:rPr>
        <w:t> </w:t>
      </w:r>
      <w:r>
        <w:rPr>
          <w:sz w:val="15"/>
        </w:rPr>
        <w:t>cada</w:t>
      </w:r>
      <w:r>
        <w:rPr>
          <w:spacing w:val="9"/>
          <w:sz w:val="15"/>
        </w:rPr>
        <w:t> </w:t>
      </w:r>
      <w:r>
        <w:rPr>
          <w:sz w:val="15"/>
        </w:rPr>
        <w:t>día</w:t>
      </w:r>
      <w:r>
        <w:rPr>
          <w:spacing w:val="5"/>
          <w:sz w:val="15"/>
        </w:rPr>
        <w:t> </w:t>
      </w:r>
      <w:r>
        <w:rPr>
          <w:sz w:val="15"/>
        </w:rPr>
        <w:t>que</w:t>
      </w:r>
      <w:r>
        <w:rPr>
          <w:spacing w:val="4"/>
          <w:sz w:val="15"/>
        </w:rPr>
        <w:t> </w:t>
      </w:r>
      <w:r>
        <w:rPr>
          <w:sz w:val="15"/>
        </w:rPr>
        <w:t>se</w:t>
      </w:r>
      <w:r>
        <w:rPr>
          <w:spacing w:val="5"/>
          <w:sz w:val="15"/>
        </w:rPr>
        <w:t> </w:t>
      </w:r>
      <w:r>
        <w:rPr>
          <w:sz w:val="15"/>
        </w:rPr>
        <w:t>haga</w:t>
      </w:r>
      <w:r>
        <w:rPr>
          <w:spacing w:val="9"/>
          <w:sz w:val="15"/>
        </w:rPr>
        <w:t> </w:t>
      </w:r>
      <w:r>
        <w:rPr>
          <w:sz w:val="15"/>
        </w:rPr>
        <w:t>el</w:t>
      </w:r>
      <w:r>
        <w:rPr>
          <w:spacing w:val="9"/>
          <w:sz w:val="15"/>
        </w:rPr>
        <w:t> </w:t>
      </w:r>
      <w:r>
        <w:rPr>
          <w:sz w:val="15"/>
        </w:rPr>
        <w:t>acarreo,</w:t>
      </w:r>
      <w:r>
        <w:rPr>
          <w:spacing w:val="9"/>
          <w:sz w:val="15"/>
        </w:rPr>
        <w:t> </w:t>
      </w:r>
      <w:r>
        <w:rPr>
          <w:sz w:val="15"/>
        </w:rPr>
        <w:t>de:</w:t>
      </w:r>
    </w:p>
    <w:p>
      <w:pPr>
        <w:pStyle w:val="BodyText"/>
        <w:spacing w:line="171" w:lineRule="exact"/>
        <w:ind w:left="2468"/>
      </w:pPr>
      <w:r>
        <w:rPr/>
        <w:t>10 a 12 unidades de medida y actualización;</w:t>
      </w:r>
    </w:p>
    <w:p>
      <w:pPr>
        <w:pStyle w:val="BodyText"/>
        <w:spacing w:before="4"/>
        <w:rPr>
          <w:sz w:val="19"/>
        </w:rPr>
      </w:pPr>
    </w:p>
    <w:p>
      <w:pPr>
        <w:pStyle w:val="ListParagraph"/>
        <w:numPr>
          <w:ilvl w:val="0"/>
          <w:numId w:val="197"/>
        </w:numPr>
        <w:tabs>
          <w:tab w:pos="680" w:val="left" w:leader="none"/>
        </w:tabs>
        <w:spacing w:line="247" w:lineRule="auto" w:before="0" w:after="0"/>
        <w:ind w:left="150" w:right="38" w:firstLine="397"/>
        <w:jc w:val="both"/>
        <w:rPr>
          <w:sz w:val="15"/>
        </w:rPr>
      </w:pPr>
      <w:r>
        <w:rPr>
          <w:sz w:val="15"/>
        </w:rPr>
        <w:t>Por manifestar menos cantidad de productos y subproductos cárnicos, aves</w:t>
      </w:r>
      <w:r>
        <w:rPr>
          <w:spacing w:val="8"/>
          <w:sz w:val="15"/>
        </w:rPr>
        <w:t> </w:t>
      </w:r>
      <w:r>
        <w:rPr>
          <w:sz w:val="15"/>
        </w:rPr>
        <w:t>introducidas</w:t>
      </w:r>
      <w:r>
        <w:rPr>
          <w:spacing w:val="9"/>
          <w:sz w:val="15"/>
        </w:rPr>
        <w:t> </w:t>
      </w:r>
      <w:r>
        <w:rPr>
          <w:sz w:val="15"/>
        </w:rPr>
        <w:t>al</w:t>
      </w:r>
      <w:r>
        <w:rPr>
          <w:spacing w:val="9"/>
          <w:sz w:val="15"/>
        </w:rPr>
        <w:t> </w:t>
      </w:r>
      <w:r>
        <w:rPr>
          <w:sz w:val="15"/>
        </w:rPr>
        <w:t>Municipio,</w:t>
      </w:r>
      <w:r>
        <w:rPr>
          <w:spacing w:val="8"/>
          <w:sz w:val="15"/>
        </w:rPr>
        <w:t> </w:t>
      </w:r>
      <w:r>
        <w:rPr>
          <w:sz w:val="15"/>
        </w:rPr>
        <w:t>tres</w:t>
      </w:r>
      <w:r>
        <w:rPr>
          <w:spacing w:val="8"/>
          <w:sz w:val="15"/>
        </w:rPr>
        <w:t> </w:t>
      </w:r>
      <w:r>
        <w:rPr>
          <w:sz w:val="15"/>
        </w:rPr>
        <w:t>tantos</w:t>
      </w:r>
      <w:r>
        <w:rPr>
          <w:spacing w:val="9"/>
          <w:sz w:val="15"/>
        </w:rPr>
        <w:t> </w:t>
      </w:r>
      <w:r>
        <w:rPr>
          <w:sz w:val="15"/>
        </w:rPr>
        <w:t>del</w:t>
      </w:r>
      <w:r>
        <w:rPr>
          <w:spacing w:val="8"/>
          <w:sz w:val="15"/>
        </w:rPr>
        <w:t> </w:t>
      </w:r>
      <w:r>
        <w:rPr>
          <w:sz w:val="15"/>
        </w:rPr>
        <w:t>valor</w:t>
      </w:r>
      <w:r>
        <w:rPr>
          <w:spacing w:val="9"/>
          <w:sz w:val="15"/>
        </w:rPr>
        <w:t> </w:t>
      </w:r>
      <w:r>
        <w:rPr>
          <w:sz w:val="15"/>
        </w:rPr>
        <w:t>de</w:t>
      </w:r>
      <w:r>
        <w:rPr>
          <w:spacing w:val="9"/>
          <w:sz w:val="15"/>
        </w:rPr>
        <w:t> </w:t>
      </w:r>
      <w:r>
        <w:rPr>
          <w:sz w:val="15"/>
        </w:rPr>
        <w:t>los</w:t>
      </w:r>
      <w:r>
        <w:rPr>
          <w:spacing w:val="8"/>
          <w:sz w:val="15"/>
        </w:rPr>
        <w:t> </w:t>
      </w:r>
      <w:r>
        <w:rPr>
          <w:sz w:val="15"/>
        </w:rPr>
        <w:t>derechos</w:t>
      </w:r>
      <w:r>
        <w:rPr>
          <w:spacing w:val="9"/>
          <w:sz w:val="15"/>
        </w:rPr>
        <w:t> </w:t>
      </w:r>
      <w:r>
        <w:rPr>
          <w:sz w:val="15"/>
        </w:rPr>
        <w:t>omitidos</w:t>
      </w:r>
    </w:p>
    <w:p>
      <w:pPr>
        <w:pStyle w:val="BodyText"/>
        <w:spacing w:before="8"/>
        <w:rPr>
          <w:sz w:val="18"/>
        </w:rPr>
      </w:pPr>
    </w:p>
    <w:p>
      <w:pPr>
        <w:pStyle w:val="ListParagraph"/>
        <w:numPr>
          <w:ilvl w:val="0"/>
          <w:numId w:val="197"/>
        </w:numPr>
        <w:tabs>
          <w:tab w:pos="796" w:val="left" w:leader="none"/>
        </w:tabs>
        <w:spacing w:line="247" w:lineRule="auto" w:before="0" w:after="0"/>
        <w:ind w:left="150" w:right="39" w:firstLine="397"/>
        <w:jc w:val="both"/>
        <w:rPr>
          <w:sz w:val="15"/>
        </w:rPr>
      </w:pPr>
      <w:r>
        <w:rPr>
          <w:sz w:val="15"/>
        </w:rPr>
        <w:t>Por no realizar los pagos de derechos de sacrificio por los establecimientos registrados y con licencia o autorización por el Municipio, en  la</w:t>
      </w:r>
      <w:r>
        <w:rPr>
          <w:spacing w:val="14"/>
          <w:sz w:val="15"/>
        </w:rPr>
        <w:t> </w:t>
      </w:r>
      <w:r>
        <w:rPr>
          <w:sz w:val="15"/>
        </w:rPr>
        <w:t>forma</w:t>
      </w:r>
      <w:r>
        <w:rPr>
          <w:spacing w:val="15"/>
          <w:sz w:val="15"/>
        </w:rPr>
        <w:t> </w:t>
      </w:r>
      <w:r>
        <w:rPr>
          <w:sz w:val="15"/>
        </w:rPr>
        <w:t>y</w:t>
      </w:r>
      <w:r>
        <w:rPr>
          <w:spacing w:val="13"/>
          <w:sz w:val="15"/>
        </w:rPr>
        <w:t> </w:t>
      </w:r>
      <w:r>
        <w:rPr>
          <w:sz w:val="15"/>
        </w:rPr>
        <w:t>términos</w:t>
      </w:r>
      <w:r>
        <w:rPr>
          <w:spacing w:val="14"/>
          <w:sz w:val="15"/>
        </w:rPr>
        <w:t> </w:t>
      </w:r>
      <w:r>
        <w:rPr>
          <w:sz w:val="15"/>
        </w:rPr>
        <w:t>que</w:t>
      </w:r>
      <w:r>
        <w:rPr>
          <w:spacing w:val="15"/>
          <w:sz w:val="15"/>
        </w:rPr>
        <w:t> </w:t>
      </w:r>
      <w:r>
        <w:rPr>
          <w:sz w:val="15"/>
        </w:rPr>
        <w:t>establece</w:t>
      </w:r>
      <w:r>
        <w:rPr>
          <w:spacing w:val="14"/>
          <w:sz w:val="15"/>
        </w:rPr>
        <w:t> </w:t>
      </w:r>
      <w:r>
        <w:rPr>
          <w:sz w:val="15"/>
        </w:rPr>
        <w:t>las</w:t>
      </w:r>
      <w:r>
        <w:rPr>
          <w:spacing w:val="14"/>
          <w:sz w:val="15"/>
        </w:rPr>
        <w:t> </w:t>
      </w:r>
      <w:r>
        <w:rPr>
          <w:sz w:val="15"/>
        </w:rPr>
        <w:t>disposiciones</w:t>
      </w:r>
      <w:r>
        <w:rPr>
          <w:spacing w:val="14"/>
          <w:sz w:val="15"/>
        </w:rPr>
        <w:t> </w:t>
      </w:r>
      <w:r>
        <w:rPr>
          <w:sz w:val="15"/>
        </w:rPr>
        <w:t>de</w:t>
      </w:r>
      <w:r>
        <w:rPr>
          <w:spacing w:val="15"/>
          <w:sz w:val="15"/>
        </w:rPr>
        <w:t> </w:t>
      </w:r>
      <w:r>
        <w:rPr>
          <w:sz w:val="15"/>
        </w:rPr>
        <w:t>esta</w:t>
      </w:r>
      <w:r>
        <w:rPr>
          <w:spacing w:val="14"/>
          <w:sz w:val="15"/>
        </w:rPr>
        <w:t> </w:t>
      </w:r>
      <w:r>
        <w:rPr>
          <w:sz w:val="15"/>
        </w:rPr>
        <w:t>ley</w:t>
      </w:r>
      <w:r>
        <w:rPr>
          <w:spacing w:val="16"/>
          <w:sz w:val="15"/>
        </w:rPr>
        <w:t> </w:t>
      </w:r>
      <w:r>
        <w:rPr>
          <w:sz w:val="15"/>
        </w:rPr>
        <w:t>en</w:t>
      </w:r>
      <w:r>
        <w:rPr>
          <w:spacing w:val="16"/>
          <w:sz w:val="15"/>
        </w:rPr>
        <w:t> </w:t>
      </w:r>
      <w:r>
        <w:rPr>
          <w:sz w:val="15"/>
        </w:rPr>
        <w:t>materia</w:t>
      </w:r>
      <w:r>
        <w:rPr>
          <w:spacing w:val="14"/>
          <w:sz w:val="15"/>
        </w:rPr>
        <w:t> </w:t>
      </w:r>
      <w:r>
        <w:rPr>
          <w:sz w:val="15"/>
        </w:rPr>
        <w:t>de</w:t>
      </w:r>
    </w:p>
    <w:p>
      <w:pPr>
        <w:pStyle w:val="ListParagraph"/>
        <w:numPr>
          <w:ilvl w:val="0"/>
          <w:numId w:val="198"/>
        </w:numPr>
        <w:tabs>
          <w:tab w:pos="720" w:val="left" w:leader="none"/>
          <w:tab w:pos="2225" w:val="left" w:leader="none"/>
        </w:tabs>
        <w:spacing w:line="240" w:lineRule="auto" w:before="43" w:after="0"/>
        <w:ind w:left="719" w:right="0" w:hanging="172"/>
        <w:jc w:val="left"/>
        <w:rPr>
          <w:sz w:val="15"/>
        </w:rPr>
      </w:pPr>
      <w:r>
        <w:rPr>
          <w:w w:val="102"/>
          <w:sz w:val="15"/>
        </w:rPr>
        <w:br w:type="column"/>
      </w:r>
      <w:r>
        <w:rPr>
          <w:sz w:val="15"/>
        </w:rPr>
        <w:t>Conejos</w:t>
      </w:r>
      <w:r>
        <w:rPr>
          <w:spacing w:val="18"/>
          <w:sz w:val="15"/>
        </w:rPr>
        <w:t> </w:t>
      </w:r>
      <w:r>
        <w:rPr>
          <w:sz w:val="15"/>
        </w:rPr>
        <w:t>de:</w:t>
        <w:tab/>
        <w:t>1 a 2 unidades de medida y</w:t>
      </w:r>
      <w:r>
        <w:rPr>
          <w:spacing w:val="13"/>
          <w:sz w:val="15"/>
        </w:rPr>
        <w:t> </w:t>
      </w:r>
      <w:r>
        <w:rPr>
          <w:sz w:val="15"/>
        </w:rPr>
        <w:t>actualización;</w:t>
      </w:r>
    </w:p>
    <w:p>
      <w:pPr>
        <w:pStyle w:val="BodyText"/>
        <w:spacing w:before="3"/>
        <w:rPr>
          <w:sz w:val="19"/>
        </w:rPr>
      </w:pPr>
    </w:p>
    <w:p>
      <w:pPr>
        <w:pStyle w:val="ListParagraph"/>
        <w:numPr>
          <w:ilvl w:val="0"/>
          <w:numId w:val="197"/>
        </w:numPr>
        <w:tabs>
          <w:tab w:pos="635" w:val="left" w:leader="none"/>
        </w:tabs>
        <w:spacing w:line="247" w:lineRule="auto" w:before="0" w:after="0"/>
        <w:ind w:left="150" w:right="2711" w:firstLine="397"/>
        <w:jc w:val="both"/>
        <w:rPr>
          <w:sz w:val="15"/>
        </w:rPr>
      </w:pPr>
      <w:r>
        <w:rPr>
          <w:sz w:val="15"/>
        </w:rPr>
        <w:t>Por no presentar, los rastros particulares autorizados o concesionados, dentro de los primeros cinco días hábiles, el informe mensual de sacrificio por escrito, independientemente de la infracción por el sacrificio clandestino, dependiendo de la especie sacrificada</w:t>
      </w:r>
      <w:r>
        <w:rPr>
          <w:spacing w:val="9"/>
          <w:sz w:val="15"/>
        </w:rPr>
        <w:t> </w:t>
      </w:r>
      <w:r>
        <w:rPr>
          <w:sz w:val="15"/>
        </w:rPr>
        <w:t>de:</w:t>
      </w:r>
    </w:p>
    <w:p>
      <w:pPr>
        <w:pStyle w:val="BodyText"/>
        <w:spacing w:before="2"/>
      </w:pPr>
    </w:p>
    <w:p>
      <w:pPr>
        <w:pStyle w:val="BodyText"/>
        <w:ind w:right="2711"/>
        <w:jc w:val="right"/>
      </w:pPr>
      <w:r>
        <w:rPr/>
        <w:t>53 a 97   unidades de medida y</w:t>
      </w:r>
      <w:r>
        <w:rPr>
          <w:spacing w:val="32"/>
        </w:rPr>
        <w:t> </w:t>
      </w:r>
      <w:r>
        <w:rPr/>
        <w:t>actualización;</w:t>
      </w:r>
    </w:p>
    <w:p>
      <w:pPr>
        <w:pStyle w:val="BodyText"/>
        <w:spacing w:before="2"/>
        <w:rPr>
          <w:sz w:val="19"/>
        </w:rPr>
      </w:pPr>
    </w:p>
    <w:p>
      <w:pPr>
        <w:pStyle w:val="BodyText"/>
        <w:ind w:right="2726"/>
        <w:jc w:val="right"/>
      </w:pPr>
      <w:r>
        <w:rPr/>
        <w:t>1.</w:t>
      </w:r>
      <w:r>
        <w:rPr>
          <w:spacing w:val="12"/>
        </w:rPr>
        <w:t> </w:t>
      </w:r>
      <w:r>
        <w:rPr/>
        <w:t>Presentar</w:t>
      </w:r>
      <w:r>
        <w:rPr>
          <w:spacing w:val="13"/>
        </w:rPr>
        <w:t> </w:t>
      </w:r>
      <w:r>
        <w:rPr/>
        <w:t>información</w:t>
      </w:r>
      <w:r>
        <w:rPr>
          <w:spacing w:val="13"/>
        </w:rPr>
        <w:t> </w:t>
      </w:r>
      <w:r>
        <w:rPr/>
        <w:t>falsa</w:t>
      </w:r>
      <w:r>
        <w:rPr>
          <w:spacing w:val="12"/>
        </w:rPr>
        <w:t> </w:t>
      </w:r>
      <w:r>
        <w:rPr/>
        <w:t>respecto</w:t>
      </w:r>
      <w:r>
        <w:rPr>
          <w:spacing w:val="13"/>
        </w:rPr>
        <w:t> </w:t>
      </w:r>
      <w:r>
        <w:rPr/>
        <w:t>de</w:t>
      </w:r>
      <w:r>
        <w:rPr>
          <w:spacing w:val="13"/>
        </w:rPr>
        <w:t> </w:t>
      </w:r>
      <w:r>
        <w:rPr/>
        <w:t>los</w:t>
      </w:r>
      <w:r>
        <w:rPr>
          <w:spacing w:val="13"/>
        </w:rPr>
        <w:t> </w:t>
      </w:r>
      <w:r>
        <w:rPr/>
        <w:t>animales</w:t>
      </w:r>
      <w:r>
        <w:rPr>
          <w:spacing w:val="12"/>
        </w:rPr>
        <w:t> </w:t>
      </w:r>
      <w:r>
        <w:rPr/>
        <w:t>sacrificados,</w:t>
      </w:r>
      <w:r>
        <w:rPr>
          <w:spacing w:val="12"/>
        </w:rPr>
        <w:t> </w:t>
      </w:r>
      <w:r>
        <w:rPr/>
        <w:t>de:</w:t>
      </w:r>
    </w:p>
    <w:p>
      <w:pPr>
        <w:pStyle w:val="BodyText"/>
        <w:spacing w:before="5"/>
        <w:ind w:right="2712"/>
        <w:jc w:val="right"/>
      </w:pPr>
      <w:r>
        <w:rPr/>
        <w:t>72</w:t>
      </w:r>
      <w:r>
        <w:rPr>
          <w:spacing w:val="10"/>
        </w:rPr>
        <w:t> </w:t>
      </w:r>
      <w:r>
        <w:rPr/>
        <w:t>a</w:t>
      </w:r>
      <w:r>
        <w:rPr>
          <w:spacing w:val="11"/>
        </w:rPr>
        <w:t> </w:t>
      </w:r>
      <w:r>
        <w:rPr/>
        <w:t>144</w:t>
      </w:r>
      <w:r>
        <w:rPr>
          <w:spacing w:val="11"/>
        </w:rPr>
        <w:t> </w:t>
      </w:r>
      <w:r>
        <w:rPr/>
        <w:t>unidades</w:t>
      </w:r>
      <w:r>
        <w:rPr>
          <w:spacing w:val="11"/>
        </w:rPr>
        <w:t> </w:t>
      </w:r>
      <w:r>
        <w:rPr/>
        <w:t>de</w:t>
      </w:r>
      <w:r>
        <w:rPr>
          <w:spacing w:val="10"/>
        </w:rPr>
        <w:t> </w:t>
      </w:r>
      <w:r>
        <w:rPr/>
        <w:t>medida</w:t>
      </w:r>
      <w:r>
        <w:rPr>
          <w:spacing w:val="11"/>
        </w:rPr>
        <w:t> </w:t>
      </w:r>
      <w:r>
        <w:rPr/>
        <w:t>y</w:t>
      </w:r>
      <w:r>
        <w:rPr>
          <w:spacing w:val="11"/>
        </w:rPr>
        <w:t> </w:t>
      </w:r>
      <w:r>
        <w:rPr/>
        <w:t>actualización;</w:t>
      </w:r>
    </w:p>
    <w:p>
      <w:pPr>
        <w:pStyle w:val="BodyText"/>
        <w:spacing w:before="2"/>
        <w:rPr>
          <w:sz w:val="19"/>
        </w:rPr>
      </w:pPr>
    </w:p>
    <w:p>
      <w:pPr>
        <w:pStyle w:val="ListParagraph"/>
        <w:numPr>
          <w:ilvl w:val="0"/>
          <w:numId w:val="199"/>
        </w:numPr>
        <w:tabs>
          <w:tab w:pos="782" w:val="left" w:leader="none"/>
        </w:tabs>
        <w:spacing w:line="247" w:lineRule="auto" w:before="0" w:after="0"/>
        <w:ind w:left="150" w:right="2714" w:firstLine="397"/>
        <w:jc w:val="left"/>
        <w:rPr>
          <w:sz w:val="15"/>
        </w:rPr>
      </w:pPr>
      <w:r>
        <w:rPr>
          <w:sz w:val="15"/>
        </w:rPr>
        <w:t>Por no mostrar la documentación de los pagos ordinarios a la Hacienda Municipal a inspectores o autoridades sanitarias,</w:t>
      </w:r>
      <w:r>
        <w:rPr>
          <w:spacing w:val="27"/>
          <w:sz w:val="15"/>
        </w:rPr>
        <w:t> </w:t>
      </w:r>
      <w:r>
        <w:rPr>
          <w:sz w:val="15"/>
        </w:rPr>
        <w:t>de:</w:t>
      </w:r>
    </w:p>
    <w:p>
      <w:pPr>
        <w:pStyle w:val="BodyText"/>
        <w:spacing w:line="394" w:lineRule="exact" w:before="1"/>
        <w:ind w:left="548" w:right="2682" w:firstLine="2091"/>
      </w:pPr>
      <w:r>
        <w:rPr/>
        <w:t>2 a 6 unidades de medida y actualización; ñ) Por violar o retirar sellos de clausura sin autorización municipal,</w:t>
      </w:r>
    </w:p>
    <w:p>
      <w:pPr>
        <w:pStyle w:val="BodyText"/>
        <w:spacing w:line="130" w:lineRule="exact"/>
        <w:ind w:left="150"/>
      </w:pPr>
      <w:r>
        <w:rPr/>
        <w:t>cuando un giro esté clausurado por la autoridad municipal, de:</w:t>
      </w:r>
    </w:p>
    <w:p>
      <w:pPr>
        <w:pStyle w:val="BodyText"/>
        <w:spacing w:before="9"/>
      </w:pPr>
    </w:p>
    <w:p>
      <w:pPr>
        <w:pStyle w:val="BodyText"/>
        <w:ind w:right="2712"/>
        <w:jc w:val="right"/>
      </w:pPr>
      <w:r>
        <w:rPr/>
        <w:t>31 a 206 unidades de medida y actualización;</w:t>
      </w:r>
    </w:p>
    <w:p>
      <w:pPr>
        <w:pStyle w:val="BodyText"/>
        <w:spacing w:before="3"/>
        <w:rPr>
          <w:sz w:val="19"/>
        </w:rPr>
      </w:pPr>
    </w:p>
    <w:p>
      <w:pPr>
        <w:pStyle w:val="ListParagraph"/>
        <w:numPr>
          <w:ilvl w:val="0"/>
          <w:numId w:val="199"/>
        </w:numPr>
        <w:tabs>
          <w:tab w:pos="728" w:val="left" w:leader="none"/>
        </w:tabs>
        <w:spacing w:line="244" w:lineRule="auto" w:before="0" w:after="0"/>
        <w:ind w:left="150" w:right="3057" w:firstLine="397"/>
        <w:jc w:val="left"/>
        <w:rPr>
          <w:sz w:val="15"/>
        </w:rPr>
      </w:pPr>
      <w:r>
        <w:rPr>
          <w:sz w:val="15"/>
        </w:rPr>
        <w:t>Por disponer de productos asegurados por los inspectores, sin la liberación correspondiente por la autoridad competente,</w:t>
      </w:r>
      <w:r>
        <w:rPr>
          <w:spacing w:val="23"/>
          <w:sz w:val="15"/>
        </w:rPr>
        <w:t> </w:t>
      </w:r>
      <w:r>
        <w:rPr>
          <w:sz w:val="15"/>
        </w:rPr>
        <w:t>de:</w:t>
      </w:r>
    </w:p>
    <w:p>
      <w:pPr>
        <w:pStyle w:val="BodyText"/>
        <w:spacing w:before="6"/>
      </w:pPr>
    </w:p>
    <w:p>
      <w:pPr>
        <w:pStyle w:val="BodyText"/>
        <w:ind w:right="2712"/>
        <w:jc w:val="right"/>
      </w:pPr>
      <w:r>
        <w:rPr/>
        <w:t>36 a 79 unidades de medida y actualización;</w:t>
      </w:r>
    </w:p>
    <w:p>
      <w:pPr>
        <w:pStyle w:val="BodyText"/>
        <w:spacing w:before="2"/>
        <w:rPr>
          <w:sz w:val="19"/>
        </w:rPr>
      </w:pPr>
    </w:p>
    <w:p>
      <w:pPr>
        <w:pStyle w:val="ListParagraph"/>
        <w:numPr>
          <w:ilvl w:val="0"/>
          <w:numId w:val="199"/>
        </w:numPr>
        <w:tabs>
          <w:tab w:pos="728" w:val="left" w:leader="none"/>
        </w:tabs>
        <w:spacing w:line="240" w:lineRule="auto" w:before="0" w:after="0"/>
        <w:ind w:left="727" w:right="0" w:hanging="180"/>
        <w:jc w:val="left"/>
        <w:rPr>
          <w:sz w:val="15"/>
        </w:rPr>
      </w:pPr>
      <w:r>
        <w:rPr>
          <w:sz w:val="15"/>
        </w:rPr>
        <w:t>Por manifestar datos falsos del giro autorizado,</w:t>
      </w:r>
      <w:r>
        <w:rPr>
          <w:spacing w:val="11"/>
          <w:sz w:val="15"/>
        </w:rPr>
        <w:t> </w:t>
      </w:r>
      <w:r>
        <w:rPr>
          <w:sz w:val="15"/>
        </w:rPr>
        <w:t>de:</w:t>
      </w:r>
    </w:p>
    <w:p>
      <w:pPr>
        <w:pStyle w:val="BodyText"/>
        <w:spacing w:before="10"/>
      </w:pPr>
    </w:p>
    <w:p>
      <w:pPr>
        <w:pStyle w:val="BodyText"/>
        <w:ind w:right="2712"/>
        <w:jc w:val="right"/>
      </w:pPr>
      <w:r>
        <w:rPr/>
        <w:t>36 a 79 unidades de medida y actualización;</w:t>
      </w:r>
    </w:p>
    <w:p>
      <w:pPr>
        <w:pStyle w:val="BodyText"/>
        <w:spacing w:before="2"/>
        <w:rPr>
          <w:sz w:val="19"/>
        </w:rPr>
      </w:pPr>
    </w:p>
    <w:p>
      <w:pPr>
        <w:pStyle w:val="ListParagraph"/>
        <w:numPr>
          <w:ilvl w:val="0"/>
          <w:numId w:val="199"/>
        </w:numPr>
        <w:tabs>
          <w:tab w:pos="736" w:val="left" w:leader="none"/>
        </w:tabs>
        <w:spacing w:line="247" w:lineRule="auto" w:before="0" w:after="0"/>
        <w:ind w:left="150" w:right="2712" w:firstLine="397"/>
        <w:jc w:val="both"/>
        <w:rPr>
          <w:sz w:val="15"/>
        </w:rPr>
      </w:pPr>
      <w:r>
        <w:rPr>
          <w:sz w:val="15"/>
        </w:rPr>
        <w:t>Por impedir que el inspector, supervisor o autoridad municipal realice labores de inspección sanitaria del establecimiento conforme al  Reglamento   de</w:t>
      </w:r>
      <w:r>
        <w:rPr>
          <w:spacing w:val="6"/>
          <w:sz w:val="15"/>
        </w:rPr>
        <w:t> </w:t>
      </w:r>
      <w:r>
        <w:rPr>
          <w:sz w:val="15"/>
        </w:rPr>
        <w:t>los</w:t>
      </w:r>
      <w:r>
        <w:rPr>
          <w:spacing w:val="7"/>
          <w:sz w:val="15"/>
        </w:rPr>
        <w:t> </w:t>
      </w:r>
      <w:r>
        <w:rPr>
          <w:sz w:val="15"/>
        </w:rPr>
        <w:t>Rastros</w:t>
      </w:r>
      <w:r>
        <w:rPr>
          <w:spacing w:val="6"/>
          <w:sz w:val="15"/>
        </w:rPr>
        <w:t> </w:t>
      </w:r>
      <w:r>
        <w:rPr>
          <w:sz w:val="15"/>
        </w:rPr>
        <w:t>y</w:t>
      </w:r>
      <w:r>
        <w:rPr>
          <w:spacing w:val="7"/>
          <w:sz w:val="15"/>
        </w:rPr>
        <w:t> </w:t>
      </w:r>
      <w:r>
        <w:rPr>
          <w:sz w:val="15"/>
        </w:rPr>
        <w:t>de</w:t>
      </w:r>
      <w:r>
        <w:rPr>
          <w:spacing w:val="7"/>
          <w:sz w:val="15"/>
        </w:rPr>
        <w:t> </w:t>
      </w:r>
      <w:r>
        <w:rPr>
          <w:sz w:val="15"/>
        </w:rPr>
        <w:t>la</w:t>
      </w:r>
      <w:r>
        <w:rPr>
          <w:spacing w:val="6"/>
          <w:sz w:val="15"/>
        </w:rPr>
        <w:t> </w:t>
      </w:r>
      <w:r>
        <w:rPr>
          <w:sz w:val="15"/>
        </w:rPr>
        <w:t>Inspección</w:t>
      </w:r>
      <w:r>
        <w:rPr>
          <w:spacing w:val="6"/>
          <w:sz w:val="15"/>
        </w:rPr>
        <w:t> </w:t>
      </w:r>
      <w:r>
        <w:rPr>
          <w:sz w:val="15"/>
        </w:rPr>
        <w:t>Sanitaria</w:t>
      </w:r>
      <w:r>
        <w:rPr>
          <w:spacing w:val="6"/>
          <w:sz w:val="15"/>
        </w:rPr>
        <w:t> </w:t>
      </w:r>
      <w:r>
        <w:rPr>
          <w:sz w:val="15"/>
        </w:rPr>
        <w:t>de</w:t>
      </w:r>
      <w:r>
        <w:rPr>
          <w:spacing w:val="7"/>
          <w:sz w:val="15"/>
        </w:rPr>
        <w:t> </w:t>
      </w:r>
      <w:r>
        <w:rPr>
          <w:sz w:val="15"/>
        </w:rPr>
        <w:t>Carnes</w:t>
      </w:r>
      <w:r>
        <w:rPr>
          <w:spacing w:val="7"/>
          <w:sz w:val="15"/>
        </w:rPr>
        <w:t> </w:t>
      </w:r>
      <w:r>
        <w:rPr>
          <w:sz w:val="15"/>
        </w:rPr>
        <w:t>y</w:t>
      </w:r>
      <w:r>
        <w:rPr>
          <w:spacing w:val="6"/>
          <w:sz w:val="15"/>
        </w:rPr>
        <w:t> </w:t>
      </w:r>
      <w:r>
        <w:rPr>
          <w:sz w:val="15"/>
        </w:rPr>
        <w:t>Sus</w:t>
      </w:r>
      <w:r>
        <w:rPr>
          <w:spacing w:val="7"/>
          <w:sz w:val="15"/>
        </w:rPr>
        <w:t> </w:t>
      </w:r>
      <w:r>
        <w:rPr>
          <w:sz w:val="15"/>
        </w:rPr>
        <w:t>Productos,</w:t>
      </w:r>
      <w:r>
        <w:rPr>
          <w:spacing w:val="5"/>
          <w:sz w:val="15"/>
        </w:rPr>
        <w:t> </w:t>
      </w:r>
      <w:r>
        <w:rPr>
          <w:sz w:val="15"/>
        </w:rPr>
        <w:t>de:</w:t>
      </w:r>
    </w:p>
    <w:p>
      <w:pPr>
        <w:pStyle w:val="BodyText"/>
        <w:spacing w:line="171" w:lineRule="exact"/>
        <w:ind w:left="2382"/>
        <w:jc w:val="both"/>
      </w:pPr>
      <w:r>
        <w:rPr/>
        <w:t>29 a 206 unidades de medida y actualización;</w:t>
      </w:r>
    </w:p>
    <w:p>
      <w:pPr>
        <w:pStyle w:val="BodyText"/>
        <w:spacing w:before="2"/>
        <w:rPr>
          <w:sz w:val="19"/>
        </w:rPr>
      </w:pPr>
    </w:p>
    <w:p>
      <w:pPr>
        <w:pStyle w:val="ListParagraph"/>
        <w:numPr>
          <w:ilvl w:val="0"/>
          <w:numId w:val="199"/>
        </w:numPr>
        <w:tabs>
          <w:tab w:pos="696" w:val="left" w:leader="none"/>
        </w:tabs>
        <w:spacing w:line="247" w:lineRule="auto" w:before="0" w:after="0"/>
        <w:ind w:left="150" w:right="2712" w:firstLine="397"/>
        <w:jc w:val="both"/>
        <w:rPr>
          <w:sz w:val="15"/>
        </w:rPr>
      </w:pPr>
      <w:r>
        <w:rPr>
          <w:sz w:val="15"/>
        </w:rPr>
        <w:t>Por resistirse o impedir por cualquier medio a las visitas de inspección y/o auditoría, o por no suministrar los datos, informes, documentos o demás registros que legalmente puedan exigir los inspectores o autoridad municipal sanitaria</w:t>
      </w:r>
      <w:r>
        <w:rPr>
          <w:spacing w:val="30"/>
          <w:sz w:val="15"/>
        </w:rPr>
        <w:t> </w:t>
      </w:r>
      <w:r>
        <w:rPr>
          <w:sz w:val="15"/>
        </w:rPr>
        <w:t>conforme</w:t>
      </w:r>
      <w:r>
        <w:rPr>
          <w:spacing w:val="15"/>
          <w:sz w:val="15"/>
        </w:rPr>
        <w:t> </w:t>
      </w:r>
      <w:r>
        <w:rPr>
          <w:sz w:val="15"/>
        </w:rPr>
        <w:t>al</w:t>
      </w:r>
      <w:r>
        <w:rPr>
          <w:spacing w:val="15"/>
          <w:sz w:val="15"/>
        </w:rPr>
        <w:t> </w:t>
      </w:r>
      <w:r>
        <w:rPr>
          <w:sz w:val="15"/>
        </w:rPr>
        <w:t>reglamento</w:t>
      </w:r>
      <w:r>
        <w:rPr>
          <w:spacing w:val="15"/>
          <w:sz w:val="15"/>
        </w:rPr>
        <w:t> </w:t>
      </w:r>
      <w:r>
        <w:rPr>
          <w:sz w:val="15"/>
        </w:rPr>
        <w:t>de</w:t>
      </w:r>
      <w:r>
        <w:rPr>
          <w:spacing w:val="15"/>
          <w:sz w:val="15"/>
        </w:rPr>
        <w:t> </w:t>
      </w:r>
      <w:r>
        <w:rPr>
          <w:sz w:val="15"/>
        </w:rPr>
        <w:t>los</w:t>
      </w:r>
      <w:r>
        <w:rPr>
          <w:spacing w:val="30"/>
          <w:sz w:val="15"/>
        </w:rPr>
        <w:t> </w:t>
      </w:r>
      <w:r>
        <w:rPr>
          <w:sz w:val="15"/>
        </w:rPr>
        <w:t>Rastros</w:t>
      </w:r>
      <w:r>
        <w:rPr>
          <w:spacing w:val="15"/>
          <w:sz w:val="15"/>
        </w:rPr>
        <w:t> </w:t>
      </w:r>
      <w:r>
        <w:rPr>
          <w:sz w:val="15"/>
        </w:rPr>
        <w:t>y</w:t>
      </w:r>
      <w:r>
        <w:rPr>
          <w:spacing w:val="14"/>
          <w:sz w:val="15"/>
        </w:rPr>
        <w:t> </w:t>
      </w:r>
      <w:r>
        <w:rPr>
          <w:sz w:val="15"/>
        </w:rPr>
        <w:t>de</w:t>
      </w:r>
      <w:r>
        <w:rPr>
          <w:spacing w:val="15"/>
          <w:sz w:val="15"/>
        </w:rPr>
        <w:t> </w:t>
      </w:r>
      <w:r>
        <w:rPr>
          <w:sz w:val="15"/>
        </w:rPr>
        <w:t>la</w:t>
      </w:r>
      <w:r>
        <w:rPr>
          <w:spacing w:val="15"/>
          <w:sz w:val="15"/>
        </w:rPr>
        <w:t> </w:t>
      </w:r>
      <w:r>
        <w:rPr>
          <w:sz w:val="15"/>
        </w:rPr>
        <w:t>Inspección</w:t>
      </w:r>
      <w:r>
        <w:rPr>
          <w:spacing w:val="15"/>
          <w:sz w:val="15"/>
        </w:rPr>
        <w:t> </w:t>
      </w:r>
      <w:r>
        <w:rPr>
          <w:sz w:val="15"/>
        </w:rPr>
        <w:t>Sanitaria</w:t>
      </w:r>
    </w:p>
    <w:p>
      <w:pPr>
        <w:spacing w:after="0" w:line="247" w:lineRule="auto"/>
        <w:jc w:val="both"/>
        <w:rPr>
          <w:sz w:val="15"/>
        </w:rPr>
        <w:sectPr>
          <w:type w:val="continuous"/>
          <w:pgSz w:w="23250" w:h="15310" w:orient="landscape"/>
          <w:pgMar w:top="0" w:bottom="0" w:left="1880" w:right="1520"/>
          <w:cols w:num="2" w:equalWidth="0">
            <w:col w:w="5549" w:space="6073"/>
            <w:col w:w="8228"/>
          </w:cols>
        </w:sectPr>
      </w:pPr>
    </w:p>
    <w:p>
      <w:pPr>
        <w:pStyle w:val="BodyText"/>
        <w:rPr>
          <w:sz w:val="20"/>
        </w:rPr>
      </w:pPr>
    </w:p>
    <w:p>
      <w:pPr>
        <w:pStyle w:val="BodyText"/>
        <w:rPr>
          <w:sz w:val="20"/>
        </w:rPr>
      </w:pPr>
    </w:p>
    <w:p>
      <w:pPr>
        <w:spacing w:after="0"/>
        <w:rPr>
          <w:sz w:val="20"/>
        </w:rPr>
        <w:sectPr>
          <w:headerReference w:type="default" r:id="rId115"/>
          <w:pgSz w:w="23250" w:h="15310" w:orient="landscape"/>
          <w:pgMar w:header="881" w:footer="499" w:top="1920" w:bottom="680" w:left="1880" w:right="1520"/>
        </w:sectPr>
      </w:pPr>
    </w:p>
    <w:p>
      <w:pPr>
        <w:pStyle w:val="BodyText"/>
        <w:spacing w:before="10"/>
        <w:rPr>
          <w:sz w:val="19"/>
        </w:rPr>
      </w:pPr>
    </w:p>
    <w:p>
      <w:pPr>
        <w:pStyle w:val="BodyText"/>
        <w:ind w:left="151"/>
      </w:pPr>
      <w:r>
        <w:rPr/>
        <w:t>de Carnes y Sus Productos, de:</w:t>
      </w:r>
    </w:p>
    <w:p>
      <w:pPr>
        <w:pStyle w:val="BodyText"/>
        <w:rPr>
          <w:sz w:val="16"/>
        </w:rPr>
      </w:pPr>
      <w:r>
        <w:rPr/>
        <w:br w:type="column"/>
      </w:r>
      <w:r>
        <w:rPr>
          <w:sz w:val="16"/>
        </w:rPr>
      </w:r>
    </w:p>
    <w:p>
      <w:pPr>
        <w:pStyle w:val="BodyText"/>
        <w:spacing w:before="3"/>
        <w:rPr>
          <w:sz w:val="19"/>
        </w:rPr>
      </w:pPr>
    </w:p>
    <w:p>
      <w:pPr>
        <w:pStyle w:val="BodyText"/>
        <w:ind w:left="17"/>
      </w:pPr>
      <w:r>
        <w:rPr/>
        <w:t>22 a 137 unidades de medida y actualización;</w:t>
      </w:r>
    </w:p>
    <w:p>
      <w:pPr>
        <w:pStyle w:val="BodyText"/>
        <w:rPr>
          <w:sz w:val="16"/>
        </w:rPr>
      </w:pPr>
      <w:r>
        <w:rPr/>
        <w:br w:type="column"/>
      </w:r>
      <w:r>
        <w:rPr>
          <w:sz w:val="16"/>
        </w:rPr>
      </w:r>
    </w:p>
    <w:p>
      <w:pPr>
        <w:pStyle w:val="BodyText"/>
        <w:spacing w:before="2"/>
        <w:rPr>
          <w:sz w:val="19"/>
        </w:rPr>
      </w:pPr>
    </w:p>
    <w:p>
      <w:pPr>
        <w:pStyle w:val="BodyText"/>
        <w:spacing w:before="1"/>
        <w:ind w:left="151"/>
      </w:pPr>
      <w:r>
        <w:rPr/>
        <w:t>67 a 191 unidades de medida y actualización;</w:t>
      </w:r>
    </w:p>
    <w:p>
      <w:pPr>
        <w:spacing w:after="0"/>
        <w:sectPr>
          <w:type w:val="continuous"/>
          <w:pgSz w:w="23250" w:h="15310" w:orient="landscape"/>
          <w:pgMar w:top="0" w:bottom="0" w:left="1880" w:right="1520"/>
          <w:cols w:num="3" w:equalWidth="0">
            <w:col w:w="2326" w:space="40"/>
            <w:col w:w="3183" w:space="8305"/>
            <w:col w:w="5996"/>
          </w:cols>
        </w:sectPr>
      </w:pPr>
    </w:p>
    <w:p>
      <w:pPr>
        <w:pStyle w:val="BodyText"/>
        <w:spacing w:before="10"/>
        <w:rPr>
          <w:sz w:val="8"/>
        </w:rPr>
      </w:pPr>
    </w:p>
    <w:p>
      <w:pPr>
        <w:spacing w:after="0"/>
        <w:rPr>
          <w:sz w:val="8"/>
        </w:rPr>
        <w:sectPr>
          <w:type w:val="continuous"/>
          <w:pgSz w:w="23250" w:h="15310" w:orient="landscape"/>
          <w:pgMar w:top="0" w:bottom="0" w:left="1880" w:right="1520"/>
        </w:sectPr>
      </w:pPr>
    </w:p>
    <w:p>
      <w:pPr>
        <w:pStyle w:val="ListParagraph"/>
        <w:numPr>
          <w:ilvl w:val="0"/>
          <w:numId w:val="199"/>
        </w:numPr>
        <w:tabs>
          <w:tab w:pos="720" w:val="left" w:leader="none"/>
        </w:tabs>
        <w:spacing w:line="240" w:lineRule="auto" w:before="119" w:after="0"/>
        <w:ind w:left="719" w:right="0" w:hanging="172"/>
        <w:jc w:val="left"/>
        <w:rPr>
          <w:sz w:val="15"/>
        </w:rPr>
      </w:pPr>
      <w:r>
        <w:rPr>
          <w:sz w:val="15"/>
        </w:rPr>
        <w:t>Por insultar o agredir verbalmente al personal de inspección,</w:t>
      </w:r>
      <w:r>
        <w:rPr>
          <w:spacing w:val="9"/>
          <w:sz w:val="15"/>
        </w:rPr>
        <w:t> </w:t>
      </w:r>
      <w:r>
        <w:rPr>
          <w:sz w:val="15"/>
        </w:rPr>
        <w:t>de:</w:t>
      </w:r>
    </w:p>
    <w:p>
      <w:pPr>
        <w:pStyle w:val="BodyText"/>
        <w:spacing w:before="5"/>
        <w:ind w:left="2468"/>
      </w:pPr>
      <w:r>
        <w:rPr/>
        <w:t>14 a 72 unidades de medida y actualización;</w:t>
      </w:r>
    </w:p>
    <w:p>
      <w:pPr>
        <w:pStyle w:val="BodyText"/>
        <w:spacing w:before="2"/>
        <w:rPr>
          <w:sz w:val="19"/>
        </w:rPr>
      </w:pPr>
    </w:p>
    <w:p>
      <w:pPr>
        <w:pStyle w:val="ListParagraph"/>
        <w:numPr>
          <w:ilvl w:val="0"/>
          <w:numId w:val="199"/>
        </w:numPr>
        <w:tabs>
          <w:tab w:pos="704" w:val="left" w:leader="none"/>
        </w:tabs>
        <w:spacing w:line="244" w:lineRule="auto" w:before="1" w:after="0"/>
        <w:ind w:left="150" w:right="39" w:firstLine="397"/>
        <w:jc w:val="both"/>
        <w:rPr>
          <w:sz w:val="15"/>
        </w:rPr>
      </w:pPr>
      <w:r>
        <w:rPr>
          <w:sz w:val="15"/>
        </w:rPr>
        <w:t>Por agredir físicamente al personal de inspección, además del pago   de los daños físicos o jurídicos que sufra el agredido, independientemente de   la acción jurídica o legal correspondiente,</w:t>
      </w:r>
      <w:r>
        <w:rPr>
          <w:spacing w:val="11"/>
          <w:sz w:val="15"/>
        </w:rPr>
        <w:t> </w:t>
      </w:r>
      <w:r>
        <w:rPr>
          <w:sz w:val="15"/>
        </w:rPr>
        <w:t>de:</w:t>
      </w:r>
    </w:p>
    <w:p>
      <w:pPr>
        <w:pStyle w:val="BodyText"/>
        <w:spacing w:before="7"/>
      </w:pPr>
    </w:p>
    <w:p>
      <w:pPr>
        <w:pStyle w:val="BodyText"/>
        <w:ind w:left="2382"/>
      </w:pPr>
      <w:r>
        <w:rPr/>
        <w:t>72 a 288 unidades de medida y actualización;</w:t>
      </w:r>
    </w:p>
    <w:p>
      <w:pPr>
        <w:pStyle w:val="BodyText"/>
        <w:spacing w:before="2"/>
        <w:rPr>
          <w:sz w:val="19"/>
        </w:rPr>
      </w:pPr>
    </w:p>
    <w:p>
      <w:pPr>
        <w:pStyle w:val="ListParagraph"/>
        <w:numPr>
          <w:ilvl w:val="0"/>
          <w:numId w:val="199"/>
        </w:numPr>
        <w:tabs>
          <w:tab w:pos="728" w:val="left" w:leader="none"/>
        </w:tabs>
        <w:spacing w:line="247" w:lineRule="auto" w:before="0" w:after="0"/>
        <w:ind w:left="150" w:right="529" w:firstLine="397"/>
        <w:jc w:val="left"/>
        <w:rPr>
          <w:sz w:val="15"/>
        </w:rPr>
      </w:pPr>
      <w:r>
        <w:rPr>
          <w:sz w:val="15"/>
        </w:rPr>
        <w:t>Por carecer de bitácora o registros de un sistema de sanidad e inocuidad, o falta de seguimiento al mismo,</w:t>
      </w:r>
      <w:r>
        <w:rPr>
          <w:spacing w:val="14"/>
          <w:sz w:val="15"/>
        </w:rPr>
        <w:t> </w:t>
      </w:r>
      <w:r>
        <w:rPr>
          <w:sz w:val="15"/>
        </w:rPr>
        <w:t>de:</w:t>
      </w:r>
    </w:p>
    <w:p>
      <w:pPr>
        <w:pStyle w:val="BodyText"/>
        <w:spacing w:before="4"/>
      </w:pPr>
    </w:p>
    <w:p>
      <w:pPr>
        <w:pStyle w:val="BodyText"/>
        <w:ind w:left="2639"/>
        <w:jc w:val="both"/>
      </w:pPr>
      <w:r>
        <w:rPr/>
        <w:t>4 a 7 unidades de medida y actualización;</w:t>
      </w:r>
    </w:p>
    <w:p>
      <w:pPr>
        <w:pStyle w:val="BodyText"/>
        <w:spacing w:before="2"/>
        <w:rPr>
          <w:sz w:val="19"/>
        </w:rPr>
      </w:pPr>
    </w:p>
    <w:p>
      <w:pPr>
        <w:pStyle w:val="ListParagraph"/>
        <w:numPr>
          <w:ilvl w:val="0"/>
          <w:numId w:val="199"/>
        </w:numPr>
        <w:tabs>
          <w:tab w:pos="753" w:val="left" w:leader="none"/>
        </w:tabs>
        <w:spacing w:line="244" w:lineRule="auto" w:before="0" w:after="0"/>
        <w:ind w:left="150" w:right="38" w:firstLine="397"/>
        <w:jc w:val="both"/>
        <w:rPr>
          <w:sz w:val="15"/>
        </w:rPr>
      </w:pPr>
      <w:r>
        <w:rPr>
          <w:sz w:val="15"/>
        </w:rPr>
        <w:t>Por no sacrificar el ganado reactor a tuberculosis o brucelosis de acuerdo al dictamen de los médicos veterinarios aprobados, dentro del plazo establecido en el reglamento de los rastros e inspección sanitaria,</w:t>
      </w:r>
      <w:r>
        <w:rPr>
          <w:spacing w:val="6"/>
          <w:sz w:val="15"/>
        </w:rPr>
        <w:t> </w:t>
      </w:r>
      <w:r>
        <w:rPr>
          <w:sz w:val="15"/>
        </w:rPr>
        <w:t>de:</w:t>
      </w:r>
    </w:p>
    <w:p>
      <w:pPr>
        <w:pStyle w:val="BodyText"/>
        <w:spacing w:before="3"/>
        <w:ind w:left="2554"/>
        <w:jc w:val="both"/>
      </w:pPr>
      <w:r>
        <w:rPr/>
        <w:t>7 a 13 unidades de medida y actualización;</w:t>
      </w:r>
    </w:p>
    <w:p>
      <w:pPr>
        <w:pStyle w:val="BodyText"/>
        <w:spacing w:before="3"/>
        <w:rPr>
          <w:sz w:val="19"/>
        </w:rPr>
      </w:pPr>
    </w:p>
    <w:p>
      <w:pPr>
        <w:pStyle w:val="ListParagraph"/>
        <w:numPr>
          <w:ilvl w:val="0"/>
          <w:numId w:val="199"/>
        </w:numPr>
        <w:tabs>
          <w:tab w:pos="754" w:val="left" w:leader="none"/>
        </w:tabs>
        <w:spacing w:line="244" w:lineRule="auto" w:before="0" w:after="0"/>
        <w:ind w:left="150" w:right="136" w:firstLine="397"/>
        <w:jc w:val="left"/>
        <w:rPr>
          <w:sz w:val="15"/>
        </w:rPr>
      </w:pPr>
      <w:r>
        <w:rPr>
          <w:sz w:val="15"/>
        </w:rPr>
        <w:t>Por desacato o resistencia a un mandato legítimo del reglamento de rastros en materia de campañas zoosanitarias contra tuberculosis y  brucelosis, de:</w:t>
      </w:r>
    </w:p>
    <w:p>
      <w:pPr>
        <w:pStyle w:val="BodyText"/>
        <w:spacing w:before="8"/>
      </w:pPr>
    </w:p>
    <w:p>
      <w:pPr>
        <w:pStyle w:val="BodyText"/>
        <w:ind w:left="2554"/>
        <w:jc w:val="both"/>
      </w:pPr>
      <w:r>
        <w:rPr/>
        <w:t>7 a 37 unidades de medida y actualización;</w:t>
      </w:r>
    </w:p>
    <w:p>
      <w:pPr>
        <w:pStyle w:val="BodyText"/>
        <w:spacing w:before="2"/>
        <w:rPr>
          <w:sz w:val="19"/>
        </w:rPr>
      </w:pPr>
    </w:p>
    <w:p>
      <w:pPr>
        <w:pStyle w:val="ListParagraph"/>
        <w:numPr>
          <w:ilvl w:val="0"/>
          <w:numId w:val="199"/>
        </w:numPr>
        <w:tabs>
          <w:tab w:pos="763" w:val="left" w:leader="none"/>
        </w:tabs>
        <w:spacing w:line="247" w:lineRule="auto" w:before="0" w:after="0"/>
        <w:ind w:left="150" w:right="470" w:firstLine="440"/>
        <w:jc w:val="left"/>
        <w:rPr>
          <w:sz w:val="15"/>
        </w:rPr>
      </w:pPr>
      <w:r>
        <w:rPr>
          <w:sz w:val="15"/>
        </w:rPr>
        <w:t>Por incumplimiento de convenios o contratos realizados por los rastros particulares con el Municipio,</w:t>
      </w:r>
      <w:r>
        <w:rPr>
          <w:spacing w:val="8"/>
          <w:sz w:val="15"/>
        </w:rPr>
        <w:t> </w:t>
      </w:r>
      <w:r>
        <w:rPr>
          <w:sz w:val="15"/>
        </w:rPr>
        <w:t>de:</w:t>
      </w:r>
    </w:p>
    <w:p>
      <w:pPr>
        <w:pStyle w:val="BodyText"/>
        <w:spacing w:before="4"/>
      </w:pPr>
    </w:p>
    <w:p>
      <w:pPr>
        <w:pStyle w:val="BodyText"/>
        <w:ind w:left="2468"/>
      </w:pPr>
      <w:r>
        <w:rPr/>
        <w:t>29 a 94 unidades de medida y actualización;</w:t>
      </w:r>
    </w:p>
    <w:p>
      <w:pPr>
        <w:pStyle w:val="BodyText"/>
        <w:spacing w:before="2"/>
        <w:rPr>
          <w:sz w:val="19"/>
        </w:rPr>
      </w:pPr>
    </w:p>
    <w:p>
      <w:pPr>
        <w:pStyle w:val="ListParagraph"/>
        <w:numPr>
          <w:ilvl w:val="0"/>
          <w:numId w:val="199"/>
        </w:numPr>
        <w:tabs>
          <w:tab w:pos="831" w:val="left" w:leader="none"/>
        </w:tabs>
        <w:spacing w:line="247" w:lineRule="auto" w:before="0" w:after="0"/>
        <w:ind w:left="150" w:right="39" w:firstLine="397"/>
        <w:jc w:val="both"/>
        <w:rPr>
          <w:sz w:val="15"/>
        </w:rPr>
      </w:pPr>
      <w:r>
        <w:rPr>
          <w:sz w:val="15"/>
        </w:rPr>
        <w:t>Por condiciones insalubres en los rastros particulares, en instalaciones, salas de proceso, cámaras de refrigeración, congeladores, equipos, procesos, personal, indumentarias o donde se transforme carne para el consumo humano,</w:t>
      </w:r>
      <w:r>
        <w:rPr>
          <w:spacing w:val="3"/>
          <w:sz w:val="15"/>
        </w:rPr>
        <w:t> </w:t>
      </w:r>
      <w:r>
        <w:rPr>
          <w:sz w:val="15"/>
        </w:rPr>
        <w:t>de:</w:t>
      </w:r>
    </w:p>
    <w:p>
      <w:pPr>
        <w:pStyle w:val="BodyText"/>
        <w:spacing w:before="2"/>
      </w:pPr>
    </w:p>
    <w:p>
      <w:pPr>
        <w:pStyle w:val="BodyText"/>
        <w:spacing w:before="1"/>
        <w:ind w:left="2382"/>
      </w:pPr>
      <w:r>
        <w:rPr/>
        <w:t>14 a 225 unidades de medida y actualización;</w:t>
      </w:r>
    </w:p>
    <w:p>
      <w:pPr>
        <w:pStyle w:val="BodyText"/>
        <w:spacing w:before="1"/>
        <w:rPr>
          <w:sz w:val="19"/>
        </w:rPr>
      </w:pPr>
    </w:p>
    <w:p>
      <w:pPr>
        <w:pStyle w:val="ListParagraph"/>
        <w:numPr>
          <w:ilvl w:val="0"/>
          <w:numId w:val="199"/>
        </w:numPr>
        <w:tabs>
          <w:tab w:pos="751" w:val="left" w:leader="none"/>
        </w:tabs>
        <w:spacing w:line="247" w:lineRule="auto" w:before="1" w:after="0"/>
        <w:ind w:left="150" w:right="38" w:firstLine="397"/>
        <w:jc w:val="both"/>
        <w:rPr>
          <w:sz w:val="15"/>
        </w:rPr>
      </w:pPr>
      <w:r>
        <w:rPr>
          <w:sz w:val="15"/>
        </w:rPr>
        <w:t>Los rastros particulares cuyas instalaciones insalubres  se  reporten por la Unidad de Inspección Sanitaria de Carnes y sus Productos, y no se corrijan, después de haberlos apercibido a hacerlo, serán</w:t>
      </w:r>
      <w:r>
        <w:rPr>
          <w:spacing w:val="8"/>
          <w:sz w:val="15"/>
        </w:rPr>
        <w:t> </w:t>
      </w:r>
      <w:r>
        <w:rPr>
          <w:sz w:val="15"/>
        </w:rPr>
        <w:t>clausurados;</w:t>
      </w:r>
    </w:p>
    <w:p>
      <w:pPr>
        <w:pStyle w:val="BodyText"/>
        <w:spacing w:before="7"/>
        <w:rPr>
          <w:sz w:val="18"/>
        </w:rPr>
      </w:pPr>
    </w:p>
    <w:p>
      <w:pPr>
        <w:pStyle w:val="BodyText"/>
        <w:spacing w:line="247" w:lineRule="auto"/>
        <w:ind w:left="150" w:right="38" w:firstLine="397"/>
        <w:jc w:val="both"/>
      </w:pPr>
      <w:r>
        <w:rPr/>
        <w:t>aa) Por ignorar y no solventar, en los establecimientos, las indicaciones de los inspectores previstas en dos apercibimientos en visitas subsecuentes respecto a la violación del Reglamento de Los Rastros y de la</w:t>
      </w:r>
      <w:r>
        <w:rPr>
          <w:spacing w:val="17"/>
        </w:rPr>
        <w:t> </w:t>
      </w:r>
      <w:r>
        <w:rPr/>
        <w:t>Inspección Sanitaria de Carnes y sus productos,</w:t>
      </w:r>
      <w:r>
        <w:rPr>
          <w:spacing w:val="11"/>
        </w:rPr>
        <w:t> </w:t>
      </w:r>
      <w:r>
        <w:rPr/>
        <w:t>de:</w:t>
      </w:r>
    </w:p>
    <w:p>
      <w:pPr>
        <w:pStyle w:val="BodyText"/>
        <w:spacing w:before="2"/>
      </w:pPr>
    </w:p>
    <w:p>
      <w:pPr>
        <w:pStyle w:val="BodyText"/>
        <w:ind w:right="39"/>
        <w:jc w:val="right"/>
      </w:pPr>
      <w:r>
        <w:rPr/>
        <w:t>21 a 45 unidades de medida y actualización</w:t>
      </w:r>
    </w:p>
    <w:p>
      <w:pPr>
        <w:pStyle w:val="BodyText"/>
        <w:spacing w:before="5"/>
        <w:ind w:right="38"/>
        <w:jc w:val="right"/>
      </w:pPr>
      <w:r>
        <w:rPr>
          <w:w w:val="102"/>
        </w:rPr>
        <w:t>;</w:t>
      </w:r>
    </w:p>
    <w:p>
      <w:pPr>
        <w:pStyle w:val="ListParagraph"/>
        <w:numPr>
          <w:ilvl w:val="0"/>
          <w:numId w:val="193"/>
        </w:numPr>
        <w:tabs>
          <w:tab w:pos="768" w:val="left" w:leader="none"/>
        </w:tabs>
        <w:spacing w:line="244" w:lineRule="auto" w:before="44" w:after="0"/>
        <w:ind w:left="150" w:right="38" w:firstLine="397"/>
        <w:jc w:val="both"/>
        <w:rPr>
          <w:sz w:val="15"/>
        </w:rPr>
      </w:pPr>
      <w:r>
        <w:rPr>
          <w:sz w:val="15"/>
        </w:rPr>
        <w:t>A quienes adquieran bienes muebles o inmuebles, contraviniendo lo dispuesto en el artículo 301 de la Ley de Hacienda Municipal en vigor, se les sancionará con una multa,</w:t>
      </w:r>
      <w:r>
        <w:rPr>
          <w:spacing w:val="5"/>
          <w:sz w:val="15"/>
        </w:rPr>
        <w:t> </w:t>
      </w:r>
      <w:r>
        <w:rPr>
          <w:sz w:val="15"/>
        </w:rPr>
        <w:t>de:</w:t>
      </w:r>
    </w:p>
    <w:p>
      <w:pPr>
        <w:pStyle w:val="ListParagraph"/>
        <w:numPr>
          <w:ilvl w:val="0"/>
          <w:numId w:val="193"/>
        </w:numPr>
        <w:tabs>
          <w:tab w:pos="650" w:val="left" w:leader="none"/>
        </w:tabs>
        <w:spacing w:line="247" w:lineRule="auto" w:before="99" w:after="0"/>
        <w:ind w:left="150" w:right="508" w:firstLine="321"/>
        <w:jc w:val="both"/>
        <w:rPr>
          <w:sz w:val="15"/>
        </w:rPr>
      </w:pPr>
      <w:r>
        <w:rPr>
          <w:spacing w:val="-1"/>
          <w:w w:val="102"/>
          <w:sz w:val="15"/>
        </w:rPr>
        <w:br w:type="column"/>
      </w:r>
      <w:r>
        <w:rPr>
          <w:sz w:val="15"/>
        </w:rPr>
        <w:t>Por no contar con el permiso correspondiente para operar juegos de azar en cualquier giro comercial o establecimiento público o privado que funcionen de manera mecánica, electromecánica y/o electrónica accionados por fichas, monedas o similares</w:t>
      </w:r>
      <w:r>
        <w:rPr>
          <w:spacing w:val="7"/>
          <w:sz w:val="15"/>
        </w:rPr>
        <w:t> </w:t>
      </w:r>
      <w:r>
        <w:rPr>
          <w:sz w:val="15"/>
        </w:rPr>
        <w:t>de:</w:t>
      </w:r>
    </w:p>
    <w:p>
      <w:pPr>
        <w:pStyle w:val="BodyText"/>
        <w:spacing w:before="2"/>
      </w:pPr>
    </w:p>
    <w:p>
      <w:pPr>
        <w:pStyle w:val="BodyText"/>
        <w:spacing w:before="1"/>
        <w:ind w:left="4628"/>
      </w:pPr>
      <w:r>
        <w:rPr/>
        <w:t>30 a 500 unidades de medida y actualización</w:t>
      </w:r>
    </w:p>
    <w:p>
      <w:pPr>
        <w:pStyle w:val="BodyText"/>
        <w:spacing w:before="9"/>
      </w:pPr>
    </w:p>
    <w:p>
      <w:pPr>
        <w:pStyle w:val="BodyText"/>
        <w:spacing w:line="247" w:lineRule="auto"/>
        <w:ind w:left="150" w:right="748" w:firstLine="397"/>
      </w:pPr>
      <w:r>
        <w:rPr>
          <w:b/>
        </w:rPr>
        <w:t>Artículo 143.-</w:t>
      </w:r>
      <w:r>
        <w:rPr/>
        <w:t>Por violaciones a la legislación y a los ordenamientos municipales en materia de  zonificación, construcción, del hábitat y</w:t>
      </w:r>
      <w:r>
        <w:rPr>
          <w:spacing w:val="7"/>
        </w:rPr>
        <w:t> </w:t>
      </w:r>
      <w:r>
        <w:rPr/>
        <w:t>ornato:</w:t>
      </w:r>
    </w:p>
    <w:p>
      <w:pPr>
        <w:pStyle w:val="BodyText"/>
        <w:spacing w:before="3"/>
      </w:pPr>
    </w:p>
    <w:p>
      <w:pPr>
        <w:pStyle w:val="ListParagraph"/>
        <w:numPr>
          <w:ilvl w:val="0"/>
          <w:numId w:val="200"/>
        </w:numPr>
        <w:tabs>
          <w:tab w:pos="682" w:val="left" w:leader="none"/>
        </w:tabs>
        <w:spacing w:line="247" w:lineRule="auto" w:before="0" w:after="0"/>
        <w:ind w:left="150" w:right="510" w:firstLine="397"/>
        <w:jc w:val="both"/>
        <w:rPr>
          <w:sz w:val="15"/>
        </w:rPr>
      </w:pPr>
      <w:r>
        <w:rPr>
          <w:sz w:val="15"/>
        </w:rPr>
        <w:t>Por iniciar una obra de movimiento de tierras con corte de terreno mayor de 30 centímetros, alterando    la topografía original del mismo; sin contar con Licencia Municipal, de uno a tres tantos de las obligaciones eludidas en metros</w:t>
      </w:r>
      <w:r>
        <w:rPr>
          <w:spacing w:val="2"/>
          <w:sz w:val="15"/>
        </w:rPr>
        <w:t> </w:t>
      </w:r>
      <w:r>
        <w:rPr>
          <w:sz w:val="15"/>
        </w:rPr>
        <w:t>cúbicos;</w:t>
      </w:r>
    </w:p>
    <w:p>
      <w:pPr>
        <w:pStyle w:val="BodyText"/>
        <w:spacing w:before="3"/>
      </w:pPr>
    </w:p>
    <w:p>
      <w:pPr>
        <w:pStyle w:val="ListParagraph"/>
        <w:numPr>
          <w:ilvl w:val="0"/>
          <w:numId w:val="200"/>
        </w:numPr>
        <w:tabs>
          <w:tab w:pos="754" w:val="left" w:leader="none"/>
        </w:tabs>
        <w:spacing w:line="244" w:lineRule="auto" w:before="1" w:after="0"/>
        <w:ind w:left="150" w:right="509" w:firstLine="397"/>
        <w:jc w:val="both"/>
        <w:rPr>
          <w:sz w:val="15"/>
        </w:rPr>
      </w:pPr>
      <w:r>
        <w:rPr>
          <w:sz w:val="15"/>
        </w:rPr>
        <w:t>Por iniciar una obra de movimiento de tierras con relleno mayor de 30 centímetros alterando la topografía original del terreno, sin contar con licencia municipal, de uno a tres tantos de las obligaciones  eludidas, en metros</w:t>
      </w:r>
      <w:r>
        <w:rPr>
          <w:spacing w:val="2"/>
          <w:sz w:val="15"/>
        </w:rPr>
        <w:t> </w:t>
      </w:r>
      <w:r>
        <w:rPr>
          <w:sz w:val="15"/>
        </w:rPr>
        <w:t>cúbicos;</w:t>
      </w:r>
    </w:p>
    <w:p>
      <w:pPr>
        <w:pStyle w:val="BodyText"/>
        <w:spacing w:before="7"/>
      </w:pPr>
    </w:p>
    <w:p>
      <w:pPr>
        <w:pStyle w:val="ListParagraph"/>
        <w:numPr>
          <w:ilvl w:val="0"/>
          <w:numId w:val="200"/>
        </w:numPr>
        <w:tabs>
          <w:tab w:pos="788" w:val="left" w:leader="none"/>
        </w:tabs>
        <w:spacing w:line="247" w:lineRule="auto" w:before="0" w:after="0"/>
        <w:ind w:left="150" w:right="509" w:firstLine="397"/>
        <w:jc w:val="both"/>
        <w:rPr>
          <w:sz w:val="15"/>
        </w:rPr>
      </w:pPr>
      <w:r>
        <w:rPr>
          <w:sz w:val="15"/>
        </w:rPr>
        <w:t>Por iniciar una obra de excavación sin contar con licencia municipal, de uno a tres tantos de las obligaciones eludidas en metros</w:t>
      </w:r>
      <w:r>
        <w:rPr>
          <w:spacing w:val="5"/>
          <w:sz w:val="15"/>
        </w:rPr>
        <w:t> </w:t>
      </w:r>
      <w:r>
        <w:rPr>
          <w:sz w:val="15"/>
        </w:rPr>
        <w:t>cúbicos;</w:t>
      </w:r>
    </w:p>
    <w:p>
      <w:pPr>
        <w:pStyle w:val="BodyText"/>
        <w:spacing w:before="3"/>
      </w:pPr>
    </w:p>
    <w:p>
      <w:pPr>
        <w:pStyle w:val="ListParagraph"/>
        <w:numPr>
          <w:ilvl w:val="0"/>
          <w:numId w:val="200"/>
        </w:numPr>
        <w:tabs>
          <w:tab w:pos="818" w:val="left" w:leader="none"/>
        </w:tabs>
        <w:spacing w:line="247" w:lineRule="auto" w:before="0" w:after="0"/>
        <w:ind w:left="150" w:right="508" w:firstLine="397"/>
        <w:jc w:val="both"/>
        <w:rPr>
          <w:sz w:val="15"/>
        </w:rPr>
      </w:pPr>
      <w:r>
        <w:rPr>
          <w:sz w:val="15"/>
        </w:rPr>
        <w:t>Al urbanizador, constructor o director responsable, por permitir el habitar o dar uso  a  una  construcción</w:t>
      </w:r>
      <w:r>
        <w:rPr>
          <w:spacing w:val="5"/>
          <w:sz w:val="15"/>
        </w:rPr>
        <w:t> </w:t>
      </w:r>
      <w:r>
        <w:rPr>
          <w:sz w:val="15"/>
        </w:rPr>
        <w:t>o</w:t>
      </w:r>
      <w:r>
        <w:rPr>
          <w:spacing w:val="6"/>
          <w:sz w:val="15"/>
        </w:rPr>
        <w:t> </w:t>
      </w:r>
      <w:r>
        <w:rPr>
          <w:sz w:val="15"/>
        </w:rPr>
        <w:t>parte</w:t>
      </w:r>
      <w:r>
        <w:rPr>
          <w:spacing w:val="6"/>
          <w:sz w:val="15"/>
        </w:rPr>
        <w:t> </w:t>
      </w:r>
      <w:r>
        <w:rPr>
          <w:sz w:val="15"/>
        </w:rPr>
        <w:t>de</w:t>
      </w:r>
      <w:r>
        <w:rPr>
          <w:spacing w:val="5"/>
          <w:sz w:val="15"/>
        </w:rPr>
        <w:t> </w:t>
      </w:r>
      <w:r>
        <w:rPr>
          <w:sz w:val="15"/>
        </w:rPr>
        <w:t>ella</w:t>
      </w:r>
      <w:r>
        <w:rPr>
          <w:spacing w:val="6"/>
          <w:sz w:val="15"/>
        </w:rPr>
        <w:t> </w:t>
      </w:r>
      <w:r>
        <w:rPr>
          <w:sz w:val="15"/>
        </w:rPr>
        <w:t>sin</w:t>
      </w:r>
      <w:r>
        <w:rPr>
          <w:spacing w:val="5"/>
          <w:sz w:val="15"/>
        </w:rPr>
        <w:t> </w:t>
      </w:r>
      <w:r>
        <w:rPr>
          <w:sz w:val="15"/>
        </w:rPr>
        <w:t>haber</w:t>
      </w:r>
      <w:r>
        <w:rPr>
          <w:spacing w:val="6"/>
          <w:sz w:val="15"/>
        </w:rPr>
        <w:t> </w:t>
      </w:r>
      <w:r>
        <w:rPr>
          <w:sz w:val="15"/>
        </w:rPr>
        <w:t>obtenido</w:t>
      </w:r>
      <w:r>
        <w:rPr>
          <w:spacing w:val="4"/>
          <w:sz w:val="15"/>
        </w:rPr>
        <w:t> </w:t>
      </w:r>
      <w:r>
        <w:rPr>
          <w:sz w:val="15"/>
        </w:rPr>
        <w:t>el</w:t>
      </w:r>
      <w:r>
        <w:rPr>
          <w:spacing w:val="6"/>
          <w:sz w:val="15"/>
        </w:rPr>
        <w:t> </w:t>
      </w:r>
      <w:r>
        <w:rPr>
          <w:sz w:val="15"/>
        </w:rPr>
        <w:t>certificado</w:t>
      </w:r>
      <w:r>
        <w:rPr>
          <w:spacing w:val="8"/>
          <w:sz w:val="15"/>
        </w:rPr>
        <w:t> </w:t>
      </w:r>
      <w:r>
        <w:rPr>
          <w:sz w:val="15"/>
        </w:rPr>
        <w:t>de</w:t>
      </w:r>
      <w:r>
        <w:rPr>
          <w:spacing w:val="6"/>
          <w:sz w:val="15"/>
        </w:rPr>
        <w:t> </w:t>
      </w:r>
      <w:r>
        <w:rPr>
          <w:sz w:val="15"/>
        </w:rPr>
        <w:t>habitabilidad,</w:t>
      </w:r>
      <w:r>
        <w:rPr>
          <w:spacing w:val="5"/>
          <w:sz w:val="15"/>
        </w:rPr>
        <w:t> </w:t>
      </w:r>
      <w:r>
        <w:rPr>
          <w:sz w:val="15"/>
        </w:rPr>
        <w:t>por</w:t>
      </w:r>
      <w:r>
        <w:rPr>
          <w:spacing w:val="6"/>
          <w:sz w:val="15"/>
        </w:rPr>
        <w:t> </w:t>
      </w:r>
      <w:r>
        <w:rPr>
          <w:sz w:val="15"/>
        </w:rPr>
        <w:t>metro</w:t>
      </w:r>
      <w:r>
        <w:rPr>
          <w:spacing w:val="6"/>
          <w:sz w:val="15"/>
        </w:rPr>
        <w:t> </w:t>
      </w:r>
      <w:r>
        <w:rPr>
          <w:sz w:val="15"/>
        </w:rPr>
        <w:t>cuadrado,</w:t>
      </w:r>
      <w:r>
        <w:rPr>
          <w:spacing w:val="6"/>
          <w:sz w:val="15"/>
        </w:rPr>
        <w:t> </w:t>
      </w:r>
      <w:r>
        <w:rPr>
          <w:sz w:val="15"/>
        </w:rPr>
        <w:t>de:</w:t>
      </w:r>
    </w:p>
    <w:p>
      <w:pPr>
        <w:pStyle w:val="BodyText"/>
        <w:spacing w:line="172" w:lineRule="exact"/>
        <w:ind w:left="4115"/>
      </w:pPr>
      <w:r>
        <w:rPr/>
        <w:t>$15.00 a $40.00</w:t>
      </w:r>
    </w:p>
    <w:p>
      <w:pPr>
        <w:pStyle w:val="BodyText"/>
        <w:spacing w:before="10"/>
      </w:pPr>
    </w:p>
    <w:p>
      <w:pPr>
        <w:pStyle w:val="ListParagraph"/>
        <w:numPr>
          <w:ilvl w:val="0"/>
          <w:numId w:val="200"/>
        </w:numPr>
        <w:tabs>
          <w:tab w:pos="734" w:val="left" w:leader="none"/>
        </w:tabs>
        <w:spacing w:line="244" w:lineRule="auto" w:before="0" w:after="0"/>
        <w:ind w:left="150" w:right="509" w:firstLine="397"/>
        <w:jc w:val="both"/>
        <w:rPr>
          <w:sz w:val="15"/>
        </w:rPr>
      </w:pPr>
      <w:r>
        <w:rPr>
          <w:sz w:val="15"/>
        </w:rPr>
        <w:t>Por iniciar una obra de demolición de bardeo, muro, banquetas, guarniciones sin contar con licencia municipal de uno a tres tantos de las obligaciones eludidas, en metros</w:t>
      </w:r>
      <w:r>
        <w:rPr>
          <w:spacing w:val="31"/>
          <w:sz w:val="15"/>
        </w:rPr>
        <w:t> </w:t>
      </w:r>
      <w:r>
        <w:rPr>
          <w:sz w:val="15"/>
        </w:rPr>
        <w:t>lineales;</w:t>
      </w:r>
    </w:p>
    <w:p>
      <w:pPr>
        <w:pStyle w:val="BodyText"/>
        <w:spacing w:before="6"/>
      </w:pPr>
    </w:p>
    <w:p>
      <w:pPr>
        <w:pStyle w:val="ListParagraph"/>
        <w:numPr>
          <w:ilvl w:val="0"/>
          <w:numId w:val="200"/>
        </w:numPr>
        <w:tabs>
          <w:tab w:pos="809" w:val="left" w:leader="none"/>
        </w:tabs>
        <w:spacing w:line="247" w:lineRule="auto" w:before="0" w:after="0"/>
        <w:ind w:left="150" w:right="510" w:firstLine="397"/>
        <w:jc w:val="both"/>
        <w:rPr>
          <w:sz w:val="15"/>
        </w:rPr>
      </w:pPr>
      <w:r>
        <w:rPr>
          <w:sz w:val="15"/>
        </w:rPr>
        <w:t>Por iniciar una obra de demolición de construcción o edificación techada sin contar con licencia municipal, de uno a tres tantos de las obligaciones eludidas en metros</w:t>
      </w:r>
      <w:r>
        <w:rPr>
          <w:spacing w:val="36"/>
          <w:sz w:val="15"/>
        </w:rPr>
        <w:t> </w:t>
      </w:r>
      <w:r>
        <w:rPr>
          <w:sz w:val="15"/>
        </w:rPr>
        <w:t>cuadrados;</w:t>
      </w:r>
    </w:p>
    <w:p>
      <w:pPr>
        <w:pStyle w:val="BodyText"/>
        <w:spacing w:before="4"/>
      </w:pPr>
    </w:p>
    <w:p>
      <w:pPr>
        <w:pStyle w:val="ListParagraph"/>
        <w:numPr>
          <w:ilvl w:val="0"/>
          <w:numId w:val="200"/>
        </w:numPr>
        <w:tabs>
          <w:tab w:pos="851" w:val="left" w:leader="none"/>
        </w:tabs>
        <w:spacing w:line="244" w:lineRule="auto" w:before="0" w:after="0"/>
        <w:ind w:left="150" w:right="510" w:firstLine="397"/>
        <w:jc w:val="both"/>
        <w:rPr>
          <w:sz w:val="15"/>
        </w:rPr>
      </w:pPr>
      <w:r>
        <w:rPr>
          <w:sz w:val="15"/>
        </w:rPr>
        <w:t>Por iniciar una obra de remodelación, o cambio del proyecto autorizado, sin contar con licencia municipal, de uno a tres tantos de las obligaciones eludidas, en metros</w:t>
      </w:r>
      <w:r>
        <w:rPr>
          <w:spacing w:val="34"/>
          <w:sz w:val="15"/>
        </w:rPr>
        <w:t> </w:t>
      </w:r>
      <w:r>
        <w:rPr>
          <w:sz w:val="15"/>
        </w:rPr>
        <w:t>cuadrados;</w:t>
      </w:r>
    </w:p>
    <w:p>
      <w:pPr>
        <w:pStyle w:val="BodyText"/>
        <w:spacing w:before="6"/>
      </w:pPr>
    </w:p>
    <w:p>
      <w:pPr>
        <w:pStyle w:val="ListParagraph"/>
        <w:numPr>
          <w:ilvl w:val="0"/>
          <w:numId w:val="200"/>
        </w:numPr>
        <w:tabs>
          <w:tab w:pos="871" w:val="left" w:leader="none"/>
        </w:tabs>
        <w:spacing w:line="247" w:lineRule="auto" w:before="1" w:after="0"/>
        <w:ind w:left="150" w:right="512" w:firstLine="397"/>
        <w:jc w:val="both"/>
        <w:rPr>
          <w:sz w:val="15"/>
        </w:rPr>
      </w:pPr>
      <w:r>
        <w:rPr>
          <w:sz w:val="15"/>
        </w:rPr>
        <w:t>Por iniciar una obra de reconstrucción, acondicionamiento, modificación o reparación de edificación mayor, sin  contar con licencia o permiso municipal, de uno a tres tantos de las obligaciones eludidas, en    metros</w:t>
      </w:r>
      <w:r>
        <w:rPr>
          <w:spacing w:val="1"/>
          <w:sz w:val="15"/>
        </w:rPr>
        <w:t> </w:t>
      </w:r>
      <w:r>
        <w:rPr>
          <w:sz w:val="15"/>
        </w:rPr>
        <w:t>cuadrados;</w:t>
      </w:r>
    </w:p>
    <w:p>
      <w:pPr>
        <w:pStyle w:val="BodyText"/>
        <w:spacing w:before="2"/>
      </w:pPr>
    </w:p>
    <w:p>
      <w:pPr>
        <w:pStyle w:val="ListParagraph"/>
        <w:numPr>
          <w:ilvl w:val="0"/>
          <w:numId w:val="200"/>
        </w:numPr>
        <w:tabs>
          <w:tab w:pos="800" w:val="left" w:leader="none"/>
        </w:tabs>
        <w:spacing w:line="247" w:lineRule="auto" w:before="0" w:after="0"/>
        <w:ind w:left="151" w:right="510" w:firstLine="397"/>
        <w:jc w:val="both"/>
        <w:rPr>
          <w:sz w:val="15"/>
        </w:rPr>
      </w:pPr>
      <w:r>
        <w:rPr>
          <w:sz w:val="15"/>
        </w:rPr>
        <w:t>Por iniciar una obra de construcción o edificación sin contar con licencia municipal, de uno a tres   tantos de las obligaciones eludidas, en metros</w:t>
      </w:r>
      <w:r>
        <w:rPr>
          <w:spacing w:val="12"/>
          <w:sz w:val="15"/>
        </w:rPr>
        <w:t> </w:t>
      </w:r>
      <w:r>
        <w:rPr>
          <w:sz w:val="15"/>
        </w:rPr>
        <w:t>cuadrados;</w:t>
      </w:r>
    </w:p>
    <w:p>
      <w:pPr>
        <w:pStyle w:val="BodyText"/>
        <w:spacing w:before="4"/>
      </w:pPr>
    </w:p>
    <w:p>
      <w:pPr>
        <w:pStyle w:val="ListParagraph"/>
        <w:numPr>
          <w:ilvl w:val="0"/>
          <w:numId w:val="200"/>
        </w:numPr>
        <w:tabs>
          <w:tab w:pos="779" w:val="left" w:leader="none"/>
        </w:tabs>
        <w:spacing w:line="247" w:lineRule="auto" w:before="0" w:after="0"/>
        <w:ind w:left="151" w:right="509" w:firstLine="397"/>
        <w:jc w:val="both"/>
        <w:rPr>
          <w:sz w:val="15"/>
        </w:rPr>
      </w:pPr>
      <w:r>
        <w:rPr>
          <w:sz w:val="15"/>
        </w:rPr>
        <w:t>Por iniciar una obra de bardeo sin contar con licencia municipal, de uno a tres tantos de las  obligaciones eludidas, en metros</w:t>
      </w:r>
      <w:r>
        <w:rPr>
          <w:spacing w:val="6"/>
          <w:sz w:val="15"/>
        </w:rPr>
        <w:t> </w:t>
      </w:r>
      <w:r>
        <w:rPr>
          <w:sz w:val="15"/>
        </w:rPr>
        <w:t>lineales;</w:t>
      </w:r>
    </w:p>
    <w:p>
      <w:pPr>
        <w:pStyle w:val="BodyText"/>
        <w:spacing w:before="3"/>
      </w:pPr>
    </w:p>
    <w:p>
      <w:pPr>
        <w:pStyle w:val="ListParagraph"/>
        <w:numPr>
          <w:ilvl w:val="0"/>
          <w:numId w:val="200"/>
        </w:numPr>
        <w:tabs>
          <w:tab w:pos="783" w:val="left" w:leader="none"/>
        </w:tabs>
        <w:spacing w:line="247" w:lineRule="auto" w:before="0" w:after="0"/>
        <w:ind w:left="151" w:right="510" w:firstLine="397"/>
        <w:jc w:val="both"/>
        <w:rPr>
          <w:sz w:val="15"/>
        </w:rPr>
      </w:pPr>
      <w:r>
        <w:rPr>
          <w:sz w:val="15"/>
        </w:rPr>
        <w:t>Por iniciar una obra de construcción de alberca o cisterna sin contar con licencia municipal, de uno a tres tantos de las obligaciones eludidas, en metros</w:t>
      </w:r>
      <w:r>
        <w:rPr>
          <w:spacing w:val="15"/>
          <w:sz w:val="15"/>
        </w:rPr>
        <w:t> </w:t>
      </w:r>
      <w:r>
        <w:rPr>
          <w:sz w:val="15"/>
        </w:rPr>
        <w:t>cúbicos;</w:t>
      </w:r>
    </w:p>
    <w:p>
      <w:pPr>
        <w:pStyle w:val="BodyText"/>
        <w:spacing w:before="4"/>
      </w:pPr>
    </w:p>
    <w:p>
      <w:pPr>
        <w:pStyle w:val="ListParagraph"/>
        <w:numPr>
          <w:ilvl w:val="0"/>
          <w:numId w:val="200"/>
        </w:numPr>
        <w:tabs>
          <w:tab w:pos="852" w:val="left" w:leader="none"/>
        </w:tabs>
        <w:spacing w:line="244" w:lineRule="auto" w:before="0" w:after="0"/>
        <w:ind w:left="151" w:right="512" w:firstLine="397"/>
        <w:jc w:val="both"/>
        <w:rPr>
          <w:sz w:val="15"/>
        </w:rPr>
      </w:pPr>
      <w:r>
        <w:rPr>
          <w:sz w:val="15"/>
        </w:rPr>
        <w:t>Por iniciar una obra de construcción o instalación de antena de comunicaciones sin  contar  con licencia</w:t>
      </w:r>
      <w:r>
        <w:rPr>
          <w:spacing w:val="9"/>
          <w:sz w:val="15"/>
        </w:rPr>
        <w:t> </w:t>
      </w:r>
      <w:r>
        <w:rPr>
          <w:sz w:val="15"/>
        </w:rPr>
        <w:t>municipal,</w:t>
      </w:r>
      <w:r>
        <w:rPr>
          <w:spacing w:val="9"/>
          <w:sz w:val="15"/>
        </w:rPr>
        <w:t> </w:t>
      </w:r>
      <w:r>
        <w:rPr>
          <w:sz w:val="15"/>
        </w:rPr>
        <w:t>de</w:t>
      </w:r>
      <w:r>
        <w:rPr>
          <w:spacing w:val="9"/>
          <w:sz w:val="15"/>
        </w:rPr>
        <w:t> </w:t>
      </w:r>
      <w:r>
        <w:rPr>
          <w:sz w:val="15"/>
        </w:rPr>
        <w:t>uno</w:t>
      </w:r>
      <w:r>
        <w:rPr>
          <w:spacing w:val="9"/>
          <w:sz w:val="15"/>
        </w:rPr>
        <w:t> </w:t>
      </w:r>
      <w:r>
        <w:rPr>
          <w:sz w:val="15"/>
        </w:rPr>
        <w:t>a</w:t>
      </w:r>
      <w:r>
        <w:rPr>
          <w:spacing w:val="9"/>
          <w:sz w:val="15"/>
        </w:rPr>
        <w:t> </w:t>
      </w:r>
      <w:r>
        <w:rPr>
          <w:sz w:val="15"/>
        </w:rPr>
        <w:t>tres</w:t>
      </w:r>
      <w:r>
        <w:rPr>
          <w:spacing w:val="9"/>
          <w:sz w:val="15"/>
        </w:rPr>
        <w:t> </w:t>
      </w:r>
      <w:r>
        <w:rPr>
          <w:sz w:val="15"/>
        </w:rPr>
        <w:t>tantos</w:t>
      </w:r>
      <w:r>
        <w:rPr>
          <w:spacing w:val="9"/>
          <w:sz w:val="15"/>
        </w:rPr>
        <w:t> </w:t>
      </w:r>
      <w:r>
        <w:rPr>
          <w:sz w:val="15"/>
        </w:rPr>
        <w:t>de</w:t>
      </w:r>
      <w:r>
        <w:rPr>
          <w:spacing w:val="10"/>
          <w:sz w:val="15"/>
        </w:rPr>
        <w:t> </w:t>
      </w:r>
      <w:r>
        <w:rPr>
          <w:sz w:val="15"/>
        </w:rPr>
        <w:t>las</w:t>
      </w:r>
      <w:r>
        <w:rPr>
          <w:spacing w:val="9"/>
          <w:sz w:val="15"/>
        </w:rPr>
        <w:t> </w:t>
      </w:r>
      <w:r>
        <w:rPr>
          <w:sz w:val="15"/>
        </w:rPr>
        <w:t>obligaciones</w:t>
      </w:r>
      <w:r>
        <w:rPr>
          <w:spacing w:val="9"/>
          <w:sz w:val="15"/>
        </w:rPr>
        <w:t> </w:t>
      </w:r>
      <w:r>
        <w:rPr>
          <w:sz w:val="15"/>
        </w:rPr>
        <w:t>eludidas,</w:t>
      </w:r>
      <w:r>
        <w:rPr>
          <w:spacing w:val="9"/>
          <w:sz w:val="15"/>
        </w:rPr>
        <w:t> </w:t>
      </w:r>
      <w:r>
        <w:rPr>
          <w:sz w:val="15"/>
        </w:rPr>
        <w:t>en</w:t>
      </w:r>
      <w:r>
        <w:rPr>
          <w:spacing w:val="8"/>
          <w:sz w:val="15"/>
        </w:rPr>
        <w:t> </w:t>
      </w:r>
      <w:r>
        <w:rPr>
          <w:sz w:val="15"/>
        </w:rPr>
        <w:t>metros</w:t>
      </w:r>
      <w:r>
        <w:rPr>
          <w:spacing w:val="9"/>
          <w:sz w:val="15"/>
        </w:rPr>
        <w:t> </w:t>
      </w:r>
      <w:r>
        <w:rPr>
          <w:sz w:val="15"/>
        </w:rPr>
        <w:t>lineales</w:t>
      </w:r>
      <w:r>
        <w:rPr>
          <w:spacing w:val="9"/>
          <w:sz w:val="15"/>
        </w:rPr>
        <w:t> </w:t>
      </w:r>
      <w:r>
        <w:rPr>
          <w:sz w:val="15"/>
        </w:rPr>
        <w:t>de</w:t>
      </w:r>
      <w:r>
        <w:rPr>
          <w:spacing w:val="9"/>
          <w:sz w:val="15"/>
        </w:rPr>
        <w:t> </w:t>
      </w:r>
      <w:r>
        <w:rPr>
          <w:sz w:val="15"/>
        </w:rPr>
        <w:t>altura</w:t>
      </w:r>
      <w:r>
        <w:rPr>
          <w:spacing w:val="8"/>
          <w:sz w:val="15"/>
        </w:rPr>
        <w:t> </w:t>
      </w:r>
      <w:r>
        <w:rPr>
          <w:sz w:val="15"/>
        </w:rPr>
        <w:t>de</w:t>
      </w:r>
      <w:r>
        <w:rPr>
          <w:spacing w:val="9"/>
          <w:sz w:val="15"/>
        </w:rPr>
        <w:t> </w:t>
      </w:r>
      <w:r>
        <w:rPr>
          <w:sz w:val="15"/>
        </w:rPr>
        <w:t>la</w:t>
      </w:r>
      <w:r>
        <w:rPr>
          <w:spacing w:val="9"/>
          <w:sz w:val="15"/>
        </w:rPr>
        <w:t> </w:t>
      </w:r>
      <w:r>
        <w:rPr>
          <w:sz w:val="15"/>
        </w:rPr>
        <w:t>antena.</w:t>
      </w:r>
    </w:p>
    <w:p>
      <w:pPr>
        <w:pStyle w:val="BodyText"/>
        <w:spacing w:before="6"/>
      </w:pPr>
    </w:p>
    <w:p>
      <w:pPr>
        <w:pStyle w:val="ListParagraph"/>
        <w:numPr>
          <w:ilvl w:val="0"/>
          <w:numId w:val="200"/>
        </w:numPr>
        <w:tabs>
          <w:tab w:pos="876" w:val="left" w:leader="none"/>
        </w:tabs>
        <w:spacing w:line="247" w:lineRule="auto" w:before="0" w:after="0"/>
        <w:ind w:left="150" w:right="2713" w:firstLine="397"/>
        <w:jc w:val="left"/>
        <w:rPr>
          <w:sz w:val="15"/>
        </w:rPr>
      </w:pPr>
      <w:r>
        <w:rPr>
          <w:sz w:val="15"/>
        </w:rPr>
        <w:t>Por no presentar al momento de la inspección dictamen de trazos, usos y destinos específicos del suelo,</w:t>
      </w:r>
      <w:r>
        <w:rPr>
          <w:spacing w:val="10"/>
          <w:sz w:val="15"/>
        </w:rPr>
        <w:t> </w:t>
      </w:r>
      <w:r>
        <w:rPr>
          <w:sz w:val="15"/>
        </w:rPr>
        <w:t>de:</w:t>
      </w:r>
    </w:p>
    <w:p>
      <w:pPr>
        <w:pStyle w:val="BodyText"/>
        <w:spacing w:line="172" w:lineRule="exact"/>
        <w:ind w:left="2554"/>
      </w:pPr>
      <w:r>
        <w:rPr/>
        <w:t>8 a 13 unidades de medida y actualización;</w:t>
      </w:r>
    </w:p>
    <w:p>
      <w:pPr>
        <w:spacing w:after="0" w:line="172" w:lineRule="exact"/>
        <w:sectPr>
          <w:type w:val="continuous"/>
          <w:pgSz w:w="23250" w:h="15310" w:orient="landscape"/>
          <w:pgMar w:top="0" w:bottom="0" w:left="1880" w:right="1520"/>
          <w:cols w:num="2" w:equalWidth="0">
            <w:col w:w="5549" w:space="6073"/>
            <w:col w:w="8228"/>
          </w:cols>
        </w:sectPr>
      </w:pPr>
    </w:p>
    <w:p>
      <w:pPr>
        <w:pStyle w:val="BodyText"/>
        <w:rPr>
          <w:sz w:val="20"/>
        </w:rPr>
      </w:pPr>
    </w:p>
    <w:p>
      <w:pPr>
        <w:pStyle w:val="BodyText"/>
        <w:spacing w:before="7"/>
        <w:rPr>
          <w:sz w:val="29"/>
        </w:rPr>
      </w:pPr>
    </w:p>
    <w:p>
      <w:pPr>
        <w:spacing w:after="0"/>
        <w:rPr>
          <w:sz w:val="29"/>
        </w:rPr>
        <w:sectPr>
          <w:headerReference w:type="default" r:id="rId116"/>
          <w:pgSz w:w="23250" w:h="15310" w:orient="landscape"/>
          <w:pgMar w:header="881" w:footer="499" w:top="1920" w:bottom="680" w:left="1880" w:right="1520"/>
        </w:sectPr>
      </w:pPr>
    </w:p>
    <w:p>
      <w:pPr>
        <w:pStyle w:val="ListParagraph"/>
        <w:numPr>
          <w:ilvl w:val="0"/>
          <w:numId w:val="200"/>
        </w:numPr>
        <w:tabs>
          <w:tab w:pos="886" w:val="left" w:leader="none"/>
        </w:tabs>
        <w:spacing w:line="247" w:lineRule="auto" w:before="99" w:after="0"/>
        <w:ind w:left="150" w:right="38" w:firstLine="397"/>
        <w:jc w:val="left"/>
        <w:rPr>
          <w:sz w:val="15"/>
        </w:rPr>
      </w:pPr>
      <w:r>
        <w:rPr>
          <w:sz w:val="15"/>
        </w:rPr>
        <w:t>Por falta de dictamen de Trazos, Usos y Destinos Específicos del suelo,</w:t>
      </w:r>
      <w:r>
        <w:rPr>
          <w:spacing w:val="1"/>
          <w:sz w:val="15"/>
        </w:rPr>
        <w:t> </w:t>
      </w:r>
      <w:r>
        <w:rPr>
          <w:sz w:val="15"/>
        </w:rPr>
        <w:t>de:</w:t>
      </w:r>
    </w:p>
    <w:p>
      <w:pPr>
        <w:pStyle w:val="BodyText"/>
        <w:spacing w:line="172" w:lineRule="exact"/>
        <w:ind w:left="2468"/>
      </w:pPr>
      <w:r>
        <w:rPr/>
        <w:t>23 a 42 unidades de medida y actualización;</w:t>
      </w:r>
    </w:p>
    <w:p>
      <w:pPr>
        <w:pStyle w:val="BodyText"/>
        <w:spacing w:line="247" w:lineRule="auto" w:before="98"/>
        <w:ind w:left="150" w:right="2849"/>
      </w:pPr>
      <w:r>
        <w:rPr/>
        <w:br w:type="column"/>
      </w:r>
      <w:r>
        <w:rPr/>
        <w:t>construcciones o edificaciones en condiciones diferentes a los planos autorizados, de:</w:t>
      </w:r>
    </w:p>
    <w:p>
      <w:pPr>
        <w:pStyle w:val="BodyText"/>
        <w:spacing w:line="172" w:lineRule="exact"/>
        <w:ind w:left="2468"/>
      </w:pPr>
      <w:r>
        <w:rPr/>
        <w:t>4 a 102 unidades de medida y actualización;</w:t>
      </w:r>
    </w:p>
    <w:p>
      <w:pPr>
        <w:spacing w:after="0" w:line="172" w:lineRule="exact"/>
        <w:sectPr>
          <w:type w:val="continuous"/>
          <w:pgSz w:w="23250" w:h="15310" w:orient="landscape"/>
          <w:pgMar w:top="0" w:bottom="0" w:left="1880" w:right="1520"/>
          <w:cols w:num="2" w:equalWidth="0">
            <w:col w:w="5548" w:space="6074"/>
            <w:col w:w="8228"/>
          </w:cols>
        </w:sectPr>
      </w:pPr>
    </w:p>
    <w:p>
      <w:pPr>
        <w:pStyle w:val="BodyText"/>
        <w:spacing w:before="8"/>
      </w:pPr>
    </w:p>
    <w:p>
      <w:pPr>
        <w:pStyle w:val="ListParagraph"/>
        <w:numPr>
          <w:ilvl w:val="0"/>
          <w:numId w:val="200"/>
        </w:numPr>
        <w:tabs>
          <w:tab w:pos="864" w:val="left" w:leader="none"/>
        </w:tabs>
        <w:spacing w:line="247" w:lineRule="auto" w:before="0" w:after="0"/>
        <w:ind w:left="150" w:right="38" w:firstLine="397"/>
        <w:jc w:val="both"/>
        <w:rPr>
          <w:sz w:val="15"/>
        </w:rPr>
      </w:pPr>
      <w:r>
        <w:rPr>
          <w:sz w:val="15"/>
        </w:rPr>
        <w:t>Por alterar o restaurar fincas que estén sujetas a  disposiciones  sobre protección o conservación de monumentos arqueológicos o históricos   sin licencia correspondiente, se sancionará al responsable con la reconstrucción, en las mismas condiciones en que se encontraba la finca  y en el plazo que establezca la autoridad competente, sin perjuicio de</w:t>
      </w:r>
      <w:r>
        <w:rPr>
          <w:spacing w:val="10"/>
          <w:sz w:val="15"/>
        </w:rPr>
        <w:t> </w:t>
      </w:r>
      <w:r>
        <w:rPr>
          <w:sz w:val="15"/>
        </w:rPr>
        <w:t>las</w:t>
      </w:r>
    </w:p>
    <w:p>
      <w:pPr>
        <w:pStyle w:val="BodyText"/>
        <w:rPr>
          <w:sz w:val="16"/>
        </w:rPr>
      </w:pPr>
      <w:r>
        <w:rPr/>
        <w:br w:type="column"/>
      </w:r>
      <w:r>
        <w:rPr>
          <w:sz w:val="16"/>
        </w:rPr>
      </w:r>
    </w:p>
    <w:p>
      <w:pPr>
        <w:pStyle w:val="BodyText"/>
        <w:spacing w:before="1"/>
      </w:pPr>
    </w:p>
    <w:p>
      <w:pPr>
        <w:pStyle w:val="BodyText"/>
        <w:ind w:left="150"/>
      </w:pPr>
      <w:r>
        <w:rPr/>
        <w:t>de:</w:t>
      </w:r>
    </w:p>
    <w:p>
      <w:pPr>
        <w:pStyle w:val="BodyText"/>
        <w:spacing w:before="8"/>
      </w:pPr>
      <w:r>
        <w:rPr/>
        <w:br w:type="column"/>
      </w:r>
      <w:r>
        <w:rPr/>
      </w:r>
    </w:p>
    <w:p>
      <w:pPr>
        <w:pStyle w:val="ListParagraph"/>
        <w:numPr>
          <w:ilvl w:val="0"/>
          <w:numId w:val="201"/>
        </w:numPr>
        <w:tabs>
          <w:tab w:pos="607" w:val="left" w:leader="none"/>
        </w:tabs>
        <w:spacing w:line="240" w:lineRule="auto" w:before="0" w:after="0"/>
        <w:ind w:left="606" w:right="0" w:hanging="464"/>
        <w:jc w:val="left"/>
        <w:rPr>
          <w:sz w:val="15"/>
        </w:rPr>
      </w:pPr>
      <w:r>
        <w:rPr>
          <w:sz w:val="15"/>
        </w:rPr>
        <w:t>Por dar a una finca un uso de suelo distinto al que fue</w:t>
      </w:r>
      <w:r>
        <w:rPr>
          <w:spacing w:val="39"/>
          <w:sz w:val="15"/>
        </w:rPr>
        <w:t> </w:t>
      </w:r>
      <w:r>
        <w:rPr>
          <w:sz w:val="15"/>
        </w:rPr>
        <w:t>autorizado,</w:t>
      </w:r>
    </w:p>
    <w:p>
      <w:pPr>
        <w:pStyle w:val="BodyText"/>
        <w:spacing w:before="10"/>
      </w:pPr>
    </w:p>
    <w:p>
      <w:pPr>
        <w:pStyle w:val="BodyText"/>
        <w:ind w:left="2063"/>
      </w:pPr>
      <w:r>
        <w:rPr/>
        <w:t>18 a 87 unidades de medida y actualización;</w:t>
      </w:r>
    </w:p>
    <w:p>
      <w:pPr>
        <w:pStyle w:val="BodyText"/>
        <w:spacing w:before="9"/>
      </w:pPr>
    </w:p>
    <w:p>
      <w:pPr>
        <w:pStyle w:val="ListParagraph"/>
        <w:numPr>
          <w:ilvl w:val="0"/>
          <w:numId w:val="201"/>
        </w:numPr>
        <w:tabs>
          <w:tab w:pos="637" w:val="left" w:leader="none"/>
        </w:tabs>
        <w:spacing w:line="240" w:lineRule="auto" w:before="0" w:after="0"/>
        <w:ind w:left="636" w:right="0" w:hanging="494"/>
        <w:jc w:val="left"/>
        <w:rPr>
          <w:sz w:val="15"/>
        </w:rPr>
      </w:pPr>
      <w:r>
        <w:rPr>
          <w:sz w:val="15"/>
        </w:rPr>
        <w:t>Por</w:t>
      </w:r>
      <w:r>
        <w:rPr>
          <w:spacing w:val="16"/>
          <w:sz w:val="15"/>
        </w:rPr>
        <w:t> </w:t>
      </w:r>
      <w:r>
        <w:rPr>
          <w:sz w:val="15"/>
        </w:rPr>
        <w:t>incurrir</w:t>
      </w:r>
      <w:r>
        <w:rPr>
          <w:spacing w:val="17"/>
          <w:sz w:val="15"/>
        </w:rPr>
        <w:t> </w:t>
      </w:r>
      <w:r>
        <w:rPr>
          <w:sz w:val="15"/>
        </w:rPr>
        <w:t>en</w:t>
      </w:r>
      <w:r>
        <w:rPr>
          <w:spacing w:val="16"/>
          <w:sz w:val="15"/>
        </w:rPr>
        <w:t> </w:t>
      </w:r>
      <w:r>
        <w:rPr>
          <w:sz w:val="15"/>
        </w:rPr>
        <w:t>falsedad</w:t>
      </w:r>
      <w:r>
        <w:rPr>
          <w:spacing w:val="17"/>
          <w:sz w:val="15"/>
        </w:rPr>
        <w:t> </w:t>
      </w:r>
      <w:r>
        <w:rPr>
          <w:sz w:val="15"/>
        </w:rPr>
        <w:t>de</w:t>
      </w:r>
      <w:r>
        <w:rPr>
          <w:spacing w:val="16"/>
          <w:sz w:val="15"/>
        </w:rPr>
        <w:t> </w:t>
      </w:r>
      <w:r>
        <w:rPr>
          <w:sz w:val="15"/>
        </w:rPr>
        <w:t>datos</w:t>
      </w:r>
      <w:r>
        <w:rPr>
          <w:spacing w:val="17"/>
          <w:sz w:val="15"/>
        </w:rPr>
        <w:t> </w:t>
      </w:r>
      <w:r>
        <w:rPr>
          <w:sz w:val="15"/>
        </w:rPr>
        <w:t>consignados</w:t>
      </w:r>
      <w:r>
        <w:rPr>
          <w:spacing w:val="16"/>
          <w:sz w:val="15"/>
        </w:rPr>
        <w:t> </w:t>
      </w:r>
      <w:r>
        <w:rPr>
          <w:sz w:val="15"/>
        </w:rPr>
        <w:t>en</w:t>
      </w:r>
      <w:r>
        <w:rPr>
          <w:spacing w:val="17"/>
          <w:sz w:val="15"/>
        </w:rPr>
        <w:t> </w:t>
      </w:r>
      <w:r>
        <w:rPr>
          <w:sz w:val="15"/>
        </w:rPr>
        <w:t>la</w:t>
      </w:r>
      <w:r>
        <w:rPr>
          <w:spacing w:val="16"/>
          <w:sz w:val="15"/>
        </w:rPr>
        <w:t> </w:t>
      </w:r>
      <w:r>
        <w:rPr>
          <w:sz w:val="15"/>
        </w:rPr>
        <w:t>solicitud</w:t>
      </w:r>
      <w:r>
        <w:rPr>
          <w:spacing w:val="16"/>
          <w:sz w:val="15"/>
        </w:rPr>
        <w:t> </w:t>
      </w:r>
      <w:r>
        <w:rPr>
          <w:sz w:val="15"/>
        </w:rPr>
        <w:t>de</w:t>
      </w:r>
    </w:p>
    <w:p>
      <w:pPr>
        <w:spacing w:after="0" w:line="240" w:lineRule="auto"/>
        <w:jc w:val="left"/>
        <w:rPr>
          <w:sz w:val="15"/>
        </w:rPr>
        <w:sectPr>
          <w:type w:val="continuous"/>
          <w:pgSz w:w="23250" w:h="15310" w:orient="landscape"/>
          <w:pgMar w:top="0" w:bottom="0" w:left="1880" w:right="1520"/>
          <w:cols w:num="3" w:equalWidth="0">
            <w:col w:w="5549" w:space="6073"/>
            <w:col w:w="365" w:space="39"/>
            <w:col w:w="7824"/>
          </w:cols>
        </w:sectPr>
      </w:pPr>
    </w:p>
    <w:p>
      <w:pPr>
        <w:pStyle w:val="BodyText"/>
        <w:spacing w:line="170" w:lineRule="exact"/>
        <w:ind w:left="150"/>
      </w:pPr>
      <w:r>
        <w:rPr/>
        <w:t>sanciones establecidas en otros reglamentos, de:</w:t>
      </w:r>
    </w:p>
    <w:p>
      <w:pPr>
        <w:pStyle w:val="BodyText"/>
        <w:spacing w:before="9"/>
      </w:pPr>
    </w:p>
    <w:p>
      <w:pPr>
        <w:pStyle w:val="BodyText"/>
        <w:ind w:right="38"/>
        <w:jc w:val="right"/>
      </w:pPr>
      <w:r>
        <w:rPr/>
        <w:t>87 a 344 unidades de medida y actualización;</w:t>
      </w:r>
    </w:p>
    <w:p>
      <w:pPr>
        <w:pStyle w:val="BodyText"/>
        <w:spacing w:before="10"/>
      </w:pPr>
    </w:p>
    <w:p>
      <w:pPr>
        <w:pStyle w:val="ListParagraph"/>
        <w:numPr>
          <w:ilvl w:val="1"/>
          <w:numId w:val="201"/>
        </w:numPr>
        <w:tabs>
          <w:tab w:pos="883" w:val="left" w:leader="none"/>
        </w:tabs>
        <w:spacing w:line="240" w:lineRule="auto" w:before="0" w:after="0"/>
        <w:ind w:left="882" w:right="0" w:hanging="335"/>
        <w:jc w:val="left"/>
        <w:rPr>
          <w:sz w:val="15"/>
        </w:rPr>
      </w:pPr>
      <w:r>
        <w:rPr>
          <w:sz w:val="15"/>
        </w:rPr>
        <w:t>Por falta de acotamiento o bardeado, por metro lineal,</w:t>
      </w:r>
      <w:r>
        <w:rPr>
          <w:spacing w:val="35"/>
          <w:sz w:val="15"/>
        </w:rPr>
        <w:t> </w:t>
      </w:r>
      <w:r>
        <w:rPr>
          <w:sz w:val="15"/>
        </w:rPr>
        <w:t>de:</w:t>
      </w:r>
    </w:p>
    <w:p>
      <w:pPr>
        <w:pStyle w:val="BodyText"/>
        <w:spacing w:before="8"/>
      </w:pPr>
    </w:p>
    <w:p>
      <w:pPr>
        <w:pStyle w:val="BodyText"/>
        <w:ind w:right="39"/>
        <w:jc w:val="right"/>
      </w:pPr>
      <w:r>
        <w:rPr/>
        <w:t>$68.00 a $138.00</w:t>
      </w:r>
    </w:p>
    <w:p>
      <w:pPr>
        <w:pStyle w:val="BodyText"/>
        <w:spacing w:before="10"/>
      </w:pPr>
    </w:p>
    <w:p>
      <w:pPr>
        <w:pStyle w:val="ListParagraph"/>
        <w:numPr>
          <w:ilvl w:val="1"/>
          <w:numId w:val="201"/>
        </w:numPr>
        <w:tabs>
          <w:tab w:pos="955" w:val="left" w:leader="none"/>
        </w:tabs>
        <w:spacing w:line="247" w:lineRule="auto" w:before="0" w:after="0"/>
        <w:ind w:left="150" w:right="38" w:firstLine="397"/>
        <w:jc w:val="left"/>
        <w:rPr>
          <w:sz w:val="15"/>
        </w:rPr>
      </w:pPr>
      <w:r>
        <w:rPr>
          <w:sz w:val="15"/>
        </w:rPr>
        <w:t>Por llevar a cabo una construcción o edificación sin contar con Director responsable registrado,</w:t>
      </w:r>
      <w:r>
        <w:rPr>
          <w:spacing w:val="5"/>
          <w:sz w:val="15"/>
        </w:rPr>
        <w:t> </w:t>
      </w:r>
      <w:r>
        <w:rPr>
          <w:sz w:val="15"/>
        </w:rPr>
        <w:t>de:</w:t>
      </w:r>
    </w:p>
    <w:p>
      <w:pPr>
        <w:pStyle w:val="BodyText"/>
        <w:spacing w:line="170" w:lineRule="exact"/>
        <w:ind w:left="150"/>
      </w:pPr>
      <w:r>
        <w:rPr/>
        <w:br w:type="column"/>
      </w:r>
      <w:r>
        <w:rPr/>
        <w:t>una licencia, permiso, planos o bitácoras de obra, de:</w:t>
      </w:r>
    </w:p>
    <w:p>
      <w:pPr>
        <w:pStyle w:val="BodyText"/>
        <w:spacing w:before="9"/>
      </w:pPr>
    </w:p>
    <w:p>
      <w:pPr>
        <w:pStyle w:val="BodyText"/>
        <w:ind w:left="2468"/>
        <w:jc w:val="both"/>
      </w:pPr>
      <w:r>
        <w:rPr/>
        <w:t>40 a 85 unidades de medida y actualización;</w:t>
      </w:r>
    </w:p>
    <w:p>
      <w:pPr>
        <w:pStyle w:val="BodyText"/>
        <w:spacing w:before="10"/>
      </w:pPr>
    </w:p>
    <w:p>
      <w:pPr>
        <w:pStyle w:val="ListParagraph"/>
        <w:numPr>
          <w:ilvl w:val="0"/>
          <w:numId w:val="202"/>
        </w:numPr>
        <w:tabs>
          <w:tab w:pos="934" w:val="left" w:leader="none"/>
        </w:tabs>
        <w:spacing w:line="244" w:lineRule="auto" w:before="0" w:after="0"/>
        <w:ind w:left="150" w:right="2714" w:firstLine="397"/>
        <w:jc w:val="both"/>
        <w:rPr>
          <w:sz w:val="15"/>
        </w:rPr>
      </w:pPr>
      <w:r>
        <w:rPr>
          <w:sz w:val="15"/>
        </w:rPr>
        <w:t>Por impedir que el personal de la dependencia competente lleve a cabo el cumplimiento de sus funciones, se sancionará tanto  al  propietario como</w:t>
      </w:r>
      <w:r>
        <w:rPr>
          <w:spacing w:val="10"/>
          <w:sz w:val="15"/>
        </w:rPr>
        <w:t> </w:t>
      </w:r>
      <w:r>
        <w:rPr>
          <w:sz w:val="15"/>
        </w:rPr>
        <w:t>al</w:t>
      </w:r>
      <w:r>
        <w:rPr>
          <w:spacing w:val="10"/>
          <w:sz w:val="15"/>
        </w:rPr>
        <w:t> </w:t>
      </w:r>
      <w:r>
        <w:rPr>
          <w:sz w:val="15"/>
        </w:rPr>
        <w:t>perito,</w:t>
      </w:r>
      <w:r>
        <w:rPr>
          <w:spacing w:val="10"/>
          <w:sz w:val="15"/>
        </w:rPr>
        <w:t> </w:t>
      </w:r>
      <w:r>
        <w:rPr>
          <w:sz w:val="15"/>
        </w:rPr>
        <w:t>quienes</w:t>
      </w:r>
      <w:r>
        <w:rPr>
          <w:spacing w:val="8"/>
          <w:sz w:val="15"/>
        </w:rPr>
        <w:t> </w:t>
      </w:r>
      <w:r>
        <w:rPr>
          <w:sz w:val="15"/>
        </w:rPr>
        <w:t>para</w:t>
      </w:r>
      <w:r>
        <w:rPr>
          <w:spacing w:val="10"/>
          <w:sz w:val="15"/>
        </w:rPr>
        <w:t> </w:t>
      </w:r>
      <w:r>
        <w:rPr>
          <w:sz w:val="15"/>
        </w:rPr>
        <w:t>estos</w:t>
      </w:r>
      <w:r>
        <w:rPr>
          <w:spacing w:val="10"/>
          <w:sz w:val="15"/>
        </w:rPr>
        <w:t> </w:t>
      </w:r>
      <w:r>
        <w:rPr>
          <w:sz w:val="15"/>
        </w:rPr>
        <w:t>efectos</w:t>
      </w:r>
      <w:r>
        <w:rPr>
          <w:spacing w:val="10"/>
          <w:sz w:val="15"/>
        </w:rPr>
        <w:t> </w:t>
      </w:r>
      <w:r>
        <w:rPr>
          <w:sz w:val="15"/>
        </w:rPr>
        <w:t>corresponden</w:t>
      </w:r>
      <w:r>
        <w:rPr>
          <w:spacing w:val="10"/>
          <w:sz w:val="15"/>
        </w:rPr>
        <w:t> </w:t>
      </w:r>
      <w:r>
        <w:rPr>
          <w:sz w:val="15"/>
        </w:rPr>
        <w:t>solidariamente,</w:t>
      </w:r>
      <w:r>
        <w:rPr>
          <w:spacing w:val="10"/>
          <w:sz w:val="15"/>
        </w:rPr>
        <w:t> </w:t>
      </w:r>
      <w:r>
        <w:rPr>
          <w:sz w:val="15"/>
        </w:rPr>
        <w:t>de:</w:t>
      </w:r>
    </w:p>
    <w:p>
      <w:pPr>
        <w:pStyle w:val="BodyText"/>
        <w:spacing w:before="3"/>
        <w:ind w:left="2554"/>
        <w:jc w:val="both"/>
      </w:pPr>
      <w:r>
        <w:rPr/>
        <w:t>7 a 65 unidades de medida y actualización;</w:t>
      </w:r>
    </w:p>
    <w:p>
      <w:pPr>
        <w:pStyle w:val="BodyText"/>
        <w:spacing w:before="9"/>
      </w:pPr>
    </w:p>
    <w:p>
      <w:pPr>
        <w:pStyle w:val="ListParagraph"/>
        <w:numPr>
          <w:ilvl w:val="0"/>
          <w:numId w:val="202"/>
        </w:numPr>
        <w:tabs>
          <w:tab w:pos="1028" w:val="left" w:leader="none"/>
        </w:tabs>
        <w:spacing w:line="240" w:lineRule="auto" w:before="0" w:after="0"/>
        <w:ind w:left="1027" w:right="0" w:hanging="480"/>
        <w:jc w:val="left"/>
        <w:rPr>
          <w:sz w:val="15"/>
        </w:rPr>
      </w:pPr>
      <w:r>
        <w:rPr>
          <w:sz w:val="15"/>
        </w:rPr>
        <w:t>Por agredir verbalmente al personal de inspección</w:t>
      </w:r>
      <w:r>
        <w:rPr>
          <w:spacing w:val="13"/>
          <w:sz w:val="15"/>
        </w:rPr>
        <w:t> </w:t>
      </w:r>
      <w:r>
        <w:rPr>
          <w:sz w:val="15"/>
        </w:rPr>
        <w:t>de:</w:t>
      </w:r>
    </w:p>
    <w:p>
      <w:pPr>
        <w:pStyle w:val="BodyText"/>
        <w:spacing w:before="4"/>
        <w:ind w:left="2382"/>
        <w:jc w:val="both"/>
      </w:pPr>
      <w:r>
        <w:rPr/>
        <w:t>20 a 157 unidades de medida y actualización;</w:t>
      </w:r>
    </w:p>
    <w:p>
      <w:pPr>
        <w:spacing w:after="0"/>
        <w:jc w:val="both"/>
        <w:sectPr>
          <w:type w:val="continuous"/>
          <w:pgSz w:w="23250" w:h="15310" w:orient="landscape"/>
          <w:pgMar w:top="0" w:bottom="0" w:left="1880" w:right="1520"/>
          <w:cols w:num="2" w:equalWidth="0">
            <w:col w:w="5548" w:space="6073"/>
            <w:col w:w="8229"/>
          </w:cols>
        </w:sectPr>
      </w:pPr>
    </w:p>
    <w:p>
      <w:pPr>
        <w:pStyle w:val="BodyText"/>
        <w:spacing w:before="10"/>
      </w:pPr>
    </w:p>
    <w:p>
      <w:pPr>
        <w:pStyle w:val="ListParagraph"/>
        <w:numPr>
          <w:ilvl w:val="0"/>
          <w:numId w:val="203"/>
        </w:numPr>
        <w:tabs>
          <w:tab w:pos="801" w:val="left" w:leader="none"/>
        </w:tabs>
        <w:spacing w:line="240" w:lineRule="auto" w:before="0" w:after="0"/>
        <w:ind w:left="800" w:right="0" w:hanging="253"/>
        <w:jc w:val="left"/>
        <w:rPr>
          <w:sz w:val="15"/>
        </w:rPr>
      </w:pPr>
      <w:r>
        <w:rPr>
          <w:sz w:val="15"/>
        </w:rPr>
        <w:t>En obras menores</w:t>
      </w:r>
      <w:r>
        <w:rPr>
          <w:spacing w:val="37"/>
          <w:sz w:val="15"/>
        </w:rPr>
        <w:t> </w:t>
      </w:r>
      <w:r>
        <w:rPr>
          <w:spacing w:val="-6"/>
          <w:sz w:val="15"/>
        </w:rPr>
        <w:t>de:</w:t>
      </w:r>
    </w:p>
    <w:p>
      <w:pPr>
        <w:pStyle w:val="BodyText"/>
        <w:rPr>
          <w:sz w:val="16"/>
        </w:rPr>
      </w:pPr>
    </w:p>
    <w:p>
      <w:pPr>
        <w:pStyle w:val="BodyText"/>
        <w:rPr>
          <w:sz w:val="16"/>
        </w:rPr>
      </w:pPr>
    </w:p>
    <w:p>
      <w:pPr>
        <w:pStyle w:val="BodyText"/>
        <w:spacing w:before="6"/>
        <w:rPr>
          <w:sz w:val="14"/>
        </w:rPr>
      </w:pPr>
    </w:p>
    <w:p>
      <w:pPr>
        <w:pStyle w:val="ListParagraph"/>
        <w:numPr>
          <w:ilvl w:val="0"/>
          <w:numId w:val="203"/>
        </w:numPr>
        <w:tabs>
          <w:tab w:pos="801" w:val="left" w:leader="none"/>
        </w:tabs>
        <w:spacing w:line="240" w:lineRule="auto" w:before="1" w:after="0"/>
        <w:ind w:left="800" w:right="0" w:hanging="253"/>
        <w:jc w:val="left"/>
        <w:rPr>
          <w:sz w:val="15"/>
        </w:rPr>
      </w:pPr>
      <w:r>
        <w:rPr>
          <w:sz w:val="15"/>
        </w:rPr>
        <w:t>En obras mayores</w:t>
      </w:r>
      <w:r>
        <w:rPr>
          <w:spacing w:val="35"/>
          <w:sz w:val="15"/>
        </w:rPr>
        <w:t> </w:t>
      </w:r>
      <w:r>
        <w:rPr>
          <w:sz w:val="15"/>
        </w:rPr>
        <w:t>de:</w:t>
      </w:r>
    </w:p>
    <w:p>
      <w:pPr>
        <w:pStyle w:val="BodyText"/>
        <w:rPr>
          <w:sz w:val="16"/>
        </w:rPr>
      </w:pPr>
      <w:r>
        <w:rPr/>
        <w:br w:type="column"/>
      </w:r>
      <w:r>
        <w:rPr>
          <w:sz w:val="16"/>
        </w:rPr>
      </w:r>
    </w:p>
    <w:p>
      <w:pPr>
        <w:pStyle w:val="BodyText"/>
        <w:rPr>
          <w:sz w:val="16"/>
        </w:rPr>
      </w:pPr>
    </w:p>
    <w:p>
      <w:pPr>
        <w:pStyle w:val="BodyText"/>
        <w:spacing w:before="8"/>
        <w:rPr>
          <w:sz w:val="14"/>
        </w:rPr>
      </w:pPr>
    </w:p>
    <w:p>
      <w:pPr>
        <w:pStyle w:val="BodyText"/>
        <w:ind w:left="113"/>
      </w:pPr>
      <w:r>
        <w:rPr/>
        <w:t>10</w:t>
      </w:r>
      <w:r>
        <w:rPr>
          <w:spacing w:val="10"/>
        </w:rPr>
        <w:t> </w:t>
      </w:r>
      <w:r>
        <w:rPr/>
        <w:t>a</w:t>
      </w:r>
      <w:r>
        <w:rPr>
          <w:spacing w:val="10"/>
        </w:rPr>
        <w:t> </w:t>
      </w:r>
      <w:r>
        <w:rPr/>
        <w:t>30</w:t>
      </w:r>
      <w:r>
        <w:rPr>
          <w:spacing w:val="10"/>
        </w:rPr>
        <w:t> </w:t>
      </w:r>
      <w:r>
        <w:rPr/>
        <w:t>unidades</w:t>
      </w:r>
      <w:r>
        <w:rPr>
          <w:spacing w:val="11"/>
        </w:rPr>
        <w:t> </w:t>
      </w:r>
      <w:r>
        <w:rPr/>
        <w:t>de</w:t>
      </w:r>
      <w:r>
        <w:rPr>
          <w:spacing w:val="10"/>
        </w:rPr>
        <w:t> </w:t>
      </w:r>
      <w:r>
        <w:rPr/>
        <w:t>medida</w:t>
      </w:r>
      <w:r>
        <w:rPr>
          <w:spacing w:val="10"/>
        </w:rPr>
        <w:t> </w:t>
      </w:r>
      <w:r>
        <w:rPr/>
        <w:t>y</w:t>
      </w:r>
      <w:r>
        <w:rPr>
          <w:spacing w:val="11"/>
        </w:rPr>
        <w:t> </w:t>
      </w:r>
      <w:r>
        <w:rPr/>
        <w:t>actualización;</w:t>
      </w:r>
    </w:p>
    <w:p>
      <w:pPr>
        <w:pStyle w:val="BodyText"/>
        <w:rPr>
          <w:sz w:val="16"/>
        </w:rPr>
      </w:pPr>
    </w:p>
    <w:p>
      <w:pPr>
        <w:pStyle w:val="BodyText"/>
        <w:rPr>
          <w:sz w:val="16"/>
        </w:rPr>
      </w:pPr>
    </w:p>
    <w:p>
      <w:pPr>
        <w:pStyle w:val="BodyText"/>
        <w:spacing w:before="6"/>
        <w:rPr>
          <w:sz w:val="14"/>
        </w:rPr>
      </w:pPr>
    </w:p>
    <w:p>
      <w:pPr>
        <w:pStyle w:val="BodyText"/>
        <w:spacing w:before="1"/>
        <w:ind w:left="27"/>
      </w:pPr>
      <w:r>
        <w:rPr/>
        <w:t>21</w:t>
      </w:r>
      <w:r>
        <w:rPr>
          <w:spacing w:val="10"/>
        </w:rPr>
        <w:t> </w:t>
      </w:r>
      <w:r>
        <w:rPr/>
        <w:t>a</w:t>
      </w:r>
      <w:r>
        <w:rPr>
          <w:spacing w:val="11"/>
        </w:rPr>
        <w:t> </w:t>
      </w:r>
      <w:r>
        <w:rPr/>
        <w:t>222</w:t>
      </w:r>
      <w:r>
        <w:rPr>
          <w:spacing w:val="11"/>
        </w:rPr>
        <w:t> </w:t>
      </w:r>
      <w:r>
        <w:rPr/>
        <w:t>unidades</w:t>
      </w:r>
      <w:r>
        <w:rPr>
          <w:spacing w:val="11"/>
        </w:rPr>
        <w:t> </w:t>
      </w:r>
      <w:r>
        <w:rPr/>
        <w:t>de</w:t>
      </w:r>
      <w:r>
        <w:rPr>
          <w:spacing w:val="10"/>
        </w:rPr>
        <w:t> </w:t>
      </w:r>
      <w:r>
        <w:rPr/>
        <w:t>medida</w:t>
      </w:r>
      <w:r>
        <w:rPr>
          <w:spacing w:val="11"/>
        </w:rPr>
        <w:t> </w:t>
      </w:r>
      <w:r>
        <w:rPr/>
        <w:t>y</w:t>
      </w:r>
      <w:r>
        <w:rPr>
          <w:spacing w:val="11"/>
        </w:rPr>
        <w:t> </w:t>
      </w:r>
      <w:r>
        <w:rPr/>
        <w:t>actualización;</w:t>
      </w:r>
    </w:p>
    <w:p>
      <w:pPr>
        <w:pStyle w:val="BodyText"/>
        <w:spacing w:before="9"/>
      </w:pPr>
      <w:r>
        <w:rPr/>
        <w:br w:type="column"/>
      </w:r>
      <w:r>
        <w:rPr/>
      </w:r>
    </w:p>
    <w:p>
      <w:pPr>
        <w:pStyle w:val="ListParagraph"/>
        <w:numPr>
          <w:ilvl w:val="0"/>
          <w:numId w:val="202"/>
        </w:numPr>
        <w:tabs>
          <w:tab w:pos="1506" w:val="left" w:leader="none"/>
        </w:tabs>
        <w:spacing w:line="247" w:lineRule="auto" w:before="1" w:after="0"/>
        <w:ind w:left="548" w:right="2713" w:firstLine="397"/>
        <w:jc w:val="both"/>
        <w:rPr>
          <w:sz w:val="15"/>
        </w:rPr>
      </w:pPr>
      <w:r>
        <w:rPr>
          <w:sz w:val="15"/>
        </w:rPr>
        <w:t>Por agredir físicamente al personal de inspección, además del pago de los daños físicos o jurídicos que sufra el  agredido,  independientemente de la acción jurídica o legal correspondiente,</w:t>
      </w:r>
      <w:r>
        <w:rPr>
          <w:spacing w:val="1"/>
          <w:sz w:val="15"/>
        </w:rPr>
        <w:t> </w:t>
      </w:r>
      <w:r>
        <w:rPr>
          <w:sz w:val="15"/>
        </w:rPr>
        <w:t>de:</w:t>
      </w:r>
    </w:p>
    <w:p>
      <w:pPr>
        <w:pStyle w:val="BodyText"/>
        <w:spacing w:line="171" w:lineRule="exact"/>
        <w:ind w:left="2780"/>
        <w:jc w:val="both"/>
      </w:pPr>
      <w:r>
        <w:rPr/>
        <w:t>78 a 313 unidades de medida y actualización;</w:t>
      </w:r>
    </w:p>
    <w:p>
      <w:pPr>
        <w:pStyle w:val="BodyText"/>
        <w:spacing w:before="8"/>
      </w:pPr>
    </w:p>
    <w:p>
      <w:pPr>
        <w:pStyle w:val="ListParagraph"/>
        <w:numPr>
          <w:ilvl w:val="0"/>
          <w:numId w:val="202"/>
        </w:numPr>
        <w:tabs>
          <w:tab w:pos="1469" w:val="left" w:leader="none"/>
        </w:tabs>
        <w:spacing w:line="247" w:lineRule="auto" w:before="0" w:after="0"/>
        <w:ind w:left="548" w:right="3358" w:firstLine="397"/>
        <w:jc w:val="left"/>
        <w:rPr>
          <w:sz w:val="15"/>
        </w:rPr>
      </w:pPr>
      <w:r>
        <w:rPr>
          <w:sz w:val="15"/>
        </w:rPr>
        <w:t>Por no referir el número de licencia y/o edificación en la publicidad comercial donde se oferte cualquier inmueble,</w:t>
      </w:r>
      <w:r>
        <w:rPr>
          <w:spacing w:val="36"/>
          <w:sz w:val="15"/>
        </w:rPr>
        <w:t> </w:t>
      </w:r>
      <w:r>
        <w:rPr>
          <w:sz w:val="15"/>
        </w:rPr>
        <w:t>de:</w:t>
      </w:r>
    </w:p>
    <w:p>
      <w:pPr>
        <w:pStyle w:val="BodyText"/>
        <w:spacing w:line="172" w:lineRule="exact"/>
        <w:ind w:left="2780"/>
        <w:jc w:val="both"/>
      </w:pPr>
      <w:r>
        <w:rPr/>
        <w:t>50 a 144 unidades de medida y actualización;</w:t>
      </w:r>
    </w:p>
    <w:p>
      <w:pPr>
        <w:spacing w:after="0" w:line="172" w:lineRule="exact"/>
        <w:jc w:val="both"/>
        <w:sectPr>
          <w:type w:val="continuous"/>
          <w:pgSz w:w="23250" w:h="15310" w:orient="landscape"/>
          <w:pgMar w:top="0" w:bottom="0" w:left="1880" w:right="1520"/>
          <w:cols w:num="3" w:equalWidth="0">
            <w:col w:w="2316" w:space="40"/>
            <w:col w:w="3193" w:space="5675"/>
            <w:col w:w="8626"/>
          </w:cols>
        </w:sectPr>
      </w:pPr>
    </w:p>
    <w:p>
      <w:pPr>
        <w:pStyle w:val="BodyText"/>
        <w:spacing w:line="244" w:lineRule="auto" w:before="5"/>
        <w:ind w:left="150" w:firstLine="397"/>
      </w:pPr>
      <w:r>
        <w:rPr/>
        <w:t>XVIII. Por no dar aviso de cambio de Director Responsable, de:</w:t>
      </w:r>
    </w:p>
    <w:p>
      <w:pPr>
        <w:pStyle w:val="BodyText"/>
        <w:spacing w:before="7"/>
      </w:pPr>
    </w:p>
    <w:p>
      <w:pPr>
        <w:pStyle w:val="ListParagraph"/>
        <w:numPr>
          <w:ilvl w:val="0"/>
          <w:numId w:val="204"/>
        </w:numPr>
        <w:tabs>
          <w:tab w:pos="801" w:val="left" w:leader="none"/>
        </w:tabs>
        <w:spacing w:line="240" w:lineRule="auto" w:before="0" w:after="0"/>
        <w:ind w:left="800" w:right="0" w:hanging="253"/>
        <w:jc w:val="left"/>
        <w:rPr>
          <w:sz w:val="15"/>
        </w:rPr>
      </w:pPr>
      <w:r>
        <w:rPr>
          <w:sz w:val="15"/>
        </w:rPr>
        <w:t>En obras menores</w:t>
      </w:r>
      <w:r>
        <w:rPr>
          <w:spacing w:val="5"/>
          <w:sz w:val="15"/>
        </w:rPr>
        <w:t> </w:t>
      </w:r>
      <w:r>
        <w:rPr>
          <w:sz w:val="15"/>
        </w:rPr>
        <w:t>de:</w:t>
      </w:r>
    </w:p>
    <w:p>
      <w:pPr>
        <w:pStyle w:val="BodyText"/>
        <w:spacing w:before="9"/>
      </w:pPr>
      <w:r>
        <w:rPr/>
        <w:br w:type="column"/>
      </w:r>
      <w:r>
        <w:rPr/>
      </w:r>
    </w:p>
    <w:p>
      <w:pPr>
        <w:pStyle w:val="ListParagraph"/>
        <w:numPr>
          <w:ilvl w:val="0"/>
          <w:numId w:val="205"/>
        </w:numPr>
        <w:tabs>
          <w:tab w:pos="1026" w:val="left" w:leader="none"/>
        </w:tabs>
        <w:spacing w:line="247" w:lineRule="auto" w:before="0" w:after="0"/>
        <w:ind w:left="150" w:right="2713" w:firstLine="397"/>
        <w:jc w:val="left"/>
        <w:rPr>
          <w:sz w:val="15"/>
        </w:rPr>
      </w:pPr>
      <w:r>
        <w:rPr>
          <w:sz w:val="15"/>
        </w:rPr>
        <w:t>Por no presentar licencia de alineamiento y número oficial al momento de la inspección,</w:t>
      </w:r>
      <w:r>
        <w:rPr>
          <w:spacing w:val="7"/>
          <w:sz w:val="15"/>
        </w:rPr>
        <w:t> </w:t>
      </w:r>
      <w:r>
        <w:rPr>
          <w:sz w:val="15"/>
        </w:rPr>
        <w:t>de:</w:t>
      </w:r>
    </w:p>
    <w:p>
      <w:pPr>
        <w:pStyle w:val="BodyText"/>
        <w:spacing w:line="172" w:lineRule="exact"/>
        <w:ind w:left="2554"/>
      </w:pPr>
      <w:r>
        <w:rPr/>
        <w:t>8 a 14 unidades de medida y actualización;</w:t>
      </w:r>
    </w:p>
    <w:p>
      <w:pPr>
        <w:spacing w:after="0" w:line="172" w:lineRule="exact"/>
        <w:sectPr>
          <w:type w:val="continuous"/>
          <w:pgSz w:w="23250" w:h="15310" w:orient="landscape"/>
          <w:pgMar w:top="0" w:bottom="0" w:left="1880" w:right="1520"/>
          <w:cols w:num="2" w:equalWidth="0">
            <w:col w:w="4266" w:space="7356"/>
            <w:col w:w="8228"/>
          </w:cols>
        </w:sectPr>
      </w:pPr>
    </w:p>
    <w:p>
      <w:pPr>
        <w:pStyle w:val="BodyText"/>
        <w:rPr>
          <w:sz w:val="16"/>
        </w:rPr>
      </w:pPr>
    </w:p>
    <w:p>
      <w:pPr>
        <w:pStyle w:val="BodyText"/>
        <w:rPr>
          <w:sz w:val="16"/>
        </w:rPr>
      </w:pPr>
    </w:p>
    <w:p>
      <w:pPr>
        <w:pStyle w:val="BodyText"/>
        <w:spacing w:before="6"/>
        <w:rPr>
          <w:sz w:val="14"/>
        </w:rPr>
      </w:pPr>
    </w:p>
    <w:p>
      <w:pPr>
        <w:pStyle w:val="ListParagraph"/>
        <w:numPr>
          <w:ilvl w:val="0"/>
          <w:numId w:val="204"/>
        </w:numPr>
        <w:tabs>
          <w:tab w:pos="801" w:val="left" w:leader="none"/>
        </w:tabs>
        <w:spacing w:line="240" w:lineRule="auto" w:before="1" w:after="0"/>
        <w:ind w:left="800" w:right="0" w:hanging="253"/>
        <w:jc w:val="left"/>
        <w:rPr>
          <w:sz w:val="15"/>
        </w:rPr>
      </w:pPr>
      <w:r>
        <w:rPr>
          <w:sz w:val="15"/>
        </w:rPr>
        <w:t>En obras mayores</w:t>
      </w:r>
      <w:r>
        <w:rPr>
          <w:spacing w:val="32"/>
          <w:sz w:val="15"/>
        </w:rPr>
        <w:t> </w:t>
      </w:r>
      <w:r>
        <w:rPr>
          <w:spacing w:val="-6"/>
          <w:sz w:val="15"/>
        </w:rPr>
        <w:t>de:</w:t>
      </w:r>
    </w:p>
    <w:p>
      <w:pPr>
        <w:pStyle w:val="BodyText"/>
        <w:spacing w:before="9"/>
      </w:pPr>
      <w:r>
        <w:rPr/>
        <w:br w:type="column"/>
      </w:r>
      <w:r>
        <w:rPr/>
      </w:r>
    </w:p>
    <w:p>
      <w:pPr>
        <w:pStyle w:val="BodyText"/>
        <w:ind w:left="207"/>
      </w:pPr>
      <w:r>
        <w:rPr/>
        <w:t>9 a 31 unidades de medida y actualización;</w:t>
      </w:r>
    </w:p>
    <w:p>
      <w:pPr>
        <w:pStyle w:val="BodyText"/>
        <w:spacing w:before="9"/>
      </w:pPr>
      <w:r>
        <w:rPr/>
        <w:br w:type="column"/>
      </w:r>
      <w:r>
        <w:rPr/>
      </w:r>
    </w:p>
    <w:p>
      <w:pPr>
        <w:pStyle w:val="ListParagraph"/>
        <w:numPr>
          <w:ilvl w:val="0"/>
          <w:numId w:val="205"/>
        </w:numPr>
        <w:tabs>
          <w:tab w:pos="1406" w:val="left" w:leader="none"/>
        </w:tabs>
        <w:spacing w:line="247" w:lineRule="auto" w:before="0" w:after="0"/>
        <w:ind w:left="548" w:right="2713" w:firstLine="397"/>
        <w:jc w:val="left"/>
        <w:rPr>
          <w:sz w:val="15"/>
        </w:rPr>
      </w:pPr>
      <w:r>
        <w:rPr>
          <w:sz w:val="15"/>
        </w:rPr>
        <w:t>Por no presentar la licencia o permiso de construcción, al  momento de la inspección,</w:t>
      </w:r>
      <w:r>
        <w:rPr>
          <w:spacing w:val="7"/>
          <w:sz w:val="15"/>
        </w:rPr>
        <w:t> </w:t>
      </w:r>
      <w:r>
        <w:rPr>
          <w:sz w:val="15"/>
        </w:rPr>
        <w:t>de:</w:t>
      </w:r>
    </w:p>
    <w:p>
      <w:pPr>
        <w:pStyle w:val="BodyText"/>
        <w:spacing w:line="171" w:lineRule="exact"/>
        <w:ind w:left="2951"/>
      </w:pPr>
      <w:r>
        <w:rPr/>
        <w:t>8 a 14 unidades de medida y actualización;</w:t>
      </w:r>
    </w:p>
    <w:p>
      <w:pPr>
        <w:spacing w:after="0" w:line="171" w:lineRule="exact"/>
        <w:sectPr>
          <w:type w:val="continuous"/>
          <w:pgSz w:w="23250" w:h="15310" w:orient="landscape"/>
          <w:pgMar w:top="0" w:bottom="0" w:left="1880" w:right="1520"/>
          <w:cols w:num="3" w:equalWidth="0">
            <w:col w:w="2307" w:space="40"/>
            <w:col w:w="3201" w:space="5676"/>
            <w:col w:w="8626"/>
          </w:cols>
        </w:sectPr>
      </w:pPr>
    </w:p>
    <w:p>
      <w:pPr>
        <w:pStyle w:val="BodyText"/>
        <w:spacing w:before="9"/>
      </w:pPr>
    </w:p>
    <w:p>
      <w:pPr>
        <w:pStyle w:val="BodyText"/>
        <w:ind w:left="2382"/>
      </w:pPr>
      <w:r>
        <w:rPr/>
        <w:t>81 a 235 unidades de medida y actualización;</w:t>
      </w:r>
    </w:p>
    <w:p>
      <w:pPr>
        <w:pStyle w:val="BodyText"/>
        <w:spacing w:before="9"/>
      </w:pPr>
    </w:p>
    <w:p>
      <w:pPr>
        <w:pStyle w:val="ListParagraph"/>
        <w:numPr>
          <w:ilvl w:val="0"/>
          <w:numId w:val="206"/>
        </w:numPr>
        <w:tabs>
          <w:tab w:pos="1027" w:val="left" w:leader="none"/>
        </w:tabs>
        <w:spacing w:line="244" w:lineRule="auto" w:before="1" w:after="0"/>
        <w:ind w:left="150" w:right="40" w:firstLine="397"/>
        <w:jc w:val="both"/>
        <w:rPr>
          <w:sz w:val="15"/>
        </w:rPr>
      </w:pPr>
      <w:r>
        <w:rPr>
          <w:sz w:val="15"/>
        </w:rPr>
        <w:t>Por no dar aviso de suspensión de obra de construcción o edificación</w:t>
      </w:r>
      <w:r>
        <w:rPr>
          <w:spacing w:val="1"/>
          <w:sz w:val="15"/>
        </w:rPr>
        <w:t> </w:t>
      </w:r>
      <w:r>
        <w:rPr>
          <w:sz w:val="15"/>
        </w:rPr>
        <w:t>de:</w:t>
      </w:r>
    </w:p>
    <w:p>
      <w:pPr>
        <w:pStyle w:val="BodyText"/>
        <w:spacing w:before="1"/>
        <w:ind w:left="2468"/>
      </w:pPr>
      <w:r>
        <w:rPr/>
        <w:t>5</w:t>
      </w:r>
      <w:r>
        <w:rPr>
          <w:spacing w:val="10"/>
        </w:rPr>
        <w:t> </w:t>
      </w:r>
      <w:r>
        <w:rPr/>
        <w:t>a</w:t>
      </w:r>
      <w:r>
        <w:rPr>
          <w:spacing w:val="10"/>
        </w:rPr>
        <w:t> </w:t>
      </w:r>
      <w:r>
        <w:rPr/>
        <w:t>326</w:t>
      </w:r>
      <w:r>
        <w:rPr>
          <w:spacing w:val="10"/>
        </w:rPr>
        <w:t> </w:t>
      </w:r>
      <w:r>
        <w:rPr/>
        <w:t>unidades</w:t>
      </w:r>
      <w:r>
        <w:rPr>
          <w:spacing w:val="11"/>
        </w:rPr>
        <w:t> </w:t>
      </w:r>
      <w:r>
        <w:rPr/>
        <w:t>de</w:t>
      </w:r>
      <w:r>
        <w:rPr>
          <w:spacing w:val="10"/>
        </w:rPr>
        <w:t> </w:t>
      </w:r>
      <w:r>
        <w:rPr/>
        <w:t>medida</w:t>
      </w:r>
      <w:r>
        <w:rPr>
          <w:spacing w:val="10"/>
        </w:rPr>
        <w:t> </w:t>
      </w:r>
      <w:r>
        <w:rPr/>
        <w:t>y</w:t>
      </w:r>
      <w:r>
        <w:rPr>
          <w:spacing w:val="11"/>
        </w:rPr>
        <w:t> </w:t>
      </w:r>
      <w:r>
        <w:rPr/>
        <w:t>actualización;</w:t>
      </w:r>
    </w:p>
    <w:p>
      <w:pPr>
        <w:pStyle w:val="BodyText"/>
        <w:spacing w:before="10"/>
      </w:pPr>
    </w:p>
    <w:p>
      <w:pPr>
        <w:pStyle w:val="ListParagraph"/>
        <w:numPr>
          <w:ilvl w:val="0"/>
          <w:numId w:val="206"/>
        </w:numPr>
        <w:tabs>
          <w:tab w:pos="903" w:val="left" w:leader="none"/>
        </w:tabs>
        <w:spacing w:line="240" w:lineRule="auto" w:before="0" w:after="0"/>
        <w:ind w:left="902" w:right="0" w:hanging="355"/>
        <w:jc w:val="left"/>
        <w:rPr>
          <w:sz w:val="15"/>
        </w:rPr>
      </w:pPr>
      <w:r>
        <w:rPr>
          <w:sz w:val="15"/>
        </w:rPr>
        <w:t>Por</w:t>
      </w:r>
      <w:r>
        <w:rPr>
          <w:spacing w:val="19"/>
          <w:sz w:val="15"/>
        </w:rPr>
        <w:t> </w:t>
      </w:r>
      <w:r>
        <w:rPr>
          <w:sz w:val="15"/>
        </w:rPr>
        <w:t>no</w:t>
      </w:r>
      <w:r>
        <w:rPr>
          <w:spacing w:val="21"/>
          <w:sz w:val="15"/>
        </w:rPr>
        <w:t> </w:t>
      </w:r>
      <w:r>
        <w:rPr>
          <w:sz w:val="15"/>
        </w:rPr>
        <w:t>dar</w:t>
      </w:r>
      <w:r>
        <w:rPr>
          <w:spacing w:val="20"/>
          <w:sz w:val="15"/>
        </w:rPr>
        <w:t> </w:t>
      </w:r>
      <w:r>
        <w:rPr>
          <w:sz w:val="15"/>
        </w:rPr>
        <w:t>aviso</w:t>
      </w:r>
      <w:r>
        <w:rPr>
          <w:spacing w:val="20"/>
          <w:sz w:val="15"/>
        </w:rPr>
        <w:t> </w:t>
      </w:r>
      <w:r>
        <w:rPr>
          <w:sz w:val="15"/>
        </w:rPr>
        <w:t>de</w:t>
      </w:r>
      <w:r>
        <w:rPr>
          <w:spacing w:val="20"/>
          <w:sz w:val="15"/>
        </w:rPr>
        <w:t> </w:t>
      </w:r>
      <w:r>
        <w:rPr>
          <w:sz w:val="15"/>
        </w:rPr>
        <w:t>reinicio</w:t>
      </w:r>
      <w:r>
        <w:rPr>
          <w:spacing w:val="20"/>
          <w:sz w:val="15"/>
        </w:rPr>
        <w:t> </w:t>
      </w:r>
      <w:r>
        <w:rPr>
          <w:sz w:val="15"/>
        </w:rPr>
        <w:t>de</w:t>
      </w:r>
      <w:r>
        <w:rPr>
          <w:spacing w:val="19"/>
          <w:sz w:val="15"/>
        </w:rPr>
        <w:t> </w:t>
      </w:r>
      <w:r>
        <w:rPr>
          <w:sz w:val="15"/>
        </w:rPr>
        <w:t>obra</w:t>
      </w:r>
      <w:r>
        <w:rPr>
          <w:spacing w:val="19"/>
          <w:sz w:val="15"/>
        </w:rPr>
        <w:t> </w:t>
      </w:r>
      <w:r>
        <w:rPr>
          <w:sz w:val="15"/>
        </w:rPr>
        <w:t>de</w:t>
      </w:r>
      <w:r>
        <w:rPr>
          <w:spacing w:val="20"/>
          <w:sz w:val="15"/>
        </w:rPr>
        <w:t> </w:t>
      </w:r>
      <w:r>
        <w:rPr>
          <w:sz w:val="15"/>
        </w:rPr>
        <w:t>construcción</w:t>
      </w:r>
      <w:r>
        <w:rPr>
          <w:spacing w:val="19"/>
          <w:sz w:val="15"/>
        </w:rPr>
        <w:t> </w:t>
      </w:r>
      <w:r>
        <w:rPr>
          <w:sz w:val="15"/>
        </w:rPr>
        <w:t>o</w:t>
      </w:r>
      <w:r>
        <w:rPr>
          <w:spacing w:val="19"/>
          <w:sz w:val="15"/>
        </w:rPr>
        <w:t> </w:t>
      </w:r>
      <w:r>
        <w:rPr>
          <w:sz w:val="15"/>
        </w:rPr>
        <w:t>edificación,</w:t>
      </w:r>
    </w:p>
    <w:p>
      <w:pPr>
        <w:pStyle w:val="BodyText"/>
        <w:spacing w:before="5"/>
        <w:ind w:left="150"/>
      </w:pPr>
      <w:r>
        <w:rPr/>
        <w:t>de:</w:t>
      </w:r>
    </w:p>
    <w:p>
      <w:pPr>
        <w:pStyle w:val="BodyText"/>
        <w:spacing w:before="4"/>
        <w:ind w:left="2468"/>
      </w:pPr>
      <w:r>
        <w:rPr/>
        <w:t>7 a 339 unidades de medida y actualización;</w:t>
      </w:r>
    </w:p>
    <w:p>
      <w:pPr>
        <w:pStyle w:val="BodyText"/>
        <w:spacing w:before="9"/>
      </w:pPr>
    </w:p>
    <w:p>
      <w:pPr>
        <w:pStyle w:val="ListParagraph"/>
        <w:numPr>
          <w:ilvl w:val="0"/>
          <w:numId w:val="206"/>
        </w:numPr>
        <w:tabs>
          <w:tab w:pos="921" w:val="left" w:leader="none"/>
        </w:tabs>
        <w:spacing w:line="247" w:lineRule="auto" w:before="0" w:after="0"/>
        <w:ind w:left="150" w:right="38" w:firstLine="397"/>
        <w:jc w:val="both"/>
        <w:rPr>
          <w:sz w:val="15"/>
        </w:rPr>
      </w:pPr>
      <w:r>
        <w:rPr>
          <w:sz w:val="15"/>
        </w:rPr>
        <w:t>Por no enviar oportunamente a la Dirección General de Obras Públicas, los informes y los datos que señala la normatividad relativa a</w:t>
      </w:r>
      <w:r>
        <w:rPr>
          <w:spacing w:val="17"/>
          <w:sz w:val="15"/>
        </w:rPr>
        <w:t> </w:t>
      </w:r>
      <w:r>
        <w:rPr>
          <w:sz w:val="15"/>
        </w:rPr>
        <w:t>la construcción en el Municipio de Tlajomulco de Zúñiga y sus normas técnicas complementarias,</w:t>
      </w:r>
      <w:r>
        <w:rPr>
          <w:spacing w:val="1"/>
          <w:sz w:val="15"/>
        </w:rPr>
        <w:t> </w:t>
      </w:r>
      <w:r>
        <w:rPr>
          <w:sz w:val="15"/>
        </w:rPr>
        <w:t>de:</w:t>
      </w:r>
    </w:p>
    <w:p>
      <w:pPr>
        <w:pStyle w:val="BodyText"/>
        <w:spacing w:before="2"/>
      </w:pPr>
    </w:p>
    <w:p>
      <w:pPr>
        <w:pStyle w:val="BodyText"/>
        <w:ind w:left="2468"/>
      </w:pPr>
      <w:r>
        <w:rPr/>
        <w:t>13 a 26 unidades de medida y actualización;</w:t>
      </w:r>
    </w:p>
    <w:p>
      <w:pPr>
        <w:pStyle w:val="BodyText"/>
        <w:spacing w:before="9"/>
      </w:pPr>
    </w:p>
    <w:p>
      <w:pPr>
        <w:pStyle w:val="ListParagraph"/>
        <w:numPr>
          <w:ilvl w:val="0"/>
          <w:numId w:val="206"/>
        </w:numPr>
        <w:tabs>
          <w:tab w:pos="1018" w:val="left" w:leader="none"/>
        </w:tabs>
        <w:spacing w:line="240" w:lineRule="auto" w:before="0" w:after="0"/>
        <w:ind w:left="1017" w:right="0" w:hanging="470"/>
        <w:jc w:val="left"/>
        <w:rPr>
          <w:sz w:val="15"/>
        </w:rPr>
      </w:pPr>
      <w:r>
        <w:rPr>
          <w:sz w:val="15"/>
        </w:rPr>
        <w:t>Por</w:t>
      </w:r>
      <w:r>
        <w:rPr>
          <w:spacing w:val="20"/>
          <w:sz w:val="15"/>
        </w:rPr>
        <w:t> </w:t>
      </w:r>
      <w:r>
        <w:rPr>
          <w:sz w:val="15"/>
        </w:rPr>
        <w:t>alterar</w:t>
      </w:r>
      <w:r>
        <w:rPr>
          <w:spacing w:val="19"/>
          <w:sz w:val="15"/>
        </w:rPr>
        <w:t> </w:t>
      </w:r>
      <w:r>
        <w:rPr>
          <w:sz w:val="15"/>
        </w:rPr>
        <w:t>o</w:t>
      </w:r>
      <w:r>
        <w:rPr>
          <w:spacing w:val="20"/>
          <w:sz w:val="15"/>
        </w:rPr>
        <w:t> </w:t>
      </w:r>
      <w:r>
        <w:rPr>
          <w:sz w:val="15"/>
        </w:rPr>
        <w:t>modificar</w:t>
      </w:r>
      <w:r>
        <w:rPr>
          <w:spacing w:val="19"/>
          <w:sz w:val="15"/>
        </w:rPr>
        <w:t> </w:t>
      </w:r>
      <w:r>
        <w:rPr>
          <w:sz w:val="15"/>
        </w:rPr>
        <w:t>el</w:t>
      </w:r>
      <w:r>
        <w:rPr>
          <w:spacing w:val="20"/>
          <w:sz w:val="15"/>
        </w:rPr>
        <w:t> </w:t>
      </w:r>
      <w:r>
        <w:rPr>
          <w:sz w:val="15"/>
        </w:rPr>
        <w:t>proyecto</w:t>
      </w:r>
      <w:r>
        <w:rPr>
          <w:spacing w:val="19"/>
          <w:sz w:val="15"/>
        </w:rPr>
        <w:t> </w:t>
      </w:r>
      <w:r>
        <w:rPr>
          <w:sz w:val="15"/>
        </w:rPr>
        <w:t>autorizado</w:t>
      </w:r>
      <w:r>
        <w:rPr>
          <w:spacing w:val="19"/>
          <w:sz w:val="15"/>
        </w:rPr>
        <w:t> </w:t>
      </w:r>
      <w:r>
        <w:rPr>
          <w:sz w:val="15"/>
        </w:rPr>
        <w:t>o</w:t>
      </w:r>
      <w:r>
        <w:rPr>
          <w:spacing w:val="19"/>
          <w:sz w:val="15"/>
        </w:rPr>
        <w:t> </w:t>
      </w:r>
      <w:r>
        <w:rPr>
          <w:sz w:val="15"/>
        </w:rPr>
        <w:t>realizar</w:t>
      </w:r>
    </w:p>
    <w:p>
      <w:pPr>
        <w:pStyle w:val="BodyText"/>
        <w:spacing w:before="8"/>
      </w:pPr>
      <w:r>
        <w:rPr/>
        <w:br w:type="column"/>
      </w:r>
      <w:r>
        <w:rPr/>
      </w:r>
    </w:p>
    <w:p>
      <w:pPr>
        <w:pStyle w:val="ListParagraph"/>
        <w:numPr>
          <w:ilvl w:val="0"/>
          <w:numId w:val="207"/>
        </w:numPr>
        <w:tabs>
          <w:tab w:pos="1047" w:val="left" w:leader="none"/>
        </w:tabs>
        <w:spacing w:line="247" w:lineRule="auto" w:before="0" w:after="0"/>
        <w:ind w:left="150" w:right="2716" w:firstLine="397"/>
        <w:jc w:val="left"/>
        <w:rPr>
          <w:sz w:val="15"/>
        </w:rPr>
      </w:pPr>
      <w:r>
        <w:rPr>
          <w:sz w:val="15"/>
        </w:rPr>
        <w:t>Por no presentar los planos autorizados de construcción o edificación al momento de la inspección,</w:t>
      </w:r>
      <w:r>
        <w:rPr>
          <w:spacing w:val="12"/>
          <w:sz w:val="15"/>
        </w:rPr>
        <w:t> </w:t>
      </w:r>
      <w:r>
        <w:rPr>
          <w:sz w:val="15"/>
        </w:rPr>
        <w:t>de:</w:t>
      </w:r>
    </w:p>
    <w:p>
      <w:pPr>
        <w:pStyle w:val="BodyText"/>
        <w:spacing w:before="3"/>
      </w:pPr>
    </w:p>
    <w:p>
      <w:pPr>
        <w:pStyle w:val="BodyText"/>
        <w:spacing w:before="1"/>
        <w:ind w:left="2553"/>
      </w:pPr>
      <w:r>
        <w:rPr/>
        <w:t>8 a 14 unidades de medida y actualización;</w:t>
      </w:r>
    </w:p>
    <w:p>
      <w:pPr>
        <w:pStyle w:val="BodyText"/>
        <w:spacing w:before="9"/>
      </w:pPr>
    </w:p>
    <w:p>
      <w:pPr>
        <w:pStyle w:val="ListParagraph"/>
        <w:numPr>
          <w:ilvl w:val="0"/>
          <w:numId w:val="207"/>
        </w:numPr>
        <w:tabs>
          <w:tab w:pos="1078" w:val="left" w:leader="none"/>
        </w:tabs>
        <w:spacing w:line="247" w:lineRule="auto" w:before="0" w:after="0"/>
        <w:ind w:left="150" w:right="2711" w:firstLine="397"/>
        <w:jc w:val="left"/>
        <w:rPr>
          <w:sz w:val="15"/>
        </w:rPr>
      </w:pPr>
      <w:r>
        <w:rPr>
          <w:sz w:val="15"/>
        </w:rPr>
        <w:t>Por no presentar bitácora oficial de obra de construcción o edificación al momento de la inspección,</w:t>
      </w:r>
      <w:r>
        <w:rPr>
          <w:spacing w:val="12"/>
          <w:sz w:val="15"/>
        </w:rPr>
        <w:t> </w:t>
      </w:r>
      <w:r>
        <w:rPr>
          <w:sz w:val="15"/>
        </w:rPr>
        <w:t>de:</w:t>
      </w:r>
    </w:p>
    <w:p>
      <w:pPr>
        <w:pStyle w:val="BodyText"/>
        <w:spacing w:line="172" w:lineRule="exact"/>
        <w:ind w:left="2554"/>
      </w:pPr>
      <w:r>
        <w:rPr/>
        <w:t>8 a 14 unidades de medida y actualización;</w:t>
      </w:r>
    </w:p>
    <w:p>
      <w:pPr>
        <w:pStyle w:val="BodyText"/>
        <w:spacing w:before="8"/>
      </w:pPr>
    </w:p>
    <w:p>
      <w:pPr>
        <w:pStyle w:val="ListParagraph"/>
        <w:numPr>
          <w:ilvl w:val="0"/>
          <w:numId w:val="207"/>
        </w:numPr>
        <w:tabs>
          <w:tab w:pos="1083" w:val="left" w:leader="none"/>
        </w:tabs>
        <w:spacing w:line="247" w:lineRule="auto" w:before="1" w:after="0"/>
        <w:ind w:left="646" w:right="2712" w:hanging="99"/>
        <w:jc w:val="left"/>
        <w:rPr>
          <w:sz w:val="15"/>
        </w:rPr>
      </w:pPr>
      <w:r>
        <w:rPr>
          <w:sz w:val="15"/>
        </w:rPr>
        <w:t>Por falta de pancarta de obra de construcción o edificación, de:    8 a 14 unidades de medida y</w:t>
      </w:r>
      <w:r>
        <w:rPr>
          <w:spacing w:val="15"/>
          <w:sz w:val="15"/>
        </w:rPr>
        <w:t> </w:t>
      </w:r>
      <w:r>
        <w:rPr>
          <w:sz w:val="15"/>
        </w:rPr>
        <w:t>actualización;</w:t>
      </w:r>
    </w:p>
    <w:p>
      <w:pPr>
        <w:pStyle w:val="BodyText"/>
        <w:spacing w:before="5"/>
        <w:rPr>
          <w:sz w:val="19"/>
        </w:rPr>
      </w:pPr>
    </w:p>
    <w:p>
      <w:pPr>
        <w:pStyle w:val="ListParagraph"/>
        <w:numPr>
          <w:ilvl w:val="0"/>
          <w:numId w:val="207"/>
        </w:numPr>
        <w:tabs>
          <w:tab w:pos="1084" w:val="left" w:leader="none"/>
        </w:tabs>
        <w:spacing w:line="247" w:lineRule="auto" w:before="1" w:after="0"/>
        <w:ind w:left="150" w:right="2713" w:firstLine="397"/>
        <w:jc w:val="left"/>
        <w:rPr>
          <w:sz w:val="15"/>
        </w:rPr>
      </w:pPr>
      <w:r>
        <w:rPr>
          <w:sz w:val="15"/>
        </w:rPr>
        <w:t>Por falta de firmas en bitácora oficial de obra de construcción o edificación, por cada irregularidad,</w:t>
      </w:r>
      <w:r>
        <w:rPr>
          <w:spacing w:val="5"/>
          <w:sz w:val="15"/>
        </w:rPr>
        <w:t> </w:t>
      </w:r>
      <w:r>
        <w:rPr>
          <w:sz w:val="15"/>
        </w:rPr>
        <w:t>de:</w:t>
      </w:r>
    </w:p>
    <w:p>
      <w:pPr>
        <w:pStyle w:val="BodyText"/>
        <w:spacing w:line="172" w:lineRule="exact"/>
        <w:ind w:left="2639"/>
      </w:pPr>
      <w:r>
        <w:rPr/>
        <w:t>4 a 8 unidades de medida y actualización;</w:t>
      </w:r>
    </w:p>
    <w:p>
      <w:pPr>
        <w:pStyle w:val="BodyText"/>
        <w:spacing w:before="9"/>
      </w:pPr>
    </w:p>
    <w:p>
      <w:pPr>
        <w:pStyle w:val="ListParagraph"/>
        <w:numPr>
          <w:ilvl w:val="0"/>
          <w:numId w:val="207"/>
        </w:numPr>
        <w:tabs>
          <w:tab w:pos="1034" w:val="left" w:leader="none"/>
        </w:tabs>
        <w:spacing w:line="244" w:lineRule="auto" w:before="0" w:after="0"/>
        <w:ind w:left="150" w:right="2713" w:firstLine="397"/>
        <w:jc w:val="left"/>
        <w:rPr>
          <w:sz w:val="15"/>
        </w:rPr>
      </w:pPr>
      <w:r>
        <w:rPr>
          <w:sz w:val="15"/>
        </w:rPr>
        <w:t>Por adelantar firmas en bitácora oficial de obra de construcción o edificación por cada irregularidad,</w:t>
      </w:r>
      <w:r>
        <w:rPr>
          <w:spacing w:val="7"/>
          <w:sz w:val="15"/>
        </w:rPr>
        <w:t> </w:t>
      </w:r>
      <w:r>
        <w:rPr>
          <w:sz w:val="15"/>
        </w:rPr>
        <w:t>de:</w:t>
      </w:r>
    </w:p>
    <w:p>
      <w:pPr>
        <w:spacing w:after="0" w:line="244" w:lineRule="auto"/>
        <w:jc w:val="left"/>
        <w:rPr>
          <w:sz w:val="15"/>
        </w:rPr>
        <w:sectPr>
          <w:type w:val="continuous"/>
          <w:pgSz w:w="23250" w:h="15310" w:orient="landscape"/>
          <w:pgMar w:top="0" w:bottom="0" w:left="1880" w:right="1520"/>
          <w:cols w:num="2" w:equalWidth="0">
            <w:col w:w="5549" w:space="6073"/>
            <w:col w:w="8228"/>
          </w:cols>
        </w:sectPr>
      </w:pPr>
    </w:p>
    <w:p>
      <w:pPr>
        <w:pStyle w:val="BodyText"/>
        <w:rPr>
          <w:sz w:val="20"/>
        </w:rPr>
      </w:pPr>
    </w:p>
    <w:p>
      <w:pPr>
        <w:pStyle w:val="BodyText"/>
        <w:spacing w:before="7"/>
        <w:rPr>
          <w:sz w:val="29"/>
        </w:rPr>
      </w:pPr>
    </w:p>
    <w:p>
      <w:pPr>
        <w:spacing w:after="0"/>
        <w:rPr>
          <w:sz w:val="29"/>
        </w:rPr>
        <w:sectPr>
          <w:headerReference w:type="default" r:id="rId117"/>
          <w:pgSz w:w="23250" w:h="15310" w:orient="landscape"/>
          <w:pgMar w:header="881" w:footer="499" w:top="1920" w:bottom="680" w:left="1880" w:right="1520"/>
        </w:sectPr>
      </w:pPr>
    </w:p>
    <w:p>
      <w:pPr>
        <w:pStyle w:val="BodyText"/>
        <w:spacing w:before="99"/>
        <w:ind w:left="2639"/>
        <w:jc w:val="both"/>
      </w:pPr>
      <w:r>
        <w:rPr/>
        <w:t>4 a 8 unidades de medida y actualización;</w:t>
      </w:r>
    </w:p>
    <w:p>
      <w:pPr>
        <w:pStyle w:val="BodyText"/>
        <w:spacing w:before="9"/>
      </w:pPr>
    </w:p>
    <w:p>
      <w:pPr>
        <w:pStyle w:val="ListParagraph"/>
        <w:numPr>
          <w:ilvl w:val="0"/>
          <w:numId w:val="207"/>
        </w:numPr>
        <w:tabs>
          <w:tab w:pos="1151" w:val="left" w:leader="none"/>
        </w:tabs>
        <w:spacing w:line="247" w:lineRule="auto" w:before="0" w:after="0"/>
        <w:ind w:left="150" w:right="38" w:firstLine="397"/>
        <w:jc w:val="both"/>
        <w:rPr>
          <w:sz w:val="15"/>
        </w:rPr>
      </w:pPr>
      <w:r>
        <w:rPr>
          <w:sz w:val="15"/>
        </w:rPr>
        <w:t>Por no señalar el avance de la obra en bitácora oficial de obra  de construcción o edificación o no llenar de forma completa  la  hoja  de  bitácora en el periodo de firma correspondiente,</w:t>
      </w:r>
      <w:r>
        <w:rPr>
          <w:spacing w:val="16"/>
          <w:sz w:val="15"/>
        </w:rPr>
        <w:t> </w:t>
      </w:r>
      <w:r>
        <w:rPr>
          <w:sz w:val="15"/>
        </w:rPr>
        <w:t>de:</w:t>
      </w:r>
    </w:p>
    <w:p>
      <w:pPr>
        <w:pStyle w:val="BodyText"/>
        <w:spacing w:line="170" w:lineRule="exact"/>
        <w:ind w:left="2554"/>
        <w:jc w:val="both"/>
      </w:pPr>
      <w:r>
        <w:rPr/>
        <w:t>5 a 10 unidades de medida y actualización;</w:t>
      </w:r>
    </w:p>
    <w:p>
      <w:pPr>
        <w:pStyle w:val="BodyText"/>
        <w:spacing w:before="9"/>
      </w:pPr>
    </w:p>
    <w:p>
      <w:pPr>
        <w:pStyle w:val="ListParagraph"/>
        <w:numPr>
          <w:ilvl w:val="0"/>
          <w:numId w:val="207"/>
        </w:numPr>
        <w:tabs>
          <w:tab w:pos="1195" w:val="left" w:leader="none"/>
        </w:tabs>
        <w:spacing w:line="247" w:lineRule="auto" w:before="1" w:after="0"/>
        <w:ind w:left="150" w:right="42" w:firstLine="397"/>
        <w:jc w:val="both"/>
        <w:rPr>
          <w:sz w:val="15"/>
        </w:rPr>
      </w:pPr>
      <w:r>
        <w:rPr>
          <w:sz w:val="15"/>
        </w:rPr>
        <w:t>Por no presentar permiso o autorización de la Dirección  General de Obras Públicas para obras menores,</w:t>
      </w:r>
      <w:r>
        <w:rPr>
          <w:spacing w:val="17"/>
          <w:sz w:val="15"/>
        </w:rPr>
        <w:t> </w:t>
      </w:r>
      <w:r>
        <w:rPr>
          <w:sz w:val="15"/>
        </w:rPr>
        <w:t>de:</w:t>
      </w:r>
    </w:p>
    <w:p>
      <w:pPr>
        <w:pStyle w:val="BodyText"/>
        <w:spacing w:line="171" w:lineRule="exact"/>
        <w:ind w:left="2468"/>
        <w:jc w:val="both"/>
      </w:pPr>
      <w:r>
        <w:rPr/>
        <w:t>13 a 26 unidades de medida y actualización;</w:t>
      </w:r>
    </w:p>
    <w:p>
      <w:pPr>
        <w:pStyle w:val="BodyText"/>
        <w:spacing w:before="9"/>
      </w:pPr>
    </w:p>
    <w:p>
      <w:pPr>
        <w:pStyle w:val="ListParagraph"/>
        <w:numPr>
          <w:ilvl w:val="0"/>
          <w:numId w:val="207"/>
        </w:numPr>
        <w:tabs>
          <w:tab w:pos="1230" w:val="left" w:leader="none"/>
        </w:tabs>
        <w:spacing w:line="247" w:lineRule="auto" w:before="0" w:after="0"/>
        <w:ind w:left="150" w:right="38" w:firstLine="397"/>
        <w:jc w:val="both"/>
        <w:rPr>
          <w:sz w:val="15"/>
        </w:rPr>
      </w:pPr>
      <w:r>
        <w:rPr>
          <w:sz w:val="15"/>
        </w:rPr>
        <w:t>Por no tener actualizada la licencia de obras relativas a construcción o edificación, por cada irregularidad de uno a tres tantos  del monto de los derechos correspondientes (prórrogas por</w:t>
      </w:r>
      <w:r>
        <w:rPr>
          <w:spacing w:val="13"/>
          <w:sz w:val="15"/>
        </w:rPr>
        <w:t> </w:t>
      </w:r>
      <w:r>
        <w:rPr>
          <w:sz w:val="15"/>
        </w:rPr>
        <w:t>bimestres vencidos).</w:t>
      </w:r>
    </w:p>
    <w:p>
      <w:pPr>
        <w:pStyle w:val="BodyText"/>
        <w:spacing w:before="3"/>
      </w:pPr>
    </w:p>
    <w:p>
      <w:pPr>
        <w:pStyle w:val="ListParagraph"/>
        <w:numPr>
          <w:ilvl w:val="0"/>
          <w:numId w:val="207"/>
        </w:numPr>
        <w:tabs>
          <w:tab w:pos="1139" w:val="left" w:leader="none"/>
        </w:tabs>
        <w:spacing w:line="247" w:lineRule="auto" w:before="0" w:after="0"/>
        <w:ind w:left="150" w:right="38" w:firstLine="397"/>
        <w:jc w:val="both"/>
        <w:rPr>
          <w:sz w:val="15"/>
        </w:rPr>
      </w:pPr>
      <w:r>
        <w:rPr>
          <w:sz w:val="15"/>
        </w:rPr>
        <w:t>Por no presentar licencia de bardeo o acotamiento, al momento de la inspección,</w:t>
      </w:r>
      <w:r>
        <w:rPr>
          <w:spacing w:val="3"/>
          <w:sz w:val="15"/>
        </w:rPr>
        <w:t> </w:t>
      </w:r>
      <w:r>
        <w:rPr>
          <w:sz w:val="15"/>
        </w:rPr>
        <w:t>de:</w:t>
      </w:r>
    </w:p>
    <w:p>
      <w:pPr>
        <w:pStyle w:val="BodyText"/>
        <w:spacing w:before="98"/>
        <w:ind w:left="646"/>
      </w:pPr>
      <w:r>
        <w:rPr/>
        <w:br w:type="column"/>
      </w:r>
      <w:r>
        <w:rPr/>
        <w:t>26 a 78 unidades de medida y actualización;</w:t>
      </w:r>
    </w:p>
    <w:p>
      <w:pPr>
        <w:pStyle w:val="BodyText"/>
        <w:spacing w:before="10"/>
      </w:pPr>
    </w:p>
    <w:p>
      <w:pPr>
        <w:pStyle w:val="BodyText"/>
        <w:spacing w:line="244" w:lineRule="auto"/>
        <w:ind w:left="150" w:right="2715" w:firstLine="397"/>
        <w:jc w:val="both"/>
      </w:pPr>
      <w:r>
        <w:rPr/>
        <w:t>XLIX. Por no presentar pagos de incorporación de agua potable y alcantarillado, de: 13 a 39 unidades de medida y actualización;</w:t>
      </w:r>
    </w:p>
    <w:p>
      <w:pPr>
        <w:pStyle w:val="BodyText"/>
        <w:spacing w:before="6"/>
      </w:pPr>
    </w:p>
    <w:p>
      <w:pPr>
        <w:pStyle w:val="BodyText"/>
        <w:spacing w:line="247" w:lineRule="auto"/>
        <w:ind w:left="150" w:right="2712" w:firstLine="397"/>
        <w:jc w:val="both"/>
      </w:pPr>
      <w:r>
        <w:rPr/>
        <w:t>L. Por no presentar, al momento de una inspección, licencia, permiso o autorización de introducción de línea de agua potable, en áreas comunes condominales, vialidades, áreas de cesiones para destinos  o  espacios públicos, en metros lineales,</w:t>
      </w:r>
      <w:r>
        <w:rPr>
          <w:spacing w:val="4"/>
        </w:rPr>
        <w:t> </w:t>
      </w:r>
      <w:r>
        <w:rPr/>
        <w:t>de:</w:t>
      </w:r>
    </w:p>
    <w:p>
      <w:pPr>
        <w:pStyle w:val="BodyText"/>
        <w:spacing w:line="170" w:lineRule="exact"/>
        <w:ind w:left="2639"/>
        <w:jc w:val="both"/>
      </w:pPr>
      <w:r>
        <w:rPr/>
        <w:t>3 a 8 unidades de medida y actualización;</w:t>
      </w:r>
    </w:p>
    <w:p>
      <w:pPr>
        <w:pStyle w:val="BodyText"/>
        <w:spacing w:before="10"/>
      </w:pPr>
    </w:p>
    <w:p>
      <w:pPr>
        <w:pStyle w:val="BodyText"/>
        <w:spacing w:line="247" w:lineRule="auto"/>
        <w:ind w:left="150" w:right="2712" w:firstLine="397"/>
        <w:jc w:val="both"/>
      </w:pPr>
      <w:r>
        <w:rPr/>
        <w:t>LI. Por no presentar, al momento de una inspección, licencia, permiso o autorización de introducción de línea de drenaje sanitario o pluvial, en áreas comunes condominales, vialidades, áreas de cesiones para destinos  o espacios públicos, en metros lineales</w:t>
      </w:r>
      <w:r>
        <w:rPr>
          <w:spacing w:val="9"/>
        </w:rPr>
        <w:t> </w:t>
      </w:r>
      <w:r>
        <w:rPr/>
        <w:t>de:</w:t>
      </w:r>
    </w:p>
    <w:p>
      <w:pPr>
        <w:pStyle w:val="BodyText"/>
        <w:spacing w:line="170" w:lineRule="exact"/>
        <w:ind w:left="2639"/>
        <w:jc w:val="both"/>
      </w:pPr>
      <w:r>
        <w:rPr/>
        <w:t>3 a 8 unidades de medida y actualización;</w:t>
      </w:r>
    </w:p>
    <w:p>
      <w:pPr>
        <w:spacing w:after="0" w:line="170" w:lineRule="exact"/>
        <w:jc w:val="both"/>
        <w:sectPr>
          <w:type w:val="continuous"/>
          <w:pgSz w:w="23250" w:h="15310" w:orient="landscape"/>
          <w:pgMar w:top="0" w:bottom="0" w:left="1880" w:right="1520"/>
          <w:cols w:num="2" w:equalWidth="0">
            <w:col w:w="5549" w:space="6073"/>
            <w:col w:w="8228"/>
          </w:cols>
        </w:sectPr>
      </w:pPr>
    </w:p>
    <w:p>
      <w:pPr>
        <w:pStyle w:val="BodyText"/>
        <w:spacing w:line="172" w:lineRule="exact"/>
        <w:ind w:left="2554"/>
      </w:pPr>
      <w:r>
        <w:rPr/>
        <w:t>8 a 14 unidades de medida y actualización;</w:t>
      </w:r>
    </w:p>
    <w:p>
      <w:pPr>
        <w:pStyle w:val="BodyText"/>
        <w:spacing w:before="8"/>
      </w:pPr>
    </w:p>
    <w:p>
      <w:pPr>
        <w:pStyle w:val="BodyText"/>
        <w:ind w:left="548"/>
      </w:pPr>
      <w:r>
        <w:rPr/>
        <w:t>XL. Por no contar con número oficial al frente de la propiedad, de:</w:t>
      </w:r>
    </w:p>
    <w:p>
      <w:pPr>
        <w:pStyle w:val="BodyText"/>
        <w:spacing w:before="5"/>
        <w:ind w:left="2468"/>
      </w:pPr>
      <w:r>
        <w:rPr/>
        <w:t>13 a 26 unidades de medida y actualización;</w:t>
      </w:r>
    </w:p>
    <w:p>
      <w:pPr>
        <w:pStyle w:val="BodyText"/>
        <w:spacing w:before="9"/>
      </w:pPr>
    </w:p>
    <w:p>
      <w:pPr>
        <w:pStyle w:val="BodyText"/>
        <w:spacing w:line="247" w:lineRule="auto" w:before="1"/>
        <w:ind w:left="150" w:right="41" w:firstLine="397"/>
        <w:jc w:val="both"/>
      </w:pPr>
      <w:r>
        <w:rPr/>
        <w:t>XLI. Por no tener el número oficial en lugar visible cerca de la entrada al predio, de:</w:t>
      </w:r>
    </w:p>
    <w:p>
      <w:pPr>
        <w:pStyle w:val="BodyText"/>
        <w:spacing w:line="172" w:lineRule="exact"/>
        <w:ind w:left="2554"/>
      </w:pPr>
      <w:r>
        <w:rPr/>
        <w:t>8 a 13 unidades de medida y actualización;</w:t>
      </w:r>
    </w:p>
    <w:p>
      <w:pPr>
        <w:pStyle w:val="BodyText"/>
        <w:spacing w:before="8"/>
      </w:pPr>
    </w:p>
    <w:p>
      <w:pPr>
        <w:pStyle w:val="BodyText"/>
        <w:spacing w:line="247" w:lineRule="auto"/>
        <w:ind w:left="150" w:right="38" w:firstLine="397"/>
        <w:jc w:val="both"/>
      </w:pPr>
      <w:r>
        <w:rPr/>
        <w:t>XLII. Por no contar con muros perimetrales propios con la impermeabilización adecuada y por causa de ello, se causen daños a fincas vecinas, por metro lineal de:</w:t>
      </w:r>
    </w:p>
    <w:p>
      <w:pPr>
        <w:pStyle w:val="BodyText"/>
        <w:spacing w:line="247" w:lineRule="auto"/>
        <w:ind w:left="150" w:right="2712" w:firstLine="397"/>
        <w:jc w:val="both"/>
      </w:pPr>
      <w:r>
        <w:rPr/>
        <w:br w:type="column"/>
      </w:r>
      <w:r>
        <w:rPr/>
        <w:t>LII. Por no presentar, al momento de una inspección, licencia, permiso o autorización de introducción de línea eléctrica ya sea baja, media o  alta  tensión, en áreas comunes condominales, vialidades, áreas de cesiones para destinos o espacios públicos, en metros lineales, de: 3 a  8  unidades  de medida y</w:t>
      </w:r>
      <w:r>
        <w:rPr>
          <w:spacing w:val="2"/>
        </w:rPr>
        <w:t> </w:t>
      </w:r>
      <w:r>
        <w:rPr/>
        <w:t>actualización;</w:t>
      </w:r>
    </w:p>
    <w:p>
      <w:pPr>
        <w:pStyle w:val="BodyText"/>
      </w:pPr>
    </w:p>
    <w:p>
      <w:pPr>
        <w:pStyle w:val="BodyText"/>
        <w:spacing w:line="247" w:lineRule="auto"/>
        <w:ind w:left="150" w:right="2711" w:firstLine="397"/>
        <w:jc w:val="both"/>
      </w:pPr>
      <w:r>
        <w:rPr/>
        <w:t>LIII.- Por no presentar, al momento de una inspección, licencia, permiso   o autorización de introducción de líneas telefónicas, de gas, fibra óptica, línea de cable, para video, voz o datos, en  áreas  comunes  condominales, vialidades,  áreas  de  cesiones   para   destinos   o   espacios   públicos,   de: 13 a 65 unidades de medida y</w:t>
      </w:r>
      <w:r>
        <w:rPr>
          <w:spacing w:val="14"/>
        </w:rPr>
        <w:t> </w:t>
      </w:r>
      <w:r>
        <w:rPr/>
        <w:t>actualización;</w:t>
      </w:r>
    </w:p>
    <w:p>
      <w:pPr>
        <w:spacing w:after="0" w:line="247" w:lineRule="auto"/>
        <w:jc w:val="both"/>
        <w:sectPr>
          <w:type w:val="continuous"/>
          <w:pgSz w:w="23250" w:h="15310" w:orient="landscape"/>
          <w:pgMar w:top="0" w:bottom="0" w:left="1880" w:right="1520"/>
          <w:cols w:num="2" w:equalWidth="0">
            <w:col w:w="5549" w:space="6073"/>
            <w:col w:w="8228"/>
          </w:cols>
        </w:sectPr>
      </w:pPr>
    </w:p>
    <w:p>
      <w:pPr>
        <w:pStyle w:val="BodyText"/>
        <w:spacing w:line="172" w:lineRule="exact"/>
        <w:ind w:left="2639"/>
        <w:jc w:val="both"/>
      </w:pPr>
      <w:r>
        <w:rPr/>
        <w:t>3 a 8 unidades de medida y actualización;</w:t>
      </w:r>
    </w:p>
    <w:p>
      <w:pPr>
        <w:pStyle w:val="BodyText"/>
        <w:spacing w:before="8"/>
      </w:pPr>
    </w:p>
    <w:p>
      <w:pPr>
        <w:pStyle w:val="BodyText"/>
        <w:spacing w:line="247" w:lineRule="auto"/>
        <w:ind w:left="150" w:right="39" w:firstLine="397"/>
        <w:jc w:val="both"/>
      </w:pPr>
      <w:r>
        <w:rPr/>
        <w:t>XLIII. Por no contar con cercas o tapiales para protección de predios o construcciones donde estos sean necesarios, además de ser obligatoria la colocación de los mismos, por metro lineal, de:</w:t>
      </w:r>
    </w:p>
    <w:p>
      <w:pPr>
        <w:pStyle w:val="BodyText"/>
        <w:spacing w:line="171" w:lineRule="exact"/>
        <w:ind w:left="2639"/>
        <w:jc w:val="both"/>
      </w:pPr>
      <w:r>
        <w:rPr/>
        <w:t>1 a 4 unidades de medida y actualización;</w:t>
      </w:r>
    </w:p>
    <w:p>
      <w:pPr>
        <w:pStyle w:val="BodyText"/>
        <w:spacing w:before="9"/>
      </w:pPr>
    </w:p>
    <w:p>
      <w:pPr>
        <w:pStyle w:val="BodyText"/>
        <w:tabs>
          <w:tab w:pos="2131" w:val="left" w:leader="none"/>
        </w:tabs>
        <w:spacing w:line="247" w:lineRule="auto"/>
        <w:ind w:left="150" w:right="38" w:firstLine="397"/>
        <w:jc w:val="both"/>
      </w:pPr>
      <w:r>
        <w:rPr>
          <w:spacing w:val="-4"/>
        </w:rPr>
        <w:t>XLIV. </w:t>
      </w:r>
      <w:r>
        <w:rPr/>
        <w:t>Por falta de servicios sanitarios adecuados para el personal de  obra, en el predio donde se lleve a cabo una obra de edificación o  urbanización,</w:t>
      </w:r>
      <w:r>
        <w:rPr>
          <w:spacing w:val="9"/>
        </w:rPr>
        <w:t> </w:t>
      </w:r>
      <w:r>
        <w:rPr/>
        <w:t>de:</w:t>
        <w:tab/>
        <w:t>8 a 14 unidades de medida y</w:t>
      </w:r>
      <w:r>
        <w:rPr>
          <w:spacing w:val="33"/>
        </w:rPr>
        <w:t> </w:t>
      </w:r>
      <w:r>
        <w:rPr/>
        <w:t>actualización;</w:t>
      </w:r>
    </w:p>
    <w:p>
      <w:pPr>
        <w:pStyle w:val="BodyText"/>
        <w:spacing w:before="3"/>
      </w:pPr>
    </w:p>
    <w:p>
      <w:pPr>
        <w:pStyle w:val="BodyText"/>
        <w:spacing w:line="244" w:lineRule="auto" w:before="1"/>
        <w:ind w:left="150" w:right="38" w:firstLine="397"/>
        <w:jc w:val="both"/>
      </w:pPr>
      <w:r>
        <w:rPr>
          <w:spacing w:val="-7"/>
        </w:rPr>
        <w:t>XLV.</w:t>
      </w:r>
      <w:r>
        <w:rPr>
          <w:spacing w:val="27"/>
        </w:rPr>
        <w:t> </w:t>
      </w:r>
      <w:r>
        <w:rPr/>
        <w:t>Por abrir vanos o huecos para puertas o ventanas en muros colindantes o de propiedad vecina invadiendo la privacidad, además  de  cerrarlo aun tratándose de áreas de servidumbre,</w:t>
      </w:r>
      <w:r>
        <w:rPr>
          <w:spacing w:val="15"/>
        </w:rPr>
        <w:t> </w:t>
      </w:r>
      <w:r>
        <w:rPr/>
        <w:t>de:</w:t>
      </w:r>
    </w:p>
    <w:p>
      <w:pPr>
        <w:pStyle w:val="BodyText"/>
        <w:spacing w:before="3"/>
        <w:ind w:left="2382"/>
        <w:jc w:val="both"/>
      </w:pPr>
      <w:r>
        <w:rPr/>
        <w:t>39 a 157 unidades de medida y actualización;</w:t>
      </w:r>
    </w:p>
    <w:p>
      <w:pPr>
        <w:pStyle w:val="BodyText"/>
        <w:spacing w:before="9"/>
      </w:pPr>
    </w:p>
    <w:p>
      <w:pPr>
        <w:pStyle w:val="BodyText"/>
        <w:spacing w:line="247" w:lineRule="auto"/>
        <w:ind w:left="150" w:right="38" w:firstLine="397"/>
        <w:jc w:val="both"/>
      </w:pPr>
      <w:r>
        <w:rPr>
          <w:spacing w:val="-3"/>
        </w:rPr>
        <w:t>XLVI. </w:t>
      </w:r>
      <w:r>
        <w:rPr/>
        <w:t>Por abrir vanos para ingreso o salida en la parte posterior o lateral de un predio que colinde con áreas públicas destinadas a espacios verdes o abiertos para la recreación y el deporte, además de cerrarlo, de: 65 a 196 unidades de medida y</w:t>
      </w:r>
      <w:r>
        <w:rPr>
          <w:spacing w:val="6"/>
        </w:rPr>
        <w:t> </w:t>
      </w:r>
      <w:r>
        <w:rPr/>
        <w:t>actualización;</w:t>
      </w:r>
    </w:p>
    <w:p>
      <w:pPr>
        <w:pStyle w:val="BodyText"/>
        <w:spacing w:before="2"/>
      </w:pPr>
    </w:p>
    <w:p>
      <w:pPr>
        <w:pStyle w:val="BodyText"/>
        <w:spacing w:line="244" w:lineRule="auto"/>
        <w:ind w:left="150" w:right="38" w:firstLine="397"/>
        <w:jc w:val="both"/>
      </w:pPr>
      <w:r>
        <w:rPr/>
        <w:t>XLVII. Por abrir vanos para ingreso o salida en la parte  posterior  o  lateral de un predio que colinde con la vía pública o  áreas  de  cesión  propiedad municipal, además de cerrarlo,</w:t>
      </w:r>
      <w:r>
        <w:rPr>
          <w:spacing w:val="10"/>
        </w:rPr>
        <w:t> </w:t>
      </w:r>
      <w:r>
        <w:rPr/>
        <w:t>de:</w:t>
      </w:r>
    </w:p>
    <w:p>
      <w:pPr>
        <w:pStyle w:val="BodyText"/>
        <w:spacing w:line="494" w:lineRule="auto" w:before="3"/>
        <w:ind w:left="548" w:firstLine="1834"/>
      </w:pPr>
      <w:r>
        <w:rPr/>
        <w:t>65 a 196 unidades de medida y actualización; XLVIII. Por no presentar factibilidad de agua potable y alcantarillado, de:</w:t>
      </w:r>
    </w:p>
    <w:p>
      <w:pPr>
        <w:pStyle w:val="BodyText"/>
        <w:spacing w:line="247" w:lineRule="auto"/>
        <w:ind w:left="150" w:right="2712" w:firstLine="397"/>
        <w:jc w:val="both"/>
      </w:pPr>
      <w:r>
        <w:rPr/>
        <w:br w:type="column"/>
      </w:r>
      <w:r>
        <w:rPr>
          <w:spacing w:val="-3"/>
        </w:rPr>
        <w:t>LIV.- </w:t>
      </w:r>
      <w:r>
        <w:rPr/>
        <w:t>Por iniciar una obra sin contar con licencia, permiso o autorización  de introducción de líneas eléctrica, líneas telefónicas, de distribución de agua potable, drenaje, de gas, fibra óptica, línea de cable, para video, voz o datos,  en áreas comunes condominales, vialidades áreas de cesiones para destinos    o espacios públicos, por cada metro lineal, de:   91 a 196 unidades de medida   y</w:t>
      </w:r>
      <w:r>
        <w:rPr>
          <w:spacing w:val="1"/>
        </w:rPr>
        <w:t> </w:t>
      </w:r>
      <w:r>
        <w:rPr/>
        <w:t>actualización;</w:t>
      </w:r>
    </w:p>
    <w:p>
      <w:pPr>
        <w:pStyle w:val="BodyText"/>
        <w:spacing w:before="10"/>
        <w:rPr>
          <w:sz w:val="14"/>
        </w:rPr>
      </w:pPr>
    </w:p>
    <w:p>
      <w:pPr>
        <w:pStyle w:val="BodyText"/>
        <w:spacing w:line="247" w:lineRule="auto"/>
        <w:ind w:left="150" w:right="2712" w:firstLine="397"/>
        <w:jc w:val="both"/>
      </w:pPr>
      <w:r>
        <w:rPr>
          <w:spacing w:val="-9"/>
        </w:rPr>
        <w:t>LV. </w:t>
      </w:r>
      <w:r>
        <w:rPr/>
        <w:t>Por tener obras de construcción inconclusas, abandonadas o suspendidas, sin contar con los elementos de  seguridad,  cercas  o  tapiales que impidan el ingreso a personas ajenas al predio para evitar accidentes, además de corregir la anomalía,</w:t>
      </w:r>
      <w:r>
        <w:rPr>
          <w:spacing w:val="8"/>
        </w:rPr>
        <w:t> </w:t>
      </w:r>
      <w:r>
        <w:rPr/>
        <w:t>de:</w:t>
      </w:r>
    </w:p>
    <w:p>
      <w:pPr>
        <w:pStyle w:val="BodyText"/>
        <w:spacing w:line="171" w:lineRule="exact"/>
        <w:ind w:left="2382"/>
        <w:jc w:val="both"/>
      </w:pPr>
      <w:r>
        <w:rPr/>
        <w:t>52 a 104 unidades de medida y actualización;</w:t>
      </w:r>
    </w:p>
    <w:p>
      <w:pPr>
        <w:pStyle w:val="BodyText"/>
        <w:spacing w:before="9"/>
      </w:pPr>
    </w:p>
    <w:p>
      <w:pPr>
        <w:pStyle w:val="BodyText"/>
        <w:spacing w:line="247" w:lineRule="auto"/>
        <w:ind w:left="150" w:right="2712" w:firstLine="397"/>
        <w:jc w:val="both"/>
      </w:pPr>
      <w:r>
        <w:rPr>
          <w:spacing w:val="-4"/>
        </w:rPr>
        <w:t>LVI. </w:t>
      </w:r>
      <w:r>
        <w:rPr/>
        <w:t>Por tener un predio, construcción, excavación,  edificación  o cualquier elemento constructivo, que no reúna las condiciones de seguridad o cause daños a fincas vecinas, además de corregir la anomalía y de la reparación de los daños provocados,</w:t>
      </w:r>
      <w:r>
        <w:rPr>
          <w:spacing w:val="8"/>
        </w:rPr>
        <w:t> </w:t>
      </w:r>
      <w:r>
        <w:rPr/>
        <w:t>de:</w:t>
      </w:r>
    </w:p>
    <w:p>
      <w:pPr>
        <w:pStyle w:val="BodyText"/>
        <w:spacing w:line="171" w:lineRule="exact"/>
        <w:ind w:left="2297"/>
        <w:jc w:val="both"/>
      </w:pPr>
      <w:r>
        <w:rPr/>
        <w:t>124 a 746 unidades de medida y actualización;</w:t>
      </w:r>
    </w:p>
    <w:p>
      <w:pPr>
        <w:pStyle w:val="BodyText"/>
        <w:spacing w:before="8"/>
      </w:pPr>
    </w:p>
    <w:p>
      <w:pPr>
        <w:pStyle w:val="BodyText"/>
        <w:spacing w:line="247" w:lineRule="auto" w:before="1"/>
        <w:ind w:left="150" w:right="2712" w:firstLine="397"/>
        <w:jc w:val="both"/>
      </w:pPr>
      <w:r>
        <w:rPr>
          <w:spacing w:val="-3"/>
        </w:rPr>
        <w:t>LVII. </w:t>
      </w:r>
      <w:r>
        <w:rPr/>
        <w:t>Por tener un predio, construcción, excavación, edificación  o cualquier elemento constructivo, que no reúna las condiciones de seguridad    en la obra y provoque accidentes al personal de la obra  o  a  cualquier  persona,</w:t>
      </w:r>
      <w:r>
        <w:rPr>
          <w:spacing w:val="1"/>
        </w:rPr>
        <w:t> </w:t>
      </w:r>
      <w:r>
        <w:rPr/>
        <w:t>de:</w:t>
      </w:r>
    </w:p>
    <w:p>
      <w:pPr>
        <w:pStyle w:val="BodyText"/>
        <w:spacing w:line="170" w:lineRule="exact"/>
        <w:ind w:left="2211"/>
        <w:jc w:val="both"/>
      </w:pPr>
      <w:r>
        <w:rPr/>
        <w:t>373</w:t>
      </w:r>
      <w:r>
        <w:rPr>
          <w:spacing w:val="11"/>
        </w:rPr>
        <w:t> </w:t>
      </w:r>
      <w:r>
        <w:rPr/>
        <w:t>a</w:t>
      </w:r>
      <w:r>
        <w:rPr>
          <w:spacing w:val="11"/>
        </w:rPr>
        <w:t> </w:t>
      </w:r>
      <w:r>
        <w:rPr/>
        <w:t>1864</w:t>
      </w:r>
      <w:r>
        <w:rPr>
          <w:spacing w:val="10"/>
        </w:rPr>
        <w:t> </w:t>
      </w:r>
      <w:r>
        <w:rPr/>
        <w:t>unidades</w:t>
      </w:r>
      <w:r>
        <w:rPr>
          <w:spacing w:val="12"/>
        </w:rPr>
        <w:t> </w:t>
      </w:r>
      <w:r>
        <w:rPr/>
        <w:t>de</w:t>
      </w:r>
      <w:r>
        <w:rPr>
          <w:spacing w:val="10"/>
        </w:rPr>
        <w:t> </w:t>
      </w:r>
      <w:r>
        <w:rPr/>
        <w:t>medida</w:t>
      </w:r>
      <w:r>
        <w:rPr>
          <w:spacing w:val="11"/>
        </w:rPr>
        <w:t> </w:t>
      </w:r>
      <w:r>
        <w:rPr/>
        <w:t>y</w:t>
      </w:r>
      <w:r>
        <w:rPr>
          <w:spacing w:val="12"/>
        </w:rPr>
        <w:t> </w:t>
      </w:r>
      <w:r>
        <w:rPr/>
        <w:t>actualización;</w:t>
      </w:r>
    </w:p>
    <w:p>
      <w:pPr>
        <w:pStyle w:val="BodyText"/>
        <w:spacing w:before="9"/>
      </w:pPr>
    </w:p>
    <w:p>
      <w:pPr>
        <w:pStyle w:val="BodyText"/>
        <w:spacing w:line="247" w:lineRule="auto"/>
        <w:ind w:left="150" w:right="2660" w:firstLine="495"/>
      </w:pPr>
      <w:r>
        <w:rPr/>
        <w:t>a) Por causar el fallecimiento de personal de la obra o ajena a esta por descuido  o  negligencia  del  constructor  en  los  dispositivos  de  seguridad</w:t>
      </w:r>
      <w:r>
        <w:rPr>
          <w:spacing w:val="-4"/>
        </w:rPr>
        <w:t> </w:t>
      </w:r>
      <w:r>
        <w:rPr/>
        <w:t>de:</w:t>
      </w:r>
    </w:p>
    <w:p>
      <w:pPr>
        <w:spacing w:after="0" w:line="247" w:lineRule="auto"/>
        <w:sectPr>
          <w:type w:val="continuous"/>
          <w:pgSz w:w="23250" w:h="15310" w:orient="landscape"/>
          <w:pgMar w:top="0" w:bottom="0" w:left="1880" w:right="1520"/>
          <w:cols w:num="2" w:equalWidth="0">
            <w:col w:w="5548" w:space="6074"/>
            <w:col w:w="8228"/>
          </w:cols>
        </w:sectPr>
      </w:pPr>
    </w:p>
    <w:p>
      <w:pPr>
        <w:pStyle w:val="BodyText"/>
        <w:rPr>
          <w:sz w:val="20"/>
        </w:rPr>
      </w:pPr>
    </w:p>
    <w:p>
      <w:pPr>
        <w:pStyle w:val="BodyText"/>
        <w:spacing w:before="7"/>
        <w:rPr>
          <w:sz w:val="29"/>
        </w:rPr>
      </w:pPr>
    </w:p>
    <w:p>
      <w:pPr>
        <w:spacing w:after="0"/>
        <w:rPr>
          <w:sz w:val="29"/>
        </w:rPr>
        <w:sectPr>
          <w:headerReference w:type="default" r:id="rId118"/>
          <w:pgSz w:w="23250" w:h="15310" w:orient="landscape"/>
          <w:pgMar w:header="881" w:footer="499" w:top="1920" w:bottom="680" w:left="1880" w:right="1520"/>
        </w:sectPr>
      </w:pPr>
    </w:p>
    <w:p>
      <w:pPr>
        <w:pStyle w:val="BodyText"/>
        <w:spacing w:before="99"/>
        <w:ind w:left="151"/>
      </w:pPr>
      <w:r>
        <w:rPr/>
        <w:t>435 a 2486 unidades de medida y actualización;</w:t>
      </w:r>
    </w:p>
    <w:p>
      <w:pPr>
        <w:pStyle w:val="BodyText"/>
        <w:spacing w:before="9"/>
      </w:pPr>
    </w:p>
    <w:p>
      <w:pPr>
        <w:pStyle w:val="BodyText"/>
        <w:spacing w:line="247" w:lineRule="auto"/>
        <w:ind w:left="151" w:right="39" w:firstLine="397"/>
        <w:jc w:val="both"/>
      </w:pPr>
      <w:r>
        <w:rPr>
          <w:spacing w:val="-3"/>
        </w:rPr>
        <w:t>LVIII. </w:t>
      </w:r>
      <w:r>
        <w:rPr/>
        <w:t>Por realizar construcciones, excavaciones, edificaciones  o  cualquier tipo de obra, sin contar con los equipos de seguridad industrial para los trabajadores, arneses, cuerdas de vida, cascos, botas, guantes o googles, además de corregir la irregularidad,</w:t>
      </w:r>
      <w:r>
        <w:rPr>
          <w:spacing w:val="8"/>
        </w:rPr>
        <w:t> </w:t>
      </w:r>
      <w:r>
        <w:rPr/>
        <w:t>de:</w:t>
      </w:r>
    </w:p>
    <w:p>
      <w:pPr>
        <w:pStyle w:val="BodyText"/>
        <w:spacing w:line="170" w:lineRule="exact"/>
        <w:ind w:left="2382"/>
        <w:jc w:val="both"/>
      </w:pPr>
      <w:r>
        <w:rPr/>
        <w:t>65 a 130 unidades de medida y actualización;</w:t>
      </w:r>
    </w:p>
    <w:p>
      <w:pPr>
        <w:pStyle w:val="BodyText"/>
        <w:spacing w:before="9"/>
      </w:pPr>
    </w:p>
    <w:p>
      <w:pPr>
        <w:pStyle w:val="BodyText"/>
        <w:spacing w:line="247" w:lineRule="auto" w:before="1"/>
        <w:ind w:left="151" w:right="38" w:firstLine="397"/>
        <w:jc w:val="both"/>
      </w:pPr>
      <w:r>
        <w:rPr/>
        <w:t>LIX. Por realizar  construcciones,  excavaciones,  edificaciones  o cualquier tipo de obra, sin contar con los señalamientos objetivos que señalen riesgo o peligro, dentro o fuera  de la obra en vía pública, para protección de  los ciudadanos, además de corregir la irregularidad,</w:t>
      </w:r>
      <w:r>
        <w:rPr>
          <w:spacing w:val="19"/>
        </w:rPr>
        <w:t> </w:t>
      </w:r>
      <w:r>
        <w:rPr/>
        <w:t>de:</w:t>
      </w:r>
    </w:p>
    <w:p>
      <w:pPr>
        <w:pStyle w:val="BodyText"/>
        <w:spacing w:line="170" w:lineRule="exact"/>
        <w:ind w:left="2383"/>
        <w:jc w:val="both"/>
      </w:pPr>
      <w:r>
        <w:rPr/>
        <w:t>65 a 326 unidades de medida y actualización;</w:t>
      </w:r>
    </w:p>
    <w:p>
      <w:pPr>
        <w:pStyle w:val="BodyText"/>
        <w:spacing w:before="8"/>
      </w:pPr>
    </w:p>
    <w:p>
      <w:pPr>
        <w:pStyle w:val="BodyText"/>
        <w:spacing w:line="247" w:lineRule="auto"/>
        <w:ind w:left="151" w:right="38" w:firstLine="397"/>
        <w:jc w:val="both"/>
      </w:pPr>
      <w:r>
        <w:rPr/>
        <w:t>LX. Por tener patios menores a los autorizados o disminuir el tamaño de los mismos, por metro cuadrado, de:</w:t>
      </w:r>
    </w:p>
    <w:p>
      <w:pPr>
        <w:pStyle w:val="BodyText"/>
        <w:spacing w:line="172" w:lineRule="exact"/>
        <w:ind w:left="2554"/>
      </w:pPr>
      <w:r>
        <w:rPr/>
        <w:t>7 a 14 unidades de medida y actualización;</w:t>
      </w:r>
    </w:p>
    <w:p>
      <w:pPr>
        <w:pStyle w:val="BodyText"/>
        <w:spacing w:before="10"/>
      </w:pPr>
    </w:p>
    <w:p>
      <w:pPr>
        <w:pStyle w:val="BodyText"/>
        <w:spacing w:line="244" w:lineRule="auto"/>
        <w:ind w:left="151" w:right="39" w:firstLine="397"/>
        <w:jc w:val="both"/>
      </w:pPr>
      <w:r>
        <w:rPr/>
        <w:t>LXI. Por tener espacios sin iluminación y ventilación adecuada, de:    20   a 33 unidades de medida y</w:t>
      </w:r>
      <w:r>
        <w:rPr>
          <w:spacing w:val="11"/>
        </w:rPr>
        <w:t> </w:t>
      </w:r>
      <w:r>
        <w:rPr/>
        <w:t>actualización;</w:t>
      </w:r>
    </w:p>
    <w:p>
      <w:pPr>
        <w:pStyle w:val="BodyText"/>
        <w:spacing w:before="6"/>
      </w:pPr>
    </w:p>
    <w:p>
      <w:pPr>
        <w:pStyle w:val="BodyText"/>
        <w:spacing w:line="247" w:lineRule="auto"/>
        <w:ind w:left="151" w:right="38" w:firstLine="397"/>
        <w:jc w:val="both"/>
      </w:pPr>
      <w:r>
        <w:rPr/>
        <w:t>LXII. Por realizar excavaciones aledañas a fincas vecinas sin contar con elementos de seguridad o de obras de protección para evitar daños en las construcciones o instalaciones adyacentes, de:</w:t>
      </w:r>
    </w:p>
    <w:p>
      <w:pPr>
        <w:pStyle w:val="BodyText"/>
        <w:spacing w:line="171" w:lineRule="exact"/>
        <w:ind w:left="2383"/>
        <w:jc w:val="both"/>
      </w:pPr>
      <w:r>
        <w:rPr/>
        <w:t>65 a 130 unidades de medida y actualización;</w:t>
      </w:r>
    </w:p>
    <w:p>
      <w:pPr>
        <w:pStyle w:val="BodyText"/>
        <w:spacing w:line="247" w:lineRule="auto" w:before="98"/>
        <w:ind w:left="151" w:right="2609"/>
      </w:pPr>
      <w:r>
        <w:rPr/>
        <w:br w:type="column"/>
      </w:r>
      <w:r>
        <w:rPr/>
        <w:t>las áreas de cesión, espacios públicos o vialidades propiedad municipal, en metros cuadrados, de:</w:t>
      </w:r>
    </w:p>
    <w:p>
      <w:pPr>
        <w:pStyle w:val="BodyText"/>
        <w:spacing w:line="172" w:lineRule="exact"/>
        <w:ind w:left="2383"/>
        <w:jc w:val="both"/>
      </w:pPr>
      <w:r>
        <w:rPr/>
        <w:t>65</w:t>
      </w:r>
      <w:r>
        <w:rPr>
          <w:spacing w:val="10"/>
        </w:rPr>
        <w:t> </w:t>
      </w:r>
      <w:r>
        <w:rPr/>
        <w:t>a</w:t>
      </w:r>
      <w:r>
        <w:rPr>
          <w:spacing w:val="11"/>
        </w:rPr>
        <w:t> </w:t>
      </w:r>
      <w:r>
        <w:rPr/>
        <w:t>130</w:t>
      </w:r>
      <w:r>
        <w:rPr>
          <w:spacing w:val="11"/>
        </w:rPr>
        <w:t> </w:t>
      </w:r>
      <w:r>
        <w:rPr/>
        <w:t>unidades</w:t>
      </w:r>
      <w:r>
        <w:rPr>
          <w:spacing w:val="11"/>
        </w:rPr>
        <w:t> </w:t>
      </w:r>
      <w:r>
        <w:rPr/>
        <w:t>de</w:t>
      </w:r>
      <w:r>
        <w:rPr>
          <w:spacing w:val="10"/>
        </w:rPr>
        <w:t> </w:t>
      </w:r>
      <w:r>
        <w:rPr/>
        <w:t>medida</w:t>
      </w:r>
      <w:r>
        <w:rPr>
          <w:spacing w:val="11"/>
        </w:rPr>
        <w:t> </w:t>
      </w:r>
      <w:r>
        <w:rPr/>
        <w:t>y</w:t>
      </w:r>
      <w:r>
        <w:rPr>
          <w:spacing w:val="11"/>
        </w:rPr>
        <w:t> </w:t>
      </w:r>
      <w:r>
        <w:rPr/>
        <w:t>actualización;</w:t>
      </w:r>
    </w:p>
    <w:p>
      <w:pPr>
        <w:pStyle w:val="BodyText"/>
        <w:spacing w:before="9"/>
      </w:pPr>
    </w:p>
    <w:p>
      <w:pPr>
        <w:pStyle w:val="BodyText"/>
        <w:spacing w:line="247" w:lineRule="auto"/>
        <w:ind w:left="151" w:right="2710" w:firstLine="397"/>
        <w:jc w:val="both"/>
      </w:pPr>
      <w:r>
        <w:rPr/>
        <w:t>LXX. Por invasión con construcción a la colindancia de un predio vecino, ya</w:t>
      </w:r>
      <w:r>
        <w:rPr>
          <w:spacing w:val="17"/>
        </w:rPr>
        <w:t> </w:t>
      </w:r>
      <w:r>
        <w:rPr/>
        <w:t>sea</w:t>
      </w:r>
      <w:r>
        <w:rPr>
          <w:spacing w:val="18"/>
        </w:rPr>
        <w:t> </w:t>
      </w:r>
      <w:r>
        <w:rPr/>
        <w:t>lateral</w:t>
      </w:r>
      <w:r>
        <w:rPr>
          <w:spacing w:val="18"/>
        </w:rPr>
        <w:t> </w:t>
      </w:r>
      <w:r>
        <w:rPr/>
        <w:t>o</w:t>
      </w:r>
      <w:r>
        <w:rPr>
          <w:spacing w:val="17"/>
        </w:rPr>
        <w:t> </w:t>
      </w:r>
      <w:r>
        <w:rPr/>
        <w:t>posterior,</w:t>
      </w:r>
      <w:r>
        <w:rPr>
          <w:spacing w:val="18"/>
        </w:rPr>
        <w:t> </w:t>
      </w:r>
      <w:r>
        <w:rPr/>
        <w:t>además</w:t>
      </w:r>
      <w:r>
        <w:rPr>
          <w:spacing w:val="18"/>
        </w:rPr>
        <w:t> </w:t>
      </w:r>
      <w:r>
        <w:rPr/>
        <w:t>de</w:t>
      </w:r>
      <w:r>
        <w:rPr>
          <w:spacing w:val="18"/>
        </w:rPr>
        <w:t> </w:t>
      </w:r>
      <w:r>
        <w:rPr/>
        <w:t>la</w:t>
      </w:r>
      <w:r>
        <w:rPr>
          <w:spacing w:val="17"/>
        </w:rPr>
        <w:t> </w:t>
      </w:r>
      <w:r>
        <w:rPr/>
        <w:t>demolición</w:t>
      </w:r>
      <w:r>
        <w:rPr>
          <w:spacing w:val="18"/>
        </w:rPr>
        <w:t> </w:t>
      </w:r>
      <w:r>
        <w:rPr/>
        <w:t>en</w:t>
      </w:r>
      <w:r>
        <w:rPr>
          <w:spacing w:val="18"/>
        </w:rPr>
        <w:t> </w:t>
      </w:r>
      <w:r>
        <w:rPr/>
        <w:t>metros</w:t>
      </w:r>
      <w:r>
        <w:rPr>
          <w:spacing w:val="18"/>
        </w:rPr>
        <w:t> </w:t>
      </w:r>
      <w:r>
        <w:rPr/>
        <w:t>cuadrados,</w:t>
      </w:r>
      <w:r>
        <w:rPr>
          <w:spacing w:val="17"/>
        </w:rPr>
        <w:t> </w:t>
      </w:r>
      <w:r>
        <w:rPr/>
        <w:t>de:</w:t>
      </w:r>
    </w:p>
    <w:p>
      <w:pPr>
        <w:pStyle w:val="BodyText"/>
        <w:spacing w:line="172" w:lineRule="exact"/>
        <w:ind w:left="775"/>
      </w:pPr>
      <w:r>
        <w:rPr/>
        <w:t>26 a 52 unidades de medida y actualización;</w:t>
      </w:r>
    </w:p>
    <w:p>
      <w:pPr>
        <w:pStyle w:val="BodyText"/>
        <w:spacing w:before="9"/>
      </w:pPr>
    </w:p>
    <w:p>
      <w:pPr>
        <w:pStyle w:val="BodyText"/>
        <w:spacing w:line="244" w:lineRule="auto"/>
        <w:ind w:left="151" w:right="2710" w:firstLine="397"/>
        <w:jc w:val="both"/>
      </w:pPr>
      <w:r>
        <w:rPr/>
        <w:t>LXXI. Por invasión con construcción a las áreas de restricción en propiedad privada, ya sean frontales, laterales o posteriores, además de la demolición, en metros cuadrados, de:</w:t>
      </w:r>
    </w:p>
    <w:p>
      <w:pPr>
        <w:pStyle w:val="BodyText"/>
        <w:spacing w:before="3"/>
        <w:ind w:left="2468"/>
        <w:jc w:val="both"/>
      </w:pPr>
      <w:r>
        <w:rPr/>
        <w:t>26 a 52 unidades de medida y actualización;</w:t>
      </w:r>
    </w:p>
    <w:p>
      <w:pPr>
        <w:pStyle w:val="BodyText"/>
        <w:spacing w:before="10"/>
      </w:pPr>
    </w:p>
    <w:p>
      <w:pPr>
        <w:pStyle w:val="BodyText"/>
        <w:spacing w:line="244" w:lineRule="auto"/>
        <w:ind w:left="151" w:right="2710" w:firstLine="397"/>
        <w:jc w:val="both"/>
      </w:pPr>
      <w:r>
        <w:rPr/>
        <w:t>LXXII. Por invasión con construcción en áreas verdes o condominales, además de la demolición por metro cuadrado, de:</w:t>
      </w:r>
    </w:p>
    <w:p>
      <w:pPr>
        <w:pStyle w:val="BodyText"/>
        <w:spacing w:before="2"/>
        <w:ind w:left="2468"/>
        <w:jc w:val="both"/>
      </w:pPr>
      <w:r>
        <w:rPr/>
        <w:t>26 a 52 unidades de medida y actualización;</w:t>
      </w:r>
    </w:p>
    <w:p>
      <w:pPr>
        <w:pStyle w:val="BodyText"/>
        <w:spacing w:before="9"/>
      </w:pPr>
    </w:p>
    <w:p>
      <w:pPr>
        <w:pStyle w:val="BodyText"/>
        <w:spacing w:line="247" w:lineRule="auto"/>
        <w:ind w:left="151" w:right="2711" w:firstLine="397"/>
        <w:jc w:val="both"/>
      </w:pPr>
      <w:r>
        <w:rPr/>
        <w:t>LXXIII. Por invasión con construcción a predios vecinos, además de la demolición, por metro cuadrado, de:</w:t>
      </w:r>
    </w:p>
    <w:p>
      <w:pPr>
        <w:pStyle w:val="BodyText"/>
        <w:spacing w:line="171" w:lineRule="exact"/>
        <w:ind w:left="2468"/>
        <w:jc w:val="both"/>
      </w:pPr>
      <w:r>
        <w:rPr/>
        <w:t>26 a 52 unidades de medida y actualización;</w:t>
      </w:r>
    </w:p>
    <w:p>
      <w:pPr>
        <w:pStyle w:val="BodyText"/>
        <w:spacing w:before="9"/>
      </w:pPr>
    </w:p>
    <w:p>
      <w:pPr>
        <w:pStyle w:val="BodyText"/>
        <w:spacing w:line="247" w:lineRule="auto" w:before="1"/>
        <w:ind w:left="151" w:right="2711" w:firstLine="397"/>
        <w:jc w:val="both"/>
      </w:pPr>
      <w:r>
        <w:rPr>
          <w:spacing w:val="-3"/>
        </w:rPr>
        <w:t>LXXIV. </w:t>
      </w:r>
      <w:r>
        <w:rPr/>
        <w:t>Por construir o elevar muros en áreas con  limitaciones  de  dominio o servidumbres contraviniendo lo dispuesto en el Reglamento Municipal, además de la demolición por metro cuadrado de lo construido o excedido,</w:t>
      </w:r>
      <w:r>
        <w:rPr>
          <w:spacing w:val="1"/>
        </w:rPr>
        <w:t> </w:t>
      </w:r>
      <w:r>
        <w:rPr/>
        <w:t>de:</w:t>
      </w:r>
    </w:p>
    <w:p>
      <w:pPr>
        <w:spacing w:after="0" w:line="247" w:lineRule="auto"/>
        <w:jc w:val="both"/>
        <w:sectPr>
          <w:type w:val="continuous"/>
          <w:pgSz w:w="23250" w:h="15310" w:orient="landscape"/>
          <w:pgMar w:top="0" w:bottom="0" w:left="1880" w:right="1520"/>
          <w:cols w:num="2" w:equalWidth="0">
            <w:col w:w="5549" w:space="6074"/>
            <w:col w:w="8227"/>
          </w:cols>
        </w:sectPr>
      </w:pPr>
    </w:p>
    <w:p>
      <w:pPr>
        <w:pStyle w:val="BodyText"/>
        <w:spacing w:before="2"/>
      </w:pPr>
    </w:p>
    <w:p>
      <w:pPr>
        <w:pStyle w:val="BodyText"/>
        <w:spacing w:line="247" w:lineRule="auto"/>
        <w:ind w:left="151" w:right="40" w:firstLine="397"/>
        <w:jc w:val="both"/>
      </w:pPr>
      <w:r>
        <w:rPr/>
        <w:t>LXIII. Por tener un predio, construcción, excavación o edificación de cualquier tipo que cause daños a la vía pública o áreas de cesión propiedad municipal, de:</w:t>
      </w:r>
    </w:p>
    <w:p>
      <w:pPr>
        <w:pStyle w:val="BodyText"/>
        <w:spacing w:line="171" w:lineRule="exact"/>
        <w:ind w:left="2383"/>
        <w:jc w:val="both"/>
      </w:pPr>
      <w:r>
        <w:rPr/>
        <w:t>65 a 130 unidades de medida y actualización;</w:t>
      </w:r>
    </w:p>
    <w:p>
      <w:pPr>
        <w:pStyle w:val="BodyText"/>
        <w:spacing w:before="9"/>
      </w:pPr>
    </w:p>
    <w:p>
      <w:pPr>
        <w:pStyle w:val="BodyText"/>
        <w:spacing w:line="247" w:lineRule="auto"/>
        <w:ind w:left="151" w:right="39" w:firstLine="397"/>
        <w:jc w:val="both"/>
      </w:pPr>
      <w:r>
        <w:rPr/>
        <w:t>LXIV. Por tener un predio, construcción, excavación o edificación de cualquier tipo que cause daños a la vía o espacios públicos, áreas comunes condominales y equipamiento urbano, de:</w:t>
      </w:r>
    </w:p>
    <w:p>
      <w:pPr>
        <w:pStyle w:val="BodyText"/>
        <w:spacing w:line="171" w:lineRule="exact"/>
        <w:ind w:left="2383"/>
        <w:jc w:val="both"/>
      </w:pPr>
      <w:r>
        <w:rPr/>
        <w:t>65 a 130 unidades de medida y actualización;</w:t>
      </w:r>
    </w:p>
    <w:p>
      <w:pPr>
        <w:pStyle w:val="BodyText"/>
        <w:spacing w:before="8"/>
      </w:pPr>
    </w:p>
    <w:p>
      <w:pPr>
        <w:pStyle w:val="BodyText"/>
        <w:spacing w:line="247" w:lineRule="auto" w:before="1"/>
        <w:ind w:left="151" w:right="38" w:firstLine="397"/>
        <w:jc w:val="both"/>
      </w:pPr>
      <w:r>
        <w:rPr>
          <w:spacing w:val="-4"/>
        </w:rPr>
        <w:t>LXV. </w:t>
      </w:r>
      <w:r>
        <w:rPr/>
        <w:t>Por dañar o afectar en cualquier forma banquetas o pavimentos de  la vía o espacios públicos, áreas comunes condominales y equipamiento urbano, en metros cuadrados,</w:t>
      </w:r>
      <w:r>
        <w:rPr>
          <w:spacing w:val="6"/>
        </w:rPr>
        <w:t> </w:t>
      </w:r>
      <w:r>
        <w:rPr/>
        <w:t>de:</w:t>
      </w:r>
    </w:p>
    <w:p>
      <w:pPr>
        <w:pStyle w:val="BodyText"/>
        <w:spacing w:line="171" w:lineRule="exact"/>
        <w:ind w:left="2383"/>
        <w:jc w:val="both"/>
      </w:pPr>
      <w:r>
        <w:rPr/>
        <w:t>46 a 130 unidades de medida y actualización;</w:t>
      </w:r>
    </w:p>
    <w:p>
      <w:pPr>
        <w:pStyle w:val="BodyText"/>
        <w:spacing w:before="8"/>
      </w:pPr>
    </w:p>
    <w:p>
      <w:pPr>
        <w:pStyle w:val="BodyText"/>
        <w:spacing w:line="247" w:lineRule="auto"/>
        <w:ind w:left="151" w:right="39" w:firstLine="397"/>
        <w:jc w:val="both"/>
      </w:pPr>
      <w:r>
        <w:rPr/>
        <w:t>LXVI. Por ocupar la vía o espacios públicos, así como áreas comunes condominales con material de construcción, escombro, basura o cualquier objeto,   además   de   su   retiro   y   limpieza,   por   metro   cuadrado,   de:      3 a 8 unidades de medida y</w:t>
      </w:r>
      <w:r>
        <w:rPr>
          <w:spacing w:val="13"/>
        </w:rPr>
        <w:t> </w:t>
      </w:r>
      <w:r>
        <w:rPr/>
        <w:t>actualización;</w:t>
      </w:r>
    </w:p>
    <w:p>
      <w:pPr>
        <w:pStyle w:val="BodyText"/>
        <w:spacing w:before="3"/>
      </w:pPr>
    </w:p>
    <w:p>
      <w:pPr>
        <w:pStyle w:val="BodyText"/>
        <w:spacing w:line="244" w:lineRule="auto"/>
        <w:ind w:left="151" w:right="39" w:firstLine="397"/>
        <w:jc w:val="both"/>
      </w:pPr>
      <w:r>
        <w:rPr/>
        <w:t>LXVII. Por colocar en la vía pública cualquier elemento que resulte perjudicial o peligroso para los transeúntes, además del retiro del mismo, de:  13 a 39 unidades de medida y</w:t>
      </w:r>
      <w:r>
        <w:rPr>
          <w:spacing w:val="14"/>
        </w:rPr>
        <w:t> </w:t>
      </w:r>
      <w:r>
        <w:rPr/>
        <w:t>actualización;</w:t>
      </w:r>
    </w:p>
    <w:p>
      <w:pPr>
        <w:pStyle w:val="BodyText"/>
        <w:spacing w:before="8"/>
      </w:pPr>
    </w:p>
    <w:p>
      <w:pPr>
        <w:pStyle w:val="BodyText"/>
        <w:spacing w:line="244" w:lineRule="auto"/>
        <w:ind w:left="151" w:right="40" w:firstLine="397"/>
        <w:jc w:val="both"/>
      </w:pPr>
      <w:r>
        <w:rPr/>
        <w:t>LXVIII. Por invasión a la vía pública o áreas de cesión con construcción  de cualquier género, además de la demolición y retiro,  por  metro  cuadrado, de: 23 a 55 unidades de medida y</w:t>
      </w:r>
      <w:r>
        <w:rPr>
          <w:spacing w:val="12"/>
        </w:rPr>
        <w:t> </w:t>
      </w:r>
      <w:r>
        <w:rPr/>
        <w:t>actualización;</w:t>
      </w:r>
    </w:p>
    <w:p>
      <w:pPr>
        <w:pStyle w:val="BodyText"/>
        <w:spacing w:before="7"/>
      </w:pPr>
    </w:p>
    <w:p>
      <w:pPr>
        <w:pStyle w:val="BodyText"/>
        <w:spacing w:line="247" w:lineRule="auto" w:before="1"/>
        <w:ind w:left="151" w:right="40" w:firstLine="397"/>
        <w:jc w:val="both"/>
      </w:pPr>
      <w:r>
        <w:rPr/>
        <w:t>LXIX. Por no presentar comodato, convenio de colaboración o autorización</w:t>
      </w:r>
      <w:r>
        <w:rPr>
          <w:spacing w:val="24"/>
        </w:rPr>
        <w:t> </w:t>
      </w:r>
      <w:r>
        <w:rPr/>
        <w:t>por</w:t>
      </w:r>
      <w:r>
        <w:rPr>
          <w:spacing w:val="25"/>
        </w:rPr>
        <w:t> </w:t>
      </w:r>
      <w:r>
        <w:rPr/>
        <w:t>la</w:t>
      </w:r>
      <w:r>
        <w:rPr>
          <w:spacing w:val="26"/>
        </w:rPr>
        <w:t> </w:t>
      </w:r>
      <w:r>
        <w:rPr/>
        <w:t>dependencia</w:t>
      </w:r>
      <w:r>
        <w:rPr>
          <w:spacing w:val="25"/>
        </w:rPr>
        <w:t> </w:t>
      </w:r>
      <w:r>
        <w:rPr/>
        <w:t>responsable</w:t>
      </w:r>
      <w:r>
        <w:rPr>
          <w:spacing w:val="26"/>
        </w:rPr>
        <w:t> </w:t>
      </w:r>
      <w:r>
        <w:rPr/>
        <w:t>para</w:t>
      </w:r>
      <w:r>
        <w:rPr>
          <w:spacing w:val="25"/>
        </w:rPr>
        <w:t> </w:t>
      </w:r>
      <w:r>
        <w:rPr/>
        <w:t>la</w:t>
      </w:r>
      <w:r>
        <w:rPr>
          <w:spacing w:val="26"/>
        </w:rPr>
        <w:t> </w:t>
      </w:r>
      <w:r>
        <w:rPr/>
        <w:t>ocupación</w:t>
      </w:r>
      <w:r>
        <w:rPr>
          <w:spacing w:val="25"/>
        </w:rPr>
        <w:t> </w:t>
      </w:r>
      <w:r>
        <w:rPr/>
        <w:t>o</w:t>
      </w:r>
      <w:r>
        <w:rPr>
          <w:spacing w:val="30"/>
        </w:rPr>
        <w:t> </w:t>
      </w:r>
      <w:r>
        <w:rPr/>
        <w:t>disfrute</w:t>
      </w:r>
      <w:r>
        <w:rPr>
          <w:spacing w:val="26"/>
        </w:rPr>
        <w:t> </w:t>
      </w:r>
      <w:r>
        <w:rPr/>
        <w:t>de</w:t>
      </w:r>
    </w:p>
    <w:p>
      <w:pPr>
        <w:pStyle w:val="BodyText"/>
        <w:spacing w:line="170" w:lineRule="exact"/>
        <w:ind w:left="2468"/>
        <w:jc w:val="both"/>
      </w:pPr>
      <w:r>
        <w:rPr/>
        <w:br w:type="column"/>
      </w:r>
      <w:r>
        <w:rPr/>
        <w:t>26 a 52 unidades de medida y actualización;</w:t>
      </w:r>
    </w:p>
    <w:p>
      <w:pPr>
        <w:pStyle w:val="BodyText"/>
        <w:spacing w:before="9"/>
      </w:pPr>
    </w:p>
    <w:p>
      <w:pPr>
        <w:pStyle w:val="BodyText"/>
        <w:spacing w:line="247" w:lineRule="auto"/>
        <w:ind w:left="151" w:right="2712" w:firstLine="397"/>
        <w:jc w:val="both"/>
      </w:pPr>
      <w:r>
        <w:rPr/>
        <w:t>LXXV. Por construir muros de contención en propiedad pública, social o privada sin contar con licencia municipal por metro lineal, de:</w:t>
      </w:r>
    </w:p>
    <w:p>
      <w:pPr>
        <w:pStyle w:val="BodyText"/>
        <w:spacing w:line="172" w:lineRule="exact"/>
        <w:ind w:left="2554"/>
        <w:jc w:val="both"/>
      </w:pPr>
      <w:r>
        <w:rPr/>
        <w:t>7</w:t>
      </w:r>
      <w:r>
        <w:rPr>
          <w:spacing w:val="10"/>
        </w:rPr>
        <w:t> </w:t>
      </w:r>
      <w:r>
        <w:rPr/>
        <w:t>a</w:t>
      </w:r>
      <w:r>
        <w:rPr>
          <w:spacing w:val="10"/>
        </w:rPr>
        <w:t> </w:t>
      </w:r>
      <w:r>
        <w:rPr/>
        <w:t>13</w:t>
      </w:r>
      <w:r>
        <w:rPr>
          <w:spacing w:val="10"/>
        </w:rPr>
        <w:t> </w:t>
      </w:r>
      <w:r>
        <w:rPr/>
        <w:t>unidades</w:t>
      </w:r>
      <w:r>
        <w:rPr>
          <w:spacing w:val="10"/>
        </w:rPr>
        <w:t> </w:t>
      </w:r>
      <w:r>
        <w:rPr/>
        <w:t>de</w:t>
      </w:r>
      <w:r>
        <w:rPr>
          <w:spacing w:val="10"/>
        </w:rPr>
        <w:t> </w:t>
      </w:r>
      <w:r>
        <w:rPr/>
        <w:t>medida</w:t>
      </w:r>
      <w:r>
        <w:rPr>
          <w:spacing w:val="10"/>
        </w:rPr>
        <w:t> </w:t>
      </w:r>
      <w:r>
        <w:rPr/>
        <w:t>y</w:t>
      </w:r>
      <w:r>
        <w:rPr>
          <w:spacing w:val="10"/>
        </w:rPr>
        <w:t> </w:t>
      </w:r>
      <w:r>
        <w:rPr/>
        <w:t>actualización;</w:t>
      </w:r>
    </w:p>
    <w:p>
      <w:pPr>
        <w:pStyle w:val="BodyText"/>
        <w:spacing w:before="9"/>
      </w:pPr>
    </w:p>
    <w:p>
      <w:pPr>
        <w:pStyle w:val="BodyText"/>
        <w:spacing w:line="247" w:lineRule="auto"/>
        <w:ind w:left="151" w:right="2711" w:firstLine="397"/>
        <w:jc w:val="both"/>
      </w:pPr>
      <w:r>
        <w:rPr/>
        <w:t>LXXVI. Por romper, dañar o afectar líneas de agua potable o  alcantarillado</w:t>
      </w:r>
      <w:r>
        <w:rPr>
          <w:spacing w:val="15"/>
        </w:rPr>
        <w:t> </w:t>
      </w:r>
      <w:r>
        <w:rPr/>
        <w:t>propiedad</w:t>
      </w:r>
      <w:r>
        <w:rPr>
          <w:spacing w:val="14"/>
        </w:rPr>
        <w:t> </w:t>
      </w:r>
      <w:r>
        <w:rPr/>
        <w:t>municipal,</w:t>
      </w:r>
      <w:r>
        <w:rPr>
          <w:spacing w:val="14"/>
        </w:rPr>
        <w:t> </w:t>
      </w:r>
      <w:r>
        <w:rPr/>
        <w:t>además</w:t>
      </w:r>
      <w:r>
        <w:rPr>
          <w:spacing w:val="16"/>
        </w:rPr>
        <w:t> </w:t>
      </w:r>
      <w:r>
        <w:rPr/>
        <w:t>de</w:t>
      </w:r>
      <w:r>
        <w:rPr>
          <w:spacing w:val="15"/>
        </w:rPr>
        <w:t> </w:t>
      </w:r>
      <w:r>
        <w:rPr/>
        <w:t>la</w:t>
      </w:r>
      <w:r>
        <w:rPr>
          <w:spacing w:val="16"/>
        </w:rPr>
        <w:t> </w:t>
      </w:r>
      <w:r>
        <w:rPr/>
        <w:t>reparación</w:t>
      </w:r>
      <w:r>
        <w:rPr>
          <w:spacing w:val="14"/>
        </w:rPr>
        <w:t> </w:t>
      </w:r>
      <w:r>
        <w:rPr/>
        <w:t>de</w:t>
      </w:r>
      <w:r>
        <w:rPr>
          <w:spacing w:val="19"/>
        </w:rPr>
        <w:t> </w:t>
      </w:r>
      <w:r>
        <w:rPr/>
        <w:t>los</w:t>
      </w:r>
      <w:r>
        <w:rPr>
          <w:spacing w:val="15"/>
        </w:rPr>
        <w:t> </w:t>
      </w:r>
      <w:r>
        <w:rPr/>
        <w:t>daños,</w:t>
      </w:r>
      <w:r>
        <w:rPr>
          <w:spacing w:val="16"/>
        </w:rPr>
        <w:t> </w:t>
      </w:r>
      <w:r>
        <w:rPr/>
        <w:t>de:</w:t>
      </w:r>
    </w:p>
    <w:p>
      <w:pPr>
        <w:pStyle w:val="BodyText"/>
        <w:spacing w:line="172" w:lineRule="exact"/>
        <w:ind w:left="1228"/>
      </w:pPr>
      <w:r>
        <w:rPr/>
        <w:t>391 a 652 unidades de medida y actualización;</w:t>
      </w:r>
    </w:p>
    <w:p>
      <w:pPr>
        <w:pStyle w:val="BodyText"/>
        <w:spacing w:before="9"/>
      </w:pPr>
    </w:p>
    <w:p>
      <w:pPr>
        <w:pStyle w:val="BodyText"/>
        <w:spacing w:line="244" w:lineRule="auto"/>
        <w:ind w:left="151" w:right="2713" w:firstLine="397"/>
        <w:jc w:val="both"/>
      </w:pPr>
      <w:r>
        <w:rPr/>
        <w:t>LXXVII. Por elevar la altura de bardas existentes, sin contar con permiso  o licencia municipal, en metros lineales,</w:t>
      </w:r>
      <w:r>
        <w:rPr>
          <w:spacing w:val="11"/>
        </w:rPr>
        <w:t> </w:t>
      </w:r>
      <w:r>
        <w:rPr/>
        <w:t>de:</w:t>
      </w:r>
    </w:p>
    <w:p>
      <w:pPr>
        <w:pStyle w:val="BodyText"/>
        <w:spacing w:before="2"/>
        <w:ind w:left="2554"/>
      </w:pPr>
      <w:r>
        <w:rPr/>
        <w:t>8</w:t>
      </w:r>
      <w:r>
        <w:rPr>
          <w:spacing w:val="10"/>
        </w:rPr>
        <w:t> </w:t>
      </w:r>
      <w:r>
        <w:rPr/>
        <w:t>a</w:t>
      </w:r>
      <w:r>
        <w:rPr>
          <w:spacing w:val="10"/>
        </w:rPr>
        <w:t> </w:t>
      </w:r>
      <w:r>
        <w:rPr/>
        <w:t>16</w:t>
      </w:r>
      <w:r>
        <w:rPr>
          <w:spacing w:val="10"/>
        </w:rPr>
        <w:t> </w:t>
      </w:r>
      <w:r>
        <w:rPr/>
        <w:t>unidades</w:t>
      </w:r>
      <w:r>
        <w:rPr>
          <w:spacing w:val="10"/>
        </w:rPr>
        <w:t> </w:t>
      </w:r>
      <w:r>
        <w:rPr/>
        <w:t>de</w:t>
      </w:r>
      <w:r>
        <w:rPr>
          <w:spacing w:val="10"/>
        </w:rPr>
        <w:t> </w:t>
      </w:r>
      <w:r>
        <w:rPr/>
        <w:t>medida</w:t>
      </w:r>
      <w:r>
        <w:rPr>
          <w:spacing w:val="10"/>
        </w:rPr>
        <w:t> </w:t>
      </w:r>
      <w:r>
        <w:rPr/>
        <w:t>y</w:t>
      </w:r>
      <w:r>
        <w:rPr>
          <w:spacing w:val="10"/>
        </w:rPr>
        <w:t> </w:t>
      </w:r>
      <w:r>
        <w:rPr/>
        <w:t>actualización;</w:t>
      </w:r>
    </w:p>
    <w:p>
      <w:pPr>
        <w:pStyle w:val="BodyText"/>
        <w:spacing w:before="9"/>
      </w:pPr>
    </w:p>
    <w:p>
      <w:pPr>
        <w:pStyle w:val="BodyText"/>
        <w:ind w:left="548"/>
      </w:pPr>
      <w:r>
        <w:rPr/>
        <w:t>LXXVIII.</w:t>
      </w:r>
      <w:r>
        <w:rPr>
          <w:spacing w:val="20"/>
        </w:rPr>
        <w:t> </w:t>
      </w:r>
      <w:r>
        <w:rPr/>
        <w:t>Por</w:t>
      </w:r>
      <w:r>
        <w:rPr>
          <w:spacing w:val="20"/>
        </w:rPr>
        <w:t> </w:t>
      </w:r>
      <w:r>
        <w:rPr/>
        <w:t>construir</w:t>
      </w:r>
      <w:r>
        <w:rPr>
          <w:spacing w:val="20"/>
        </w:rPr>
        <w:t> </w:t>
      </w:r>
      <w:r>
        <w:rPr/>
        <w:t>bardas</w:t>
      </w:r>
      <w:r>
        <w:rPr>
          <w:spacing w:val="20"/>
        </w:rPr>
        <w:t> </w:t>
      </w:r>
      <w:r>
        <w:rPr/>
        <w:t>excediendo</w:t>
      </w:r>
      <w:r>
        <w:rPr>
          <w:spacing w:val="21"/>
        </w:rPr>
        <w:t> </w:t>
      </w:r>
      <w:r>
        <w:rPr/>
        <w:t>la</w:t>
      </w:r>
      <w:r>
        <w:rPr>
          <w:spacing w:val="19"/>
        </w:rPr>
        <w:t> </w:t>
      </w:r>
      <w:r>
        <w:rPr/>
        <w:t>altura</w:t>
      </w:r>
      <w:r>
        <w:rPr>
          <w:spacing w:val="20"/>
        </w:rPr>
        <w:t> </w:t>
      </w:r>
      <w:r>
        <w:rPr/>
        <w:t>permitida</w:t>
      </w:r>
      <w:r>
        <w:rPr>
          <w:spacing w:val="19"/>
        </w:rPr>
        <w:t> </w:t>
      </w:r>
      <w:r>
        <w:rPr/>
        <w:t>máxima</w:t>
      </w:r>
      <w:r>
        <w:rPr>
          <w:spacing w:val="20"/>
        </w:rPr>
        <w:t> </w:t>
      </w:r>
      <w:r>
        <w:rPr/>
        <w:t>de</w:t>
      </w:r>
    </w:p>
    <w:p>
      <w:pPr>
        <w:pStyle w:val="BodyText"/>
        <w:spacing w:line="244" w:lineRule="auto" w:before="5"/>
        <w:ind w:left="151" w:right="2849"/>
      </w:pPr>
      <w:r>
        <w:rPr/>
        <w:t>2.40 metros, del nivel de banqueta o terreno, además de la demolición por metro lineal,</w:t>
      </w:r>
      <w:r>
        <w:rPr>
          <w:spacing w:val="2"/>
        </w:rPr>
        <w:t> </w:t>
      </w:r>
      <w:r>
        <w:rPr/>
        <w:t>de:</w:t>
      </w:r>
    </w:p>
    <w:p>
      <w:pPr>
        <w:pStyle w:val="BodyText"/>
        <w:spacing w:before="2"/>
        <w:ind w:left="2468"/>
      </w:pPr>
      <w:r>
        <w:rPr/>
        <w:t>21 a 39 unidades de medida y actualización;</w:t>
      </w:r>
    </w:p>
    <w:p>
      <w:pPr>
        <w:pStyle w:val="BodyText"/>
        <w:spacing w:before="9"/>
      </w:pPr>
    </w:p>
    <w:p>
      <w:pPr>
        <w:pStyle w:val="BodyText"/>
        <w:spacing w:line="247" w:lineRule="auto"/>
        <w:ind w:left="151" w:right="2712" w:firstLine="397"/>
        <w:jc w:val="both"/>
      </w:pPr>
      <w:r>
        <w:rPr/>
        <w:t>LXXIX. Por realizar construcciones sobre muros medianeros, sin contar con licencia municipal previa autorización de los vecinos  colindantes,  por  metro lineal de muro afectado,</w:t>
      </w:r>
      <w:r>
        <w:rPr>
          <w:spacing w:val="8"/>
        </w:rPr>
        <w:t> </w:t>
      </w:r>
      <w:r>
        <w:rPr/>
        <w:t>de:</w:t>
      </w:r>
    </w:p>
    <w:p>
      <w:pPr>
        <w:pStyle w:val="BodyText"/>
        <w:spacing w:line="170" w:lineRule="exact"/>
        <w:ind w:left="2468"/>
        <w:jc w:val="both"/>
      </w:pPr>
      <w:r>
        <w:rPr/>
        <w:t>20</w:t>
      </w:r>
      <w:r>
        <w:rPr>
          <w:spacing w:val="10"/>
        </w:rPr>
        <w:t> </w:t>
      </w:r>
      <w:r>
        <w:rPr/>
        <w:t>a</w:t>
      </w:r>
      <w:r>
        <w:rPr>
          <w:spacing w:val="10"/>
        </w:rPr>
        <w:t> </w:t>
      </w:r>
      <w:r>
        <w:rPr/>
        <w:t>39</w:t>
      </w:r>
      <w:r>
        <w:rPr>
          <w:spacing w:val="10"/>
        </w:rPr>
        <w:t> </w:t>
      </w:r>
      <w:r>
        <w:rPr/>
        <w:t>unidades</w:t>
      </w:r>
      <w:r>
        <w:rPr>
          <w:spacing w:val="11"/>
        </w:rPr>
        <w:t> </w:t>
      </w:r>
      <w:r>
        <w:rPr/>
        <w:t>de</w:t>
      </w:r>
      <w:r>
        <w:rPr>
          <w:spacing w:val="10"/>
        </w:rPr>
        <w:t> </w:t>
      </w:r>
      <w:r>
        <w:rPr/>
        <w:t>medida</w:t>
      </w:r>
      <w:r>
        <w:rPr>
          <w:spacing w:val="10"/>
        </w:rPr>
        <w:t> </w:t>
      </w:r>
      <w:r>
        <w:rPr/>
        <w:t>y</w:t>
      </w:r>
      <w:r>
        <w:rPr>
          <w:spacing w:val="11"/>
        </w:rPr>
        <w:t> </w:t>
      </w:r>
      <w:r>
        <w:rPr/>
        <w:t>actualización;</w:t>
      </w:r>
    </w:p>
    <w:p>
      <w:pPr>
        <w:pStyle w:val="BodyText"/>
        <w:spacing w:before="10"/>
      </w:pPr>
    </w:p>
    <w:p>
      <w:pPr>
        <w:pStyle w:val="BodyText"/>
        <w:spacing w:line="247" w:lineRule="auto"/>
        <w:ind w:left="151" w:right="2711" w:firstLine="397"/>
        <w:jc w:val="both"/>
      </w:pPr>
      <w:r>
        <w:rPr/>
        <w:t>LXXX. Por tener construcciones precarias en  azoteas  cualquiera  que sea</w:t>
      </w:r>
      <w:r>
        <w:rPr>
          <w:spacing w:val="20"/>
        </w:rPr>
        <w:t> </w:t>
      </w:r>
      <w:r>
        <w:rPr/>
        <w:t>el</w:t>
      </w:r>
      <w:r>
        <w:rPr>
          <w:spacing w:val="20"/>
        </w:rPr>
        <w:t> </w:t>
      </w:r>
      <w:r>
        <w:rPr/>
        <w:t>uso</w:t>
      </w:r>
      <w:r>
        <w:rPr>
          <w:spacing w:val="18"/>
        </w:rPr>
        <w:t> </w:t>
      </w:r>
      <w:r>
        <w:rPr/>
        <w:t>que</w:t>
      </w:r>
      <w:r>
        <w:rPr>
          <w:spacing w:val="20"/>
        </w:rPr>
        <w:t> </w:t>
      </w:r>
      <w:r>
        <w:rPr/>
        <w:t>pretenda</w:t>
      </w:r>
      <w:r>
        <w:rPr>
          <w:spacing w:val="19"/>
        </w:rPr>
        <w:t> </w:t>
      </w:r>
      <w:r>
        <w:rPr/>
        <w:t>dárseles,</w:t>
      </w:r>
      <w:r>
        <w:rPr>
          <w:spacing w:val="20"/>
        </w:rPr>
        <w:t> </w:t>
      </w:r>
      <w:r>
        <w:rPr/>
        <w:t>además</w:t>
      </w:r>
      <w:r>
        <w:rPr>
          <w:spacing w:val="20"/>
        </w:rPr>
        <w:t> </w:t>
      </w:r>
      <w:r>
        <w:rPr/>
        <w:t>del</w:t>
      </w:r>
      <w:r>
        <w:rPr>
          <w:spacing w:val="20"/>
        </w:rPr>
        <w:t> </w:t>
      </w:r>
      <w:r>
        <w:rPr/>
        <w:t>retiro,</w:t>
      </w:r>
      <w:r>
        <w:rPr>
          <w:spacing w:val="20"/>
        </w:rPr>
        <w:t> </w:t>
      </w:r>
      <w:r>
        <w:rPr/>
        <w:t>por</w:t>
      </w:r>
      <w:r>
        <w:rPr>
          <w:spacing w:val="20"/>
        </w:rPr>
        <w:t> </w:t>
      </w:r>
      <w:r>
        <w:rPr/>
        <w:t>metro</w:t>
      </w:r>
      <w:r>
        <w:rPr>
          <w:spacing w:val="22"/>
        </w:rPr>
        <w:t> </w:t>
      </w:r>
      <w:r>
        <w:rPr/>
        <w:t>cuadrado</w:t>
      </w:r>
      <w:r>
        <w:rPr>
          <w:spacing w:val="20"/>
        </w:rPr>
        <w:t> </w:t>
      </w:r>
      <w:r>
        <w:rPr/>
        <w:t>de:</w:t>
      </w:r>
    </w:p>
    <w:p>
      <w:pPr>
        <w:pStyle w:val="BodyText"/>
        <w:spacing w:before="3"/>
      </w:pPr>
    </w:p>
    <w:p>
      <w:pPr>
        <w:pStyle w:val="BodyText"/>
        <w:ind w:left="548" w:firstLine="2005"/>
      </w:pPr>
      <w:r>
        <w:rPr/>
        <w:t>8</w:t>
      </w:r>
      <w:r>
        <w:rPr>
          <w:spacing w:val="10"/>
        </w:rPr>
        <w:t> </w:t>
      </w:r>
      <w:r>
        <w:rPr/>
        <w:t>a</w:t>
      </w:r>
      <w:r>
        <w:rPr>
          <w:spacing w:val="10"/>
        </w:rPr>
        <w:t> </w:t>
      </w:r>
      <w:r>
        <w:rPr/>
        <w:t>13</w:t>
      </w:r>
      <w:r>
        <w:rPr>
          <w:spacing w:val="10"/>
        </w:rPr>
        <w:t> </w:t>
      </w:r>
      <w:r>
        <w:rPr/>
        <w:t>unidades</w:t>
      </w:r>
      <w:r>
        <w:rPr>
          <w:spacing w:val="10"/>
        </w:rPr>
        <w:t> </w:t>
      </w:r>
      <w:r>
        <w:rPr/>
        <w:t>de</w:t>
      </w:r>
      <w:r>
        <w:rPr>
          <w:spacing w:val="10"/>
        </w:rPr>
        <w:t> </w:t>
      </w:r>
      <w:r>
        <w:rPr/>
        <w:t>medida</w:t>
      </w:r>
      <w:r>
        <w:rPr>
          <w:spacing w:val="10"/>
        </w:rPr>
        <w:t> </w:t>
      </w:r>
      <w:r>
        <w:rPr/>
        <w:t>y</w:t>
      </w:r>
      <w:r>
        <w:rPr>
          <w:spacing w:val="10"/>
        </w:rPr>
        <w:t> </w:t>
      </w:r>
      <w:r>
        <w:rPr/>
        <w:t>actualización;</w:t>
      </w:r>
    </w:p>
    <w:p>
      <w:pPr>
        <w:pStyle w:val="BodyText"/>
        <w:spacing w:before="9"/>
      </w:pPr>
    </w:p>
    <w:p>
      <w:pPr>
        <w:pStyle w:val="BodyText"/>
        <w:spacing w:line="247" w:lineRule="auto"/>
        <w:ind w:left="151" w:right="2712" w:firstLine="397"/>
        <w:jc w:val="both"/>
      </w:pPr>
      <w:r>
        <w:rPr/>
        <w:t>LXXXI. Por tener un predio baldío en condiciones insalubres, además     de la limpieza del predio,</w:t>
      </w:r>
      <w:r>
        <w:rPr>
          <w:spacing w:val="6"/>
        </w:rPr>
        <w:t> </w:t>
      </w:r>
      <w:r>
        <w:rPr/>
        <w:t>de:</w:t>
      </w:r>
    </w:p>
    <w:p>
      <w:pPr>
        <w:spacing w:after="0" w:line="247" w:lineRule="auto"/>
        <w:jc w:val="both"/>
        <w:sectPr>
          <w:type w:val="continuous"/>
          <w:pgSz w:w="23250" w:h="15310" w:orient="landscape"/>
          <w:pgMar w:top="0" w:bottom="0" w:left="1880" w:right="1520"/>
          <w:cols w:num="2" w:equalWidth="0">
            <w:col w:w="5550" w:space="6072"/>
            <w:col w:w="8228"/>
          </w:cols>
        </w:sectPr>
      </w:pPr>
    </w:p>
    <w:p>
      <w:pPr>
        <w:pStyle w:val="BodyText"/>
        <w:rPr>
          <w:sz w:val="20"/>
        </w:rPr>
      </w:pPr>
    </w:p>
    <w:p>
      <w:pPr>
        <w:pStyle w:val="BodyText"/>
        <w:spacing w:before="7"/>
        <w:rPr>
          <w:sz w:val="29"/>
        </w:rPr>
      </w:pPr>
    </w:p>
    <w:p>
      <w:pPr>
        <w:spacing w:after="0"/>
        <w:rPr>
          <w:sz w:val="29"/>
        </w:rPr>
        <w:sectPr>
          <w:headerReference w:type="default" r:id="rId119"/>
          <w:pgSz w:w="23250" w:h="15310" w:orient="landscape"/>
          <w:pgMar w:header="881" w:footer="499" w:top="1920" w:bottom="680" w:left="1880" w:right="1520"/>
        </w:sectPr>
      </w:pPr>
    </w:p>
    <w:p>
      <w:pPr>
        <w:pStyle w:val="BodyText"/>
        <w:spacing w:before="99"/>
        <w:ind w:left="2298"/>
        <w:jc w:val="both"/>
      </w:pPr>
      <w:r>
        <w:rPr/>
        <w:t>130 a 196 unidades de medida y actualización;</w:t>
      </w:r>
    </w:p>
    <w:p>
      <w:pPr>
        <w:pStyle w:val="BodyText"/>
        <w:spacing w:before="9"/>
      </w:pPr>
    </w:p>
    <w:p>
      <w:pPr>
        <w:pStyle w:val="BodyText"/>
        <w:spacing w:line="244" w:lineRule="auto"/>
        <w:ind w:left="150" w:right="41" w:firstLine="397"/>
        <w:jc w:val="both"/>
      </w:pPr>
      <w:r>
        <w:rPr/>
        <w:t>LXXXII. Por colocar toldos con estructuras ligeras en áreas  de  restricción, sin contar con licencia municipal por metro cuadrado, de:</w:t>
      </w:r>
    </w:p>
    <w:p>
      <w:pPr>
        <w:pStyle w:val="BodyText"/>
        <w:spacing w:before="2"/>
        <w:ind w:left="1637"/>
      </w:pPr>
      <w:r>
        <w:rPr/>
        <w:t>8 a 13 unidades de medida y actualización;</w:t>
      </w:r>
    </w:p>
    <w:p>
      <w:pPr>
        <w:pStyle w:val="BodyText"/>
        <w:spacing w:before="9"/>
      </w:pPr>
    </w:p>
    <w:p>
      <w:pPr>
        <w:pStyle w:val="BodyText"/>
        <w:spacing w:line="247" w:lineRule="auto"/>
        <w:ind w:left="150" w:right="38" w:firstLine="397"/>
        <w:jc w:val="both"/>
      </w:pPr>
      <w:r>
        <w:rPr/>
        <w:t>LXXXIII. Por colocar toldos con estructuras ligeras sobre banquetas o vialidades propiedad municipal; además del retiro, por metro cuadrado, de:</w:t>
      </w:r>
    </w:p>
    <w:p>
      <w:pPr>
        <w:pStyle w:val="BodyText"/>
        <w:spacing w:line="172" w:lineRule="exact"/>
        <w:ind w:left="646"/>
      </w:pPr>
      <w:r>
        <w:rPr/>
        <w:t>20 a 39 unidades de medida y actualización;</w:t>
      </w:r>
    </w:p>
    <w:p>
      <w:pPr>
        <w:pStyle w:val="BodyText"/>
        <w:spacing w:before="9"/>
      </w:pPr>
    </w:p>
    <w:p>
      <w:pPr>
        <w:pStyle w:val="BodyText"/>
        <w:spacing w:line="247" w:lineRule="auto"/>
        <w:ind w:left="150" w:right="38" w:firstLine="397"/>
        <w:jc w:val="both"/>
      </w:pPr>
      <w:r>
        <w:rPr/>
        <w:t>LXXXIV.- Por construir volados o marquesinas sobre  banqueta  propiedad municipal mayores de 50 centímetros en voladizo, además de la demolición, por metro cuadrado,</w:t>
      </w:r>
      <w:r>
        <w:rPr>
          <w:spacing w:val="6"/>
        </w:rPr>
        <w:t> </w:t>
      </w:r>
      <w:r>
        <w:rPr/>
        <w:t>de:</w:t>
      </w:r>
    </w:p>
    <w:p>
      <w:pPr>
        <w:pStyle w:val="BodyText"/>
        <w:spacing w:line="171" w:lineRule="exact"/>
        <w:ind w:left="2468"/>
        <w:jc w:val="both"/>
      </w:pPr>
      <w:r>
        <w:rPr/>
        <w:t>39 a 78 unidades de medida y actualización;</w:t>
      </w:r>
    </w:p>
    <w:p>
      <w:pPr>
        <w:pStyle w:val="BodyText"/>
        <w:spacing w:before="9"/>
      </w:pPr>
    </w:p>
    <w:p>
      <w:pPr>
        <w:pStyle w:val="BodyText"/>
        <w:spacing w:line="247" w:lineRule="auto"/>
        <w:ind w:left="150" w:right="38" w:firstLine="397"/>
        <w:jc w:val="both"/>
      </w:pPr>
      <w:r>
        <w:rPr/>
        <w:t>LXXXV.- Por construir volados o marquesinas sobre vialidades o áreas comunes condominales, además de la demolición, de planeación urbana, por metro cuadrado, de:</w:t>
      </w:r>
    </w:p>
    <w:p>
      <w:pPr>
        <w:pStyle w:val="BodyText"/>
        <w:spacing w:line="171" w:lineRule="exact"/>
        <w:ind w:left="2468"/>
        <w:jc w:val="both"/>
      </w:pPr>
      <w:r>
        <w:rPr/>
        <w:t>39 a 78 unidades de medida y actualización;</w:t>
      </w:r>
    </w:p>
    <w:p>
      <w:pPr>
        <w:pStyle w:val="BodyText"/>
        <w:spacing w:before="8"/>
      </w:pPr>
    </w:p>
    <w:p>
      <w:pPr>
        <w:pStyle w:val="BodyText"/>
        <w:spacing w:line="247" w:lineRule="auto"/>
        <w:ind w:left="150" w:right="39" w:firstLine="397"/>
        <w:jc w:val="both"/>
      </w:pPr>
      <w:r>
        <w:rPr/>
        <w:t>LXXXVI.- Por construir sin separación de un metro lineal de líneas eléctricas o telefónicas y cable, además de la demolición, de:</w:t>
      </w:r>
    </w:p>
    <w:p>
      <w:pPr>
        <w:pStyle w:val="BodyText"/>
        <w:spacing w:line="172" w:lineRule="exact"/>
        <w:ind w:left="2468"/>
        <w:jc w:val="both"/>
      </w:pPr>
      <w:r>
        <w:rPr/>
        <w:t>39 a 78 unidades de medida y actualización;</w:t>
      </w:r>
    </w:p>
    <w:p>
      <w:pPr>
        <w:pStyle w:val="BodyText"/>
        <w:spacing w:before="10"/>
      </w:pPr>
    </w:p>
    <w:p>
      <w:pPr>
        <w:pStyle w:val="BodyText"/>
        <w:spacing w:line="244" w:lineRule="auto"/>
        <w:ind w:left="150" w:right="38" w:firstLine="397"/>
        <w:jc w:val="both"/>
      </w:pPr>
      <w:r>
        <w:rPr/>
        <w:t>LXXXVII. Por omitir cajones de estacionamiento conforme al proyecto autorizado y al Dictamen de Trazos, Usos y Destinos Específicos  del Suelo,  por cada uno de ellos,</w:t>
      </w:r>
      <w:r>
        <w:rPr>
          <w:spacing w:val="7"/>
        </w:rPr>
        <w:t> </w:t>
      </w:r>
      <w:r>
        <w:rPr/>
        <w:t>de:</w:t>
      </w:r>
    </w:p>
    <w:p>
      <w:pPr>
        <w:pStyle w:val="BodyText"/>
        <w:spacing w:before="3"/>
        <w:ind w:left="2297"/>
        <w:jc w:val="both"/>
      </w:pPr>
      <w:r>
        <w:rPr/>
        <w:t>196 a 783 unidades de medida y actualización;</w:t>
      </w:r>
    </w:p>
    <w:p>
      <w:pPr>
        <w:pStyle w:val="BodyText"/>
        <w:spacing w:before="9"/>
      </w:pPr>
    </w:p>
    <w:p>
      <w:pPr>
        <w:pStyle w:val="BodyText"/>
        <w:spacing w:line="244" w:lineRule="auto"/>
        <w:ind w:left="150" w:right="39" w:firstLine="397"/>
        <w:jc w:val="both"/>
      </w:pPr>
      <w:r>
        <w:rPr/>
        <w:t>LXXXVIII. Por realizar cajones de estacionamiento  con  medidas  menores a las Reglamentarias, por cada uno de ellos,</w:t>
      </w:r>
      <w:r>
        <w:rPr>
          <w:spacing w:val="24"/>
        </w:rPr>
        <w:t> </w:t>
      </w:r>
      <w:r>
        <w:rPr/>
        <w:t>de:</w:t>
      </w:r>
    </w:p>
    <w:p>
      <w:pPr>
        <w:pStyle w:val="BodyText"/>
        <w:spacing w:before="2"/>
        <w:ind w:left="2468"/>
        <w:jc w:val="both"/>
      </w:pPr>
      <w:r>
        <w:rPr/>
        <w:t>39 a 78 unidades de medida y actualización;</w:t>
      </w:r>
    </w:p>
    <w:p>
      <w:pPr>
        <w:pStyle w:val="BodyText"/>
        <w:spacing w:before="9"/>
      </w:pPr>
    </w:p>
    <w:p>
      <w:pPr>
        <w:pStyle w:val="BodyText"/>
        <w:spacing w:line="247" w:lineRule="auto" w:before="1"/>
        <w:ind w:left="150" w:right="39" w:firstLine="397"/>
        <w:jc w:val="both"/>
      </w:pPr>
      <w:r>
        <w:rPr/>
        <w:t>LXXXIX. Por la omisión de obras o elementos de accesibilidad a discapacitados, donde sean indicados en el Dictamen de Trazos Usos y Destinos Específicos del Suelo y del proyecto autorizado, además del cumplimiento de las obras y o elementos requeridos, de:</w:t>
      </w:r>
    </w:p>
    <w:p>
      <w:pPr>
        <w:pStyle w:val="BodyText"/>
        <w:spacing w:line="170" w:lineRule="exact"/>
        <w:ind w:left="2297"/>
        <w:jc w:val="both"/>
      </w:pPr>
      <w:r>
        <w:rPr/>
        <w:t>196 a 391 unidades de medida y actualización;</w:t>
      </w:r>
    </w:p>
    <w:p>
      <w:pPr>
        <w:pStyle w:val="BodyText"/>
        <w:spacing w:before="9"/>
      </w:pPr>
    </w:p>
    <w:p>
      <w:pPr>
        <w:pStyle w:val="BodyText"/>
        <w:spacing w:line="247" w:lineRule="auto"/>
        <w:ind w:left="150" w:right="38" w:firstLine="397"/>
        <w:jc w:val="both"/>
      </w:pPr>
      <w:r>
        <w:rPr/>
        <w:t>XC. Por no contar con balizamiento de separación de cajones de estacionamiento, circulaciones y logotipos de discapacitados en rampas y cajones señalados en los planos autorizados, además de corregir la irregularidad, de:</w:t>
      </w:r>
    </w:p>
    <w:p>
      <w:pPr>
        <w:pStyle w:val="BodyText"/>
        <w:spacing w:line="170" w:lineRule="exact"/>
        <w:ind w:left="2297"/>
        <w:jc w:val="both"/>
      </w:pPr>
      <w:r>
        <w:rPr/>
        <w:t>196 a 391 unidades de medida y actualización;</w:t>
      </w:r>
    </w:p>
    <w:p>
      <w:pPr>
        <w:pStyle w:val="BodyText"/>
        <w:spacing w:before="9"/>
      </w:pPr>
    </w:p>
    <w:p>
      <w:pPr>
        <w:pStyle w:val="BodyText"/>
        <w:spacing w:line="247" w:lineRule="auto" w:before="1"/>
        <w:ind w:left="150" w:right="39" w:firstLine="397"/>
        <w:jc w:val="both"/>
      </w:pPr>
      <w:r>
        <w:rPr/>
        <w:t>XCI. Por la omisión de construcción de obras de captación para infiltrar  las aguas pluviales que se precipiten en el predio, si los estudios técnicos lo determinan necesario, además del cumplimiento de la obra del pozo de absorción de aguas pluviales,</w:t>
      </w:r>
      <w:r>
        <w:rPr>
          <w:spacing w:val="6"/>
        </w:rPr>
        <w:t> </w:t>
      </w:r>
      <w:r>
        <w:rPr/>
        <w:t>de:</w:t>
      </w:r>
    </w:p>
    <w:p>
      <w:pPr>
        <w:pStyle w:val="BodyText"/>
        <w:spacing w:line="170" w:lineRule="exact"/>
        <w:ind w:left="2382"/>
        <w:jc w:val="both"/>
      </w:pPr>
      <w:r>
        <w:rPr/>
        <w:t>85 a 163 unidades de medida y actualización;</w:t>
      </w:r>
    </w:p>
    <w:p>
      <w:pPr>
        <w:pStyle w:val="BodyText"/>
        <w:spacing w:before="9"/>
      </w:pPr>
    </w:p>
    <w:p>
      <w:pPr>
        <w:pStyle w:val="ListParagraph"/>
        <w:numPr>
          <w:ilvl w:val="0"/>
          <w:numId w:val="208"/>
        </w:numPr>
        <w:tabs>
          <w:tab w:pos="742" w:val="left" w:leader="none"/>
        </w:tabs>
        <w:spacing w:line="244" w:lineRule="auto" w:before="0" w:after="0"/>
        <w:ind w:left="150" w:right="39" w:firstLine="397"/>
        <w:jc w:val="left"/>
        <w:rPr>
          <w:sz w:val="15"/>
        </w:rPr>
      </w:pPr>
      <w:r>
        <w:rPr>
          <w:sz w:val="15"/>
        </w:rPr>
        <w:t>Por invadir derecho o servidumbre federal en canales, ríos, arroyos, lagunas o cualquier cuerpo de agua por metro cuadrado,</w:t>
      </w:r>
      <w:r>
        <w:rPr>
          <w:spacing w:val="30"/>
          <w:sz w:val="15"/>
        </w:rPr>
        <w:t> </w:t>
      </w:r>
      <w:r>
        <w:rPr>
          <w:sz w:val="15"/>
        </w:rPr>
        <w:t>de:</w:t>
      </w:r>
    </w:p>
    <w:p>
      <w:pPr>
        <w:pStyle w:val="BodyText"/>
        <w:spacing w:line="494" w:lineRule="auto" w:before="2"/>
        <w:ind w:left="547" w:firstLine="1760"/>
      </w:pPr>
      <w:r>
        <w:rPr/>
        <w:t>118 a 237 unidades de medida y actualización; b). Por falta de permiso o licencia para modificar, desviar o alterar</w:t>
      </w:r>
    </w:p>
    <w:p>
      <w:pPr>
        <w:pStyle w:val="BodyText"/>
        <w:spacing w:line="247" w:lineRule="auto" w:before="98"/>
        <w:ind w:left="150" w:right="2849"/>
      </w:pPr>
      <w:r>
        <w:rPr/>
        <w:br w:type="column"/>
      </w:r>
      <w:r>
        <w:rPr/>
        <w:t>canales, ríos, arroyos, lagunas o cualquier cuerpo de agua, por metro lineal, de:59 a 118 unidades de medida y actualización;</w:t>
      </w:r>
    </w:p>
    <w:p>
      <w:pPr>
        <w:pStyle w:val="BodyText"/>
        <w:spacing w:before="3"/>
      </w:pPr>
    </w:p>
    <w:p>
      <w:pPr>
        <w:pStyle w:val="BodyText"/>
        <w:spacing w:line="247" w:lineRule="auto"/>
        <w:ind w:left="150" w:right="2713" w:firstLine="397"/>
        <w:jc w:val="both"/>
      </w:pPr>
      <w:r>
        <w:rPr/>
        <w:t>c). Por construir bardas, cercas, o muros de contención o cualquier edificación en los taludes de las márgenes de arroyos o canales pluviales, por metro lineal, de:</w:t>
      </w:r>
    </w:p>
    <w:p>
      <w:pPr>
        <w:pStyle w:val="BodyText"/>
        <w:spacing w:line="171" w:lineRule="exact"/>
        <w:ind w:left="2393"/>
        <w:jc w:val="both"/>
      </w:pPr>
      <w:r>
        <w:rPr/>
        <w:t>59 a </w:t>
      </w:r>
      <w:r>
        <w:rPr>
          <w:spacing w:val="-4"/>
        </w:rPr>
        <w:t>118  </w:t>
      </w:r>
      <w:r>
        <w:rPr/>
        <w:t>unidades de medida y</w:t>
      </w:r>
      <w:r>
        <w:rPr>
          <w:spacing w:val="41"/>
        </w:rPr>
        <w:t> </w:t>
      </w:r>
      <w:r>
        <w:rPr/>
        <w:t>actualización;</w:t>
      </w:r>
    </w:p>
    <w:p>
      <w:pPr>
        <w:pStyle w:val="BodyText"/>
        <w:spacing w:before="9"/>
        <w:rPr>
          <w:sz w:val="22"/>
        </w:rPr>
      </w:pPr>
    </w:p>
    <w:p>
      <w:pPr>
        <w:pStyle w:val="BodyText"/>
        <w:spacing w:line="247" w:lineRule="auto"/>
        <w:ind w:left="150" w:right="2712" w:firstLine="397"/>
        <w:jc w:val="both"/>
      </w:pPr>
      <w:r>
        <w:rPr/>
        <w:t>XCII. Por alterar, modificar, desviar o invadir causes  de  canales,  arroyos,</w:t>
      </w:r>
      <w:r>
        <w:rPr>
          <w:spacing w:val="32"/>
        </w:rPr>
        <w:t> </w:t>
      </w:r>
      <w:r>
        <w:rPr/>
        <w:t>ríos,</w:t>
      </w:r>
      <w:r>
        <w:rPr>
          <w:spacing w:val="33"/>
        </w:rPr>
        <w:t> </w:t>
      </w:r>
      <w:r>
        <w:rPr/>
        <w:t>lagunas</w:t>
      </w:r>
      <w:r>
        <w:rPr>
          <w:spacing w:val="31"/>
        </w:rPr>
        <w:t> </w:t>
      </w:r>
      <w:r>
        <w:rPr/>
        <w:t>o</w:t>
      </w:r>
      <w:r>
        <w:rPr>
          <w:spacing w:val="33"/>
        </w:rPr>
        <w:t> </w:t>
      </w:r>
      <w:r>
        <w:rPr/>
        <w:t>cualquier</w:t>
      </w:r>
      <w:r>
        <w:rPr>
          <w:spacing w:val="31"/>
        </w:rPr>
        <w:t> </w:t>
      </w:r>
      <w:r>
        <w:rPr/>
        <w:t>cuerpo</w:t>
      </w:r>
      <w:r>
        <w:rPr>
          <w:spacing w:val="33"/>
        </w:rPr>
        <w:t> </w:t>
      </w:r>
      <w:r>
        <w:rPr/>
        <w:t>de</w:t>
      </w:r>
      <w:r>
        <w:rPr>
          <w:spacing w:val="33"/>
        </w:rPr>
        <w:t> </w:t>
      </w:r>
      <w:r>
        <w:rPr/>
        <w:t>agua,</w:t>
      </w:r>
      <w:r>
        <w:rPr>
          <w:spacing w:val="32"/>
        </w:rPr>
        <w:t> </w:t>
      </w:r>
      <w:r>
        <w:rPr/>
        <w:t>por</w:t>
      </w:r>
      <w:r>
        <w:rPr>
          <w:spacing w:val="33"/>
        </w:rPr>
        <w:t> </w:t>
      </w:r>
      <w:r>
        <w:rPr/>
        <w:t>metro</w:t>
      </w:r>
      <w:r>
        <w:rPr>
          <w:spacing w:val="33"/>
        </w:rPr>
        <w:t> </w:t>
      </w:r>
      <w:r>
        <w:rPr/>
        <w:t>cuadrado,</w:t>
      </w:r>
      <w:r>
        <w:rPr>
          <w:spacing w:val="32"/>
        </w:rPr>
        <w:t> </w:t>
      </w:r>
      <w:r>
        <w:rPr/>
        <w:t>de:</w:t>
      </w:r>
    </w:p>
    <w:p>
      <w:pPr>
        <w:pStyle w:val="BodyText"/>
        <w:spacing w:line="172" w:lineRule="exact"/>
        <w:ind w:left="1637"/>
      </w:pPr>
      <w:r>
        <w:rPr/>
        <w:t>26 a 52 unidades de medida y actualización;</w:t>
      </w:r>
    </w:p>
    <w:p>
      <w:pPr>
        <w:pStyle w:val="BodyText"/>
        <w:spacing w:before="10"/>
      </w:pPr>
    </w:p>
    <w:p>
      <w:pPr>
        <w:pStyle w:val="BodyText"/>
        <w:spacing w:line="247" w:lineRule="auto"/>
        <w:ind w:left="150" w:right="2712" w:firstLine="397"/>
        <w:jc w:val="both"/>
      </w:pPr>
      <w:r>
        <w:rPr/>
        <w:t>XCIII.  Por tirar aguas o lodos a canales pluviales, a las alcantarillas, a   las vías públicas o condominales, producto de veneros, mantos freáticos, así como en caso de inundaciones o lluvias en excavaciones profundas o perforación de pozos,</w:t>
      </w:r>
      <w:r>
        <w:rPr>
          <w:spacing w:val="3"/>
        </w:rPr>
        <w:t> </w:t>
      </w:r>
      <w:r>
        <w:rPr/>
        <w:t>de:</w:t>
      </w:r>
    </w:p>
    <w:p>
      <w:pPr>
        <w:pStyle w:val="BodyText"/>
        <w:spacing w:line="170" w:lineRule="exact"/>
        <w:ind w:left="2297"/>
        <w:jc w:val="both"/>
      </w:pPr>
      <w:r>
        <w:rPr/>
        <w:t>261</w:t>
      </w:r>
      <w:r>
        <w:rPr>
          <w:spacing w:val="10"/>
        </w:rPr>
        <w:t> </w:t>
      </w:r>
      <w:r>
        <w:rPr/>
        <w:t>a</w:t>
      </w:r>
      <w:r>
        <w:rPr>
          <w:spacing w:val="11"/>
        </w:rPr>
        <w:t> </w:t>
      </w:r>
      <w:r>
        <w:rPr/>
        <w:t>652</w:t>
      </w:r>
      <w:r>
        <w:rPr>
          <w:spacing w:val="11"/>
        </w:rPr>
        <w:t> </w:t>
      </w:r>
      <w:r>
        <w:rPr/>
        <w:t>unidades</w:t>
      </w:r>
      <w:r>
        <w:rPr>
          <w:spacing w:val="11"/>
        </w:rPr>
        <w:t> </w:t>
      </w:r>
      <w:r>
        <w:rPr/>
        <w:t>de</w:t>
      </w:r>
      <w:r>
        <w:rPr>
          <w:spacing w:val="10"/>
        </w:rPr>
        <w:t> </w:t>
      </w:r>
      <w:r>
        <w:rPr/>
        <w:t>medida</w:t>
      </w:r>
      <w:r>
        <w:rPr>
          <w:spacing w:val="11"/>
        </w:rPr>
        <w:t> </w:t>
      </w:r>
      <w:r>
        <w:rPr/>
        <w:t>y</w:t>
      </w:r>
      <w:r>
        <w:rPr>
          <w:spacing w:val="11"/>
        </w:rPr>
        <w:t> </w:t>
      </w:r>
      <w:r>
        <w:rPr/>
        <w:t>actualización;</w:t>
      </w:r>
    </w:p>
    <w:p>
      <w:pPr>
        <w:pStyle w:val="BodyText"/>
        <w:spacing w:before="9"/>
      </w:pPr>
    </w:p>
    <w:p>
      <w:pPr>
        <w:pStyle w:val="BodyText"/>
        <w:spacing w:line="244" w:lineRule="auto"/>
        <w:ind w:left="150" w:right="2712" w:firstLine="397"/>
        <w:jc w:val="both"/>
      </w:pPr>
      <w:r>
        <w:rPr>
          <w:spacing w:val="-3"/>
        </w:rPr>
        <w:t>XCIV. </w:t>
      </w:r>
      <w:r>
        <w:rPr/>
        <w:t>Por la omisión de jardines en zonas de servidumbre o restricción, particular</w:t>
      </w:r>
      <w:r>
        <w:rPr>
          <w:spacing w:val="16"/>
        </w:rPr>
        <w:t> </w:t>
      </w:r>
      <w:r>
        <w:rPr/>
        <w:t>en</w:t>
      </w:r>
      <w:r>
        <w:rPr>
          <w:spacing w:val="16"/>
        </w:rPr>
        <w:t> </w:t>
      </w:r>
      <w:r>
        <w:rPr/>
        <w:t>obras</w:t>
      </w:r>
      <w:r>
        <w:rPr>
          <w:spacing w:val="16"/>
        </w:rPr>
        <w:t> </w:t>
      </w:r>
      <w:r>
        <w:rPr/>
        <w:t>nuevas,</w:t>
      </w:r>
      <w:r>
        <w:rPr>
          <w:spacing w:val="16"/>
        </w:rPr>
        <w:t> </w:t>
      </w:r>
      <w:r>
        <w:rPr/>
        <w:t>además</w:t>
      </w:r>
      <w:r>
        <w:rPr>
          <w:spacing w:val="18"/>
        </w:rPr>
        <w:t> </w:t>
      </w:r>
      <w:r>
        <w:rPr/>
        <w:t>de</w:t>
      </w:r>
      <w:r>
        <w:rPr>
          <w:spacing w:val="16"/>
        </w:rPr>
        <w:t> </w:t>
      </w:r>
      <w:r>
        <w:rPr/>
        <w:t>su</w:t>
      </w:r>
      <w:r>
        <w:rPr>
          <w:spacing w:val="16"/>
        </w:rPr>
        <w:t> </w:t>
      </w:r>
      <w:r>
        <w:rPr/>
        <w:t>restricción</w:t>
      </w:r>
      <w:r>
        <w:rPr>
          <w:spacing w:val="16"/>
        </w:rPr>
        <w:t> </w:t>
      </w:r>
      <w:r>
        <w:rPr/>
        <w:t>por</w:t>
      </w:r>
      <w:r>
        <w:rPr>
          <w:spacing w:val="16"/>
        </w:rPr>
        <w:t> </w:t>
      </w:r>
      <w:r>
        <w:rPr/>
        <w:t>metro</w:t>
      </w:r>
      <w:r>
        <w:rPr>
          <w:spacing w:val="20"/>
        </w:rPr>
        <w:t> </w:t>
      </w:r>
      <w:r>
        <w:rPr/>
        <w:t>cuadrado,</w:t>
      </w:r>
      <w:r>
        <w:rPr>
          <w:spacing w:val="16"/>
        </w:rPr>
        <w:t> </w:t>
      </w:r>
      <w:r>
        <w:rPr/>
        <w:t>de:</w:t>
      </w:r>
    </w:p>
    <w:p>
      <w:pPr>
        <w:pStyle w:val="BodyText"/>
        <w:spacing w:before="2"/>
        <w:ind w:left="645"/>
      </w:pPr>
      <w:r>
        <w:rPr/>
        <w:t>5 a 13 unidades de medida y actualización;</w:t>
      </w:r>
    </w:p>
    <w:p>
      <w:pPr>
        <w:pStyle w:val="BodyText"/>
        <w:spacing w:before="9"/>
      </w:pPr>
    </w:p>
    <w:p>
      <w:pPr>
        <w:pStyle w:val="BodyText"/>
        <w:spacing w:line="244" w:lineRule="auto"/>
        <w:ind w:left="150" w:right="2711" w:firstLine="397"/>
        <w:jc w:val="both"/>
      </w:pPr>
      <w:r>
        <w:rPr/>
        <w:t>XCV. Por destruir, eliminar o disminuir área de jardín en banquetas sin autorización de la dependencia municipal correspondiente, además de la restitución, por metro cuadrado, de:</w:t>
      </w:r>
    </w:p>
    <w:p>
      <w:pPr>
        <w:pStyle w:val="BodyText"/>
        <w:spacing w:before="3"/>
        <w:ind w:left="2553"/>
        <w:jc w:val="both"/>
      </w:pPr>
      <w:r>
        <w:rPr/>
        <w:t>8 a 16 unidades de medida y actualización;</w:t>
      </w:r>
    </w:p>
    <w:p>
      <w:pPr>
        <w:pStyle w:val="BodyText"/>
        <w:spacing w:before="10"/>
      </w:pPr>
    </w:p>
    <w:p>
      <w:pPr>
        <w:pStyle w:val="BodyText"/>
        <w:spacing w:line="247" w:lineRule="auto"/>
        <w:ind w:left="150" w:right="2711" w:firstLine="397"/>
        <w:jc w:val="both"/>
      </w:pPr>
      <w:r>
        <w:rPr/>
        <w:t>XCVI. Por construir sin tapajuntas o zavaletas en las colindancias de muros o construcciones vecinas, por metro lineal de:</w:t>
      </w:r>
    </w:p>
    <w:p>
      <w:pPr>
        <w:pStyle w:val="BodyText"/>
        <w:spacing w:line="172" w:lineRule="exact"/>
        <w:ind w:left="2552"/>
        <w:jc w:val="both"/>
      </w:pPr>
      <w:r>
        <w:rPr/>
        <w:t>6 a 10 unidades de medida y actualización;</w:t>
      </w:r>
    </w:p>
    <w:p>
      <w:pPr>
        <w:pStyle w:val="BodyText"/>
        <w:spacing w:before="8"/>
      </w:pPr>
    </w:p>
    <w:p>
      <w:pPr>
        <w:pStyle w:val="BodyText"/>
        <w:spacing w:line="247" w:lineRule="auto" w:before="1"/>
        <w:ind w:left="150" w:right="2714" w:firstLine="397"/>
        <w:jc w:val="both"/>
      </w:pPr>
      <w:r>
        <w:rPr/>
        <w:t>XCVII. Por construir o tener techumbres, gárgolas o canaletas que descarguen agua fuera de los límites propios de cada predio o hacia predios vecinos, de: 7 a 10 unidades de medida y actualización;</w:t>
      </w:r>
    </w:p>
    <w:p>
      <w:pPr>
        <w:pStyle w:val="BodyText"/>
        <w:spacing w:before="2"/>
      </w:pPr>
    </w:p>
    <w:p>
      <w:pPr>
        <w:pStyle w:val="BodyText"/>
        <w:spacing w:line="247" w:lineRule="auto"/>
        <w:ind w:left="150" w:right="2713" w:firstLine="397"/>
        <w:jc w:val="both"/>
      </w:pPr>
      <w:r>
        <w:rPr/>
        <w:t>a). Por dañar o afectar con fugas de agua o humedades, a fincas colindantes, de:59 a 118 unidades de medida y actualización;</w:t>
      </w:r>
    </w:p>
    <w:p>
      <w:pPr>
        <w:pStyle w:val="BodyText"/>
        <w:spacing w:before="4"/>
      </w:pPr>
    </w:p>
    <w:p>
      <w:pPr>
        <w:pStyle w:val="BodyText"/>
        <w:tabs>
          <w:tab w:pos="1141" w:val="left" w:leader="none"/>
        </w:tabs>
        <w:spacing w:line="247" w:lineRule="auto"/>
        <w:ind w:left="150" w:right="2713" w:firstLine="397"/>
        <w:jc w:val="both"/>
      </w:pPr>
      <w:r>
        <w:rPr/>
        <w:t>XCVIII. Por trabajar en horarios no autorizados en  cualquier  construcción, demolición o remodelación, generando molestias a los vecinos, de:</w:t>
        <w:tab/>
        <w:t>7 a 10 unidades de medida y</w:t>
      </w:r>
      <w:r>
        <w:rPr>
          <w:spacing w:val="17"/>
        </w:rPr>
        <w:t> </w:t>
      </w:r>
      <w:r>
        <w:rPr/>
        <w:t>actualización;</w:t>
      </w:r>
    </w:p>
    <w:p>
      <w:pPr>
        <w:pStyle w:val="BodyText"/>
        <w:spacing w:before="3"/>
      </w:pPr>
    </w:p>
    <w:p>
      <w:pPr>
        <w:pStyle w:val="BodyText"/>
        <w:tabs>
          <w:tab w:pos="1270" w:val="left" w:leader="none"/>
        </w:tabs>
        <w:spacing w:line="247" w:lineRule="auto"/>
        <w:ind w:left="150" w:right="2713" w:firstLine="397"/>
        <w:jc w:val="both"/>
      </w:pPr>
      <w:r>
        <w:rPr/>
        <w:t>XCIX. Por colocar anuncios en lugares no autorizados, además de su retiro,</w:t>
      </w:r>
      <w:r>
        <w:rPr>
          <w:spacing w:val="5"/>
        </w:rPr>
        <w:t> </w:t>
      </w:r>
      <w:r>
        <w:rPr/>
        <w:t>de:</w:t>
        <w:tab/>
        <w:t>7 a 10 unidades de medida y</w:t>
      </w:r>
      <w:r>
        <w:rPr>
          <w:spacing w:val="19"/>
        </w:rPr>
        <w:t> </w:t>
      </w:r>
      <w:r>
        <w:rPr/>
        <w:t>actualización;</w:t>
      </w:r>
    </w:p>
    <w:p>
      <w:pPr>
        <w:pStyle w:val="BodyText"/>
        <w:spacing w:before="3"/>
      </w:pPr>
    </w:p>
    <w:p>
      <w:pPr>
        <w:pStyle w:val="BodyText"/>
        <w:tabs>
          <w:tab w:pos="1722" w:val="left" w:leader="none"/>
        </w:tabs>
        <w:spacing w:line="244" w:lineRule="auto" w:before="1"/>
        <w:ind w:left="150" w:right="2849" w:firstLine="397"/>
      </w:pPr>
      <w:r>
        <w:rPr/>
        <w:t>C. Por violar la clausura impuesta, continuando los trabajos de construcción,</w:t>
      </w:r>
      <w:r>
        <w:rPr>
          <w:spacing w:val="9"/>
        </w:rPr>
        <w:t> </w:t>
      </w:r>
      <w:r>
        <w:rPr/>
        <w:t>de:</w:t>
        <w:tab/>
        <w:t>261 a 652 unidades de medida y</w:t>
      </w:r>
      <w:r>
        <w:rPr>
          <w:spacing w:val="29"/>
        </w:rPr>
        <w:t> </w:t>
      </w:r>
      <w:r>
        <w:rPr/>
        <w:t>actualización;</w:t>
      </w:r>
    </w:p>
    <w:p>
      <w:pPr>
        <w:pStyle w:val="BodyText"/>
        <w:spacing w:before="6"/>
      </w:pPr>
    </w:p>
    <w:p>
      <w:pPr>
        <w:pStyle w:val="BodyText"/>
        <w:spacing w:line="247" w:lineRule="auto"/>
        <w:ind w:left="150" w:right="2712" w:firstLine="397"/>
        <w:jc w:val="both"/>
      </w:pPr>
      <w:r>
        <w:rPr/>
        <w:t>a). Por reincidencia en la violación de la clausura impuesta a  una obra   de construcción o edificación continuando con los trabajos de obra, de:592 a </w:t>
      </w:r>
      <w:r>
        <w:rPr>
          <w:spacing w:val="-3"/>
        </w:rPr>
        <w:t>1184 </w:t>
      </w:r>
      <w:r>
        <w:rPr/>
        <w:t>unidades de medida y</w:t>
      </w:r>
      <w:r>
        <w:rPr>
          <w:spacing w:val="12"/>
        </w:rPr>
        <w:t> </w:t>
      </w:r>
      <w:r>
        <w:rPr/>
        <w:t>actualización;</w:t>
      </w:r>
    </w:p>
    <w:p>
      <w:pPr>
        <w:pStyle w:val="BodyText"/>
        <w:spacing w:before="3"/>
      </w:pPr>
    </w:p>
    <w:p>
      <w:pPr>
        <w:pStyle w:val="BodyText"/>
        <w:spacing w:line="247" w:lineRule="auto"/>
        <w:ind w:left="150" w:right="2712" w:firstLine="397"/>
        <w:jc w:val="both"/>
      </w:pPr>
      <w:r>
        <w:rPr/>
        <w:t>CI. Por usar explosivos en obras de edificación  o  urbanización  sin  contar con los permisos correspondientes de la Secretaría de la Defensa Nacional,</w:t>
      </w:r>
      <w:r>
        <w:rPr>
          <w:spacing w:val="1"/>
        </w:rPr>
        <w:t> </w:t>
      </w:r>
      <w:r>
        <w:rPr/>
        <w:t>de:</w:t>
      </w:r>
    </w:p>
    <w:p>
      <w:pPr>
        <w:pStyle w:val="BodyText"/>
        <w:spacing w:line="171" w:lineRule="exact"/>
        <w:ind w:left="2210"/>
        <w:jc w:val="both"/>
      </w:pPr>
      <w:r>
        <w:rPr/>
        <w:t>652 a 2610 unidades de medida y actualización;</w:t>
      </w:r>
    </w:p>
    <w:p>
      <w:pPr>
        <w:spacing w:after="0" w:line="171" w:lineRule="exact"/>
        <w:jc w:val="both"/>
        <w:sectPr>
          <w:type w:val="continuous"/>
          <w:pgSz w:w="23250" w:h="15310" w:orient="landscape"/>
          <w:pgMar w:top="0" w:bottom="0" w:left="1880" w:right="1520"/>
          <w:cols w:num="2" w:equalWidth="0">
            <w:col w:w="5549" w:space="6073"/>
            <w:col w:w="8228"/>
          </w:cols>
        </w:sectPr>
      </w:pPr>
    </w:p>
    <w:p>
      <w:pPr>
        <w:pStyle w:val="BodyText"/>
        <w:rPr>
          <w:sz w:val="20"/>
        </w:rPr>
      </w:pPr>
    </w:p>
    <w:p>
      <w:pPr>
        <w:pStyle w:val="BodyText"/>
        <w:spacing w:before="7"/>
        <w:rPr>
          <w:sz w:val="29"/>
        </w:rPr>
      </w:pPr>
    </w:p>
    <w:p>
      <w:pPr>
        <w:spacing w:after="0"/>
        <w:rPr>
          <w:sz w:val="29"/>
        </w:rPr>
        <w:sectPr>
          <w:headerReference w:type="default" r:id="rId120"/>
          <w:pgSz w:w="23250" w:h="15310" w:orient="landscape"/>
          <w:pgMar w:header="881" w:footer="499" w:top="1920" w:bottom="680" w:left="1880" w:right="1520"/>
        </w:sectPr>
      </w:pPr>
    </w:p>
    <w:p>
      <w:pPr>
        <w:pStyle w:val="BodyText"/>
        <w:rPr>
          <w:sz w:val="16"/>
        </w:rPr>
      </w:pPr>
    </w:p>
    <w:p>
      <w:pPr>
        <w:pStyle w:val="BodyText"/>
        <w:spacing w:line="247" w:lineRule="auto" w:before="92"/>
        <w:ind w:left="150" w:right="39" w:firstLine="397"/>
        <w:jc w:val="both"/>
      </w:pPr>
      <w:r>
        <w:rPr/>
        <w:t>CII. Por carecer de fianza vigente que garantice la  ejecución  de  las obras de edificación,</w:t>
      </w:r>
      <w:r>
        <w:rPr>
          <w:spacing w:val="3"/>
        </w:rPr>
        <w:t> </w:t>
      </w:r>
      <w:r>
        <w:rPr/>
        <w:t>de:</w:t>
      </w:r>
    </w:p>
    <w:p>
      <w:pPr>
        <w:pStyle w:val="BodyText"/>
        <w:spacing w:line="171" w:lineRule="exact"/>
        <w:ind w:left="2297"/>
        <w:jc w:val="both"/>
      </w:pPr>
      <w:r>
        <w:rPr/>
        <w:t>124 a 249 unidades de medida y actualización;</w:t>
      </w:r>
    </w:p>
    <w:p>
      <w:pPr>
        <w:pStyle w:val="BodyText"/>
        <w:spacing w:before="9"/>
      </w:pPr>
    </w:p>
    <w:p>
      <w:pPr>
        <w:pStyle w:val="BodyText"/>
        <w:spacing w:line="247" w:lineRule="auto"/>
        <w:ind w:left="150" w:right="39" w:firstLine="397"/>
        <w:jc w:val="both"/>
      </w:pPr>
      <w:r>
        <w:rPr/>
        <w:t>CIII. Por infringir en forma no prevista los incisos anteriores, otras disposiciones del Código Urbano para el Estado de Jalisco, o del Reglamento de Construcción para el Municipio de Tlajomulco de Zúñiga y sus Normas Técnicas, o cualquier normatividad aplicable,</w:t>
      </w:r>
      <w:r>
        <w:rPr>
          <w:spacing w:val="9"/>
        </w:rPr>
        <w:t> </w:t>
      </w:r>
      <w:r>
        <w:rPr/>
        <w:t>de:</w:t>
      </w:r>
    </w:p>
    <w:p>
      <w:pPr>
        <w:pStyle w:val="BodyText"/>
        <w:spacing w:line="170" w:lineRule="exact"/>
        <w:ind w:left="2297"/>
        <w:jc w:val="both"/>
      </w:pPr>
      <w:r>
        <w:rPr/>
        <w:t>391 a 652 unidades de medida y actualización;</w:t>
      </w:r>
    </w:p>
    <w:p>
      <w:pPr>
        <w:pStyle w:val="BodyText"/>
        <w:spacing w:before="10"/>
      </w:pPr>
    </w:p>
    <w:p>
      <w:pPr>
        <w:pStyle w:val="BodyText"/>
        <w:spacing w:line="247" w:lineRule="auto"/>
        <w:ind w:left="150" w:right="38" w:firstLine="397"/>
        <w:jc w:val="both"/>
      </w:pPr>
      <w:r>
        <w:rPr>
          <w:spacing w:val="-4"/>
        </w:rPr>
        <w:t>CIV. </w:t>
      </w:r>
      <w:r>
        <w:rPr/>
        <w:t>Por otras violaciones al Código Urbano para el Estado de Jalisco, o del Reglamento Municipal de Zonificación, al Reglamento de  Construcción  para el Municipio de Tlajomulco de Zúñiga y sus Normas Técnicas, o los instrumentos de planeación urbana distintas a las anteriores, que carezcan de sanción      específica      por      cada      concepto      no      previsto,       de: 130 a 261 unidades de medida y</w:t>
      </w:r>
      <w:r>
        <w:rPr>
          <w:spacing w:val="14"/>
        </w:rPr>
        <w:t> </w:t>
      </w:r>
      <w:r>
        <w:rPr/>
        <w:t>actualización;</w:t>
      </w:r>
    </w:p>
    <w:p>
      <w:pPr>
        <w:pStyle w:val="BodyText"/>
        <w:spacing w:before="1"/>
      </w:pPr>
    </w:p>
    <w:p>
      <w:pPr>
        <w:pStyle w:val="BodyText"/>
        <w:spacing w:line="244" w:lineRule="auto"/>
        <w:ind w:left="150" w:right="38" w:firstLine="397"/>
        <w:jc w:val="both"/>
      </w:pPr>
      <w:r>
        <w:rPr>
          <w:spacing w:val="-5"/>
        </w:rPr>
        <w:t>CV.  </w:t>
      </w:r>
      <w:r>
        <w:rPr/>
        <w:t>Por iniciar una obra de perforación de pozo profundo sin contar con  la licencia municipal correspondiente y sin permiso de la  Comisión Nacional   del Agua, por metro lineal de profundidad,</w:t>
      </w:r>
      <w:r>
        <w:rPr>
          <w:spacing w:val="5"/>
        </w:rPr>
        <w:t> </w:t>
      </w:r>
      <w:r>
        <w:rPr/>
        <w:t>de:</w:t>
      </w:r>
    </w:p>
    <w:p>
      <w:pPr>
        <w:pStyle w:val="BodyText"/>
        <w:spacing w:before="3"/>
        <w:ind w:left="2393"/>
        <w:jc w:val="both"/>
      </w:pPr>
      <w:r>
        <w:rPr/>
        <w:t>59 a 118 unidades de medida y actualización;</w:t>
      </w:r>
    </w:p>
    <w:p>
      <w:pPr>
        <w:pStyle w:val="BodyText"/>
        <w:spacing w:before="9"/>
      </w:pPr>
    </w:p>
    <w:p>
      <w:pPr>
        <w:pStyle w:val="BodyText"/>
        <w:spacing w:line="244" w:lineRule="auto" w:before="1"/>
        <w:ind w:left="150" w:right="39" w:firstLine="397"/>
        <w:jc w:val="both"/>
      </w:pPr>
      <w:r>
        <w:rPr/>
        <w:t>CVI. Por falta de licencia, permiso, o autorización municipal, para la instalación de mallas, cercas, alambrados o canceles, invadiendo la vialidad propiedad municipal, por metro lineal, de:</w:t>
      </w:r>
    </w:p>
    <w:p>
      <w:pPr>
        <w:pStyle w:val="BodyText"/>
        <w:spacing w:before="3"/>
        <w:ind w:left="2382"/>
        <w:jc w:val="both"/>
      </w:pPr>
      <w:r>
        <w:rPr/>
        <w:t>59 a 178 unidades de medida y actualización;</w:t>
      </w:r>
    </w:p>
    <w:p>
      <w:pPr>
        <w:pStyle w:val="BodyText"/>
        <w:spacing w:before="9"/>
      </w:pPr>
    </w:p>
    <w:p>
      <w:pPr>
        <w:pStyle w:val="BodyText"/>
        <w:spacing w:line="247" w:lineRule="auto"/>
        <w:ind w:left="150" w:right="39" w:firstLine="397"/>
        <w:jc w:val="both"/>
      </w:pPr>
      <w:r>
        <w:rPr/>
        <w:t>CVII. Por falta de licencia, permiso, o autorización municipal, para construir pórticos de ingreso, casetas de vigilancia para control de acceso invadiendo la vialidad propiedad municipal o condominal, por metro cuadrado, de:</w:t>
      </w:r>
    </w:p>
    <w:p>
      <w:pPr>
        <w:pStyle w:val="BodyText"/>
        <w:spacing w:line="170" w:lineRule="exact"/>
        <w:ind w:left="2554"/>
        <w:jc w:val="both"/>
      </w:pPr>
      <w:r>
        <w:rPr/>
        <w:t>6 a 12 unidades de medida y actualización;</w:t>
      </w:r>
    </w:p>
    <w:p>
      <w:pPr>
        <w:pStyle w:val="BodyText"/>
        <w:tabs>
          <w:tab w:pos="4054" w:val="left" w:leader="none"/>
        </w:tabs>
        <w:spacing w:before="98"/>
        <w:ind w:left="548"/>
      </w:pPr>
      <w:r>
        <w:rPr/>
        <w:br w:type="column"/>
      </w:r>
      <w:r>
        <w:rPr/>
        <w:t>c) Invernaderos en producción </w:t>
      </w:r>
      <w:r>
        <w:rPr>
          <w:spacing w:val="1"/>
        </w:rPr>
        <w:t> </w:t>
      </w:r>
      <w:r>
        <w:rPr/>
        <w:t>agrícola,</w:t>
      </w:r>
      <w:r>
        <w:rPr>
          <w:spacing w:val="11"/>
        </w:rPr>
        <w:t> </w:t>
      </w:r>
      <w:r>
        <w:rPr/>
        <w:t>paneles</w:t>
        <w:tab/>
        <w:t>solares, etc.,</w:t>
      </w:r>
      <w:r>
        <w:rPr>
          <w:spacing w:val="1"/>
        </w:rPr>
        <w:t> </w:t>
      </w:r>
      <w:r>
        <w:rPr/>
        <w:t>$5.00</w:t>
      </w:r>
    </w:p>
    <w:p>
      <w:pPr>
        <w:pStyle w:val="BodyText"/>
        <w:spacing w:before="10"/>
      </w:pPr>
    </w:p>
    <w:p>
      <w:pPr>
        <w:pStyle w:val="BodyText"/>
        <w:spacing w:line="247" w:lineRule="auto"/>
        <w:ind w:left="150" w:right="510" w:firstLine="397"/>
        <w:jc w:val="both"/>
      </w:pPr>
      <w:r>
        <w:rPr/>
        <w:t>Los valores de las sanciones indicadas en el presente artículo, se aplicarán independientemente de las acciones que se requieran para corregir o restablecer las cosas  a su estado original, además de llevar a cabo   la regularización del predio y del pago de los derechos</w:t>
      </w:r>
      <w:r>
        <w:rPr>
          <w:spacing w:val="25"/>
        </w:rPr>
        <w:t> </w:t>
      </w:r>
      <w:r>
        <w:rPr/>
        <w:t>correspondientes.</w:t>
      </w:r>
    </w:p>
    <w:p>
      <w:pPr>
        <w:pStyle w:val="BodyText"/>
        <w:spacing w:before="2"/>
      </w:pPr>
    </w:p>
    <w:p>
      <w:pPr>
        <w:spacing w:before="1"/>
        <w:ind w:left="548" w:right="0" w:firstLine="0"/>
        <w:jc w:val="left"/>
        <w:rPr>
          <w:sz w:val="15"/>
        </w:rPr>
      </w:pPr>
      <w:r>
        <w:rPr>
          <w:b/>
          <w:sz w:val="15"/>
        </w:rPr>
        <w:t>Artículo 144.- </w:t>
      </w:r>
      <w:r>
        <w:rPr>
          <w:sz w:val="15"/>
        </w:rPr>
        <w:t>Violaciones a las disposiciones en materia de urbanización:</w:t>
      </w:r>
    </w:p>
    <w:p>
      <w:pPr>
        <w:pStyle w:val="BodyText"/>
        <w:spacing w:before="9"/>
      </w:pPr>
    </w:p>
    <w:p>
      <w:pPr>
        <w:pStyle w:val="ListParagraph"/>
        <w:numPr>
          <w:ilvl w:val="0"/>
          <w:numId w:val="209"/>
        </w:numPr>
        <w:tabs>
          <w:tab w:pos="699" w:val="left" w:leader="none"/>
        </w:tabs>
        <w:spacing w:line="244" w:lineRule="auto" w:before="0" w:after="0"/>
        <w:ind w:left="150" w:right="509" w:firstLine="397"/>
        <w:jc w:val="left"/>
        <w:rPr>
          <w:sz w:val="15"/>
        </w:rPr>
      </w:pPr>
      <w:r>
        <w:rPr>
          <w:sz w:val="15"/>
        </w:rPr>
        <w:t>Por realizar una obra de urbanización con licencia vencida, suspendida, revocada o sin contar con licencia</w:t>
      </w:r>
      <w:r>
        <w:rPr>
          <w:spacing w:val="4"/>
          <w:sz w:val="15"/>
        </w:rPr>
        <w:t> </w:t>
      </w:r>
      <w:r>
        <w:rPr>
          <w:sz w:val="15"/>
        </w:rPr>
        <w:t>de</w:t>
      </w:r>
      <w:r>
        <w:rPr>
          <w:spacing w:val="5"/>
          <w:sz w:val="15"/>
        </w:rPr>
        <w:t> </w:t>
      </w:r>
      <w:r>
        <w:rPr>
          <w:sz w:val="15"/>
        </w:rPr>
        <w:t>urbanización</w:t>
      </w:r>
      <w:r>
        <w:rPr>
          <w:spacing w:val="4"/>
          <w:sz w:val="15"/>
        </w:rPr>
        <w:t> </w:t>
      </w:r>
      <w:r>
        <w:rPr>
          <w:sz w:val="15"/>
        </w:rPr>
        <w:t>de</w:t>
      </w:r>
      <w:r>
        <w:rPr>
          <w:spacing w:val="5"/>
          <w:sz w:val="15"/>
        </w:rPr>
        <w:t> </w:t>
      </w:r>
      <w:r>
        <w:rPr>
          <w:sz w:val="15"/>
        </w:rPr>
        <w:t>uno</w:t>
      </w:r>
      <w:r>
        <w:rPr>
          <w:spacing w:val="4"/>
          <w:sz w:val="15"/>
        </w:rPr>
        <w:t> </w:t>
      </w:r>
      <w:r>
        <w:rPr>
          <w:sz w:val="15"/>
        </w:rPr>
        <w:t>a</w:t>
      </w:r>
      <w:r>
        <w:rPr>
          <w:spacing w:val="5"/>
          <w:sz w:val="15"/>
        </w:rPr>
        <w:t> </w:t>
      </w:r>
      <w:r>
        <w:rPr>
          <w:sz w:val="15"/>
        </w:rPr>
        <w:t>tres</w:t>
      </w:r>
      <w:r>
        <w:rPr>
          <w:spacing w:val="5"/>
          <w:sz w:val="15"/>
        </w:rPr>
        <w:t> </w:t>
      </w:r>
      <w:r>
        <w:rPr>
          <w:sz w:val="15"/>
        </w:rPr>
        <w:t>tantos</w:t>
      </w:r>
      <w:r>
        <w:rPr>
          <w:spacing w:val="5"/>
          <w:sz w:val="15"/>
        </w:rPr>
        <w:t> </w:t>
      </w:r>
      <w:r>
        <w:rPr>
          <w:sz w:val="15"/>
        </w:rPr>
        <w:t>de</w:t>
      </w:r>
      <w:r>
        <w:rPr>
          <w:spacing w:val="4"/>
          <w:sz w:val="15"/>
        </w:rPr>
        <w:t> </w:t>
      </w:r>
      <w:r>
        <w:rPr>
          <w:sz w:val="15"/>
        </w:rPr>
        <w:t>las</w:t>
      </w:r>
      <w:r>
        <w:rPr>
          <w:spacing w:val="5"/>
          <w:sz w:val="15"/>
        </w:rPr>
        <w:t> </w:t>
      </w:r>
      <w:r>
        <w:rPr>
          <w:sz w:val="15"/>
        </w:rPr>
        <w:t>obligaciones</w:t>
      </w:r>
      <w:r>
        <w:rPr>
          <w:spacing w:val="5"/>
          <w:sz w:val="15"/>
        </w:rPr>
        <w:t> </w:t>
      </w:r>
      <w:r>
        <w:rPr>
          <w:sz w:val="15"/>
        </w:rPr>
        <w:t>eludidas,</w:t>
      </w:r>
      <w:r>
        <w:rPr>
          <w:spacing w:val="5"/>
          <w:sz w:val="15"/>
        </w:rPr>
        <w:t> </w:t>
      </w:r>
      <w:r>
        <w:rPr>
          <w:sz w:val="15"/>
        </w:rPr>
        <w:t>en</w:t>
      </w:r>
      <w:r>
        <w:rPr>
          <w:spacing w:val="5"/>
          <w:sz w:val="15"/>
        </w:rPr>
        <w:t> </w:t>
      </w:r>
      <w:r>
        <w:rPr>
          <w:sz w:val="15"/>
        </w:rPr>
        <w:t>metros</w:t>
      </w:r>
      <w:r>
        <w:rPr>
          <w:spacing w:val="4"/>
          <w:sz w:val="15"/>
        </w:rPr>
        <w:t> </w:t>
      </w:r>
      <w:r>
        <w:rPr>
          <w:sz w:val="15"/>
        </w:rPr>
        <w:t>cuadrados;</w:t>
      </w:r>
    </w:p>
    <w:p>
      <w:pPr>
        <w:pStyle w:val="BodyText"/>
        <w:spacing w:before="6"/>
      </w:pPr>
    </w:p>
    <w:p>
      <w:pPr>
        <w:pStyle w:val="ListParagraph"/>
        <w:numPr>
          <w:ilvl w:val="0"/>
          <w:numId w:val="209"/>
        </w:numPr>
        <w:tabs>
          <w:tab w:pos="906" w:val="left" w:leader="none"/>
          <w:tab w:pos="907" w:val="left" w:leader="none"/>
        </w:tabs>
        <w:spacing w:line="247" w:lineRule="auto" w:before="0" w:after="0"/>
        <w:ind w:left="226" w:right="2714" w:firstLine="320"/>
        <w:jc w:val="left"/>
        <w:rPr>
          <w:sz w:val="15"/>
        </w:rPr>
      </w:pPr>
      <w:r>
        <w:rPr>
          <w:sz w:val="15"/>
        </w:rPr>
        <w:t>Por llevar a cabo una urbanización sin contar con Director responsable registrado,</w:t>
      </w:r>
      <w:r>
        <w:rPr>
          <w:spacing w:val="1"/>
          <w:sz w:val="15"/>
        </w:rPr>
        <w:t> </w:t>
      </w:r>
      <w:r>
        <w:rPr>
          <w:sz w:val="15"/>
        </w:rPr>
        <w:t>de:</w:t>
      </w:r>
    </w:p>
    <w:p>
      <w:pPr>
        <w:pStyle w:val="BodyText"/>
        <w:spacing w:line="172" w:lineRule="exact"/>
        <w:ind w:left="2382"/>
        <w:jc w:val="both"/>
      </w:pPr>
      <w:r>
        <w:rPr/>
        <w:t>59 a 463 unidades de medida y actualización;</w:t>
      </w:r>
    </w:p>
    <w:p>
      <w:pPr>
        <w:pStyle w:val="BodyText"/>
        <w:spacing w:before="9"/>
      </w:pPr>
    </w:p>
    <w:p>
      <w:pPr>
        <w:pStyle w:val="ListParagraph"/>
        <w:numPr>
          <w:ilvl w:val="0"/>
          <w:numId w:val="209"/>
        </w:numPr>
        <w:tabs>
          <w:tab w:pos="873" w:val="left" w:leader="none"/>
        </w:tabs>
        <w:spacing w:line="247" w:lineRule="auto" w:before="0" w:after="0"/>
        <w:ind w:left="226" w:right="2712" w:firstLine="320"/>
        <w:jc w:val="both"/>
        <w:rPr>
          <w:sz w:val="15"/>
        </w:rPr>
      </w:pPr>
      <w:r>
        <w:rPr>
          <w:sz w:val="15"/>
        </w:rPr>
        <w:t>Por alterar o modificar el proyecto autorizado o realizar construcciones en condiciones diferentes a los planos autorizados en el proyecto de urbanización</w:t>
      </w:r>
      <w:r>
        <w:rPr>
          <w:spacing w:val="4"/>
          <w:sz w:val="15"/>
        </w:rPr>
        <w:t> </w:t>
      </w:r>
      <w:r>
        <w:rPr>
          <w:sz w:val="15"/>
        </w:rPr>
        <w:t>de:</w:t>
      </w:r>
    </w:p>
    <w:p>
      <w:pPr>
        <w:pStyle w:val="BodyText"/>
        <w:spacing w:line="171" w:lineRule="exact"/>
        <w:ind w:left="2382"/>
        <w:jc w:val="both"/>
      </w:pPr>
      <w:r>
        <w:rPr/>
        <w:t>65 a 597 unidades de medida y actualización;</w:t>
      </w:r>
    </w:p>
    <w:p>
      <w:pPr>
        <w:pStyle w:val="BodyText"/>
        <w:spacing w:before="8"/>
      </w:pPr>
    </w:p>
    <w:p>
      <w:pPr>
        <w:pStyle w:val="ListParagraph"/>
        <w:numPr>
          <w:ilvl w:val="0"/>
          <w:numId w:val="209"/>
        </w:numPr>
        <w:tabs>
          <w:tab w:pos="775" w:val="left" w:leader="none"/>
        </w:tabs>
        <w:spacing w:line="247" w:lineRule="auto" w:before="1" w:after="0"/>
        <w:ind w:left="226" w:right="2712" w:firstLine="300"/>
        <w:jc w:val="both"/>
        <w:rPr>
          <w:sz w:val="15"/>
        </w:rPr>
      </w:pPr>
      <w:r>
        <w:rPr>
          <w:sz w:val="15"/>
        </w:rPr>
        <w:t>Por omitir la entrega, total o parcial, de las áreas de cesión para destinos, porciones, porcentajes, aportaciones o equipamientos conforme al Código Urbano para el Estado de Jalisco, los reglamentos, ordenamientos municipales, la normatividad relativa aplicable o el proyecto definitivo de urbanización autorizado, un tanto de las obligaciones eludidas; por metro cuadrado de terreno a valor comercial en la zona de que se</w:t>
      </w:r>
      <w:r>
        <w:rPr>
          <w:spacing w:val="3"/>
          <w:sz w:val="15"/>
        </w:rPr>
        <w:t> </w:t>
      </w:r>
      <w:r>
        <w:rPr>
          <w:sz w:val="15"/>
        </w:rPr>
        <w:t>trate.</w:t>
      </w:r>
    </w:p>
    <w:p>
      <w:pPr>
        <w:pStyle w:val="BodyText"/>
        <w:spacing w:before="1"/>
      </w:pPr>
    </w:p>
    <w:p>
      <w:pPr>
        <w:pStyle w:val="ListParagraph"/>
        <w:numPr>
          <w:ilvl w:val="0"/>
          <w:numId w:val="209"/>
        </w:numPr>
        <w:tabs>
          <w:tab w:pos="736" w:val="left" w:leader="none"/>
        </w:tabs>
        <w:spacing w:line="247" w:lineRule="auto" w:before="0" w:after="0"/>
        <w:ind w:left="226" w:right="2713" w:firstLine="320"/>
        <w:jc w:val="both"/>
        <w:rPr>
          <w:sz w:val="15"/>
        </w:rPr>
      </w:pPr>
      <w:r>
        <w:rPr>
          <w:sz w:val="15"/>
        </w:rPr>
        <w:t>Por no dar aviso de cambio de Director Responsable en el proyecto   de urbanización</w:t>
      </w:r>
      <w:r>
        <w:rPr>
          <w:spacing w:val="2"/>
          <w:sz w:val="15"/>
        </w:rPr>
        <w:t> </w:t>
      </w:r>
      <w:r>
        <w:rPr>
          <w:sz w:val="15"/>
        </w:rPr>
        <w:t>de:</w:t>
      </w:r>
    </w:p>
    <w:p>
      <w:pPr>
        <w:pStyle w:val="BodyText"/>
        <w:spacing w:line="172" w:lineRule="exact"/>
        <w:ind w:left="2383"/>
        <w:jc w:val="both"/>
      </w:pPr>
      <w:r>
        <w:rPr/>
        <w:t>46 a 600 unidades de medida y actualización;</w:t>
      </w:r>
    </w:p>
    <w:p>
      <w:pPr>
        <w:pStyle w:val="BodyText"/>
        <w:spacing w:before="9"/>
      </w:pPr>
    </w:p>
    <w:p>
      <w:pPr>
        <w:pStyle w:val="ListParagraph"/>
        <w:numPr>
          <w:ilvl w:val="0"/>
          <w:numId w:val="209"/>
        </w:numPr>
        <w:tabs>
          <w:tab w:pos="849" w:val="left" w:leader="none"/>
        </w:tabs>
        <w:spacing w:line="247" w:lineRule="auto" w:before="0" w:after="0"/>
        <w:ind w:left="226" w:right="2716" w:firstLine="320"/>
        <w:jc w:val="both"/>
        <w:rPr>
          <w:sz w:val="15"/>
        </w:rPr>
      </w:pPr>
      <w:r>
        <w:rPr>
          <w:sz w:val="15"/>
        </w:rPr>
        <w:t>Por no dar aviso a la suspensión de obra del proyecto de urbanización</w:t>
      </w:r>
      <w:r>
        <w:rPr>
          <w:spacing w:val="1"/>
          <w:sz w:val="15"/>
        </w:rPr>
        <w:t> </w:t>
      </w:r>
      <w:r>
        <w:rPr>
          <w:sz w:val="15"/>
        </w:rPr>
        <w:t>de:</w:t>
      </w:r>
    </w:p>
    <w:p>
      <w:pPr>
        <w:spacing w:after="0" w:line="247" w:lineRule="auto"/>
        <w:jc w:val="both"/>
        <w:rPr>
          <w:sz w:val="15"/>
        </w:rPr>
        <w:sectPr>
          <w:type w:val="continuous"/>
          <w:pgSz w:w="23250" w:h="15310" w:orient="landscape"/>
          <w:pgMar w:top="0" w:bottom="0" w:left="1880" w:right="1520"/>
          <w:cols w:num="2" w:equalWidth="0">
            <w:col w:w="5549" w:space="6073"/>
            <w:col w:w="8228"/>
          </w:cols>
        </w:sectPr>
      </w:pPr>
    </w:p>
    <w:p>
      <w:pPr>
        <w:pStyle w:val="BodyText"/>
        <w:spacing w:before="4"/>
      </w:pPr>
    </w:p>
    <w:p>
      <w:pPr>
        <w:pStyle w:val="BodyText"/>
        <w:spacing w:line="247" w:lineRule="auto"/>
        <w:ind w:left="150" w:right="77" w:firstLine="397"/>
      </w:pPr>
      <w:r>
        <w:rPr/>
        <w:t>CVIII. Por construir en áreas de azotea sin licencia o permiso municipal, por metro cuadrado, de:</w:t>
      </w:r>
    </w:p>
    <w:p>
      <w:pPr>
        <w:pStyle w:val="BodyText"/>
        <w:spacing w:line="171" w:lineRule="exact"/>
        <w:ind w:left="2393"/>
      </w:pPr>
      <w:r>
        <w:rPr/>
        <w:t>59 a 118 unidades de medida y actualización;</w:t>
      </w:r>
    </w:p>
    <w:p>
      <w:pPr>
        <w:pStyle w:val="BodyText"/>
        <w:spacing w:line="172" w:lineRule="exact"/>
        <w:ind w:left="2306"/>
      </w:pPr>
      <w:r>
        <w:rPr/>
        <w:br w:type="column"/>
      </w:r>
      <w:r>
        <w:rPr/>
        <w:t>33 a 506 unidades de medida y actualización;</w:t>
      </w:r>
    </w:p>
    <w:p>
      <w:pPr>
        <w:pStyle w:val="BodyText"/>
        <w:spacing w:before="9"/>
      </w:pPr>
    </w:p>
    <w:p>
      <w:pPr>
        <w:pStyle w:val="ListParagraph"/>
        <w:numPr>
          <w:ilvl w:val="0"/>
          <w:numId w:val="209"/>
        </w:numPr>
        <w:tabs>
          <w:tab w:pos="761" w:val="left" w:leader="none"/>
        </w:tabs>
        <w:spacing w:line="244" w:lineRule="auto" w:before="0" w:after="0"/>
        <w:ind w:left="150" w:right="2713" w:firstLine="320"/>
        <w:jc w:val="left"/>
        <w:rPr>
          <w:sz w:val="15"/>
        </w:rPr>
      </w:pPr>
      <w:r>
        <w:rPr>
          <w:sz w:val="15"/>
        </w:rPr>
        <w:t>Por incurrir en falsedad de datos en las solicitudes de una licencia   de urbanización</w:t>
      </w:r>
      <w:r>
        <w:rPr>
          <w:spacing w:val="2"/>
          <w:sz w:val="15"/>
        </w:rPr>
        <w:t> </w:t>
      </w:r>
      <w:r>
        <w:rPr>
          <w:sz w:val="15"/>
        </w:rPr>
        <w:t>de:</w:t>
      </w:r>
    </w:p>
    <w:p>
      <w:pPr>
        <w:spacing w:after="0" w:line="244" w:lineRule="auto"/>
        <w:jc w:val="left"/>
        <w:rPr>
          <w:sz w:val="15"/>
        </w:rPr>
        <w:sectPr>
          <w:type w:val="continuous"/>
          <w:pgSz w:w="23250" w:h="15310" w:orient="landscape"/>
          <w:pgMar w:top="0" w:bottom="0" w:left="1880" w:right="1520"/>
          <w:cols w:num="2" w:equalWidth="0">
            <w:col w:w="5548" w:space="6150"/>
            <w:col w:w="8152"/>
          </w:cols>
        </w:sectPr>
      </w:pPr>
    </w:p>
    <w:p>
      <w:pPr>
        <w:pStyle w:val="BodyText"/>
        <w:spacing w:before="7"/>
      </w:pPr>
    </w:p>
    <w:p>
      <w:pPr>
        <w:pStyle w:val="BodyText"/>
        <w:spacing w:line="247" w:lineRule="auto"/>
        <w:ind w:left="150" w:right="38" w:firstLine="397"/>
        <w:jc w:val="both"/>
      </w:pPr>
      <w:r>
        <w:rPr/>
        <w:t>CIX. Por falta de licencia, permiso o autorización municipal para el  cambio de imagen en estaciones de servicio o gasolineras,</w:t>
      </w:r>
      <w:r>
        <w:rPr>
          <w:spacing w:val="30"/>
        </w:rPr>
        <w:t> </w:t>
      </w:r>
      <w:r>
        <w:rPr/>
        <w:t>de:</w:t>
      </w:r>
    </w:p>
    <w:p>
      <w:pPr>
        <w:pStyle w:val="BodyText"/>
        <w:spacing w:line="172" w:lineRule="exact"/>
        <w:ind w:left="2308"/>
      </w:pPr>
      <w:r>
        <w:rPr/>
        <w:t>118 a 237 unidades de medida y actualización;</w:t>
      </w:r>
    </w:p>
    <w:p>
      <w:pPr>
        <w:pStyle w:val="BodyText"/>
        <w:spacing w:before="8"/>
      </w:pPr>
    </w:p>
    <w:p>
      <w:pPr>
        <w:pStyle w:val="BodyText"/>
        <w:spacing w:line="247" w:lineRule="auto" w:before="1"/>
        <w:ind w:left="150" w:right="38" w:firstLine="397"/>
        <w:jc w:val="both"/>
      </w:pPr>
      <w:r>
        <w:rPr/>
        <w:t>CX. Por la falta de conservación, malas condiciones de seguridad o limpieza que presenten las áreas y predios sin edificar, los edificios, casas, bardas, cercas y cualquier otra construcción urbana, que  por </w:t>
      </w:r>
      <w:r>
        <w:rPr>
          <w:spacing w:val="26"/>
        </w:rPr>
        <w:t> </w:t>
      </w:r>
      <w:r>
        <w:rPr/>
        <w:t>su incumplimiento requieran la ejecución de medidas de seguridad para la conservación de inmuebles o protección de personas o cosas, la cantidad de:143 a 403 unidades de medida y</w:t>
      </w:r>
      <w:r>
        <w:rPr>
          <w:spacing w:val="15"/>
        </w:rPr>
        <w:t> </w:t>
      </w:r>
      <w:r>
        <w:rPr/>
        <w:t>actualización;</w:t>
      </w:r>
    </w:p>
    <w:p>
      <w:pPr>
        <w:pStyle w:val="BodyText"/>
        <w:spacing w:before="1"/>
      </w:pPr>
    </w:p>
    <w:p>
      <w:pPr>
        <w:pStyle w:val="BodyText"/>
        <w:spacing w:line="247" w:lineRule="auto"/>
        <w:ind w:left="150" w:right="38" w:firstLine="397"/>
        <w:jc w:val="both"/>
      </w:pPr>
      <w:r>
        <w:rPr/>
        <w:t>CXI. Por iniciar una obra sin contar con licencia o permiso municipal    para cubrir áreas dentro de propiedad privada ya sea con lona, cartón fibra de vidrio, domos cristal, lámina, etc, las que a continuación se indican, por metro cuadrado:</w:t>
      </w:r>
    </w:p>
    <w:p>
      <w:pPr>
        <w:pStyle w:val="BodyText"/>
        <w:spacing w:before="2"/>
      </w:pPr>
    </w:p>
    <w:p>
      <w:pPr>
        <w:pStyle w:val="ListParagraph"/>
        <w:numPr>
          <w:ilvl w:val="0"/>
          <w:numId w:val="210"/>
        </w:numPr>
        <w:tabs>
          <w:tab w:pos="728" w:val="left" w:leader="none"/>
        </w:tabs>
        <w:spacing w:line="240" w:lineRule="auto" w:before="0" w:after="0"/>
        <w:ind w:left="727" w:right="0" w:hanging="180"/>
        <w:jc w:val="left"/>
        <w:rPr>
          <w:sz w:val="15"/>
        </w:rPr>
      </w:pPr>
      <w:r>
        <w:rPr>
          <w:sz w:val="15"/>
        </w:rPr>
        <w:t>Para uso no habitacional 1 Unidad de Medida y</w:t>
      </w:r>
      <w:r>
        <w:rPr>
          <w:spacing w:val="31"/>
          <w:sz w:val="15"/>
        </w:rPr>
        <w:t> </w:t>
      </w:r>
      <w:r>
        <w:rPr>
          <w:sz w:val="15"/>
        </w:rPr>
        <w:t>Actualización</w:t>
      </w:r>
    </w:p>
    <w:p>
      <w:pPr>
        <w:pStyle w:val="ListParagraph"/>
        <w:numPr>
          <w:ilvl w:val="0"/>
          <w:numId w:val="210"/>
        </w:numPr>
        <w:tabs>
          <w:tab w:pos="728" w:val="left" w:leader="none"/>
        </w:tabs>
        <w:spacing w:line="240" w:lineRule="auto" w:before="5" w:after="0"/>
        <w:ind w:left="727" w:right="0" w:hanging="180"/>
        <w:jc w:val="left"/>
        <w:rPr>
          <w:sz w:val="15"/>
        </w:rPr>
      </w:pPr>
      <w:r>
        <w:rPr>
          <w:sz w:val="15"/>
        </w:rPr>
        <w:t>Para uso habitacional $</w:t>
      </w:r>
      <w:r>
        <w:rPr>
          <w:spacing w:val="6"/>
          <w:sz w:val="15"/>
        </w:rPr>
        <w:t> </w:t>
      </w:r>
      <w:r>
        <w:rPr>
          <w:sz w:val="15"/>
        </w:rPr>
        <w:t>32.00</w:t>
      </w:r>
    </w:p>
    <w:p>
      <w:pPr>
        <w:pStyle w:val="BodyText"/>
        <w:spacing w:before="2"/>
        <w:ind w:left="2306"/>
        <w:jc w:val="both"/>
      </w:pPr>
      <w:r>
        <w:rPr/>
        <w:br w:type="column"/>
      </w:r>
      <w:r>
        <w:rPr/>
        <w:t>85 a 730 unidades de medida y actualización;</w:t>
      </w:r>
    </w:p>
    <w:p>
      <w:pPr>
        <w:pStyle w:val="BodyText"/>
        <w:spacing w:before="9"/>
      </w:pPr>
    </w:p>
    <w:p>
      <w:pPr>
        <w:pStyle w:val="ListParagraph"/>
        <w:numPr>
          <w:ilvl w:val="0"/>
          <w:numId w:val="209"/>
        </w:numPr>
        <w:tabs>
          <w:tab w:pos="843" w:val="left" w:leader="none"/>
        </w:tabs>
        <w:spacing w:line="244" w:lineRule="auto" w:before="0" w:after="0"/>
        <w:ind w:left="150" w:right="2712" w:firstLine="320"/>
        <w:jc w:val="both"/>
        <w:rPr>
          <w:sz w:val="15"/>
        </w:rPr>
      </w:pPr>
      <w:r>
        <w:rPr>
          <w:sz w:val="15"/>
        </w:rPr>
        <w:t>Por impedir las labores de inspección por parte del personal autorizado para tal efecto en los predios en los que se lleva a cabo una urbanización</w:t>
      </w:r>
      <w:r>
        <w:rPr>
          <w:spacing w:val="1"/>
          <w:sz w:val="15"/>
        </w:rPr>
        <w:t> </w:t>
      </w:r>
      <w:r>
        <w:rPr>
          <w:sz w:val="15"/>
        </w:rPr>
        <w:t>de:</w:t>
      </w:r>
    </w:p>
    <w:p>
      <w:pPr>
        <w:pStyle w:val="BodyText"/>
        <w:spacing w:before="3"/>
        <w:ind w:left="2305"/>
        <w:jc w:val="both"/>
      </w:pPr>
      <w:r>
        <w:rPr/>
        <w:t>46 a 157 unidades de medida y actualización;</w:t>
      </w:r>
    </w:p>
    <w:p>
      <w:pPr>
        <w:pStyle w:val="BodyText"/>
        <w:spacing w:before="10"/>
      </w:pPr>
    </w:p>
    <w:p>
      <w:pPr>
        <w:pStyle w:val="ListParagraph"/>
        <w:numPr>
          <w:ilvl w:val="0"/>
          <w:numId w:val="209"/>
        </w:numPr>
        <w:tabs>
          <w:tab w:pos="711" w:val="left" w:leader="none"/>
        </w:tabs>
        <w:spacing w:line="247" w:lineRule="auto" w:before="0" w:after="0"/>
        <w:ind w:left="150" w:right="2711" w:firstLine="320"/>
        <w:jc w:val="both"/>
        <w:rPr>
          <w:sz w:val="15"/>
        </w:rPr>
      </w:pPr>
      <w:r>
        <w:rPr>
          <w:sz w:val="15"/>
        </w:rPr>
        <w:t>Por no contar con pancarta de obra en la urbanización de 60 por 90 centímetros. con los elementos necesarios para su identificación, número de licencia, perito responsable o Director de Obra, nombre profesión, registro autorizado del mismo, domicilio donde se ejecuta la obra, número  de  viviendas autorizadas,</w:t>
      </w:r>
      <w:r>
        <w:rPr>
          <w:spacing w:val="2"/>
          <w:sz w:val="15"/>
        </w:rPr>
        <w:t> </w:t>
      </w:r>
      <w:r>
        <w:rPr>
          <w:sz w:val="15"/>
        </w:rPr>
        <w:t>de:</w:t>
      </w:r>
    </w:p>
    <w:p>
      <w:pPr>
        <w:pStyle w:val="BodyText"/>
        <w:spacing w:line="169" w:lineRule="exact"/>
        <w:ind w:left="2392"/>
        <w:jc w:val="both"/>
      </w:pPr>
      <w:r>
        <w:rPr/>
        <w:t>33 a 65 unidades de medida y actualización;</w:t>
      </w:r>
    </w:p>
    <w:p>
      <w:pPr>
        <w:pStyle w:val="BodyText"/>
        <w:spacing w:before="9"/>
      </w:pPr>
    </w:p>
    <w:p>
      <w:pPr>
        <w:pStyle w:val="ListParagraph"/>
        <w:numPr>
          <w:ilvl w:val="0"/>
          <w:numId w:val="209"/>
        </w:numPr>
        <w:tabs>
          <w:tab w:pos="662" w:val="left" w:leader="none"/>
        </w:tabs>
        <w:spacing w:line="244" w:lineRule="auto" w:before="0" w:after="0"/>
        <w:ind w:left="150" w:right="2711" w:firstLine="320"/>
        <w:jc w:val="both"/>
        <w:rPr>
          <w:sz w:val="15"/>
        </w:rPr>
      </w:pPr>
      <w:r>
        <w:rPr>
          <w:sz w:val="15"/>
        </w:rPr>
        <w:t>Por ejecutar obras de urbanización que causen daño a terceros o sus bienes y la reparación de la afectación</w:t>
      </w:r>
      <w:r>
        <w:rPr>
          <w:spacing w:val="12"/>
          <w:sz w:val="15"/>
        </w:rPr>
        <w:t> </w:t>
      </w:r>
      <w:r>
        <w:rPr>
          <w:sz w:val="15"/>
        </w:rPr>
        <w:t>de:</w:t>
      </w:r>
    </w:p>
    <w:p>
      <w:pPr>
        <w:pStyle w:val="BodyText"/>
        <w:spacing w:before="2"/>
        <w:ind w:left="2135"/>
      </w:pPr>
      <w:r>
        <w:rPr/>
        <w:t>391 a 1044 unidades de medida y actualización;</w:t>
      </w:r>
    </w:p>
    <w:p>
      <w:pPr>
        <w:pStyle w:val="BodyText"/>
        <w:spacing w:before="5"/>
        <w:rPr>
          <w:sz w:val="21"/>
        </w:rPr>
      </w:pPr>
    </w:p>
    <w:p>
      <w:pPr>
        <w:pStyle w:val="ListParagraph"/>
        <w:numPr>
          <w:ilvl w:val="0"/>
          <w:numId w:val="209"/>
        </w:numPr>
        <w:tabs>
          <w:tab w:pos="755" w:val="left" w:leader="none"/>
        </w:tabs>
        <w:spacing w:line="240" w:lineRule="auto" w:before="0" w:after="0"/>
        <w:ind w:left="754" w:right="0" w:hanging="284"/>
        <w:jc w:val="left"/>
        <w:rPr>
          <w:sz w:val="15"/>
        </w:rPr>
      </w:pPr>
      <w:r>
        <w:rPr>
          <w:sz w:val="15"/>
        </w:rPr>
        <w:t>Por</w:t>
      </w:r>
      <w:r>
        <w:rPr>
          <w:spacing w:val="14"/>
          <w:sz w:val="15"/>
        </w:rPr>
        <w:t> </w:t>
      </w:r>
      <w:r>
        <w:rPr>
          <w:sz w:val="15"/>
        </w:rPr>
        <w:t>no</w:t>
      </w:r>
      <w:r>
        <w:rPr>
          <w:spacing w:val="15"/>
          <w:sz w:val="15"/>
        </w:rPr>
        <w:t> </w:t>
      </w:r>
      <w:r>
        <w:rPr>
          <w:sz w:val="15"/>
        </w:rPr>
        <w:t>contar</w:t>
      </w:r>
      <w:r>
        <w:rPr>
          <w:spacing w:val="14"/>
          <w:sz w:val="15"/>
        </w:rPr>
        <w:t> </w:t>
      </w:r>
      <w:r>
        <w:rPr>
          <w:sz w:val="15"/>
        </w:rPr>
        <w:t>con</w:t>
      </w:r>
      <w:r>
        <w:rPr>
          <w:spacing w:val="14"/>
          <w:sz w:val="15"/>
        </w:rPr>
        <w:t> </w:t>
      </w:r>
      <w:r>
        <w:rPr>
          <w:sz w:val="15"/>
        </w:rPr>
        <w:t>la</w:t>
      </w:r>
      <w:r>
        <w:rPr>
          <w:spacing w:val="15"/>
          <w:sz w:val="15"/>
        </w:rPr>
        <w:t> </w:t>
      </w:r>
      <w:r>
        <w:rPr>
          <w:sz w:val="15"/>
        </w:rPr>
        <w:t>autorización</w:t>
      </w:r>
      <w:r>
        <w:rPr>
          <w:spacing w:val="14"/>
          <w:sz w:val="15"/>
        </w:rPr>
        <w:t> </w:t>
      </w:r>
      <w:r>
        <w:rPr>
          <w:sz w:val="15"/>
        </w:rPr>
        <w:t>de</w:t>
      </w:r>
      <w:r>
        <w:rPr>
          <w:spacing w:val="14"/>
          <w:sz w:val="15"/>
        </w:rPr>
        <w:t> </w:t>
      </w:r>
      <w:r>
        <w:rPr>
          <w:sz w:val="15"/>
        </w:rPr>
        <w:t>preventa</w:t>
      </w:r>
      <w:r>
        <w:rPr>
          <w:spacing w:val="14"/>
          <w:sz w:val="15"/>
        </w:rPr>
        <w:t> </w:t>
      </w:r>
      <w:r>
        <w:rPr>
          <w:sz w:val="15"/>
        </w:rPr>
        <w:t>en</w:t>
      </w:r>
      <w:r>
        <w:rPr>
          <w:spacing w:val="15"/>
          <w:sz w:val="15"/>
        </w:rPr>
        <w:t> </w:t>
      </w:r>
      <w:r>
        <w:rPr>
          <w:sz w:val="15"/>
        </w:rPr>
        <w:t>operaciones</w:t>
      </w:r>
    </w:p>
    <w:p>
      <w:pPr>
        <w:spacing w:after="0" w:line="240" w:lineRule="auto"/>
        <w:jc w:val="left"/>
        <w:rPr>
          <w:sz w:val="15"/>
        </w:rPr>
        <w:sectPr>
          <w:type w:val="continuous"/>
          <w:pgSz w:w="23250" w:h="15310" w:orient="landscape"/>
          <w:pgMar w:top="0" w:bottom="0" w:left="1880" w:right="1520"/>
          <w:cols w:num="2" w:equalWidth="0">
            <w:col w:w="5549" w:space="6150"/>
            <w:col w:w="8151"/>
          </w:cols>
        </w:sectPr>
      </w:pPr>
    </w:p>
    <w:p>
      <w:pPr>
        <w:pStyle w:val="BodyText"/>
        <w:rPr>
          <w:sz w:val="20"/>
        </w:rPr>
      </w:pPr>
    </w:p>
    <w:p>
      <w:pPr>
        <w:pStyle w:val="BodyText"/>
        <w:spacing w:before="7"/>
        <w:rPr>
          <w:sz w:val="29"/>
        </w:rPr>
      </w:pPr>
    </w:p>
    <w:p>
      <w:pPr>
        <w:spacing w:after="0"/>
        <w:rPr>
          <w:sz w:val="29"/>
        </w:rPr>
        <w:sectPr>
          <w:headerReference w:type="default" r:id="rId121"/>
          <w:pgSz w:w="23250" w:h="15310" w:orient="landscape"/>
          <w:pgMar w:header="881" w:footer="499" w:top="1920" w:bottom="680" w:left="1880" w:right="1520"/>
        </w:sectPr>
      </w:pPr>
    </w:p>
    <w:p>
      <w:pPr>
        <w:pStyle w:val="BodyText"/>
        <w:spacing w:line="247" w:lineRule="auto" w:before="99"/>
        <w:ind w:left="226"/>
      </w:pPr>
      <w:r>
        <w:rPr/>
        <w:t>comerciales cuando las obras de urbanización no hayan sido entregadas al municipio de:</w:t>
      </w:r>
    </w:p>
    <w:p>
      <w:pPr>
        <w:pStyle w:val="BodyText"/>
        <w:spacing w:before="98"/>
        <w:ind w:left="226"/>
      </w:pPr>
      <w:r>
        <w:rPr/>
        <w:br w:type="column"/>
      </w:r>
      <w:r>
        <w:rPr/>
        <w:t>592 a 1184 unidades de medida y actualización;</w:t>
      </w:r>
    </w:p>
    <w:p>
      <w:pPr>
        <w:spacing w:after="0"/>
        <w:sectPr>
          <w:type w:val="continuous"/>
          <w:pgSz w:w="23250" w:h="15310" w:orient="landscape"/>
          <w:pgMar w:top="0" w:bottom="0" w:left="1880" w:right="1520"/>
          <w:cols w:num="2" w:equalWidth="0">
            <w:col w:w="5547" w:space="8071"/>
            <w:col w:w="6232"/>
          </w:cols>
        </w:sectPr>
      </w:pPr>
    </w:p>
    <w:p>
      <w:pPr>
        <w:pStyle w:val="BodyText"/>
        <w:spacing w:line="172" w:lineRule="exact"/>
        <w:ind w:left="2297"/>
      </w:pPr>
      <w:r>
        <w:rPr/>
        <w:t>130 a 587 unidades de medida y actualización;</w:t>
      </w:r>
    </w:p>
    <w:p>
      <w:pPr>
        <w:pStyle w:val="BodyText"/>
        <w:spacing w:before="8"/>
      </w:pPr>
    </w:p>
    <w:p>
      <w:pPr>
        <w:pStyle w:val="ListParagraph"/>
        <w:numPr>
          <w:ilvl w:val="0"/>
          <w:numId w:val="209"/>
        </w:numPr>
        <w:tabs>
          <w:tab w:pos="828" w:val="left" w:leader="none"/>
        </w:tabs>
        <w:spacing w:line="247" w:lineRule="auto" w:before="0" w:after="0"/>
        <w:ind w:left="226" w:right="38" w:firstLine="320"/>
        <w:jc w:val="left"/>
        <w:rPr>
          <w:sz w:val="15"/>
        </w:rPr>
      </w:pPr>
      <w:r>
        <w:rPr>
          <w:sz w:val="15"/>
        </w:rPr>
        <w:t>Por no referir la licencia de urbanización la autorización para ofertar  la venta de inmuebles</w:t>
      </w:r>
      <w:r>
        <w:rPr>
          <w:spacing w:val="5"/>
          <w:sz w:val="15"/>
        </w:rPr>
        <w:t> </w:t>
      </w:r>
      <w:r>
        <w:rPr>
          <w:sz w:val="15"/>
        </w:rPr>
        <w:t>de:</w:t>
      </w:r>
    </w:p>
    <w:p>
      <w:pPr>
        <w:pStyle w:val="BodyText"/>
        <w:spacing w:line="244" w:lineRule="auto"/>
        <w:ind w:left="226" w:right="2849" w:firstLine="320"/>
      </w:pPr>
      <w:r>
        <w:rPr/>
        <w:br w:type="column"/>
      </w:r>
      <w:r>
        <w:rPr>
          <w:spacing w:val="-4"/>
        </w:rPr>
        <w:t>XXV. </w:t>
      </w:r>
      <w:r>
        <w:rPr/>
        <w:t>Por no presentar proyecto de aguas pluviales autorizado, para reducir el impacto hidrológico cero,</w:t>
      </w:r>
      <w:r>
        <w:rPr>
          <w:spacing w:val="7"/>
        </w:rPr>
        <w:t> </w:t>
      </w:r>
      <w:r>
        <w:rPr/>
        <w:t>de:</w:t>
      </w:r>
    </w:p>
    <w:p>
      <w:pPr>
        <w:pStyle w:val="BodyText"/>
        <w:ind w:left="2393"/>
      </w:pPr>
      <w:r>
        <w:rPr/>
        <w:t>59 a 118 unidades de medida y actualización;</w:t>
      </w:r>
    </w:p>
    <w:p>
      <w:pPr>
        <w:spacing w:after="0"/>
        <w:sectPr>
          <w:type w:val="continuous"/>
          <w:pgSz w:w="23250" w:h="15310" w:orient="landscape"/>
          <w:pgMar w:top="0" w:bottom="0" w:left="1880" w:right="1520"/>
          <w:cols w:num="2" w:equalWidth="0">
            <w:col w:w="5548" w:space="6074"/>
            <w:col w:w="8228"/>
          </w:cols>
        </w:sectPr>
      </w:pPr>
    </w:p>
    <w:p>
      <w:pPr>
        <w:pStyle w:val="BodyText"/>
        <w:ind w:left="2468"/>
      </w:pPr>
      <w:r>
        <w:rPr/>
        <w:t>18 a 99 unidades de medida y actualización;</w:t>
      </w:r>
    </w:p>
    <w:p>
      <w:pPr>
        <w:pStyle w:val="BodyText"/>
        <w:spacing w:before="9"/>
      </w:pPr>
    </w:p>
    <w:p>
      <w:pPr>
        <w:pStyle w:val="ListParagraph"/>
        <w:numPr>
          <w:ilvl w:val="0"/>
          <w:numId w:val="211"/>
        </w:numPr>
        <w:tabs>
          <w:tab w:pos="891" w:val="left" w:leader="none"/>
        </w:tabs>
        <w:spacing w:line="244" w:lineRule="auto" w:before="0" w:after="0"/>
        <w:ind w:left="226" w:right="38" w:firstLine="257"/>
        <w:jc w:val="both"/>
        <w:rPr>
          <w:sz w:val="15"/>
        </w:rPr>
      </w:pPr>
      <w:r>
        <w:rPr>
          <w:sz w:val="15"/>
        </w:rPr>
        <w:t>Por invadir cualquier área de restricción o sobrepasar los coeficientes de ocupación de utilización de suelos, de uno a tres tantos por metro</w:t>
      </w:r>
      <w:r>
        <w:rPr>
          <w:spacing w:val="4"/>
          <w:sz w:val="15"/>
        </w:rPr>
        <w:t> </w:t>
      </w:r>
      <w:r>
        <w:rPr>
          <w:sz w:val="15"/>
        </w:rPr>
        <w:t>cuadrado</w:t>
      </w:r>
      <w:r>
        <w:rPr>
          <w:spacing w:val="5"/>
          <w:sz w:val="15"/>
        </w:rPr>
        <w:t> </w:t>
      </w:r>
      <w:r>
        <w:rPr>
          <w:sz w:val="15"/>
        </w:rPr>
        <w:t>de</w:t>
      </w:r>
      <w:r>
        <w:rPr>
          <w:spacing w:val="4"/>
          <w:sz w:val="15"/>
        </w:rPr>
        <w:t> </w:t>
      </w:r>
      <w:r>
        <w:rPr>
          <w:sz w:val="15"/>
        </w:rPr>
        <w:t>terreno</w:t>
      </w:r>
      <w:r>
        <w:rPr>
          <w:spacing w:val="5"/>
          <w:sz w:val="15"/>
        </w:rPr>
        <w:t> </w:t>
      </w:r>
      <w:r>
        <w:rPr>
          <w:sz w:val="15"/>
        </w:rPr>
        <w:t>a</w:t>
      </w:r>
      <w:r>
        <w:rPr>
          <w:spacing w:val="5"/>
          <w:sz w:val="15"/>
        </w:rPr>
        <w:t> </w:t>
      </w:r>
      <w:r>
        <w:rPr>
          <w:sz w:val="15"/>
        </w:rPr>
        <w:t>valor</w:t>
      </w:r>
      <w:r>
        <w:rPr>
          <w:spacing w:val="4"/>
          <w:sz w:val="15"/>
        </w:rPr>
        <w:t> </w:t>
      </w:r>
      <w:r>
        <w:rPr>
          <w:sz w:val="15"/>
        </w:rPr>
        <w:t>comercial</w:t>
      </w:r>
      <w:r>
        <w:rPr>
          <w:spacing w:val="5"/>
          <w:sz w:val="15"/>
        </w:rPr>
        <w:t> </w:t>
      </w:r>
      <w:r>
        <w:rPr>
          <w:sz w:val="15"/>
        </w:rPr>
        <w:t>en</w:t>
      </w:r>
      <w:r>
        <w:rPr>
          <w:spacing w:val="4"/>
          <w:sz w:val="15"/>
        </w:rPr>
        <w:t> </w:t>
      </w:r>
      <w:r>
        <w:rPr>
          <w:sz w:val="15"/>
        </w:rPr>
        <w:t>la</w:t>
      </w:r>
      <w:r>
        <w:rPr>
          <w:spacing w:val="5"/>
          <w:sz w:val="15"/>
        </w:rPr>
        <w:t> </w:t>
      </w:r>
      <w:r>
        <w:rPr>
          <w:sz w:val="15"/>
        </w:rPr>
        <w:t>zona</w:t>
      </w:r>
      <w:r>
        <w:rPr>
          <w:spacing w:val="5"/>
          <w:sz w:val="15"/>
        </w:rPr>
        <w:t> </w:t>
      </w:r>
      <w:r>
        <w:rPr>
          <w:sz w:val="15"/>
        </w:rPr>
        <w:t>que</w:t>
      </w:r>
      <w:r>
        <w:rPr>
          <w:spacing w:val="3"/>
          <w:sz w:val="15"/>
        </w:rPr>
        <w:t> </w:t>
      </w:r>
      <w:r>
        <w:rPr>
          <w:sz w:val="15"/>
        </w:rPr>
        <w:t>se</w:t>
      </w:r>
      <w:r>
        <w:rPr>
          <w:spacing w:val="5"/>
          <w:sz w:val="15"/>
        </w:rPr>
        <w:t> </w:t>
      </w:r>
      <w:r>
        <w:rPr>
          <w:sz w:val="15"/>
        </w:rPr>
        <w:t>trate.</w:t>
      </w:r>
    </w:p>
    <w:p>
      <w:pPr>
        <w:pStyle w:val="BodyText"/>
        <w:spacing w:before="8"/>
      </w:pPr>
    </w:p>
    <w:p>
      <w:pPr>
        <w:pStyle w:val="ListParagraph"/>
        <w:numPr>
          <w:ilvl w:val="0"/>
          <w:numId w:val="211"/>
        </w:numPr>
        <w:tabs>
          <w:tab w:pos="867" w:val="left" w:leader="none"/>
        </w:tabs>
        <w:spacing w:line="240" w:lineRule="auto" w:before="0" w:after="0"/>
        <w:ind w:left="866" w:right="0" w:hanging="320"/>
        <w:jc w:val="left"/>
        <w:rPr>
          <w:sz w:val="15"/>
        </w:rPr>
      </w:pPr>
      <w:r>
        <w:rPr>
          <w:sz w:val="15"/>
        </w:rPr>
        <w:t>No dar aviso de suspensión de obras de urbanización</w:t>
      </w:r>
      <w:r>
        <w:rPr>
          <w:spacing w:val="35"/>
          <w:sz w:val="15"/>
        </w:rPr>
        <w:t> </w:t>
      </w:r>
      <w:r>
        <w:rPr>
          <w:sz w:val="15"/>
        </w:rPr>
        <w:t>de:</w:t>
      </w:r>
    </w:p>
    <w:p>
      <w:pPr>
        <w:pStyle w:val="BodyText"/>
        <w:spacing w:before="5"/>
        <w:ind w:left="2382"/>
      </w:pPr>
      <w:r>
        <w:rPr/>
        <w:t>47 a 181 unidades de medida y actualización;</w:t>
      </w:r>
    </w:p>
    <w:p>
      <w:pPr>
        <w:pStyle w:val="BodyText"/>
        <w:spacing w:before="8"/>
      </w:pPr>
    </w:p>
    <w:p>
      <w:pPr>
        <w:pStyle w:val="ListParagraph"/>
        <w:numPr>
          <w:ilvl w:val="0"/>
          <w:numId w:val="211"/>
        </w:numPr>
        <w:tabs>
          <w:tab w:pos="825" w:val="left" w:leader="none"/>
        </w:tabs>
        <w:spacing w:line="240" w:lineRule="auto" w:before="0" w:after="0"/>
        <w:ind w:left="824" w:right="0" w:hanging="278"/>
        <w:jc w:val="left"/>
        <w:rPr>
          <w:sz w:val="15"/>
        </w:rPr>
      </w:pPr>
      <w:r>
        <w:rPr>
          <w:sz w:val="15"/>
        </w:rPr>
        <w:t>No dar aviso de reinicio de obras de urbanización,</w:t>
      </w:r>
      <w:r>
        <w:rPr>
          <w:spacing w:val="31"/>
          <w:sz w:val="15"/>
        </w:rPr>
        <w:t> </w:t>
      </w:r>
      <w:r>
        <w:rPr>
          <w:sz w:val="15"/>
        </w:rPr>
        <w:t>de:</w:t>
      </w:r>
    </w:p>
    <w:p>
      <w:pPr>
        <w:pStyle w:val="BodyText"/>
        <w:spacing w:before="5"/>
        <w:ind w:left="2261"/>
        <w:jc w:val="both"/>
      </w:pPr>
      <w:r>
        <w:rPr/>
        <w:t>38 a 144 unidades de medida y actualización;</w:t>
      </w:r>
    </w:p>
    <w:p>
      <w:pPr>
        <w:pStyle w:val="BodyText"/>
        <w:spacing w:before="9"/>
      </w:pPr>
    </w:p>
    <w:p>
      <w:pPr>
        <w:pStyle w:val="ListParagraph"/>
        <w:numPr>
          <w:ilvl w:val="0"/>
          <w:numId w:val="211"/>
        </w:numPr>
        <w:tabs>
          <w:tab w:pos="929" w:val="left" w:leader="none"/>
        </w:tabs>
        <w:spacing w:line="244" w:lineRule="auto" w:before="0" w:after="0"/>
        <w:ind w:left="226" w:right="38" w:firstLine="320"/>
        <w:jc w:val="both"/>
        <w:rPr>
          <w:sz w:val="15"/>
        </w:rPr>
      </w:pPr>
      <w:r>
        <w:rPr>
          <w:sz w:val="15"/>
        </w:rPr>
        <w:t>Por ocupar e invadir áreas públicas, calles, áreas verdes con vehículos, o maniobras que realicen los vehículos que sean utilizados para llevar a cabo la urbanización</w:t>
      </w:r>
      <w:r>
        <w:rPr>
          <w:spacing w:val="8"/>
          <w:sz w:val="15"/>
        </w:rPr>
        <w:t> </w:t>
      </w:r>
      <w:r>
        <w:rPr>
          <w:sz w:val="15"/>
        </w:rPr>
        <w:t>de:</w:t>
      </w:r>
    </w:p>
    <w:p>
      <w:pPr>
        <w:pStyle w:val="BodyText"/>
        <w:spacing w:before="3"/>
        <w:ind w:left="2176"/>
        <w:jc w:val="both"/>
      </w:pPr>
      <w:r>
        <w:rPr/>
        <w:t>42 a 187 unidades de medida y actualización;</w:t>
      </w:r>
    </w:p>
    <w:p>
      <w:pPr>
        <w:pStyle w:val="BodyText"/>
        <w:spacing w:before="10"/>
      </w:pPr>
    </w:p>
    <w:p>
      <w:pPr>
        <w:pStyle w:val="ListParagraph"/>
        <w:numPr>
          <w:ilvl w:val="0"/>
          <w:numId w:val="211"/>
        </w:numPr>
        <w:tabs>
          <w:tab w:pos="1010" w:val="left" w:leader="none"/>
        </w:tabs>
        <w:spacing w:line="247" w:lineRule="auto" w:before="0" w:after="0"/>
        <w:ind w:left="226" w:right="42" w:firstLine="320"/>
        <w:jc w:val="both"/>
        <w:rPr>
          <w:sz w:val="15"/>
        </w:rPr>
      </w:pPr>
      <w:r>
        <w:rPr>
          <w:sz w:val="15"/>
        </w:rPr>
        <w:t>Por no presentar los planos autorizados del proyecto de urbanización, al momento de la inspección, por cada plano,</w:t>
      </w:r>
      <w:r>
        <w:rPr>
          <w:spacing w:val="33"/>
          <w:sz w:val="15"/>
        </w:rPr>
        <w:t> </w:t>
      </w:r>
      <w:r>
        <w:rPr>
          <w:sz w:val="15"/>
        </w:rPr>
        <w:t>de:</w:t>
      </w:r>
    </w:p>
    <w:p>
      <w:pPr>
        <w:pStyle w:val="BodyText"/>
        <w:spacing w:line="171" w:lineRule="exact"/>
        <w:ind w:left="2393"/>
      </w:pPr>
      <w:r>
        <w:rPr/>
        <w:t>59 a 118 unidades de medida y actualización;</w:t>
      </w:r>
    </w:p>
    <w:p>
      <w:pPr>
        <w:pStyle w:val="BodyText"/>
        <w:spacing w:before="9"/>
      </w:pPr>
    </w:p>
    <w:p>
      <w:pPr>
        <w:pStyle w:val="ListParagraph"/>
        <w:numPr>
          <w:ilvl w:val="0"/>
          <w:numId w:val="211"/>
        </w:numPr>
        <w:tabs>
          <w:tab w:pos="1019" w:val="left" w:leader="none"/>
        </w:tabs>
        <w:spacing w:line="247" w:lineRule="auto" w:before="0" w:after="0"/>
        <w:ind w:left="226" w:right="39" w:firstLine="320"/>
        <w:jc w:val="both"/>
        <w:rPr>
          <w:sz w:val="15"/>
        </w:rPr>
      </w:pPr>
      <w:r>
        <w:rPr>
          <w:sz w:val="15"/>
        </w:rPr>
        <w:t>Por no presentar bitácora oficial de obra de urbanización al momento de la inspección,</w:t>
      </w:r>
      <w:r>
        <w:rPr>
          <w:spacing w:val="7"/>
          <w:sz w:val="15"/>
        </w:rPr>
        <w:t> </w:t>
      </w:r>
      <w:r>
        <w:rPr>
          <w:sz w:val="15"/>
        </w:rPr>
        <w:t>de:</w:t>
      </w:r>
    </w:p>
    <w:p>
      <w:pPr>
        <w:pStyle w:val="BodyText"/>
        <w:spacing w:line="172" w:lineRule="exact"/>
        <w:ind w:left="2468"/>
      </w:pPr>
      <w:r>
        <w:rPr/>
        <w:t>24 a 47 unidades de medida y actualización;</w:t>
      </w:r>
    </w:p>
    <w:p>
      <w:pPr>
        <w:pStyle w:val="BodyText"/>
        <w:spacing w:before="9"/>
      </w:pPr>
    </w:p>
    <w:p>
      <w:pPr>
        <w:pStyle w:val="ListParagraph"/>
        <w:numPr>
          <w:ilvl w:val="0"/>
          <w:numId w:val="211"/>
        </w:numPr>
        <w:tabs>
          <w:tab w:pos="893" w:val="left" w:leader="none"/>
        </w:tabs>
        <w:spacing w:line="247" w:lineRule="auto" w:before="0" w:after="0"/>
        <w:ind w:left="226" w:right="38" w:firstLine="320"/>
        <w:jc w:val="both"/>
        <w:rPr>
          <w:sz w:val="15"/>
        </w:rPr>
      </w:pPr>
      <w:r>
        <w:rPr>
          <w:sz w:val="15"/>
        </w:rPr>
        <w:t>Por falta de firmas en bitácora oficial de obra de urbanización, por cada irregularidad,</w:t>
      </w:r>
      <w:r>
        <w:rPr>
          <w:spacing w:val="2"/>
          <w:sz w:val="15"/>
        </w:rPr>
        <w:t> </w:t>
      </w:r>
      <w:r>
        <w:rPr>
          <w:sz w:val="15"/>
        </w:rPr>
        <w:t>de:</w:t>
      </w:r>
    </w:p>
    <w:p>
      <w:pPr>
        <w:pStyle w:val="ListParagraph"/>
        <w:numPr>
          <w:ilvl w:val="0"/>
          <w:numId w:val="212"/>
        </w:numPr>
        <w:tabs>
          <w:tab w:pos="1089" w:val="left" w:leader="none"/>
        </w:tabs>
        <w:spacing w:line="247" w:lineRule="auto" w:before="0" w:after="0"/>
        <w:ind w:left="302" w:right="2713" w:firstLine="320"/>
        <w:jc w:val="both"/>
        <w:rPr>
          <w:sz w:val="15"/>
        </w:rPr>
      </w:pPr>
      <w:r>
        <w:rPr>
          <w:w w:val="102"/>
          <w:sz w:val="15"/>
        </w:rPr>
        <w:br w:type="column"/>
      </w:r>
      <w:r>
        <w:rPr>
          <w:sz w:val="15"/>
        </w:rPr>
        <w:t>Por construir diferente o no respetar el proyecto autorizado</w:t>
      </w:r>
      <w:r>
        <w:rPr>
          <w:spacing w:val="21"/>
          <w:sz w:val="15"/>
        </w:rPr>
        <w:t> </w:t>
      </w:r>
      <w:r>
        <w:rPr>
          <w:sz w:val="15"/>
        </w:rPr>
        <w:t>de obras pluviales, para reducir el impacto hidrológico cero,</w:t>
      </w:r>
      <w:r>
        <w:rPr>
          <w:spacing w:val="26"/>
          <w:sz w:val="15"/>
        </w:rPr>
        <w:t> </w:t>
      </w:r>
      <w:r>
        <w:rPr>
          <w:sz w:val="15"/>
        </w:rPr>
        <w:t>de:</w:t>
      </w:r>
    </w:p>
    <w:p>
      <w:pPr>
        <w:pStyle w:val="BodyText"/>
        <w:spacing w:line="172" w:lineRule="exact"/>
        <w:ind w:left="2373"/>
      </w:pPr>
      <w:r>
        <w:rPr/>
        <w:t>592 a 947 unidades de medida y actualización;</w:t>
      </w:r>
    </w:p>
    <w:p>
      <w:pPr>
        <w:pStyle w:val="BodyText"/>
        <w:spacing w:before="8"/>
      </w:pPr>
    </w:p>
    <w:p>
      <w:pPr>
        <w:pStyle w:val="ListParagraph"/>
        <w:numPr>
          <w:ilvl w:val="0"/>
          <w:numId w:val="212"/>
        </w:numPr>
        <w:tabs>
          <w:tab w:pos="1115" w:val="left" w:leader="none"/>
        </w:tabs>
        <w:spacing w:line="247" w:lineRule="auto" w:before="0" w:after="0"/>
        <w:ind w:left="302" w:right="2713" w:firstLine="320"/>
        <w:jc w:val="both"/>
        <w:rPr>
          <w:sz w:val="15"/>
        </w:rPr>
      </w:pPr>
      <w:r>
        <w:rPr>
          <w:sz w:val="15"/>
        </w:rPr>
        <w:t>Por usar explosivos en obras de urbanización sin contar con los permisos correspondientes de la Secretaría de la Defensa Nacional, de: 592    a 2367 unidades de medida y</w:t>
      </w:r>
      <w:r>
        <w:rPr>
          <w:spacing w:val="12"/>
          <w:sz w:val="15"/>
        </w:rPr>
        <w:t> </w:t>
      </w:r>
      <w:r>
        <w:rPr>
          <w:sz w:val="15"/>
        </w:rPr>
        <w:t>actualización;</w:t>
      </w:r>
    </w:p>
    <w:p>
      <w:pPr>
        <w:pStyle w:val="BodyText"/>
        <w:spacing w:before="2"/>
      </w:pPr>
    </w:p>
    <w:p>
      <w:pPr>
        <w:pStyle w:val="ListParagraph"/>
        <w:numPr>
          <w:ilvl w:val="0"/>
          <w:numId w:val="212"/>
        </w:numPr>
        <w:tabs>
          <w:tab w:pos="1160" w:val="left" w:leader="none"/>
        </w:tabs>
        <w:spacing w:line="247" w:lineRule="auto" w:before="0" w:after="0"/>
        <w:ind w:left="302" w:right="2712" w:firstLine="320"/>
        <w:jc w:val="both"/>
        <w:rPr>
          <w:sz w:val="15"/>
        </w:rPr>
      </w:pPr>
      <w:r>
        <w:rPr>
          <w:sz w:val="15"/>
        </w:rPr>
        <w:t>Por carecer de fianza vigente que garantice la ejecución de las obras de urbanización,</w:t>
      </w:r>
      <w:r>
        <w:rPr>
          <w:spacing w:val="3"/>
          <w:sz w:val="15"/>
        </w:rPr>
        <w:t> </w:t>
      </w:r>
      <w:r>
        <w:rPr>
          <w:sz w:val="15"/>
        </w:rPr>
        <w:t>de:</w:t>
      </w:r>
    </w:p>
    <w:p>
      <w:pPr>
        <w:pStyle w:val="BodyText"/>
        <w:spacing w:line="172" w:lineRule="exact"/>
        <w:ind w:left="2373"/>
      </w:pPr>
      <w:r>
        <w:rPr/>
        <w:t>237 a 592 unidades de medida y actualización;</w:t>
      </w:r>
    </w:p>
    <w:p>
      <w:pPr>
        <w:pStyle w:val="BodyText"/>
        <w:spacing w:before="10"/>
      </w:pPr>
    </w:p>
    <w:p>
      <w:pPr>
        <w:pStyle w:val="BodyText"/>
        <w:spacing w:line="244" w:lineRule="auto"/>
        <w:ind w:left="302" w:right="2712" w:firstLine="320"/>
        <w:jc w:val="both"/>
      </w:pPr>
      <w:r>
        <w:rPr/>
        <w:t>XIX. Por violar la clausura impuesta, continuando los trabajos de urbanización, de: 296 a 592 unidades de medida y actualización;</w:t>
      </w:r>
    </w:p>
    <w:p>
      <w:pPr>
        <w:pStyle w:val="BodyText"/>
        <w:spacing w:before="6"/>
      </w:pPr>
    </w:p>
    <w:p>
      <w:pPr>
        <w:pStyle w:val="BodyText"/>
        <w:spacing w:line="247" w:lineRule="auto"/>
        <w:ind w:left="302" w:right="2713" w:firstLine="320"/>
        <w:jc w:val="both"/>
      </w:pPr>
      <w:r>
        <w:rPr/>
        <w:t>XXX. Por reincidencia en la violación de la  clausura  impuesta  a  una obra de urbanización, continuado los trabajos de obra,</w:t>
      </w:r>
      <w:r>
        <w:rPr>
          <w:spacing w:val="24"/>
        </w:rPr>
        <w:t> </w:t>
      </w:r>
      <w:r>
        <w:rPr/>
        <w:t>de:</w:t>
      </w:r>
    </w:p>
    <w:p>
      <w:pPr>
        <w:pStyle w:val="BodyText"/>
        <w:spacing w:line="172" w:lineRule="exact"/>
        <w:ind w:left="2298"/>
      </w:pPr>
      <w:r>
        <w:rPr/>
        <w:t>592 a 1184 unidades de medida y actualización;</w:t>
      </w:r>
    </w:p>
    <w:p>
      <w:pPr>
        <w:pStyle w:val="BodyText"/>
        <w:spacing w:before="5"/>
        <w:rPr>
          <w:sz w:val="21"/>
        </w:rPr>
      </w:pPr>
    </w:p>
    <w:p>
      <w:pPr>
        <w:pStyle w:val="BodyText"/>
        <w:spacing w:line="247" w:lineRule="auto"/>
        <w:ind w:left="226" w:right="509" w:firstLine="397"/>
        <w:jc w:val="both"/>
      </w:pPr>
      <w:r>
        <w:rPr/>
        <w:t>Los valores de las sanciones indicadas en el presente artículo, se aplicarán independientemente de las acciones que se requieran para corregir o restablecer las cosas  a su estado original, además de llevar a cabo   la regularización del predio y del pago de los derechos</w:t>
      </w:r>
      <w:r>
        <w:rPr>
          <w:spacing w:val="25"/>
        </w:rPr>
        <w:t> </w:t>
      </w:r>
      <w:r>
        <w:rPr/>
        <w:t>correspondientes.</w:t>
      </w:r>
    </w:p>
    <w:p>
      <w:pPr>
        <w:pStyle w:val="BodyText"/>
        <w:spacing w:before="2"/>
      </w:pPr>
    </w:p>
    <w:p>
      <w:pPr>
        <w:pStyle w:val="BodyText"/>
        <w:ind w:left="623"/>
      </w:pPr>
      <w:r>
        <w:rPr>
          <w:b/>
        </w:rPr>
        <w:t>Artículo 145.- </w:t>
      </w:r>
      <w:r>
        <w:rPr/>
        <w:t>Sanciones por violaciones en materia de uso y aprovechamiento del agua:</w:t>
      </w:r>
    </w:p>
    <w:p>
      <w:pPr>
        <w:pStyle w:val="BodyText"/>
        <w:spacing w:before="10"/>
      </w:pPr>
    </w:p>
    <w:p>
      <w:pPr>
        <w:pStyle w:val="BodyText"/>
        <w:ind w:left="623"/>
      </w:pPr>
      <w:r>
        <w:rPr/>
        <w:t>I. Por desperdicio o uso indebido del agua, de:</w:t>
      </w:r>
    </w:p>
    <w:p>
      <w:pPr>
        <w:spacing w:after="0"/>
        <w:sectPr>
          <w:type w:val="continuous"/>
          <w:pgSz w:w="23250" w:h="15310" w:orient="landscape"/>
          <w:pgMar w:top="0" w:bottom="0" w:left="1880" w:right="1520"/>
          <w:cols w:num="2" w:equalWidth="0">
            <w:col w:w="5549" w:space="5998"/>
            <w:col w:w="8303"/>
          </w:cols>
        </w:sectPr>
      </w:pPr>
    </w:p>
    <w:p>
      <w:pPr>
        <w:pStyle w:val="BodyText"/>
        <w:spacing w:line="172" w:lineRule="exact"/>
        <w:ind w:left="2468"/>
      </w:pPr>
      <w:r>
        <w:rPr/>
        <w:t>59 a 95 unidades de medida y actualización;</w:t>
      </w:r>
    </w:p>
    <w:p>
      <w:pPr>
        <w:pStyle w:val="BodyText"/>
        <w:spacing w:before="9"/>
      </w:pPr>
    </w:p>
    <w:p>
      <w:pPr>
        <w:pStyle w:val="ListParagraph"/>
        <w:numPr>
          <w:ilvl w:val="0"/>
          <w:numId w:val="213"/>
        </w:numPr>
        <w:tabs>
          <w:tab w:pos="843" w:val="left" w:leader="none"/>
        </w:tabs>
        <w:spacing w:line="244" w:lineRule="auto" w:before="0" w:after="0"/>
        <w:ind w:left="226" w:right="39" w:firstLine="320"/>
        <w:jc w:val="both"/>
        <w:rPr>
          <w:sz w:val="15"/>
        </w:rPr>
      </w:pPr>
      <w:r>
        <w:rPr>
          <w:sz w:val="15"/>
        </w:rPr>
        <w:t>Por adelantar firmas en bitácora oficial de obra de urbanización, por cada irregularidad,</w:t>
      </w:r>
      <w:r>
        <w:rPr>
          <w:spacing w:val="2"/>
          <w:sz w:val="15"/>
        </w:rPr>
        <w:t> </w:t>
      </w:r>
      <w:r>
        <w:rPr>
          <w:sz w:val="15"/>
        </w:rPr>
        <w:t>de:</w:t>
      </w:r>
    </w:p>
    <w:p>
      <w:pPr>
        <w:pStyle w:val="BodyText"/>
        <w:spacing w:before="2"/>
        <w:ind w:left="2468"/>
        <w:jc w:val="both"/>
      </w:pPr>
      <w:r>
        <w:rPr/>
        <w:t>59 a 95 unidades de medida y actualización;</w:t>
      </w:r>
    </w:p>
    <w:p>
      <w:pPr>
        <w:pStyle w:val="BodyText"/>
        <w:spacing w:before="9"/>
      </w:pPr>
    </w:p>
    <w:p>
      <w:pPr>
        <w:pStyle w:val="ListParagraph"/>
        <w:numPr>
          <w:ilvl w:val="0"/>
          <w:numId w:val="213"/>
        </w:numPr>
        <w:tabs>
          <w:tab w:pos="890" w:val="left" w:leader="none"/>
        </w:tabs>
        <w:spacing w:line="244" w:lineRule="auto" w:before="0" w:after="0"/>
        <w:ind w:left="226" w:right="38" w:firstLine="320"/>
        <w:jc w:val="both"/>
        <w:rPr>
          <w:sz w:val="15"/>
        </w:rPr>
      </w:pPr>
      <w:r>
        <w:rPr>
          <w:sz w:val="15"/>
        </w:rPr>
        <w:t>Por no señalar el avance de la obra de urbanización en la bitácora oficial de la obra o no llenar de forma completa la hoja de bitácora en el periodo de firma correspondiente,</w:t>
      </w:r>
      <w:r>
        <w:rPr>
          <w:spacing w:val="7"/>
          <w:sz w:val="15"/>
        </w:rPr>
        <w:t> </w:t>
      </w:r>
      <w:r>
        <w:rPr>
          <w:sz w:val="15"/>
        </w:rPr>
        <w:t>de:</w:t>
      </w:r>
    </w:p>
    <w:p>
      <w:pPr>
        <w:pStyle w:val="BodyText"/>
        <w:spacing w:before="3"/>
        <w:ind w:left="2468"/>
        <w:jc w:val="both"/>
      </w:pPr>
      <w:r>
        <w:rPr/>
        <w:t>59 a 95 unidades de medida y actualización;</w:t>
      </w:r>
    </w:p>
    <w:p>
      <w:pPr>
        <w:pStyle w:val="BodyText"/>
        <w:spacing w:before="10"/>
      </w:pPr>
    </w:p>
    <w:p>
      <w:pPr>
        <w:pStyle w:val="ListParagraph"/>
        <w:numPr>
          <w:ilvl w:val="0"/>
          <w:numId w:val="213"/>
        </w:numPr>
        <w:tabs>
          <w:tab w:pos="935" w:val="left" w:leader="none"/>
        </w:tabs>
        <w:spacing w:line="247" w:lineRule="auto" w:before="0" w:after="0"/>
        <w:ind w:left="226" w:right="38" w:firstLine="320"/>
        <w:jc w:val="both"/>
        <w:rPr>
          <w:sz w:val="15"/>
        </w:rPr>
      </w:pPr>
      <w:r>
        <w:rPr>
          <w:sz w:val="15"/>
        </w:rPr>
        <w:t>Por no señalar en la bitácora de obra de urbanización el escrito y folio de la suspensión o reinicio de obra,</w:t>
      </w:r>
      <w:r>
        <w:rPr>
          <w:spacing w:val="12"/>
          <w:sz w:val="15"/>
        </w:rPr>
        <w:t> </w:t>
      </w:r>
      <w:r>
        <w:rPr>
          <w:sz w:val="15"/>
        </w:rPr>
        <w:t>de:</w:t>
      </w:r>
    </w:p>
    <w:p>
      <w:pPr>
        <w:pStyle w:val="BodyText"/>
        <w:spacing w:line="172" w:lineRule="exact"/>
        <w:ind w:left="2468"/>
      </w:pPr>
      <w:r>
        <w:rPr/>
        <w:t>12 a 36 unidades de medida y actualización;</w:t>
      </w:r>
    </w:p>
    <w:p>
      <w:pPr>
        <w:pStyle w:val="BodyText"/>
        <w:spacing w:before="4"/>
        <w:rPr>
          <w:sz w:val="21"/>
        </w:rPr>
      </w:pPr>
    </w:p>
    <w:p>
      <w:pPr>
        <w:pStyle w:val="ListParagraph"/>
        <w:numPr>
          <w:ilvl w:val="0"/>
          <w:numId w:val="213"/>
        </w:numPr>
        <w:tabs>
          <w:tab w:pos="977" w:val="left" w:leader="none"/>
        </w:tabs>
        <w:spacing w:line="247" w:lineRule="auto" w:before="0" w:after="0"/>
        <w:ind w:left="226" w:right="39" w:firstLine="320"/>
        <w:jc w:val="both"/>
        <w:rPr>
          <w:sz w:val="15"/>
        </w:rPr>
      </w:pPr>
      <w:r>
        <w:rPr>
          <w:sz w:val="15"/>
        </w:rPr>
        <w:t>Falta de servicios sanitarios adecuados para el personal de obra, en el predio donde se lleve a cabo una obra de urbanización,</w:t>
      </w:r>
      <w:r>
        <w:rPr>
          <w:spacing w:val="4"/>
          <w:sz w:val="15"/>
        </w:rPr>
        <w:t> </w:t>
      </w:r>
      <w:r>
        <w:rPr>
          <w:sz w:val="15"/>
        </w:rPr>
        <w:t>de:</w:t>
      </w:r>
    </w:p>
    <w:p>
      <w:pPr>
        <w:pStyle w:val="BodyText"/>
        <w:spacing w:line="172" w:lineRule="exact"/>
        <w:ind w:left="2468"/>
      </w:pPr>
      <w:r>
        <w:rPr/>
        <w:t>36 a 59 unidades de medida y actualización;</w:t>
      </w:r>
    </w:p>
    <w:p>
      <w:pPr>
        <w:pStyle w:val="BodyText"/>
        <w:spacing w:before="9"/>
      </w:pPr>
    </w:p>
    <w:p>
      <w:pPr>
        <w:pStyle w:val="ListParagraph"/>
        <w:numPr>
          <w:ilvl w:val="0"/>
          <w:numId w:val="213"/>
        </w:numPr>
        <w:tabs>
          <w:tab w:pos="1054" w:val="left" w:leader="none"/>
        </w:tabs>
        <w:spacing w:line="247" w:lineRule="auto" w:before="0" w:after="0"/>
        <w:ind w:left="227" w:right="38" w:firstLine="320"/>
        <w:jc w:val="both"/>
        <w:rPr>
          <w:sz w:val="15"/>
        </w:rPr>
      </w:pPr>
      <w:r>
        <w:rPr>
          <w:sz w:val="15"/>
        </w:rPr>
        <w:t>Por omisión de obras de captación pluvial en obras de urbanización para reducir el impacto hidrológico cero y causa de ello se provoquen inundaciones a los predios vecinos, además de la reparación de  los daños,</w:t>
      </w:r>
      <w:r>
        <w:rPr>
          <w:spacing w:val="2"/>
          <w:sz w:val="15"/>
        </w:rPr>
        <w:t> </w:t>
      </w:r>
      <w:r>
        <w:rPr>
          <w:sz w:val="15"/>
        </w:rPr>
        <w:t>de:</w:t>
      </w:r>
    </w:p>
    <w:p>
      <w:pPr>
        <w:pStyle w:val="BodyText"/>
        <w:spacing w:before="64"/>
        <w:ind w:left="2382"/>
      </w:pPr>
      <w:r>
        <w:rPr/>
        <w:br w:type="column"/>
      </w:r>
      <w:r>
        <w:rPr/>
        <w:t>50 a 600 unidades de medida y actualización;</w:t>
      </w:r>
    </w:p>
    <w:p>
      <w:pPr>
        <w:pStyle w:val="BodyText"/>
        <w:spacing w:before="8"/>
      </w:pPr>
    </w:p>
    <w:p>
      <w:pPr>
        <w:pStyle w:val="ListParagraph"/>
        <w:numPr>
          <w:ilvl w:val="0"/>
          <w:numId w:val="214"/>
        </w:numPr>
        <w:tabs>
          <w:tab w:pos="796" w:val="left" w:leader="none"/>
        </w:tabs>
        <w:spacing w:line="247" w:lineRule="auto" w:before="0" w:after="0"/>
        <w:ind w:left="226" w:right="3991" w:firstLine="397"/>
        <w:jc w:val="left"/>
        <w:rPr>
          <w:sz w:val="15"/>
        </w:rPr>
      </w:pPr>
      <w:r>
        <w:rPr>
          <w:sz w:val="15"/>
        </w:rPr>
        <w:t>Por arrojar a la vía pública aguas de uso doméstico o aguas jabonosas,</w:t>
      </w:r>
      <w:r>
        <w:rPr>
          <w:spacing w:val="4"/>
          <w:sz w:val="15"/>
        </w:rPr>
        <w:t> </w:t>
      </w:r>
      <w:r>
        <w:rPr>
          <w:sz w:val="15"/>
        </w:rPr>
        <w:t>de:</w:t>
      </w:r>
    </w:p>
    <w:p>
      <w:pPr>
        <w:pStyle w:val="BodyText"/>
        <w:spacing w:before="4"/>
      </w:pPr>
    </w:p>
    <w:p>
      <w:pPr>
        <w:pStyle w:val="ListParagraph"/>
        <w:numPr>
          <w:ilvl w:val="0"/>
          <w:numId w:val="215"/>
        </w:numPr>
        <w:tabs>
          <w:tab w:pos="877" w:val="left" w:leader="none"/>
        </w:tabs>
        <w:spacing w:line="240" w:lineRule="auto" w:before="0" w:after="0"/>
        <w:ind w:left="876" w:right="0" w:hanging="253"/>
        <w:jc w:val="left"/>
        <w:rPr>
          <w:sz w:val="15"/>
        </w:rPr>
      </w:pPr>
      <w:r>
        <w:rPr>
          <w:sz w:val="15"/>
        </w:rPr>
        <w:t>En vía pública:2 a 4 unidades de medida y</w:t>
      </w:r>
      <w:r>
        <w:rPr>
          <w:spacing w:val="17"/>
          <w:sz w:val="15"/>
        </w:rPr>
        <w:t> </w:t>
      </w:r>
      <w:r>
        <w:rPr>
          <w:sz w:val="15"/>
        </w:rPr>
        <w:t>actualización;</w:t>
      </w:r>
    </w:p>
    <w:p>
      <w:pPr>
        <w:pStyle w:val="BodyText"/>
        <w:rPr>
          <w:sz w:val="16"/>
        </w:rPr>
      </w:pPr>
    </w:p>
    <w:p>
      <w:pPr>
        <w:pStyle w:val="ListParagraph"/>
        <w:numPr>
          <w:ilvl w:val="0"/>
          <w:numId w:val="215"/>
        </w:numPr>
        <w:tabs>
          <w:tab w:pos="877" w:val="left" w:leader="none"/>
        </w:tabs>
        <w:spacing w:line="240" w:lineRule="auto" w:before="122" w:after="0"/>
        <w:ind w:left="876" w:right="0" w:hanging="253"/>
        <w:jc w:val="left"/>
        <w:rPr>
          <w:sz w:val="15"/>
        </w:rPr>
      </w:pPr>
      <w:r>
        <w:rPr>
          <w:sz w:val="15"/>
        </w:rPr>
        <w:t>En plantas y árboles</w:t>
      </w:r>
      <w:r>
        <w:rPr>
          <w:spacing w:val="6"/>
          <w:sz w:val="15"/>
        </w:rPr>
        <w:t> </w:t>
      </w:r>
      <w:r>
        <w:rPr>
          <w:sz w:val="15"/>
        </w:rPr>
        <w:t>de:</w:t>
      </w:r>
    </w:p>
    <w:p>
      <w:pPr>
        <w:pStyle w:val="BodyText"/>
        <w:spacing w:before="6"/>
        <w:ind w:left="2543"/>
      </w:pPr>
      <w:r>
        <w:rPr/>
        <w:t>21 a 46 unidades de medida y actualización;</w:t>
      </w:r>
    </w:p>
    <w:p>
      <w:pPr>
        <w:pStyle w:val="BodyText"/>
        <w:rPr>
          <w:sz w:val="16"/>
        </w:rPr>
      </w:pPr>
    </w:p>
    <w:p>
      <w:pPr>
        <w:pStyle w:val="ListParagraph"/>
        <w:numPr>
          <w:ilvl w:val="0"/>
          <w:numId w:val="214"/>
        </w:numPr>
        <w:tabs>
          <w:tab w:pos="865" w:val="left" w:leader="none"/>
        </w:tabs>
        <w:spacing w:line="244" w:lineRule="auto" w:before="120" w:after="0"/>
        <w:ind w:left="226" w:right="2787" w:firstLine="397"/>
        <w:jc w:val="both"/>
        <w:rPr>
          <w:sz w:val="15"/>
        </w:rPr>
      </w:pPr>
      <w:r>
        <w:rPr>
          <w:sz w:val="15"/>
        </w:rPr>
        <w:t>Por extraer agua de las redes de distribución, sin la autorización correspondiente además de la multa se obligará a reparar  el  daño  ocasionado a la red hidráulica según la gravedad del</w:t>
      </w:r>
      <w:r>
        <w:rPr>
          <w:spacing w:val="27"/>
          <w:sz w:val="15"/>
        </w:rPr>
        <w:t> </w:t>
      </w:r>
      <w:r>
        <w:rPr>
          <w:sz w:val="15"/>
        </w:rPr>
        <w:t>caso:</w:t>
      </w:r>
    </w:p>
    <w:p>
      <w:pPr>
        <w:pStyle w:val="BodyText"/>
        <w:spacing w:before="8"/>
      </w:pPr>
    </w:p>
    <w:p>
      <w:pPr>
        <w:pStyle w:val="ListParagraph"/>
        <w:numPr>
          <w:ilvl w:val="0"/>
          <w:numId w:val="216"/>
        </w:numPr>
        <w:tabs>
          <w:tab w:pos="796" w:val="left" w:leader="none"/>
        </w:tabs>
        <w:spacing w:line="240" w:lineRule="auto" w:before="0" w:after="0"/>
        <w:ind w:left="795" w:right="0" w:hanging="172"/>
        <w:jc w:val="left"/>
        <w:rPr>
          <w:sz w:val="15"/>
        </w:rPr>
      </w:pPr>
      <w:r>
        <w:rPr>
          <w:sz w:val="15"/>
        </w:rPr>
        <w:t>Al ser detectados:11 a 48 unidades de medida y</w:t>
      </w:r>
      <w:r>
        <w:rPr>
          <w:spacing w:val="17"/>
          <w:sz w:val="15"/>
        </w:rPr>
        <w:t> </w:t>
      </w:r>
      <w:r>
        <w:rPr>
          <w:sz w:val="15"/>
        </w:rPr>
        <w:t>actualización;</w:t>
      </w:r>
    </w:p>
    <w:p>
      <w:pPr>
        <w:pStyle w:val="BodyText"/>
        <w:spacing w:before="9"/>
      </w:pPr>
    </w:p>
    <w:p>
      <w:pPr>
        <w:pStyle w:val="ListParagraph"/>
        <w:numPr>
          <w:ilvl w:val="0"/>
          <w:numId w:val="216"/>
        </w:numPr>
        <w:tabs>
          <w:tab w:pos="836" w:val="left" w:leader="none"/>
        </w:tabs>
        <w:spacing w:line="240" w:lineRule="auto" w:before="0" w:after="0"/>
        <w:ind w:left="835" w:right="0" w:hanging="181"/>
        <w:jc w:val="left"/>
        <w:rPr>
          <w:sz w:val="15"/>
        </w:rPr>
      </w:pPr>
      <w:r>
        <w:rPr>
          <w:sz w:val="15"/>
        </w:rPr>
        <w:t>Por reincidencia</w:t>
      </w:r>
      <w:r>
        <w:rPr>
          <w:spacing w:val="2"/>
          <w:sz w:val="15"/>
        </w:rPr>
        <w:t> </w:t>
      </w:r>
      <w:r>
        <w:rPr>
          <w:sz w:val="15"/>
        </w:rPr>
        <w:t>de:</w:t>
      </w:r>
    </w:p>
    <w:p>
      <w:pPr>
        <w:pStyle w:val="BodyText"/>
        <w:spacing w:before="5"/>
        <w:ind w:left="2425"/>
      </w:pPr>
      <w:r>
        <w:rPr/>
        <w:t>49 a 110 unidades de medida y actualización</w:t>
      </w:r>
    </w:p>
    <w:p>
      <w:pPr>
        <w:pStyle w:val="BodyText"/>
        <w:rPr>
          <w:sz w:val="16"/>
        </w:rPr>
      </w:pPr>
    </w:p>
    <w:p>
      <w:pPr>
        <w:pStyle w:val="BodyText"/>
        <w:rPr>
          <w:sz w:val="16"/>
        </w:rPr>
      </w:pPr>
    </w:p>
    <w:p>
      <w:pPr>
        <w:pStyle w:val="ListParagraph"/>
        <w:numPr>
          <w:ilvl w:val="0"/>
          <w:numId w:val="214"/>
        </w:numPr>
        <w:tabs>
          <w:tab w:pos="901" w:val="left" w:leader="none"/>
        </w:tabs>
        <w:spacing w:line="240" w:lineRule="auto" w:before="114" w:after="0"/>
        <w:ind w:left="900" w:right="0" w:hanging="277"/>
        <w:jc w:val="left"/>
        <w:rPr>
          <w:sz w:val="15"/>
        </w:rPr>
      </w:pPr>
      <w:r>
        <w:rPr>
          <w:sz w:val="15"/>
        </w:rPr>
        <w:t>Por</w:t>
      </w:r>
      <w:r>
        <w:rPr>
          <w:spacing w:val="21"/>
          <w:sz w:val="15"/>
        </w:rPr>
        <w:t> </w:t>
      </w:r>
      <w:r>
        <w:rPr>
          <w:sz w:val="15"/>
        </w:rPr>
        <w:t>utilizar</w:t>
      </w:r>
      <w:r>
        <w:rPr>
          <w:spacing w:val="21"/>
          <w:sz w:val="15"/>
        </w:rPr>
        <w:t> </w:t>
      </w:r>
      <w:r>
        <w:rPr>
          <w:sz w:val="15"/>
        </w:rPr>
        <w:t>el</w:t>
      </w:r>
      <w:r>
        <w:rPr>
          <w:spacing w:val="21"/>
          <w:sz w:val="15"/>
        </w:rPr>
        <w:t> </w:t>
      </w:r>
      <w:r>
        <w:rPr>
          <w:sz w:val="15"/>
        </w:rPr>
        <w:t>agua</w:t>
      </w:r>
      <w:r>
        <w:rPr>
          <w:spacing w:val="21"/>
          <w:sz w:val="15"/>
        </w:rPr>
        <w:t> </w:t>
      </w:r>
      <w:r>
        <w:rPr>
          <w:sz w:val="15"/>
        </w:rPr>
        <w:t>potable</w:t>
      </w:r>
      <w:r>
        <w:rPr>
          <w:spacing w:val="21"/>
          <w:sz w:val="15"/>
        </w:rPr>
        <w:t> </w:t>
      </w:r>
      <w:r>
        <w:rPr>
          <w:sz w:val="15"/>
        </w:rPr>
        <w:t>para</w:t>
      </w:r>
      <w:r>
        <w:rPr>
          <w:spacing w:val="21"/>
          <w:sz w:val="15"/>
        </w:rPr>
        <w:t> </w:t>
      </w:r>
      <w:r>
        <w:rPr>
          <w:sz w:val="15"/>
        </w:rPr>
        <w:t>riego</w:t>
      </w:r>
      <w:r>
        <w:rPr>
          <w:spacing w:val="22"/>
          <w:sz w:val="15"/>
        </w:rPr>
        <w:t> </w:t>
      </w:r>
      <w:r>
        <w:rPr>
          <w:sz w:val="15"/>
        </w:rPr>
        <w:t>en</w:t>
      </w:r>
      <w:r>
        <w:rPr>
          <w:spacing w:val="21"/>
          <w:sz w:val="15"/>
        </w:rPr>
        <w:t> </w:t>
      </w:r>
      <w:r>
        <w:rPr>
          <w:sz w:val="15"/>
        </w:rPr>
        <w:t>terrenos</w:t>
      </w:r>
      <w:r>
        <w:rPr>
          <w:spacing w:val="21"/>
          <w:sz w:val="15"/>
        </w:rPr>
        <w:t> </w:t>
      </w:r>
      <w:r>
        <w:rPr>
          <w:sz w:val="15"/>
        </w:rPr>
        <w:t>de</w:t>
      </w:r>
      <w:r>
        <w:rPr>
          <w:spacing w:val="21"/>
          <w:sz w:val="15"/>
        </w:rPr>
        <w:t> </w:t>
      </w:r>
      <w:r>
        <w:rPr>
          <w:spacing w:val="-3"/>
          <w:sz w:val="15"/>
        </w:rPr>
        <w:t>labor,</w:t>
      </w:r>
    </w:p>
    <w:p>
      <w:pPr>
        <w:spacing w:after="0" w:line="240" w:lineRule="auto"/>
        <w:jc w:val="left"/>
        <w:rPr>
          <w:sz w:val="15"/>
        </w:rPr>
        <w:sectPr>
          <w:type w:val="continuous"/>
          <w:pgSz w:w="23250" w:h="15310" w:orient="landscape"/>
          <w:pgMar w:top="0" w:bottom="0" w:left="1880" w:right="1520"/>
          <w:cols w:num="2" w:equalWidth="0">
            <w:col w:w="5549" w:space="5998"/>
            <w:col w:w="8303"/>
          </w:cols>
        </w:sectPr>
      </w:pPr>
    </w:p>
    <w:p>
      <w:pPr>
        <w:pStyle w:val="BodyText"/>
        <w:rPr>
          <w:sz w:val="20"/>
        </w:rPr>
      </w:pPr>
    </w:p>
    <w:p>
      <w:pPr>
        <w:pStyle w:val="BodyText"/>
        <w:spacing w:before="7"/>
        <w:rPr>
          <w:sz w:val="29"/>
        </w:rPr>
      </w:pPr>
    </w:p>
    <w:p>
      <w:pPr>
        <w:spacing w:after="0"/>
        <w:rPr>
          <w:sz w:val="29"/>
        </w:rPr>
        <w:sectPr>
          <w:headerReference w:type="default" r:id="rId122"/>
          <w:pgSz w:w="23250" w:h="15310" w:orient="landscape"/>
          <w:pgMar w:header="881" w:footer="499" w:top="1920" w:bottom="680" w:left="1880" w:right="1520"/>
        </w:sectPr>
      </w:pPr>
    </w:p>
    <w:p>
      <w:pPr>
        <w:pStyle w:val="BodyText"/>
        <w:spacing w:before="99"/>
        <w:ind w:left="151"/>
      </w:pPr>
      <w:r>
        <w:rPr/>
        <w:t>hortalizas o en albercas sin autorización, de:</w:t>
      </w:r>
    </w:p>
    <w:p>
      <w:pPr>
        <w:pStyle w:val="BodyText"/>
        <w:spacing w:before="4"/>
        <w:ind w:left="2393"/>
        <w:jc w:val="both"/>
      </w:pPr>
      <w:r>
        <w:rPr/>
        <w:t>19 a 49 unidades de medida y actualización;</w:t>
      </w:r>
    </w:p>
    <w:p>
      <w:pPr>
        <w:pStyle w:val="BodyText"/>
        <w:spacing w:before="9"/>
      </w:pPr>
    </w:p>
    <w:p>
      <w:pPr>
        <w:pStyle w:val="ListParagraph"/>
        <w:numPr>
          <w:ilvl w:val="0"/>
          <w:numId w:val="214"/>
        </w:numPr>
        <w:tabs>
          <w:tab w:pos="752" w:val="left" w:leader="none"/>
        </w:tabs>
        <w:spacing w:line="247" w:lineRule="auto" w:before="0" w:after="0"/>
        <w:ind w:left="151" w:right="39" w:firstLine="397"/>
        <w:jc w:val="both"/>
        <w:rPr>
          <w:sz w:val="15"/>
        </w:rPr>
      </w:pPr>
      <w:r>
        <w:rPr>
          <w:sz w:val="15"/>
        </w:rPr>
        <w:t>Por arrojar, almacenar o depositar en la vía pública,</w:t>
      </w:r>
      <w:r>
        <w:rPr>
          <w:spacing w:val="20"/>
          <w:sz w:val="15"/>
        </w:rPr>
        <w:t> </w:t>
      </w:r>
      <w:r>
        <w:rPr>
          <w:sz w:val="15"/>
        </w:rPr>
        <w:t>propiedades privadas, drenajes o sistemas de desagüe además se exigirá la reparación y restauración total del área</w:t>
      </w:r>
      <w:r>
        <w:rPr>
          <w:spacing w:val="5"/>
          <w:sz w:val="15"/>
        </w:rPr>
        <w:t> </w:t>
      </w:r>
      <w:r>
        <w:rPr>
          <w:sz w:val="15"/>
        </w:rPr>
        <w:t>afectada:</w:t>
      </w:r>
    </w:p>
    <w:p>
      <w:pPr>
        <w:pStyle w:val="BodyText"/>
        <w:spacing w:before="3"/>
      </w:pPr>
    </w:p>
    <w:p>
      <w:pPr>
        <w:pStyle w:val="ListParagraph"/>
        <w:numPr>
          <w:ilvl w:val="0"/>
          <w:numId w:val="217"/>
        </w:numPr>
        <w:tabs>
          <w:tab w:pos="800" w:val="left" w:leader="none"/>
        </w:tabs>
        <w:spacing w:line="247" w:lineRule="auto" w:before="1" w:after="0"/>
        <w:ind w:left="151" w:right="39" w:firstLine="397"/>
        <w:jc w:val="both"/>
        <w:rPr>
          <w:sz w:val="15"/>
        </w:rPr>
      </w:pPr>
      <w:r>
        <w:rPr>
          <w:sz w:val="15"/>
        </w:rPr>
        <w:t>Basura, escombros, desechos orgánicos, animales muertos y follajes, grasas, aceites y desechos peligrosos, que sean arrojados a la vía pública, terrenos particulares, baldíos, drenajes, cauces de arroyos, ríos, u otros,</w:t>
      </w:r>
      <w:r>
        <w:rPr>
          <w:spacing w:val="1"/>
          <w:sz w:val="15"/>
        </w:rPr>
        <w:t> </w:t>
      </w:r>
      <w:r>
        <w:rPr>
          <w:sz w:val="15"/>
        </w:rPr>
        <w:t>de:</w:t>
      </w:r>
    </w:p>
    <w:p>
      <w:pPr>
        <w:pStyle w:val="BodyText"/>
        <w:spacing w:line="170" w:lineRule="exact"/>
        <w:ind w:left="2307"/>
        <w:jc w:val="both"/>
      </w:pPr>
      <w:r>
        <w:rPr/>
        <w:t>14 a 234 unidades de medida y actualización;</w:t>
      </w:r>
    </w:p>
    <w:p>
      <w:pPr>
        <w:pStyle w:val="BodyText"/>
        <w:spacing w:before="9"/>
      </w:pPr>
    </w:p>
    <w:p>
      <w:pPr>
        <w:pStyle w:val="ListParagraph"/>
        <w:numPr>
          <w:ilvl w:val="0"/>
          <w:numId w:val="217"/>
        </w:numPr>
        <w:tabs>
          <w:tab w:pos="731" w:val="left" w:leader="none"/>
        </w:tabs>
        <w:spacing w:line="247" w:lineRule="auto" w:before="0" w:after="0"/>
        <w:ind w:left="151" w:right="38" w:firstLine="397"/>
        <w:jc w:val="both"/>
        <w:rPr>
          <w:sz w:val="15"/>
        </w:rPr>
      </w:pPr>
      <w:r>
        <w:rPr>
          <w:sz w:val="15"/>
        </w:rPr>
        <w:t>Líquidos, productos o sustancias fétidas que causen molestia o  peligro para la salud, que sean arrojados a la vía pública,  terrenos particulares,   baldíos,    drenajes,  cauces  de    arroyos,  ríos,  u   otros,  de: 31 a 207 unidades de medida y</w:t>
      </w:r>
      <w:r>
        <w:rPr>
          <w:spacing w:val="15"/>
          <w:sz w:val="15"/>
        </w:rPr>
        <w:t> </w:t>
      </w:r>
      <w:r>
        <w:rPr>
          <w:sz w:val="15"/>
        </w:rPr>
        <w:t>actualización;</w:t>
      </w:r>
    </w:p>
    <w:p>
      <w:pPr>
        <w:pStyle w:val="BodyText"/>
        <w:spacing w:before="2"/>
      </w:pPr>
    </w:p>
    <w:p>
      <w:pPr>
        <w:pStyle w:val="ListParagraph"/>
        <w:numPr>
          <w:ilvl w:val="0"/>
          <w:numId w:val="217"/>
        </w:numPr>
        <w:tabs>
          <w:tab w:pos="735" w:val="left" w:leader="none"/>
        </w:tabs>
        <w:spacing w:line="247" w:lineRule="auto" w:before="0" w:after="0"/>
        <w:ind w:left="151" w:right="38" w:firstLine="397"/>
        <w:jc w:val="both"/>
        <w:rPr>
          <w:sz w:val="15"/>
        </w:rPr>
      </w:pPr>
      <w:r>
        <w:rPr>
          <w:sz w:val="15"/>
        </w:rPr>
        <w:t>Productos químicos, sustancias inflamables, explosivas, corrosivas, contaminantes, que entrañen peligro por sí mismas, en conjunto mezcladas     o que tengan reacción al contacto con líquidos o cambios de temperatura,    de:</w:t>
      </w:r>
    </w:p>
    <w:p>
      <w:pPr>
        <w:pStyle w:val="BodyText"/>
        <w:spacing w:line="170" w:lineRule="exact"/>
        <w:ind w:left="2233"/>
        <w:jc w:val="both"/>
      </w:pPr>
      <w:r>
        <w:rPr/>
        <w:t>311 a 737 unidades de medida y actualización;</w:t>
      </w:r>
    </w:p>
    <w:p>
      <w:pPr>
        <w:pStyle w:val="BodyText"/>
        <w:spacing w:before="10"/>
      </w:pPr>
    </w:p>
    <w:p>
      <w:pPr>
        <w:pStyle w:val="ListParagraph"/>
        <w:numPr>
          <w:ilvl w:val="0"/>
          <w:numId w:val="214"/>
        </w:numPr>
        <w:tabs>
          <w:tab w:pos="810" w:val="left" w:leader="none"/>
        </w:tabs>
        <w:spacing w:line="247" w:lineRule="auto" w:before="0" w:after="0"/>
        <w:ind w:left="151" w:right="38" w:firstLine="397"/>
        <w:jc w:val="both"/>
        <w:rPr>
          <w:sz w:val="15"/>
        </w:rPr>
      </w:pPr>
      <w:r>
        <w:rPr>
          <w:sz w:val="15"/>
        </w:rPr>
        <w:t>Por no cubrir los derechos del servicio del agua por más de un bimestre en el uso doméstico, se procederá a reducir el flujo del agua al mínimo permitido por la Legislación Sanitaria, para el caso de los usuarios    del servicio no doméstico con adeudos de dos meses o más, se  podrá  realizar la suspensión total del servicio o la cancelación de las descargas, debiendo cubrir el usuario los derechos (gastos) que  originen  las  reducciones, cancelaciones o suspensiones y posterior regularización en  forma anticipada de acuerdo a los siguientes valores y en proporción  al  trabajo</w:t>
      </w:r>
      <w:r>
        <w:rPr>
          <w:spacing w:val="1"/>
          <w:sz w:val="15"/>
        </w:rPr>
        <w:t> </w:t>
      </w:r>
      <w:r>
        <w:rPr>
          <w:sz w:val="15"/>
        </w:rPr>
        <w:t>efectuado:</w:t>
      </w:r>
    </w:p>
    <w:p>
      <w:pPr>
        <w:pStyle w:val="BodyText"/>
        <w:spacing w:before="10"/>
        <w:rPr>
          <w:sz w:val="14"/>
        </w:rPr>
      </w:pPr>
    </w:p>
    <w:p>
      <w:pPr>
        <w:pStyle w:val="ListParagraph"/>
        <w:numPr>
          <w:ilvl w:val="0"/>
          <w:numId w:val="218"/>
        </w:numPr>
        <w:tabs>
          <w:tab w:pos="729" w:val="left" w:leader="none"/>
          <w:tab w:pos="2406" w:val="left" w:leader="none"/>
        </w:tabs>
        <w:spacing w:line="240" w:lineRule="auto" w:before="0" w:after="0"/>
        <w:ind w:left="728" w:right="0" w:hanging="181"/>
        <w:jc w:val="left"/>
        <w:rPr>
          <w:sz w:val="15"/>
        </w:rPr>
      </w:pPr>
      <w:r>
        <w:rPr>
          <w:sz w:val="15"/>
        </w:rPr>
        <w:t>Por</w:t>
      </w:r>
      <w:r>
        <w:rPr>
          <w:spacing w:val="23"/>
          <w:sz w:val="15"/>
        </w:rPr>
        <w:t> </w:t>
      </w:r>
      <w:r>
        <w:rPr>
          <w:sz w:val="15"/>
        </w:rPr>
        <w:t>reducción:</w:t>
        <w:tab/>
        <w:t>8 unidades de medida y </w:t>
      </w:r>
      <w:r>
        <w:rPr>
          <w:spacing w:val="21"/>
          <w:sz w:val="15"/>
        </w:rPr>
        <w:t> </w:t>
      </w:r>
      <w:r>
        <w:rPr>
          <w:sz w:val="15"/>
        </w:rPr>
        <w:t>actualización;</w:t>
      </w:r>
    </w:p>
    <w:p>
      <w:pPr>
        <w:pStyle w:val="ListParagraph"/>
        <w:numPr>
          <w:ilvl w:val="0"/>
          <w:numId w:val="218"/>
        </w:numPr>
        <w:tabs>
          <w:tab w:pos="729" w:val="left" w:leader="none"/>
          <w:tab w:pos="2397" w:val="left" w:leader="none"/>
        </w:tabs>
        <w:spacing w:line="240" w:lineRule="auto" w:before="5" w:after="0"/>
        <w:ind w:left="728" w:right="0" w:hanging="181"/>
        <w:jc w:val="left"/>
        <w:rPr>
          <w:sz w:val="15"/>
        </w:rPr>
      </w:pPr>
      <w:r>
        <w:rPr>
          <w:sz w:val="15"/>
        </w:rPr>
        <w:t>Por</w:t>
      </w:r>
      <w:r>
        <w:rPr>
          <w:spacing w:val="30"/>
          <w:sz w:val="15"/>
        </w:rPr>
        <w:t> </w:t>
      </w:r>
      <w:r>
        <w:rPr>
          <w:sz w:val="15"/>
        </w:rPr>
        <w:t>regularización:</w:t>
        <w:tab/>
        <w:t>5 unidades de medida y </w:t>
      </w:r>
      <w:r>
        <w:rPr>
          <w:spacing w:val="21"/>
          <w:sz w:val="15"/>
        </w:rPr>
        <w:t> </w:t>
      </w:r>
      <w:r>
        <w:rPr>
          <w:sz w:val="15"/>
        </w:rPr>
        <w:t>actualización;</w:t>
      </w:r>
    </w:p>
    <w:p>
      <w:pPr>
        <w:pStyle w:val="BodyText"/>
        <w:spacing w:before="7"/>
        <w:rPr>
          <w:sz w:val="18"/>
        </w:rPr>
      </w:pPr>
    </w:p>
    <w:p>
      <w:pPr>
        <w:pStyle w:val="BodyText"/>
        <w:spacing w:line="247" w:lineRule="auto"/>
        <w:ind w:left="151" w:right="38" w:firstLine="397"/>
        <w:jc w:val="both"/>
      </w:pPr>
      <w:r>
        <w:rPr/>
        <w:t>En caso de violaciones a las reducciones al servicio por parte del usuario, la autoridad competente volverá a efectuar las reducciones o regularizaciones correspondientes. En cada ocasión deberá cubrir el importe de reducción o regularización, además de una sanción de cinco a sesenta unidades de medida y actualización, según la gravedad del  daño  o  el  número de</w:t>
      </w:r>
      <w:r>
        <w:rPr>
          <w:spacing w:val="2"/>
        </w:rPr>
        <w:t> </w:t>
      </w:r>
      <w:r>
        <w:rPr/>
        <w:t>reincidencias.</w:t>
      </w:r>
    </w:p>
    <w:p>
      <w:pPr>
        <w:pStyle w:val="BodyText"/>
      </w:pPr>
    </w:p>
    <w:p>
      <w:pPr>
        <w:pStyle w:val="ListParagraph"/>
        <w:numPr>
          <w:ilvl w:val="0"/>
          <w:numId w:val="214"/>
        </w:numPr>
        <w:tabs>
          <w:tab w:pos="876" w:val="left" w:leader="none"/>
        </w:tabs>
        <w:spacing w:line="247" w:lineRule="auto" w:before="1" w:after="0"/>
        <w:ind w:left="151" w:right="39" w:firstLine="397"/>
        <w:jc w:val="both"/>
        <w:rPr>
          <w:sz w:val="15"/>
        </w:rPr>
      </w:pPr>
      <w:r>
        <w:rPr>
          <w:sz w:val="15"/>
        </w:rPr>
        <w:t>Por acciones u omisiones de los usuarios que disminuyan o  pongan en peligro la disponibilidad del agua potable, para su abastecimiento, de10 a 600 unidades de medida y actualización,</w:t>
      </w:r>
      <w:r>
        <w:rPr>
          <w:spacing w:val="17"/>
          <w:sz w:val="15"/>
        </w:rPr>
        <w:t> </w:t>
      </w:r>
      <w:r>
        <w:rPr>
          <w:sz w:val="15"/>
        </w:rPr>
        <w:t>por:</w:t>
      </w:r>
    </w:p>
    <w:p>
      <w:pPr>
        <w:pStyle w:val="BodyText"/>
        <w:spacing w:before="3"/>
      </w:pPr>
    </w:p>
    <w:p>
      <w:pPr>
        <w:pStyle w:val="ListParagraph"/>
        <w:numPr>
          <w:ilvl w:val="0"/>
          <w:numId w:val="219"/>
        </w:numPr>
        <w:tabs>
          <w:tab w:pos="729" w:val="left" w:leader="none"/>
        </w:tabs>
        <w:spacing w:line="240" w:lineRule="auto" w:before="0" w:after="0"/>
        <w:ind w:left="728" w:right="0" w:hanging="181"/>
        <w:jc w:val="left"/>
        <w:rPr>
          <w:sz w:val="15"/>
        </w:rPr>
      </w:pPr>
      <w:r>
        <w:rPr>
          <w:sz w:val="15"/>
        </w:rPr>
        <w:t>Dañar el agua del subsuelo con sus</w:t>
      </w:r>
      <w:r>
        <w:rPr>
          <w:spacing w:val="16"/>
          <w:sz w:val="15"/>
        </w:rPr>
        <w:t> </w:t>
      </w:r>
      <w:r>
        <w:rPr>
          <w:sz w:val="15"/>
        </w:rPr>
        <w:t>desechos.</w:t>
      </w:r>
    </w:p>
    <w:p>
      <w:pPr>
        <w:pStyle w:val="BodyText"/>
        <w:spacing w:before="9"/>
      </w:pPr>
    </w:p>
    <w:p>
      <w:pPr>
        <w:pStyle w:val="ListParagraph"/>
        <w:numPr>
          <w:ilvl w:val="0"/>
          <w:numId w:val="219"/>
        </w:numPr>
        <w:tabs>
          <w:tab w:pos="737" w:val="left" w:leader="none"/>
        </w:tabs>
        <w:spacing w:line="247" w:lineRule="auto" w:before="0" w:after="0"/>
        <w:ind w:left="151" w:right="38" w:firstLine="397"/>
        <w:jc w:val="both"/>
        <w:rPr>
          <w:sz w:val="15"/>
        </w:rPr>
      </w:pPr>
      <w:r>
        <w:rPr>
          <w:sz w:val="15"/>
        </w:rPr>
        <w:t>Dañar el alcantarillado al conectarse sin autorización a las redes de los</w:t>
      </w:r>
      <w:r>
        <w:rPr>
          <w:spacing w:val="1"/>
          <w:sz w:val="15"/>
        </w:rPr>
        <w:t> </w:t>
      </w:r>
      <w:r>
        <w:rPr>
          <w:sz w:val="15"/>
        </w:rPr>
        <w:t>servicios.</w:t>
      </w:r>
    </w:p>
    <w:p>
      <w:pPr>
        <w:pStyle w:val="BodyText"/>
        <w:spacing w:before="3"/>
      </w:pPr>
    </w:p>
    <w:p>
      <w:pPr>
        <w:pStyle w:val="ListParagraph"/>
        <w:numPr>
          <w:ilvl w:val="0"/>
          <w:numId w:val="219"/>
        </w:numPr>
        <w:tabs>
          <w:tab w:pos="744" w:val="left" w:leader="none"/>
        </w:tabs>
        <w:spacing w:line="244" w:lineRule="auto" w:before="1" w:after="0"/>
        <w:ind w:left="151" w:right="38" w:firstLine="397"/>
        <w:jc w:val="both"/>
        <w:rPr>
          <w:sz w:val="15"/>
        </w:rPr>
      </w:pPr>
      <w:r>
        <w:rPr>
          <w:sz w:val="15"/>
        </w:rPr>
        <w:t>Manipular, alterar o retirar el aparato de medición de consumo de agua potable sin previa autorización de la autoridad</w:t>
      </w:r>
      <w:r>
        <w:rPr>
          <w:spacing w:val="33"/>
          <w:sz w:val="15"/>
        </w:rPr>
        <w:t> </w:t>
      </w:r>
      <w:r>
        <w:rPr>
          <w:sz w:val="15"/>
        </w:rPr>
        <w:t>competente.</w:t>
      </w:r>
    </w:p>
    <w:p>
      <w:pPr>
        <w:pStyle w:val="ListParagraph"/>
        <w:numPr>
          <w:ilvl w:val="0"/>
          <w:numId w:val="219"/>
        </w:numPr>
        <w:tabs>
          <w:tab w:pos="762" w:val="left" w:leader="none"/>
        </w:tabs>
        <w:spacing w:line="247" w:lineRule="auto" w:before="99" w:after="0"/>
        <w:ind w:left="151" w:right="2789" w:firstLine="397"/>
        <w:jc w:val="both"/>
        <w:rPr>
          <w:sz w:val="15"/>
        </w:rPr>
      </w:pPr>
      <w:r>
        <w:rPr>
          <w:spacing w:val="-1"/>
          <w:w w:val="102"/>
          <w:sz w:val="15"/>
        </w:rPr>
        <w:br w:type="column"/>
      </w:r>
      <w:r>
        <w:rPr>
          <w:sz w:val="15"/>
        </w:rPr>
        <w:t>Disponer del servicio de agua potable para uso comercial o uso diferente, sin previa</w:t>
      </w:r>
      <w:r>
        <w:rPr>
          <w:spacing w:val="5"/>
          <w:sz w:val="15"/>
        </w:rPr>
        <w:t> </w:t>
      </w:r>
      <w:r>
        <w:rPr>
          <w:sz w:val="15"/>
        </w:rPr>
        <w:t>autorización.</w:t>
      </w:r>
    </w:p>
    <w:p>
      <w:pPr>
        <w:pStyle w:val="BodyText"/>
        <w:spacing w:before="3"/>
      </w:pPr>
    </w:p>
    <w:p>
      <w:pPr>
        <w:pStyle w:val="ListParagraph"/>
        <w:numPr>
          <w:ilvl w:val="0"/>
          <w:numId w:val="219"/>
        </w:numPr>
        <w:tabs>
          <w:tab w:pos="761" w:val="left" w:leader="none"/>
        </w:tabs>
        <w:spacing w:line="247" w:lineRule="auto" w:before="0" w:after="0"/>
        <w:ind w:left="151" w:right="2788" w:firstLine="397"/>
        <w:jc w:val="both"/>
        <w:rPr>
          <w:sz w:val="15"/>
        </w:rPr>
      </w:pPr>
      <w:r>
        <w:rPr>
          <w:sz w:val="15"/>
        </w:rPr>
        <w:t>No contar con dictamen de Factibilidad de los servicios de agua potable.</w:t>
      </w:r>
    </w:p>
    <w:p>
      <w:pPr>
        <w:pStyle w:val="BodyText"/>
        <w:spacing w:before="3"/>
      </w:pPr>
    </w:p>
    <w:p>
      <w:pPr>
        <w:pStyle w:val="ListParagraph"/>
        <w:numPr>
          <w:ilvl w:val="0"/>
          <w:numId w:val="219"/>
        </w:numPr>
        <w:tabs>
          <w:tab w:pos="693" w:val="left" w:leader="none"/>
        </w:tabs>
        <w:spacing w:line="247" w:lineRule="auto" w:before="1" w:after="0"/>
        <w:ind w:left="151" w:right="2788" w:firstLine="397"/>
        <w:jc w:val="both"/>
        <w:rPr>
          <w:sz w:val="15"/>
        </w:rPr>
      </w:pPr>
      <w:r>
        <w:rPr>
          <w:sz w:val="15"/>
        </w:rPr>
        <w:t>No acreditar mediante pago, recibo u otro, los derechos de conexión del servicio de agua</w:t>
      </w:r>
      <w:r>
        <w:rPr>
          <w:spacing w:val="4"/>
          <w:sz w:val="15"/>
        </w:rPr>
        <w:t> </w:t>
      </w:r>
      <w:r>
        <w:rPr>
          <w:sz w:val="15"/>
        </w:rPr>
        <w:t>potable.</w:t>
      </w:r>
    </w:p>
    <w:p>
      <w:pPr>
        <w:pStyle w:val="BodyText"/>
        <w:spacing w:before="2"/>
      </w:pPr>
    </w:p>
    <w:p>
      <w:pPr>
        <w:pStyle w:val="BodyText"/>
        <w:spacing w:line="247" w:lineRule="auto" w:before="1"/>
        <w:ind w:left="151" w:right="2927" w:firstLine="397"/>
      </w:pPr>
      <w:r>
        <w:rPr/>
        <w:t>Para determinar lo anterior, se requerirá de dictamen de carácter técnico emitido por personal de la dependencia que preste el servicio.</w:t>
      </w:r>
    </w:p>
    <w:p>
      <w:pPr>
        <w:pStyle w:val="BodyText"/>
        <w:spacing w:before="3"/>
      </w:pPr>
    </w:p>
    <w:p>
      <w:pPr>
        <w:pStyle w:val="ListParagraph"/>
        <w:numPr>
          <w:ilvl w:val="0"/>
          <w:numId w:val="214"/>
        </w:numPr>
        <w:tabs>
          <w:tab w:pos="880" w:val="left" w:leader="none"/>
        </w:tabs>
        <w:spacing w:line="247" w:lineRule="auto" w:before="1" w:after="0"/>
        <w:ind w:left="151" w:right="2787" w:firstLine="397"/>
        <w:jc w:val="both"/>
        <w:rPr>
          <w:sz w:val="15"/>
        </w:rPr>
      </w:pPr>
      <w:r>
        <w:rPr>
          <w:sz w:val="15"/>
        </w:rPr>
        <w:t>Por diferencia entre la realidad y los datos proporcionados por el usuario que implique modificaciones al padrón, se impondrá una sanción equivalente de entre  uno  a seis  unidades de medida y actualización, según  la gravedad del caso, debiendo además pagar las diferencias que  resulten,  así como los recargos de los últimos cinco años, en su</w:t>
      </w:r>
      <w:r>
        <w:rPr>
          <w:spacing w:val="34"/>
          <w:sz w:val="15"/>
        </w:rPr>
        <w:t> </w:t>
      </w:r>
      <w:r>
        <w:rPr>
          <w:sz w:val="15"/>
        </w:rPr>
        <w:t>caso.</w:t>
      </w:r>
    </w:p>
    <w:p>
      <w:pPr>
        <w:pStyle w:val="BodyText"/>
        <w:spacing w:before="1"/>
      </w:pPr>
    </w:p>
    <w:p>
      <w:pPr>
        <w:pStyle w:val="ListParagraph"/>
        <w:numPr>
          <w:ilvl w:val="0"/>
          <w:numId w:val="214"/>
        </w:numPr>
        <w:tabs>
          <w:tab w:pos="794" w:val="left" w:leader="none"/>
        </w:tabs>
        <w:spacing w:line="247" w:lineRule="auto" w:before="0" w:after="0"/>
        <w:ind w:left="151" w:right="2788" w:firstLine="397"/>
        <w:jc w:val="both"/>
        <w:rPr>
          <w:sz w:val="15"/>
        </w:rPr>
      </w:pPr>
      <w:r>
        <w:rPr>
          <w:sz w:val="15"/>
        </w:rPr>
        <w:t>Cuando los urbanizadores no den aviso a la Dirección General de Agua Potable y Saneamiento, de la transmisión de dominio de los nuevos poseedores de lotes en los términos  del artículo 104, fracción  III, inciso e),   de</w:t>
      </w:r>
      <w:r>
        <w:rPr>
          <w:spacing w:val="9"/>
          <w:sz w:val="15"/>
        </w:rPr>
        <w:t> </w:t>
      </w:r>
      <w:r>
        <w:rPr>
          <w:sz w:val="15"/>
        </w:rPr>
        <w:t>esta</w:t>
      </w:r>
      <w:r>
        <w:rPr>
          <w:spacing w:val="9"/>
          <w:sz w:val="15"/>
        </w:rPr>
        <w:t> </w:t>
      </w:r>
      <w:r>
        <w:rPr>
          <w:spacing w:val="-4"/>
          <w:sz w:val="15"/>
        </w:rPr>
        <w:t>Ley,</w:t>
      </w:r>
      <w:r>
        <w:rPr>
          <w:spacing w:val="10"/>
          <w:sz w:val="15"/>
        </w:rPr>
        <w:t> </w:t>
      </w:r>
      <w:r>
        <w:rPr>
          <w:sz w:val="15"/>
        </w:rPr>
        <w:t>se</w:t>
      </w:r>
      <w:r>
        <w:rPr>
          <w:spacing w:val="9"/>
          <w:sz w:val="15"/>
        </w:rPr>
        <w:t> </w:t>
      </w:r>
      <w:r>
        <w:rPr>
          <w:sz w:val="15"/>
        </w:rPr>
        <w:t>harán</w:t>
      </w:r>
      <w:r>
        <w:rPr>
          <w:spacing w:val="9"/>
          <w:sz w:val="15"/>
        </w:rPr>
        <w:t> </w:t>
      </w:r>
      <w:r>
        <w:rPr>
          <w:sz w:val="15"/>
        </w:rPr>
        <w:t>acreedores</w:t>
      </w:r>
      <w:r>
        <w:rPr>
          <w:spacing w:val="9"/>
          <w:sz w:val="15"/>
        </w:rPr>
        <w:t> </w:t>
      </w:r>
      <w:r>
        <w:rPr>
          <w:sz w:val="15"/>
        </w:rPr>
        <w:t>a</w:t>
      </w:r>
      <w:r>
        <w:rPr>
          <w:spacing w:val="8"/>
          <w:sz w:val="15"/>
        </w:rPr>
        <w:t> </w:t>
      </w:r>
      <w:r>
        <w:rPr>
          <w:sz w:val="15"/>
        </w:rPr>
        <w:t>una</w:t>
      </w:r>
      <w:r>
        <w:rPr>
          <w:spacing w:val="9"/>
          <w:sz w:val="15"/>
        </w:rPr>
        <w:t> </w:t>
      </w:r>
      <w:r>
        <w:rPr>
          <w:sz w:val="15"/>
        </w:rPr>
        <w:t>sanción</w:t>
      </w:r>
      <w:r>
        <w:rPr>
          <w:spacing w:val="8"/>
          <w:sz w:val="15"/>
        </w:rPr>
        <w:t> </w:t>
      </w:r>
      <w:r>
        <w:rPr>
          <w:sz w:val="15"/>
        </w:rPr>
        <w:t>económica</w:t>
      </w:r>
      <w:r>
        <w:rPr>
          <w:spacing w:val="8"/>
          <w:sz w:val="15"/>
        </w:rPr>
        <w:t> </w:t>
      </w:r>
      <w:r>
        <w:rPr>
          <w:sz w:val="15"/>
        </w:rPr>
        <w:t>equivalente</w:t>
      </w:r>
      <w:r>
        <w:rPr>
          <w:spacing w:val="9"/>
          <w:sz w:val="15"/>
        </w:rPr>
        <w:t> </w:t>
      </w:r>
      <w:r>
        <w:rPr>
          <w:sz w:val="15"/>
        </w:rPr>
        <w:t>de:</w:t>
      </w:r>
    </w:p>
    <w:p>
      <w:pPr>
        <w:pStyle w:val="BodyText"/>
        <w:spacing w:line="170" w:lineRule="exact"/>
        <w:ind w:left="2221"/>
        <w:jc w:val="both"/>
      </w:pPr>
      <w:r>
        <w:rPr/>
        <w:t>250 a 300 unidades de medida y actualización.</w:t>
      </w:r>
    </w:p>
    <w:p>
      <w:pPr>
        <w:pStyle w:val="BodyText"/>
        <w:spacing w:before="10"/>
      </w:pPr>
    </w:p>
    <w:p>
      <w:pPr>
        <w:pStyle w:val="ListParagraph"/>
        <w:numPr>
          <w:ilvl w:val="0"/>
          <w:numId w:val="214"/>
        </w:numPr>
        <w:tabs>
          <w:tab w:pos="790" w:val="left" w:leader="none"/>
        </w:tabs>
        <w:spacing w:line="247" w:lineRule="auto" w:before="0" w:after="0"/>
        <w:ind w:left="151" w:right="2787" w:firstLine="397"/>
        <w:jc w:val="both"/>
        <w:rPr>
          <w:sz w:val="15"/>
        </w:rPr>
      </w:pPr>
      <w:r>
        <w:rPr>
          <w:sz w:val="15"/>
        </w:rPr>
        <w:t>El urbanizador o constructor deberá apegarse a los proyectos ejecutivos autorizados por las autoridades correspondientes mismos que  obran en los expedientes de factibilidad respectivos en caso contrario se cobrará la diferencia que establece la ley independientemente  a  lo  anterior  se aplicará una sanción equivalente hasta un tanto más del monto que dejó   de pagar por negligencia u</w:t>
      </w:r>
      <w:r>
        <w:rPr>
          <w:spacing w:val="8"/>
          <w:sz w:val="15"/>
        </w:rPr>
        <w:t> </w:t>
      </w:r>
      <w:r>
        <w:rPr>
          <w:sz w:val="15"/>
        </w:rPr>
        <w:t>omisión.</w:t>
      </w:r>
    </w:p>
    <w:p>
      <w:pPr>
        <w:pStyle w:val="BodyText"/>
      </w:pPr>
    </w:p>
    <w:p>
      <w:pPr>
        <w:pStyle w:val="ListParagraph"/>
        <w:numPr>
          <w:ilvl w:val="0"/>
          <w:numId w:val="214"/>
        </w:numPr>
        <w:tabs>
          <w:tab w:pos="831" w:val="left" w:leader="none"/>
        </w:tabs>
        <w:spacing w:line="247" w:lineRule="auto" w:before="0" w:after="0"/>
        <w:ind w:left="151" w:right="2789" w:firstLine="397"/>
        <w:jc w:val="both"/>
        <w:rPr>
          <w:sz w:val="15"/>
        </w:rPr>
      </w:pPr>
      <w:r>
        <w:rPr>
          <w:sz w:val="15"/>
        </w:rPr>
        <w:t>A quien realice la obstrucción o nivelación de escurrimientos naturales, sin las medidas pertinentes,</w:t>
      </w:r>
      <w:r>
        <w:rPr>
          <w:spacing w:val="10"/>
          <w:sz w:val="15"/>
        </w:rPr>
        <w:t> </w:t>
      </w:r>
      <w:r>
        <w:rPr>
          <w:sz w:val="15"/>
        </w:rPr>
        <w:t>de:</w:t>
      </w:r>
    </w:p>
    <w:p>
      <w:pPr>
        <w:pStyle w:val="BodyText"/>
        <w:spacing w:line="172" w:lineRule="exact"/>
        <w:ind w:left="2393"/>
      </w:pPr>
      <w:r>
        <w:rPr/>
        <w:t>20 a 80 unidades de medida y actualización.</w:t>
      </w:r>
    </w:p>
    <w:p>
      <w:pPr>
        <w:pStyle w:val="BodyText"/>
        <w:spacing w:before="6"/>
        <w:rPr>
          <w:sz w:val="17"/>
        </w:rPr>
      </w:pPr>
    </w:p>
    <w:p>
      <w:pPr>
        <w:pStyle w:val="BodyText"/>
        <w:spacing w:line="247" w:lineRule="auto"/>
        <w:ind w:left="151" w:right="2787" w:firstLine="397"/>
        <w:jc w:val="both"/>
      </w:pPr>
      <w:r>
        <w:rPr>
          <w:b/>
        </w:rPr>
        <w:t>Artículo 146.- </w:t>
      </w:r>
      <w:r>
        <w:rPr/>
        <w:t>Sanciones por contravención a las disposiciones en materia de protección civil, con independencias de otras sanciones que se pudieran determinar:</w:t>
      </w:r>
    </w:p>
    <w:p>
      <w:pPr>
        <w:pStyle w:val="BodyText"/>
        <w:rPr>
          <w:sz w:val="22"/>
        </w:rPr>
      </w:pPr>
    </w:p>
    <w:p>
      <w:pPr>
        <w:pStyle w:val="ListParagraph"/>
        <w:numPr>
          <w:ilvl w:val="1"/>
          <w:numId w:val="214"/>
        </w:numPr>
        <w:tabs>
          <w:tab w:pos="129" w:val="left" w:leader="none"/>
        </w:tabs>
        <w:spacing w:line="240" w:lineRule="auto" w:before="0" w:after="0"/>
        <w:ind w:left="1208" w:right="2789" w:hanging="1209"/>
        <w:jc w:val="right"/>
        <w:rPr>
          <w:sz w:val="15"/>
        </w:rPr>
      </w:pPr>
      <w:r>
        <w:rPr>
          <w:sz w:val="15"/>
        </w:rPr>
        <w:t>Por</w:t>
      </w:r>
      <w:r>
        <w:rPr>
          <w:spacing w:val="11"/>
          <w:sz w:val="15"/>
        </w:rPr>
        <w:t> </w:t>
      </w:r>
      <w:r>
        <w:rPr>
          <w:sz w:val="15"/>
        </w:rPr>
        <w:t>falta</w:t>
      </w:r>
      <w:r>
        <w:rPr>
          <w:spacing w:val="12"/>
          <w:sz w:val="15"/>
        </w:rPr>
        <w:t> </w:t>
      </w:r>
      <w:r>
        <w:rPr>
          <w:sz w:val="15"/>
        </w:rPr>
        <w:t>de</w:t>
      </w:r>
      <w:r>
        <w:rPr>
          <w:spacing w:val="12"/>
          <w:sz w:val="15"/>
        </w:rPr>
        <w:t> </w:t>
      </w:r>
      <w:r>
        <w:rPr>
          <w:sz w:val="15"/>
        </w:rPr>
        <w:t>programa</w:t>
      </w:r>
      <w:r>
        <w:rPr>
          <w:spacing w:val="12"/>
          <w:sz w:val="15"/>
        </w:rPr>
        <w:t> </w:t>
      </w:r>
      <w:r>
        <w:rPr>
          <w:sz w:val="15"/>
        </w:rPr>
        <w:t>específico</w:t>
      </w:r>
      <w:r>
        <w:rPr>
          <w:spacing w:val="12"/>
          <w:sz w:val="15"/>
        </w:rPr>
        <w:t> </w:t>
      </w:r>
      <w:r>
        <w:rPr>
          <w:sz w:val="15"/>
        </w:rPr>
        <w:t>de</w:t>
      </w:r>
      <w:r>
        <w:rPr>
          <w:spacing w:val="12"/>
          <w:sz w:val="15"/>
        </w:rPr>
        <w:t> </w:t>
      </w:r>
      <w:r>
        <w:rPr>
          <w:sz w:val="15"/>
        </w:rPr>
        <w:t>protección</w:t>
      </w:r>
      <w:r>
        <w:rPr>
          <w:spacing w:val="10"/>
          <w:sz w:val="15"/>
        </w:rPr>
        <w:t> </w:t>
      </w:r>
      <w:r>
        <w:rPr>
          <w:sz w:val="15"/>
        </w:rPr>
        <w:t>civil</w:t>
      </w:r>
      <w:r>
        <w:rPr>
          <w:spacing w:val="12"/>
          <w:sz w:val="15"/>
        </w:rPr>
        <w:t> </w:t>
      </w:r>
      <w:r>
        <w:rPr>
          <w:sz w:val="15"/>
        </w:rPr>
        <w:t>Municipal:</w:t>
      </w:r>
    </w:p>
    <w:p>
      <w:pPr>
        <w:pStyle w:val="BodyText"/>
        <w:spacing w:before="5"/>
        <w:ind w:right="2787"/>
        <w:jc w:val="right"/>
      </w:pPr>
      <w:r>
        <w:rPr/>
        <w:t>8</w:t>
      </w:r>
      <w:r>
        <w:rPr>
          <w:spacing w:val="10"/>
        </w:rPr>
        <w:t> </w:t>
      </w:r>
      <w:r>
        <w:rPr/>
        <w:t>a</w:t>
      </w:r>
      <w:r>
        <w:rPr>
          <w:spacing w:val="10"/>
        </w:rPr>
        <w:t> </w:t>
      </w:r>
      <w:r>
        <w:rPr/>
        <w:t>26</w:t>
      </w:r>
      <w:r>
        <w:rPr>
          <w:spacing w:val="10"/>
        </w:rPr>
        <w:t> </w:t>
      </w:r>
      <w:r>
        <w:rPr/>
        <w:t>unidades</w:t>
      </w:r>
      <w:r>
        <w:rPr>
          <w:spacing w:val="10"/>
        </w:rPr>
        <w:t> </w:t>
      </w:r>
      <w:r>
        <w:rPr/>
        <w:t>de</w:t>
      </w:r>
      <w:r>
        <w:rPr>
          <w:spacing w:val="10"/>
        </w:rPr>
        <w:t> </w:t>
      </w:r>
      <w:r>
        <w:rPr/>
        <w:t>medida</w:t>
      </w:r>
      <w:r>
        <w:rPr>
          <w:spacing w:val="10"/>
        </w:rPr>
        <w:t> </w:t>
      </w:r>
      <w:r>
        <w:rPr/>
        <w:t>y</w:t>
      </w:r>
      <w:r>
        <w:rPr>
          <w:spacing w:val="10"/>
        </w:rPr>
        <w:t> </w:t>
      </w:r>
      <w:r>
        <w:rPr/>
        <w:t>actualización;</w:t>
      </w:r>
    </w:p>
    <w:p>
      <w:pPr>
        <w:pStyle w:val="BodyText"/>
        <w:spacing w:before="7"/>
        <w:rPr>
          <w:sz w:val="22"/>
        </w:rPr>
      </w:pPr>
    </w:p>
    <w:p>
      <w:pPr>
        <w:pStyle w:val="ListParagraph"/>
        <w:numPr>
          <w:ilvl w:val="1"/>
          <w:numId w:val="214"/>
        </w:numPr>
        <w:tabs>
          <w:tab w:pos="735" w:val="left" w:leader="none"/>
        </w:tabs>
        <w:spacing w:line="247" w:lineRule="auto" w:before="0" w:after="0"/>
        <w:ind w:left="151" w:right="2787" w:firstLine="397"/>
        <w:jc w:val="both"/>
        <w:rPr>
          <w:sz w:val="15"/>
        </w:rPr>
      </w:pPr>
      <w:r>
        <w:rPr>
          <w:sz w:val="15"/>
        </w:rPr>
        <w:t>Por falta de señalización adecuada dirigida al público o instructivos para casos de</w:t>
      </w:r>
      <w:r>
        <w:rPr>
          <w:spacing w:val="3"/>
          <w:sz w:val="15"/>
        </w:rPr>
        <w:t> </w:t>
      </w:r>
      <w:r>
        <w:rPr>
          <w:sz w:val="15"/>
        </w:rPr>
        <w:t>emergencia:</w:t>
      </w:r>
    </w:p>
    <w:p>
      <w:pPr>
        <w:pStyle w:val="BodyText"/>
        <w:spacing w:before="1"/>
        <w:rPr>
          <w:sz w:val="22"/>
        </w:rPr>
      </w:pPr>
    </w:p>
    <w:p>
      <w:pPr>
        <w:pStyle w:val="ListParagraph"/>
        <w:numPr>
          <w:ilvl w:val="0"/>
          <w:numId w:val="220"/>
        </w:numPr>
        <w:tabs>
          <w:tab w:pos="729" w:val="left" w:leader="none"/>
        </w:tabs>
        <w:spacing w:line="240" w:lineRule="auto" w:before="1" w:after="0"/>
        <w:ind w:left="728" w:right="0" w:hanging="181"/>
        <w:jc w:val="left"/>
        <w:rPr>
          <w:sz w:val="15"/>
        </w:rPr>
      </w:pPr>
      <w:r>
        <w:rPr>
          <w:sz w:val="15"/>
        </w:rPr>
        <w:t>En giros comerciales o de prestación de servicios,</w:t>
      </w:r>
      <w:r>
        <w:rPr>
          <w:spacing w:val="13"/>
          <w:sz w:val="15"/>
        </w:rPr>
        <w:t> </w:t>
      </w:r>
      <w:r>
        <w:rPr>
          <w:sz w:val="15"/>
        </w:rPr>
        <w:t>de:</w:t>
      </w:r>
    </w:p>
    <w:p>
      <w:pPr>
        <w:pStyle w:val="BodyText"/>
        <w:spacing w:before="4"/>
        <w:ind w:left="2478"/>
      </w:pPr>
      <w:r>
        <w:rPr/>
        <w:t>6 a 84 unidades de medida y actualización;</w:t>
      </w:r>
    </w:p>
    <w:p>
      <w:pPr>
        <w:pStyle w:val="BodyText"/>
        <w:spacing w:before="2"/>
        <w:rPr>
          <w:sz w:val="19"/>
        </w:rPr>
      </w:pPr>
    </w:p>
    <w:p>
      <w:pPr>
        <w:pStyle w:val="ListParagraph"/>
        <w:numPr>
          <w:ilvl w:val="0"/>
          <w:numId w:val="220"/>
        </w:numPr>
        <w:tabs>
          <w:tab w:pos="793" w:val="left" w:leader="none"/>
        </w:tabs>
        <w:spacing w:line="247" w:lineRule="auto" w:before="0" w:after="0"/>
        <w:ind w:left="151" w:right="2787" w:firstLine="397"/>
        <w:jc w:val="both"/>
        <w:rPr>
          <w:sz w:val="15"/>
        </w:rPr>
      </w:pPr>
      <w:r>
        <w:rPr>
          <w:sz w:val="15"/>
        </w:rPr>
        <w:t>En giros que se produzca, transforme, industrialicen, vendan, consuman o almacenen productos químicos, inflamables, corrosivos, tóxicos, explosivos, combustibles o que puedan generar alguna situación de riesgo,  de: 34 a 96 unidades de medida y</w:t>
      </w:r>
      <w:r>
        <w:rPr>
          <w:spacing w:val="16"/>
          <w:sz w:val="15"/>
        </w:rPr>
        <w:t> </w:t>
      </w:r>
      <w:r>
        <w:rPr>
          <w:sz w:val="15"/>
        </w:rPr>
        <w:t>actualización;</w:t>
      </w:r>
    </w:p>
    <w:p>
      <w:pPr>
        <w:pStyle w:val="BodyText"/>
        <w:spacing w:before="1"/>
        <w:rPr>
          <w:sz w:val="22"/>
        </w:rPr>
      </w:pPr>
    </w:p>
    <w:p>
      <w:pPr>
        <w:pStyle w:val="ListParagraph"/>
        <w:numPr>
          <w:ilvl w:val="1"/>
          <w:numId w:val="214"/>
        </w:numPr>
        <w:tabs>
          <w:tab w:pos="777" w:val="left" w:leader="none"/>
        </w:tabs>
        <w:spacing w:line="240" w:lineRule="auto" w:before="0" w:after="0"/>
        <w:ind w:left="776" w:right="0" w:hanging="229"/>
        <w:jc w:val="left"/>
        <w:rPr>
          <w:sz w:val="15"/>
        </w:rPr>
      </w:pPr>
      <w:r>
        <w:rPr>
          <w:sz w:val="15"/>
        </w:rPr>
        <w:t>Por</w:t>
      </w:r>
      <w:r>
        <w:rPr>
          <w:spacing w:val="15"/>
          <w:sz w:val="15"/>
        </w:rPr>
        <w:t> </w:t>
      </w:r>
      <w:r>
        <w:rPr>
          <w:sz w:val="15"/>
        </w:rPr>
        <w:t>falta</w:t>
      </w:r>
      <w:r>
        <w:rPr>
          <w:spacing w:val="17"/>
          <w:sz w:val="15"/>
        </w:rPr>
        <w:t> </w:t>
      </w:r>
      <w:r>
        <w:rPr>
          <w:sz w:val="15"/>
        </w:rPr>
        <w:t>de</w:t>
      </w:r>
      <w:r>
        <w:rPr>
          <w:spacing w:val="15"/>
          <w:sz w:val="15"/>
        </w:rPr>
        <w:t> </w:t>
      </w:r>
      <w:r>
        <w:rPr>
          <w:sz w:val="15"/>
        </w:rPr>
        <w:t>los</w:t>
      </w:r>
      <w:r>
        <w:rPr>
          <w:spacing w:val="16"/>
          <w:sz w:val="15"/>
        </w:rPr>
        <w:t> </w:t>
      </w:r>
      <w:r>
        <w:rPr>
          <w:sz w:val="15"/>
        </w:rPr>
        <w:t>dispositivos</w:t>
      </w:r>
      <w:r>
        <w:rPr>
          <w:spacing w:val="15"/>
          <w:sz w:val="15"/>
        </w:rPr>
        <w:t> </w:t>
      </w:r>
      <w:r>
        <w:rPr>
          <w:sz w:val="15"/>
        </w:rPr>
        <w:t>de</w:t>
      </w:r>
      <w:r>
        <w:rPr>
          <w:spacing w:val="16"/>
          <w:sz w:val="15"/>
        </w:rPr>
        <w:t> </w:t>
      </w:r>
      <w:r>
        <w:rPr>
          <w:sz w:val="15"/>
        </w:rPr>
        <w:t>seguridad</w:t>
      </w:r>
      <w:r>
        <w:rPr>
          <w:spacing w:val="15"/>
          <w:sz w:val="15"/>
        </w:rPr>
        <w:t> </w:t>
      </w:r>
      <w:r>
        <w:rPr>
          <w:sz w:val="15"/>
        </w:rPr>
        <w:t>necesarios</w:t>
      </w:r>
      <w:r>
        <w:rPr>
          <w:spacing w:val="16"/>
          <w:sz w:val="15"/>
        </w:rPr>
        <w:t> </w:t>
      </w:r>
      <w:r>
        <w:rPr>
          <w:sz w:val="15"/>
        </w:rPr>
        <w:t>para</w:t>
      </w:r>
      <w:r>
        <w:rPr>
          <w:spacing w:val="18"/>
          <w:sz w:val="15"/>
        </w:rPr>
        <w:t> </w:t>
      </w:r>
      <w:r>
        <w:rPr>
          <w:sz w:val="15"/>
        </w:rPr>
        <w:t>prevenir</w:t>
      </w:r>
    </w:p>
    <w:p>
      <w:pPr>
        <w:spacing w:after="0" w:line="240" w:lineRule="auto"/>
        <w:jc w:val="left"/>
        <w:rPr>
          <w:sz w:val="15"/>
        </w:rPr>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23"/>
          <w:pgSz w:w="23250" w:h="15310" w:orient="landscape"/>
          <w:pgMar w:header="881" w:footer="499" w:top="1920" w:bottom="680" w:left="1880" w:right="1520"/>
        </w:sectPr>
      </w:pPr>
    </w:p>
    <w:p>
      <w:pPr>
        <w:pStyle w:val="BodyText"/>
        <w:spacing w:before="10"/>
        <w:rPr>
          <w:sz w:val="19"/>
        </w:rPr>
      </w:pPr>
    </w:p>
    <w:p>
      <w:pPr>
        <w:pStyle w:val="BodyText"/>
        <w:ind w:left="151"/>
      </w:pPr>
      <w:r>
        <w:rPr/>
        <w:t>accidentes o siniestros de:</w:t>
      </w:r>
    </w:p>
    <w:p>
      <w:pPr>
        <w:pStyle w:val="BodyText"/>
        <w:rPr>
          <w:sz w:val="16"/>
        </w:rPr>
      </w:pPr>
      <w:r>
        <w:rPr/>
        <w:br w:type="column"/>
      </w:r>
      <w:r>
        <w:rPr>
          <w:sz w:val="16"/>
        </w:rPr>
      </w:r>
    </w:p>
    <w:p>
      <w:pPr>
        <w:pStyle w:val="BodyText"/>
        <w:spacing w:before="3"/>
        <w:rPr>
          <w:sz w:val="19"/>
        </w:rPr>
      </w:pPr>
    </w:p>
    <w:p>
      <w:pPr>
        <w:pStyle w:val="BodyText"/>
        <w:ind w:left="151"/>
      </w:pPr>
      <w:r>
        <w:rPr/>
        <w:t>23 a 941 unidades de medida y actualización;</w:t>
      </w:r>
    </w:p>
    <w:p>
      <w:pPr>
        <w:pStyle w:val="BodyText"/>
        <w:rPr>
          <w:sz w:val="16"/>
        </w:rPr>
      </w:pPr>
      <w:r>
        <w:rPr/>
        <w:br w:type="column"/>
      </w:r>
      <w:r>
        <w:rPr>
          <w:sz w:val="16"/>
        </w:rPr>
      </w:r>
    </w:p>
    <w:p>
      <w:pPr>
        <w:pStyle w:val="BodyText"/>
        <w:spacing w:before="8"/>
        <w:rPr>
          <w:sz w:val="22"/>
        </w:rPr>
      </w:pPr>
    </w:p>
    <w:p>
      <w:pPr>
        <w:pStyle w:val="BodyText"/>
        <w:spacing w:line="247" w:lineRule="auto"/>
        <w:ind w:left="151" w:right="2849" w:firstLine="397"/>
      </w:pPr>
      <w:r>
        <w:rPr/>
        <w:t>XII. Por realizar cualquier acción o incurrir en alguna omisión que produzca un siniestro o accidente, afectando la seguridad o integridad física</w:t>
      </w:r>
    </w:p>
    <w:p>
      <w:pPr>
        <w:spacing w:after="0" w:line="247" w:lineRule="auto"/>
        <w:sectPr>
          <w:type w:val="continuous"/>
          <w:pgSz w:w="23250" w:h="15310" w:orient="landscape"/>
          <w:pgMar w:top="0" w:bottom="0" w:left="1880" w:right="1520"/>
          <w:cols w:num="3" w:equalWidth="0">
            <w:col w:w="2004" w:space="152"/>
            <w:col w:w="3317" w:space="6149"/>
            <w:col w:w="8228"/>
          </w:cols>
        </w:sectPr>
      </w:pPr>
    </w:p>
    <w:p>
      <w:pPr>
        <w:pStyle w:val="ListParagraph"/>
        <w:numPr>
          <w:ilvl w:val="0"/>
          <w:numId w:val="221"/>
        </w:numPr>
        <w:tabs>
          <w:tab w:pos="728" w:val="left" w:leader="none"/>
        </w:tabs>
        <w:spacing w:line="247" w:lineRule="auto" w:before="38" w:after="0"/>
        <w:ind w:left="548" w:right="1392" w:firstLine="0"/>
        <w:jc w:val="left"/>
        <w:rPr>
          <w:sz w:val="15"/>
        </w:rPr>
      </w:pPr>
      <w:r>
        <w:rPr>
          <w:sz w:val="15"/>
        </w:rPr>
        <w:t>No contar con botiquín para primeros auxilios de: 9 a 69 unidades de medida y</w:t>
      </w:r>
      <w:r>
        <w:rPr>
          <w:spacing w:val="28"/>
          <w:sz w:val="15"/>
        </w:rPr>
        <w:t> </w:t>
      </w:r>
      <w:r>
        <w:rPr>
          <w:sz w:val="15"/>
        </w:rPr>
        <w:t>actualización;</w:t>
      </w:r>
    </w:p>
    <w:p>
      <w:pPr>
        <w:pStyle w:val="BodyText"/>
        <w:spacing w:before="8"/>
        <w:rPr>
          <w:sz w:val="18"/>
        </w:rPr>
      </w:pPr>
    </w:p>
    <w:p>
      <w:pPr>
        <w:pStyle w:val="ListParagraph"/>
        <w:numPr>
          <w:ilvl w:val="0"/>
          <w:numId w:val="221"/>
        </w:numPr>
        <w:tabs>
          <w:tab w:pos="757" w:val="left" w:leader="none"/>
        </w:tabs>
        <w:spacing w:line="247" w:lineRule="auto" w:before="0" w:after="0"/>
        <w:ind w:left="150" w:right="38" w:firstLine="397"/>
        <w:jc w:val="both"/>
        <w:rPr>
          <w:sz w:val="15"/>
        </w:rPr>
      </w:pPr>
      <w:r>
        <w:rPr>
          <w:sz w:val="15"/>
        </w:rPr>
        <w:t>No contar con  extinguidores,  cuando  menos  cada  15  metros,</w:t>
      </w:r>
      <w:r>
        <w:rPr>
          <w:spacing w:val="25"/>
          <w:sz w:val="15"/>
        </w:rPr>
        <w:t> </w:t>
      </w:r>
      <w:r>
        <w:rPr>
          <w:sz w:val="15"/>
        </w:rPr>
        <w:t>de: 9 a 73 unidades de medida y</w:t>
      </w:r>
      <w:r>
        <w:rPr>
          <w:spacing w:val="14"/>
          <w:sz w:val="15"/>
        </w:rPr>
        <w:t> </w:t>
      </w:r>
      <w:r>
        <w:rPr>
          <w:sz w:val="15"/>
        </w:rPr>
        <w:t>actualización;</w:t>
      </w:r>
    </w:p>
    <w:p>
      <w:pPr>
        <w:pStyle w:val="BodyText"/>
        <w:spacing w:before="8"/>
        <w:rPr>
          <w:sz w:val="18"/>
        </w:rPr>
      </w:pPr>
    </w:p>
    <w:p>
      <w:pPr>
        <w:pStyle w:val="ListParagraph"/>
        <w:numPr>
          <w:ilvl w:val="0"/>
          <w:numId w:val="221"/>
        </w:numPr>
        <w:tabs>
          <w:tab w:pos="771" w:val="left" w:leader="none"/>
        </w:tabs>
        <w:spacing w:line="247" w:lineRule="auto" w:before="0" w:after="0"/>
        <w:ind w:left="150" w:right="39" w:firstLine="397"/>
        <w:jc w:val="both"/>
        <w:rPr>
          <w:sz w:val="15"/>
        </w:rPr>
      </w:pPr>
      <w:r>
        <w:rPr>
          <w:sz w:val="15"/>
        </w:rPr>
        <w:t>No tener señaladas las salidas de emergencias o medidas de seguridad y de protección civil en los casos necesarios,</w:t>
      </w:r>
      <w:r>
        <w:rPr>
          <w:spacing w:val="29"/>
          <w:sz w:val="15"/>
        </w:rPr>
        <w:t> </w:t>
      </w:r>
      <w:r>
        <w:rPr>
          <w:sz w:val="15"/>
        </w:rPr>
        <w:t>de:</w:t>
      </w:r>
    </w:p>
    <w:p>
      <w:pPr>
        <w:pStyle w:val="BodyText"/>
        <w:spacing w:line="172" w:lineRule="exact"/>
        <w:ind w:left="2392"/>
        <w:jc w:val="both"/>
      </w:pPr>
      <w:r>
        <w:rPr/>
        <w:t>10 a 86 unidades de medida y actualización;</w:t>
      </w:r>
    </w:p>
    <w:p>
      <w:pPr>
        <w:pStyle w:val="ListParagraph"/>
        <w:numPr>
          <w:ilvl w:val="0"/>
          <w:numId w:val="222"/>
        </w:numPr>
        <w:tabs>
          <w:tab w:pos="810" w:val="left" w:leader="none"/>
        </w:tabs>
        <w:spacing w:line="247" w:lineRule="auto" w:before="260" w:after="0"/>
        <w:ind w:left="150" w:right="38" w:firstLine="397"/>
        <w:jc w:val="both"/>
        <w:rPr>
          <w:sz w:val="15"/>
        </w:rPr>
      </w:pPr>
      <w:r>
        <w:rPr>
          <w:sz w:val="15"/>
        </w:rPr>
        <w:t>Por no presentar dictamen favorable expedido por la Dirección General</w:t>
      </w:r>
      <w:r>
        <w:rPr>
          <w:spacing w:val="9"/>
          <w:sz w:val="15"/>
        </w:rPr>
        <w:t> </w:t>
      </w:r>
      <w:r>
        <w:rPr>
          <w:sz w:val="15"/>
        </w:rPr>
        <w:t>de</w:t>
      </w:r>
      <w:r>
        <w:rPr>
          <w:spacing w:val="9"/>
          <w:sz w:val="15"/>
        </w:rPr>
        <w:t> </w:t>
      </w:r>
      <w:r>
        <w:rPr>
          <w:sz w:val="15"/>
        </w:rPr>
        <w:t>Protección</w:t>
      </w:r>
      <w:r>
        <w:rPr>
          <w:spacing w:val="9"/>
          <w:sz w:val="15"/>
        </w:rPr>
        <w:t> </w:t>
      </w:r>
      <w:r>
        <w:rPr>
          <w:sz w:val="15"/>
        </w:rPr>
        <w:t>Civil</w:t>
      </w:r>
      <w:r>
        <w:rPr>
          <w:spacing w:val="9"/>
          <w:sz w:val="15"/>
        </w:rPr>
        <w:t> </w:t>
      </w:r>
      <w:r>
        <w:rPr>
          <w:sz w:val="15"/>
        </w:rPr>
        <w:t>y</w:t>
      </w:r>
      <w:r>
        <w:rPr>
          <w:spacing w:val="10"/>
          <w:sz w:val="15"/>
        </w:rPr>
        <w:t> </w:t>
      </w:r>
      <w:r>
        <w:rPr>
          <w:sz w:val="15"/>
        </w:rPr>
        <w:t>Bomberos</w:t>
      </w:r>
      <w:r>
        <w:rPr>
          <w:spacing w:val="9"/>
          <w:sz w:val="15"/>
        </w:rPr>
        <w:t> </w:t>
      </w:r>
      <w:r>
        <w:rPr>
          <w:sz w:val="15"/>
        </w:rPr>
        <w:t>al</w:t>
      </w:r>
      <w:r>
        <w:rPr>
          <w:spacing w:val="9"/>
          <w:sz w:val="15"/>
        </w:rPr>
        <w:t> </w:t>
      </w:r>
      <w:r>
        <w:rPr>
          <w:sz w:val="15"/>
        </w:rPr>
        <w:t>momento</w:t>
      </w:r>
      <w:r>
        <w:rPr>
          <w:spacing w:val="9"/>
          <w:sz w:val="15"/>
        </w:rPr>
        <w:t> </w:t>
      </w:r>
      <w:r>
        <w:rPr>
          <w:sz w:val="15"/>
        </w:rPr>
        <w:t>de</w:t>
      </w:r>
      <w:r>
        <w:rPr>
          <w:spacing w:val="10"/>
          <w:sz w:val="15"/>
        </w:rPr>
        <w:t> </w:t>
      </w:r>
      <w:r>
        <w:rPr>
          <w:sz w:val="15"/>
        </w:rPr>
        <w:t>la</w:t>
      </w:r>
      <w:r>
        <w:rPr>
          <w:spacing w:val="9"/>
          <w:sz w:val="15"/>
        </w:rPr>
        <w:t> </w:t>
      </w:r>
      <w:r>
        <w:rPr>
          <w:sz w:val="15"/>
        </w:rPr>
        <w:t>inspección:</w:t>
      </w:r>
      <w:r>
        <w:rPr>
          <w:spacing w:val="27"/>
          <w:sz w:val="15"/>
        </w:rPr>
        <w:t> </w:t>
      </w:r>
      <w:r>
        <w:rPr>
          <w:sz w:val="15"/>
        </w:rPr>
        <w:t>10</w:t>
      </w:r>
    </w:p>
    <w:p>
      <w:pPr>
        <w:pStyle w:val="BodyText"/>
        <w:spacing w:line="172" w:lineRule="exact"/>
        <w:ind w:left="150"/>
      </w:pPr>
      <w:r>
        <w:rPr/>
        <w:t>a 86 unidades de medida y actualización;</w:t>
      </w:r>
    </w:p>
    <w:p>
      <w:pPr>
        <w:pStyle w:val="BodyText"/>
        <w:spacing w:before="2"/>
        <w:rPr>
          <w:sz w:val="19"/>
        </w:rPr>
      </w:pPr>
    </w:p>
    <w:p>
      <w:pPr>
        <w:pStyle w:val="ListParagraph"/>
        <w:numPr>
          <w:ilvl w:val="0"/>
          <w:numId w:val="222"/>
        </w:numPr>
        <w:tabs>
          <w:tab w:pos="726" w:val="left" w:leader="none"/>
        </w:tabs>
        <w:spacing w:line="247" w:lineRule="auto" w:before="0" w:after="0"/>
        <w:ind w:left="150" w:right="38" w:firstLine="397"/>
        <w:jc w:val="both"/>
        <w:rPr>
          <w:sz w:val="15"/>
        </w:rPr>
      </w:pPr>
      <w:r>
        <w:rPr>
          <w:sz w:val="15"/>
        </w:rPr>
        <w:t>Por falta de extintores, realizar fumigaciones periódicas o carecer de placa de</w:t>
      </w:r>
      <w:r>
        <w:rPr>
          <w:spacing w:val="2"/>
          <w:sz w:val="15"/>
        </w:rPr>
        <w:t> </w:t>
      </w:r>
      <w:r>
        <w:rPr>
          <w:sz w:val="15"/>
        </w:rPr>
        <w:t>aforo:</w:t>
      </w:r>
    </w:p>
    <w:p>
      <w:pPr>
        <w:pStyle w:val="BodyText"/>
        <w:spacing w:line="171" w:lineRule="exact"/>
        <w:ind w:left="2392"/>
        <w:jc w:val="both"/>
      </w:pPr>
      <w:r>
        <w:rPr/>
        <w:t>19</w:t>
      </w:r>
      <w:r>
        <w:rPr>
          <w:spacing w:val="10"/>
        </w:rPr>
        <w:t> </w:t>
      </w:r>
      <w:r>
        <w:rPr/>
        <w:t>a</w:t>
      </w:r>
      <w:r>
        <w:rPr>
          <w:spacing w:val="10"/>
        </w:rPr>
        <w:t> </w:t>
      </w:r>
      <w:r>
        <w:rPr/>
        <w:t>38</w:t>
      </w:r>
      <w:r>
        <w:rPr>
          <w:spacing w:val="10"/>
        </w:rPr>
        <w:t> </w:t>
      </w:r>
      <w:r>
        <w:rPr/>
        <w:t>unidades</w:t>
      </w:r>
      <w:r>
        <w:rPr>
          <w:spacing w:val="11"/>
        </w:rPr>
        <w:t> </w:t>
      </w:r>
      <w:r>
        <w:rPr/>
        <w:t>de</w:t>
      </w:r>
      <w:r>
        <w:rPr>
          <w:spacing w:val="10"/>
        </w:rPr>
        <w:t> </w:t>
      </w:r>
      <w:r>
        <w:rPr/>
        <w:t>medida</w:t>
      </w:r>
      <w:r>
        <w:rPr>
          <w:spacing w:val="10"/>
        </w:rPr>
        <w:t> </w:t>
      </w:r>
      <w:r>
        <w:rPr/>
        <w:t>y</w:t>
      </w:r>
      <w:r>
        <w:rPr>
          <w:spacing w:val="11"/>
        </w:rPr>
        <w:t> </w:t>
      </w:r>
      <w:r>
        <w:rPr/>
        <w:t>actualización;</w:t>
      </w:r>
    </w:p>
    <w:p>
      <w:pPr>
        <w:pStyle w:val="BodyText"/>
        <w:spacing w:before="7"/>
        <w:rPr>
          <w:sz w:val="22"/>
        </w:rPr>
      </w:pPr>
    </w:p>
    <w:p>
      <w:pPr>
        <w:pStyle w:val="ListParagraph"/>
        <w:numPr>
          <w:ilvl w:val="0"/>
          <w:numId w:val="222"/>
        </w:numPr>
        <w:tabs>
          <w:tab w:pos="809" w:val="left" w:leader="none"/>
        </w:tabs>
        <w:spacing w:line="247" w:lineRule="auto" w:before="0" w:after="0"/>
        <w:ind w:left="150" w:right="39" w:firstLine="397"/>
        <w:jc w:val="both"/>
        <w:rPr>
          <w:sz w:val="15"/>
        </w:rPr>
      </w:pPr>
      <w:r>
        <w:rPr>
          <w:sz w:val="15"/>
        </w:rPr>
        <w:t>Por falta de señalamientos objetivos o que teniéndolos no</w:t>
      </w:r>
      <w:r>
        <w:rPr>
          <w:spacing w:val="26"/>
          <w:sz w:val="15"/>
        </w:rPr>
        <w:t> </w:t>
      </w:r>
      <w:r>
        <w:rPr>
          <w:sz w:val="15"/>
        </w:rPr>
        <w:t>estén visibles, en zonas de seguridad, que indiquen riesgo, peligro, advertencia, seguridad y salud en el trabajo,</w:t>
      </w:r>
      <w:r>
        <w:rPr>
          <w:spacing w:val="10"/>
          <w:sz w:val="15"/>
        </w:rPr>
        <w:t> </w:t>
      </w:r>
      <w:r>
        <w:rPr>
          <w:sz w:val="15"/>
        </w:rPr>
        <w:t>de:</w:t>
      </w:r>
    </w:p>
    <w:p>
      <w:pPr>
        <w:pStyle w:val="BodyText"/>
        <w:spacing w:line="171" w:lineRule="exact"/>
        <w:ind w:left="2307"/>
        <w:jc w:val="both"/>
      </w:pPr>
      <w:r>
        <w:rPr/>
        <w:t>24 a 150 unidades de medida y actualización;</w:t>
      </w:r>
    </w:p>
    <w:p>
      <w:pPr>
        <w:pStyle w:val="BodyText"/>
        <w:spacing w:before="7"/>
        <w:rPr>
          <w:sz w:val="22"/>
        </w:rPr>
      </w:pPr>
    </w:p>
    <w:p>
      <w:pPr>
        <w:pStyle w:val="ListParagraph"/>
        <w:numPr>
          <w:ilvl w:val="0"/>
          <w:numId w:val="223"/>
        </w:numPr>
        <w:tabs>
          <w:tab w:pos="750" w:val="left" w:leader="none"/>
        </w:tabs>
        <w:spacing w:line="244" w:lineRule="auto" w:before="0" w:after="0"/>
        <w:ind w:left="150" w:right="38" w:firstLine="397"/>
        <w:jc w:val="both"/>
        <w:rPr>
          <w:sz w:val="15"/>
        </w:rPr>
      </w:pPr>
      <w:r>
        <w:rPr>
          <w:sz w:val="15"/>
        </w:rPr>
        <w:t>Derivado de la falta de señalamientos se provoquen accidentes al personal de la actividad comercial, industrial o de prestación de servicios, o a cualquier persona</w:t>
      </w:r>
      <w:r>
        <w:rPr>
          <w:spacing w:val="2"/>
          <w:sz w:val="15"/>
        </w:rPr>
        <w:t> </w:t>
      </w:r>
      <w:r>
        <w:rPr>
          <w:sz w:val="15"/>
        </w:rPr>
        <w:t>de:</w:t>
      </w:r>
    </w:p>
    <w:p>
      <w:pPr>
        <w:pStyle w:val="BodyText"/>
        <w:spacing w:before="3"/>
        <w:ind w:left="2307"/>
        <w:jc w:val="both"/>
      </w:pPr>
      <w:r>
        <w:rPr/>
        <w:t>35 a 203 unidades de medida y actualización;</w:t>
      </w:r>
    </w:p>
    <w:p>
      <w:pPr>
        <w:pStyle w:val="BodyText"/>
        <w:spacing w:before="7"/>
        <w:rPr>
          <w:sz w:val="22"/>
        </w:rPr>
      </w:pPr>
    </w:p>
    <w:p>
      <w:pPr>
        <w:pStyle w:val="ListParagraph"/>
        <w:numPr>
          <w:ilvl w:val="0"/>
          <w:numId w:val="222"/>
        </w:numPr>
        <w:tabs>
          <w:tab w:pos="823" w:val="left" w:leader="none"/>
        </w:tabs>
        <w:spacing w:line="247" w:lineRule="auto" w:before="0" w:after="0"/>
        <w:ind w:left="150" w:right="212" w:firstLine="397"/>
        <w:jc w:val="left"/>
        <w:rPr>
          <w:sz w:val="15"/>
        </w:rPr>
      </w:pPr>
      <w:r>
        <w:rPr>
          <w:sz w:val="15"/>
        </w:rPr>
        <w:t>Falta de capacitación de personal en empresas industriales, comerciales o de prestación de servicios en materia de protección civil, de: 13 a 44 unidades de medida y</w:t>
      </w:r>
      <w:r>
        <w:rPr>
          <w:spacing w:val="15"/>
          <w:sz w:val="15"/>
        </w:rPr>
        <w:t> </w:t>
      </w:r>
      <w:r>
        <w:rPr>
          <w:sz w:val="15"/>
        </w:rPr>
        <w:t>actualización;</w:t>
      </w:r>
    </w:p>
    <w:p>
      <w:pPr>
        <w:pStyle w:val="BodyText"/>
        <w:spacing w:before="1"/>
        <w:rPr>
          <w:sz w:val="22"/>
        </w:rPr>
      </w:pPr>
    </w:p>
    <w:p>
      <w:pPr>
        <w:pStyle w:val="ListParagraph"/>
        <w:numPr>
          <w:ilvl w:val="0"/>
          <w:numId w:val="222"/>
        </w:numPr>
        <w:tabs>
          <w:tab w:pos="905" w:val="left" w:leader="none"/>
        </w:tabs>
        <w:spacing w:line="244" w:lineRule="auto" w:before="1" w:after="0"/>
        <w:ind w:left="150" w:right="38" w:firstLine="397"/>
        <w:jc w:val="both"/>
        <w:rPr>
          <w:sz w:val="15"/>
        </w:rPr>
      </w:pPr>
      <w:r>
        <w:rPr>
          <w:sz w:val="15"/>
        </w:rPr>
        <w:t>Falta de implementación de Unidad interna en empresas para atención de demandas propias en materia de prevención y atención de riesgos,</w:t>
      </w:r>
      <w:r>
        <w:rPr>
          <w:spacing w:val="1"/>
          <w:sz w:val="15"/>
        </w:rPr>
        <w:t> </w:t>
      </w:r>
      <w:r>
        <w:rPr>
          <w:sz w:val="15"/>
        </w:rPr>
        <w:t>de:</w:t>
      </w:r>
    </w:p>
    <w:p>
      <w:pPr>
        <w:pStyle w:val="BodyText"/>
        <w:spacing w:before="3"/>
        <w:ind w:left="2349"/>
        <w:jc w:val="both"/>
      </w:pPr>
      <w:r>
        <w:rPr/>
        <w:t>25 a 100 unidades de medida y actualización</w:t>
      </w:r>
    </w:p>
    <w:p>
      <w:pPr>
        <w:pStyle w:val="BodyText"/>
        <w:spacing w:before="7"/>
        <w:rPr>
          <w:sz w:val="22"/>
        </w:rPr>
      </w:pPr>
    </w:p>
    <w:p>
      <w:pPr>
        <w:pStyle w:val="ListParagraph"/>
        <w:numPr>
          <w:ilvl w:val="0"/>
          <w:numId w:val="222"/>
        </w:numPr>
        <w:tabs>
          <w:tab w:pos="828" w:val="left" w:leader="none"/>
        </w:tabs>
        <w:spacing w:line="247" w:lineRule="auto" w:before="0" w:after="0"/>
        <w:ind w:left="150" w:right="38" w:firstLine="397"/>
        <w:jc w:val="both"/>
        <w:rPr>
          <w:sz w:val="15"/>
        </w:rPr>
      </w:pPr>
      <w:r>
        <w:rPr>
          <w:sz w:val="15"/>
        </w:rPr>
        <w:t>Falta de notificación de incidentes de cualquier naturaleza, en empresas industriales, comerciales o de prestación de servicios, a la Unidad de Protección Civil,</w:t>
      </w:r>
      <w:r>
        <w:rPr>
          <w:spacing w:val="4"/>
          <w:sz w:val="15"/>
        </w:rPr>
        <w:t> </w:t>
      </w:r>
      <w:r>
        <w:rPr>
          <w:sz w:val="15"/>
        </w:rPr>
        <w:t>de:</w:t>
      </w:r>
    </w:p>
    <w:p>
      <w:pPr>
        <w:pStyle w:val="BodyText"/>
        <w:spacing w:line="171" w:lineRule="exact"/>
        <w:ind w:left="2349"/>
        <w:jc w:val="both"/>
      </w:pPr>
      <w:r>
        <w:rPr/>
        <w:t>50 a 300 unidades de medida y actualización</w:t>
      </w:r>
    </w:p>
    <w:p>
      <w:pPr>
        <w:pStyle w:val="BodyText"/>
        <w:spacing w:before="7"/>
        <w:rPr>
          <w:sz w:val="22"/>
        </w:rPr>
      </w:pPr>
    </w:p>
    <w:p>
      <w:pPr>
        <w:pStyle w:val="ListParagraph"/>
        <w:numPr>
          <w:ilvl w:val="0"/>
          <w:numId w:val="222"/>
        </w:numPr>
        <w:tabs>
          <w:tab w:pos="738" w:val="left" w:leader="none"/>
        </w:tabs>
        <w:spacing w:line="244" w:lineRule="auto" w:before="0" w:after="0"/>
        <w:ind w:left="150" w:right="40" w:firstLine="397"/>
        <w:jc w:val="left"/>
        <w:rPr>
          <w:sz w:val="15"/>
        </w:rPr>
      </w:pPr>
      <w:r>
        <w:rPr>
          <w:sz w:val="15"/>
        </w:rPr>
        <w:t>Falta de Dictamen favorable de la Dirección General Protección Civil  y Bomberos,</w:t>
      </w:r>
      <w:r>
        <w:rPr>
          <w:spacing w:val="2"/>
          <w:sz w:val="15"/>
        </w:rPr>
        <w:t> </w:t>
      </w:r>
      <w:r>
        <w:rPr>
          <w:sz w:val="15"/>
        </w:rPr>
        <w:t>de:</w:t>
      </w:r>
    </w:p>
    <w:p>
      <w:pPr>
        <w:pStyle w:val="BodyText"/>
        <w:spacing w:before="2"/>
        <w:ind w:left="2308"/>
        <w:jc w:val="both"/>
      </w:pPr>
      <w:r>
        <w:rPr/>
        <w:t>19 a 190 unidades de medida y actualización;</w:t>
      </w:r>
    </w:p>
    <w:p>
      <w:pPr>
        <w:pStyle w:val="BodyText"/>
        <w:spacing w:before="7"/>
        <w:rPr>
          <w:sz w:val="22"/>
        </w:rPr>
      </w:pPr>
    </w:p>
    <w:p>
      <w:pPr>
        <w:pStyle w:val="ListParagraph"/>
        <w:numPr>
          <w:ilvl w:val="0"/>
          <w:numId w:val="222"/>
        </w:numPr>
        <w:tabs>
          <w:tab w:pos="802" w:val="left" w:leader="none"/>
        </w:tabs>
        <w:spacing w:line="247" w:lineRule="auto" w:before="0" w:after="0"/>
        <w:ind w:left="150" w:right="39" w:firstLine="397"/>
        <w:jc w:val="left"/>
        <w:rPr>
          <w:sz w:val="15"/>
        </w:rPr>
      </w:pPr>
      <w:r>
        <w:rPr>
          <w:sz w:val="15"/>
        </w:rPr>
        <w:t>Por obstrucción de pasillos y salidas de emergencia poniendo en riesgo en la seguridad o integridad física de las personas,</w:t>
      </w:r>
      <w:r>
        <w:rPr>
          <w:spacing w:val="32"/>
          <w:sz w:val="15"/>
        </w:rPr>
        <w:t> </w:t>
      </w:r>
      <w:r>
        <w:rPr>
          <w:sz w:val="15"/>
        </w:rPr>
        <w:t>de:</w:t>
      </w:r>
    </w:p>
    <w:p>
      <w:pPr>
        <w:pStyle w:val="BodyText"/>
        <w:spacing w:line="172" w:lineRule="exact"/>
        <w:ind w:left="1142"/>
      </w:pPr>
      <w:r>
        <w:rPr/>
        <w:t>39 a 652 unidades de medida y actualización;</w:t>
      </w:r>
    </w:p>
    <w:p>
      <w:pPr>
        <w:pStyle w:val="BodyText"/>
        <w:spacing w:line="171" w:lineRule="exact"/>
        <w:ind w:left="150"/>
      </w:pPr>
      <w:r>
        <w:rPr/>
        <w:br w:type="column"/>
      </w:r>
      <w:r>
        <w:rPr/>
        <w:t>de las personas, donde no exista pérdida de vidas humanas, de:</w:t>
      </w:r>
    </w:p>
    <w:p>
      <w:pPr>
        <w:pStyle w:val="BodyText"/>
        <w:spacing w:before="4"/>
        <w:ind w:left="2135"/>
      </w:pPr>
      <w:r>
        <w:rPr/>
        <w:t>186 a 1243 unidades de medida y actualización;</w:t>
      </w:r>
    </w:p>
    <w:p>
      <w:pPr>
        <w:pStyle w:val="BodyText"/>
        <w:spacing w:before="8"/>
        <w:rPr>
          <w:sz w:val="22"/>
        </w:rPr>
      </w:pPr>
    </w:p>
    <w:p>
      <w:pPr>
        <w:pStyle w:val="BodyText"/>
        <w:spacing w:line="247" w:lineRule="auto"/>
        <w:ind w:left="151" w:right="2788" w:firstLine="397"/>
        <w:jc w:val="both"/>
      </w:pPr>
      <w:r>
        <w:rPr/>
        <w:t>XIII.- Por realizar cualquier acción u omisión que durante un siniestro o accidente, ocurra la pérdida de vidas humanas, de:</w:t>
      </w:r>
    </w:p>
    <w:p>
      <w:pPr>
        <w:pStyle w:val="BodyText"/>
        <w:spacing w:line="172" w:lineRule="exact"/>
        <w:ind w:left="1889"/>
      </w:pPr>
      <w:r>
        <w:rPr/>
        <w:t>1243 a 4350 unidades de medida y actualización;</w:t>
      </w:r>
    </w:p>
    <w:p>
      <w:pPr>
        <w:pStyle w:val="BodyText"/>
        <w:spacing w:before="7"/>
        <w:rPr>
          <w:sz w:val="22"/>
        </w:rPr>
      </w:pPr>
    </w:p>
    <w:p>
      <w:pPr>
        <w:pStyle w:val="BodyText"/>
        <w:spacing w:line="247" w:lineRule="auto"/>
        <w:ind w:left="151" w:right="2787" w:firstLine="397"/>
        <w:jc w:val="both"/>
      </w:pPr>
      <w:r>
        <w:rPr>
          <w:spacing w:val="-3"/>
        </w:rPr>
        <w:t>XIV.- </w:t>
      </w:r>
      <w:r>
        <w:rPr/>
        <w:t>Por carecer de sistemas contra incendios de acuerdo al grado de riesgo determinado previamente por la Dirección General de Protección Civil   y  Bomberos,  así  como  las  normas  oficiales  mexicanas  aplicables,  de:  652 a 1957 unidades de medida y</w:t>
      </w:r>
      <w:r>
        <w:rPr>
          <w:spacing w:val="14"/>
        </w:rPr>
        <w:t> </w:t>
      </w:r>
      <w:r>
        <w:rPr/>
        <w:t>actualización;</w:t>
      </w:r>
    </w:p>
    <w:p>
      <w:pPr>
        <w:pStyle w:val="BodyText"/>
        <w:spacing w:before="7"/>
        <w:rPr>
          <w:sz w:val="18"/>
        </w:rPr>
      </w:pPr>
    </w:p>
    <w:p>
      <w:pPr>
        <w:pStyle w:val="BodyText"/>
        <w:spacing w:line="244" w:lineRule="auto"/>
        <w:ind w:left="151" w:right="2788" w:firstLine="397"/>
        <w:jc w:val="both"/>
      </w:pPr>
      <w:r>
        <w:rPr/>
        <w:t>XV.- Por carecer de un desfibrilador externo automático en todo edificio privado que genere concentraciones de al menos 500 personas, de:</w:t>
      </w:r>
    </w:p>
    <w:p>
      <w:pPr>
        <w:pStyle w:val="BodyText"/>
        <w:spacing w:before="2"/>
        <w:ind w:left="2219"/>
      </w:pPr>
      <w:r>
        <w:rPr/>
        <w:t>19 a 38 unidades de medida y actualización;</w:t>
      </w:r>
    </w:p>
    <w:p>
      <w:pPr>
        <w:pStyle w:val="BodyText"/>
        <w:spacing w:before="9"/>
      </w:pPr>
    </w:p>
    <w:p>
      <w:pPr>
        <w:pStyle w:val="BodyText"/>
        <w:spacing w:line="247" w:lineRule="auto"/>
        <w:ind w:left="150" w:right="2789" w:firstLine="397"/>
        <w:jc w:val="both"/>
      </w:pPr>
      <w:r>
        <w:rPr>
          <w:b/>
        </w:rPr>
        <w:t>Artículo 147.-</w:t>
      </w:r>
      <w:r>
        <w:rPr/>
        <w:t>Además de que en su caso, deba reparar el daño, por violaciones relativas al servicio público de estacionamientos:</w:t>
      </w:r>
    </w:p>
    <w:p>
      <w:pPr>
        <w:pStyle w:val="BodyText"/>
        <w:spacing w:before="2"/>
        <w:rPr>
          <w:sz w:val="22"/>
        </w:rPr>
      </w:pPr>
    </w:p>
    <w:p>
      <w:pPr>
        <w:pStyle w:val="ListParagraph"/>
        <w:numPr>
          <w:ilvl w:val="0"/>
          <w:numId w:val="224"/>
        </w:numPr>
        <w:tabs>
          <w:tab w:pos="713" w:val="left" w:leader="none"/>
          <w:tab w:pos="2391" w:val="left" w:leader="none"/>
        </w:tabs>
        <w:spacing w:line="244" w:lineRule="auto" w:before="0" w:after="0"/>
        <w:ind w:left="150" w:right="2789" w:firstLine="397"/>
        <w:jc w:val="left"/>
        <w:rPr>
          <w:sz w:val="15"/>
        </w:rPr>
      </w:pPr>
      <w:r>
        <w:rPr>
          <w:sz w:val="15"/>
        </w:rPr>
        <w:t>Por omitir el pago de la tarifa en estacionamiento exclusivo para estacionómetros:</w:t>
        <w:tab/>
        <w:t>1 a 7 unidades de medida y actualización;</w:t>
      </w:r>
    </w:p>
    <w:p>
      <w:pPr>
        <w:pStyle w:val="BodyText"/>
        <w:spacing w:before="4"/>
        <w:rPr>
          <w:sz w:val="22"/>
        </w:rPr>
      </w:pPr>
    </w:p>
    <w:p>
      <w:pPr>
        <w:pStyle w:val="BodyText"/>
        <w:spacing w:line="247" w:lineRule="auto"/>
        <w:ind w:left="150" w:right="2927" w:firstLine="397"/>
      </w:pPr>
      <w:r>
        <w:rPr/>
        <w:t>a) Cuando el pago se realice dentro de los 5 días hábiles siguientes a    la fecha de la infracción, esta tendrá un beneficio del</w:t>
      </w:r>
      <w:r>
        <w:rPr>
          <w:spacing w:val="27"/>
        </w:rPr>
        <w:t> </w:t>
      </w:r>
      <w:r>
        <w:rPr/>
        <w:t>50%</w:t>
      </w:r>
    </w:p>
    <w:p>
      <w:pPr>
        <w:pStyle w:val="BodyText"/>
        <w:spacing w:before="1"/>
        <w:rPr>
          <w:sz w:val="22"/>
        </w:rPr>
      </w:pPr>
    </w:p>
    <w:p>
      <w:pPr>
        <w:pStyle w:val="ListParagraph"/>
        <w:numPr>
          <w:ilvl w:val="0"/>
          <w:numId w:val="224"/>
        </w:numPr>
        <w:tabs>
          <w:tab w:pos="779" w:val="left" w:leader="none"/>
          <w:tab w:pos="2400" w:val="left" w:leader="none"/>
        </w:tabs>
        <w:spacing w:line="247" w:lineRule="auto" w:before="1" w:after="0"/>
        <w:ind w:left="151" w:right="2789" w:firstLine="397"/>
        <w:jc w:val="left"/>
        <w:rPr>
          <w:sz w:val="15"/>
        </w:rPr>
      </w:pPr>
      <w:r>
        <w:rPr>
          <w:sz w:val="15"/>
        </w:rPr>
        <w:t>Por estacionar vehículos invadiendo dos lugares cubiertos por estacionómetro:</w:t>
        <w:tab/>
        <w:t>1 a 5 unidades de medida y</w:t>
      </w:r>
      <w:r>
        <w:rPr>
          <w:spacing w:val="1"/>
          <w:sz w:val="15"/>
        </w:rPr>
        <w:t> </w:t>
      </w:r>
      <w:r>
        <w:rPr>
          <w:sz w:val="15"/>
        </w:rPr>
        <w:t>actualización;</w:t>
      </w:r>
    </w:p>
    <w:p>
      <w:pPr>
        <w:pStyle w:val="BodyText"/>
        <w:spacing w:before="1"/>
        <w:rPr>
          <w:sz w:val="22"/>
        </w:rPr>
      </w:pPr>
    </w:p>
    <w:p>
      <w:pPr>
        <w:pStyle w:val="ListParagraph"/>
        <w:numPr>
          <w:ilvl w:val="0"/>
          <w:numId w:val="224"/>
        </w:numPr>
        <w:tabs>
          <w:tab w:pos="777" w:val="left" w:leader="none"/>
        </w:tabs>
        <w:spacing w:line="247" w:lineRule="auto" w:before="0" w:after="0"/>
        <w:ind w:left="151" w:right="2786" w:firstLine="397"/>
        <w:jc w:val="left"/>
        <w:rPr>
          <w:sz w:val="15"/>
        </w:rPr>
      </w:pPr>
      <w:r>
        <w:rPr>
          <w:sz w:val="15"/>
        </w:rPr>
        <w:t>Por estacionar vehículos invadiendo parte de un lugar cubierto por estacionómetros,</w:t>
      </w:r>
      <w:r>
        <w:rPr>
          <w:spacing w:val="1"/>
          <w:sz w:val="15"/>
        </w:rPr>
        <w:t> </w:t>
      </w:r>
      <w:r>
        <w:rPr>
          <w:sz w:val="15"/>
        </w:rPr>
        <w:t>de:</w:t>
      </w:r>
    </w:p>
    <w:p>
      <w:pPr>
        <w:pStyle w:val="BodyText"/>
        <w:spacing w:line="172" w:lineRule="exact"/>
        <w:ind w:left="2348"/>
      </w:pPr>
      <w:r>
        <w:rPr/>
        <w:t>1 a 5 unidades de medida y actualización;</w:t>
      </w:r>
    </w:p>
    <w:p>
      <w:pPr>
        <w:pStyle w:val="BodyText"/>
        <w:spacing w:before="6"/>
        <w:rPr>
          <w:sz w:val="22"/>
        </w:rPr>
      </w:pPr>
    </w:p>
    <w:p>
      <w:pPr>
        <w:pStyle w:val="ListParagraph"/>
        <w:numPr>
          <w:ilvl w:val="0"/>
          <w:numId w:val="224"/>
        </w:numPr>
        <w:tabs>
          <w:tab w:pos="766" w:val="left" w:leader="none"/>
        </w:tabs>
        <w:spacing w:line="240" w:lineRule="auto" w:before="1" w:after="0"/>
        <w:ind w:left="765" w:right="0" w:hanging="218"/>
        <w:jc w:val="left"/>
        <w:rPr>
          <w:sz w:val="15"/>
        </w:rPr>
      </w:pPr>
      <w:r>
        <w:rPr>
          <w:sz w:val="15"/>
        </w:rPr>
        <w:t>Por estacionarse sin derecho</w:t>
      </w:r>
      <w:r>
        <w:rPr>
          <w:spacing w:val="4"/>
          <w:sz w:val="15"/>
        </w:rPr>
        <w:t> </w:t>
      </w:r>
      <w:r>
        <w:rPr>
          <w:sz w:val="15"/>
        </w:rPr>
        <w:t>en:</w:t>
      </w:r>
    </w:p>
    <w:p>
      <w:pPr>
        <w:pStyle w:val="BodyText"/>
        <w:spacing w:before="9"/>
      </w:pPr>
    </w:p>
    <w:p>
      <w:pPr>
        <w:pStyle w:val="ListParagraph"/>
        <w:numPr>
          <w:ilvl w:val="0"/>
          <w:numId w:val="225"/>
        </w:numPr>
        <w:tabs>
          <w:tab w:pos="736" w:val="left" w:leader="none"/>
          <w:tab w:pos="2164" w:val="left" w:leader="none"/>
        </w:tabs>
        <w:spacing w:line="247" w:lineRule="auto" w:before="0" w:after="0"/>
        <w:ind w:left="151" w:right="2786" w:firstLine="397"/>
        <w:jc w:val="left"/>
        <w:rPr>
          <w:sz w:val="15"/>
        </w:rPr>
      </w:pPr>
      <w:r>
        <w:rPr>
          <w:sz w:val="15"/>
        </w:rPr>
        <w:t>En ciclovías áreas de estacionamiento, o circulación para bicicletas, de:</w:t>
        <w:tab/>
        <w:t>20 a 60 unidades de medida y</w:t>
      </w:r>
      <w:r>
        <w:rPr>
          <w:spacing w:val="14"/>
          <w:sz w:val="15"/>
        </w:rPr>
        <w:t> </w:t>
      </w:r>
      <w:r>
        <w:rPr>
          <w:sz w:val="15"/>
        </w:rPr>
        <w:t>actualización;</w:t>
      </w:r>
    </w:p>
    <w:p>
      <w:pPr>
        <w:pStyle w:val="BodyText"/>
        <w:spacing w:before="8"/>
        <w:rPr>
          <w:sz w:val="18"/>
        </w:rPr>
      </w:pPr>
    </w:p>
    <w:p>
      <w:pPr>
        <w:pStyle w:val="ListParagraph"/>
        <w:numPr>
          <w:ilvl w:val="0"/>
          <w:numId w:val="225"/>
        </w:numPr>
        <w:tabs>
          <w:tab w:pos="846" w:val="left" w:leader="none"/>
        </w:tabs>
        <w:spacing w:line="247" w:lineRule="auto" w:before="0" w:after="0"/>
        <w:ind w:left="151" w:right="2814" w:firstLine="514"/>
        <w:jc w:val="left"/>
        <w:rPr>
          <w:sz w:val="15"/>
        </w:rPr>
      </w:pPr>
      <w:r>
        <w:rPr>
          <w:sz w:val="15"/>
        </w:rPr>
        <w:t>Es espacios de estacionamiento exclusivo áreas de carga y descarga, en áreas de estacionamiento prohibido, áreas señaladas con línea amarilla, frente a tomas de bomberos, frente a cocheras o accesos vehiculares, en intersecciones, en doble fila o en sentido contrario al sentido de la circulación,</w:t>
      </w:r>
      <w:r>
        <w:rPr>
          <w:spacing w:val="3"/>
          <w:sz w:val="15"/>
        </w:rPr>
        <w:t> </w:t>
      </w:r>
      <w:r>
        <w:rPr>
          <w:sz w:val="15"/>
        </w:rPr>
        <w:t>de:</w:t>
      </w:r>
    </w:p>
    <w:p>
      <w:pPr>
        <w:pStyle w:val="BodyText"/>
        <w:spacing w:before="37"/>
        <w:ind w:left="2393"/>
      </w:pPr>
      <w:r>
        <w:rPr/>
        <w:t>10 a 55 unidades de medida y actualización;</w:t>
      </w:r>
    </w:p>
    <w:p>
      <w:pPr>
        <w:pStyle w:val="BodyText"/>
        <w:spacing w:before="9"/>
      </w:pPr>
    </w:p>
    <w:p>
      <w:pPr>
        <w:pStyle w:val="ListParagraph"/>
        <w:numPr>
          <w:ilvl w:val="0"/>
          <w:numId w:val="225"/>
        </w:numPr>
        <w:tabs>
          <w:tab w:pos="941" w:val="left" w:leader="none"/>
        </w:tabs>
        <w:spacing w:line="244" w:lineRule="auto" w:before="0" w:after="0"/>
        <w:ind w:left="151" w:right="2788" w:firstLine="568"/>
        <w:jc w:val="left"/>
        <w:rPr>
          <w:sz w:val="15"/>
        </w:rPr>
      </w:pPr>
      <w:r>
        <w:rPr>
          <w:sz w:val="15"/>
        </w:rPr>
        <w:t>En carril de corredor exclusivo, confinado o a contraflujo de transporte público, pasos a desnivel o sobre vías</w:t>
      </w:r>
      <w:r>
        <w:rPr>
          <w:spacing w:val="22"/>
          <w:sz w:val="15"/>
        </w:rPr>
        <w:t> </w:t>
      </w:r>
      <w:r>
        <w:rPr>
          <w:sz w:val="15"/>
        </w:rPr>
        <w:t>férreas</w:t>
      </w:r>
    </w:p>
    <w:p>
      <w:pPr>
        <w:pStyle w:val="BodyText"/>
        <w:spacing w:before="2"/>
        <w:ind w:left="2222"/>
      </w:pPr>
      <w:r>
        <w:rPr/>
        <w:t>150 a 200 unidades de medida y actualización;</w:t>
      </w:r>
    </w:p>
    <w:p>
      <w:pPr>
        <w:pStyle w:val="BodyText"/>
        <w:spacing w:before="9"/>
      </w:pPr>
    </w:p>
    <w:p>
      <w:pPr>
        <w:pStyle w:val="ListParagraph"/>
        <w:numPr>
          <w:ilvl w:val="0"/>
          <w:numId w:val="224"/>
        </w:numPr>
        <w:tabs>
          <w:tab w:pos="785" w:val="left" w:leader="none"/>
        </w:tabs>
        <w:spacing w:line="240" w:lineRule="auto" w:before="0" w:after="0"/>
        <w:ind w:left="784" w:right="0" w:hanging="237"/>
        <w:jc w:val="left"/>
        <w:rPr>
          <w:sz w:val="15"/>
        </w:rPr>
      </w:pPr>
      <w:r>
        <w:rPr>
          <w:sz w:val="15"/>
        </w:rPr>
        <w:t>Por</w:t>
      </w:r>
      <w:r>
        <w:rPr>
          <w:spacing w:val="24"/>
          <w:sz w:val="15"/>
        </w:rPr>
        <w:t> </w:t>
      </w:r>
      <w:r>
        <w:rPr>
          <w:sz w:val="15"/>
        </w:rPr>
        <w:t>introducir</w:t>
      </w:r>
      <w:r>
        <w:rPr>
          <w:spacing w:val="24"/>
          <w:sz w:val="15"/>
        </w:rPr>
        <w:t> </w:t>
      </w:r>
      <w:r>
        <w:rPr>
          <w:sz w:val="15"/>
        </w:rPr>
        <w:t>objetos</w:t>
      </w:r>
      <w:r>
        <w:rPr>
          <w:spacing w:val="24"/>
          <w:sz w:val="15"/>
        </w:rPr>
        <w:t> </w:t>
      </w:r>
      <w:r>
        <w:rPr>
          <w:sz w:val="15"/>
        </w:rPr>
        <w:t>diferentes</w:t>
      </w:r>
      <w:r>
        <w:rPr>
          <w:spacing w:val="24"/>
          <w:sz w:val="15"/>
        </w:rPr>
        <w:t> </w:t>
      </w:r>
      <w:r>
        <w:rPr>
          <w:sz w:val="15"/>
        </w:rPr>
        <w:t>a</w:t>
      </w:r>
      <w:r>
        <w:rPr>
          <w:spacing w:val="24"/>
          <w:sz w:val="15"/>
        </w:rPr>
        <w:t> </w:t>
      </w:r>
      <w:r>
        <w:rPr>
          <w:sz w:val="15"/>
        </w:rPr>
        <w:t>la</w:t>
      </w:r>
      <w:r>
        <w:rPr>
          <w:spacing w:val="23"/>
          <w:sz w:val="15"/>
        </w:rPr>
        <w:t> </w:t>
      </w:r>
      <w:r>
        <w:rPr>
          <w:sz w:val="15"/>
        </w:rPr>
        <w:t>moneda</w:t>
      </w:r>
      <w:r>
        <w:rPr>
          <w:spacing w:val="24"/>
          <w:sz w:val="15"/>
        </w:rPr>
        <w:t> </w:t>
      </w:r>
      <w:r>
        <w:rPr>
          <w:sz w:val="15"/>
        </w:rPr>
        <w:t>del</w:t>
      </w:r>
      <w:r>
        <w:rPr>
          <w:spacing w:val="23"/>
          <w:sz w:val="15"/>
        </w:rPr>
        <w:t> </w:t>
      </w:r>
      <w:r>
        <w:rPr>
          <w:sz w:val="15"/>
        </w:rPr>
        <w:t>aparato</w:t>
      </w:r>
      <w:r>
        <w:rPr>
          <w:spacing w:val="24"/>
          <w:sz w:val="15"/>
        </w:rPr>
        <w:t> </w:t>
      </w:r>
      <w:r>
        <w:rPr>
          <w:sz w:val="15"/>
        </w:rPr>
        <w:t>de</w:t>
      </w:r>
    </w:p>
    <w:p>
      <w:pPr>
        <w:spacing w:after="0" w:line="240" w:lineRule="auto"/>
        <w:jc w:val="left"/>
        <w:rPr>
          <w:sz w:val="15"/>
        </w:rPr>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24"/>
          <w:pgSz w:w="23250" w:h="15310" w:orient="landscape"/>
          <w:pgMar w:header="881" w:footer="499" w:top="1920" w:bottom="680" w:left="1880" w:right="1520"/>
        </w:sectPr>
      </w:pPr>
    </w:p>
    <w:p>
      <w:pPr>
        <w:pStyle w:val="BodyText"/>
        <w:spacing w:before="10"/>
        <w:rPr>
          <w:sz w:val="19"/>
        </w:rPr>
      </w:pPr>
    </w:p>
    <w:p>
      <w:pPr>
        <w:pStyle w:val="BodyText"/>
        <w:spacing w:line="247" w:lineRule="auto"/>
        <w:ind w:left="151"/>
      </w:pPr>
      <w:r>
        <w:rPr/>
        <w:t>estacionómetro, sin perjuicio del ejercicio de la acción penal correspondiente, cuando se sorprenda en flagrancia al infractor:</w:t>
      </w:r>
    </w:p>
    <w:p>
      <w:pPr>
        <w:pStyle w:val="BodyText"/>
        <w:spacing w:line="172" w:lineRule="exact"/>
        <w:ind w:left="2563"/>
        <w:jc w:val="both"/>
      </w:pPr>
      <w:r>
        <w:rPr/>
        <w:t>3 a 5 unidades de medida y actualización;</w:t>
      </w:r>
    </w:p>
    <w:p>
      <w:pPr>
        <w:pStyle w:val="BodyText"/>
        <w:spacing w:before="7"/>
        <w:rPr>
          <w:sz w:val="22"/>
        </w:rPr>
      </w:pPr>
    </w:p>
    <w:p>
      <w:pPr>
        <w:pStyle w:val="ListParagraph"/>
        <w:numPr>
          <w:ilvl w:val="0"/>
          <w:numId w:val="224"/>
        </w:numPr>
        <w:tabs>
          <w:tab w:pos="781" w:val="left" w:leader="none"/>
        </w:tabs>
        <w:spacing w:line="247" w:lineRule="auto" w:before="0" w:after="0"/>
        <w:ind w:left="151" w:right="39" w:firstLine="397"/>
        <w:jc w:val="both"/>
        <w:rPr>
          <w:sz w:val="15"/>
        </w:rPr>
      </w:pPr>
      <w:r>
        <w:rPr>
          <w:sz w:val="15"/>
        </w:rPr>
        <w:t>Por colocar materiales u objetos de cualquier clase, suficientes para evitar que se estacionen vehículos, o bien, su colocación para  exigir  una cuota a cambio de remover el material u objeto que impide la normal  utilización de dicho espacio de estacionamiento, además del  retiro  del  mismo,</w:t>
      </w:r>
      <w:r>
        <w:rPr>
          <w:spacing w:val="1"/>
          <w:sz w:val="15"/>
        </w:rPr>
        <w:t> </w:t>
      </w:r>
      <w:r>
        <w:rPr>
          <w:sz w:val="15"/>
        </w:rPr>
        <w:t>de</w:t>
      </w:r>
    </w:p>
    <w:p>
      <w:pPr>
        <w:pStyle w:val="ListParagraph"/>
        <w:numPr>
          <w:ilvl w:val="0"/>
          <w:numId w:val="226"/>
        </w:numPr>
        <w:tabs>
          <w:tab w:pos="2608" w:val="left" w:leader="none"/>
        </w:tabs>
        <w:spacing w:line="169" w:lineRule="exact" w:before="0" w:after="0"/>
        <w:ind w:left="2607" w:right="0" w:hanging="130"/>
        <w:jc w:val="both"/>
        <w:rPr>
          <w:sz w:val="15"/>
        </w:rPr>
      </w:pPr>
      <w:r>
        <w:rPr>
          <w:sz w:val="15"/>
        </w:rPr>
        <w:t>a 31 unidades de medida y</w:t>
      </w:r>
      <w:r>
        <w:rPr>
          <w:spacing w:val="15"/>
          <w:sz w:val="15"/>
        </w:rPr>
        <w:t> </w:t>
      </w:r>
      <w:r>
        <w:rPr>
          <w:sz w:val="15"/>
        </w:rPr>
        <w:t>actualización;</w:t>
      </w:r>
    </w:p>
    <w:p>
      <w:pPr>
        <w:pStyle w:val="BodyText"/>
        <w:spacing w:before="2"/>
        <w:rPr>
          <w:sz w:val="19"/>
        </w:rPr>
      </w:pPr>
    </w:p>
    <w:p>
      <w:pPr>
        <w:pStyle w:val="ListParagraph"/>
        <w:numPr>
          <w:ilvl w:val="0"/>
          <w:numId w:val="224"/>
        </w:numPr>
        <w:tabs>
          <w:tab w:pos="894" w:val="left" w:leader="none"/>
        </w:tabs>
        <w:spacing w:line="247" w:lineRule="auto" w:before="0" w:after="0"/>
        <w:ind w:left="151" w:right="38" w:firstLine="397"/>
        <w:jc w:val="both"/>
        <w:rPr>
          <w:sz w:val="15"/>
        </w:rPr>
      </w:pPr>
      <w:r>
        <w:rPr>
          <w:sz w:val="15"/>
        </w:rPr>
        <w:t>Por obstruir el espacio de un estacionamiento cubierto por estacionómetros, con materiales de obra de construcción, puestos</w:t>
      </w:r>
      <w:r>
        <w:rPr>
          <w:spacing w:val="24"/>
          <w:sz w:val="15"/>
        </w:rPr>
        <w:t> </w:t>
      </w:r>
      <w:r>
        <w:rPr>
          <w:sz w:val="15"/>
        </w:rPr>
        <w:t>de vendimias, materiales tipo tianguis, por día,</w:t>
      </w:r>
      <w:r>
        <w:rPr>
          <w:spacing w:val="12"/>
          <w:sz w:val="15"/>
        </w:rPr>
        <w:t> </w:t>
      </w:r>
      <w:r>
        <w:rPr>
          <w:sz w:val="15"/>
        </w:rPr>
        <w:t>de:</w:t>
      </w:r>
    </w:p>
    <w:p>
      <w:pPr>
        <w:pStyle w:val="BodyText"/>
        <w:spacing w:line="171" w:lineRule="exact"/>
        <w:ind w:left="2563"/>
        <w:jc w:val="both"/>
      </w:pPr>
      <w:r>
        <w:rPr/>
        <w:t>1 a 3 unidades de medida y actualización;</w:t>
      </w:r>
    </w:p>
    <w:p>
      <w:pPr>
        <w:pStyle w:val="BodyText"/>
        <w:spacing w:before="7"/>
        <w:rPr>
          <w:sz w:val="22"/>
        </w:rPr>
      </w:pPr>
    </w:p>
    <w:p>
      <w:pPr>
        <w:pStyle w:val="ListParagraph"/>
        <w:numPr>
          <w:ilvl w:val="0"/>
          <w:numId w:val="224"/>
        </w:numPr>
        <w:tabs>
          <w:tab w:pos="893" w:val="left" w:leader="none"/>
        </w:tabs>
        <w:spacing w:line="247" w:lineRule="auto" w:before="0" w:after="0"/>
        <w:ind w:left="151" w:right="38" w:firstLine="397"/>
        <w:jc w:val="both"/>
        <w:rPr>
          <w:sz w:val="15"/>
        </w:rPr>
      </w:pPr>
      <w:r>
        <w:rPr>
          <w:sz w:val="15"/>
        </w:rPr>
        <w:t>Por colocar materiales u objetos varios en el arroyo de la calle   para evitar que se estacionen vehículos, por metro</w:t>
      </w:r>
      <w:r>
        <w:rPr>
          <w:spacing w:val="23"/>
          <w:sz w:val="15"/>
        </w:rPr>
        <w:t> </w:t>
      </w:r>
      <w:r>
        <w:rPr>
          <w:sz w:val="15"/>
        </w:rPr>
        <w:t>lineal:</w:t>
      </w:r>
    </w:p>
    <w:p>
      <w:pPr>
        <w:pStyle w:val="ListParagraph"/>
        <w:numPr>
          <w:ilvl w:val="0"/>
          <w:numId w:val="226"/>
        </w:numPr>
        <w:tabs>
          <w:tab w:pos="2608" w:val="left" w:leader="none"/>
        </w:tabs>
        <w:spacing w:line="171" w:lineRule="exact" w:before="0" w:after="0"/>
        <w:ind w:left="2607" w:right="0" w:hanging="130"/>
        <w:jc w:val="both"/>
        <w:rPr>
          <w:sz w:val="15"/>
        </w:rPr>
      </w:pPr>
      <w:r>
        <w:rPr>
          <w:sz w:val="15"/>
        </w:rPr>
        <w:t>a 10 unidades de medida y</w:t>
      </w:r>
      <w:r>
        <w:rPr>
          <w:spacing w:val="15"/>
          <w:sz w:val="15"/>
        </w:rPr>
        <w:t> </w:t>
      </w:r>
      <w:r>
        <w:rPr>
          <w:sz w:val="15"/>
        </w:rPr>
        <w:t>actualización;</w:t>
      </w:r>
    </w:p>
    <w:p>
      <w:pPr>
        <w:pStyle w:val="BodyText"/>
        <w:spacing w:before="7"/>
        <w:rPr>
          <w:sz w:val="22"/>
        </w:rPr>
      </w:pPr>
    </w:p>
    <w:p>
      <w:pPr>
        <w:pStyle w:val="ListParagraph"/>
        <w:numPr>
          <w:ilvl w:val="0"/>
          <w:numId w:val="224"/>
        </w:numPr>
        <w:tabs>
          <w:tab w:pos="802" w:val="left" w:leader="none"/>
        </w:tabs>
        <w:spacing w:line="247" w:lineRule="auto" w:before="1" w:after="0"/>
        <w:ind w:left="151" w:right="38" w:firstLine="397"/>
        <w:jc w:val="both"/>
        <w:rPr>
          <w:sz w:val="15"/>
        </w:rPr>
      </w:pPr>
      <w:r>
        <w:rPr>
          <w:sz w:val="15"/>
        </w:rPr>
        <w:t>Por operar en estacionamiento público o señalar estacionamiento exclusivo en la vía pública, sin permiso otorgado por el</w:t>
      </w:r>
      <w:r>
        <w:rPr>
          <w:spacing w:val="1"/>
          <w:sz w:val="15"/>
        </w:rPr>
        <w:t> </w:t>
      </w:r>
      <w:r>
        <w:rPr>
          <w:sz w:val="15"/>
        </w:rPr>
        <w:t>Municipio:</w:t>
      </w:r>
    </w:p>
    <w:p>
      <w:pPr>
        <w:pStyle w:val="BodyText"/>
        <w:spacing w:line="172" w:lineRule="exact"/>
        <w:ind w:left="2219"/>
      </w:pPr>
      <w:r>
        <w:rPr/>
        <w:t>30 a 40 unidades de medida y actualización;</w:t>
      </w:r>
    </w:p>
    <w:p>
      <w:pPr>
        <w:pStyle w:val="BodyText"/>
        <w:spacing w:before="6"/>
        <w:rPr>
          <w:sz w:val="22"/>
        </w:rPr>
      </w:pPr>
    </w:p>
    <w:p>
      <w:pPr>
        <w:pStyle w:val="ListParagraph"/>
        <w:numPr>
          <w:ilvl w:val="0"/>
          <w:numId w:val="224"/>
        </w:numPr>
        <w:tabs>
          <w:tab w:pos="736" w:val="left" w:leader="none"/>
        </w:tabs>
        <w:spacing w:line="240" w:lineRule="auto" w:before="1" w:after="0"/>
        <w:ind w:left="735" w:right="0" w:hanging="188"/>
        <w:jc w:val="left"/>
        <w:rPr>
          <w:sz w:val="15"/>
        </w:rPr>
      </w:pPr>
      <w:r>
        <w:rPr>
          <w:sz w:val="15"/>
        </w:rPr>
        <w:t>Por no tener a la vista las tarifas autorizadas</w:t>
      </w:r>
      <w:r>
        <w:rPr>
          <w:spacing w:val="8"/>
          <w:sz w:val="15"/>
        </w:rPr>
        <w:t> </w:t>
      </w:r>
      <w:r>
        <w:rPr>
          <w:sz w:val="15"/>
        </w:rPr>
        <w:t>del Municipio:</w:t>
      </w:r>
    </w:p>
    <w:p>
      <w:pPr>
        <w:pStyle w:val="BodyText"/>
        <w:spacing w:before="4"/>
        <w:ind w:left="2390"/>
      </w:pPr>
      <w:r>
        <w:rPr/>
        <w:t>3 a 8 unidades de medida y actualización;</w:t>
      </w:r>
    </w:p>
    <w:p>
      <w:pPr>
        <w:pStyle w:val="BodyText"/>
        <w:spacing w:before="7"/>
        <w:rPr>
          <w:sz w:val="22"/>
        </w:rPr>
      </w:pPr>
    </w:p>
    <w:p>
      <w:pPr>
        <w:pStyle w:val="ListParagraph"/>
        <w:numPr>
          <w:ilvl w:val="0"/>
          <w:numId w:val="224"/>
        </w:numPr>
        <w:tabs>
          <w:tab w:pos="789" w:val="left" w:leader="none"/>
        </w:tabs>
        <w:spacing w:line="244" w:lineRule="auto" w:before="0" w:after="0"/>
        <w:ind w:left="151" w:right="38" w:firstLine="397"/>
        <w:jc w:val="both"/>
        <w:rPr>
          <w:sz w:val="15"/>
        </w:rPr>
      </w:pPr>
      <w:r>
        <w:rPr>
          <w:sz w:val="15"/>
        </w:rPr>
        <w:t>Por carecer o no tener vigente los permisos correspondientes para   la utilización de espacios, como estacionamientos exclusivos en la  vía  pública, de uno a tres tantos del valor del</w:t>
      </w:r>
      <w:r>
        <w:rPr>
          <w:spacing w:val="20"/>
          <w:sz w:val="15"/>
        </w:rPr>
        <w:t> </w:t>
      </w:r>
      <w:r>
        <w:rPr>
          <w:sz w:val="15"/>
        </w:rPr>
        <w:t>permiso.</w:t>
      </w:r>
    </w:p>
    <w:p>
      <w:pPr>
        <w:pStyle w:val="BodyText"/>
        <w:spacing w:before="6"/>
        <w:rPr>
          <w:sz w:val="22"/>
        </w:rPr>
      </w:pPr>
    </w:p>
    <w:p>
      <w:pPr>
        <w:pStyle w:val="ListParagraph"/>
        <w:numPr>
          <w:ilvl w:val="0"/>
          <w:numId w:val="224"/>
        </w:numPr>
        <w:tabs>
          <w:tab w:pos="870" w:val="left" w:leader="none"/>
        </w:tabs>
        <w:spacing w:line="247" w:lineRule="auto" w:before="0" w:after="0"/>
        <w:ind w:left="151" w:right="38" w:firstLine="397"/>
        <w:jc w:val="both"/>
        <w:rPr>
          <w:sz w:val="15"/>
        </w:rPr>
      </w:pPr>
      <w:r>
        <w:rPr>
          <w:sz w:val="15"/>
        </w:rPr>
        <w:t>Por no tener en lugar visible para el público, o mantener  en  óptimas condiciones la declaración expresa de responsabilidades de los  daños que sufran los vehículos bajo custodia en un estacionamiento de servicio</w:t>
      </w:r>
      <w:r>
        <w:rPr>
          <w:spacing w:val="1"/>
          <w:sz w:val="15"/>
        </w:rPr>
        <w:t> </w:t>
      </w:r>
      <w:r>
        <w:rPr>
          <w:sz w:val="15"/>
        </w:rPr>
        <w:t>público:</w:t>
      </w:r>
    </w:p>
    <w:p>
      <w:pPr>
        <w:pStyle w:val="BodyText"/>
        <w:spacing w:before="9"/>
        <w:rPr>
          <w:sz w:val="19"/>
        </w:rPr>
      </w:pPr>
      <w:r>
        <w:rPr/>
        <w:br w:type="column"/>
      </w:r>
      <w:r>
        <w:rPr>
          <w:sz w:val="19"/>
        </w:rPr>
      </w:r>
    </w:p>
    <w:p>
      <w:pPr>
        <w:pStyle w:val="BodyText"/>
        <w:spacing w:before="1"/>
        <w:ind w:left="2392"/>
      </w:pPr>
      <w:r>
        <w:rPr/>
        <w:t>10 a 20 unidades de medida y actualización;</w:t>
      </w:r>
    </w:p>
    <w:p>
      <w:pPr>
        <w:pStyle w:val="BodyText"/>
        <w:spacing w:before="7"/>
        <w:rPr>
          <w:sz w:val="22"/>
        </w:rPr>
      </w:pPr>
    </w:p>
    <w:p>
      <w:pPr>
        <w:pStyle w:val="ListParagraph"/>
        <w:numPr>
          <w:ilvl w:val="0"/>
          <w:numId w:val="227"/>
        </w:numPr>
        <w:tabs>
          <w:tab w:pos="964" w:val="left" w:leader="none"/>
        </w:tabs>
        <w:spacing w:line="247" w:lineRule="auto" w:before="0" w:after="0"/>
        <w:ind w:left="151" w:right="4353" w:firstLine="397"/>
        <w:jc w:val="both"/>
        <w:rPr>
          <w:sz w:val="15"/>
        </w:rPr>
      </w:pPr>
      <w:r>
        <w:rPr>
          <w:sz w:val="15"/>
        </w:rPr>
        <w:t>Por tener señalados más metros de los autorizados para utilizar espacios como estacionamientos exclusivos en la vía pública, por  cada metro</w:t>
      </w:r>
      <w:r>
        <w:rPr>
          <w:spacing w:val="3"/>
          <w:sz w:val="15"/>
        </w:rPr>
        <w:t> </w:t>
      </w:r>
      <w:r>
        <w:rPr>
          <w:sz w:val="15"/>
        </w:rPr>
        <w:t>excedente:</w:t>
      </w:r>
    </w:p>
    <w:p>
      <w:pPr>
        <w:pStyle w:val="BodyText"/>
        <w:rPr>
          <w:sz w:val="22"/>
        </w:rPr>
      </w:pPr>
    </w:p>
    <w:p>
      <w:pPr>
        <w:pStyle w:val="ListParagraph"/>
        <w:numPr>
          <w:ilvl w:val="0"/>
          <w:numId w:val="228"/>
        </w:numPr>
        <w:tabs>
          <w:tab w:pos="729" w:val="left" w:leader="none"/>
          <w:tab w:pos="2030" w:val="left" w:leader="none"/>
        </w:tabs>
        <w:spacing w:line="240" w:lineRule="auto" w:before="0" w:after="0"/>
        <w:ind w:left="728" w:right="0" w:hanging="181"/>
        <w:jc w:val="left"/>
        <w:rPr>
          <w:sz w:val="15"/>
        </w:rPr>
      </w:pPr>
      <w:r>
        <w:rPr>
          <w:sz w:val="15"/>
        </w:rPr>
        <w:t>En</w:t>
      </w:r>
      <w:r>
        <w:rPr>
          <w:spacing w:val="17"/>
          <w:sz w:val="15"/>
        </w:rPr>
        <w:t> </w:t>
      </w:r>
      <w:r>
        <w:rPr>
          <w:sz w:val="15"/>
        </w:rPr>
        <w:t>cordón:</w:t>
        <w:tab/>
        <w:t>5 a 10 unidades de medida y</w:t>
      </w:r>
      <w:r>
        <w:rPr>
          <w:spacing w:val="12"/>
          <w:sz w:val="15"/>
        </w:rPr>
        <w:t> </w:t>
      </w:r>
      <w:r>
        <w:rPr>
          <w:sz w:val="15"/>
        </w:rPr>
        <w:t>actualización;</w:t>
      </w:r>
    </w:p>
    <w:p>
      <w:pPr>
        <w:pStyle w:val="ListParagraph"/>
        <w:numPr>
          <w:ilvl w:val="0"/>
          <w:numId w:val="228"/>
        </w:numPr>
        <w:tabs>
          <w:tab w:pos="729" w:val="left" w:leader="none"/>
          <w:tab w:pos="1953" w:val="left" w:leader="none"/>
        </w:tabs>
        <w:spacing w:line="240" w:lineRule="auto" w:before="44" w:after="0"/>
        <w:ind w:left="728" w:right="0" w:hanging="181"/>
        <w:jc w:val="left"/>
        <w:rPr>
          <w:sz w:val="15"/>
        </w:rPr>
      </w:pPr>
      <w:r>
        <w:rPr>
          <w:sz w:val="15"/>
        </w:rPr>
        <w:t>En</w:t>
      </w:r>
      <w:r>
        <w:rPr>
          <w:spacing w:val="18"/>
          <w:sz w:val="15"/>
        </w:rPr>
        <w:t> </w:t>
      </w:r>
      <w:r>
        <w:rPr>
          <w:sz w:val="15"/>
        </w:rPr>
        <w:t>batería:</w:t>
        <w:tab/>
        <w:t>10 a 15 unidades de medida y</w:t>
      </w:r>
      <w:r>
        <w:rPr>
          <w:spacing w:val="11"/>
          <w:sz w:val="15"/>
        </w:rPr>
        <w:t> </w:t>
      </w:r>
      <w:r>
        <w:rPr>
          <w:sz w:val="15"/>
        </w:rPr>
        <w:t>actualización;</w:t>
      </w:r>
    </w:p>
    <w:p>
      <w:pPr>
        <w:pStyle w:val="BodyText"/>
        <w:spacing w:before="2"/>
        <w:rPr>
          <w:sz w:val="19"/>
        </w:rPr>
      </w:pPr>
    </w:p>
    <w:p>
      <w:pPr>
        <w:pStyle w:val="ListParagraph"/>
        <w:numPr>
          <w:ilvl w:val="0"/>
          <w:numId w:val="227"/>
        </w:numPr>
        <w:tabs>
          <w:tab w:pos="970" w:val="left" w:leader="none"/>
        </w:tabs>
        <w:spacing w:line="247" w:lineRule="auto" w:before="0" w:after="0"/>
        <w:ind w:left="151" w:right="2787" w:firstLine="397"/>
        <w:jc w:val="both"/>
        <w:rPr>
          <w:sz w:val="15"/>
        </w:rPr>
      </w:pPr>
      <w:r>
        <w:rPr>
          <w:sz w:val="15"/>
        </w:rPr>
        <w:t>Por retirar sin autorización aparatos de estacionómetros del lugar en que se encuentren enclavados, independientemente del pago  de  los  daños o destino que se les dé a</w:t>
      </w:r>
      <w:r>
        <w:rPr>
          <w:spacing w:val="14"/>
          <w:sz w:val="15"/>
        </w:rPr>
        <w:t> </w:t>
      </w:r>
      <w:r>
        <w:rPr>
          <w:sz w:val="15"/>
        </w:rPr>
        <w:t>éstos:</w:t>
      </w:r>
    </w:p>
    <w:p>
      <w:pPr>
        <w:pStyle w:val="BodyText"/>
        <w:spacing w:line="171" w:lineRule="exact"/>
        <w:ind w:left="2221"/>
        <w:jc w:val="both"/>
      </w:pPr>
      <w:r>
        <w:rPr/>
        <w:t>100 a 200 unidades de medida y actualización;</w:t>
      </w:r>
    </w:p>
    <w:p>
      <w:pPr>
        <w:pStyle w:val="BodyText"/>
        <w:spacing w:before="7"/>
        <w:rPr>
          <w:sz w:val="22"/>
        </w:rPr>
      </w:pPr>
    </w:p>
    <w:p>
      <w:pPr>
        <w:pStyle w:val="ListParagraph"/>
        <w:numPr>
          <w:ilvl w:val="0"/>
          <w:numId w:val="227"/>
        </w:numPr>
        <w:tabs>
          <w:tab w:pos="898" w:val="left" w:leader="none"/>
        </w:tabs>
        <w:spacing w:line="247" w:lineRule="auto" w:before="0" w:after="0"/>
        <w:ind w:left="151" w:right="2788" w:firstLine="397"/>
        <w:jc w:val="both"/>
        <w:rPr>
          <w:sz w:val="15"/>
        </w:rPr>
      </w:pPr>
      <w:r>
        <w:rPr>
          <w:sz w:val="15"/>
        </w:rPr>
        <w:t>Por no mantener en condiciones higiénicas los sanitarios para el servicio de los usuarios del estacionamiento</w:t>
      </w:r>
      <w:r>
        <w:rPr>
          <w:spacing w:val="14"/>
          <w:sz w:val="15"/>
        </w:rPr>
        <w:t> </w:t>
      </w:r>
      <w:r>
        <w:rPr>
          <w:sz w:val="15"/>
        </w:rPr>
        <w:t>público:</w:t>
      </w:r>
    </w:p>
    <w:p>
      <w:pPr>
        <w:pStyle w:val="BodyText"/>
        <w:spacing w:line="172" w:lineRule="exact"/>
        <w:ind w:left="2213"/>
        <w:jc w:val="both"/>
      </w:pPr>
      <w:r>
        <w:rPr/>
        <w:t>8 a 10 unidades de medida y actualización;</w:t>
      </w:r>
    </w:p>
    <w:p>
      <w:pPr>
        <w:pStyle w:val="BodyText"/>
        <w:spacing w:before="2"/>
        <w:rPr>
          <w:sz w:val="19"/>
        </w:rPr>
      </w:pPr>
    </w:p>
    <w:p>
      <w:pPr>
        <w:pStyle w:val="ListParagraph"/>
        <w:numPr>
          <w:ilvl w:val="0"/>
          <w:numId w:val="227"/>
        </w:numPr>
        <w:tabs>
          <w:tab w:pos="870" w:val="left" w:leader="none"/>
        </w:tabs>
        <w:spacing w:line="244" w:lineRule="auto" w:before="0" w:after="0"/>
        <w:ind w:left="151" w:right="2787" w:firstLine="397"/>
        <w:jc w:val="both"/>
        <w:rPr>
          <w:sz w:val="15"/>
        </w:rPr>
      </w:pPr>
      <w:r>
        <w:rPr>
          <w:sz w:val="15"/>
        </w:rPr>
        <w:t>Por utilizar el estacionamiento exclusivo con fines distintos a lo establecido en los lineamientos del Dictamen Autorizado, por cada metro lineal:8 a 20 unidades de medida y</w:t>
      </w:r>
      <w:r>
        <w:rPr>
          <w:spacing w:val="16"/>
          <w:sz w:val="15"/>
        </w:rPr>
        <w:t> </w:t>
      </w:r>
      <w:r>
        <w:rPr>
          <w:sz w:val="15"/>
        </w:rPr>
        <w:t>actualización;</w:t>
      </w:r>
    </w:p>
    <w:p>
      <w:pPr>
        <w:pStyle w:val="BodyText"/>
        <w:spacing w:before="5"/>
        <w:rPr>
          <w:sz w:val="22"/>
        </w:rPr>
      </w:pPr>
    </w:p>
    <w:p>
      <w:pPr>
        <w:pStyle w:val="ListParagraph"/>
        <w:numPr>
          <w:ilvl w:val="0"/>
          <w:numId w:val="227"/>
        </w:numPr>
        <w:tabs>
          <w:tab w:pos="894" w:val="left" w:leader="none"/>
        </w:tabs>
        <w:spacing w:line="247" w:lineRule="auto" w:before="1" w:after="0"/>
        <w:ind w:left="151" w:right="2787" w:firstLine="397"/>
        <w:jc w:val="both"/>
        <w:rPr>
          <w:sz w:val="15"/>
        </w:rPr>
      </w:pPr>
      <w:r>
        <w:rPr>
          <w:sz w:val="15"/>
        </w:rPr>
        <w:t>Por ocupar espacios para personas de la tercera edad o mujeres embarazadas sin contar con la acreditación correspondiente ya sea en estacionamientos públicos, en plazas, centros comerciales o vinculados a establecimientos mercantiles o de servicios, tianguis y de carga, independientemente del costo por el retiro del vehículo</w:t>
      </w:r>
      <w:r>
        <w:rPr>
          <w:spacing w:val="25"/>
          <w:sz w:val="15"/>
        </w:rPr>
        <w:t> </w:t>
      </w:r>
      <w:r>
        <w:rPr>
          <w:sz w:val="15"/>
        </w:rPr>
        <w:t>de:</w:t>
      </w:r>
    </w:p>
    <w:p>
      <w:pPr>
        <w:pStyle w:val="BodyText"/>
        <w:spacing w:line="169" w:lineRule="exact"/>
        <w:ind w:left="2233"/>
        <w:jc w:val="both"/>
      </w:pPr>
      <w:r>
        <w:rPr/>
        <w:t>113 a 338 unidades de medida y actualización;</w:t>
      </w:r>
    </w:p>
    <w:p>
      <w:pPr>
        <w:pStyle w:val="BodyText"/>
        <w:spacing w:before="6"/>
        <w:rPr>
          <w:sz w:val="22"/>
        </w:rPr>
      </w:pPr>
    </w:p>
    <w:p>
      <w:pPr>
        <w:pStyle w:val="ListParagraph"/>
        <w:numPr>
          <w:ilvl w:val="0"/>
          <w:numId w:val="227"/>
        </w:numPr>
        <w:tabs>
          <w:tab w:pos="952" w:val="left" w:leader="none"/>
        </w:tabs>
        <w:spacing w:line="247" w:lineRule="auto" w:before="1" w:after="0"/>
        <w:ind w:left="151" w:right="2788" w:firstLine="397"/>
        <w:jc w:val="both"/>
        <w:rPr>
          <w:sz w:val="15"/>
        </w:rPr>
      </w:pPr>
      <w:r>
        <w:rPr>
          <w:sz w:val="15"/>
        </w:rPr>
        <w:t>Por insultar al personal de inspección, supervisión o vigilancia, además del pago de los daños físicos o jurídicos que sufra  el  propio  personal, independientemente de la consignación penal correspondiente, de: 13 a 21 unidades de medida y</w:t>
      </w:r>
      <w:r>
        <w:rPr>
          <w:spacing w:val="14"/>
          <w:sz w:val="15"/>
        </w:rPr>
        <w:t> </w:t>
      </w:r>
      <w:r>
        <w:rPr>
          <w:sz w:val="15"/>
        </w:rPr>
        <w:t>actualización;</w:t>
      </w:r>
    </w:p>
    <w:p>
      <w:pPr>
        <w:spacing w:after="0" w:line="247" w:lineRule="auto"/>
        <w:jc w:val="both"/>
        <w:rPr>
          <w:sz w:val="15"/>
        </w:rPr>
        <w:sectPr>
          <w:type w:val="continuous"/>
          <w:pgSz w:w="23250" w:h="15310" w:orient="landscape"/>
          <w:pgMar w:top="0" w:bottom="0" w:left="1880" w:right="1520"/>
          <w:cols w:num="2" w:equalWidth="0">
            <w:col w:w="5473" w:space="6149"/>
            <w:col w:w="8228"/>
          </w:cols>
        </w:sectPr>
      </w:pPr>
    </w:p>
    <w:p>
      <w:pPr>
        <w:pStyle w:val="BodyText"/>
        <w:spacing w:line="170" w:lineRule="exact"/>
        <w:ind w:left="2563"/>
      </w:pPr>
      <w:r>
        <w:rPr/>
        <w:t>3 a 5 unidades de medida y actualización;</w:t>
      </w:r>
    </w:p>
    <w:p>
      <w:pPr>
        <w:pStyle w:val="BodyText"/>
        <w:spacing w:before="7"/>
        <w:rPr>
          <w:sz w:val="22"/>
        </w:rPr>
      </w:pPr>
    </w:p>
    <w:p>
      <w:pPr>
        <w:pStyle w:val="ListParagraph"/>
        <w:numPr>
          <w:ilvl w:val="0"/>
          <w:numId w:val="229"/>
        </w:numPr>
        <w:tabs>
          <w:tab w:pos="873" w:val="left" w:leader="none"/>
        </w:tabs>
        <w:spacing w:line="247" w:lineRule="auto" w:before="0" w:after="0"/>
        <w:ind w:left="151" w:right="38" w:firstLine="397"/>
        <w:jc w:val="both"/>
        <w:rPr>
          <w:sz w:val="15"/>
        </w:rPr>
      </w:pPr>
      <w:r>
        <w:rPr>
          <w:sz w:val="15"/>
        </w:rPr>
        <w:t>Por no expedir boletos autorizados o utilizar la serie registrada en   la oficina de la Hacienda</w:t>
      </w:r>
      <w:r>
        <w:rPr>
          <w:spacing w:val="5"/>
          <w:sz w:val="15"/>
        </w:rPr>
        <w:t> </w:t>
      </w:r>
      <w:r>
        <w:rPr>
          <w:sz w:val="15"/>
        </w:rPr>
        <w:t>Municipal:</w:t>
      </w:r>
    </w:p>
    <w:p>
      <w:pPr>
        <w:pStyle w:val="BodyText"/>
        <w:spacing w:line="172" w:lineRule="exact"/>
        <w:ind w:left="2520"/>
      </w:pPr>
      <w:r>
        <w:rPr/>
        <w:t>3 a 5 unidades de medida y actualización;</w:t>
      </w:r>
    </w:p>
    <w:p>
      <w:pPr>
        <w:pStyle w:val="BodyText"/>
        <w:spacing w:before="7"/>
        <w:rPr>
          <w:sz w:val="22"/>
        </w:rPr>
      </w:pPr>
    </w:p>
    <w:p>
      <w:pPr>
        <w:pStyle w:val="ListParagraph"/>
        <w:numPr>
          <w:ilvl w:val="0"/>
          <w:numId w:val="229"/>
        </w:numPr>
        <w:tabs>
          <w:tab w:pos="868" w:val="left" w:leader="none"/>
        </w:tabs>
        <w:spacing w:line="247" w:lineRule="auto" w:before="0" w:after="0"/>
        <w:ind w:left="151" w:right="39" w:firstLine="397"/>
        <w:jc w:val="both"/>
        <w:rPr>
          <w:sz w:val="15"/>
        </w:rPr>
      </w:pPr>
      <w:r>
        <w:rPr>
          <w:sz w:val="15"/>
        </w:rPr>
        <w:t>Por no llenar los boletos (talonarios y comprobantes usuarios), con los datos que exige la Dirección General de Padrón y</w:t>
      </w:r>
      <w:r>
        <w:rPr>
          <w:spacing w:val="39"/>
          <w:sz w:val="15"/>
        </w:rPr>
        <w:t> </w:t>
      </w:r>
      <w:r>
        <w:rPr>
          <w:sz w:val="15"/>
        </w:rPr>
        <w:t>Licencias:</w:t>
      </w:r>
    </w:p>
    <w:p>
      <w:pPr>
        <w:pStyle w:val="BodyText"/>
        <w:spacing w:line="172" w:lineRule="exact"/>
        <w:ind w:left="2262"/>
        <w:jc w:val="both"/>
      </w:pPr>
      <w:r>
        <w:rPr/>
        <w:t>6 a 10 unidades de medida y actualización;</w:t>
      </w:r>
    </w:p>
    <w:p>
      <w:pPr>
        <w:pStyle w:val="BodyText"/>
        <w:spacing w:before="2"/>
        <w:rPr>
          <w:sz w:val="19"/>
        </w:rPr>
      </w:pPr>
    </w:p>
    <w:p>
      <w:pPr>
        <w:pStyle w:val="ListParagraph"/>
        <w:numPr>
          <w:ilvl w:val="0"/>
          <w:numId w:val="229"/>
        </w:numPr>
        <w:tabs>
          <w:tab w:pos="830" w:val="left" w:leader="none"/>
        </w:tabs>
        <w:spacing w:line="247" w:lineRule="auto" w:before="0" w:after="0"/>
        <w:ind w:left="151" w:right="38" w:firstLine="397"/>
        <w:jc w:val="both"/>
        <w:rPr>
          <w:sz w:val="15"/>
        </w:rPr>
      </w:pPr>
      <w:r>
        <w:rPr>
          <w:sz w:val="15"/>
        </w:rPr>
        <w:t>Por tener sobre cupo de vehículos en relación con la capacidad de cajones del estacionamiento, registrada y autorizada por el Municipio,  por cada vehículo</w:t>
      </w:r>
      <w:r>
        <w:rPr>
          <w:spacing w:val="2"/>
          <w:sz w:val="15"/>
        </w:rPr>
        <w:t> </w:t>
      </w:r>
      <w:r>
        <w:rPr>
          <w:sz w:val="15"/>
        </w:rPr>
        <w:t>excedente:</w:t>
      </w:r>
    </w:p>
    <w:p>
      <w:pPr>
        <w:pStyle w:val="BodyText"/>
        <w:spacing w:line="170" w:lineRule="exact"/>
        <w:ind w:left="2219"/>
        <w:jc w:val="both"/>
      </w:pPr>
      <w:r>
        <w:rPr/>
        <w:t>10 a 15 unidades de medida y actualización;</w:t>
      </w:r>
    </w:p>
    <w:p>
      <w:pPr>
        <w:pStyle w:val="BodyText"/>
        <w:spacing w:before="7"/>
        <w:rPr>
          <w:sz w:val="22"/>
        </w:rPr>
      </w:pPr>
    </w:p>
    <w:p>
      <w:pPr>
        <w:pStyle w:val="ListParagraph"/>
        <w:numPr>
          <w:ilvl w:val="0"/>
          <w:numId w:val="229"/>
        </w:numPr>
        <w:tabs>
          <w:tab w:pos="954" w:val="left" w:leader="none"/>
        </w:tabs>
        <w:spacing w:line="247" w:lineRule="auto" w:before="0" w:after="0"/>
        <w:ind w:left="151" w:right="39" w:firstLine="397"/>
        <w:jc w:val="both"/>
        <w:rPr>
          <w:sz w:val="15"/>
        </w:rPr>
      </w:pPr>
      <w:r>
        <w:rPr>
          <w:sz w:val="15"/>
        </w:rPr>
        <w:t>Por alterar las tarifas autorizadas por el Municipio en los estacionamientos públicos,</w:t>
      </w:r>
      <w:r>
        <w:rPr>
          <w:spacing w:val="3"/>
          <w:sz w:val="15"/>
        </w:rPr>
        <w:t> </w:t>
      </w:r>
      <w:r>
        <w:rPr>
          <w:sz w:val="15"/>
        </w:rPr>
        <w:t>de:</w:t>
      </w:r>
    </w:p>
    <w:p>
      <w:pPr>
        <w:pStyle w:val="ListParagraph"/>
        <w:numPr>
          <w:ilvl w:val="0"/>
          <w:numId w:val="230"/>
        </w:numPr>
        <w:tabs>
          <w:tab w:pos="993" w:val="left" w:leader="none"/>
        </w:tabs>
        <w:spacing w:line="244" w:lineRule="auto" w:before="76" w:after="0"/>
        <w:ind w:left="151" w:right="2788" w:firstLine="397"/>
        <w:jc w:val="both"/>
        <w:rPr>
          <w:sz w:val="15"/>
        </w:rPr>
      </w:pPr>
      <w:r>
        <w:rPr>
          <w:w w:val="102"/>
          <w:sz w:val="15"/>
        </w:rPr>
        <w:br w:type="column"/>
      </w:r>
      <w:r>
        <w:rPr>
          <w:sz w:val="15"/>
        </w:rPr>
        <w:t>Por no contar con los espacios exclusivos requeridos para las personas discapacitadas, de la tercera edad y  mujeres  embarazadas,  de: 259 a 408 unidades de medida y</w:t>
      </w:r>
      <w:r>
        <w:rPr>
          <w:spacing w:val="14"/>
          <w:sz w:val="15"/>
        </w:rPr>
        <w:t> </w:t>
      </w:r>
      <w:r>
        <w:rPr>
          <w:sz w:val="15"/>
        </w:rPr>
        <w:t>actualización;</w:t>
      </w:r>
    </w:p>
    <w:p>
      <w:pPr>
        <w:pStyle w:val="BodyText"/>
        <w:spacing w:before="5"/>
        <w:rPr>
          <w:sz w:val="22"/>
        </w:rPr>
      </w:pPr>
    </w:p>
    <w:p>
      <w:pPr>
        <w:pStyle w:val="ListParagraph"/>
        <w:numPr>
          <w:ilvl w:val="0"/>
          <w:numId w:val="230"/>
        </w:numPr>
        <w:tabs>
          <w:tab w:pos="1025" w:val="left" w:leader="none"/>
          <w:tab w:pos="2131" w:val="left" w:leader="none"/>
        </w:tabs>
        <w:spacing w:line="247" w:lineRule="auto" w:before="0" w:after="0"/>
        <w:ind w:left="151" w:right="2788" w:firstLine="397"/>
        <w:jc w:val="both"/>
        <w:rPr>
          <w:sz w:val="15"/>
        </w:rPr>
      </w:pPr>
      <w:r>
        <w:rPr>
          <w:sz w:val="15"/>
        </w:rPr>
        <w:t>Por no tener en el estacionamiento el libro de registro de vehículos pensionados o no estar autorizados por la oficina de estacionamientos,</w:t>
      </w:r>
      <w:r>
        <w:rPr>
          <w:spacing w:val="23"/>
          <w:sz w:val="15"/>
        </w:rPr>
        <w:t> </w:t>
      </w:r>
      <w:r>
        <w:rPr>
          <w:sz w:val="15"/>
        </w:rPr>
        <w:t>de:</w:t>
        <w:tab/>
        <w:t>5 a 10 unidades de medida y</w:t>
      </w:r>
      <w:r>
        <w:rPr>
          <w:spacing w:val="37"/>
          <w:sz w:val="15"/>
        </w:rPr>
        <w:t> </w:t>
      </w:r>
      <w:r>
        <w:rPr>
          <w:sz w:val="15"/>
        </w:rPr>
        <w:t>actualización;</w:t>
      </w:r>
    </w:p>
    <w:p>
      <w:pPr>
        <w:pStyle w:val="BodyText"/>
        <w:spacing w:before="8"/>
        <w:rPr>
          <w:sz w:val="18"/>
        </w:rPr>
      </w:pPr>
    </w:p>
    <w:p>
      <w:pPr>
        <w:pStyle w:val="ListParagraph"/>
        <w:numPr>
          <w:ilvl w:val="0"/>
          <w:numId w:val="230"/>
        </w:numPr>
        <w:tabs>
          <w:tab w:pos="953" w:val="left" w:leader="none"/>
        </w:tabs>
        <w:spacing w:line="247" w:lineRule="auto" w:before="0" w:after="0"/>
        <w:ind w:left="151" w:right="2788" w:firstLine="397"/>
        <w:jc w:val="both"/>
        <w:rPr>
          <w:sz w:val="15"/>
        </w:rPr>
      </w:pPr>
      <w:r>
        <w:rPr>
          <w:sz w:val="15"/>
        </w:rPr>
        <w:t>Por ceder los derechos de la concesión, permiso o licencia de estacionamientos públicos o exclusivos,  sin  la  autorización  municipal,  de:  35 a 45 unidades de medida y</w:t>
      </w:r>
      <w:r>
        <w:rPr>
          <w:spacing w:val="14"/>
          <w:sz w:val="15"/>
        </w:rPr>
        <w:t> </w:t>
      </w:r>
      <w:r>
        <w:rPr>
          <w:sz w:val="15"/>
        </w:rPr>
        <w:t>actualización;</w:t>
      </w:r>
    </w:p>
    <w:p>
      <w:pPr>
        <w:pStyle w:val="BodyText"/>
        <w:spacing w:before="1"/>
        <w:rPr>
          <w:sz w:val="22"/>
        </w:rPr>
      </w:pPr>
    </w:p>
    <w:p>
      <w:pPr>
        <w:pStyle w:val="ListParagraph"/>
        <w:numPr>
          <w:ilvl w:val="0"/>
          <w:numId w:val="230"/>
        </w:numPr>
        <w:tabs>
          <w:tab w:pos="1068" w:val="left" w:leader="none"/>
        </w:tabs>
        <w:spacing w:line="247" w:lineRule="auto" w:before="0" w:after="0"/>
        <w:ind w:left="151" w:right="2788" w:firstLine="397"/>
        <w:jc w:val="both"/>
        <w:rPr>
          <w:sz w:val="15"/>
        </w:rPr>
      </w:pPr>
      <w:r>
        <w:rPr>
          <w:sz w:val="15"/>
        </w:rPr>
        <w:t>Por operar un estacionamiento público o el servicio de estacionamiento con acomodadores de vehículos sin tener vigente la documentación requerida en el Reglamento,</w:t>
      </w:r>
      <w:r>
        <w:rPr>
          <w:spacing w:val="11"/>
          <w:sz w:val="15"/>
        </w:rPr>
        <w:t> </w:t>
      </w:r>
      <w:r>
        <w:rPr>
          <w:sz w:val="15"/>
        </w:rPr>
        <w:t>de:</w:t>
      </w:r>
    </w:p>
    <w:p>
      <w:pPr>
        <w:pStyle w:val="BodyText"/>
        <w:spacing w:line="170" w:lineRule="exact"/>
        <w:ind w:left="2393"/>
        <w:jc w:val="both"/>
      </w:pPr>
      <w:r>
        <w:rPr/>
        <w:t>12 a 36 unidades de medida y actualización;</w:t>
      </w:r>
    </w:p>
    <w:p>
      <w:pPr>
        <w:spacing w:after="0" w:line="170" w:lineRule="exact"/>
        <w:jc w:val="both"/>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25"/>
          <w:pgSz w:w="23250" w:h="15310" w:orient="landscape"/>
          <w:pgMar w:header="881" w:footer="499" w:top="1920" w:bottom="680" w:left="1880" w:right="1520"/>
        </w:sectPr>
      </w:pPr>
    </w:p>
    <w:p>
      <w:pPr>
        <w:pStyle w:val="BodyText"/>
        <w:spacing w:before="10"/>
        <w:rPr>
          <w:sz w:val="19"/>
        </w:rPr>
      </w:pPr>
    </w:p>
    <w:p>
      <w:pPr>
        <w:pStyle w:val="ListParagraph"/>
        <w:numPr>
          <w:ilvl w:val="0"/>
          <w:numId w:val="230"/>
        </w:numPr>
        <w:tabs>
          <w:tab w:pos="1038" w:val="left" w:leader="none"/>
        </w:tabs>
        <w:spacing w:line="247" w:lineRule="auto" w:before="0" w:after="0"/>
        <w:ind w:left="151" w:right="38" w:firstLine="397"/>
        <w:jc w:val="both"/>
        <w:rPr>
          <w:sz w:val="15"/>
        </w:rPr>
      </w:pPr>
      <w:r>
        <w:rPr>
          <w:sz w:val="15"/>
        </w:rPr>
        <w:t>Por no disponer el establecimiento de espacios para estacionar los vehículos de conformidad con la superficie construida, en la prestación    del servicio con acomodadores de vehículos,</w:t>
      </w:r>
      <w:r>
        <w:rPr>
          <w:spacing w:val="13"/>
          <w:sz w:val="15"/>
        </w:rPr>
        <w:t> </w:t>
      </w:r>
      <w:r>
        <w:rPr>
          <w:sz w:val="15"/>
        </w:rPr>
        <w:t>de:</w:t>
      </w:r>
    </w:p>
    <w:p>
      <w:pPr>
        <w:pStyle w:val="BodyText"/>
        <w:spacing w:line="171" w:lineRule="exact"/>
        <w:ind w:left="2393"/>
        <w:jc w:val="both"/>
      </w:pPr>
      <w:r>
        <w:rPr/>
        <w:t>26 a 40 unidades de medida y actualización;</w:t>
      </w:r>
    </w:p>
    <w:p>
      <w:pPr>
        <w:pStyle w:val="BodyText"/>
        <w:spacing w:before="7"/>
        <w:rPr>
          <w:sz w:val="22"/>
        </w:rPr>
      </w:pPr>
    </w:p>
    <w:p>
      <w:pPr>
        <w:pStyle w:val="ListParagraph"/>
        <w:numPr>
          <w:ilvl w:val="0"/>
          <w:numId w:val="230"/>
        </w:numPr>
        <w:tabs>
          <w:tab w:pos="1085" w:val="left" w:leader="none"/>
        </w:tabs>
        <w:spacing w:line="244" w:lineRule="auto" w:before="0" w:after="0"/>
        <w:ind w:left="151" w:right="39" w:firstLine="397"/>
        <w:jc w:val="both"/>
        <w:rPr>
          <w:sz w:val="15"/>
        </w:rPr>
      </w:pPr>
      <w:r>
        <w:rPr>
          <w:sz w:val="15"/>
        </w:rPr>
        <w:t>Por exceder el tiempo en los espacios regulados por aparatos estacionómetros o plataforma digital, independientemente de la tarifa  generada por el tiempo excedido</w:t>
      </w:r>
      <w:r>
        <w:rPr>
          <w:spacing w:val="8"/>
          <w:sz w:val="15"/>
        </w:rPr>
        <w:t> </w:t>
      </w:r>
      <w:r>
        <w:rPr>
          <w:sz w:val="15"/>
        </w:rPr>
        <w:t>de:</w:t>
      </w:r>
    </w:p>
    <w:p>
      <w:pPr>
        <w:pStyle w:val="BodyText"/>
        <w:spacing w:before="3"/>
        <w:ind w:left="2564"/>
        <w:jc w:val="both"/>
      </w:pPr>
      <w:r>
        <w:rPr/>
        <w:t>1 a 2 unidades de medida y actualización;</w:t>
      </w:r>
    </w:p>
    <w:p>
      <w:pPr>
        <w:pStyle w:val="BodyText"/>
        <w:spacing w:before="7"/>
        <w:rPr>
          <w:sz w:val="22"/>
        </w:rPr>
      </w:pPr>
    </w:p>
    <w:p>
      <w:pPr>
        <w:pStyle w:val="ListParagraph"/>
        <w:numPr>
          <w:ilvl w:val="0"/>
          <w:numId w:val="230"/>
        </w:numPr>
        <w:tabs>
          <w:tab w:pos="996" w:val="left" w:leader="none"/>
        </w:tabs>
        <w:spacing w:line="247" w:lineRule="auto" w:before="0" w:after="0"/>
        <w:ind w:left="151" w:right="39" w:firstLine="397"/>
        <w:jc w:val="both"/>
        <w:rPr>
          <w:sz w:val="15"/>
        </w:rPr>
      </w:pPr>
      <w:r>
        <w:rPr>
          <w:sz w:val="15"/>
        </w:rPr>
        <w:t>Por infringir otras disposiciones en materia de estacionamientos   y estacionómetros del Municipio de Tlajomulco de Zúñiga, Jalisco, en forma  no prevista en los numerales anteriores,</w:t>
      </w:r>
      <w:r>
        <w:rPr>
          <w:spacing w:val="12"/>
          <w:sz w:val="15"/>
        </w:rPr>
        <w:t> </w:t>
      </w:r>
      <w:r>
        <w:rPr>
          <w:sz w:val="15"/>
        </w:rPr>
        <w:t>de:</w:t>
      </w:r>
    </w:p>
    <w:p>
      <w:pPr>
        <w:pStyle w:val="BodyText"/>
        <w:spacing w:line="171" w:lineRule="exact"/>
        <w:ind w:left="2478"/>
        <w:jc w:val="both"/>
      </w:pPr>
      <w:r>
        <w:rPr/>
        <w:t>6 a 24 unidades de medida y actualización;</w:t>
      </w:r>
    </w:p>
    <w:p>
      <w:pPr>
        <w:pStyle w:val="BodyText"/>
        <w:spacing w:before="7"/>
        <w:rPr>
          <w:sz w:val="22"/>
        </w:rPr>
      </w:pPr>
    </w:p>
    <w:p>
      <w:pPr>
        <w:pStyle w:val="BodyText"/>
        <w:spacing w:line="247" w:lineRule="auto"/>
        <w:ind w:left="151" w:right="40" w:firstLine="380"/>
        <w:jc w:val="both"/>
      </w:pPr>
      <w:r>
        <w:rPr>
          <w:b/>
        </w:rPr>
        <w:t>Artículo 148.- </w:t>
      </w:r>
      <w:r>
        <w:rPr/>
        <w:t>Además de reparar el daño ambiental, se aplicarán las sanciones por contravenir las disposiciones reglamentarias municipales vigentes referentes al control y protección al medio ambiente:</w:t>
      </w:r>
    </w:p>
    <w:p>
      <w:pPr>
        <w:pStyle w:val="BodyText"/>
        <w:spacing w:before="1"/>
        <w:rPr>
          <w:sz w:val="22"/>
        </w:rPr>
      </w:pPr>
    </w:p>
    <w:p>
      <w:pPr>
        <w:pStyle w:val="BodyText"/>
        <w:spacing w:line="247" w:lineRule="auto"/>
        <w:ind w:left="151" w:right="39" w:firstLine="397"/>
        <w:jc w:val="both"/>
      </w:pPr>
      <w:r>
        <w:rPr/>
        <w:t>I. Por carecer del dictamen favorable de la Dirección General  de  Gestión Ambiental, Cambio Climático y Sustentabilidad, previo </w:t>
      </w:r>
      <w:r>
        <w:rPr>
          <w:spacing w:val="3"/>
        </w:rPr>
        <w:t>al  </w:t>
      </w:r>
      <w:r>
        <w:rPr/>
        <w:t>otorgamiento de la nueva licencia municipal, según la importancia y daño ecológico ocasionado al medio</w:t>
      </w:r>
      <w:r>
        <w:rPr>
          <w:spacing w:val="6"/>
        </w:rPr>
        <w:t> </w:t>
      </w:r>
      <w:r>
        <w:rPr/>
        <w:t>ambiente:</w:t>
      </w:r>
    </w:p>
    <w:p>
      <w:pPr>
        <w:pStyle w:val="BodyText"/>
        <w:rPr>
          <w:sz w:val="22"/>
        </w:rPr>
      </w:pPr>
    </w:p>
    <w:p>
      <w:pPr>
        <w:pStyle w:val="ListParagraph"/>
        <w:numPr>
          <w:ilvl w:val="0"/>
          <w:numId w:val="231"/>
        </w:numPr>
        <w:tabs>
          <w:tab w:pos="749" w:val="left" w:leader="none"/>
        </w:tabs>
        <w:spacing w:line="244" w:lineRule="auto" w:before="1" w:after="0"/>
        <w:ind w:left="151" w:right="38" w:firstLine="397"/>
        <w:jc w:val="both"/>
        <w:rPr>
          <w:sz w:val="15"/>
        </w:rPr>
      </w:pPr>
      <w:r>
        <w:rPr>
          <w:sz w:val="15"/>
        </w:rPr>
        <w:t>En aquellos giros normados por la Dirección General de Padrón y Licencias según la gravedad del daño al medio ambiente y entorno ecológico de:</w:t>
      </w:r>
    </w:p>
    <w:p>
      <w:pPr>
        <w:pStyle w:val="BodyText"/>
        <w:spacing w:before="3"/>
        <w:ind w:left="2393"/>
        <w:jc w:val="both"/>
      </w:pPr>
      <w:r>
        <w:rPr/>
        <w:t>10 a 78 unidades de medida y actualización;</w:t>
      </w:r>
    </w:p>
    <w:p>
      <w:pPr>
        <w:pStyle w:val="BodyText"/>
        <w:spacing w:before="1"/>
        <w:rPr>
          <w:sz w:val="19"/>
        </w:rPr>
      </w:pPr>
    </w:p>
    <w:p>
      <w:pPr>
        <w:pStyle w:val="ListParagraph"/>
        <w:numPr>
          <w:ilvl w:val="0"/>
          <w:numId w:val="231"/>
        </w:numPr>
        <w:tabs>
          <w:tab w:pos="730" w:val="left" w:leader="none"/>
        </w:tabs>
        <w:spacing w:line="247" w:lineRule="auto" w:before="1" w:after="0"/>
        <w:ind w:left="151" w:right="38" w:firstLine="397"/>
        <w:jc w:val="both"/>
        <w:rPr>
          <w:sz w:val="15"/>
        </w:rPr>
      </w:pPr>
      <w:r>
        <w:rPr>
          <w:sz w:val="15"/>
        </w:rPr>
        <w:t>En bancos de material como cantera, piedra común y piedra para fabricación de cal, arena amarilla, arena de río y materiales similares de cualquier</w:t>
      </w:r>
      <w:r>
        <w:rPr>
          <w:spacing w:val="7"/>
          <w:sz w:val="15"/>
        </w:rPr>
        <w:t> </w:t>
      </w:r>
      <w:r>
        <w:rPr>
          <w:sz w:val="15"/>
        </w:rPr>
        <w:t>naturaleza,</w:t>
      </w:r>
      <w:r>
        <w:rPr>
          <w:spacing w:val="7"/>
          <w:sz w:val="15"/>
        </w:rPr>
        <w:t> </w:t>
      </w:r>
      <w:r>
        <w:rPr>
          <w:sz w:val="15"/>
        </w:rPr>
        <w:t>según</w:t>
      </w:r>
      <w:r>
        <w:rPr>
          <w:spacing w:val="7"/>
          <w:sz w:val="15"/>
        </w:rPr>
        <w:t> </w:t>
      </w:r>
      <w:r>
        <w:rPr>
          <w:sz w:val="15"/>
        </w:rPr>
        <w:t>la</w:t>
      </w:r>
      <w:r>
        <w:rPr>
          <w:spacing w:val="7"/>
          <w:sz w:val="15"/>
        </w:rPr>
        <w:t> </w:t>
      </w:r>
      <w:r>
        <w:rPr>
          <w:sz w:val="15"/>
        </w:rPr>
        <w:t>cantidad</w:t>
      </w:r>
      <w:r>
        <w:rPr>
          <w:spacing w:val="8"/>
          <w:sz w:val="15"/>
        </w:rPr>
        <w:t> </w:t>
      </w:r>
      <w:r>
        <w:rPr>
          <w:sz w:val="15"/>
        </w:rPr>
        <w:t>de</w:t>
      </w:r>
      <w:r>
        <w:rPr>
          <w:spacing w:val="7"/>
          <w:sz w:val="15"/>
        </w:rPr>
        <w:t> </w:t>
      </w:r>
      <w:r>
        <w:rPr>
          <w:sz w:val="15"/>
        </w:rPr>
        <w:t>metros</w:t>
      </w:r>
      <w:r>
        <w:rPr>
          <w:spacing w:val="7"/>
          <w:sz w:val="15"/>
        </w:rPr>
        <w:t> </w:t>
      </w:r>
      <w:r>
        <w:rPr>
          <w:sz w:val="15"/>
        </w:rPr>
        <w:t>cúbicos</w:t>
      </w:r>
      <w:r>
        <w:rPr>
          <w:spacing w:val="7"/>
          <w:sz w:val="15"/>
        </w:rPr>
        <w:t> </w:t>
      </w:r>
      <w:r>
        <w:rPr>
          <w:sz w:val="15"/>
        </w:rPr>
        <w:t>extraídos,</w:t>
      </w:r>
      <w:r>
        <w:rPr>
          <w:spacing w:val="8"/>
          <w:sz w:val="15"/>
        </w:rPr>
        <w:t> </w:t>
      </w:r>
      <w:r>
        <w:rPr>
          <w:sz w:val="15"/>
        </w:rPr>
        <w:t>de:</w:t>
      </w:r>
    </w:p>
    <w:p>
      <w:pPr>
        <w:pStyle w:val="BodyText"/>
        <w:spacing w:line="171" w:lineRule="exact"/>
        <w:ind w:left="2306"/>
        <w:jc w:val="both"/>
      </w:pPr>
      <w:r>
        <w:rPr/>
        <w:t>41 a 303 unidades de medida y actualización;</w:t>
      </w:r>
    </w:p>
    <w:p>
      <w:pPr>
        <w:pStyle w:val="BodyText"/>
        <w:spacing w:before="7"/>
        <w:rPr>
          <w:sz w:val="22"/>
        </w:rPr>
      </w:pPr>
    </w:p>
    <w:p>
      <w:pPr>
        <w:pStyle w:val="BodyText"/>
        <w:spacing w:line="244" w:lineRule="auto"/>
        <w:ind w:left="151" w:right="39" w:firstLine="397"/>
        <w:jc w:val="both"/>
      </w:pPr>
      <w:r>
        <w:rPr/>
        <w:t>c). A las ladrilleras que al momento de la visita de inspección  no  cuenten con Dictamen de Factibilidad Ambiental de autoridad competente, se aplicará sanción</w:t>
      </w:r>
      <w:r>
        <w:rPr>
          <w:spacing w:val="2"/>
        </w:rPr>
        <w:t> </w:t>
      </w:r>
      <w:r>
        <w:rPr/>
        <w:t>de:</w:t>
      </w:r>
    </w:p>
    <w:p>
      <w:pPr>
        <w:pStyle w:val="BodyText"/>
        <w:spacing w:before="10"/>
        <w:rPr>
          <w:sz w:val="19"/>
        </w:rPr>
      </w:pPr>
      <w:r>
        <w:rPr/>
        <w:br w:type="column"/>
      </w:r>
      <w:r>
        <w:rPr>
          <w:sz w:val="19"/>
        </w:rPr>
      </w:r>
    </w:p>
    <w:p>
      <w:pPr>
        <w:pStyle w:val="BodyText"/>
        <w:spacing w:line="247" w:lineRule="auto"/>
        <w:ind w:left="151" w:right="2849"/>
      </w:pPr>
      <w:r>
        <w:rPr/>
        <w:t>carácter federal, estatal o las normas oficiales expedidas por el ejecutivo federal, cuya aplicación corresponda al Municipio, de:</w:t>
      </w:r>
    </w:p>
    <w:p>
      <w:pPr>
        <w:pStyle w:val="BodyText"/>
        <w:spacing w:line="172" w:lineRule="exact"/>
        <w:ind w:left="2222"/>
        <w:jc w:val="both"/>
      </w:pPr>
      <w:r>
        <w:rPr/>
        <w:t>25 a 1473 unidades de medida y actualización;</w:t>
      </w:r>
    </w:p>
    <w:p>
      <w:pPr>
        <w:pStyle w:val="BodyText"/>
        <w:spacing w:before="7"/>
        <w:rPr>
          <w:sz w:val="22"/>
        </w:rPr>
      </w:pPr>
    </w:p>
    <w:p>
      <w:pPr>
        <w:pStyle w:val="ListParagraph"/>
        <w:numPr>
          <w:ilvl w:val="0"/>
          <w:numId w:val="232"/>
        </w:numPr>
        <w:tabs>
          <w:tab w:pos="750" w:val="left" w:leader="none"/>
        </w:tabs>
        <w:spacing w:line="247" w:lineRule="auto" w:before="0" w:after="0"/>
        <w:ind w:left="151" w:right="2787" w:firstLine="397"/>
        <w:jc w:val="both"/>
        <w:rPr>
          <w:sz w:val="15"/>
        </w:rPr>
      </w:pPr>
      <w:r>
        <w:rPr>
          <w:sz w:val="15"/>
        </w:rPr>
        <w:t>Por no dar aviso al Ayuntamiento de las fallas en los equipos de control de contaminantes a la atmósfera en fuentes fijas de jurisdicción municipal,</w:t>
      </w:r>
      <w:r>
        <w:rPr>
          <w:spacing w:val="1"/>
          <w:sz w:val="15"/>
        </w:rPr>
        <w:t> </w:t>
      </w:r>
      <w:r>
        <w:rPr>
          <w:sz w:val="15"/>
        </w:rPr>
        <w:t>de:</w:t>
      </w:r>
    </w:p>
    <w:p>
      <w:pPr>
        <w:pStyle w:val="BodyText"/>
        <w:spacing w:line="170" w:lineRule="exact"/>
        <w:ind w:left="2219"/>
        <w:jc w:val="both"/>
      </w:pPr>
      <w:r>
        <w:rPr/>
        <w:t>20 a 135 unidades de medida y actualización;</w:t>
      </w:r>
    </w:p>
    <w:p>
      <w:pPr>
        <w:pStyle w:val="BodyText"/>
        <w:spacing w:before="7"/>
        <w:rPr>
          <w:sz w:val="22"/>
        </w:rPr>
      </w:pPr>
    </w:p>
    <w:p>
      <w:pPr>
        <w:pStyle w:val="ListParagraph"/>
        <w:numPr>
          <w:ilvl w:val="0"/>
          <w:numId w:val="232"/>
        </w:numPr>
        <w:tabs>
          <w:tab w:pos="842" w:val="left" w:leader="none"/>
        </w:tabs>
        <w:spacing w:line="247" w:lineRule="auto" w:before="0" w:after="0"/>
        <w:ind w:left="151" w:right="2787" w:firstLine="397"/>
        <w:jc w:val="both"/>
        <w:rPr>
          <w:sz w:val="15"/>
        </w:rPr>
      </w:pPr>
      <w:r>
        <w:rPr>
          <w:sz w:val="15"/>
        </w:rPr>
        <w:t>Por la falta de permiso de la Dirección General de Gestión Ambiental, Cambio Climático y Sustentabilidad, para efectuar emisiones contaminantes a cielo abierto,</w:t>
      </w:r>
      <w:r>
        <w:rPr>
          <w:spacing w:val="6"/>
          <w:sz w:val="15"/>
        </w:rPr>
        <w:t> </w:t>
      </w:r>
      <w:r>
        <w:rPr>
          <w:sz w:val="15"/>
        </w:rPr>
        <w:t>de:</w:t>
      </w:r>
    </w:p>
    <w:p>
      <w:pPr>
        <w:pStyle w:val="BodyText"/>
        <w:spacing w:line="171" w:lineRule="exact"/>
        <w:ind w:left="2178"/>
        <w:jc w:val="both"/>
      </w:pPr>
      <w:r>
        <w:rPr/>
        <w:t>19 a 135 unidades de medida y actualización;</w:t>
      </w:r>
    </w:p>
    <w:p>
      <w:pPr>
        <w:pStyle w:val="BodyText"/>
        <w:spacing w:before="7"/>
        <w:rPr>
          <w:sz w:val="22"/>
        </w:rPr>
      </w:pPr>
    </w:p>
    <w:p>
      <w:pPr>
        <w:pStyle w:val="ListParagraph"/>
        <w:numPr>
          <w:ilvl w:val="0"/>
          <w:numId w:val="232"/>
        </w:numPr>
        <w:tabs>
          <w:tab w:pos="858" w:val="left" w:leader="none"/>
          <w:tab w:pos="2164" w:val="left" w:leader="none"/>
        </w:tabs>
        <w:spacing w:line="244" w:lineRule="auto" w:before="0" w:after="0"/>
        <w:ind w:left="151" w:right="2786" w:firstLine="397"/>
        <w:jc w:val="both"/>
        <w:rPr>
          <w:sz w:val="15"/>
        </w:rPr>
      </w:pPr>
      <w:r>
        <w:rPr>
          <w:sz w:val="15"/>
        </w:rPr>
        <w:t>Por carecer de inscripción en el Padrón Municipal de Giros de jurisdicción municipal emisores de contaminación ostensible a la atmósfera,  de:</w:t>
        <w:tab/>
        <w:t>19 a 135 unidades de medida y</w:t>
      </w:r>
      <w:r>
        <w:rPr>
          <w:spacing w:val="16"/>
          <w:sz w:val="15"/>
        </w:rPr>
        <w:t> </w:t>
      </w:r>
      <w:r>
        <w:rPr>
          <w:sz w:val="15"/>
        </w:rPr>
        <w:t>actualización;</w:t>
      </w:r>
    </w:p>
    <w:p>
      <w:pPr>
        <w:pStyle w:val="BodyText"/>
        <w:spacing w:before="6"/>
        <w:rPr>
          <w:sz w:val="22"/>
        </w:rPr>
      </w:pPr>
    </w:p>
    <w:p>
      <w:pPr>
        <w:pStyle w:val="ListParagraph"/>
        <w:numPr>
          <w:ilvl w:val="0"/>
          <w:numId w:val="232"/>
        </w:numPr>
        <w:tabs>
          <w:tab w:pos="868" w:val="left" w:leader="none"/>
        </w:tabs>
        <w:spacing w:line="247" w:lineRule="auto" w:before="0" w:after="0"/>
        <w:ind w:left="151" w:right="2786" w:firstLine="397"/>
        <w:jc w:val="both"/>
        <w:rPr>
          <w:sz w:val="15"/>
        </w:rPr>
      </w:pPr>
      <w:r>
        <w:rPr>
          <w:sz w:val="15"/>
        </w:rPr>
        <w:t>Por realizar cualquier tipo de descarga a los sistemas de drenaje y alcantarillado, sin autorización de la autoridad municipal; por realizar infiltraciones al subsuelo de cualquier sustancia que afecte los mantos freáticos; por verter residuos sólidos en cuerpos y corrientes de agua; o por descargar en cualquier cuerpo o corriente de agua, aguas residuales que contengan contaminantes, sin previo tratamiento y autorización del gobierno municipal, o a los sistemas de drenaje y alcantarillado de los centros de población, respectivamente,</w:t>
      </w:r>
      <w:r>
        <w:rPr>
          <w:spacing w:val="3"/>
          <w:sz w:val="15"/>
        </w:rPr>
        <w:t> </w:t>
      </w:r>
      <w:r>
        <w:rPr>
          <w:sz w:val="15"/>
        </w:rPr>
        <w:t>de:</w:t>
      </w:r>
    </w:p>
    <w:p>
      <w:pPr>
        <w:pStyle w:val="BodyText"/>
        <w:spacing w:line="168" w:lineRule="exact"/>
        <w:ind w:left="2222"/>
        <w:jc w:val="both"/>
      </w:pPr>
      <w:r>
        <w:rPr/>
        <w:t>24 a 1473 unidades de medida y actualización;</w:t>
      </w:r>
    </w:p>
    <w:p>
      <w:pPr>
        <w:pStyle w:val="BodyText"/>
        <w:spacing w:before="7"/>
        <w:rPr>
          <w:sz w:val="22"/>
        </w:rPr>
      </w:pPr>
    </w:p>
    <w:p>
      <w:pPr>
        <w:pStyle w:val="ListParagraph"/>
        <w:numPr>
          <w:ilvl w:val="0"/>
          <w:numId w:val="232"/>
        </w:numPr>
        <w:tabs>
          <w:tab w:pos="845" w:val="left" w:leader="none"/>
        </w:tabs>
        <w:spacing w:line="244" w:lineRule="auto" w:before="0" w:after="0"/>
        <w:ind w:left="151" w:right="2787" w:firstLine="397"/>
        <w:jc w:val="both"/>
        <w:rPr>
          <w:sz w:val="15"/>
        </w:rPr>
      </w:pPr>
      <w:r>
        <w:rPr>
          <w:sz w:val="15"/>
        </w:rPr>
        <w:t>Por contaminar con residuos y no manejarlos, almacenarlos, transportarlos y disponerlos adecuadamente de conformidad con  la  legislación ambiental vigente,</w:t>
      </w:r>
      <w:r>
        <w:rPr>
          <w:spacing w:val="4"/>
          <w:sz w:val="15"/>
        </w:rPr>
        <w:t> </w:t>
      </w:r>
      <w:r>
        <w:rPr>
          <w:sz w:val="15"/>
        </w:rPr>
        <w:t>de:</w:t>
      </w:r>
    </w:p>
    <w:p>
      <w:pPr>
        <w:pStyle w:val="ListParagraph"/>
        <w:numPr>
          <w:ilvl w:val="0"/>
          <w:numId w:val="233"/>
        </w:numPr>
        <w:tabs>
          <w:tab w:pos="2434" w:val="left" w:leader="none"/>
        </w:tabs>
        <w:spacing w:line="240" w:lineRule="auto" w:before="3" w:after="0"/>
        <w:ind w:left="2433" w:right="0" w:hanging="215"/>
        <w:jc w:val="both"/>
        <w:rPr>
          <w:sz w:val="15"/>
        </w:rPr>
      </w:pPr>
      <w:r>
        <w:rPr>
          <w:sz w:val="15"/>
        </w:rPr>
        <w:t>a 104 unidades de medida y</w:t>
      </w:r>
      <w:r>
        <w:rPr>
          <w:spacing w:val="11"/>
          <w:sz w:val="15"/>
        </w:rPr>
        <w:t> </w:t>
      </w:r>
      <w:r>
        <w:rPr>
          <w:sz w:val="15"/>
        </w:rPr>
        <w:t>actualización;</w:t>
      </w:r>
    </w:p>
    <w:p>
      <w:pPr>
        <w:pStyle w:val="BodyText"/>
        <w:spacing w:before="7"/>
        <w:rPr>
          <w:sz w:val="22"/>
        </w:rPr>
      </w:pPr>
    </w:p>
    <w:p>
      <w:pPr>
        <w:pStyle w:val="ListParagraph"/>
        <w:numPr>
          <w:ilvl w:val="0"/>
          <w:numId w:val="232"/>
        </w:numPr>
        <w:tabs>
          <w:tab w:pos="745" w:val="left" w:leader="none"/>
        </w:tabs>
        <w:spacing w:line="247" w:lineRule="auto" w:before="0" w:after="0"/>
        <w:ind w:left="151" w:right="2788" w:firstLine="397"/>
        <w:jc w:val="both"/>
        <w:rPr>
          <w:sz w:val="15"/>
        </w:rPr>
      </w:pPr>
      <w:r>
        <w:rPr>
          <w:sz w:val="15"/>
        </w:rPr>
        <w:t>Por causar daños a la flora en el Municipio, independientemente de reparar los daños causados,</w:t>
      </w:r>
      <w:r>
        <w:rPr>
          <w:spacing w:val="6"/>
          <w:sz w:val="15"/>
        </w:rPr>
        <w:t> </w:t>
      </w:r>
      <w:r>
        <w:rPr>
          <w:sz w:val="15"/>
        </w:rPr>
        <w:t>de:</w:t>
      </w:r>
    </w:p>
    <w:p>
      <w:pPr>
        <w:pStyle w:val="ListParagraph"/>
        <w:numPr>
          <w:ilvl w:val="0"/>
          <w:numId w:val="233"/>
        </w:numPr>
        <w:tabs>
          <w:tab w:pos="2371" w:val="left" w:leader="none"/>
        </w:tabs>
        <w:spacing w:line="172" w:lineRule="exact" w:before="0" w:after="0"/>
        <w:ind w:left="2370" w:right="0" w:hanging="215"/>
        <w:jc w:val="both"/>
        <w:rPr>
          <w:sz w:val="15"/>
        </w:rPr>
      </w:pPr>
      <w:r>
        <w:rPr>
          <w:sz w:val="15"/>
        </w:rPr>
        <w:t>a 181 unidades de medida y</w:t>
      </w:r>
      <w:r>
        <w:rPr>
          <w:spacing w:val="10"/>
          <w:sz w:val="15"/>
        </w:rPr>
        <w:t> </w:t>
      </w:r>
      <w:r>
        <w:rPr>
          <w:sz w:val="15"/>
        </w:rPr>
        <w:t>actualización;</w:t>
      </w:r>
    </w:p>
    <w:p>
      <w:pPr>
        <w:spacing w:after="0" w:line="172" w:lineRule="exact"/>
        <w:jc w:val="both"/>
        <w:rPr>
          <w:sz w:val="15"/>
        </w:rPr>
        <w:sectPr>
          <w:type w:val="continuous"/>
          <w:pgSz w:w="23250" w:h="15310" w:orient="landscape"/>
          <w:pgMar w:top="0" w:bottom="0" w:left="1880" w:right="1520"/>
          <w:cols w:num="2" w:equalWidth="0">
            <w:col w:w="5474" w:space="6148"/>
            <w:col w:w="8228"/>
          </w:cols>
        </w:sectPr>
      </w:pPr>
    </w:p>
    <w:p>
      <w:pPr>
        <w:pStyle w:val="BodyText"/>
        <w:spacing w:before="3"/>
        <w:ind w:left="2307"/>
      </w:pPr>
      <w:r>
        <w:rPr/>
        <w:t>18 a 237 unidades de medida y actualización;</w:t>
      </w:r>
    </w:p>
    <w:p>
      <w:pPr>
        <w:pStyle w:val="BodyText"/>
        <w:spacing w:before="7"/>
        <w:rPr>
          <w:sz w:val="22"/>
        </w:rPr>
      </w:pPr>
    </w:p>
    <w:p>
      <w:pPr>
        <w:pStyle w:val="ListParagraph"/>
        <w:numPr>
          <w:ilvl w:val="0"/>
          <w:numId w:val="234"/>
        </w:numPr>
        <w:tabs>
          <w:tab w:pos="744" w:val="left" w:leader="none"/>
        </w:tabs>
        <w:spacing w:line="247" w:lineRule="auto" w:before="0" w:after="0"/>
        <w:ind w:left="150" w:right="38" w:firstLine="397"/>
        <w:jc w:val="both"/>
        <w:rPr>
          <w:sz w:val="15"/>
        </w:rPr>
      </w:pPr>
      <w:r>
        <w:rPr>
          <w:sz w:val="15"/>
        </w:rPr>
        <w:t>Por no presentar dictamen favorable al momento de la inspección expedido por la Dirección General de  Protección  y  Sustentabilidad Ambiental:</w:t>
      </w:r>
    </w:p>
    <w:p>
      <w:pPr>
        <w:pStyle w:val="BodyText"/>
        <w:spacing w:line="171" w:lineRule="exact"/>
        <w:ind w:left="2478"/>
        <w:jc w:val="both"/>
      </w:pPr>
      <w:r>
        <w:rPr/>
        <w:t>8 a 32 unidades de medida y actualización;</w:t>
      </w:r>
    </w:p>
    <w:p>
      <w:pPr>
        <w:pStyle w:val="BodyText"/>
        <w:spacing w:before="6"/>
        <w:rPr>
          <w:sz w:val="22"/>
        </w:rPr>
      </w:pPr>
    </w:p>
    <w:p>
      <w:pPr>
        <w:pStyle w:val="ListParagraph"/>
        <w:numPr>
          <w:ilvl w:val="0"/>
          <w:numId w:val="234"/>
        </w:numPr>
        <w:tabs>
          <w:tab w:pos="834" w:val="left" w:leader="none"/>
        </w:tabs>
        <w:spacing w:line="247" w:lineRule="auto" w:before="0" w:after="0"/>
        <w:ind w:left="150" w:right="38" w:firstLine="397"/>
        <w:jc w:val="both"/>
        <w:rPr>
          <w:sz w:val="15"/>
        </w:rPr>
      </w:pPr>
      <w:r>
        <w:rPr>
          <w:sz w:val="15"/>
        </w:rPr>
        <w:t>Por incumplimiento de las condicionantes establecidas en la Autorización Condicionada en materia Ambiental emitido por autoridad competente</w:t>
      </w:r>
      <w:r>
        <w:rPr>
          <w:spacing w:val="1"/>
          <w:sz w:val="15"/>
        </w:rPr>
        <w:t> </w:t>
      </w:r>
      <w:r>
        <w:rPr>
          <w:sz w:val="15"/>
        </w:rPr>
        <w:t>de:</w:t>
      </w:r>
    </w:p>
    <w:p>
      <w:pPr>
        <w:pStyle w:val="ListParagraph"/>
        <w:numPr>
          <w:ilvl w:val="0"/>
          <w:numId w:val="235"/>
        </w:numPr>
        <w:tabs>
          <w:tab w:pos="789" w:val="left" w:leader="none"/>
        </w:tabs>
        <w:spacing w:line="247" w:lineRule="auto" w:before="42" w:after="0"/>
        <w:ind w:left="151" w:right="2787" w:firstLine="397"/>
        <w:jc w:val="both"/>
        <w:rPr>
          <w:sz w:val="15"/>
        </w:rPr>
      </w:pPr>
      <w:r>
        <w:rPr>
          <w:w w:val="102"/>
          <w:sz w:val="15"/>
        </w:rPr>
        <w:br w:type="column"/>
      </w:r>
      <w:r>
        <w:rPr>
          <w:sz w:val="15"/>
        </w:rPr>
        <w:t>Los giros comerciales, industriales o de prestación de servicios así como las fuentes de tipo urbano que emitan ruido o vibraciones que rebasen los límites máximos permisibles establecidos en la normatividad ambiental vigente</w:t>
      </w:r>
      <w:r>
        <w:rPr>
          <w:spacing w:val="1"/>
          <w:sz w:val="15"/>
        </w:rPr>
        <w:t> </w:t>
      </w:r>
      <w:r>
        <w:rPr>
          <w:sz w:val="15"/>
        </w:rPr>
        <w:t>de:</w:t>
      </w:r>
    </w:p>
    <w:p>
      <w:pPr>
        <w:pStyle w:val="BodyText"/>
        <w:spacing w:line="170" w:lineRule="exact"/>
        <w:ind w:left="2435"/>
        <w:jc w:val="both"/>
      </w:pPr>
      <w:r>
        <w:rPr/>
        <w:t>30 a 500 unidades de media y actualización</w:t>
      </w:r>
    </w:p>
    <w:p>
      <w:pPr>
        <w:pStyle w:val="BodyText"/>
        <w:rPr>
          <w:sz w:val="16"/>
        </w:rPr>
      </w:pPr>
    </w:p>
    <w:p>
      <w:pPr>
        <w:pStyle w:val="ListParagraph"/>
        <w:numPr>
          <w:ilvl w:val="0"/>
          <w:numId w:val="235"/>
        </w:numPr>
        <w:tabs>
          <w:tab w:pos="863" w:val="left" w:leader="none"/>
        </w:tabs>
        <w:spacing w:line="247" w:lineRule="auto" w:before="139" w:after="0"/>
        <w:ind w:left="150" w:right="2787" w:firstLine="397"/>
        <w:jc w:val="both"/>
        <w:rPr>
          <w:sz w:val="15"/>
        </w:rPr>
      </w:pPr>
      <w:r>
        <w:rPr>
          <w:sz w:val="15"/>
        </w:rPr>
        <w:t>Por carecer de bitácora de operación y mantenimiento de sus equipos de control anticontaminantes,</w:t>
      </w:r>
      <w:r>
        <w:rPr>
          <w:spacing w:val="7"/>
          <w:sz w:val="15"/>
        </w:rPr>
        <w:t> </w:t>
      </w:r>
      <w:r>
        <w:rPr>
          <w:sz w:val="15"/>
        </w:rPr>
        <w:t>de:</w:t>
      </w:r>
    </w:p>
    <w:p>
      <w:pPr>
        <w:pStyle w:val="BodyText"/>
        <w:spacing w:line="172" w:lineRule="exact"/>
        <w:ind w:left="2392"/>
        <w:jc w:val="both"/>
      </w:pPr>
      <w:r>
        <w:rPr/>
        <w:t>12 a 45 unidades de medida y actualización;</w:t>
      </w:r>
    </w:p>
    <w:p>
      <w:pPr>
        <w:spacing w:after="0" w:line="172" w:lineRule="exact"/>
        <w:jc w:val="both"/>
        <w:sectPr>
          <w:type w:val="continuous"/>
          <w:pgSz w:w="23250" w:h="15310" w:orient="landscape"/>
          <w:pgMar w:top="0" w:bottom="0" w:left="1880" w:right="1520"/>
          <w:cols w:num="2" w:equalWidth="0">
            <w:col w:w="5473" w:space="6149"/>
            <w:col w:w="8228"/>
          </w:cols>
        </w:sectPr>
      </w:pPr>
    </w:p>
    <w:p>
      <w:pPr>
        <w:pStyle w:val="BodyText"/>
        <w:spacing w:line="172" w:lineRule="exact"/>
        <w:ind w:left="2307"/>
      </w:pPr>
      <w:r>
        <w:rPr/>
        <w:t>24</w:t>
      </w:r>
      <w:r>
        <w:rPr>
          <w:spacing w:val="10"/>
        </w:rPr>
        <w:t> </w:t>
      </w:r>
      <w:r>
        <w:rPr/>
        <w:t>a</w:t>
      </w:r>
      <w:r>
        <w:rPr>
          <w:spacing w:val="11"/>
        </w:rPr>
        <w:t> </w:t>
      </w:r>
      <w:r>
        <w:rPr/>
        <w:t>178</w:t>
      </w:r>
      <w:r>
        <w:rPr>
          <w:spacing w:val="10"/>
        </w:rPr>
        <w:t> </w:t>
      </w:r>
      <w:r>
        <w:rPr/>
        <w:t>unidades</w:t>
      </w:r>
      <w:r>
        <w:rPr>
          <w:spacing w:val="11"/>
        </w:rPr>
        <w:t> </w:t>
      </w:r>
      <w:r>
        <w:rPr/>
        <w:t>de</w:t>
      </w:r>
      <w:r>
        <w:rPr>
          <w:spacing w:val="11"/>
        </w:rPr>
        <w:t> </w:t>
      </w:r>
      <w:r>
        <w:rPr/>
        <w:t>medida</w:t>
      </w:r>
      <w:r>
        <w:rPr>
          <w:spacing w:val="10"/>
        </w:rPr>
        <w:t> </w:t>
      </w:r>
      <w:r>
        <w:rPr/>
        <w:t>y</w:t>
      </w:r>
      <w:r>
        <w:rPr>
          <w:spacing w:val="11"/>
        </w:rPr>
        <w:t> </w:t>
      </w:r>
      <w:r>
        <w:rPr/>
        <w:t>actualización;</w:t>
      </w:r>
    </w:p>
    <w:p>
      <w:pPr>
        <w:pStyle w:val="BodyText"/>
        <w:spacing w:before="7"/>
        <w:rPr>
          <w:sz w:val="22"/>
        </w:rPr>
      </w:pPr>
    </w:p>
    <w:p>
      <w:pPr>
        <w:pStyle w:val="BodyText"/>
        <w:spacing w:line="247" w:lineRule="auto"/>
        <w:ind w:left="150" w:right="38" w:firstLine="397"/>
        <w:jc w:val="both"/>
      </w:pPr>
      <w:r>
        <w:rPr>
          <w:spacing w:val="-5"/>
        </w:rPr>
        <w:t>IV. </w:t>
      </w:r>
      <w:r>
        <w:rPr/>
        <w:t>Por emitir contaminantes a la atmósfera o por no observar las prevenciones del reglamento municipal en  la materia  en las emisiones que  se realicen a   la   atmósfera, así como las de otras legislaciones aplicables </w:t>
      </w:r>
      <w:r>
        <w:rPr>
          <w:spacing w:val="12"/>
        </w:rPr>
        <w:t> </w:t>
      </w:r>
      <w:r>
        <w:rPr/>
        <w:t>de</w:t>
      </w:r>
    </w:p>
    <w:p>
      <w:pPr>
        <w:pStyle w:val="ListParagraph"/>
        <w:numPr>
          <w:ilvl w:val="0"/>
          <w:numId w:val="236"/>
        </w:numPr>
        <w:tabs>
          <w:tab w:pos="870" w:val="left" w:leader="none"/>
        </w:tabs>
        <w:spacing w:line="247" w:lineRule="auto" w:before="101" w:after="0"/>
        <w:ind w:left="150" w:right="2787" w:firstLine="397"/>
        <w:jc w:val="both"/>
        <w:rPr>
          <w:sz w:val="15"/>
        </w:rPr>
      </w:pPr>
      <w:r>
        <w:rPr>
          <w:w w:val="102"/>
          <w:sz w:val="15"/>
        </w:rPr>
        <w:br w:type="column"/>
      </w:r>
      <w:r>
        <w:rPr>
          <w:sz w:val="15"/>
        </w:rPr>
        <w:t>Por carecer de la anuencia ambiental para la venta de solventes y productos  químicos    sujetos  a  control  por  el  reglamento  respectivo,  de: 16 a 91 unidades de medida y</w:t>
      </w:r>
      <w:r>
        <w:rPr>
          <w:spacing w:val="14"/>
          <w:sz w:val="15"/>
        </w:rPr>
        <w:t> </w:t>
      </w:r>
      <w:r>
        <w:rPr>
          <w:sz w:val="15"/>
        </w:rPr>
        <w:t>actualización;</w:t>
      </w:r>
    </w:p>
    <w:p>
      <w:pPr>
        <w:spacing w:after="0" w:line="247" w:lineRule="auto"/>
        <w:jc w:val="both"/>
        <w:rPr>
          <w:sz w:val="15"/>
        </w:rPr>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26"/>
          <w:pgSz w:w="23250" w:h="15310" w:orient="landscape"/>
          <w:pgMar w:header="881" w:footer="499" w:top="1920" w:bottom="680" w:left="1880" w:right="1520"/>
        </w:sectPr>
      </w:pPr>
    </w:p>
    <w:p>
      <w:pPr>
        <w:pStyle w:val="BodyText"/>
        <w:spacing w:before="10"/>
        <w:rPr>
          <w:sz w:val="19"/>
        </w:rPr>
      </w:pPr>
    </w:p>
    <w:p>
      <w:pPr>
        <w:pStyle w:val="ListParagraph"/>
        <w:numPr>
          <w:ilvl w:val="0"/>
          <w:numId w:val="236"/>
        </w:numPr>
        <w:tabs>
          <w:tab w:pos="924" w:val="left" w:leader="none"/>
          <w:tab w:pos="2284" w:val="left" w:leader="none"/>
        </w:tabs>
        <w:spacing w:line="247" w:lineRule="auto" w:before="0" w:after="0"/>
        <w:ind w:left="151" w:right="38" w:firstLine="397"/>
        <w:jc w:val="both"/>
        <w:rPr>
          <w:sz w:val="15"/>
        </w:rPr>
      </w:pPr>
      <w:r>
        <w:rPr>
          <w:sz w:val="15"/>
        </w:rPr>
        <w:t>Por carecer de equipo y autorización para la incineración o  traslado de residuos y sustancias peligrosas por parte de la autoridad competente, </w:t>
      </w:r>
      <w:r>
        <w:rPr>
          <w:spacing w:val="27"/>
          <w:sz w:val="15"/>
        </w:rPr>
        <w:t> </w:t>
      </w:r>
      <w:r>
        <w:rPr>
          <w:sz w:val="15"/>
        </w:rPr>
        <w:t>de:</w:t>
        <w:tab/>
        <w:t>16</w:t>
      </w:r>
      <w:r>
        <w:rPr>
          <w:spacing w:val="10"/>
          <w:sz w:val="15"/>
        </w:rPr>
        <w:t> </w:t>
      </w:r>
      <w:r>
        <w:rPr>
          <w:sz w:val="15"/>
        </w:rPr>
        <w:t>a</w:t>
      </w:r>
      <w:r>
        <w:rPr>
          <w:spacing w:val="9"/>
          <w:sz w:val="15"/>
        </w:rPr>
        <w:t> </w:t>
      </w:r>
      <w:r>
        <w:rPr>
          <w:sz w:val="15"/>
        </w:rPr>
        <w:t>108</w:t>
      </w:r>
      <w:r>
        <w:rPr>
          <w:spacing w:val="10"/>
          <w:sz w:val="15"/>
        </w:rPr>
        <w:t> </w:t>
      </w:r>
      <w:r>
        <w:rPr>
          <w:sz w:val="15"/>
        </w:rPr>
        <w:t>unidades</w:t>
      </w:r>
      <w:r>
        <w:rPr>
          <w:spacing w:val="9"/>
          <w:sz w:val="15"/>
        </w:rPr>
        <w:t> </w:t>
      </w:r>
      <w:r>
        <w:rPr>
          <w:sz w:val="15"/>
        </w:rPr>
        <w:t>de</w:t>
      </w:r>
      <w:r>
        <w:rPr>
          <w:spacing w:val="10"/>
          <w:sz w:val="15"/>
        </w:rPr>
        <w:t> </w:t>
      </w:r>
      <w:r>
        <w:rPr>
          <w:sz w:val="15"/>
        </w:rPr>
        <w:t>medida</w:t>
      </w:r>
      <w:r>
        <w:rPr>
          <w:spacing w:val="9"/>
          <w:sz w:val="15"/>
        </w:rPr>
        <w:t> </w:t>
      </w:r>
      <w:r>
        <w:rPr>
          <w:sz w:val="15"/>
        </w:rPr>
        <w:t>y</w:t>
      </w:r>
      <w:r>
        <w:rPr>
          <w:spacing w:val="10"/>
          <w:sz w:val="15"/>
        </w:rPr>
        <w:t> </w:t>
      </w:r>
      <w:r>
        <w:rPr>
          <w:sz w:val="15"/>
        </w:rPr>
        <w:t>actualización;</w:t>
      </w:r>
    </w:p>
    <w:p>
      <w:pPr>
        <w:pStyle w:val="BodyText"/>
        <w:spacing w:before="9"/>
        <w:rPr>
          <w:sz w:val="19"/>
        </w:rPr>
      </w:pPr>
      <w:r>
        <w:rPr/>
        <w:br w:type="column"/>
      </w:r>
      <w:r>
        <w:rPr>
          <w:sz w:val="19"/>
        </w:rPr>
      </w:r>
    </w:p>
    <w:p>
      <w:pPr>
        <w:pStyle w:val="BodyText"/>
        <w:spacing w:line="247" w:lineRule="auto" w:before="1"/>
        <w:ind w:left="151" w:right="2787" w:firstLine="397"/>
        <w:jc w:val="both"/>
      </w:pPr>
      <w:r>
        <w:rPr/>
        <w:t>XXV. Por transportar residuos sólidos o líquidos en vehículos que no estén adaptados y autorizados para tal efecto, por las autoridades estatales y federales correspondientes de:</w:t>
      </w:r>
    </w:p>
    <w:p>
      <w:pPr>
        <w:spacing w:after="0" w:line="247" w:lineRule="auto"/>
        <w:jc w:val="both"/>
        <w:sectPr>
          <w:type w:val="continuous"/>
          <w:pgSz w:w="23250" w:h="15310" w:orient="landscape"/>
          <w:pgMar w:top="0" w:bottom="0" w:left="1880" w:right="1520"/>
          <w:cols w:num="2" w:equalWidth="0">
            <w:col w:w="5473" w:space="6149"/>
            <w:col w:w="8228"/>
          </w:cols>
        </w:sectPr>
      </w:pPr>
    </w:p>
    <w:p>
      <w:pPr>
        <w:pStyle w:val="BodyText"/>
        <w:spacing w:before="1"/>
        <w:rPr>
          <w:sz w:val="22"/>
        </w:rPr>
      </w:pPr>
    </w:p>
    <w:p>
      <w:pPr>
        <w:pStyle w:val="ListParagraph"/>
        <w:numPr>
          <w:ilvl w:val="0"/>
          <w:numId w:val="237"/>
        </w:numPr>
        <w:tabs>
          <w:tab w:pos="844" w:val="left" w:leader="none"/>
        </w:tabs>
        <w:spacing w:line="247" w:lineRule="auto" w:before="0" w:after="0"/>
        <w:ind w:left="151" w:right="38" w:firstLine="397"/>
        <w:jc w:val="both"/>
        <w:rPr>
          <w:sz w:val="15"/>
        </w:rPr>
      </w:pPr>
      <w:r>
        <w:rPr>
          <w:sz w:val="15"/>
        </w:rPr>
        <w:t>Cuando las contravenciones al Reglamento a que se refiere este artículo conlleven un riesgo de desequilibrio ecológico o casos </w:t>
      </w:r>
      <w:r>
        <w:rPr>
          <w:spacing w:val="-6"/>
          <w:sz w:val="15"/>
        </w:rPr>
        <w:t>de </w:t>
      </w:r>
      <w:r>
        <w:rPr>
          <w:sz w:val="15"/>
        </w:rPr>
        <w:t>contaminación con repercusiones peligrosas para los ecosistemas, sus componentes o la salud pública, la sanción aplicable será</w:t>
      </w:r>
      <w:r>
        <w:rPr>
          <w:spacing w:val="30"/>
          <w:sz w:val="15"/>
        </w:rPr>
        <w:t> </w:t>
      </w:r>
      <w:r>
        <w:rPr>
          <w:sz w:val="15"/>
        </w:rPr>
        <w:t>de:</w:t>
      </w:r>
    </w:p>
    <w:p>
      <w:pPr>
        <w:pStyle w:val="BodyText"/>
        <w:spacing w:line="170" w:lineRule="exact"/>
        <w:ind w:left="2093"/>
        <w:jc w:val="both"/>
      </w:pPr>
      <w:r>
        <w:rPr/>
        <w:t>50 a 10,000 unidades de medida y actualización.</w:t>
      </w:r>
    </w:p>
    <w:p>
      <w:pPr>
        <w:pStyle w:val="BodyText"/>
        <w:spacing w:before="7"/>
        <w:rPr>
          <w:sz w:val="22"/>
        </w:rPr>
      </w:pPr>
    </w:p>
    <w:p>
      <w:pPr>
        <w:pStyle w:val="ListParagraph"/>
        <w:numPr>
          <w:ilvl w:val="0"/>
          <w:numId w:val="237"/>
        </w:numPr>
        <w:tabs>
          <w:tab w:pos="911" w:val="left" w:leader="none"/>
        </w:tabs>
        <w:spacing w:line="247" w:lineRule="auto" w:before="0" w:after="0"/>
        <w:ind w:left="151" w:right="38" w:firstLine="397"/>
        <w:jc w:val="both"/>
        <w:rPr>
          <w:sz w:val="15"/>
        </w:rPr>
      </w:pPr>
      <w:r>
        <w:rPr>
          <w:sz w:val="15"/>
        </w:rPr>
        <w:t>En caso de reincidencia a violaciones al Reglamento a que se refiere este artículo, la sanción será de dos a tres tantos de acuerdo  al numeral</w:t>
      </w:r>
      <w:r>
        <w:rPr>
          <w:spacing w:val="8"/>
          <w:sz w:val="15"/>
        </w:rPr>
        <w:t> </w:t>
      </w:r>
      <w:r>
        <w:rPr>
          <w:sz w:val="15"/>
        </w:rPr>
        <w:t>que</w:t>
      </w:r>
      <w:r>
        <w:rPr>
          <w:spacing w:val="8"/>
          <w:sz w:val="15"/>
        </w:rPr>
        <w:t> </w:t>
      </w:r>
      <w:r>
        <w:rPr>
          <w:sz w:val="15"/>
        </w:rPr>
        <w:t>corresponda</w:t>
      </w:r>
      <w:r>
        <w:rPr>
          <w:spacing w:val="8"/>
          <w:sz w:val="15"/>
        </w:rPr>
        <w:t> </w:t>
      </w:r>
      <w:r>
        <w:rPr>
          <w:sz w:val="15"/>
        </w:rPr>
        <w:t>la</w:t>
      </w:r>
      <w:r>
        <w:rPr>
          <w:spacing w:val="9"/>
          <w:sz w:val="15"/>
        </w:rPr>
        <w:t> </w:t>
      </w:r>
      <w:r>
        <w:rPr>
          <w:sz w:val="15"/>
        </w:rPr>
        <w:t>infracción</w:t>
      </w:r>
      <w:r>
        <w:rPr>
          <w:spacing w:val="8"/>
          <w:sz w:val="15"/>
        </w:rPr>
        <w:t> </w:t>
      </w:r>
      <w:r>
        <w:rPr>
          <w:sz w:val="15"/>
        </w:rPr>
        <w:t>y/o</w:t>
      </w:r>
      <w:r>
        <w:rPr>
          <w:spacing w:val="8"/>
          <w:sz w:val="15"/>
        </w:rPr>
        <w:t> </w:t>
      </w:r>
      <w:r>
        <w:rPr>
          <w:sz w:val="15"/>
        </w:rPr>
        <w:t>la</w:t>
      </w:r>
      <w:r>
        <w:rPr>
          <w:spacing w:val="9"/>
          <w:sz w:val="15"/>
        </w:rPr>
        <w:t> </w:t>
      </w:r>
      <w:r>
        <w:rPr>
          <w:sz w:val="15"/>
        </w:rPr>
        <w:t>clausura</w:t>
      </w:r>
      <w:r>
        <w:rPr>
          <w:spacing w:val="8"/>
          <w:sz w:val="15"/>
        </w:rPr>
        <w:t> </w:t>
      </w:r>
      <w:r>
        <w:rPr>
          <w:sz w:val="15"/>
        </w:rPr>
        <w:t>parcial</w:t>
      </w:r>
      <w:r>
        <w:rPr>
          <w:spacing w:val="8"/>
          <w:sz w:val="15"/>
        </w:rPr>
        <w:t> </w:t>
      </w:r>
      <w:r>
        <w:rPr>
          <w:sz w:val="15"/>
        </w:rPr>
        <w:t>o</w:t>
      </w:r>
      <w:r>
        <w:rPr>
          <w:spacing w:val="11"/>
          <w:sz w:val="15"/>
        </w:rPr>
        <w:t> </w:t>
      </w:r>
      <w:r>
        <w:rPr>
          <w:sz w:val="15"/>
        </w:rPr>
        <w:t>total</w:t>
      </w:r>
      <w:r>
        <w:rPr>
          <w:spacing w:val="8"/>
          <w:sz w:val="15"/>
        </w:rPr>
        <w:t> </w:t>
      </w:r>
      <w:r>
        <w:rPr>
          <w:sz w:val="15"/>
        </w:rPr>
        <w:t>del</w:t>
      </w:r>
      <w:r>
        <w:rPr>
          <w:spacing w:val="7"/>
          <w:sz w:val="15"/>
        </w:rPr>
        <w:t> </w:t>
      </w:r>
      <w:r>
        <w:rPr>
          <w:sz w:val="15"/>
        </w:rPr>
        <w:t>giro.</w:t>
      </w:r>
    </w:p>
    <w:p>
      <w:pPr>
        <w:pStyle w:val="BodyText"/>
        <w:spacing w:before="1"/>
        <w:rPr>
          <w:sz w:val="22"/>
        </w:rPr>
      </w:pPr>
    </w:p>
    <w:p>
      <w:pPr>
        <w:pStyle w:val="ListParagraph"/>
        <w:numPr>
          <w:ilvl w:val="0"/>
          <w:numId w:val="237"/>
        </w:numPr>
        <w:tabs>
          <w:tab w:pos="1009" w:val="left" w:leader="none"/>
        </w:tabs>
        <w:spacing w:line="244" w:lineRule="auto" w:before="0" w:after="0"/>
        <w:ind w:left="151" w:right="40" w:firstLine="397"/>
        <w:jc w:val="both"/>
        <w:rPr>
          <w:sz w:val="15"/>
        </w:rPr>
      </w:pPr>
      <w:r>
        <w:rPr>
          <w:sz w:val="15"/>
        </w:rPr>
        <w:t>Por transportar material geológico, residuos o basura </w:t>
      </w:r>
      <w:r>
        <w:rPr>
          <w:spacing w:val="-6"/>
          <w:sz w:val="15"/>
        </w:rPr>
        <w:t>en</w:t>
      </w:r>
      <w:r>
        <w:rPr>
          <w:spacing w:val="29"/>
          <w:sz w:val="15"/>
        </w:rPr>
        <w:t> </w:t>
      </w:r>
      <w:r>
        <w:rPr>
          <w:sz w:val="15"/>
        </w:rPr>
        <w:t>vehículos descubiertos sin lona protectora para evitar su dispersión y de acuerdo a su capacidad,</w:t>
      </w:r>
      <w:r>
        <w:rPr>
          <w:spacing w:val="5"/>
          <w:sz w:val="15"/>
        </w:rPr>
        <w:t> </w:t>
      </w:r>
      <w:r>
        <w:rPr>
          <w:sz w:val="15"/>
        </w:rPr>
        <w:t>de:</w:t>
      </w:r>
    </w:p>
    <w:p>
      <w:pPr>
        <w:pStyle w:val="BodyText"/>
        <w:spacing w:before="3"/>
        <w:ind w:left="2307"/>
        <w:jc w:val="both"/>
      </w:pPr>
      <w:r>
        <w:rPr/>
        <w:t>54 a 235 unidades de medida y actualización;</w:t>
      </w:r>
    </w:p>
    <w:p>
      <w:pPr>
        <w:pStyle w:val="BodyText"/>
        <w:spacing w:before="7"/>
        <w:rPr>
          <w:sz w:val="22"/>
        </w:rPr>
      </w:pPr>
    </w:p>
    <w:p>
      <w:pPr>
        <w:pStyle w:val="ListParagraph"/>
        <w:numPr>
          <w:ilvl w:val="0"/>
          <w:numId w:val="237"/>
        </w:numPr>
        <w:tabs>
          <w:tab w:pos="974" w:val="left" w:leader="none"/>
        </w:tabs>
        <w:spacing w:line="247" w:lineRule="auto" w:before="0" w:after="0"/>
        <w:ind w:left="150" w:right="40" w:firstLine="397"/>
        <w:jc w:val="both"/>
        <w:rPr>
          <w:sz w:val="15"/>
        </w:rPr>
      </w:pPr>
      <w:r>
        <w:rPr>
          <w:sz w:val="15"/>
        </w:rPr>
        <w:t>Por transportar cadáveres o partes de animales sin la protección adecuada o en vehículos no autorizados,</w:t>
      </w:r>
      <w:r>
        <w:rPr>
          <w:spacing w:val="11"/>
          <w:sz w:val="15"/>
        </w:rPr>
        <w:t> </w:t>
      </w:r>
      <w:r>
        <w:rPr>
          <w:sz w:val="15"/>
        </w:rPr>
        <w:t>de:</w:t>
      </w:r>
    </w:p>
    <w:p>
      <w:pPr>
        <w:pStyle w:val="BodyText"/>
        <w:spacing w:line="172" w:lineRule="exact"/>
        <w:ind w:left="2478"/>
      </w:pPr>
      <w:r>
        <w:rPr/>
        <w:t>6 a 45 unidades de medida y actualización;</w:t>
      </w:r>
    </w:p>
    <w:p>
      <w:pPr>
        <w:pStyle w:val="BodyText"/>
        <w:spacing w:before="8"/>
        <w:rPr>
          <w:sz w:val="22"/>
        </w:rPr>
      </w:pPr>
    </w:p>
    <w:p>
      <w:pPr>
        <w:pStyle w:val="ListParagraph"/>
        <w:numPr>
          <w:ilvl w:val="0"/>
          <w:numId w:val="237"/>
        </w:numPr>
        <w:tabs>
          <w:tab w:pos="909" w:val="left" w:leader="none"/>
        </w:tabs>
        <w:spacing w:line="244" w:lineRule="auto" w:before="0" w:after="0"/>
        <w:ind w:left="150" w:right="38" w:firstLine="397"/>
        <w:jc w:val="both"/>
        <w:rPr>
          <w:sz w:val="15"/>
        </w:rPr>
      </w:pPr>
      <w:r>
        <w:rPr>
          <w:sz w:val="15"/>
        </w:rPr>
        <w:t>Por arrojar o depositar en lotes baldíos, en la vía pública o en recipientes instalados en ella, residuos sólidos que provengan de talleres, establecimientos comerciales, o industriales,</w:t>
      </w:r>
      <w:r>
        <w:rPr>
          <w:spacing w:val="9"/>
          <w:sz w:val="15"/>
        </w:rPr>
        <w:t> </w:t>
      </w:r>
      <w:r>
        <w:rPr>
          <w:sz w:val="15"/>
        </w:rPr>
        <w:t>de:</w:t>
      </w:r>
    </w:p>
    <w:p>
      <w:pPr>
        <w:pStyle w:val="BodyText"/>
        <w:spacing w:before="3"/>
        <w:ind w:left="2403"/>
        <w:jc w:val="both"/>
      </w:pPr>
      <w:r>
        <w:rPr/>
        <w:t>11 a 83 unidades de medida y actualización;</w:t>
      </w:r>
    </w:p>
    <w:p>
      <w:pPr>
        <w:pStyle w:val="BodyText"/>
        <w:spacing w:before="7"/>
        <w:rPr>
          <w:sz w:val="22"/>
        </w:rPr>
      </w:pPr>
    </w:p>
    <w:p>
      <w:pPr>
        <w:pStyle w:val="ListParagraph"/>
        <w:numPr>
          <w:ilvl w:val="0"/>
          <w:numId w:val="237"/>
        </w:numPr>
        <w:tabs>
          <w:tab w:pos="852" w:val="left" w:leader="none"/>
        </w:tabs>
        <w:spacing w:line="247" w:lineRule="auto" w:before="0" w:after="0"/>
        <w:ind w:left="150" w:right="40" w:firstLine="397"/>
        <w:jc w:val="both"/>
        <w:rPr>
          <w:sz w:val="15"/>
        </w:rPr>
      </w:pPr>
      <w:r>
        <w:rPr>
          <w:sz w:val="15"/>
        </w:rPr>
        <w:t>Por no limpiar y desinfectar el vehículo utilizado para transporte y recolección de residuos, de acuerdo a su capacidad</w:t>
      </w:r>
      <w:r>
        <w:rPr>
          <w:spacing w:val="19"/>
          <w:sz w:val="15"/>
        </w:rPr>
        <w:t> </w:t>
      </w:r>
      <w:r>
        <w:rPr>
          <w:sz w:val="15"/>
        </w:rPr>
        <w:t>de:</w:t>
      </w:r>
    </w:p>
    <w:p>
      <w:pPr>
        <w:pStyle w:val="BodyText"/>
        <w:spacing w:line="172" w:lineRule="exact"/>
        <w:ind w:left="2478"/>
      </w:pPr>
      <w:r>
        <w:rPr/>
        <w:t>3 a 26 unidades de medida y actualización;</w:t>
      </w:r>
    </w:p>
    <w:p>
      <w:pPr>
        <w:pStyle w:val="BodyText"/>
        <w:spacing w:before="7"/>
        <w:rPr>
          <w:sz w:val="22"/>
        </w:rPr>
      </w:pPr>
    </w:p>
    <w:p>
      <w:pPr>
        <w:pStyle w:val="ListParagraph"/>
        <w:numPr>
          <w:ilvl w:val="0"/>
          <w:numId w:val="237"/>
        </w:numPr>
        <w:tabs>
          <w:tab w:pos="891" w:val="left" w:leader="none"/>
        </w:tabs>
        <w:spacing w:line="244" w:lineRule="auto" w:before="0" w:after="0"/>
        <w:ind w:left="151" w:right="38" w:firstLine="397"/>
        <w:jc w:val="both"/>
        <w:rPr>
          <w:sz w:val="15"/>
        </w:rPr>
      </w:pPr>
      <w:r>
        <w:rPr>
          <w:sz w:val="15"/>
        </w:rPr>
        <w:t>Por no cumplir con planta de transferencia de residuos sólidos, ni los requerimientos señalados por la Dirección General de Gestión Ambiental, Cambio</w:t>
      </w:r>
      <w:r>
        <w:rPr>
          <w:spacing w:val="11"/>
          <w:sz w:val="15"/>
        </w:rPr>
        <w:t> </w:t>
      </w:r>
      <w:r>
        <w:rPr>
          <w:sz w:val="15"/>
        </w:rPr>
        <w:t>Climático</w:t>
      </w:r>
      <w:r>
        <w:rPr>
          <w:spacing w:val="11"/>
          <w:sz w:val="15"/>
        </w:rPr>
        <w:t> </w:t>
      </w:r>
      <w:r>
        <w:rPr>
          <w:sz w:val="15"/>
        </w:rPr>
        <w:t>y</w:t>
      </w:r>
      <w:r>
        <w:rPr>
          <w:spacing w:val="12"/>
          <w:sz w:val="15"/>
        </w:rPr>
        <w:t> </w:t>
      </w:r>
      <w:r>
        <w:rPr>
          <w:sz w:val="15"/>
        </w:rPr>
        <w:t>Sustentabilidad</w:t>
      </w:r>
      <w:r>
        <w:rPr>
          <w:spacing w:val="11"/>
          <w:sz w:val="15"/>
        </w:rPr>
        <w:t> </w:t>
      </w:r>
      <w:r>
        <w:rPr>
          <w:sz w:val="15"/>
        </w:rPr>
        <w:t>y</w:t>
      </w:r>
      <w:r>
        <w:rPr>
          <w:spacing w:val="11"/>
          <w:sz w:val="15"/>
        </w:rPr>
        <w:t> </w:t>
      </w:r>
      <w:r>
        <w:rPr>
          <w:sz w:val="15"/>
        </w:rPr>
        <w:t>de</w:t>
      </w:r>
      <w:r>
        <w:rPr>
          <w:spacing w:val="12"/>
          <w:sz w:val="15"/>
        </w:rPr>
        <w:t> </w:t>
      </w:r>
      <w:r>
        <w:rPr>
          <w:sz w:val="15"/>
        </w:rPr>
        <w:t>acuerdo</w:t>
      </w:r>
      <w:r>
        <w:rPr>
          <w:spacing w:val="11"/>
          <w:sz w:val="15"/>
        </w:rPr>
        <w:t> </w:t>
      </w:r>
      <w:r>
        <w:rPr>
          <w:sz w:val="15"/>
        </w:rPr>
        <w:t>al</w:t>
      </w:r>
      <w:r>
        <w:rPr>
          <w:spacing w:val="11"/>
          <w:sz w:val="15"/>
        </w:rPr>
        <w:t> </w:t>
      </w:r>
      <w:r>
        <w:rPr>
          <w:sz w:val="15"/>
        </w:rPr>
        <w:t>tonelaje</w:t>
      </w:r>
      <w:r>
        <w:rPr>
          <w:spacing w:val="12"/>
          <w:sz w:val="15"/>
        </w:rPr>
        <w:t> </w:t>
      </w:r>
      <w:r>
        <w:rPr>
          <w:sz w:val="15"/>
        </w:rPr>
        <w:t>determinado</w:t>
      </w:r>
      <w:r>
        <w:rPr>
          <w:spacing w:val="11"/>
          <w:sz w:val="15"/>
        </w:rPr>
        <w:t> </w:t>
      </w:r>
      <w:r>
        <w:rPr>
          <w:sz w:val="15"/>
        </w:rPr>
        <w:t>de:</w:t>
      </w:r>
    </w:p>
    <w:p>
      <w:pPr>
        <w:pStyle w:val="BodyText"/>
        <w:spacing w:before="3"/>
        <w:ind w:left="2307"/>
        <w:jc w:val="both"/>
      </w:pPr>
      <w:r>
        <w:rPr/>
        <w:t>59 a 452 unidades de medida y actualización;</w:t>
      </w:r>
    </w:p>
    <w:p>
      <w:pPr>
        <w:pStyle w:val="BodyText"/>
        <w:spacing w:before="7"/>
        <w:rPr>
          <w:sz w:val="22"/>
        </w:rPr>
      </w:pPr>
    </w:p>
    <w:p>
      <w:pPr>
        <w:pStyle w:val="ListParagraph"/>
        <w:numPr>
          <w:ilvl w:val="0"/>
          <w:numId w:val="237"/>
        </w:numPr>
        <w:tabs>
          <w:tab w:pos="941" w:val="left" w:leader="none"/>
        </w:tabs>
        <w:spacing w:line="247" w:lineRule="auto" w:before="0" w:after="0"/>
        <w:ind w:left="151" w:right="39" w:firstLine="397"/>
        <w:jc w:val="both"/>
        <w:rPr>
          <w:sz w:val="15"/>
        </w:rPr>
      </w:pPr>
      <w:r>
        <w:rPr>
          <w:sz w:val="15"/>
        </w:rPr>
        <w:t>Por depositar residuos sólidos de origen no doméstico, en sitios propiedad del Ayuntamiento evadiendo el pago de derechos,</w:t>
      </w:r>
      <w:r>
        <w:rPr>
          <w:spacing w:val="22"/>
          <w:sz w:val="15"/>
        </w:rPr>
        <w:t> </w:t>
      </w:r>
      <w:r>
        <w:rPr>
          <w:sz w:val="15"/>
        </w:rPr>
        <w:t>de:</w:t>
      </w:r>
    </w:p>
    <w:p>
      <w:pPr>
        <w:pStyle w:val="BodyText"/>
        <w:spacing w:line="172" w:lineRule="exact"/>
        <w:ind w:left="2478"/>
      </w:pPr>
      <w:r>
        <w:rPr/>
        <w:t>8 a 72 unidades de medida y actualización;</w:t>
      </w:r>
    </w:p>
    <w:p>
      <w:pPr>
        <w:pStyle w:val="BodyText"/>
        <w:spacing w:before="7"/>
        <w:rPr>
          <w:sz w:val="22"/>
        </w:rPr>
      </w:pPr>
    </w:p>
    <w:p>
      <w:pPr>
        <w:pStyle w:val="ListParagraph"/>
        <w:numPr>
          <w:ilvl w:val="0"/>
          <w:numId w:val="237"/>
        </w:numPr>
        <w:tabs>
          <w:tab w:pos="980" w:val="left" w:leader="none"/>
        </w:tabs>
        <w:spacing w:line="247" w:lineRule="auto" w:before="0" w:after="0"/>
        <w:ind w:left="151" w:right="39" w:firstLine="397"/>
        <w:jc w:val="both"/>
        <w:rPr>
          <w:sz w:val="15"/>
        </w:rPr>
      </w:pPr>
      <w:r>
        <w:rPr>
          <w:sz w:val="15"/>
        </w:rPr>
        <w:t>Por no informar a las autoridades, quien genere residuos, la vía  de disposición final de los mismos,</w:t>
      </w:r>
      <w:r>
        <w:rPr>
          <w:spacing w:val="11"/>
          <w:sz w:val="15"/>
        </w:rPr>
        <w:t> </w:t>
      </w:r>
      <w:r>
        <w:rPr>
          <w:sz w:val="15"/>
        </w:rPr>
        <w:t>de:</w:t>
      </w:r>
    </w:p>
    <w:p>
      <w:pPr>
        <w:pStyle w:val="BodyText"/>
        <w:spacing w:line="171" w:lineRule="exact"/>
        <w:ind w:left="2478"/>
      </w:pPr>
      <w:r>
        <w:rPr/>
        <w:t>6 a 51 unidades de medida y actualización;</w:t>
      </w:r>
    </w:p>
    <w:p>
      <w:pPr>
        <w:pStyle w:val="BodyText"/>
        <w:spacing w:before="7"/>
        <w:rPr>
          <w:sz w:val="22"/>
        </w:rPr>
      </w:pPr>
    </w:p>
    <w:p>
      <w:pPr>
        <w:pStyle w:val="ListParagraph"/>
        <w:numPr>
          <w:ilvl w:val="0"/>
          <w:numId w:val="237"/>
        </w:numPr>
        <w:tabs>
          <w:tab w:pos="1021" w:val="left" w:leader="none"/>
        </w:tabs>
        <w:spacing w:line="247" w:lineRule="auto" w:before="0" w:after="0"/>
        <w:ind w:left="151" w:right="38" w:firstLine="397"/>
        <w:jc w:val="both"/>
        <w:rPr>
          <w:sz w:val="15"/>
        </w:rPr>
      </w:pPr>
      <w:r>
        <w:rPr>
          <w:sz w:val="15"/>
        </w:rPr>
        <w:t>Por transportar residuos sólidos en vehículos que no estén inscritos en el padrón de prestadores de servicios ambientales  de  la  Dirección General de Gestión Ambiental, Cambio Climático y Sustentabilidad independientemente de registrarse  en  la  Dirección  de  Aseo  Público,  de:  10 a 91 unidades de medida y</w:t>
      </w:r>
      <w:r>
        <w:rPr>
          <w:spacing w:val="14"/>
          <w:sz w:val="15"/>
        </w:rPr>
        <w:t> </w:t>
      </w:r>
      <w:r>
        <w:rPr>
          <w:sz w:val="15"/>
        </w:rPr>
        <w:t>actualización;</w:t>
      </w:r>
    </w:p>
    <w:p>
      <w:pPr>
        <w:pStyle w:val="BodyText"/>
        <w:spacing w:line="171" w:lineRule="exact"/>
        <w:ind w:left="2393"/>
        <w:jc w:val="both"/>
      </w:pPr>
      <w:r>
        <w:rPr/>
        <w:br w:type="column"/>
      </w:r>
      <w:r>
        <w:rPr/>
        <w:t>9 a 109 unidades de medida y actualización;</w:t>
      </w:r>
    </w:p>
    <w:p>
      <w:pPr>
        <w:pStyle w:val="BodyText"/>
        <w:spacing w:before="7"/>
        <w:rPr>
          <w:sz w:val="22"/>
        </w:rPr>
      </w:pPr>
    </w:p>
    <w:p>
      <w:pPr>
        <w:pStyle w:val="ListParagraph"/>
        <w:numPr>
          <w:ilvl w:val="0"/>
          <w:numId w:val="238"/>
        </w:numPr>
        <w:tabs>
          <w:tab w:pos="1072" w:val="left" w:leader="none"/>
        </w:tabs>
        <w:spacing w:line="244" w:lineRule="auto" w:before="0" w:after="0"/>
        <w:ind w:left="151" w:right="2788" w:firstLine="397"/>
        <w:jc w:val="both"/>
        <w:rPr>
          <w:sz w:val="15"/>
        </w:rPr>
      </w:pPr>
      <w:r>
        <w:rPr>
          <w:sz w:val="15"/>
        </w:rPr>
        <w:t>Por carecer de servicios de aseo contratado, los giros comerciales, industriales y de prestación de servicios, materia contaminante  en exceso,</w:t>
      </w:r>
      <w:r>
        <w:rPr>
          <w:spacing w:val="2"/>
          <w:sz w:val="15"/>
        </w:rPr>
        <w:t> </w:t>
      </w:r>
      <w:r>
        <w:rPr>
          <w:sz w:val="15"/>
        </w:rPr>
        <w:t>de:</w:t>
      </w:r>
    </w:p>
    <w:p>
      <w:pPr>
        <w:pStyle w:val="BodyText"/>
        <w:spacing w:before="3"/>
        <w:ind w:left="2478"/>
        <w:jc w:val="both"/>
      </w:pPr>
      <w:r>
        <w:rPr/>
        <w:t>9 a 91 unidades de medida y actualización;</w:t>
      </w:r>
    </w:p>
    <w:p>
      <w:pPr>
        <w:pStyle w:val="BodyText"/>
        <w:spacing w:before="7"/>
        <w:rPr>
          <w:sz w:val="22"/>
        </w:rPr>
      </w:pPr>
    </w:p>
    <w:p>
      <w:pPr>
        <w:pStyle w:val="ListParagraph"/>
        <w:numPr>
          <w:ilvl w:val="0"/>
          <w:numId w:val="238"/>
        </w:numPr>
        <w:tabs>
          <w:tab w:pos="1081" w:val="left" w:leader="none"/>
        </w:tabs>
        <w:spacing w:line="247" w:lineRule="auto" w:before="0" w:after="0"/>
        <w:ind w:left="151" w:right="2788" w:firstLine="397"/>
        <w:jc w:val="both"/>
        <w:rPr>
          <w:sz w:val="15"/>
        </w:rPr>
      </w:pPr>
      <w:r>
        <w:rPr>
          <w:sz w:val="15"/>
        </w:rPr>
        <w:t>Por tener desaseados lotes baldíos y fincas deshabitadas, independientemente</w:t>
      </w:r>
      <w:r>
        <w:rPr>
          <w:spacing w:val="7"/>
          <w:sz w:val="15"/>
        </w:rPr>
        <w:t> </w:t>
      </w:r>
      <w:r>
        <w:rPr>
          <w:sz w:val="15"/>
        </w:rPr>
        <w:t>de</w:t>
      </w:r>
      <w:r>
        <w:rPr>
          <w:spacing w:val="7"/>
          <w:sz w:val="15"/>
        </w:rPr>
        <w:t> </w:t>
      </w:r>
      <w:r>
        <w:rPr>
          <w:sz w:val="15"/>
        </w:rPr>
        <w:t>recogerlos</w:t>
      </w:r>
      <w:r>
        <w:rPr>
          <w:spacing w:val="8"/>
          <w:sz w:val="15"/>
        </w:rPr>
        <w:t> </w:t>
      </w:r>
      <w:r>
        <w:rPr>
          <w:sz w:val="15"/>
        </w:rPr>
        <w:t>y</w:t>
      </w:r>
      <w:r>
        <w:rPr>
          <w:spacing w:val="7"/>
          <w:sz w:val="15"/>
        </w:rPr>
        <w:t> </w:t>
      </w:r>
      <w:r>
        <w:rPr>
          <w:sz w:val="15"/>
        </w:rPr>
        <w:t>sanear</w:t>
      </w:r>
      <w:r>
        <w:rPr>
          <w:spacing w:val="7"/>
          <w:sz w:val="15"/>
        </w:rPr>
        <w:t> </w:t>
      </w:r>
      <w:r>
        <w:rPr>
          <w:sz w:val="15"/>
        </w:rPr>
        <w:t>el</w:t>
      </w:r>
      <w:r>
        <w:rPr>
          <w:spacing w:val="8"/>
          <w:sz w:val="15"/>
        </w:rPr>
        <w:t> </w:t>
      </w:r>
      <w:r>
        <w:rPr>
          <w:sz w:val="15"/>
        </w:rPr>
        <w:t>lugar,</w:t>
      </w:r>
      <w:r>
        <w:rPr>
          <w:spacing w:val="7"/>
          <w:sz w:val="15"/>
        </w:rPr>
        <w:t> </w:t>
      </w:r>
      <w:r>
        <w:rPr>
          <w:sz w:val="15"/>
        </w:rPr>
        <w:t>por</w:t>
      </w:r>
      <w:r>
        <w:rPr>
          <w:spacing w:val="7"/>
          <w:sz w:val="15"/>
        </w:rPr>
        <w:t> </w:t>
      </w:r>
      <w:r>
        <w:rPr>
          <w:sz w:val="15"/>
        </w:rPr>
        <w:t>metro</w:t>
      </w:r>
      <w:r>
        <w:rPr>
          <w:spacing w:val="8"/>
          <w:sz w:val="15"/>
        </w:rPr>
        <w:t> </w:t>
      </w:r>
      <w:r>
        <w:rPr>
          <w:sz w:val="15"/>
        </w:rPr>
        <w:t>cuadrado:</w:t>
      </w:r>
    </w:p>
    <w:p>
      <w:pPr>
        <w:pStyle w:val="BodyText"/>
        <w:spacing w:before="1"/>
        <w:rPr>
          <w:sz w:val="22"/>
        </w:rPr>
      </w:pPr>
    </w:p>
    <w:p>
      <w:pPr>
        <w:pStyle w:val="ListParagraph"/>
        <w:numPr>
          <w:ilvl w:val="0"/>
          <w:numId w:val="239"/>
        </w:numPr>
        <w:tabs>
          <w:tab w:pos="729" w:val="left" w:leader="none"/>
          <w:tab w:pos="4960" w:val="left" w:leader="none"/>
        </w:tabs>
        <w:spacing w:line="240" w:lineRule="auto" w:before="0" w:after="0"/>
        <w:ind w:left="728" w:right="0" w:hanging="181"/>
        <w:jc w:val="left"/>
        <w:rPr>
          <w:sz w:val="15"/>
        </w:rPr>
      </w:pPr>
      <w:r>
        <w:rPr>
          <w:sz w:val="15"/>
        </w:rPr>
        <w:t>Densidad</w:t>
      </w:r>
      <w:r>
        <w:rPr>
          <w:spacing w:val="19"/>
          <w:sz w:val="15"/>
        </w:rPr>
        <w:t> </w:t>
      </w:r>
      <w:r>
        <w:rPr>
          <w:sz w:val="15"/>
        </w:rPr>
        <w:t>alta:</w:t>
        <w:tab/>
        <w:t>$59.00</w:t>
      </w:r>
    </w:p>
    <w:p>
      <w:pPr>
        <w:pStyle w:val="ListParagraph"/>
        <w:numPr>
          <w:ilvl w:val="0"/>
          <w:numId w:val="239"/>
        </w:numPr>
        <w:tabs>
          <w:tab w:pos="729" w:val="left" w:leader="none"/>
          <w:tab w:pos="4961" w:val="left" w:leader="none"/>
        </w:tabs>
        <w:spacing w:line="240" w:lineRule="auto" w:before="44" w:after="0"/>
        <w:ind w:left="728" w:right="0" w:hanging="181"/>
        <w:jc w:val="left"/>
        <w:rPr>
          <w:sz w:val="15"/>
        </w:rPr>
      </w:pPr>
      <w:r>
        <w:rPr>
          <w:sz w:val="15"/>
        </w:rPr>
        <w:t>Densidad</w:t>
      </w:r>
      <w:r>
        <w:rPr>
          <w:spacing w:val="27"/>
          <w:sz w:val="15"/>
        </w:rPr>
        <w:t> </w:t>
      </w:r>
      <w:r>
        <w:rPr>
          <w:sz w:val="15"/>
        </w:rPr>
        <w:t>media:</w:t>
        <w:tab/>
        <w:t>$65.00</w:t>
      </w:r>
    </w:p>
    <w:p>
      <w:pPr>
        <w:pStyle w:val="ListParagraph"/>
        <w:numPr>
          <w:ilvl w:val="0"/>
          <w:numId w:val="239"/>
        </w:numPr>
        <w:tabs>
          <w:tab w:pos="720" w:val="left" w:leader="none"/>
          <w:tab w:pos="4961" w:val="left" w:leader="none"/>
        </w:tabs>
        <w:spacing w:line="240" w:lineRule="auto" w:before="44" w:after="0"/>
        <w:ind w:left="719" w:right="0" w:hanging="172"/>
        <w:jc w:val="left"/>
        <w:rPr>
          <w:sz w:val="15"/>
        </w:rPr>
      </w:pPr>
      <w:r>
        <w:rPr>
          <w:sz w:val="15"/>
        </w:rPr>
        <w:t>Densidad</w:t>
      </w:r>
      <w:r>
        <w:rPr>
          <w:spacing w:val="23"/>
          <w:sz w:val="15"/>
        </w:rPr>
        <w:t> </w:t>
      </w:r>
      <w:r>
        <w:rPr>
          <w:sz w:val="15"/>
        </w:rPr>
        <w:t>baja:</w:t>
        <w:tab/>
        <w:t>$74.00</w:t>
      </w:r>
    </w:p>
    <w:p>
      <w:pPr>
        <w:pStyle w:val="ListParagraph"/>
        <w:numPr>
          <w:ilvl w:val="0"/>
          <w:numId w:val="239"/>
        </w:numPr>
        <w:tabs>
          <w:tab w:pos="729" w:val="left" w:leader="none"/>
          <w:tab w:pos="4875" w:val="left" w:leader="none"/>
        </w:tabs>
        <w:spacing w:line="240" w:lineRule="auto" w:before="43" w:after="0"/>
        <w:ind w:left="728" w:right="0" w:hanging="181"/>
        <w:jc w:val="left"/>
        <w:rPr>
          <w:sz w:val="15"/>
        </w:rPr>
      </w:pPr>
      <w:r>
        <w:rPr>
          <w:sz w:val="15"/>
        </w:rPr>
        <w:t>Densidad</w:t>
      </w:r>
      <w:r>
        <w:rPr>
          <w:spacing w:val="29"/>
          <w:sz w:val="15"/>
        </w:rPr>
        <w:t> </w:t>
      </w:r>
      <w:r>
        <w:rPr>
          <w:sz w:val="15"/>
        </w:rPr>
        <w:t>mínima:</w:t>
        <w:tab/>
        <w:t>$105.00</w:t>
      </w:r>
    </w:p>
    <w:p>
      <w:pPr>
        <w:pStyle w:val="BodyText"/>
        <w:spacing w:before="7"/>
        <w:rPr>
          <w:sz w:val="22"/>
        </w:rPr>
      </w:pPr>
    </w:p>
    <w:p>
      <w:pPr>
        <w:pStyle w:val="BodyText"/>
        <w:spacing w:line="247" w:lineRule="auto"/>
        <w:ind w:left="151" w:right="4298" w:firstLine="397"/>
      </w:pPr>
      <w:r>
        <w:rPr/>
        <w:t>Si la anomalía es corregida dentro de los siguientes 7 días de la fecha de la infracción la</w:t>
      </w:r>
    </w:p>
    <w:p>
      <w:pPr>
        <w:pStyle w:val="BodyText"/>
        <w:tabs>
          <w:tab w:pos="5122" w:val="left" w:leader="none"/>
        </w:tabs>
        <w:spacing w:line="172" w:lineRule="exact"/>
        <w:ind w:left="151"/>
      </w:pPr>
      <w:r>
        <w:rPr/>
        <w:t>sanción se reducirá</w:t>
      </w:r>
      <w:r>
        <w:rPr>
          <w:spacing w:val="20"/>
        </w:rPr>
        <w:t> </w:t>
      </w:r>
      <w:r>
        <w:rPr/>
        <w:t>en</w:t>
      </w:r>
      <w:r>
        <w:rPr>
          <w:spacing w:val="7"/>
        </w:rPr>
        <w:t> </w:t>
      </w:r>
      <w:r>
        <w:rPr/>
        <w:t>un:</w:t>
        <w:tab/>
        <w:t>50%</w:t>
      </w:r>
    </w:p>
    <w:p>
      <w:pPr>
        <w:pStyle w:val="BodyText"/>
        <w:spacing w:before="7"/>
        <w:rPr>
          <w:sz w:val="22"/>
        </w:rPr>
      </w:pPr>
    </w:p>
    <w:p>
      <w:pPr>
        <w:pStyle w:val="ListParagraph"/>
        <w:numPr>
          <w:ilvl w:val="0"/>
          <w:numId w:val="238"/>
        </w:numPr>
        <w:tabs>
          <w:tab w:pos="1090" w:val="left" w:leader="none"/>
        </w:tabs>
        <w:spacing w:line="247" w:lineRule="auto" w:before="1" w:after="0"/>
        <w:ind w:left="150" w:right="2788" w:firstLine="397"/>
        <w:jc w:val="both"/>
        <w:rPr>
          <w:sz w:val="15"/>
        </w:rPr>
      </w:pPr>
      <w:r>
        <w:rPr>
          <w:sz w:val="15"/>
        </w:rPr>
        <w:t>Por arrojar material radioactivo en las vías o sitios públicos o privados,</w:t>
      </w:r>
      <w:r>
        <w:rPr>
          <w:spacing w:val="1"/>
          <w:sz w:val="15"/>
        </w:rPr>
        <w:t> </w:t>
      </w:r>
      <w:r>
        <w:rPr>
          <w:sz w:val="15"/>
        </w:rPr>
        <w:t>de:</w:t>
      </w:r>
    </w:p>
    <w:p>
      <w:pPr>
        <w:pStyle w:val="BodyText"/>
        <w:spacing w:line="172" w:lineRule="exact"/>
        <w:ind w:left="2137"/>
      </w:pPr>
      <w:r>
        <w:rPr/>
        <w:t>196 a 1805 unidades de medida y actualización;</w:t>
      </w:r>
    </w:p>
    <w:p>
      <w:pPr>
        <w:pStyle w:val="BodyText"/>
        <w:spacing w:before="6"/>
        <w:rPr>
          <w:sz w:val="22"/>
        </w:rPr>
      </w:pPr>
    </w:p>
    <w:p>
      <w:pPr>
        <w:pStyle w:val="ListParagraph"/>
        <w:numPr>
          <w:ilvl w:val="0"/>
          <w:numId w:val="238"/>
        </w:numPr>
        <w:tabs>
          <w:tab w:pos="1008" w:val="left" w:leader="none"/>
        </w:tabs>
        <w:spacing w:line="247" w:lineRule="auto" w:before="0" w:after="0"/>
        <w:ind w:left="150" w:right="2788" w:firstLine="397"/>
        <w:jc w:val="both"/>
        <w:rPr>
          <w:sz w:val="15"/>
        </w:rPr>
      </w:pPr>
      <w:r>
        <w:rPr>
          <w:sz w:val="15"/>
        </w:rPr>
        <w:t>Por arrojar sustancias en estado líquido, aceites, combustibles cualquier otro líquido o sólido que pueda dañar la salud, la vía pública o sus instalaciones,</w:t>
      </w:r>
      <w:r>
        <w:rPr>
          <w:spacing w:val="1"/>
          <w:sz w:val="15"/>
        </w:rPr>
        <w:t> </w:t>
      </w:r>
      <w:r>
        <w:rPr>
          <w:sz w:val="15"/>
        </w:rPr>
        <w:t>de:</w:t>
      </w:r>
    </w:p>
    <w:p>
      <w:pPr>
        <w:pStyle w:val="BodyText"/>
        <w:spacing w:line="171" w:lineRule="exact"/>
        <w:ind w:left="2307"/>
        <w:jc w:val="both"/>
      </w:pPr>
      <w:r>
        <w:rPr/>
        <w:t>14 a 128 unidades de medida y actualización;</w:t>
      </w:r>
    </w:p>
    <w:p>
      <w:pPr>
        <w:pStyle w:val="BodyText"/>
        <w:spacing w:before="7"/>
        <w:rPr>
          <w:sz w:val="22"/>
        </w:rPr>
      </w:pPr>
    </w:p>
    <w:p>
      <w:pPr>
        <w:pStyle w:val="ListParagraph"/>
        <w:numPr>
          <w:ilvl w:val="0"/>
          <w:numId w:val="238"/>
        </w:numPr>
        <w:tabs>
          <w:tab w:pos="993" w:val="left" w:leader="none"/>
        </w:tabs>
        <w:spacing w:line="247" w:lineRule="auto" w:before="0" w:after="0"/>
        <w:ind w:left="150" w:right="2787" w:firstLine="397"/>
        <w:jc w:val="both"/>
        <w:rPr>
          <w:sz w:val="15"/>
        </w:rPr>
      </w:pPr>
      <w:r>
        <w:rPr>
          <w:sz w:val="15"/>
        </w:rPr>
        <w:t>Por realizar servicios de recolección de residuos sólidos no peligrosos sin autorización o dictamen que otorga el registro en el padrón de prestadores de servicios ambientales de la Dirección General de Gestión Ambiental, Cambio Climático y Sustentabilidad,</w:t>
      </w:r>
      <w:r>
        <w:rPr>
          <w:spacing w:val="12"/>
          <w:sz w:val="15"/>
        </w:rPr>
        <w:t> </w:t>
      </w:r>
      <w:r>
        <w:rPr>
          <w:sz w:val="15"/>
        </w:rPr>
        <w:t>de:</w:t>
      </w:r>
    </w:p>
    <w:p>
      <w:pPr>
        <w:pStyle w:val="BodyText"/>
        <w:spacing w:line="170" w:lineRule="exact"/>
        <w:ind w:left="2478"/>
        <w:jc w:val="both"/>
      </w:pPr>
      <w:r>
        <w:rPr/>
        <w:t>5 a 36 unidades de medida y actualización;</w:t>
      </w:r>
    </w:p>
    <w:p>
      <w:pPr>
        <w:pStyle w:val="BodyText"/>
        <w:spacing w:before="7"/>
        <w:rPr>
          <w:sz w:val="22"/>
        </w:rPr>
      </w:pPr>
    </w:p>
    <w:p>
      <w:pPr>
        <w:pStyle w:val="ListParagraph"/>
        <w:numPr>
          <w:ilvl w:val="0"/>
          <w:numId w:val="238"/>
        </w:numPr>
        <w:tabs>
          <w:tab w:pos="1057" w:val="left" w:leader="none"/>
        </w:tabs>
        <w:spacing w:line="247" w:lineRule="auto" w:before="0" w:after="0"/>
        <w:ind w:left="150" w:right="2787" w:firstLine="397"/>
        <w:jc w:val="both"/>
        <w:rPr>
          <w:sz w:val="15"/>
        </w:rPr>
      </w:pPr>
      <w:r>
        <w:rPr>
          <w:sz w:val="15"/>
        </w:rPr>
        <w:t>Por carecer de identificación establecida por la  Dirección General de Gestión Ambiental, Cambio Climático y Sustentabilidad, los vehículos de transportación y recolección de residuos,</w:t>
      </w:r>
      <w:r>
        <w:rPr>
          <w:spacing w:val="22"/>
          <w:sz w:val="15"/>
        </w:rPr>
        <w:t> </w:t>
      </w:r>
      <w:r>
        <w:rPr>
          <w:sz w:val="15"/>
        </w:rPr>
        <w:t>de:</w:t>
      </w:r>
    </w:p>
    <w:p>
      <w:pPr>
        <w:pStyle w:val="BodyText"/>
        <w:spacing w:line="171" w:lineRule="exact"/>
        <w:ind w:left="2306"/>
        <w:jc w:val="both"/>
      </w:pPr>
      <w:r>
        <w:rPr/>
        <w:t>20 a 136 unidades de medida y actualización;</w:t>
      </w:r>
    </w:p>
    <w:p>
      <w:pPr>
        <w:pStyle w:val="BodyText"/>
        <w:spacing w:before="7"/>
        <w:rPr>
          <w:sz w:val="22"/>
        </w:rPr>
      </w:pPr>
    </w:p>
    <w:p>
      <w:pPr>
        <w:pStyle w:val="ListParagraph"/>
        <w:numPr>
          <w:ilvl w:val="0"/>
          <w:numId w:val="238"/>
        </w:numPr>
        <w:tabs>
          <w:tab w:pos="1197" w:val="left" w:leader="none"/>
        </w:tabs>
        <w:spacing w:line="244" w:lineRule="auto" w:before="0" w:after="0"/>
        <w:ind w:left="150" w:right="2789" w:firstLine="397"/>
        <w:jc w:val="both"/>
        <w:rPr>
          <w:sz w:val="15"/>
        </w:rPr>
      </w:pPr>
      <w:r>
        <w:rPr>
          <w:sz w:val="15"/>
        </w:rPr>
        <w:t>Las infracciones por contravenir las disposiciones reglamentarias municipales vigentes referentes a la protección a la flora y a    la fauna, se sancionarán con multa,</w:t>
      </w:r>
      <w:r>
        <w:rPr>
          <w:spacing w:val="8"/>
          <w:sz w:val="15"/>
        </w:rPr>
        <w:t> </w:t>
      </w:r>
      <w:r>
        <w:rPr>
          <w:sz w:val="15"/>
        </w:rPr>
        <w:t>de:</w:t>
      </w:r>
    </w:p>
    <w:p>
      <w:pPr>
        <w:pStyle w:val="BodyText"/>
        <w:spacing w:before="3"/>
        <w:ind w:left="2477"/>
        <w:jc w:val="both"/>
      </w:pPr>
      <w:r>
        <w:rPr/>
        <w:t>5 a 36 unidades de medida y actualización;</w:t>
      </w:r>
    </w:p>
    <w:p>
      <w:pPr>
        <w:pStyle w:val="BodyText"/>
        <w:spacing w:before="7"/>
        <w:rPr>
          <w:sz w:val="22"/>
        </w:rPr>
      </w:pPr>
    </w:p>
    <w:p>
      <w:pPr>
        <w:pStyle w:val="ListParagraph"/>
        <w:numPr>
          <w:ilvl w:val="0"/>
          <w:numId w:val="238"/>
        </w:numPr>
        <w:tabs>
          <w:tab w:pos="1125" w:val="left" w:leader="none"/>
        </w:tabs>
        <w:spacing w:line="247" w:lineRule="auto" w:before="0" w:after="0"/>
        <w:ind w:left="150" w:right="2787" w:firstLine="397"/>
        <w:jc w:val="both"/>
        <w:rPr>
          <w:sz w:val="15"/>
        </w:rPr>
      </w:pPr>
      <w:r>
        <w:rPr>
          <w:sz w:val="15"/>
        </w:rPr>
        <w:t>Por incinerar sustancias y objetos  cuyo  humo  cause  molestias, altere la salud y el medio ambiente, se causen daños a las fincas vecinas o se amerite la intervención del cuerpo de bomberos o la fuerza pública, de: 6 a 54 unidades de medida y</w:t>
      </w:r>
      <w:r>
        <w:rPr>
          <w:spacing w:val="25"/>
          <w:sz w:val="15"/>
        </w:rPr>
        <w:t> </w:t>
      </w:r>
      <w:r>
        <w:rPr>
          <w:sz w:val="15"/>
        </w:rPr>
        <w:t>actualización;</w:t>
      </w:r>
    </w:p>
    <w:p>
      <w:pPr>
        <w:spacing w:after="0" w:line="247" w:lineRule="auto"/>
        <w:jc w:val="both"/>
        <w:rPr>
          <w:sz w:val="15"/>
        </w:rPr>
        <w:sectPr>
          <w:type w:val="continuous"/>
          <w:pgSz w:w="23250" w:h="15310" w:orient="landscape"/>
          <w:pgMar w:top="0" w:bottom="0" w:left="1880" w:right="1520"/>
          <w:cols w:num="2" w:equalWidth="0">
            <w:col w:w="5473" w:space="6148"/>
            <w:col w:w="8229"/>
          </w:cols>
        </w:sectPr>
      </w:pPr>
    </w:p>
    <w:p>
      <w:pPr>
        <w:pStyle w:val="BodyText"/>
        <w:rPr>
          <w:sz w:val="20"/>
        </w:rPr>
      </w:pPr>
    </w:p>
    <w:p>
      <w:pPr>
        <w:pStyle w:val="BodyText"/>
        <w:rPr>
          <w:sz w:val="20"/>
        </w:rPr>
      </w:pPr>
    </w:p>
    <w:p>
      <w:pPr>
        <w:spacing w:after="0"/>
        <w:rPr>
          <w:sz w:val="20"/>
        </w:rPr>
        <w:sectPr>
          <w:headerReference w:type="default" r:id="rId127"/>
          <w:pgSz w:w="23250" w:h="15310" w:orient="landscape"/>
          <w:pgMar w:header="881" w:footer="499" w:top="1920" w:bottom="680" w:left="1880" w:right="1520"/>
        </w:sectPr>
      </w:pPr>
    </w:p>
    <w:p>
      <w:pPr>
        <w:pStyle w:val="BodyText"/>
        <w:rPr>
          <w:sz w:val="16"/>
        </w:rPr>
      </w:pPr>
    </w:p>
    <w:p>
      <w:pPr>
        <w:pStyle w:val="BodyText"/>
        <w:spacing w:before="8"/>
        <w:rPr>
          <w:sz w:val="22"/>
        </w:rPr>
      </w:pPr>
    </w:p>
    <w:p>
      <w:pPr>
        <w:pStyle w:val="ListParagraph"/>
        <w:numPr>
          <w:ilvl w:val="0"/>
          <w:numId w:val="238"/>
        </w:numPr>
        <w:tabs>
          <w:tab w:pos="1075" w:val="left" w:leader="none"/>
        </w:tabs>
        <w:spacing w:line="247" w:lineRule="auto" w:before="0" w:after="0"/>
        <w:ind w:left="150" w:right="38" w:firstLine="397"/>
        <w:jc w:val="left"/>
        <w:rPr>
          <w:sz w:val="15"/>
        </w:rPr>
      </w:pPr>
      <w:r>
        <w:rPr>
          <w:sz w:val="15"/>
        </w:rPr>
        <w:t>Por carecer de permiso, registro o autorización correspondiente para utilizar el vertedero municipal,</w:t>
      </w:r>
      <w:r>
        <w:rPr>
          <w:spacing w:val="7"/>
          <w:sz w:val="15"/>
        </w:rPr>
        <w:t> </w:t>
      </w:r>
      <w:r>
        <w:rPr>
          <w:sz w:val="15"/>
        </w:rPr>
        <w:t>de:</w:t>
      </w:r>
    </w:p>
    <w:p>
      <w:pPr>
        <w:pStyle w:val="BodyText"/>
        <w:spacing w:line="171" w:lineRule="exact"/>
        <w:ind w:left="2222"/>
      </w:pPr>
      <w:r>
        <w:rPr/>
        <w:t>31 a 2029 unidades de medida y actualización;</w:t>
      </w:r>
    </w:p>
    <w:p>
      <w:pPr>
        <w:pStyle w:val="BodyText"/>
        <w:spacing w:before="7"/>
        <w:rPr>
          <w:sz w:val="22"/>
        </w:rPr>
      </w:pPr>
    </w:p>
    <w:p>
      <w:pPr>
        <w:pStyle w:val="ListParagraph"/>
        <w:numPr>
          <w:ilvl w:val="0"/>
          <w:numId w:val="238"/>
        </w:numPr>
        <w:tabs>
          <w:tab w:pos="1034" w:val="left" w:leader="none"/>
        </w:tabs>
        <w:spacing w:line="247" w:lineRule="auto" w:before="0" w:after="0"/>
        <w:ind w:left="150" w:right="39" w:firstLine="397"/>
        <w:jc w:val="left"/>
        <w:rPr>
          <w:sz w:val="15"/>
        </w:rPr>
      </w:pPr>
      <w:r>
        <w:rPr>
          <w:sz w:val="15"/>
        </w:rPr>
        <w:t>Por evadir el pago de derechos alterando el volumen autorizado en el servicio del vertedero municipal,</w:t>
      </w:r>
      <w:r>
        <w:rPr>
          <w:spacing w:val="11"/>
          <w:sz w:val="15"/>
        </w:rPr>
        <w:t> </w:t>
      </w:r>
      <w:r>
        <w:rPr>
          <w:sz w:val="15"/>
        </w:rPr>
        <w:t>de:</w:t>
      </w:r>
    </w:p>
    <w:p>
      <w:pPr>
        <w:pStyle w:val="BodyText"/>
        <w:spacing w:line="172" w:lineRule="exact"/>
        <w:ind w:left="2307"/>
      </w:pPr>
      <w:r>
        <w:rPr/>
        <w:t>16 a 123 unidades de medida y actualización;</w:t>
      </w:r>
    </w:p>
    <w:p>
      <w:pPr>
        <w:pStyle w:val="BodyText"/>
        <w:spacing w:before="10"/>
        <w:rPr>
          <w:sz w:val="19"/>
        </w:rPr>
      </w:pPr>
      <w:r>
        <w:rPr/>
        <w:br w:type="column"/>
      </w:r>
      <w:r>
        <w:rPr>
          <w:sz w:val="19"/>
        </w:rPr>
      </w:r>
    </w:p>
    <w:p>
      <w:pPr>
        <w:pStyle w:val="BodyText"/>
        <w:ind w:left="548" w:firstLine="1759"/>
      </w:pPr>
      <w:r>
        <w:rPr/>
        <w:t>92 a 664 unidades de medida y actualización;</w:t>
      </w:r>
    </w:p>
    <w:p>
      <w:pPr>
        <w:pStyle w:val="BodyText"/>
        <w:spacing w:before="7"/>
        <w:rPr>
          <w:sz w:val="22"/>
        </w:rPr>
      </w:pPr>
    </w:p>
    <w:p>
      <w:pPr>
        <w:pStyle w:val="BodyText"/>
        <w:spacing w:line="247" w:lineRule="auto"/>
        <w:ind w:left="150" w:right="2788" w:firstLine="397"/>
        <w:jc w:val="both"/>
      </w:pPr>
      <w:r>
        <w:rPr>
          <w:spacing w:val="-7"/>
        </w:rPr>
        <w:t>XLV. </w:t>
      </w:r>
      <w:r>
        <w:rPr/>
        <w:t>Por utilizar pinturas, aerosoles o  cualquier  otro  material  para hacer   grafiti   en   bardas,   fachadas,    plazas    o    sitios    públicos,  de:    22 a 213 unidades de medida y</w:t>
      </w:r>
      <w:r>
        <w:rPr>
          <w:spacing w:val="15"/>
        </w:rPr>
        <w:t> </w:t>
      </w:r>
      <w:r>
        <w:rPr/>
        <w:t>actualización;</w:t>
      </w:r>
    </w:p>
    <w:p>
      <w:pPr>
        <w:pStyle w:val="BodyText"/>
        <w:spacing w:before="1"/>
        <w:rPr>
          <w:sz w:val="22"/>
        </w:rPr>
      </w:pPr>
    </w:p>
    <w:p>
      <w:pPr>
        <w:pStyle w:val="BodyText"/>
        <w:spacing w:line="247" w:lineRule="auto"/>
        <w:ind w:left="150" w:right="2789" w:firstLine="397"/>
        <w:jc w:val="both"/>
      </w:pPr>
      <w:r>
        <w:rPr>
          <w:spacing w:val="-3"/>
        </w:rPr>
        <w:t>XLVI. </w:t>
      </w:r>
      <w:r>
        <w:rPr/>
        <w:t>Por depositar los transeúntes la basura fuera  de  los  contenedores públicos,</w:t>
      </w:r>
      <w:r>
        <w:rPr>
          <w:spacing w:val="2"/>
        </w:rPr>
        <w:t> </w:t>
      </w:r>
      <w:r>
        <w:rPr/>
        <w:t>de:</w:t>
      </w:r>
    </w:p>
    <w:p>
      <w:pPr>
        <w:spacing w:after="0" w:line="247" w:lineRule="auto"/>
        <w:jc w:val="both"/>
        <w:sectPr>
          <w:type w:val="continuous"/>
          <w:pgSz w:w="23250" w:h="15310" w:orient="landscape"/>
          <w:pgMar w:top="0" w:bottom="0" w:left="1880" w:right="1520"/>
          <w:cols w:num="2" w:equalWidth="0">
            <w:col w:w="5473" w:space="6149"/>
            <w:col w:w="8228"/>
          </w:cols>
        </w:sectPr>
      </w:pPr>
    </w:p>
    <w:p>
      <w:pPr>
        <w:pStyle w:val="BodyText"/>
        <w:spacing w:before="8"/>
        <w:rPr>
          <w:sz w:val="18"/>
        </w:rPr>
      </w:pPr>
    </w:p>
    <w:p>
      <w:pPr>
        <w:pStyle w:val="ListParagraph"/>
        <w:numPr>
          <w:ilvl w:val="0"/>
          <w:numId w:val="238"/>
        </w:numPr>
        <w:tabs>
          <w:tab w:pos="1088" w:val="left" w:leader="none"/>
        </w:tabs>
        <w:spacing w:line="240" w:lineRule="auto" w:before="0" w:after="0"/>
        <w:ind w:left="1087" w:right="0" w:hanging="540"/>
        <w:jc w:val="left"/>
        <w:rPr>
          <w:sz w:val="15"/>
        </w:rPr>
      </w:pPr>
      <w:r>
        <w:rPr>
          <w:sz w:val="15"/>
        </w:rPr>
        <w:t>Por usar o crear un tiradero clandestino,</w:t>
      </w:r>
      <w:r>
        <w:rPr>
          <w:spacing w:val="16"/>
          <w:sz w:val="15"/>
        </w:rPr>
        <w:t> </w:t>
      </w:r>
      <w:r>
        <w:rPr>
          <w:sz w:val="15"/>
        </w:rPr>
        <w:t>de:</w:t>
      </w:r>
    </w:p>
    <w:p>
      <w:pPr>
        <w:pStyle w:val="BodyText"/>
        <w:spacing w:before="5"/>
        <w:ind w:left="1833"/>
      </w:pPr>
      <w:r>
        <w:rPr/>
        <w:t>39 a 361 unidades de medida y actualización;</w:t>
      </w:r>
    </w:p>
    <w:p>
      <w:pPr>
        <w:pStyle w:val="BodyText"/>
        <w:spacing w:before="7"/>
        <w:rPr>
          <w:sz w:val="22"/>
        </w:rPr>
      </w:pPr>
    </w:p>
    <w:p>
      <w:pPr>
        <w:pStyle w:val="ListParagraph"/>
        <w:numPr>
          <w:ilvl w:val="0"/>
          <w:numId w:val="238"/>
        </w:numPr>
        <w:tabs>
          <w:tab w:pos="1149" w:val="left" w:leader="none"/>
        </w:tabs>
        <w:spacing w:line="247" w:lineRule="auto" w:before="0" w:after="0"/>
        <w:ind w:left="150" w:right="39" w:firstLine="397"/>
        <w:jc w:val="both"/>
        <w:rPr>
          <w:sz w:val="15"/>
        </w:rPr>
      </w:pPr>
      <w:r>
        <w:rPr>
          <w:sz w:val="15"/>
        </w:rPr>
        <w:t>Por infringir otras disposiciones en materia de contaminación ambiental no previstos en esta fracción,</w:t>
      </w:r>
      <w:r>
        <w:rPr>
          <w:spacing w:val="10"/>
          <w:sz w:val="15"/>
        </w:rPr>
        <w:t> </w:t>
      </w:r>
      <w:r>
        <w:rPr>
          <w:sz w:val="15"/>
        </w:rPr>
        <w:t>de:</w:t>
      </w:r>
    </w:p>
    <w:p>
      <w:pPr>
        <w:pStyle w:val="BodyText"/>
        <w:spacing w:line="171" w:lineRule="exact"/>
        <w:ind w:left="2306"/>
        <w:jc w:val="both"/>
      </w:pPr>
      <w:r>
        <w:rPr/>
        <w:t>20 a 180 unidades de medida y actualización;</w:t>
      </w:r>
    </w:p>
    <w:p>
      <w:pPr>
        <w:pStyle w:val="BodyText"/>
        <w:spacing w:before="7"/>
        <w:rPr>
          <w:sz w:val="22"/>
        </w:rPr>
      </w:pPr>
    </w:p>
    <w:p>
      <w:pPr>
        <w:pStyle w:val="ListParagraph"/>
        <w:numPr>
          <w:ilvl w:val="0"/>
          <w:numId w:val="238"/>
        </w:numPr>
        <w:tabs>
          <w:tab w:pos="1311" w:val="left" w:leader="none"/>
        </w:tabs>
        <w:spacing w:line="247" w:lineRule="auto" w:before="0" w:after="0"/>
        <w:ind w:left="150" w:right="38" w:firstLine="397"/>
        <w:jc w:val="both"/>
        <w:rPr>
          <w:sz w:val="15"/>
        </w:rPr>
      </w:pPr>
      <w:r>
        <w:rPr>
          <w:sz w:val="15"/>
        </w:rPr>
        <w:t>Por arrojar material biológico infeccioso, desechos hospitalarios en las vías o sitios públicos, propiedad privada, drenaje o  sistema de desagüe,</w:t>
      </w:r>
      <w:r>
        <w:rPr>
          <w:spacing w:val="3"/>
          <w:sz w:val="15"/>
        </w:rPr>
        <w:t> </w:t>
      </w:r>
      <w:r>
        <w:rPr>
          <w:sz w:val="15"/>
        </w:rPr>
        <w:t>de:</w:t>
      </w:r>
    </w:p>
    <w:p>
      <w:pPr>
        <w:pStyle w:val="BodyText"/>
        <w:spacing w:line="171" w:lineRule="exact"/>
        <w:ind w:left="2134"/>
        <w:jc w:val="both"/>
      </w:pPr>
      <w:r>
        <w:rPr/>
        <w:t>191 a 1430 unidades de medida y actualización;</w:t>
      </w:r>
    </w:p>
    <w:p>
      <w:pPr>
        <w:pStyle w:val="BodyText"/>
        <w:spacing w:before="7"/>
        <w:rPr>
          <w:sz w:val="22"/>
        </w:rPr>
      </w:pPr>
    </w:p>
    <w:p>
      <w:pPr>
        <w:pStyle w:val="ListParagraph"/>
        <w:numPr>
          <w:ilvl w:val="0"/>
          <w:numId w:val="238"/>
        </w:numPr>
        <w:tabs>
          <w:tab w:pos="1098" w:val="left" w:leader="none"/>
        </w:tabs>
        <w:spacing w:line="244" w:lineRule="auto" w:before="1" w:after="0"/>
        <w:ind w:left="150" w:right="38" w:firstLine="397"/>
        <w:jc w:val="both"/>
        <w:rPr>
          <w:sz w:val="15"/>
        </w:rPr>
      </w:pPr>
      <w:r>
        <w:rPr>
          <w:sz w:val="15"/>
        </w:rPr>
        <w:t>Por acumular en la vía pública, troncos, ramas, follajes, restos de  plantas  y   residuos   de   jardines,   huertas,   parques   y   similares,   de: 7 a 52 unidades de medida y</w:t>
      </w:r>
      <w:r>
        <w:rPr>
          <w:spacing w:val="14"/>
          <w:sz w:val="15"/>
        </w:rPr>
        <w:t> </w:t>
      </w:r>
      <w:r>
        <w:rPr>
          <w:sz w:val="15"/>
        </w:rPr>
        <w:t>actualización;</w:t>
      </w:r>
    </w:p>
    <w:p>
      <w:pPr>
        <w:pStyle w:val="BodyText"/>
        <w:spacing w:before="5"/>
        <w:rPr>
          <w:sz w:val="22"/>
        </w:rPr>
      </w:pPr>
    </w:p>
    <w:p>
      <w:pPr>
        <w:pStyle w:val="BodyText"/>
        <w:tabs>
          <w:tab w:pos="2464" w:val="left" w:leader="none"/>
        </w:tabs>
        <w:spacing w:line="247" w:lineRule="auto"/>
        <w:ind w:left="150" w:right="39" w:firstLine="397"/>
        <w:jc w:val="both"/>
      </w:pPr>
      <w:r>
        <w:rPr/>
        <w:t>XL. Por no mantener en el comercio en la vía pública aseada el área circundante al lugar que ocupen y/o no recolectar los residuos  generados,   de:</w:t>
        <w:tab/>
        <w:t>7</w:t>
      </w:r>
      <w:r>
        <w:rPr>
          <w:spacing w:val="9"/>
        </w:rPr>
        <w:t> </w:t>
      </w:r>
      <w:r>
        <w:rPr/>
        <w:t>a</w:t>
      </w:r>
      <w:r>
        <w:rPr>
          <w:spacing w:val="8"/>
        </w:rPr>
        <w:t> </w:t>
      </w:r>
      <w:r>
        <w:rPr/>
        <w:t>53</w:t>
      </w:r>
      <w:r>
        <w:rPr>
          <w:spacing w:val="9"/>
        </w:rPr>
        <w:t> </w:t>
      </w:r>
      <w:r>
        <w:rPr/>
        <w:t>unidades</w:t>
      </w:r>
      <w:r>
        <w:rPr>
          <w:spacing w:val="9"/>
        </w:rPr>
        <w:t> </w:t>
      </w:r>
      <w:r>
        <w:rPr/>
        <w:t>de</w:t>
      </w:r>
      <w:r>
        <w:rPr>
          <w:spacing w:val="9"/>
        </w:rPr>
        <w:t> </w:t>
      </w:r>
      <w:r>
        <w:rPr/>
        <w:t>medida</w:t>
      </w:r>
      <w:r>
        <w:rPr>
          <w:spacing w:val="10"/>
        </w:rPr>
        <w:t> </w:t>
      </w:r>
      <w:r>
        <w:rPr/>
        <w:t>y</w:t>
      </w:r>
      <w:r>
        <w:rPr>
          <w:spacing w:val="9"/>
        </w:rPr>
        <w:t> </w:t>
      </w:r>
      <w:r>
        <w:rPr/>
        <w:t>actualización;</w:t>
      </w:r>
    </w:p>
    <w:p>
      <w:pPr>
        <w:pStyle w:val="BodyText"/>
        <w:spacing w:before="1"/>
        <w:rPr>
          <w:sz w:val="22"/>
        </w:rPr>
      </w:pPr>
    </w:p>
    <w:p>
      <w:pPr>
        <w:pStyle w:val="BodyText"/>
        <w:spacing w:line="247" w:lineRule="auto"/>
        <w:ind w:left="150" w:right="38" w:firstLine="397"/>
        <w:jc w:val="both"/>
      </w:pPr>
      <w:r>
        <w:rPr/>
        <w:t>XLI. Por no recolectar los comerciantes de mercados municipales, los residuos que se generen con la explotación de su giro, de:</w:t>
      </w:r>
    </w:p>
    <w:p>
      <w:pPr>
        <w:pStyle w:val="BodyText"/>
        <w:spacing w:line="172" w:lineRule="exact"/>
        <w:ind w:left="2390"/>
        <w:jc w:val="both"/>
      </w:pPr>
      <w:r>
        <w:rPr/>
        <w:t>7 a 56 unidades de medida y actualización;</w:t>
      </w:r>
    </w:p>
    <w:p>
      <w:pPr>
        <w:pStyle w:val="BodyText"/>
        <w:spacing w:before="7"/>
        <w:rPr>
          <w:sz w:val="22"/>
        </w:rPr>
      </w:pPr>
    </w:p>
    <w:p>
      <w:pPr>
        <w:pStyle w:val="BodyText"/>
        <w:spacing w:line="244" w:lineRule="auto"/>
        <w:ind w:left="150" w:right="1615" w:firstLine="397"/>
      </w:pPr>
      <w:r>
        <w:rPr/>
        <w:t>XLII. Transportistas que realicen carga y descarga en vía</w:t>
      </w:r>
      <w:r>
        <w:rPr>
          <w:spacing w:val="4"/>
        </w:rPr>
        <w:t> </w:t>
      </w:r>
      <w:r>
        <w:rPr/>
        <w:t>pública:</w:t>
      </w:r>
    </w:p>
    <w:p>
      <w:pPr>
        <w:pStyle w:val="BodyText"/>
        <w:spacing w:before="4"/>
        <w:rPr>
          <w:sz w:val="22"/>
        </w:rPr>
      </w:pPr>
    </w:p>
    <w:p>
      <w:pPr>
        <w:pStyle w:val="BodyText"/>
        <w:spacing w:line="247" w:lineRule="auto"/>
        <w:ind w:left="150" w:right="38" w:firstLine="397"/>
        <w:jc w:val="both"/>
      </w:pPr>
      <w:r>
        <w:rPr/>
        <w:t>a) Por no realizar el aseo inmediato del lugar una vez terminadas las maniobras (corresponsable de esta infracción el propietario de  la mercancía   o material),</w:t>
      </w:r>
      <w:r>
        <w:rPr>
          <w:spacing w:val="2"/>
        </w:rPr>
        <w:t> </w:t>
      </w:r>
      <w:r>
        <w:rPr/>
        <w:t>de:</w:t>
      </w:r>
    </w:p>
    <w:p>
      <w:pPr>
        <w:pStyle w:val="BodyText"/>
        <w:spacing w:line="171" w:lineRule="exact"/>
        <w:ind w:left="2392"/>
        <w:jc w:val="both"/>
      </w:pPr>
      <w:r>
        <w:rPr/>
        <w:t>14 a 69 unidades de medida y actualización;</w:t>
      </w:r>
    </w:p>
    <w:p>
      <w:pPr>
        <w:pStyle w:val="BodyText"/>
        <w:spacing w:before="7"/>
        <w:rPr>
          <w:sz w:val="22"/>
        </w:rPr>
      </w:pPr>
    </w:p>
    <w:p>
      <w:pPr>
        <w:pStyle w:val="BodyText"/>
        <w:spacing w:line="247" w:lineRule="auto"/>
        <w:ind w:left="150" w:right="38" w:firstLine="397"/>
        <w:jc w:val="both"/>
      </w:pPr>
      <w:r>
        <w:rPr/>
        <w:t>XLIII. Por cada anuncio, aviso o propaganda colocada en las calles o fachadas de las casas, edificios, monumentos y bardas, postes, árboles, jardines, aceras, fuentes, puentes y otros sin autorización previa  del propietario y del Municipio,  salvo lo  dispuesto por  las  leyes   electorales,   de:</w:t>
      </w:r>
    </w:p>
    <w:p>
      <w:pPr>
        <w:pStyle w:val="BodyText"/>
        <w:spacing w:line="170" w:lineRule="exact"/>
        <w:ind w:left="2307"/>
        <w:jc w:val="both"/>
      </w:pPr>
      <w:r>
        <w:rPr/>
        <w:t>30 a 265 unidades de medida y actualización;</w:t>
      </w:r>
    </w:p>
    <w:p>
      <w:pPr>
        <w:pStyle w:val="BodyText"/>
        <w:spacing w:before="7"/>
        <w:rPr>
          <w:sz w:val="22"/>
        </w:rPr>
      </w:pPr>
    </w:p>
    <w:p>
      <w:pPr>
        <w:pStyle w:val="BodyText"/>
        <w:spacing w:line="244" w:lineRule="auto"/>
        <w:ind w:left="150" w:right="39" w:firstLine="397"/>
        <w:jc w:val="both"/>
      </w:pPr>
      <w:r>
        <w:rPr>
          <w:spacing w:val="-4"/>
        </w:rPr>
        <w:t>XLIV. </w:t>
      </w:r>
      <w:r>
        <w:rPr/>
        <w:t>Por arrojar residuos sólidos o líquidos inflamables a los manantiales, tanques o tinacos almacenadores,  fuentes  públicas,  acueductos, tuberías o drenajes,</w:t>
      </w:r>
      <w:r>
        <w:rPr>
          <w:spacing w:val="6"/>
        </w:rPr>
        <w:t> </w:t>
      </w:r>
      <w:r>
        <w:rPr/>
        <w:t>de:</w:t>
      </w:r>
    </w:p>
    <w:p>
      <w:pPr>
        <w:pStyle w:val="BodyText"/>
        <w:spacing w:line="172" w:lineRule="exact"/>
        <w:ind w:left="2392"/>
      </w:pPr>
      <w:r>
        <w:rPr/>
        <w:br w:type="column"/>
      </w:r>
      <w:r>
        <w:rPr/>
        <w:t>12 a 33 unidades de medida y actualización;</w:t>
      </w:r>
    </w:p>
    <w:p>
      <w:pPr>
        <w:pStyle w:val="BodyText"/>
        <w:spacing w:before="2"/>
        <w:rPr>
          <w:sz w:val="19"/>
        </w:rPr>
      </w:pPr>
    </w:p>
    <w:p>
      <w:pPr>
        <w:pStyle w:val="BodyText"/>
        <w:spacing w:line="244" w:lineRule="auto"/>
        <w:ind w:left="150" w:right="2787" w:firstLine="397"/>
        <w:jc w:val="both"/>
      </w:pPr>
      <w:r>
        <w:rPr/>
        <w:t>La multa anterior se reducirá en un 50% si se paga dentro de los 3 días hábiles siguientes a la imposición de la sanción sin necesidad de dictar acuerdo fundado y</w:t>
      </w:r>
      <w:r>
        <w:rPr>
          <w:spacing w:val="4"/>
        </w:rPr>
        <w:t> </w:t>
      </w:r>
      <w:r>
        <w:rPr/>
        <w:t>motivado.</w:t>
      </w:r>
    </w:p>
    <w:p>
      <w:pPr>
        <w:pStyle w:val="BodyText"/>
        <w:spacing w:before="5"/>
        <w:rPr>
          <w:sz w:val="22"/>
        </w:rPr>
      </w:pPr>
    </w:p>
    <w:p>
      <w:pPr>
        <w:pStyle w:val="BodyText"/>
        <w:ind w:left="548"/>
      </w:pPr>
      <w:r>
        <w:rPr/>
        <w:t>XLVII. Por almacenar residuos peligrosos sin autorización, de:</w:t>
      </w:r>
    </w:p>
    <w:p>
      <w:pPr>
        <w:pStyle w:val="BodyText"/>
        <w:spacing w:before="5"/>
        <w:ind w:left="2134"/>
      </w:pPr>
      <w:r>
        <w:rPr/>
        <w:t>68</w:t>
      </w:r>
      <w:r>
        <w:rPr>
          <w:spacing w:val="10"/>
        </w:rPr>
        <w:t> </w:t>
      </w:r>
      <w:r>
        <w:rPr/>
        <w:t>a</w:t>
      </w:r>
      <w:r>
        <w:rPr>
          <w:spacing w:val="10"/>
        </w:rPr>
        <w:t> </w:t>
      </w:r>
      <w:r>
        <w:rPr/>
        <w:t>508</w:t>
      </w:r>
      <w:r>
        <w:rPr>
          <w:spacing w:val="10"/>
        </w:rPr>
        <w:t> </w:t>
      </w:r>
      <w:r>
        <w:rPr/>
        <w:t>unidades</w:t>
      </w:r>
      <w:r>
        <w:rPr>
          <w:spacing w:val="11"/>
        </w:rPr>
        <w:t> </w:t>
      </w:r>
      <w:r>
        <w:rPr/>
        <w:t>de</w:t>
      </w:r>
      <w:r>
        <w:rPr>
          <w:spacing w:val="10"/>
        </w:rPr>
        <w:t> </w:t>
      </w:r>
      <w:r>
        <w:rPr/>
        <w:t>medida</w:t>
      </w:r>
      <w:r>
        <w:rPr>
          <w:spacing w:val="10"/>
        </w:rPr>
        <w:t> </w:t>
      </w:r>
      <w:r>
        <w:rPr/>
        <w:t>y</w:t>
      </w:r>
      <w:r>
        <w:rPr>
          <w:spacing w:val="11"/>
        </w:rPr>
        <w:t> </w:t>
      </w:r>
      <w:r>
        <w:rPr/>
        <w:t>actualización;</w:t>
      </w:r>
    </w:p>
    <w:p>
      <w:pPr>
        <w:pStyle w:val="BodyText"/>
        <w:spacing w:before="7"/>
        <w:rPr>
          <w:sz w:val="22"/>
        </w:rPr>
      </w:pPr>
    </w:p>
    <w:p>
      <w:pPr>
        <w:pStyle w:val="BodyText"/>
        <w:tabs>
          <w:tab w:pos="2309" w:val="left" w:leader="none"/>
        </w:tabs>
        <w:spacing w:line="247" w:lineRule="auto"/>
        <w:ind w:left="150" w:right="2789" w:firstLine="397"/>
        <w:jc w:val="both"/>
      </w:pPr>
      <w:r>
        <w:rPr/>
        <w:t>XLVIII. Por no realizar la separación de basura en Orgánicos, Inorgánicos y sanitarios, en las zonas donde se lleve a cabo el Programa respectivo:</w:t>
        <w:tab/>
        <w:t>7 a 54 unidades de medida y</w:t>
      </w:r>
      <w:r>
        <w:rPr>
          <w:spacing w:val="2"/>
        </w:rPr>
        <w:t> </w:t>
      </w:r>
      <w:r>
        <w:rPr/>
        <w:t>actualización;</w:t>
      </w:r>
    </w:p>
    <w:p>
      <w:pPr>
        <w:pStyle w:val="BodyText"/>
        <w:spacing w:before="1"/>
        <w:rPr>
          <w:sz w:val="22"/>
        </w:rPr>
      </w:pPr>
    </w:p>
    <w:p>
      <w:pPr>
        <w:pStyle w:val="BodyText"/>
        <w:tabs>
          <w:tab w:pos="2113" w:val="left" w:leader="none"/>
        </w:tabs>
        <w:spacing w:line="247" w:lineRule="auto"/>
        <w:ind w:left="150" w:right="2787" w:firstLine="397"/>
        <w:jc w:val="both"/>
      </w:pPr>
      <w:r>
        <w:rPr/>
        <w:t>XLIX. Falta de ratificación de Dictamen para operación de banco de material:</w:t>
        <w:tab/>
        <w:t>59 a 577 unidades de medida y</w:t>
      </w:r>
      <w:r>
        <w:rPr>
          <w:spacing w:val="2"/>
        </w:rPr>
        <w:t> </w:t>
      </w:r>
      <w:r>
        <w:rPr/>
        <w:t>actualización;</w:t>
      </w:r>
    </w:p>
    <w:p>
      <w:pPr>
        <w:pStyle w:val="BodyText"/>
        <w:spacing w:before="1"/>
        <w:rPr>
          <w:sz w:val="22"/>
        </w:rPr>
      </w:pPr>
    </w:p>
    <w:p>
      <w:pPr>
        <w:pStyle w:val="BodyText"/>
        <w:spacing w:line="244" w:lineRule="auto" w:before="1"/>
        <w:ind w:left="150" w:right="2849" w:firstLine="397"/>
      </w:pPr>
      <w:r>
        <w:rPr/>
        <w:t>L. Falta  de  póliza  de  fianza  vigente   o   ratificación   de   la misma: </w:t>
      </w:r>
      <w:r>
        <w:rPr>
          <w:spacing w:val="-4"/>
        </w:rPr>
        <w:t>115 </w:t>
      </w:r>
      <w:r>
        <w:rPr/>
        <w:t>unidades de medida y</w:t>
      </w:r>
      <w:r>
        <w:rPr>
          <w:spacing w:val="13"/>
        </w:rPr>
        <w:t> </w:t>
      </w:r>
      <w:r>
        <w:rPr/>
        <w:t>actualización;</w:t>
      </w:r>
    </w:p>
    <w:p>
      <w:pPr>
        <w:pStyle w:val="BodyText"/>
        <w:spacing w:before="4"/>
        <w:rPr>
          <w:sz w:val="22"/>
        </w:rPr>
      </w:pPr>
    </w:p>
    <w:p>
      <w:pPr>
        <w:pStyle w:val="BodyText"/>
        <w:spacing w:line="247" w:lineRule="auto"/>
        <w:ind w:left="150" w:right="2788" w:firstLine="397"/>
        <w:jc w:val="both"/>
      </w:pPr>
      <w:r>
        <w:rPr/>
        <w:t>LI. Carecer de permiso para uso de explosivos emitido por la SEDENA: 165 unidades de medida y</w:t>
      </w:r>
      <w:r>
        <w:rPr>
          <w:spacing w:val="9"/>
        </w:rPr>
        <w:t> </w:t>
      </w:r>
      <w:r>
        <w:rPr/>
        <w:t>actualización;</w:t>
      </w:r>
    </w:p>
    <w:p>
      <w:pPr>
        <w:pStyle w:val="BodyText"/>
        <w:spacing w:before="1"/>
        <w:rPr>
          <w:sz w:val="22"/>
        </w:rPr>
      </w:pPr>
    </w:p>
    <w:p>
      <w:pPr>
        <w:pStyle w:val="BodyText"/>
        <w:ind w:left="548"/>
      </w:pPr>
      <w:r>
        <w:rPr/>
        <w:t>LII. Violación de sellos de </w:t>
      </w:r>
      <w:r>
        <w:rPr>
          <w:spacing w:val="10"/>
        </w:rPr>
        <w:t> </w:t>
      </w:r>
      <w:r>
        <w:rPr/>
        <w:t>clausura:</w:t>
      </w:r>
    </w:p>
    <w:p>
      <w:pPr>
        <w:pStyle w:val="BodyText"/>
        <w:spacing w:before="5"/>
        <w:ind w:left="2392"/>
      </w:pPr>
      <w:r>
        <w:rPr/>
        <w:t>495 a 0 unidades de medida y actualización;</w:t>
      </w:r>
    </w:p>
    <w:p>
      <w:pPr>
        <w:pStyle w:val="BodyText"/>
        <w:spacing w:before="7"/>
        <w:rPr>
          <w:sz w:val="22"/>
        </w:rPr>
      </w:pPr>
    </w:p>
    <w:p>
      <w:pPr>
        <w:pStyle w:val="BodyText"/>
        <w:spacing w:line="247" w:lineRule="auto"/>
        <w:ind w:left="150" w:right="2790" w:firstLine="397"/>
        <w:jc w:val="both"/>
      </w:pPr>
      <w:r>
        <w:rPr/>
        <w:t>LIII. Modificación al proyecto original de abandono productivo, dependiendo del volumen de metros cúbicos extraídos:</w:t>
      </w:r>
    </w:p>
    <w:p>
      <w:pPr>
        <w:pStyle w:val="BodyText"/>
        <w:spacing w:line="171" w:lineRule="exact"/>
        <w:ind w:left="2306"/>
      </w:pPr>
      <w:r>
        <w:rPr/>
        <w:t>58 a 231 unidades de medida y actualización;</w:t>
      </w:r>
    </w:p>
    <w:p>
      <w:pPr>
        <w:pStyle w:val="BodyText"/>
        <w:spacing w:before="7"/>
        <w:rPr>
          <w:sz w:val="22"/>
        </w:rPr>
      </w:pPr>
    </w:p>
    <w:p>
      <w:pPr>
        <w:pStyle w:val="BodyText"/>
        <w:spacing w:line="247" w:lineRule="auto"/>
        <w:ind w:left="150" w:right="2788" w:firstLine="397"/>
        <w:jc w:val="both"/>
      </w:pPr>
      <w:r>
        <w:rPr/>
        <w:t>LIV. Rebasar los volúmenes permitidos de extracción; dependiendo del volumen de metros cúbicos extraídos de:</w:t>
      </w:r>
    </w:p>
    <w:p>
      <w:pPr>
        <w:pStyle w:val="BodyText"/>
        <w:spacing w:line="172" w:lineRule="exact"/>
        <w:ind w:left="2307"/>
      </w:pPr>
      <w:r>
        <w:rPr/>
        <w:t>82 a 247 unidades de medida y actualización;</w:t>
      </w:r>
    </w:p>
    <w:p>
      <w:pPr>
        <w:pStyle w:val="BodyText"/>
        <w:spacing w:before="7"/>
        <w:rPr>
          <w:sz w:val="22"/>
        </w:rPr>
      </w:pPr>
    </w:p>
    <w:p>
      <w:pPr>
        <w:pStyle w:val="BodyText"/>
        <w:tabs>
          <w:tab w:pos="2267" w:val="left" w:leader="none"/>
        </w:tabs>
        <w:spacing w:line="247" w:lineRule="auto" w:before="1"/>
        <w:ind w:left="150" w:right="2789" w:firstLine="397"/>
        <w:jc w:val="both"/>
      </w:pPr>
      <w:r>
        <w:rPr>
          <w:spacing w:val="-9"/>
        </w:rPr>
        <w:t>LV. </w:t>
      </w:r>
      <w:r>
        <w:rPr/>
        <w:t>Por trabajar en dos frentes; dependiendo del tamaño  de  los  mismos:</w:t>
        <w:tab/>
        <w:t>33</w:t>
      </w:r>
      <w:r>
        <w:rPr>
          <w:spacing w:val="9"/>
        </w:rPr>
        <w:t> </w:t>
      </w:r>
      <w:r>
        <w:rPr/>
        <w:t>a</w:t>
      </w:r>
      <w:r>
        <w:rPr>
          <w:spacing w:val="9"/>
        </w:rPr>
        <w:t> </w:t>
      </w:r>
      <w:r>
        <w:rPr/>
        <w:t>198</w:t>
      </w:r>
      <w:r>
        <w:rPr>
          <w:spacing w:val="9"/>
        </w:rPr>
        <w:t> </w:t>
      </w:r>
      <w:r>
        <w:rPr/>
        <w:t>unidades</w:t>
      </w:r>
      <w:r>
        <w:rPr>
          <w:spacing w:val="9"/>
        </w:rPr>
        <w:t> </w:t>
      </w:r>
      <w:r>
        <w:rPr/>
        <w:t>de</w:t>
      </w:r>
      <w:r>
        <w:rPr>
          <w:spacing w:val="7"/>
        </w:rPr>
        <w:t> </w:t>
      </w:r>
      <w:r>
        <w:rPr/>
        <w:t>medida</w:t>
      </w:r>
      <w:r>
        <w:rPr>
          <w:spacing w:val="9"/>
        </w:rPr>
        <w:t> </w:t>
      </w:r>
      <w:r>
        <w:rPr/>
        <w:t>y</w:t>
      </w:r>
      <w:r>
        <w:rPr>
          <w:spacing w:val="9"/>
        </w:rPr>
        <w:t> </w:t>
      </w:r>
      <w:r>
        <w:rPr/>
        <w:t>actualización;</w:t>
      </w:r>
    </w:p>
    <w:p>
      <w:pPr>
        <w:pStyle w:val="BodyText"/>
        <w:spacing w:before="1"/>
        <w:rPr>
          <w:sz w:val="22"/>
        </w:rPr>
      </w:pPr>
    </w:p>
    <w:p>
      <w:pPr>
        <w:pStyle w:val="BodyText"/>
        <w:spacing w:line="244" w:lineRule="auto"/>
        <w:ind w:left="150" w:right="2786" w:firstLine="397"/>
        <w:jc w:val="both"/>
      </w:pPr>
      <w:r>
        <w:rPr>
          <w:spacing w:val="-4"/>
        </w:rPr>
        <w:t>LVI. </w:t>
      </w:r>
      <w:r>
        <w:rPr/>
        <w:t>Eliminación de  franja  de  amortiguamiento  con  predios vecinos, sin   autorización;   dependiendo   de    la    longitud    de    la    franja    de:    49 a 297 unidades de medida y</w:t>
      </w:r>
      <w:r>
        <w:rPr>
          <w:spacing w:val="15"/>
        </w:rPr>
        <w:t> </w:t>
      </w:r>
      <w:r>
        <w:rPr/>
        <w:t>actualización;</w:t>
      </w:r>
    </w:p>
    <w:p>
      <w:pPr>
        <w:pStyle w:val="BodyText"/>
        <w:spacing w:before="5"/>
        <w:rPr>
          <w:sz w:val="22"/>
        </w:rPr>
      </w:pPr>
    </w:p>
    <w:p>
      <w:pPr>
        <w:pStyle w:val="BodyText"/>
        <w:spacing w:line="247" w:lineRule="auto"/>
        <w:ind w:left="150" w:right="2787" w:firstLine="397"/>
        <w:jc w:val="both"/>
      </w:pPr>
      <w:r>
        <w:rPr/>
        <w:t>LVII. Profundización sin autorización, dependiendo de la cantidad de metros cúbicos extraídos de:</w:t>
      </w:r>
    </w:p>
    <w:p>
      <w:pPr>
        <w:spacing w:after="0" w:line="247" w:lineRule="auto"/>
        <w:jc w:val="both"/>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28"/>
          <w:pgSz w:w="23250" w:h="15310" w:orient="landscape"/>
          <w:pgMar w:header="881" w:footer="499" w:top="1920" w:bottom="680" w:left="1880" w:right="1520"/>
        </w:sectPr>
      </w:pPr>
    </w:p>
    <w:p>
      <w:pPr>
        <w:pStyle w:val="BodyText"/>
        <w:spacing w:line="432" w:lineRule="exact" w:before="24"/>
        <w:ind w:left="548" w:firstLine="1759"/>
      </w:pPr>
      <w:r>
        <w:rPr/>
        <w:t>16 a 165 unidades de medida y actualización; LVIII. Falta de estacado perimetral:</w:t>
      </w:r>
    </w:p>
    <w:p>
      <w:pPr>
        <w:pStyle w:val="BodyText"/>
        <w:spacing w:line="123" w:lineRule="exact"/>
        <w:ind w:left="2734"/>
      </w:pPr>
      <w:r>
        <w:rPr/>
        <w:t>40 unidades de medida y actualización;</w:t>
      </w:r>
    </w:p>
    <w:p>
      <w:pPr>
        <w:pStyle w:val="BodyText"/>
        <w:spacing w:before="6"/>
        <w:rPr>
          <w:sz w:val="22"/>
        </w:rPr>
      </w:pPr>
    </w:p>
    <w:p>
      <w:pPr>
        <w:pStyle w:val="BodyText"/>
        <w:spacing w:before="1"/>
        <w:ind w:left="548"/>
      </w:pPr>
      <w:r>
        <w:rPr/>
        <w:t>LIX. Falta de letrero de ingreso:</w:t>
      </w:r>
    </w:p>
    <w:p>
      <w:pPr>
        <w:pStyle w:val="BodyText"/>
        <w:spacing w:before="4"/>
        <w:ind w:left="2735"/>
      </w:pPr>
      <w:r>
        <w:rPr/>
        <w:t>17 unidades de medida y actualización;</w:t>
      </w:r>
    </w:p>
    <w:p>
      <w:pPr>
        <w:pStyle w:val="BodyText"/>
        <w:spacing w:before="7"/>
        <w:rPr>
          <w:sz w:val="22"/>
        </w:rPr>
      </w:pPr>
    </w:p>
    <w:p>
      <w:pPr>
        <w:pStyle w:val="BodyText"/>
        <w:ind w:left="548"/>
      </w:pPr>
      <w:r>
        <w:rPr/>
        <w:t>LX. Falta de letreros de seguridad:</w:t>
      </w:r>
    </w:p>
    <w:p>
      <w:pPr>
        <w:pStyle w:val="BodyText"/>
        <w:spacing w:before="5"/>
        <w:ind w:left="2735"/>
      </w:pPr>
      <w:r>
        <w:rPr/>
        <w:t>10 unidades de medida y actualización;</w:t>
      </w:r>
    </w:p>
    <w:p>
      <w:pPr>
        <w:pStyle w:val="BodyText"/>
        <w:spacing w:before="7"/>
        <w:rPr>
          <w:sz w:val="22"/>
        </w:rPr>
      </w:pPr>
    </w:p>
    <w:p>
      <w:pPr>
        <w:pStyle w:val="BodyText"/>
        <w:ind w:left="548"/>
      </w:pPr>
      <w:r>
        <w:rPr/>
        <w:t>LXI. Falta de aviso de paro de actividades mayor a 3 meses:</w:t>
      </w:r>
    </w:p>
    <w:p>
      <w:pPr>
        <w:pStyle w:val="BodyText"/>
        <w:spacing w:before="4"/>
        <w:ind w:left="2735"/>
      </w:pPr>
      <w:r>
        <w:rPr/>
        <w:t>33 unidades de medida y actualización;</w:t>
      </w:r>
    </w:p>
    <w:p>
      <w:pPr>
        <w:pStyle w:val="BodyText"/>
        <w:spacing w:before="10"/>
        <w:rPr>
          <w:sz w:val="19"/>
        </w:rPr>
      </w:pPr>
      <w:r>
        <w:rPr/>
        <w:br w:type="column"/>
      </w:r>
      <w:r>
        <w:rPr>
          <w:sz w:val="19"/>
        </w:rPr>
      </w:r>
    </w:p>
    <w:p>
      <w:pPr>
        <w:pStyle w:val="BodyText"/>
        <w:spacing w:line="247" w:lineRule="auto"/>
        <w:ind w:left="548" w:right="2787" w:firstLine="397"/>
        <w:jc w:val="both"/>
      </w:pPr>
      <w:r>
        <w:rPr/>
        <w:t>LXXI. A quien no realice o cumpla en el término señalado, las medidas técnicas, correctivas, de urgente aplicación o de seguridad necesarias para evitar un daño o riesgo ambiental que la Fiscalía Ambiental le haya ordenado  o impuesto</w:t>
      </w:r>
      <w:r>
        <w:rPr>
          <w:spacing w:val="2"/>
        </w:rPr>
        <w:t> </w:t>
      </w:r>
      <w:r>
        <w:rPr/>
        <w:t>de:</w:t>
      </w:r>
    </w:p>
    <w:p>
      <w:pPr>
        <w:pStyle w:val="BodyText"/>
        <w:spacing w:line="171" w:lineRule="exact"/>
        <w:ind w:left="2670"/>
        <w:jc w:val="both"/>
      </w:pPr>
      <w:r>
        <w:rPr/>
        <w:t>60 a 600 Unidades de Medida y Actualización.</w:t>
      </w:r>
    </w:p>
    <w:p>
      <w:pPr>
        <w:pStyle w:val="BodyText"/>
        <w:spacing w:before="7"/>
        <w:rPr>
          <w:sz w:val="22"/>
        </w:rPr>
      </w:pPr>
    </w:p>
    <w:p>
      <w:pPr>
        <w:pStyle w:val="BodyText"/>
        <w:spacing w:line="244" w:lineRule="auto"/>
        <w:ind w:left="548" w:right="2788" w:firstLine="397"/>
        <w:jc w:val="both"/>
      </w:pPr>
      <w:r>
        <w:rPr/>
        <w:t>LXXII. Por no dar aviso de uso del fuego a la autoridad municipal en     los términos del reglamento y las Normas Oficiales en la materia de:30 a 90 Unidades de Medida y</w:t>
      </w:r>
      <w:r>
        <w:rPr>
          <w:spacing w:val="-2"/>
        </w:rPr>
        <w:t> </w:t>
      </w:r>
      <w:r>
        <w:rPr/>
        <w:t>Actualización.</w:t>
      </w:r>
    </w:p>
    <w:p>
      <w:pPr>
        <w:pStyle w:val="BodyText"/>
        <w:spacing w:before="5"/>
        <w:rPr>
          <w:sz w:val="22"/>
        </w:rPr>
      </w:pPr>
    </w:p>
    <w:p>
      <w:pPr>
        <w:pStyle w:val="BodyText"/>
        <w:spacing w:line="247" w:lineRule="auto"/>
        <w:ind w:left="548" w:right="2788" w:firstLine="397"/>
        <w:jc w:val="both"/>
      </w:pPr>
      <w:r>
        <w:rPr/>
        <w:t>LXXIII. Por no atender las indicaciones de la autoridad municipal en  caso de pre-contingencia o contingencia atmosférica declarada por la  autoridad competente,</w:t>
      </w:r>
      <w:r>
        <w:rPr>
          <w:spacing w:val="2"/>
        </w:rPr>
        <w:t> </w:t>
      </w:r>
      <w:r>
        <w:rPr/>
        <w:t>de:</w:t>
      </w:r>
    </w:p>
    <w:p>
      <w:pPr>
        <w:pStyle w:val="BodyText"/>
        <w:spacing w:line="171" w:lineRule="exact"/>
        <w:ind w:left="2755"/>
        <w:jc w:val="both"/>
      </w:pPr>
      <w:r>
        <w:rPr/>
        <w:t>20 a 70 Unidades de Medida y Actualización.</w:t>
      </w:r>
    </w:p>
    <w:p>
      <w:pPr>
        <w:spacing w:after="0" w:line="171" w:lineRule="exact"/>
        <w:jc w:val="both"/>
        <w:sectPr>
          <w:type w:val="continuous"/>
          <w:pgSz w:w="23250" w:h="15310" w:orient="landscape"/>
          <w:pgMar w:top="0" w:bottom="0" w:left="1880" w:right="1520"/>
          <w:cols w:num="2" w:equalWidth="0">
            <w:col w:w="5473" w:space="5752"/>
            <w:col w:w="8625"/>
          </w:cols>
        </w:sectPr>
      </w:pPr>
    </w:p>
    <w:p>
      <w:pPr>
        <w:pStyle w:val="BodyText"/>
        <w:spacing w:before="3"/>
        <w:rPr>
          <w:sz w:val="12"/>
        </w:rPr>
      </w:pPr>
    </w:p>
    <w:p>
      <w:pPr>
        <w:spacing w:after="0"/>
        <w:rPr>
          <w:sz w:val="12"/>
        </w:rPr>
        <w:sectPr>
          <w:type w:val="continuous"/>
          <w:pgSz w:w="23250" w:h="15310" w:orient="landscape"/>
          <w:pgMar w:top="0" w:bottom="0" w:left="1880" w:right="1520"/>
        </w:sectPr>
      </w:pPr>
    </w:p>
    <w:p>
      <w:pPr>
        <w:pStyle w:val="BodyText"/>
        <w:spacing w:before="98"/>
        <w:ind w:left="548"/>
      </w:pPr>
      <w:r>
        <w:rPr/>
        <w:t>LXII. Falta de reportes técnicos:</w:t>
      </w:r>
    </w:p>
    <w:p>
      <w:pPr>
        <w:pStyle w:val="BodyText"/>
        <w:spacing w:before="11"/>
        <w:rPr>
          <w:sz w:val="23"/>
        </w:rPr>
      </w:pPr>
      <w:r>
        <w:rPr/>
        <w:br w:type="column"/>
      </w:r>
      <w:r>
        <w:rPr>
          <w:sz w:val="23"/>
        </w:rPr>
      </w:r>
    </w:p>
    <w:p>
      <w:pPr>
        <w:pStyle w:val="BodyText"/>
        <w:ind w:left="-26"/>
      </w:pPr>
      <w:r>
        <w:rPr/>
        <w:t>43 unidades de medida y actualización;</w:t>
      </w:r>
    </w:p>
    <w:p>
      <w:pPr>
        <w:pStyle w:val="BodyText"/>
        <w:spacing w:line="244" w:lineRule="auto" w:before="119"/>
        <w:ind w:left="548" w:right="2787" w:firstLine="397"/>
        <w:jc w:val="both"/>
      </w:pPr>
      <w:r>
        <w:rPr/>
        <w:br w:type="column"/>
      </w:r>
      <w:r>
        <w:rPr>
          <w:spacing w:val="-3"/>
        </w:rPr>
        <w:t>LXXIV. </w:t>
      </w:r>
      <w:r>
        <w:rPr/>
        <w:t>Por dejar chatarra, objetos o vehículos de desecho en lugar público que implique  contaminación,  además del  retiro  de  los  mismos,  de: 5 a 80 Unidades de Medida y</w:t>
      </w:r>
      <w:r>
        <w:rPr>
          <w:spacing w:val="5"/>
        </w:rPr>
        <w:t> </w:t>
      </w:r>
      <w:r>
        <w:rPr/>
        <w:t>Actualización.</w:t>
      </w:r>
    </w:p>
    <w:p>
      <w:pPr>
        <w:spacing w:after="0" w:line="244" w:lineRule="auto"/>
        <w:jc w:val="both"/>
        <w:sectPr>
          <w:type w:val="continuous"/>
          <w:pgSz w:w="23250" w:h="15310" w:orient="landscape"/>
          <w:pgMar w:top="0" w:bottom="0" w:left="1880" w:right="1520"/>
          <w:cols w:num="3" w:equalWidth="0">
            <w:col w:w="2721" w:space="40"/>
            <w:col w:w="2712" w:space="5751"/>
            <w:col w:w="8626"/>
          </w:cols>
        </w:sectPr>
      </w:pPr>
    </w:p>
    <w:p>
      <w:pPr>
        <w:pStyle w:val="BodyText"/>
        <w:spacing w:before="61"/>
        <w:ind w:left="548"/>
      </w:pPr>
      <w:r>
        <w:rPr/>
        <w:t>LXIII. Falta de reporte técnico final:</w:t>
      </w:r>
    </w:p>
    <w:p>
      <w:pPr>
        <w:pStyle w:val="BodyText"/>
        <w:spacing w:before="5"/>
        <w:ind w:left="2736"/>
        <w:jc w:val="both"/>
      </w:pPr>
      <w:r>
        <w:rPr/>
        <w:t>86 unidades de medida y actualización;</w:t>
      </w:r>
    </w:p>
    <w:p>
      <w:pPr>
        <w:pStyle w:val="BodyText"/>
        <w:spacing w:before="7"/>
        <w:rPr>
          <w:sz w:val="22"/>
        </w:rPr>
      </w:pPr>
    </w:p>
    <w:p>
      <w:pPr>
        <w:pStyle w:val="BodyText"/>
        <w:spacing w:line="247" w:lineRule="auto"/>
        <w:ind w:left="151" w:right="40" w:firstLine="397"/>
        <w:jc w:val="both"/>
      </w:pPr>
      <w:r>
        <w:rPr/>
        <w:t>LXIV. Eliminación de áreas de amortiguamiento a árboles e infraestructuras urbanas y de servicios, arroyos y lagos, dependiendo el ejemplar o infraestructura afectada de:</w:t>
      </w:r>
    </w:p>
    <w:p>
      <w:pPr>
        <w:pStyle w:val="BodyText"/>
        <w:spacing w:line="170" w:lineRule="exact"/>
        <w:ind w:left="2307"/>
        <w:jc w:val="both"/>
      </w:pPr>
      <w:r>
        <w:rPr/>
        <w:t>66 a 227 unidades de medida y actualización;</w:t>
      </w:r>
    </w:p>
    <w:p>
      <w:pPr>
        <w:pStyle w:val="BodyText"/>
        <w:spacing w:before="7"/>
        <w:rPr>
          <w:sz w:val="22"/>
        </w:rPr>
      </w:pPr>
    </w:p>
    <w:p>
      <w:pPr>
        <w:pStyle w:val="BodyText"/>
        <w:spacing w:line="247" w:lineRule="auto" w:before="1"/>
        <w:ind w:left="151" w:right="40" w:firstLine="397"/>
        <w:jc w:val="both"/>
      </w:pPr>
      <w:r>
        <w:rPr/>
        <w:t>LXV. Por rellenar con escombro o basura, dependiendo el volumen de escombro, además del retiro del mismo, de:</w:t>
      </w:r>
    </w:p>
    <w:p>
      <w:pPr>
        <w:pStyle w:val="BodyText"/>
        <w:spacing w:line="172" w:lineRule="exact"/>
        <w:ind w:left="2393"/>
        <w:jc w:val="both"/>
      </w:pPr>
      <w:r>
        <w:rPr/>
        <w:t>25 a 74 unidades de medida y actualización;</w:t>
      </w:r>
    </w:p>
    <w:p>
      <w:pPr>
        <w:pStyle w:val="BodyText"/>
        <w:spacing w:before="2"/>
        <w:rPr>
          <w:sz w:val="19"/>
        </w:rPr>
      </w:pPr>
    </w:p>
    <w:p>
      <w:pPr>
        <w:pStyle w:val="BodyText"/>
        <w:spacing w:line="247" w:lineRule="auto"/>
        <w:ind w:left="548" w:right="776"/>
      </w:pPr>
      <w:r>
        <w:rPr/>
        <w:t>LXVI. Falta de riego al interior o en los caminos de acceso: 148 unidades de medida y actualización;</w:t>
      </w:r>
    </w:p>
    <w:p>
      <w:pPr>
        <w:pStyle w:val="BodyText"/>
        <w:spacing w:before="1"/>
        <w:rPr>
          <w:sz w:val="22"/>
        </w:rPr>
      </w:pPr>
    </w:p>
    <w:p>
      <w:pPr>
        <w:pStyle w:val="BodyText"/>
        <w:spacing w:line="247" w:lineRule="auto"/>
        <w:ind w:left="151" w:right="38" w:firstLine="397"/>
        <w:jc w:val="both"/>
      </w:pPr>
      <w:r>
        <w:rPr/>
        <w:t>LXVII. Falta de manifiesto de recolección de residuos de hidrocarburos por parte de una empresa recolectora autorizada por SEMARNAT en  caso   de realizar mantenimiento a</w:t>
      </w:r>
      <w:r>
        <w:rPr>
          <w:spacing w:val="6"/>
        </w:rPr>
        <w:t> </w:t>
      </w:r>
      <w:r>
        <w:rPr/>
        <w:t>maquinaria:</w:t>
      </w:r>
    </w:p>
    <w:p>
      <w:pPr>
        <w:pStyle w:val="BodyText"/>
        <w:spacing w:line="170" w:lineRule="exact"/>
        <w:ind w:left="2734"/>
        <w:jc w:val="both"/>
      </w:pPr>
      <w:r>
        <w:rPr/>
        <w:t>26 unidades de medida y actualización;</w:t>
      </w:r>
    </w:p>
    <w:p>
      <w:pPr>
        <w:pStyle w:val="BodyText"/>
        <w:spacing w:before="7"/>
        <w:rPr>
          <w:sz w:val="22"/>
        </w:rPr>
      </w:pPr>
    </w:p>
    <w:p>
      <w:pPr>
        <w:pStyle w:val="BodyText"/>
        <w:spacing w:line="247" w:lineRule="auto" w:before="1"/>
        <w:ind w:left="151" w:right="40" w:firstLine="397"/>
        <w:jc w:val="both"/>
      </w:pPr>
      <w:r>
        <w:rPr/>
        <w:t>LXVIII. Acumulación de basura y/o llantas dentro del predio, dependiendo la cantidad de basura y/o llantas</w:t>
      </w:r>
      <w:r>
        <w:rPr>
          <w:spacing w:val="15"/>
        </w:rPr>
        <w:t> </w:t>
      </w:r>
      <w:r>
        <w:rPr/>
        <w:t>de:</w:t>
      </w:r>
    </w:p>
    <w:p>
      <w:pPr>
        <w:pStyle w:val="BodyText"/>
        <w:spacing w:line="172" w:lineRule="exact"/>
        <w:ind w:left="2393"/>
        <w:jc w:val="both"/>
      </w:pPr>
      <w:r>
        <w:rPr/>
        <w:t>25 a 99 unidades de medida y actualización;</w:t>
      </w:r>
    </w:p>
    <w:p>
      <w:pPr>
        <w:pStyle w:val="BodyText"/>
        <w:spacing w:before="6"/>
        <w:rPr>
          <w:sz w:val="22"/>
        </w:rPr>
      </w:pPr>
    </w:p>
    <w:p>
      <w:pPr>
        <w:pStyle w:val="BodyText"/>
        <w:spacing w:line="247" w:lineRule="auto" w:before="1"/>
        <w:ind w:left="151" w:right="39" w:firstLine="397"/>
        <w:jc w:val="both"/>
      </w:pPr>
      <w:r>
        <w:rPr/>
        <w:t>LXIX. Por no atender los criterios y parámetros establecidos para estabilización de bancales, taludes y terrazas autorizados, dependiendo la cantidad de metros cúbicos extraídos de:</w:t>
      </w:r>
    </w:p>
    <w:p>
      <w:pPr>
        <w:pStyle w:val="BodyText"/>
        <w:spacing w:line="158" w:lineRule="exact"/>
        <w:ind w:left="2307"/>
        <w:jc w:val="both"/>
      </w:pPr>
      <w:r>
        <w:rPr/>
        <w:t>82 a 330 unidades de medida y actualización;</w:t>
      </w:r>
    </w:p>
    <w:p>
      <w:pPr>
        <w:pStyle w:val="BodyText"/>
        <w:spacing w:before="6"/>
        <w:rPr>
          <w:sz w:val="22"/>
        </w:rPr>
      </w:pPr>
      <w:r>
        <w:rPr/>
        <w:br w:type="column"/>
      </w:r>
      <w:r>
        <w:rPr>
          <w:sz w:val="22"/>
        </w:rPr>
      </w:r>
    </w:p>
    <w:p>
      <w:pPr>
        <w:pStyle w:val="BodyText"/>
        <w:spacing w:line="247" w:lineRule="auto"/>
        <w:ind w:left="151" w:right="2789" w:firstLine="397"/>
        <w:jc w:val="both"/>
      </w:pPr>
      <w:r>
        <w:rPr>
          <w:spacing w:val="-3"/>
        </w:rPr>
        <w:t>LXXV. </w:t>
      </w:r>
      <w:r>
        <w:rPr/>
        <w:t>Por ocupar las vías o espacios públicos, así como  áreas  comunes condominales con material de construcción, escombro, basura o cualquier objeto, además de su retiro y limpieza,</w:t>
      </w:r>
      <w:r>
        <w:rPr>
          <w:spacing w:val="20"/>
        </w:rPr>
        <w:t> </w:t>
      </w:r>
      <w:r>
        <w:rPr/>
        <w:t>de:</w:t>
      </w:r>
    </w:p>
    <w:p>
      <w:pPr>
        <w:pStyle w:val="BodyText"/>
        <w:spacing w:line="171" w:lineRule="exact"/>
        <w:ind w:left="2358"/>
        <w:jc w:val="both"/>
      </w:pPr>
      <w:r>
        <w:rPr/>
        <w:t>10 a 30 Unidades de Medida y Actualización.</w:t>
      </w:r>
    </w:p>
    <w:p>
      <w:pPr>
        <w:pStyle w:val="BodyText"/>
        <w:spacing w:before="7"/>
        <w:rPr>
          <w:sz w:val="22"/>
        </w:rPr>
      </w:pPr>
    </w:p>
    <w:p>
      <w:pPr>
        <w:pStyle w:val="BodyText"/>
        <w:spacing w:line="244" w:lineRule="auto"/>
        <w:ind w:left="151" w:right="2787" w:firstLine="397"/>
        <w:jc w:val="both"/>
      </w:pPr>
      <w:r>
        <w:rPr/>
        <w:t>LXXVI. Por contaminar con residuos de la construcción o demolición y  no manejarlos, almacenarlos, transportarlos y  disponerlos  adecuadamente  de conformidad con la NAE-SEMADET-001/2016,</w:t>
      </w:r>
      <w:r>
        <w:rPr>
          <w:spacing w:val="12"/>
        </w:rPr>
        <w:t> </w:t>
      </w:r>
      <w:r>
        <w:rPr/>
        <w:t>de:</w:t>
      </w:r>
    </w:p>
    <w:p>
      <w:pPr>
        <w:pStyle w:val="BodyText"/>
        <w:spacing w:before="3"/>
        <w:ind w:left="2091"/>
        <w:jc w:val="both"/>
      </w:pPr>
      <w:r>
        <w:rPr/>
        <w:t>20 a 180 Unidades de Medida y Actualización.</w:t>
      </w:r>
    </w:p>
    <w:p>
      <w:pPr>
        <w:pStyle w:val="BodyText"/>
        <w:spacing w:before="7"/>
        <w:rPr>
          <w:sz w:val="22"/>
        </w:rPr>
      </w:pPr>
    </w:p>
    <w:p>
      <w:pPr>
        <w:pStyle w:val="BodyText"/>
        <w:spacing w:line="247" w:lineRule="auto"/>
        <w:ind w:left="151" w:right="2788" w:firstLine="397"/>
        <w:jc w:val="both"/>
      </w:pPr>
      <w:r>
        <w:rPr/>
        <w:t>LXXVII. Por efectuar y provocar derrumbes en sitios  públicos  o  privados en el territorio municipal,</w:t>
      </w:r>
      <w:r>
        <w:rPr>
          <w:spacing w:val="7"/>
        </w:rPr>
        <w:t> </w:t>
      </w:r>
      <w:r>
        <w:rPr/>
        <w:t>de:</w:t>
      </w:r>
    </w:p>
    <w:p>
      <w:pPr>
        <w:pStyle w:val="BodyText"/>
        <w:spacing w:line="172" w:lineRule="exact"/>
        <w:ind w:left="2273"/>
        <w:jc w:val="both"/>
      </w:pPr>
      <w:r>
        <w:rPr/>
        <w:t>10 a 200 Unidades de Medida y Actualización.</w:t>
      </w:r>
    </w:p>
    <w:p>
      <w:pPr>
        <w:pStyle w:val="BodyText"/>
        <w:spacing w:before="7"/>
        <w:rPr>
          <w:sz w:val="22"/>
        </w:rPr>
      </w:pPr>
    </w:p>
    <w:p>
      <w:pPr>
        <w:pStyle w:val="BodyText"/>
        <w:spacing w:line="244" w:lineRule="auto"/>
        <w:ind w:left="151" w:right="2787" w:firstLine="397"/>
        <w:jc w:val="both"/>
      </w:pPr>
      <w:r>
        <w:rPr/>
        <w:t>LXXVIII. En establos o criaderos de animales, por mantener sustancias putrefactas dentro de dichos establecimientos que expidan mal olor o que  sean nocivos para la salud,</w:t>
      </w:r>
      <w:r>
        <w:rPr>
          <w:spacing w:val="7"/>
        </w:rPr>
        <w:t> </w:t>
      </w:r>
      <w:r>
        <w:rPr/>
        <w:t>de:</w:t>
      </w:r>
    </w:p>
    <w:p>
      <w:pPr>
        <w:pStyle w:val="BodyText"/>
        <w:spacing w:before="3"/>
        <w:ind w:left="2275"/>
        <w:jc w:val="both"/>
      </w:pPr>
      <w:r>
        <w:rPr/>
        <w:t>20 a 150 Unidades de Medida y Actualización.</w:t>
      </w:r>
    </w:p>
    <w:p>
      <w:pPr>
        <w:pStyle w:val="BodyText"/>
        <w:spacing w:before="7"/>
        <w:rPr>
          <w:sz w:val="22"/>
        </w:rPr>
      </w:pPr>
    </w:p>
    <w:p>
      <w:pPr>
        <w:pStyle w:val="BodyText"/>
        <w:spacing w:line="247" w:lineRule="auto" w:before="1"/>
        <w:ind w:left="151" w:right="2787" w:firstLine="397"/>
        <w:jc w:val="both"/>
      </w:pPr>
      <w:r>
        <w:rPr/>
        <w:t>LXXIX. Emitir polvos o partículas que trasciendan el límite de la propiedad donde se realiza la actividad o causen molestias vecinales, de:      15 a 250 Unidades de Medida y</w:t>
      </w:r>
      <w:r>
        <w:rPr>
          <w:spacing w:val="6"/>
        </w:rPr>
        <w:t> </w:t>
      </w:r>
      <w:r>
        <w:rPr/>
        <w:t>Actualización.</w:t>
      </w:r>
    </w:p>
    <w:p>
      <w:pPr>
        <w:pStyle w:val="BodyText"/>
        <w:spacing w:before="1"/>
        <w:rPr>
          <w:sz w:val="22"/>
        </w:rPr>
      </w:pPr>
    </w:p>
    <w:p>
      <w:pPr>
        <w:pStyle w:val="BodyText"/>
        <w:spacing w:line="247" w:lineRule="auto"/>
        <w:ind w:left="151" w:right="2787" w:firstLine="397"/>
        <w:jc w:val="both"/>
      </w:pPr>
      <w:r>
        <w:rPr/>
        <w:t>LXXX. Por reducir o afectar la capacidad de presas, vasos, embalses o canales pluviales, ya sean públicos o privados, que ayudan a impedir las inundaciones en las zonas urbanas, vialidades y áreas verdes del municipio, de:</w:t>
      </w:r>
    </w:p>
    <w:p>
      <w:pPr>
        <w:spacing w:after="0" w:line="247" w:lineRule="auto"/>
        <w:jc w:val="both"/>
        <w:sectPr>
          <w:type w:val="continuous"/>
          <w:pgSz w:w="23250" w:h="15310" w:orient="landscape"/>
          <w:pgMar w:top="0" w:bottom="0" w:left="1880" w:right="1520"/>
          <w:cols w:num="2" w:equalWidth="0">
            <w:col w:w="5474" w:space="6148"/>
            <w:col w:w="8228"/>
          </w:cols>
        </w:sectPr>
      </w:pPr>
    </w:p>
    <w:p>
      <w:pPr>
        <w:pStyle w:val="BodyText"/>
        <w:spacing w:before="6"/>
        <w:rPr>
          <w:sz w:val="23"/>
        </w:rPr>
      </w:pPr>
    </w:p>
    <w:p>
      <w:pPr>
        <w:pStyle w:val="BodyText"/>
        <w:spacing w:line="247" w:lineRule="auto"/>
        <w:ind w:left="151" w:firstLine="397"/>
      </w:pPr>
      <w:r>
        <w:rPr/>
        <w:t>LXX. Falta de publicación de aviso de inicio de actividades en diario de circulación en el área metropolitana de Guadalajara:</w:t>
      </w:r>
    </w:p>
    <w:p>
      <w:pPr>
        <w:pStyle w:val="BodyText"/>
        <w:spacing w:line="172" w:lineRule="exact"/>
        <w:ind w:left="2735"/>
      </w:pPr>
      <w:r>
        <w:rPr/>
        <w:t>33 unidades de medida y actualización;</w:t>
      </w:r>
    </w:p>
    <w:p>
      <w:pPr>
        <w:pStyle w:val="BodyText"/>
        <w:spacing w:line="170" w:lineRule="exact"/>
        <w:ind w:left="2273"/>
      </w:pPr>
      <w:r>
        <w:rPr/>
        <w:br w:type="column"/>
      </w:r>
      <w:r>
        <w:rPr/>
        <w:t>50 a 500 Unidades de Medida y Actualización.</w:t>
      </w:r>
    </w:p>
    <w:p>
      <w:pPr>
        <w:pStyle w:val="BodyText"/>
        <w:spacing w:before="7"/>
        <w:rPr>
          <w:sz w:val="22"/>
        </w:rPr>
      </w:pPr>
    </w:p>
    <w:p>
      <w:pPr>
        <w:pStyle w:val="BodyText"/>
        <w:spacing w:line="247" w:lineRule="auto"/>
        <w:ind w:left="151" w:right="2660" w:firstLine="397"/>
      </w:pPr>
      <w:r>
        <w:rPr/>
        <w:t>LXXXI. Por no cumplir con los parámetros para descarga de aguas residuales establecidos en las normas oficiales aplicable, en:</w:t>
      </w:r>
    </w:p>
    <w:p>
      <w:pPr>
        <w:pStyle w:val="BodyText"/>
        <w:spacing w:before="3"/>
      </w:pPr>
    </w:p>
    <w:p>
      <w:pPr>
        <w:pStyle w:val="ListParagraph"/>
        <w:numPr>
          <w:ilvl w:val="0"/>
          <w:numId w:val="240"/>
        </w:numPr>
        <w:tabs>
          <w:tab w:pos="1142" w:val="left" w:leader="none"/>
          <w:tab w:pos="1143" w:val="left" w:leader="none"/>
        </w:tabs>
        <w:spacing w:line="240" w:lineRule="auto" w:before="0" w:after="0"/>
        <w:ind w:left="1142" w:right="0" w:hanging="595"/>
        <w:jc w:val="left"/>
        <w:rPr>
          <w:sz w:val="15"/>
        </w:rPr>
      </w:pPr>
      <w:r>
        <w:rPr>
          <w:sz w:val="15"/>
        </w:rPr>
        <w:t>En giros industriales,</w:t>
      </w:r>
      <w:r>
        <w:rPr>
          <w:spacing w:val="2"/>
          <w:sz w:val="15"/>
        </w:rPr>
        <w:t> </w:t>
      </w:r>
      <w:r>
        <w:rPr>
          <w:sz w:val="15"/>
        </w:rPr>
        <w:t>de:</w:t>
      </w:r>
    </w:p>
    <w:p>
      <w:pPr>
        <w:spacing w:after="0" w:line="240" w:lineRule="auto"/>
        <w:jc w:val="left"/>
        <w:rPr>
          <w:sz w:val="15"/>
        </w:rPr>
        <w:sectPr>
          <w:type w:val="continuous"/>
          <w:pgSz w:w="23250" w:h="15310" w:orient="landscape"/>
          <w:pgMar w:top="0" w:bottom="0" w:left="1880" w:right="1520"/>
          <w:cols w:num="2" w:equalWidth="0">
            <w:col w:w="5472" w:space="6150"/>
            <w:col w:w="8228"/>
          </w:cols>
        </w:sectPr>
      </w:pPr>
    </w:p>
    <w:p>
      <w:pPr>
        <w:pStyle w:val="BodyText"/>
        <w:rPr>
          <w:sz w:val="20"/>
        </w:rPr>
      </w:pPr>
    </w:p>
    <w:p>
      <w:pPr>
        <w:pStyle w:val="BodyText"/>
        <w:rPr>
          <w:sz w:val="20"/>
        </w:rPr>
      </w:pPr>
    </w:p>
    <w:p>
      <w:pPr>
        <w:spacing w:after="0"/>
        <w:rPr>
          <w:sz w:val="20"/>
        </w:rPr>
        <w:sectPr>
          <w:headerReference w:type="default" r:id="rId129"/>
          <w:pgSz w:w="23250" w:h="15310" w:orient="landscape"/>
          <w:pgMar w:header="881" w:footer="499" w:top="1920" w:bottom="680" w:left="1880" w:right="1520"/>
        </w:sectPr>
      </w:pPr>
    </w:p>
    <w:p>
      <w:pPr>
        <w:pStyle w:val="BodyText"/>
        <w:rPr>
          <w:sz w:val="16"/>
        </w:rPr>
      </w:pPr>
    </w:p>
    <w:p>
      <w:pPr>
        <w:pStyle w:val="BodyText"/>
        <w:spacing w:before="3"/>
        <w:rPr>
          <w:sz w:val="19"/>
        </w:rPr>
      </w:pPr>
    </w:p>
    <w:p>
      <w:pPr>
        <w:pStyle w:val="BodyText"/>
        <w:ind w:right="40"/>
        <w:jc w:val="right"/>
      </w:pPr>
      <w:r>
        <w:rPr/>
        <w:t>300 a 1500 Unidades de Medida y Actualización.</w:t>
      </w:r>
    </w:p>
    <w:p>
      <w:pPr>
        <w:pStyle w:val="BodyText"/>
        <w:spacing w:before="10"/>
      </w:pPr>
    </w:p>
    <w:p>
      <w:pPr>
        <w:pStyle w:val="ListParagraph"/>
        <w:numPr>
          <w:ilvl w:val="0"/>
          <w:numId w:val="240"/>
        </w:numPr>
        <w:tabs>
          <w:tab w:pos="1142" w:val="left" w:leader="none"/>
          <w:tab w:pos="1143" w:val="left" w:leader="none"/>
        </w:tabs>
        <w:spacing w:line="240" w:lineRule="auto" w:before="0" w:after="0"/>
        <w:ind w:left="1142" w:right="0" w:hanging="595"/>
        <w:jc w:val="left"/>
        <w:rPr>
          <w:sz w:val="15"/>
        </w:rPr>
      </w:pPr>
      <w:r>
        <w:rPr>
          <w:sz w:val="15"/>
        </w:rPr>
        <w:t>En giros comerciales,</w:t>
      </w:r>
      <w:r>
        <w:rPr>
          <w:spacing w:val="4"/>
          <w:sz w:val="15"/>
        </w:rPr>
        <w:t> </w:t>
      </w:r>
      <w:r>
        <w:rPr>
          <w:sz w:val="15"/>
        </w:rPr>
        <w:t>de:</w:t>
      </w:r>
    </w:p>
    <w:p>
      <w:pPr>
        <w:pStyle w:val="BodyText"/>
        <w:spacing w:before="8"/>
      </w:pPr>
    </w:p>
    <w:p>
      <w:pPr>
        <w:pStyle w:val="BodyText"/>
        <w:ind w:right="39"/>
        <w:jc w:val="right"/>
      </w:pPr>
      <w:r>
        <w:rPr/>
        <w:t>100 a 500 Unidades de Medida y Actualización</w:t>
      </w:r>
    </w:p>
    <w:p>
      <w:pPr>
        <w:pStyle w:val="BodyText"/>
        <w:spacing w:before="3"/>
        <w:rPr>
          <w:sz w:val="19"/>
        </w:rPr>
      </w:pPr>
    </w:p>
    <w:p>
      <w:pPr>
        <w:pStyle w:val="BodyText"/>
        <w:spacing w:line="244" w:lineRule="auto"/>
        <w:ind w:left="150" w:right="39" w:firstLine="397"/>
        <w:jc w:val="both"/>
      </w:pPr>
      <w:r>
        <w:rPr/>
        <w:t>LXXXII. Por no cumplir con cada condición particular de descarga, establecidas por la autoridad municipal en materia de agua potable, alcantarillado y saneamiento, de:</w:t>
      </w:r>
    </w:p>
    <w:p>
      <w:pPr>
        <w:pStyle w:val="BodyText"/>
        <w:spacing w:before="3"/>
        <w:ind w:left="2317"/>
        <w:jc w:val="both"/>
      </w:pPr>
      <w:r>
        <w:rPr/>
        <w:t>50 a 500 Unidades de Medida y Actualización</w:t>
      </w:r>
    </w:p>
    <w:p>
      <w:pPr>
        <w:pStyle w:val="BodyText"/>
        <w:spacing w:before="7"/>
        <w:rPr>
          <w:sz w:val="22"/>
        </w:rPr>
      </w:pPr>
    </w:p>
    <w:p>
      <w:pPr>
        <w:pStyle w:val="BodyText"/>
        <w:spacing w:line="247" w:lineRule="auto" w:before="1"/>
        <w:ind w:left="150" w:right="38" w:firstLine="397"/>
        <w:jc w:val="both"/>
      </w:pPr>
      <w:r>
        <w:rPr/>
        <w:t>LXXXIII. Omitir la presentación de informes ambientales mensuales, bimestrales, trimestrales, semestrales o anuales establecidos en los dictámenes que emite la Dirección General de Gestión Ambiental, Cambio Climático y Sustentabilidad, reglamentos y normas  ambientales  aplicables, de:</w:t>
      </w:r>
    </w:p>
    <w:p>
      <w:pPr>
        <w:pStyle w:val="BodyText"/>
        <w:spacing w:line="169" w:lineRule="exact"/>
        <w:ind w:left="2272"/>
        <w:jc w:val="both"/>
      </w:pPr>
      <w:r>
        <w:rPr/>
        <w:t>20 a 100 Unidades de Medida y Actualización.</w:t>
      </w:r>
    </w:p>
    <w:p>
      <w:pPr>
        <w:pStyle w:val="BodyText"/>
        <w:spacing w:before="6"/>
        <w:rPr>
          <w:sz w:val="22"/>
        </w:rPr>
      </w:pPr>
    </w:p>
    <w:p>
      <w:pPr>
        <w:pStyle w:val="BodyText"/>
        <w:spacing w:line="247" w:lineRule="auto" w:before="1"/>
        <w:ind w:left="150" w:right="39" w:firstLine="397"/>
        <w:jc w:val="both"/>
      </w:pPr>
      <w:r>
        <w:rPr/>
        <w:t>LXXXIV. Incumplir las medidas de mitigación términos y condicionantes ordenadas en cualquier documento emitido por las autoridades ambientales municipales, de:</w:t>
      </w:r>
    </w:p>
    <w:p>
      <w:pPr>
        <w:pStyle w:val="BodyText"/>
        <w:spacing w:line="171" w:lineRule="exact"/>
        <w:ind w:left="2273"/>
        <w:jc w:val="both"/>
      </w:pPr>
      <w:r>
        <w:rPr/>
        <w:t>20 a 300 Unidades de Medida y Actualización.</w:t>
      </w:r>
    </w:p>
    <w:p>
      <w:pPr>
        <w:pStyle w:val="BodyText"/>
        <w:spacing w:before="7"/>
        <w:rPr>
          <w:sz w:val="22"/>
        </w:rPr>
      </w:pPr>
    </w:p>
    <w:p>
      <w:pPr>
        <w:pStyle w:val="BodyText"/>
        <w:spacing w:line="244" w:lineRule="auto"/>
        <w:ind w:left="150" w:right="39" w:firstLine="397"/>
        <w:jc w:val="both"/>
      </w:pPr>
      <w:r>
        <w:rPr/>
        <w:t>LXXXV. Por no cumplir el sitio de disposición final de Residuos de la Construcción y Demolición (RCD), con las especificaciones señaladas en la NAE-SEMADET-001/2016, de:</w:t>
      </w:r>
    </w:p>
    <w:p>
      <w:pPr>
        <w:pStyle w:val="BodyText"/>
        <w:spacing w:before="3"/>
        <w:ind w:left="848"/>
      </w:pPr>
      <w:r>
        <w:rPr/>
        <w:t>50 a 300 Unidades de Medida y Actualización.</w:t>
      </w:r>
    </w:p>
    <w:p>
      <w:pPr>
        <w:pStyle w:val="BodyText"/>
        <w:spacing w:before="7"/>
        <w:rPr>
          <w:sz w:val="22"/>
        </w:rPr>
      </w:pPr>
    </w:p>
    <w:p>
      <w:pPr>
        <w:pStyle w:val="BodyText"/>
        <w:spacing w:line="247" w:lineRule="auto"/>
        <w:ind w:left="151" w:right="39" w:firstLine="397"/>
        <w:jc w:val="both"/>
      </w:pPr>
      <w:r>
        <w:rPr/>
        <w:t>LXXVI. Por no informar a la autoridad municipal respecto al servicio de transporte que se utilizará para el traslado de los residuos de  la construcción  y demolición,</w:t>
      </w:r>
      <w:r>
        <w:rPr>
          <w:spacing w:val="2"/>
        </w:rPr>
        <w:t> </w:t>
      </w:r>
      <w:r>
        <w:rPr/>
        <w:t>de:</w:t>
      </w:r>
    </w:p>
    <w:p>
      <w:pPr>
        <w:pStyle w:val="BodyText"/>
        <w:spacing w:before="10"/>
        <w:rPr>
          <w:sz w:val="19"/>
        </w:rPr>
      </w:pPr>
      <w:r>
        <w:rPr/>
        <w:br w:type="column"/>
      </w:r>
      <w:r>
        <w:rPr>
          <w:sz w:val="19"/>
        </w:rPr>
      </w:r>
    </w:p>
    <w:p>
      <w:pPr>
        <w:pStyle w:val="BodyText"/>
        <w:spacing w:line="247" w:lineRule="auto"/>
        <w:ind w:left="150" w:right="2786"/>
        <w:jc w:val="both"/>
      </w:pPr>
      <w:r>
        <w:rPr/>
        <w:t>28 de febrero del año posterior, encienda su horno fuera de la asignación establecida en el calendario de la Jefatura de Ladrilleras se le  aplicará  sanción</w:t>
      </w:r>
      <w:r>
        <w:rPr>
          <w:spacing w:val="1"/>
        </w:rPr>
        <w:t> </w:t>
      </w:r>
      <w:r>
        <w:rPr/>
        <w:t>de:</w:t>
      </w:r>
    </w:p>
    <w:p>
      <w:pPr>
        <w:pStyle w:val="BodyText"/>
        <w:spacing w:line="171" w:lineRule="exact"/>
        <w:ind w:left="2152"/>
        <w:jc w:val="both"/>
      </w:pPr>
      <w:r>
        <w:rPr/>
        <w:t>10 a 25 Unidades de medidas de actualización.</w:t>
      </w:r>
    </w:p>
    <w:p>
      <w:pPr>
        <w:pStyle w:val="BodyText"/>
        <w:spacing w:before="2"/>
        <w:rPr>
          <w:sz w:val="19"/>
        </w:rPr>
      </w:pPr>
    </w:p>
    <w:p>
      <w:pPr>
        <w:pStyle w:val="BodyText"/>
        <w:spacing w:line="247" w:lineRule="auto"/>
        <w:ind w:left="150" w:right="2787" w:firstLine="397"/>
        <w:jc w:val="both"/>
      </w:pPr>
      <w:r>
        <w:rPr/>
        <w:t>XCI. A los operadores de ladrillera que sin autorización realicen excavaciones en el suelo del predio donde se encuentran instalados los  hornos con el fin de utilizar arcilla o tierra para elaboración del  ladrillo,  aplicará sanción</w:t>
      </w:r>
      <w:r>
        <w:rPr>
          <w:spacing w:val="2"/>
        </w:rPr>
        <w:t> </w:t>
      </w:r>
      <w:r>
        <w:rPr/>
        <w:t>de:</w:t>
      </w:r>
    </w:p>
    <w:p>
      <w:pPr>
        <w:pStyle w:val="BodyText"/>
        <w:spacing w:line="170" w:lineRule="exact"/>
        <w:ind w:left="2153"/>
        <w:jc w:val="both"/>
      </w:pPr>
      <w:r>
        <w:rPr/>
        <w:t>10 a 30 Unidades de medidas de actualización.</w:t>
      </w:r>
    </w:p>
    <w:p>
      <w:pPr>
        <w:pStyle w:val="BodyText"/>
        <w:spacing w:before="7"/>
        <w:rPr>
          <w:sz w:val="22"/>
        </w:rPr>
      </w:pPr>
    </w:p>
    <w:p>
      <w:pPr>
        <w:pStyle w:val="BodyText"/>
        <w:spacing w:line="247" w:lineRule="auto"/>
        <w:ind w:left="150" w:right="2788" w:firstLine="397"/>
        <w:jc w:val="both"/>
      </w:pPr>
      <w:r>
        <w:rPr/>
        <w:t>XCII. Por no contar con licencia municipal para extracción de material geológico requerida al momento de la visita de inspección de:</w:t>
      </w:r>
    </w:p>
    <w:p>
      <w:pPr>
        <w:pStyle w:val="BodyText"/>
        <w:spacing w:line="172" w:lineRule="exact"/>
        <w:ind w:left="2196"/>
        <w:jc w:val="both"/>
      </w:pPr>
      <w:r>
        <w:rPr/>
        <w:t>230 a 500 Unidades de medida y actualización.</w:t>
      </w:r>
    </w:p>
    <w:p>
      <w:pPr>
        <w:pStyle w:val="BodyText"/>
        <w:spacing w:before="2"/>
        <w:rPr>
          <w:sz w:val="19"/>
        </w:rPr>
      </w:pPr>
    </w:p>
    <w:p>
      <w:pPr>
        <w:pStyle w:val="BodyText"/>
        <w:spacing w:line="247" w:lineRule="auto"/>
        <w:ind w:left="150" w:right="2788" w:firstLine="397"/>
        <w:jc w:val="both"/>
      </w:pPr>
      <w:r>
        <w:rPr/>
        <w:t>XCIII. Por ocasionar un incendio en predios de propiedad privada, pública o social, que afecten la masa forestal o se ubique dentro de un área natural protegida, según determinen la Fiscalía Ambiental de Tlajomulco, por hectárea afectada o fracción de la</w:t>
      </w:r>
      <w:r>
        <w:rPr>
          <w:spacing w:val="11"/>
        </w:rPr>
        <w:t> </w:t>
      </w:r>
      <w:r>
        <w:rPr/>
        <w:t>misma:</w:t>
      </w:r>
    </w:p>
    <w:p>
      <w:pPr>
        <w:pStyle w:val="BodyText"/>
        <w:spacing w:line="170" w:lineRule="exact"/>
        <w:ind w:left="2196"/>
        <w:jc w:val="both"/>
      </w:pPr>
      <w:r>
        <w:rPr/>
        <w:t>50 a 1500 Unidades de medida y actualización.</w:t>
      </w:r>
    </w:p>
    <w:p>
      <w:pPr>
        <w:pStyle w:val="BodyText"/>
        <w:spacing w:before="3"/>
        <w:rPr>
          <w:sz w:val="19"/>
        </w:rPr>
      </w:pPr>
    </w:p>
    <w:p>
      <w:pPr>
        <w:pStyle w:val="BodyText"/>
        <w:spacing w:line="247" w:lineRule="auto"/>
        <w:ind w:left="151" w:right="2788" w:firstLine="397"/>
        <w:jc w:val="both"/>
      </w:pPr>
      <w:r>
        <w:rPr>
          <w:b/>
        </w:rPr>
        <w:t>Artículo 149.- </w:t>
      </w:r>
      <w:r>
        <w:rPr/>
        <w:t>Sanciones por contravenir las disposiciones reglamentarias, referentes a anuncios:</w:t>
      </w:r>
    </w:p>
    <w:p>
      <w:pPr>
        <w:pStyle w:val="BodyText"/>
        <w:spacing w:before="2"/>
        <w:rPr>
          <w:sz w:val="22"/>
        </w:rPr>
      </w:pPr>
    </w:p>
    <w:p>
      <w:pPr>
        <w:pStyle w:val="ListParagraph"/>
        <w:numPr>
          <w:ilvl w:val="0"/>
          <w:numId w:val="241"/>
        </w:numPr>
        <w:tabs>
          <w:tab w:pos="709" w:val="left" w:leader="none"/>
        </w:tabs>
        <w:spacing w:line="244" w:lineRule="auto" w:before="0" w:after="0"/>
        <w:ind w:left="151" w:right="2787" w:firstLine="397"/>
        <w:jc w:val="both"/>
        <w:rPr>
          <w:sz w:val="15"/>
        </w:rPr>
      </w:pPr>
      <w:r>
        <w:rPr>
          <w:sz w:val="15"/>
        </w:rPr>
        <w:t>Por falta del dictamen para la colocación de  estructuras  o  postes para anuncios, se cobrará de uno a tres tantos del costo de la Licencia Municipal o</w:t>
      </w:r>
      <w:r>
        <w:rPr>
          <w:spacing w:val="2"/>
          <w:sz w:val="15"/>
        </w:rPr>
        <w:t> </w:t>
      </w:r>
      <w:r>
        <w:rPr>
          <w:sz w:val="15"/>
        </w:rPr>
        <w:t>permiso;</w:t>
      </w:r>
    </w:p>
    <w:p>
      <w:pPr>
        <w:pStyle w:val="BodyText"/>
        <w:spacing w:before="5"/>
        <w:rPr>
          <w:sz w:val="22"/>
        </w:rPr>
      </w:pPr>
    </w:p>
    <w:p>
      <w:pPr>
        <w:pStyle w:val="ListParagraph"/>
        <w:numPr>
          <w:ilvl w:val="0"/>
          <w:numId w:val="241"/>
        </w:numPr>
        <w:tabs>
          <w:tab w:pos="748" w:val="left" w:leader="none"/>
        </w:tabs>
        <w:spacing w:line="247" w:lineRule="auto" w:before="0" w:after="0"/>
        <w:ind w:left="151" w:right="2787" w:firstLine="397"/>
        <w:jc w:val="both"/>
        <w:rPr>
          <w:sz w:val="15"/>
        </w:rPr>
      </w:pPr>
      <w:r>
        <w:rPr>
          <w:sz w:val="15"/>
        </w:rPr>
        <w:t>Por la falta de licencia, permiso o refrendo para la colocación de anuncios, de uno a tres tantos del costo de la licencia o permiso por  cada  cara</w:t>
      </w:r>
      <w:r>
        <w:rPr>
          <w:spacing w:val="1"/>
          <w:sz w:val="15"/>
        </w:rPr>
        <w:t> </w:t>
      </w:r>
      <w:r>
        <w:rPr>
          <w:sz w:val="15"/>
        </w:rPr>
        <w:t>utilizada:</w:t>
      </w:r>
    </w:p>
    <w:p>
      <w:pPr>
        <w:spacing w:after="0" w:line="247" w:lineRule="auto"/>
        <w:jc w:val="both"/>
        <w:rPr>
          <w:sz w:val="15"/>
        </w:rPr>
        <w:sectPr>
          <w:type w:val="continuous"/>
          <w:pgSz w:w="23250" w:h="15310" w:orient="landscape"/>
          <w:pgMar w:top="0" w:bottom="0" w:left="1880" w:right="1520"/>
          <w:cols w:num="2" w:equalWidth="0">
            <w:col w:w="5474" w:space="6149"/>
            <w:col w:w="8227"/>
          </w:cols>
        </w:sectPr>
      </w:pPr>
    </w:p>
    <w:p>
      <w:pPr>
        <w:pStyle w:val="BodyText"/>
        <w:spacing w:line="171" w:lineRule="exact"/>
        <w:ind w:left="2272"/>
        <w:jc w:val="both"/>
      </w:pPr>
      <w:r>
        <w:rPr/>
        <w:t>30 a 300 Unidades de Medida y Actualización.</w:t>
      </w:r>
    </w:p>
    <w:p>
      <w:pPr>
        <w:pStyle w:val="BodyText"/>
        <w:spacing w:before="7"/>
        <w:rPr>
          <w:sz w:val="22"/>
        </w:rPr>
      </w:pPr>
    </w:p>
    <w:p>
      <w:pPr>
        <w:pStyle w:val="BodyText"/>
        <w:spacing w:line="247" w:lineRule="auto"/>
        <w:ind w:left="151" w:right="39" w:firstLine="397"/>
        <w:jc w:val="both"/>
      </w:pPr>
      <w:r>
        <w:rPr/>
        <w:t>LXXXVII. Por no identificar la cantidad a transportar y no garantizar el cumplimiento de la norma NAE-SEMADET-001/2016, para el caso del uso de vehículos propios, de:</w:t>
      </w:r>
    </w:p>
    <w:p>
      <w:pPr>
        <w:pStyle w:val="BodyText"/>
        <w:spacing w:line="171" w:lineRule="exact"/>
        <w:ind w:left="2272"/>
        <w:jc w:val="both"/>
      </w:pPr>
      <w:r>
        <w:rPr/>
        <w:t>30 a 200 Unidades de Medida y Actualización.</w:t>
      </w:r>
    </w:p>
    <w:p>
      <w:pPr>
        <w:pStyle w:val="BodyText"/>
        <w:spacing w:before="7"/>
        <w:rPr>
          <w:sz w:val="22"/>
        </w:rPr>
      </w:pPr>
    </w:p>
    <w:p>
      <w:pPr>
        <w:pStyle w:val="BodyText"/>
        <w:spacing w:line="247" w:lineRule="auto"/>
        <w:ind w:left="150" w:right="39" w:firstLine="397"/>
        <w:jc w:val="both"/>
      </w:pPr>
      <w:r>
        <w:rPr/>
        <w:t>LXXXVIII. A las ladrilleras que al momento de la visita de inspección,    no cuenten con contenedores para el acopio de residuos sólidos</w:t>
      </w:r>
      <w:r>
        <w:rPr>
          <w:spacing w:val="23"/>
        </w:rPr>
        <w:t> </w:t>
      </w:r>
      <w:r>
        <w:rPr/>
        <w:t>urbanos (tambos) y se observe mal manejo de los mismos, se aplicará sanción de:       5 a 25 Unidades de medidas de</w:t>
      </w:r>
      <w:r>
        <w:rPr>
          <w:spacing w:val="15"/>
        </w:rPr>
        <w:t> </w:t>
      </w:r>
      <w:r>
        <w:rPr/>
        <w:t>actualización.</w:t>
      </w:r>
    </w:p>
    <w:p>
      <w:pPr>
        <w:pStyle w:val="BodyText"/>
        <w:rPr>
          <w:sz w:val="22"/>
        </w:rPr>
      </w:pPr>
    </w:p>
    <w:p>
      <w:pPr>
        <w:pStyle w:val="BodyText"/>
        <w:spacing w:line="247" w:lineRule="auto"/>
        <w:ind w:left="150" w:right="38" w:firstLine="397"/>
        <w:jc w:val="both"/>
      </w:pPr>
      <w:r>
        <w:rPr/>
        <w:t>LXXXIX. A las ladrilleras que utilicen como combustibles: llantas, cámaras, plásticos, hules, polietileno, aceites gastados, residuos de la  industria del calzado y curtiduría, desperdicio de ropa, solventes, productos químicos, se aplicará una sanción por parte de personal de la Fiscalía Ambiental</w:t>
      </w:r>
      <w:r>
        <w:rPr>
          <w:spacing w:val="1"/>
        </w:rPr>
        <w:t> </w:t>
      </w:r>
      <w:r>
        <w:rPr/>
        <w:t>de:</w:t>
      </w:r>
    </w:p>
    <w:p>
      <w:pPr>
        <w:pStyle w:val="BodyText"/>
        <w:spacing w:line="602" w:lineRule="auto"/>
        <w:ind w:left="548" w:firstLine="1647"/>
      </w:pPr>
      <w:r>
        <w:rPr/>
        <w:t>60 a 90 Unidades de medidas de actualización. XC. A la ladrillera que al momento de la visita, del 01 de diciembre al</w:t>
      </w:r>
    </w:p>
    <w:p>
      <w:pPr>
        <w:pStyle w:val="ListParagraph"/>
        <w:numPr>
          <w:ilvl w:val="0"/>
          <w:numId w:val="242"/>
        </w:numPr>
        <w:tabs>
          <w:tab w:pos="801" w:val="left" w:leader="none"/>
        </w:tabs>
        <w:spacing w:line="240" w:lineRule="auto" w:before="37" w:after="0"/>
        <w:ind w:left="800" w:right="0" w:hanging="253"/>
        <w:jc w:val="left"/>
        <w:rPr>
          <w:sz w:val="15"/>
        </w:rPr>
      </w:pPr>
      <w:r>
        <w:rPr>
          <w:w w:val="102"/>
          <w:sz w:val="15"/>
        </w:rPr>
        <w:br w:type="column"/>
      </w:r>
      <w:r>
        <w:rPr>
          <w:sz w:val="15"/>
        </w:rPr>
        <w:t>Falta de refrendo el 20% del valor de la</w:t>
      </w:r>
      <w:r>
        <w:rPr>
          <w:spacing w:val="13"/>
          <w:sz w:val="15"/>
        </w:rPr>
        <w:t> </w:t>
      </w:r>
      <w:r>
        <w:rPr>
          <w:sz w:val="15"/>
        </w:rPr>
        <w:t>licencia;</w:t>
      </w:r>
    </w:p>
    <w:p>
      <w:pPr>
        <w:pStyle w:val="BodyText"/>
        <w:rPr>
          <w:sz w:val="16"/>
        </w:rPr>
      </w:pPr>
    </w:p>
    <w:p>
      <w:pPr>
        <w:pStyle w:val="BodyText"/>
        <w:rPr>
          <w:sz w:val="14"/>
        </w:rPr>
      </w:pPr>
    </w:p>
    <w:p>
      <w:pPr>
        <w:pStyle w:val="ListParagraph"/>
        <w:numPr>
          <w:ilvl w:val="0"/>
          <w:numId w:val="242"/>
        </w:numPr>
        <w:tabs>
          <w:tab w:pos="739" w:val="left" w:leader="none"/>
        </w:tabs>
        <w:spacing w:line="244" w:lineRule="auto" w:before="0" w:after="0"/>
        <w:ind w:left="150" w:right="2787" w:firstLine="397"/>
        <w:jc w:val="both"/>
        <w:rPr>
          <w:sz w:val="15"/>
        </w:rPr>
      </w:pPr>
      <w:r>
        <w:rPr>
          <w:sz w:val="15"/>
        </w:rPr>
        <w:t>Falta de placa de identificación en anuncios estructurales, de uno a tres tantos del costo de la licencia y corrección en un plazo no mayor de 30 días;</w:t>
      </w:r>
    </w:p>
    <w:p>
      <w:pPr>
        <w:pStyle w:val="BodyText"/>
        <w:spacing w:before="1"/>
        <w:rPr>
          <w:sz w:val="19"/>
        </w:rPr>
      </w:pPr>
    </w:p>
    <w:p>
      <w:pPr>
        <w:pStyle w:val="ListParagraph"/>
        <w:numPr>
          <w:ilvl w:val="0"/>
          <w:numId w:val="241"/>
        </w:numPr>
        <w:tabs>
          <w:tab w:pos="769" w:val="left" w:leader="none"/>
        </w:tabs>
        <w:spacing w:line="244" w:lineRule="auto" w:before="0" w:after="0"/>
        <w:ind w:left="150" w:right="2787" w:firstLine="397"/>
        <w:jc w:val="both"/>
        <w:rPr>
          <w:sz w:val="15"/>
        </w:rPr>
      </w:pPr>
      <w:r>
        <w:rPr>
          <w:sz w:val="15"/>
        </w:rPr>
        <w:t>Por instalar anuncios en lugares prohibidos de uno a tres tantos del costo de los derechos omitidos y el retiro forzoso en un plazo no mayor a 30 días;</w:t>
      </w:r>
    </w:p>
    <w:p>
      <w:pPr>
        <w:pStyle w:val="BodyText"/>
        <w:spacing w:before="6"/>
        <w:rPr>
          <w:sz w:val="22"/>
        </w:rPr>
      </w:pPr>
    </w:p>
    <w:p>
      <w:pPr>
        <w:pStyle w:val="ListParagraph"/>
        <w:numPr>
          <w:ilvl w:val="0"/>
          <w:numId w:val="241"/>
        </w:numPr>
        <w:tabs>
          <w:tab w:pos="799" w:val="left" w:leader="none"/>
        </w:tabs>
        <w:spacing w:line="247" w:lineRule="auto" w:before="0" w:after="0"/>
        <w:ind w:left="150" w:right="2787" w:firstLine="397"/>
        <w:jc w:val="both"/>
        <w:rPr>
          <w:sz w:val="15"/>
        </w:rPr>
      </w:pPr>
      <w:r>
        <w:rPr>
          <w:sz w:val="15"/>
        </w:rPr>
        <w:t>Por tener publicidad prohibida en contravención al reglamento u Ordenamiento Municipal,</w:t>
      </w:r>
      <w:r>
        <w:rPr>
          <w:spacing w:val="3"/>
          <w:sz w:val="15"/>
        </w:rPr>
        <w:t> </w:t>
      </w:r>
      <w:r>
        <w:rPr>
          <w:sz w:val="15"/>
        </w:rPr>
        <w:t>de:</w:t>
      </w:r>
    </w:p>
    <w:p>
      <w:pPr>
        <w:pStyle w:val="BodyText"/>
        <w:spacing w:line="172" w:lineRule="exact"/>
        <w:ind w:left="2478"/>
      </w:pPr>
      <w:r>
        <w:rPr/>
        <w:t>9 a 26 unidades de medida y actualización;</w:t>
      </w:r>
    </w:p>
    <w:p>
      <w:pPr>
        <w:pStyle w:val="BodyText"/>
        <w:spacing w:before="7"/>
        <w:rPr>
          <w:sz w:val="22"/>
        </w:rPr>
      </w:pPr>
    </w:p>
    <w:p>
      <w:pPr>
        <w:pStyle w:val="ListParagraph"/>
        <w:numPr>
          <w:ilvl w:val="0"/>
          <w:numId w:val="241"/>
        </w:numPr>
        <w:tabs>
          <w:tab w:pos="738" w:val="left" w:leader="none"/>
        </w:tabs>
        <w:spacing w:line="247" w:lineRule="auto" w:before="0" w:after="0"/>
        <w:ind w:left="150" w:right="2788" w:firstLine="397"/>
        <w:jc w:val="both"/>
        <w:rPr>
          <w:sz w:val="15"/>
        </w:rPr>
      </w:pPr>
      <w:r>
        <w:rPr>
          <w:sz w:val="15"/>
        </w:rPr>
        <w:t>Por repartir volantes o propaganda en la vía pública sin el permiso correspondiente,</w:t>
      </w:r>
      <w:r>
        <w:rPr>
          <w:spacing w:val="1"/>
          <w:sz w:val="15"/>
        </w:rPr>
        <w:t> </w:t>
      </w:r>
      <w:r>
        <w:rPr>
          <w:sz w:val="15"/>
        </w:rPr>
        <w:t>de:</w:t>
      </w:r>
    </w:p>
    <w:p>
      <w:pPr>
        <w:pStyle w:val="BodyText"/>
        <w:spacing w:line="171" w:lineRule="exact"/>
        <w:ind w:left="2564"/>
      </w:pPr>
      <w:r>
        <w:rPr/>
        <w:t>3 a 8 unidades de medida y actualización;</w:t>
      </w:r>
    </w:p>
    <w:p>
      <w:pPr>
        <w:pStyle w:val="BodyText"/>
        <w:spacing w:before="7"/>
        <w:rPr>
          <w:sz w:val="22"/>
        </w:rPr>
      </w:pPr>
    </w:p>
    <w:p>
      <w:pPr>
        <w:pStyle w:val="ListParagraph"/>
        <w:numPr>
          <w:ilvl w:val="0"/>
          <w:numId w:val="241"/>
        </w:numPr>
        <w:tabs>
          <w:tab w:pos="780" w:val="left" w:leader="none"/>
        </w:tabs>
        <w:spacing w:line="240" w:lineRule="auto" w:before="0" w:after="0"/>
        <w:ind w:left="779" w:right="0" w:hanging="232"/>
        <w:jc w:val="left"/>
        <w:rPr>
          <w:sz w:val="15"/>
        </w:rPr>
      </w:pPr>
      <w:r>
        <w:rPr>
          <w:sz w:val="15"/>
        </w:rPr>
        <w:t>Por colocar anuncios en espacios</w:t>
      </w:r>
      <w:r>
        <w:rPr>
          <w:spacing w:val="8"/>
          <w:sz w:val="15"/>
        </w:rPr>
        <w:t> </w:t>
      </w:r>
      <w:r>
        <w:rPr>
          <w:sz w:val="15"/>
        </w:rPr>
        <w:t>prohibidos:</w:t>
      </w:r>
    </w:p>
    <w:p>
      <w:pPr>
        <w:spacing w:after="0" w:line="240" w:lineRule="auto"/>
        <w:jc w:val="left"/>
        <w:rPr>
          <w:sz w:val="15"/>
        </w:rPr>
        <w:sectPr>
          <w:type w:val="continuous"/>
          <w:pgSz w:w="23250" w:h="15310" w:orient="landscape"/>
          <w:pgMar w:top="0" w:bottom="0" w:left="1880" w:right="1520"/>
          <w:cols w:num="2" w:equalWidth="0">
            <w:col w:w="5473" w:space="6150"/>
            <w:col w:w="8227"/>
          </w:cols>
        </w:sectPr>
      </w:pPr>
    </w:p>
    <w:p>
      <w:pPr>
        <w:pStyle w:val="BodyText"/>
        <w:rPr>
          <w:sz w:val="20"/>
        </w:rPr>
      </w:pPr>
    </w:p>
    <w:p>
      <w:pPr>
        <w:pStyle w:val="BodyText"/>
        <w:rPr>
          <w:sz w:val="20"/>
        </w:rPr>
      </w:pPr>
    </w:p>
    <w:p>
      <w:pPr>
        <w:spacing w:after="0"/>
        <w:rPr>
          <w:sz w:val="20"/>
        </w:rPr>
        <w:sectPr>
          <w:headerReference w:type="default" r:id="rId130"/>
          <w:pgSz w:w="23250" w:h="15310" w:orient="landscape"/>
          <w:pgMar w:header="881" w:footer="499" w:top="1920" w:bottom="680" w:left="1880" w:right="1520"/>
        </w:sectPr>
      </w:pPr>
    </w:p>
    <w:p>
      <w:pPr>
        <w:pStyle w:val="BodyText"/>
        <w:rPr>
          <w:sz w:val="16"/>
        </w:rPr>
      </w:pPr>
    </w:p>
    <w:p>
      <w:pPr>
        <w:pStyle w:val="BodyText"/>
        <w:spacing w:before="8"/>
        <w:rPr>
          <w:sz w:val="22"/>
        </w:rPr>
      </w:pPr>
    </w:p>
    <w:p>
      <w:pPr>
        <w:pStyle w:val="ListParagraph"/>
        <w:numPr>
          <w:ilvl w:val="0"/>
          <w:numId w:val="243"/>
        </w:numPr>
        <w:tabs>
          <w:tab w:pos="749" w:val="left" w:leader="none"/>
        </w:tabs>
        <w:spacing w:line="247" w:lineRule="auto" w:before="0" w:after="0"/>
        <w:ind w:left="151" w:right="40" w:firstLine="397"/>
        <w:jc w:val="both"/>
        <w:rPr>
          <w:sz w:val="15"/>
        </w:rPr>
      </w:pPr>
      <w:r>
        <w:rPr>
          <w:sz w:val="15"/>
        </w:rPr>
        <w:t>Por instalarlo en la vía pública o en espacios prohibidos de  uno a  tres</w:t>
      </w:r>
      <w:r>
        <w:rPr>
          <w:spacing w:val="6"/>
          <w:sz w:val="15"/>
        </w:rPr>
        <w:t> </w:t>
      </w:r>
      <w:r>
        <w:rPr>
          <w:sz w:val="15"/>
        </w:rPr>
        <w:t>tantos</w:t>
      </w:r>
      <w:r>
        <w:rPr>
          <w:spacing w:val="6"/>
          <w:sz w:val="15"/>
        </w:rPr>
        <w:t> </w:t>
      </w:r>
      <w:r>
        <w:rPr>
          <w:sz w:val="15"/>
        </w:rPr>
        <w:t>del</w:t>
      </w:r>
      <w:r>
        <w:rPr>
          <w:spacing w:val="7"/>
          <w:sz w:val="15"/>
        </w:rPr>
        <w:t> </w:t>
      </w:r>
      <w:r>
        <w:rPr>
          <w:sz w:val="15"/>
        </w:rPr>
        <w:t>costo</w:t>
      </w:r>
      <w:r>
        <w:rPr>
          <w:spacing w:val="6"/>
          <w:sz w:val="15"/>
        </w:rPr>
        <w:t> </w:t>
      </w:r>
      <w:r>
        <w:rPr>
          <w:sz w:val="15"/>
        </w:rPr>
        <w:t>de</w:t>
      </w:r>
      <w:r>
        <w:rPr>
          <w:spacing w:val="5"/>
          <w:sz w:val="15"/>
        </w:rPr>
        <w:t> </w:t>
      </w:r>
      <w:r>
        <w:rPr>
          <w:sz w:val="15"/>
        </w:rPr>
        <w:t>la</w:t>
      </w:r>
      <w:r>
        <w:rPr>
          <w:spacing w:val="7"/>
          <w:sz w:val="15"/>
        </w:rPr>
        <w:t> </w:t>
      </w:r>
      <w:r>
        <w:rPr>
          <w:sz w:val="15"/>
        </w:rPr>
        <w:t>licencia</w:t>
      </w:r>
      <w:r>
        <w:rPr>
          <w:spacing w:val="6"/>
          <w:sz w:val="15"/>
        </w:rPr>
        <w:t> </w:t>
      </w:r>
      <w:r>
        <w:rPr>
          <w:sz w:val="15"/>
        </w:rPr>
        <w:t>y</w:t>
      </w:r>
      <w:r>
        <w:rPr>
          <w:spacing w:val="6"/>
          <w:sz w:val="15"/>
        </w:rPr>
        <w:t> </w:t>
      </w:r>
      <w:r>
        <w:rPr>
          <w:sz w:val="15"/>
        </w:rPr>
        <w:t>retiro</w:t>
      </w:r>
      <w:r>
        <w:rPr>
          <w:spacing w:val="7"/>
          <w:sz w:val="15"/>
        </w:rPr>
        <w:t> </w:t>
      </w:r>
      <w:r>
        <w:rPr>
          <w:sz w:val="15"/>
        </w:rPr>
        <w:t>en</w:t>
      </w:r>
      <w:r>
        <w:rPr>
          <w:spacing w:val="6"/>
          <w:sz w:val="15"/>
        </w:rPr>
        <w:t> </w:t>
      </w:r>
      <w:r>
        <w:rPr>
          <w:sz w:val="15"/>
        </w:rPr>
        <w:t>un</w:t>
      </w:r>
      <w:r>
        <w:rPr>
          <w:spacing w:val="6"/>
          <w:sz w:val="15"/>
        </w:rPr>
        <w:t> </w:t>
      </w:r>
      <w:r>
        <w:rPr>
          <w:sz w:val="15"/>
        </w:rPr>
        <w:t>plazo</w:t>
      </w:r>
      <w:r>
        <w:rPr>
          <w:spacing w:val="7"/>
          <w:sz w:val="15"/>
        </w:rPr>
        <w:t> </w:t>
      </w:r>
      <w:r>
        <w:rPr>
          <w:sz w:val="15"/>
        </w:rPr>
        <w:t>no</w:t>
      </w:r>
      <w:r>
        <w:rPr>
          <w:spacing w:val="6"/>
          <w:sz w:val="15"/>
        </w:rPr>
        <w:t> </w:t>
      </w:r>
      <w:r>
        <w:rPr>
          <w:sz w:val="15"/>
        </w:rPr>
        <w:t>mayor</w:t>
      </w:r>
      <w:r>
        <w:rPr>
          <w:spacing w:val="7"/>
          <w:sz w:val="15"/>
        </w:rPr>
        <w:t> </w:t>
      </w:r>
      <w:r>
        <w:rPr>
          <w:sz w:val="15"/>
        </w:rPr>
        <w:t>de</w:t>
      </w:r>
      <w:r>
        <w:rPr>
          <w:spacing w:val="6"/>
          <w:sz w:val="15"/>
        </w:rPr>
        <w:t> </w:t>
      </w:r>
      <w:r>
        <w:rPr>
          <w:sz w:val="15"/>
        </w:rPr>
        <w:t>30</w:t>
      </w:r>
      <w:r>
        <w:rPr>
          <w:spacing w:val="6"/>
          <w:sz w:val="15"/>
        </w:rPr>
        <w:t> </w:t>
      </w:r>
      <w:r>
        <w:rPr>
          <w:sz w:val="15"/>
        </w:rPr>
        <w:t>días;</w:t>
      </w:r>
    </w:p>
    <w:p>
      <w:pPr>
        <w:pStyle w:val="ListParagraph"/>
        <w:numPr>
          <w:ilvl w:val="0"/>
          <w:numId w:val="243"/>
        </w:numPr>
        <w:tabs>
          <w:tab w:pos="771" w:val="left" w:leader="none"/>
        </w:tabs>
        <w:spacing w:line="247" w:lineRule="auto" w:before="38" w:after="0"/>
        <w:ind w:left="151" w:right="38" w:firstLine="397"/>
        <w:jc w:val="both"/>
        <w:rPr>
          <w:sz w:val="15"/>
        </w:rPr>
      </w:pPr>
      <w:r>
        <w:rPr>
          <w:sz w:val="15"/>
        </w:rPr>
        <w:t>Excedencia de superficie de uno a tres tantos de los derechos omitidos y adecuación en un plazo no mayor de 30</w:t>
      </w:r>
      <w:r>
        <w:rPr>
          <w:spacing w:val="29"/>
          <w:sz w:val="15"/>
        </w:rPr>
        <w:t> </w:t>
      </w:r>
      <w:r>
        <w:rPr>
          <w:sz w:val="15"/>
        </w:rPr>
        <w:t>días;</w:t>
      </w:r>
    </w:p>
    <w:p>
      <w:pPr>
        <w:pStyle w:val="BodyText"/>
        <w:spacing w:before="1"/>
        <w:rPr>
          <w:sz w:val="22"/>
        </w:rPr>
      </w:pPr>
    </w:p>
    <w:p>
      <w:pPr>
        <w:pStyle w:val="ListParagraph"/>
        <w:numPr>
          <w:ilvl w:val="0"/>
          <w:numId w:val="241"/>
        </w:numPr>
        <w:tabs>
          <w:tab w:pos="837" w:val="left" w:leader="none"/>
        </w:tabs>
        <w:spacing w:line="247" w:lineRule="auto" w:before="0" w:after="0"/>
        <w:ind w:left="151" w:right="40" w:firstLine="397"/>
        <w:jc w:val="both"/>
        <w:rPr>
          <w:sz w:val="15"/>
        </w:rPr>
      </w:pPr>
      <w:r>
        <w:rPr>
          <w:sz w:val="15"/>
        </w:rPr>
        <w:t>Por no acreditar la adquisición del seguro de responsabilidad civil por los daños que pudieran causar los anuncios estructurales, semiestructurales</w:t>
      </w:r>
      <w:r>
        <w:rPr>
          <w:spacing w:val="4"/>
          <w:sz w:val="15"/>
        </w:rPr>
        <w:t> </w:t>
      </w:r>
      <w:r>
        <w:rPr>
          <w:sz w:val="15"/>
        </w:rPr>
        <w:t>o</w:t>
      </w:r>
      <w:r>
        <w:rPr>
          <w:spacing w:val="5"/>
          <w:sz w:val="15"/>
        </w:rPr>
        <w:t> </w:t>
      </w:r>
      <w:r>
        <w:rPr>
          <w:sz w:val="15"/>
        </w:rPr>
        <w:t>especiales</w:t>
      </w:r>
      <w:r>
        <w:rPr>
          <w:spacing w:val="5"/>
          <w:sz w:val="15"/>
        </w:rPr>
        <w:t> </w:t>
      </w:r>
      <w:r>
        <w:rPr>
          <w:sz w:val="15"/>
        </w:rPr>
        <w:t>de</w:t>
      </w:r>
      <w:r>
        <w:rPr>
          <w:spacing w:val="4"/>
          <w:sz w:val="15"/>
        </w:rPr>
        <w:t> </w:t>
      </w:r>
      <w:r>
        <w:rPr>
          <w:sz w:val="15"/>
        </w:rPr>
        <w:t>1</w:t>
      </w:r>
      <w:r>
        <w:rPr>
          <w:spacing w:val="4"/>
          <w:sz w:val="15"/>
        </w:rPr>
        <w:t> </w:t>
      </w:r>
      <w:r>
        <w:rPr>
          <w:sz w:val="15"/>
        </w:rPr>
        <w:t>a</w:t>
      </w:r>
      <w:r>
        <w:rPr>
          <w:spacing w:val="5"/>
          <w:sz w:val="15"/>
        </w:rPr>
        <w:t> </w:t>
      </w:r>
      <w:r>
        <w:rPr>
          <w:sz w:val="15"/>
        </w:rPr>
        <w:t>3</w:t>
      </w:r>
      <w:r>
        <w:rPr>
          <w:spacing w:val="5"/>
          <w:sz w:val="15"/>
        </w:rPr>
        <w:t> </w:t>
      </w:r>
      <w:r>
        <w:rPr>
          <w:sz w:val="15"/>
        </w:rPr>
        <w:t>tantos</w:t>
      </w:r>
      <w:r>
        <w:rPr>
          <w:spacing w:val="5"/>
          <w:sz w:val="15"/>
        </w:rPr>
        <w:t> </w:t>
      </w:r>
      <w:r>
        <w:rPr>
          <w:sz w:val="15"/>
        </w:rPr>
        <w:t>del</w:t>
      </w:r>
      <w:r>
        <w:rPr>
          <w:spacing w:val="5"/>
          <w:sz w:val="15"/>
        </w:rPr>
        <w:t> </w:t>
      </w:r>
      <w:r>
        <w:rPr>
          <w:sz w:val="15"/>
        </w:rPr>
        <w:t>valor</w:t>
      </w:r>
      <w:r>
        <w:rPr>
          <w:spacing w:val="5"/>
          <w:sz w:val="15"/>
        </w:rPr>
        <w:t> </w:t>
      </w:r>
      <w:r>
        <w:rPr>
          <w:sz w:val="15"/>
        </w:rPr>
        <w:t>de</w:t>
      </w:r>
      <w:r>
        <w:rPr>
          <w:spacing w:val="5"/>
          <w:sz w:val="15"/>
        </w:rPr>
        <w:t> </w:t>
      </w:r>
      <w:r>
        <w:rPr>
          <w:sz w:val="15"/>
        </w:rPr>
        <w:t>la</w:t>
      </w:r>
      <w:r>
        <w:rPr>
          <w:spacing w:val="7"/>
          <w:sz w:val="15"/>
        </w:rPr>
        <w:t> </w:t>
      </w:r>
      <w:r>
        <w:rPr>
          <w:sz w:val="15"/>
        </w:rPr>
        <w:t>licencia;</w:t>
      </w:r>
    </w:p>
    <w:p>
      <w:pPr>
        <w:pStyle w:val="BodyText"/>
        <w:rPr>
          <w:sz w:val="22"/>
        </w:rPr>
      </w:pPr>
    </w:p>
    <w:p>
      <w:pPr>
        <w:pStyle w:val="ListParagraph"/>
        <w:numPr>
          <w:ilvl w:val="0"/>
          <w:numId w:val="241"/>
        </w:numPr>
        <w:tabs>
          <w:tab w:pos="876" w:val="left" w:leader="none"/>
        </w:tabs>
        <w:spacing w:line="247" w:lineRule="auto" w:before="1" w:after="0"/>
        <w:ind w:left="151" w:right="38" w:firstLine="397"/>
        <w:jc w:val="both"/>
        <w:rPr>
          <w:sz w:val="15"/>
        </w:rPr>
      </w:pPr>
      <w:r>
        <w:rPr>
          <w:sz w:val="15"/>
        </w:rPr>
        <w:t>Por poner en peligro con la ubicación del anuncio, dimensiones o material empleado en su construcción o instalación, la vida o la integridad física de las personas o la seguridad de los bienes de terrenos; así como,     por la falta de la memoria de cálculo estructural, de 1 a 3 tantos del valor de   la</w:t>
      </w:r>
      <w:r>
        <w:rPr>
          <w:spacing w:val="1"/>
          <w:sz w:val="15"/>
        </w:rPr>
        <w:t> </w:t>
      </w:r>
      <w:r>
        <w:rPr>
          <w:sz w:val="15"/>
        </w:rPr>
        <w:t>licencia;</w:t>
      </w:r>
    </w:p>
    <w:p>
      <w:pPr>
        <w:pStyle w:val="BodyText"/>
        <w:rPr>
          <w:sz w:val="22"/>
        </w:rPr>
      </w:pPr>
    </w:p>
    <w:p>
      <w:pPr>
        <w:pStyle w:val="ListParagraph"/>
        <w:numPr>
          <w:ilvl w:val="0"/>
          <w:numId w:val="241"/>
        </w:numPr>
        <w:tabs>
          <w:tab w:pos="784" w:val="left" w:leader="none"/>
        </w:tabs>
        <w:spacing w:line="244" w:lineRule="auto" w:before="0" w:after="0"/>
        <w:ind w:left="151" w:right="38" w:firstLine="397"/>
        <w:jc w:val="both"/>
        <w:rPr>
          <w:sz w:val="15"/>
        </w:rPr>
      </w:pPr>
      <w:r>
        <w:rPr>
          <w:sz w:val="15"/>
        </w:rPr>
        <w:t>Por no contar con bitácora de mantenimiento que evidencie el buen estado físico y operativo de los anuncios y sus estructuras, por lo menos    cada seis meses, de 1 a 3 tantos del valor de la</w:t>
      </w:r>
      <w:r>
        <w:rPr>
          <w:spacing w:val="31"/>
          <w:sz w:val="15"/>
        </w:rPr>
        <w:t> </w:t>
      </w:r>
      <w:r>
        <w:rPr>
          <w:sz w:val="15"/>
        </w:rPr>
        <w:t>licencia;</w:t>
      </w:r>
    </w:p>
    <w:p>
      <w:pPr>
        <w:pStyle w:val="BodyText"/>
        <w:spacing w:before="5"/>
        <w:rPr>
          <w:sz w:val="22"/>
        </w:rPr>
      </w:pPr>
    </w:p>
    <w:p>
      <w:pPr>
        <w:pStyle w:val="ListParagraph"/>
        <w:numPr>
          <w:ilvl w:val="0"/>
          <w:numId w:val="241"/>
        </w:numPr>
        <w:tabs>
          <w:tab w:pos="770" w:val="left" w:leader="none"/>
        </w:tabs>
        <w:spacing w:line="247" w:lineRule="auto" w:before="0" w:after="0"/>
        <w:ind w:left="151" w:right="41" w:firstLine="397"/>
        <w:jc w:val="both"/>
        <w:rPr>
          <w:sz w:val="15"/>
        </w:rPr>
      </w:pPr>
      <w:r>
        <w:rPr>
          <w:sz w:val="15"/>
        </w:rPr>
        <w:t>Por infringir otras disposiciones de este reglamento en forma no prevista en los incisos anteriores,</w:t>
      </w:r>
      <w:r>
        <w:rPr>
          <w:spacing w:val="8"/>
          <w:sz w:val="15"/>
        </w:rPr>
        <w:t> </w:t>
      </w:r>
      <w:r>
        <w:rPr>
          <w:sz w:val="15"/>
        </w:rPr>
        <w:t>de:</w:t>
      </w:r>
    </w:p>
    <w:p>
      <w:pPr>
        <w:pStyle w:val="BodyText"/>
        <w:spacing w:line="172" w:lineRule="exact"/>
        <w:ind w:left="2393"/>
      </w:pPr>
      <w:r>
        <w:rPr/>
        <w:t>12 a 49 unidades de medida y actualización;</w:t>
      </w:r>
    </w:p>
    <w:p>
      <w:pPr>
        <w:pStyle w:val="BodyText"/>
        <w:spacing w:before="7"/>
        <w:rPr>
          <w:sz w:val="22"/>
        </w:rPr>
      </w:pPr>
    </w:p>
    <w:p>
      <w:pPr>
        <w:pStyle w:val="ListParagraph"/>
        <w:numPr>
          <w:ilvl w:val="0"/>
          <w:numId w:val="241"/>
        </w:numPr>
        <w:tabs>
          <w:tab w:pos="793" w:val="left" w:leader="none"/>
          <w:tab w:pos="4609" w:val="left" w:leader="none"/>
        </w:tabs>
        <w:spacing w:line="247" w:lineRule="auto" w:before="0" w:after="0"/>
        <w:ind w:left="151" w:right="39" w:firstLine="397"/>
        <w:jc w:val="both"/>
        <w:rPr>
          <w:sz w:val="15"/>
        </w:rPr>
      </w:pPr>
      <w:r>
        <w:rPr>
          <w:sz w:val="15"/>
        </w:rPr>
        <w:t>Los anuncios estructurales cuyos propietarios, obligados solidarios que no cumplan con los requisitos del reglamento de anuncios y sean instalados en forma irregular, además de cubrir la multa correspondiente  serán retirados por el Municipio, con costo al propietario del anuncio o al obligado solidario, cubriendo lo </w:t>
      </w:r>
      <w:r>
        <w:rPr>
          <w:spacing w:val="9"/>
          <w:sz w:val="15"/>
        </w:rPr>
        <w:t> </w:t>
      </w:r>
      <w:r>
        <w:rPr>
          <w:sz w:val="15"/>
        </w:rPr>
        <w:t>siguiente,</w:t>
      </w:r>
      <w:r>
        <w:rPr>
          <w:spacing w:val="13"/>
          <w:sz w:val="15"/>
        </w:rPr>
        <w:t> </w:t>
      </w:r>
      <w:r>
        <w:rPr>
          <w:sz w:val="15"/>
        </w:rPr>
        <w:t>de:</w:t>
        <w:tab/>
        <w:t>147 a </w:t>
      </w:r>
      <w:r>
        <w:rPr>
          <w:spacing w:val="-5"/>
          <w:sz w:val="15"/>
        </w:rPr>
        <w:t>641 </w:t>
      </w:r>
      <w:r>
        <w:rPr>
          <w:sz w:val="15"/>
        </w:rPr>
        <w:t>unidades de medida y</w:t>
      </w:r>
      <w:r>
        <w:rPr>
          <w:spacing w:val="6"/>
          <w:sz w:val="15"/>
        </w:rPr>
        <w:t> </w:t>
      </w:r>
      <w:r>
        <w:rPr>
          <w:sz w:val="15"/>
        </w:rPr>
        <w:t>actualización;</w:t>
      </w:r>
    </w:p>
    <w:p>
      <w:pPr>
        <w:pStyle w:val="BodyText"/>
        <w:spacing w:before="6"/>
        <w:rPr>
          <w:sz w:val="18"/>
        </w:rPr>
      </w:pPr>
    </w:p>
    <w:p>
      <w:pPr>
        <w:pStyle w:val="ListParagraph"/>
        <w:numPr>
          <w:ilvl w:val="0"/>
          <w:numId w:val="241"/>
        </w:numPr>
        <w:tabs>
          <w:tab w:pos="838" w:val="left" w:leader="none"/>
          <w:tab w:pos="2170" w:val="left" w:leader="none"/>
        </w:tabs>
        <w:spacing w:line="247" w:lineRule="auto" w:before="0" w:after="0"/>
        <w:ind w:left="151" w:right="39" w:firstLine="397"/>
        <w:jc w:val="both"/>
        <w:rPr>
          <w:sz w:val="15"/>
        </w:rPr>
      </w:pPr>
      <w:r>
        <w:rPr>
          <w:sz w:val="15"/>
        </w:rPr>
        <w:t>Por pegar carteles en el mobiliario urbano con cualquier material,  de:</w:t>
        <w:tab/>
        <w:t>37 a 137 unidades de medida y</w:t>
      </w:r>
      <w:r>
        <w:rPr>
          <w:spacing w:val="16"/>
          <w:sz w:val="15"/>
        </w:rPr>
        <w:t> </w:t>
      </w:r>
      <w:r>
        <w:rPr>
          <w:sz w:val="15"/>
        </w:rPr>
        <w:t>actualización;</w:t>
      </w:r>
    </w:p>
    <w:p>
      <w:pPr>
        <w:pStyle w:val="BodyText"/>
        <w:spacing w:before="1"/>
        <w:rPr>
          <w:sz w:val="22"/>
        </w:rPr>
      </w:pPr>
    </w:p>
    <w:p>
      <w:pPr>
        <w:pStyle w:val="ListParagraph"/>
        <w:numPr>
          <w:ilvl w:val="0"/>
          <w:numId w:val="241"/>
        </w:numPr>
        <w:tabs>
          <w:tab w:pos="877" w:val="left" w:leader="none"/>
          <w:tab w:pos="2559" w:val="left" w:leader="none"/>
        </w:tabs>
        <w:spacing w:line="247" w:lineRule="auto" w:before="0" w:after="0"/>
        <w:ind w:left="151" w:right="40" w:firstLine="397"/>
        <w:jc w:val="both"/>
        <w:rPr>
          <w:sz w:val="15"/>
        </w:rPr>
      </w:pPr>
      <w:r>
        <w:rPr>
          <w:sz w:val="15"/>
        </w:rPr>
        <w:t>Por retiro de una lona de clausura posterior al pago de infracción (es):</w:t>
        <w:tab/>
        <w:t>16 unidades de medida y</w:t>
      </w:r>
      <w:r>
        <w:rPr>
          <w:spacing w:val="9"/>
          <w:sz w:val="15"/>
        </w:rPr>
        <w:t> </w:t>
      </w:r>
      <w:r>
        <w:rPr>
          <w:sz w:val="15"/>
        </w:rPr>
        <w:t>actualización;</w:t>
      </w:r>
    </w:p>
    <w:p>
      <w:pPr>
        <w:pStyle w:val="BodyText"/>
        <w:spacing w:before="2"/>
        <w:rPr>
          <w:sz w:val="22"/>
        </w:rPr>
      </w:pPr>
    </w:p>
    <w:p>
      <w:pPr>
        <w:pStyle w:val="ListParagraph"/>
        <w:numPr>
          <w:ilvl w:val="0"/>
          <w:numId w:val="241"/>
        </w:numPr>
        <w:tabs>
          <w:tab w:pos="869" w:val="left" w:leader="none"/>
        </w:tabs>
        <w:spacing w:line="240" w:lineRule="auto" w:before="0" w:after="0"/>
        <w:ind w:left="868" w:right="0" w:hanging="321"/>
        <w:jc w:val="left"/>
        <w:rPr>
          <w:sz w:val="15"/>
        </w:rPr>
      </w:pPr>
      <w:r>
        <w:rPr>
          <w:sz w:val="15"/>
        </w:rPr>
        <w:t>Multa y retiro de una lona en mal</w:t>
      </w:r>
      <w:r>
        <w:rPr>
          <w:spacing w:val="17"/>
          <w:sz w:val="15"/>
        </w:rPr>
        <w:t> </w:t>
      </w:r>
      <w:r>
        <w:rPr>
          <w:sz w:val="15"/>
        </w:rPr>
        <w:t>estado:</w:t>
      </w:r>
    </w:p>
    <w:p>
      <w:pPr>
        <w:pStyle w:val="BodyText"/>
        <w:spacing w:before="4"/>
        <w:ind w:left="2651"/>
      </w:pPr>
      <w:r>
        <w:rPr/>
        <w:t>255 unidades de medida y actualización;</w:t>
      </w:r>
    </w:p>
    <w:p>
      <w:pPr>
        <w:pStyle w:val="BodyText"/>
        <w:spacing w:before="7"/>
        <w:rPr>
          <w:sz w:val="22"/>
        </w:rPr>
      </w:pPr>
    </w:p>
    <w:p>
      <w:pPr>
        <w:pStyle w:val="ListParagraph"/>
        <w:numPr>
          <w:ilvl w:val="0"/>
          <w:numId w:val="241"/>
        </w:numPr>
        <w:tabs>
          <w:tab w:pos="832" w:val="left" w:leader="none"/>
        </w:tabs>
        <w:spacing w:line="244" w:lineRule="auto" w:before="1" w:after="0"/>
        <w:ind w:left="151" w:right="39" w:firstLine="397"/>
        <w:jc w:val="both"/>
        <w:rPr>
          <w:sz w:val="15"/>
        </w:rPr>
      </w:pPr>
      <w:r>
        <w:rPr>
          <w:sz w:val="15"/>
        </w:rPr>
        <w:t>Multa y  retiro de un anuncio estructural unipolar poste mayor a 18”  o cartelera de piso (96 mts2 por cara o</w:t>
      </w:r>
      <w:r>
        <w:rPr>
          <w:spacing w:val="16"/>
          <w:sz w:val="15"/>
        </w:rPr>
        <w:t> </w:t>
      </w:r>
      <w:r>
        <w:rPr>
          <w:sz w:val="15"/>
        </w:rPr>
        <w:t>más):</w:t>
      </w:r>
    </w:p>
    <w:p>
      <w:pPr>
        <w:pStyle w:val="BodyText"/>
        <w:spacing w:before="1"/>
        <w:ind w:left="2521"/>
      </w:pPr>
      <w:r>
        <w:rPr/>
        <w:t>1,303 unidades de medida y actualización;</w:t>
      </w:r>
    </w:p>
    <w:p>
      <w:pPr>
        <w:pStyle w:val="BodyText"/>
        <w:spacing w:before="7"/>
        <w:rPr>
          <w:sz w:val="22"/>
        </w:rPr>
      </w:pPr>
    </w:p>
    <w:p>
      <w:pPr>
        <w:pStyle w:val="ListParagraph"/>
        <w:numPr>
          <w:ilvl w:val="0"/>
          <w:numId w:val="241"/>
        </w:numPr>
        <w:tabs>
          <w:tab w:pos="883" w:val="left" w:leader="none"/>
        </w:tabs>
        <w:spacing w:line="240" w:lineRule="auto" w:before="0" w:after="0"/>
        <w:ind w:left="882" w:right="0" w:hanging="335"/>
        <w:jc w:val="left"/>
        <w:rPr>
          <w:sz w:val="15"/>
        </w:rPr>
      </w:pPr>
      <w:r>
        <w:rPr>
          <w:sz w:val="15"/>
        </w:rPr>
        <w:t>Multa y retiro de un anuncio</w:t>
      </w:r>
      <w:r>
        <w:rPr>
          <w:spacing w:val="14"/>
          <w:sz w:val="15"/>
        </w:rPr>
        <w:t> </w:t>
      </w:r>
      <w:r>
        <w:rPr>
          <w:sz w:val="15"/>
        </w:rPr>
        <w:t>semiestructural:</w:t>
      </w:r>
    </w:p>
    <w:p>
      <w:pPr>
        <w:pStyle w:val="BodyText"/>
        <w:spacing w:before="5"/>
        <w:ind w:left="2649"/>
      </w:pPr>
      <w:r>
        <w:rPr/>
        <w:t>253 unidades de medida y actualización;</w:t>
      </w:r>
    </w:p>
    <w:p>
      <w:pPr>
        <w:pStyle w:val="BodyText"/>
        <w:spacing w:before="7"/>
        <w:rPr>
          <w:sz w:val="22"/>
        </w:rPr>
      </w:pPr>
    </w:p>
    <w:p>
      <w:pPr>
        <w:pStyle w:val="ListParagraph"/>
        <w:numPr>
          <w:ilvl w:val="0"/>
          <w:numId w:val="241"/>
        </w:numPr>
        <w:tabs>
          <w:tab w:pos="932" w:val="left" w:leader="none"/>
        </w:tabs>
        <w:spacing w:line="247" w:lineRule="auto" w:before="0" w:after="0"/>
        <w:ind w:left="151" w:right="39" w:firstLine="397"/>
        <w:jc w:val="both"/>
        <w:rPr>
          <w:sz w:val="15"/>
        </w:rPr>
      </w:pPr>
      <w:r>
        <w:rPr>
          <w:sz w:val="15"/>
        </w:rPr>
        <w:t>Por violar sellos al retirar o bajar el particular por sus medios la o las lonas de clausura sin previa autorización de la autoridad municipal, de 1     a 3 tantos del valor de la</w:t>
      </w:r>
      <w:r>
        <w:rPr>
          <w:spacing w:val="11"/>
          <w:sz w:val="15"/>
        </w:rPr>
        <w:t> </w:t>
      </w:r>
      <w:r>
        <w:rPr>
          <w:sz w:val="15"/>
        </w:rPr>
        <w:t>licencia.</w:t>
      </w:r>
    </w:p>
    <w:p>
      <w:pPr>
        <w:pStyle w:val="BodyText"/>
        <w:spacing w:before="9"/>
        <w:rPr>
          <w:sz w:val="19"/>
        </w:rPr>
      </w:pPr>
      <w:r>
        <w:rPr/>
        <w:br w:type="column"/>
      </w:r>
      <w:r>
        <w:rPr>
          <w:sz w:val="19"/>
        </w:rPr>
      </w:r>
    </w:p>
    <w:p>
      <w:pPr>
        <w:spacing w:line="247" w:lineRule="auto" w:before="0"/>
        <w:ind w:left="151" w:right="2849" w:firstLine="423"/>
        <w:jc w:val="left"/>
        <w:rPr>
          <w:sz w:val="15"/>
        </w:rPr>
      </w:pPr>
      <w:r>
        <w:rPr>
          <w:b/>
          <w:sz w:val="15"/>
        </w:rPr>
        <w:t>Artículo 150.- </w:t>
      </w:r>
      <w:r>
        <w:rPr>
          <w:sz w:val="15"/>
        </w:rPr>
        <w:t>Por violaciones a las disposiciones en materia de comercio:</w:t>
      </w:r>
    </w:p>
    <w:p>
      <w:pPr>
        <w:pStyle w:val="BodyText"/>
        <w:spacing w:before="1"/>
        <w:rPr>
          <w:sz w:val="22"/>
        </w:rPr>
      </w:pPr>
    </w:p>
    <w:p>
      <w:pPr>
        <w:pStyle w:val="ListParagraph"/>
        <w:numPr>
          <w:ilvl w:val="0"/>
          <w:numId w:val="244"/>
        </w:numPr>
        <w:tabs>
          <w:tab w:pos="730" w:val="left" w:leader="none"/>
        </w:tabs>
        <w:spacing w:line="247" w:lineRule="auto" w:before="1" w:after="0"/>
        <w:ind w:left="151" w:right="4354" w:firstLine="397"/>
        <w:jc w:val="left"/>
        <w:rPr>
          <w:sz w:val="15"/>
        </w:rPr>
      </w:pPr>
      <w:r>
        <w:rPr>
          <w:sz w:val="15"/>
        </w:rPr>
        <w:t>No haber presentado aviso a la autoridad municipal</w:t>
      </w:r>
      <w:r>
        <w:rPr>
          <w:spacing w:val="1"/>
          <w:sz w:val="15"/>
        </w:rPr>
        <w:t> </w:t>
      </w:r>
      <w:r>
        <w:rPr>
          <w:sz w:val="15"/>
        </w:rPr>
        <w:t>sobre:</w:t>
      </w:r>
    </w:p>
    <w:p>
      <w:pPr>
        <w:pStyle w:val="BodyText"/>
        <w:spacing w:before="1"/>
        <w:rPr>
          <w:sz w:val="22"/>
        </w:rPr>
      </w:pPr>
    </w:p>
    <w:p>
      <w:pPr>
        <w:pStyle w:val="ListParagraph"/>
        <w:numPr>
          <w:ilvl w:val="0"/>
          <w:numId w:val="245"/>
        </w:numPr>
        <w:tabs>
          <w:tab w:pos="725" w:val="left" w:leader="none"/>
        </w:tabs>
        <w:spacing w:line="247" w:lineRule="auto" w:before="0" w:after="0"/>
        <w:ind w:left="151" w:right="2787" w:firstLine="397"/>
        <w:jc w:val="left"/>
        <w:rPr>
          <w:sz w:val="15"/>
        </w:rPr>
      </w:pPr>
      <w:r>
        <w:rPr>
          <w:sz w:val="15"/>
        </w:rPr>
        <w:t>Aumento o modificación del giro(s) autorizado mediante una licencia municipal o acuerdo administrativo emitido para tal efecto</w:t>
      </w:r>
      <w:r>
        <w:rPr>
          <w:spacing w:val="27"/>
          <w:sz w:val="15"/>
        </w:rPr>
        <w:t> </w:t>
      </w:r>
      <w:r>
        <w:rPr>
          <w:sz w:val="15"/>
        </w:rPr>
        <w:t>de:</w:t>
      </w:r>
    </w:p>
    <w:p>
      <w:pPr>
        <w:pStyle w:val="BodyText"/>
        <w:spacing w:line="172" w:lineRule="exact"/>
        <w:ind w:left="2478"/>
      </w:pPr>
      <w:r>
        <w:rPr/>
        <w:t>7 a 35 unidades de medida y actualización;</w:t>
      </w:r>
    </w:p>
    <w:p>
      <w:pPr>
        <w:pStyle w:val="BodyText"/>
        <w:spacing w:before="2"/>
        <w:rPr>
          <w:sz w:val="19"/>
        </w:rPr>
      </w:pPr>
    </w:p>
    <w:p>
      <w:pPr>
        <w:pStyle w:val="ListParagraph"/>
        <w:numPr>
          <w:ilvl w:val="0"/>
          <w:numId w:val="245"/>
        </w:numPr>
        <w:tabs>
          <w:tab w:pos="761" w:val="left" w:leader="none"/>
          <w:tab w:pos="2298" w:val="left" w:leader="none"/>
        </w:tabs>
        <w:spacing w:line="244" w:lineRule="auto" w:before="0" w:after="0"/>
        <w:ind w:left="151" w:right="2786" w:firstLine="397"/>
        <w:jc w:val="both"/>
        <w:rPr>
          <w:sz w:val="15"/>
        </w:rPr>
      </w:pPr>
      <w:r>
        <w:rPr>
          <w:sz w:val="15"/>
        </w:rPr>
        <w:t>El aumento, reducción o modificación de la ubicación, linderos o dimensiones del establecimiento autorizado mediante  una  Licencia  Municipal,</w:t>
      </w:r>
      <w:r>
        <w:rPr>
          <w:spacing w:val="15"/>
          <w:sz w:val="15"/>
        </w:rPr>
        <w:t> </w:t>
      </w:r>
      <w:r>
        <w:rPr>
          <w:sz w:val="15"/>
        </w:rPr>
        <w:t>de:</w:t>
        <w:tab/>
        <w:t>7 a 20 unidades de medida y</w:t>
      </w:r>
      <w:r>
        <w:rPr>
          <w:spacing w:val="1"/>
          <w:sz w:val="15"/>
        </w:rPr>
        <w:t> </w:t>
      </w:r>
      <w:r>
        <w:rPr>
          <w:sz w:val="15"/>
        </w:rPr>
        <w:t>actualización;</w:t>
      </w:r>
    </w:p>
    <w:p>
      <w:pPr>
        <w:pStyle w:val="BodyText"/>
        <w:spacing w:before="1"/>
        <w:rPr>
          <w:sz w:val="19"/>
        </w:rPr>
      </w:pPr>
    </w:p>
    <w:p>
      <w:pPr>
        <w:pStyle w:val="ListParagraph"/>
        <w:numPr>
          <w:ilvl w:val="0"/>
          <w:numId w:val="245"/>
        </w:numPr>
        <w:tabs>
          <w:tab w:pos="794" w:val="left" w:leader="none"/>
        </w:tabs>
        <w:spacing w:line="244" w:lineRule="auto" w:before="1" w:after="0"/>
        <w:ind w:left="151" w:right="2787" w:firstLine="397"/>
        <w:jc w:val="both"/>
        <w:rPr>
          <w:sz w:val="15"/>
        </w:rPr>
      </w:pPr>
      <w:r>
        <w:rPr>
          <w:sz w:val="15"/>
        </w:rPr>
        <w:t>El cambio de propietario o administrador del establecimiento autorizado con una Licencia Municipal, incluyendo en aquel el cambio de denominación o razón social de personas morales,</w:t>
      </w:r>
      <w:r>
        <w:rPr>
          <w:spacing w:val="20"/>
          <w:sz w:val="15"/>
        </w:rPr>
        <w:t> </w:t>
      </w:r>
      <w:r>
        <w:rPr>
          <w:sz w:val="15"/>
        </w:rPr>
        <w:t>de:</w:t>
      </w:r>
    </w:p>
    <w:p>
      <w:pPr>
        <w:pStyle w:val="BodyText"/>
        <w:spacing w:before="3"/>
        <w:ind w:left="2478"/>
        <w:jc w:val="both"/>
      </w:pPr>
      <w:r>
        <w:rPr/>
        <w:t>7 a 20 unidades de medida y actualización;</w:t>
      </w:r>
    </w:p>
    <w:p>
      <w:pPr>
        <w:pStyle w:val="BodyText"/>
        <w:spacing w:before="1"/>
        <w:rPr>
          <w:sz w:val="19"/>
        </w:rPr>
      </w:pPr>
    </w:p>
    <w:p>
      <w:pPr>
        <w:pStyle w:val="ListParagraph"/>
        <w:numPr>
          <w:ilvl w:val="0"/>
          <w:numId w:val="245"/>
        </w:numPr>
        <w:tabs>
          <w:tab w:pos="815" w:val="left" w:leader="none"/>
        </w:tabs>
        <w:spacing w:line="247" w:lineRule="auto" w:before="1" w:after="0"/>
        <w:ind w:left="151" w:right="2788" w:firstLine="397"/>
        <w:jc w:val="both"/>
        <w:rPr>
          <w:sz w:val="15"/>
        </w:rPr>
      </w:pPr>
      <w:r>
        <w:rPr>
          <w:sz w:val="15"/>
        </w:rPr>
        <w:t>Cualquier cambio que afecte los términos, circunstancias y condiciones para los que y en función de los cuales se expidió  el permiso,   de: 7 a 20 unidades de medida y</w:t>
      </w:r>
      <w:r>
        <w:rPr>
          <w:spacing w:val="-6"/>
          <w:sz w:val="15"/>
        </w:rPr>
        <w:t> </w:t>
      </w:r>
      <w:r>
        <w:rPr>
          <w:sz w:val="15"/>
        </w:rPr>
        <w:t>actualización;</w:t>
      </w:r>
    </w:p>
    <w:p>
      <w:pPr>
        <w:pStyle w:val="BodyText"/>
        <w:spacing w:before="1"/>
        <w:rPr>
          <w:sz w:val="22"/>
        </w:rPr>
      </w:pPr>
    </w:p>
    <w:p>
      <w:pPr>
        <w:pStyle w:val="ListParagraph"/>
        <w:numPr>
          <w:ilvl w:val="0"/>
          <w:numId w:val="244"/>
        </w:numPr>
        <w:tabs>
          <w:tab w:pos="748" w:val="left" w:leader="none"/>
        </w:tabs>
        <w:spacing w:line="247" w:lineRule="auto" w:before="0" w:after="0"/>
        <w:ind w:left="151" w:right="2787" w:firstLine="397"/>
        <w:jc w:val="both"/>
        <w:rPr>
          <w:sz w:val="15"/>
        </w:rPr>
      </w:pPr>
      <w:r>
        <w:rPr>
          <w:sz w:val="15"/>
        </w:rPr>
        <w:t>No mantener en condiciones higiénicas tanto el interior, como el exterior de los locales,</w:t>
      </w:r>
      <w:r>
        <w:rPr>
          <w:spacing w:val="5"/>
          <w:sz w:val="15"/>
        </w:rPr>
        <w:t> </w:t>
      </w:r>
      <w:r>
        <w:rPr>
          <w:sz w:val="15"/>
        </w:rPr>
        <w:t>de:</w:t>
      </w:r>
    </w:p>
    <w:p>
      <w:pPr>
        <w:pStyle w:val="BodyText"/>
        <w:spacing w:line="172" w:lineRule="exact"/>
        <w:ind w:left="2478"/>
      </w:pPr>
      <w:r>
        <w:rPr/>
        <w:t>7 a 20 unidades de medida y actualización;</w:t>
      </w:r>
    </w:p>
    <w:p>
      <w:pPr>
        <w:pStyle w:val="BodyText"/>
        <w:spacing w:before="7"/>
        <w:rPr>
          <w:sz w:val="22"/>
        </w:rPr>
      </w:pPr>
    </w:p>
    <w:p>
      <w:pPr>
        <w:pStyle w:val="ListParagraph"/>
        <w:numPr>
          <w:ilvl w:val="0"/>
          <w:numId w:val="244"/>
        </w:numPr>
        <w:tabs>
          <w:tab w:pos="828" w:val="left" w:leader="none"/>
        </w:tabs>
        <w:spacing w:line="244" w:lineRule="auto" w:before="0" w:after="0"/>
        <w:ind w:left="151" w:right="2787" w:firstLine="397"/>
        <w:jc w:val="both"/>
        <w:rPr>
          <w:sz w:val="15"/>
        </w:rPr>
      </w:pPr>
      <w:r>
        <w:rPr>
          <w:sz w:val="15"/>
        </w:rPr>
        <w:t>Por realizar actos o actividades posteriores al cierre de sus actividades comerciales incompatibles con la naturaleza del giro autorizado, de:</w:t>
      </w:r>
    </w:p>
    <w:p>
      <w:pPr>
        <w:pStyle w:val="BodyText"/>
        <w:spacing w:before="3"/>
        <w:ind w:left="2478"/>
        <w:jc w:val="both"/>
      </w:pPr>
      <w:r>
        <w:rPr/>
        <w:t>4 a 49 unidades de medida y actualización;</w:t>
      </w:r>
    </w:p>
    <w:p>
      <w:pPr>
        <w:pStyle w:val="BodyText"/>
        <w:spacing w:before="7"/>
        <w:rPr>
          <w:sz w:val="22"/>
        </w:rPr>
      </w:pPr>
    </w:p>
    <w:p>
      <w:pPr>
        <w:pStyle w:val="ListParagraph"/>
        <w:numPr>
          <w:ilvl w:val="0"/>
          <w:numId w:val="244"/>
        </w:numPr>
        <w:tabs>
          <w:tab w:pos="829" w:val="left" w:leader="none"/>
        </w:tabs>
        <w:spacing w:line="247" w:lineRule="auto" w:before="0" w:after="0"/>
        <w:ind w:left="151" w:right="2786" w:firstLine="397"/>
        <w:jc w:val="both"/>
        <w:rPr>
          <w:sz w:val="15"/>
        </w:rPr>
      </w:pPr>
      <w:r>
        <w:rPr>
          <w:sz w:val="15"/>
        </w:rPr>
        <w:t>Utilizar aparatos de sonido fuera de los límites permitidos o causando molestias a las personas,</w:t>
      </w:r>
      <w:r>
        <w:rPr>
          <w:spacing w:val="7"/>
          <w:sz w:val="15"/>
        </w:rPr>
        <w:t> </w:t>
      </w:r>
      <w:r>
        <w:rPr>
          <w:sz w:val="15"/>
        </w:rPr>
        <w:t>de:</w:t>
      </w:r>
    </w:p>
    <w:p>
      <w:pPr>
        <w:pStyle w:val="BodyText"/>
        <w:spacing w:line="172" w:lineRule="exact"/>
        <w:ind w:left="2478"/>
      </w:pPr>
      <w:r>
        <w:rPr/>
        <w:t>4 a 54 unidades de medida y actualización;</w:t>
      </w:r>
    </w:p>
    <w:p>
      <w:pPr>
        <w:pStyle w:val="BodyText"/>
        <w:spacing w:before="7"/>
        <w:rPr>
          <w:sz w:val="22"/>
        </w:rPr>
      </w:pPr>
    </w:p>
    <w:p>
      <w:pPr>
        <w:pStyle w:val="ListParagraph"/>
        <w:numPr>
          <w:ilvl w:val="0"/>
          <w:numId w:val="244"/>
        </w:numPr>
        <w:tabs>
          <w:tab w:pos="768" w:val="left" w:leader="none"/>
        </w:tabs>
        <w:spacing w:line="244" w:lineRule="auto" w:before="0" w:after="0"/>
        <w:ind w:left="151" w:right="2786" w:firstLine="397"/>
        <w:jc w:val="both"/>
        <w:rPr>
          <w:sz w:val="15"/>
        </w:rPr>
      </w:pPr>
      <w:r>
        <w:rPr>
          <w:sz w:val="15"/>
        </w:rPr>
        <w:t>Por continuar con el desarrollo de sus actividades comerciales, industriales o de prestación de servicios, teniendo baja correspondiente de    su licencia</w:t>
      </w:r>
      <w:r>
        <w:rPr>
          <w:spacing w:val="1"/>
          <w:sz w:val="15"/>
        </w:rPr>
        <w:t> </w:t>
      </w:r>
      <w:r>
        <w:rPr>
          <w:sz w:val="15"/>
        </w:rPr>
        <w:t>municipal:</w:t>
      </w:r>
    </w:p>
    <w:p>
      <w:pPr>
        <w:pStyle w:val="BodyText"/>
        <w:spacing w:before="3"/>
        <w:ind w:left="2478"/>
        <w:jc w:val="both"/>
      </w:pPr>
      <w:r>
        <w:rPr/>
        <w:t>6 a 96 unidades de medida y actualización;</w:t>
      </w:r>
    </w:p>
    <w:p>
      <w:pPr>
        <w:pStyle w:val="BodyText"/>
        <w:rPr>
          <w:sz w:val="16"/>
        </w:rPr>
      </w:pPr>
    </w:p>
    <w:p>
      <w:pPr>
        <w:pStyle w:val="BodyText"/>
        <w:spacing w:before="7"/>
        <w:rPr>
          <w:sz w:val="18"/>
        </w:rPr>
      </w:pPr>
    </w:p>
    <w:p>
      <w:pPr>
        <w:pStyle w:val="ListParagraph"/>
        <w:numPr>
          <w:ilvl w:val="0"/>
          <w:numId w:val="244"/>
        </w:numPr>
        <w:tabs>
          <w:tab w:pos="797" w:val="left" w:leader="none"/>
        </w:tabs>
        <w:spacing w:line="247" w:lineRule="auto" w:before="0" w:after="0"/>
        <w:ind w:left="151" w:right="4353" w:firstLine="397"/>
        <w:jc w:val="left"/>
        <w:rPr>
          <w:sz w:val="15"/>
        </w:rPr>
      </w:pPr>
      <w:r>
        <w:rPr>
          <w:spacing w:val="-3"/>
          <w:sz w:val="15"/>
        </w:rPr>
        <w:t>Talleres </w:t>
      </w:r>
      <w:r>
        <w:rPr>
          <w:sz w:val="15"/>
        </w:rPr>
        <w:t>de reparación, lavado y servicio de vehículos automotores y</w:t>
      </w:r>
      <w:r>
        <w:rPr>
          <w:spacing w:val="7"/>
          <w:sz w:val="15"/>
        </w:rPr>
        <w:t> </w:t>
      </w:r>
      <w:r>
        <w:rPr>
          <w:sz w:val="15"/>
        </w:rPr>
        <w:t>similares:</w:t>
      </w:r>
    </w:p>
    <w:p>
      <w:pPr>
        <w:pStyle w:val="BodyText"/>
        <w:spacing w:before="1"/>
        <w:rPr>
          <w:sz w:val="22"/>
        </w:rPr>
      </w:pPr>
    </w:p>
    <w:p>
      <w:pPr>
        <w:pStyle w:val="ListParagraph"/>
        <w:numPr>
          <w:ilvl w:val="0"/>
          <w:numId w:val="246"/>
        </w:numPr>
        <w:tabs>
          <w:tab w:pos="732" w:val="left" w:leader="none"/>
          <w:tab w:pos="2250" w:val="left" w:leader="none"/>
        </w:tabs>
        <w:spacing w:line="247" w:lineRule="auto" w:before="0" w:after="0"/>
        <w:ind w:left="151" w:right="2787" w:firstLine="397"/>
        <w:jc w:val="both"/>
        <w:rPr>
          <w:sz w:val="15"/>
        </w:rPr>
      </w:pPr>
      <w:r>
        <w:rPr>
          <w:sz w:val="15"/>
        </w:rPr>
        <w:t>Por realizar cualquier trabajo en áreas de servidumbre o vía pública, de:</w:t>
        <w:tab/>
        <w:t>7 a 37 unidades de medida y</w:t>
      </w:r>
      <w:r>
        <w:rPr>
          <w:spacing w:val="13"/>
          <w:sz w:val="15"/>
        </w:rPr>
        <w:t> </w:t>
      </w:r>
      <w:r>
        <w:rPr>
          <w:sz w:val="15"/>
        </w:rPr>
        <w:t>actualización;</w:t>
      </w:r>
    </w:p>
    <w:p>
      <w:pPr>
        <w:pStyle w:val="BodyText"/>
        <w:spacing w:before="8"/>
        <w:rPr>
          <w:sz w:val="18"/>
        </w:rPr>
      </w:pPr>
    </w:p>
    <w:p>
      <w:pPr>
        <w:pStyle w:val="ListParagraph"/>
        <w:numPr>
          <w:ilvl w:val="0"/>
          <w:numId w:val="246"/>
        </w:numPr>
        <w:tabs>
          <w:tab w:pos="866" w:val="left" w:leader="none"/>
        </w:tabs>
        <w:spacing w:line="247" w:lineRule="auto" w:before="0" w:after="0"/>
        <w:ind w:left="151" w:right="2788" w:firstLine="397"/>
        <w:jc w:val="both"/>
        <w:rPr>
          <w:sz w:val="15"/>
        </w:rPr>
      </w:pPr>
      <w:r>
        <w:rPr>
          <w:sz w:val="15"/>
        </w:rPr>
        <w:t>Por causar ruidos, trepidaciones, o producir sustancias contaminantes que puedan ocasionar daños a las personas o sus bienes, de: 12 a 69 unidades de medida y</w:t>
      </w:r>
      <w:r>
        <w:rPr>
          <w:spacing w:val="14"/>
          <w:sz w:val="15"/>
        </w:rPr>
        <w:t> </w:t>
      </w:r>
      <w:r>
        <w:rPr>
          <w:sz w:val="15"/>
        </w:rPr>
        <w:t>actualización;</w:t>
      </w:r>
    </w:p>
    <w:p>
      <w:pPr>
        <w:spacing w:after="0" w:line="247" w:lineRule="auto"/>
        <w:jc w:val="both"/>
        <w:rPr>
          <w:sz w:val="15"/>
        </w:rPr>
        <w:sectPr>
          <w:type w:val="continuous"/>
          <w:pgSz w:w="23250" w:h="15310" w:orient="landscape"/>
          <w:pgMar w:top="0" w:bottom="0" w:left="1880" w:right="1520"/>
          <w:cols w:num="2" w:equalWidth="0">
            <w:col w:w="5474" w:space="6148"/>
            <w:col w:w="8228"/>
          </w:cols>
        </w:sectPr>
      </w:pPr>
    </w:p>
    <w:p>
      <w:pPr>
        <w:pStyle w:val="BodyText"/>
        <w:rPr>
          <w:sz w:val="20"/>
        </w:rPr>
      </w:pPr>
    </w:p>
    <w:p>
      <w:pPr>
        <w:pStyle w:val="BodyText"/>
        <w:rPr>
          <w:sz w:val="20"/>
        </w:rPr>
      </w:pPr>
    </w:p>
    <w:p>
      <w:pPr>
        <w:spacing w:after="0"/>
        <w:rPr>
          <w:sz w:val="20"/>
        </w:rPr>
        <w:sectPr>
          <w:headerReference w:type="default" r:id="rId131"/>
          <w:pgSz w:w="23250" w:h="15310" w:orient="landscape"/>
          <w:pgMar w:header="881" w:footer="499" w:top="1920" w:bottom="680" w:left="1880" w:right="1520"/>
        </w:sectPr>
      </w:pPr>
    </w:p>
    <w:p>
      <w:pPr>
        <w:pStyle w:val="BodyText"/>
        <w:spacing w:before="10"/>
        <w:rPr>
          <w:sz w:val="19"/>
        </w:rPr>
      </w:pPr>
    </w:p>
    <w:p>
      <w:pPr>
        <w:pStyle w:val="ListParagraph"/>
        <w:numPr>
          <w:ilvl w:val="0"/>
          <w:numId w:val="244"/>
        </w:numPr>
        <w:tabs>
          <w:tab w:pos="831" w:val="left" w:leader="none"/>
        </w:tabs>
        <w:spacing w:line="247" w:lineRule="auto" w:before="0" w:after="0"/>
        <w:ind w:left="150" w:right="38" w:firstLine="397"/>
        <w:jc w:val="left"/>
        <w:rPr>
          <w:sz w:val="15"/>
        </w:rPr>
      </w:pPr>
      <w:r>
        <w:rPr>
          <w:sz w:val="15"/>
        </w:rPr>
        <w:t>Por la obstrucción de las banquetas o vía pública con mercancías, productos o mobiliario propio del giro comercial</w:t>
      </w:r>
      <w:r>
        <w:rPr>
          <w:spacing w:val="15"/>
          <w:sz w:val="15"/>
        </w:rPr>
        <w:t> </w:t>
      </w:r>
      <w:r>
        <w:rPr>
          <w:sz w:val="15"/>
        </w:rPr>
        <w:t>de:</w:t>
      </w:r>
    </w:p>
    <w:p>
      <w:pPr>
        <w:pStyle w:val="BodyText"/>
        <w:spacing w:line="172" w:lineRule="exact"/>
        <w:ind w:left="2477"/>
      </w:pPr>
      <w:r>
        <w:rPr/>
        <w:t>4 a 49 unidades de medida y actualización;</w:t>
      </w:r>
    </w:p>
    <w:p>
      <w:pPr>
        <w:pStyle w:val="BodyText"/>
        <w:spacing w:before="9"/>
        <w:rPr>
          <w:sz w:val="19"/>
        </w:rPr>
      </w:pPr>
      <w:r>
        <w:rPr/>
        <w:br w:type="column"/>
      </w:r>
      <w:r>
        <w:rPr>
          <w:sz w:val="19"/>
        </w:rPr>
      </w:r>
    </w:p>
    <w:p>
      <w:pPr>
        <w:pStyle w:val="BodyText"/>
        <w:ind w:left="150"/>
      </w:pPr>
      <w:r>
        <w:rPr/>
        <w:t>abandonados, de:</w:t>
      </w:r>
    </w:p>
    <w:p>
      <w:pPr>
        <w:pStyle w:val="BodyText"/>
        <w:rPr>
          <w:sz w:val="16"/>
        </w:rPr>
      </w:pPr>
      <w:r>
        <w:rPr/>
        <w:br w:type="column"/>
      </w:r>
      <w:r>
        <w:rPr>
          <w:sz w:val="16"/>
        </w:rPr>
      </w:r>
    </w:p>
    <w:p>
      <w:pPr>
        <w:pStyle w:val="BodyText"/>
        <w:spacing w:before="2"/>
        <w:rPr>
          <w:sz w:val="19"/>
        </w:rPr>
      </w:pPr>
    </w:p>
    <w:p>
      <w:pPr>
        <w:pStyle w:val="BodyText"/>
        <w:spacing w:before="1"/>
        <w:ind w:left="150"/>
      </w:pPr>
      <w:r>
        <w:rPr/>
        <w:t>5 a 12 unidades de medida y actualización;</w:t>
      </w:r>
    </w:p>
    <w:p>
      <w:pPr>
        <w:spacing w:after="0"/>
        <w:sectPr>
          <w:type w:val="continuous"/>
          <w:pgSz w:w="23250" w:h="15310" w:orient="landscape"/>
          <w:pgMar w:top="0" w:bottom="0" w:left="1880" w:right="1520"/>
          <w:cols w:num="3" w:equalWidth="0">
            <w:col w:w="5472" w:space="6150"/>
            <w:col w:w="1424" w:space="904"/>
            <w:col w:w="5900"/>
          </w:cols>
        </w:sectPr>
      </w:pPr>
    </w:p>
    <w:p>
      <w:pPr>
        <w:pStyle w:val="BodyText"/>
        <w:spacing w:before="2"/>
        <w:rPr>
          <w:sz w:val="19"/>
        </w:rPr>
      </w:pPr>
    </w:p>
    <w:p>
      <w:pPr>
        <w:pStyle w:val="ListParagraph"/>
        <w:numPr>
          <w:ilvl w:val="0"/>
          <w:numId w:val="244"/>
        </w:numPr>
        <w:tabs>
          <w:tab w:pos="883" w:val="left" w:leader="none"/>
        </w:tabs>
        <w:spacing w:line="247" w:lineRule="auto" w:before="0" w:after="0"/>
        <w:ind w:left="151" w:right="38" w:firstLine="397"/>
        <w:jc w:val="both"/>
        <w:rPr>
          <w:sz w:val="15"/>
        </w:rPr>
      </w:pPr>
      <w:r>
        <w:rPr>
          <w:sz w:val="15"/>
        </w:rPr>
        <w:t>Las sanciones que se aplicarán por violación a las disposiciones   de este Reglamento, consistirán en multa de 8 a 100 unidades de medida y actualización, en el momento de comisión de la infracción, para  los casos   que no se encuentren previstos en esta</w:t>
      </w:r>
      <w:r>
        <w:rPr>
          <w:spacing w:val="13"/>
          <w:sz w:val="15"/>
        </w:rPr>
        <w:t> </w:t>
      </w:r>
      <w:r>
        <w:rPr>
          <w:spacing w:val="-4"/>
          <w:sz w:val="15"/>
        </w:rPr>
        <w:t>ley.</w:t>
      </w:r>
    </w:p>
    <w:p>
      <w:pPr>
        <w:pStyle w:val="BodyText"/>
        <w:spacing w:before="1"/>
        <w:rPr>
          <w:sz w:val="22"/>
        </w:rPr>
      </w:pPr>
    </w:p>
    <w:p>
      <w:pPr>
        <w:pStyle w:val="BodyText"/>
        <w:spacing w:line="244" w:lineRule="auto"/>
        <w:ind w:left="151" w:right="114" w:firstLine="397"/>
      </w:pPr>
      <w:r>
        <w:rPr>
          <w:b/>
        </w:rPr>
        <w:t>Artículo 151.- </w:t>
      </w:r>
      <w:r>
        <w:rPr/>
        <w:t>Por violaciones en materia de comercio que se ejercen  en los espacios abiertos, públicos o</w:t>
      </w:r>
      <w:r>
        <w:rPr>
          <w:spacing w:val="11"/>
        </w:rPr>
        <w:t> </w:t>
      </w:r>
      <w:r>
        <w:rPr/>
        <w:t>privados:</w:t>
      </w:r>
    </w:p>
    <w:p>
      <w:pPr>
        <w:pStyle w:val="BodyText"/>
        <w:spacing w:before="4"/>
        <w:rPr>
          <w:sz w:val="22"/>
        </w:rPr>
      </w:pPr>
    </w:p>
    <w:p>
      <w:pPr>
        <w:pStyle w:val="ListParagraph"/>
        <w:numPr>
          <w:ilvl w:val="0"/>
          <w:numId w:val="247"/>
        </w:numPr>
        <w:tabs>
          <w:tab w:pos="689" w:val="left" w:leader="none"/>
        </w:tabs>
        <w:spacing w:line="247" w:lineRule="auto" w:before="0" w:after="0"/>
        <w:ind w:left="151" w:right="39" w:firstLine="397"/>
        <w:jc w:val="both"/>
        <w:rPr>
          <w:sz w:val="15"/>
        </w:rPr>
      </w:pPr>
      <w:r>
        <w:rPr>
          <w:sz w:val="15"/>
        </w:rPr>
        <w:t>Por carecer del permiso y/o tener el permiso vencido para ejercer el comercio, en los espacios abiertos públicos y/o privados,</w:t>
      </w:r>
      <w:r>
        <w:rPr>
          <w:spacing w:val="26"/>
          <w:sz w:val="15"/>
        </w:rPr>
        <w:t> </w:t>
      </w:r>
      <w:r>
        <w:rPr>
          <w:sz w:val="15"/>
        </w:rPr>
        <w:t>de:</w:t>
      </w:r>
    </w:p>
    <w:p>
      <w:pPr>
        <w:pStyle w:val="BodyText"/>
        <w:spacing w:line="172" w:lineRule="exact"/>
        <w:ind w:left="2478"/>
        <w:jc w:val="both"/>
      </w:pPr>
      <w:r>
        <w:rPr/>
        <w:t>2 a 15 unidades de medida y actualización;</w:t>
      </w:r>
    </w:p>
    <w:p>
      <w:pPr>
        <w:pStyle w:val="BodyText"/>
        <w:spacing w:before="7"/>
        <w:rPr>
          <w:sz w:val="22"/>
        </w:rPr>
      </w:pPr>
    </w:p>
    <w:p>
      <w:pPr>
        <w:pStyle w:val="ListParagraph"/>
        <w:numPr>
          <w:ilvl w:val="0"/>
          <w:numId w:val="247"/>
        </w:numPr>
        <w:tabs>
          <w:tab w:pos="777" w:val="left" w:leader="none"/>
          <w:tab w:pos="2455" w:val="left" w:leader="none"/>
        </w:tabs>
        <w:spacing w:line="247" w:lineRule="auto" w:before="0" w:after="0"/>
        <w:ind w:left="151" w:right="39" w:firstLine="397"/>
        <w:jc w:val="both"/>
        <w:rPr>
          <w:sz w:val="15"/>
        </w:rPr>
      </w:pPr>
      <w:r>
        <w:rPr>
          <w:sz w:val="15"/>
        </w:rPr>
        <w:t>Por aumentar las dimensiones originalmente autorizadas en el permiso,</w:t>
      </w:r>
      <w:r>
        <w:rPr>
          <w:spacing w:val="20"/>
          <w:sz w:val="15"/>
        </w:rPr>
        <w:t> </w:t>
      </w:r>
      <w:r>
        <w:rPr>
          <w:sz w:val="15"/>
        </w:rPr>
        <w:t>de:</w:t>
        <w:tab/>
        <w:t>4 a </w:t>
      </w:r>
      <w:r>
        <w:rPr>
          <w:spacing w:val="-6"/>
          <w:sz w:val="15"/>
        </w:rPr>
        <w:t>11 </w:t>
      </w:r>
      <w:r>
        <w:rPr>
          <w:sz w:val="15"/>
        </w:rPr>
        <w:t>unidades de medida y</w:t>
      </w:r>
      <w:r>
        <w:rPr>
          <w:spacing w:val="31"/>
          <w:sz w:val="15"/>
        </w:rPr>
        <w:t> </w:t>
      </w:r>
      <w:r>
        <w:rPr>
          <w:sz w:val="15"/>
        </w:rPr>
        <w:t>actualización;</w:t>
      </w:r>
    </w:p>
    <w:p>
      <w:pPr>
        <w:pStyle w:val="BodyText"/>
        <w:spacing w:before="1"/>
        <w:rPr>
          <w:sz w:val="22"/>
        </w:rPr>
      </w:pPr>
    </w:p>
    <w:p>
      <w:pPr>
        <w:pStyle w:val="ListParagraph"/>
        <w:numPr>
          <w:ilvl w:val="0"/>
          <w:numId w:val="247"/>
        </w:numPr>
        <w:tabs>
          <w:tab w:pos="833" w:val="left" w:leader="none"/>
          <w:tab w:pos="2540" w:val="left" w:leader="none"/>
        </w:tabs>
        <w:spacing w:line="247" w:lineRule="auto" w:before="0" w:after="0"/>
        <w:ind w:left="151" w:right="38" w:firstLine="397"/>
        <w:jc w:val="both"/>
        <w:rPr>
          <w:sz w:val="15"/>
        </w:rPr>
      </w:pPr>
      <w:r>
        <w:rPr>
          <w:sz w:val="15"/>
        </w:rPr>
        <w:t>Por ejercer el comercio en la vía pública fuera del horario  autorizado,</w:t>
      </w:r>
      <w:r>
        <w:rPr>
          <w:spacing w:val="23"/>
          <w:sz w:val="15"/>
        </w:rPr>
        <w:t> </w:t>
      </w:r>
      <w:r>
        <w:rPr>
          <w:sz w:val="15"/>
        </w:rPr>
        <w:t>de:</w:t>
        <w:tab/>
        <w:t>3</w:t>
      </w:r>
      <w:r>
        <w:rPr>
          <w:spacing w:val="8"/>
          <w:sz w:val="15"/>
        </w:rPr>
        <w:t> </w:t>
      </w:r>
      <w:r>
        <w:rPr>
          <w:sz w:val="15"/>
        </w:rPr>
        <w:t>a</w:t>
      </w:r>
      <w:r>
        <w:rPr>
          <w:spacing w:val="9"/>
          <w:sz w:val="15"/>
        </w:rPr>
        <w:t> </w:t>
      </w:r>
      <w:r>
        <w:rPr>
          <w:sz w:val="15"/>
        </w:rPr>
        <w:t>5</w:t>
      </w:r>
      <w:r>
        <w:rPr>
          <w:spacing w:val="8"/>
          <w:sz w:val="15"/>
        </w:rPr>
        <w:t> </w:t>
      </w:r>
      <w:r>
        <w:rPr>
          <w:sz w:val="15"/>
        </w:rPr>
        <w:t>unidades</w:t>
      </w:r>
      <w:r>
        <w:rPr>
          <w:spacing w:val="9"/>
          <w:sz w:val="15"/>
        </w:rPr>
        <w:t> </w:t>
      </w:r>
      <w:r>
        <w:rPr>
          <w:sz w:val="15"/>
        </w:rPr>
        <w:t>de</w:t>
      </w:r>
      <w:r>
        <w:rPr>
          <w:spacing w:val="9"/>
          <w:sz w:val="15"/>
        </w:rPr>
        <w:t> </w:t>
      </w:r>
      <w:r>
        <w:rPr>
          <w:sz w:val="15"/>
        </w:rPr>
        <w:t>medida</w:t>
      </w:r>
      <w:r>
        <w:rPr>
          <w:spacing w:val="9"/>
          <w:sz w:val="15"/>
        </w:rPr>
        <w:t> </w:t>
      </w:r>
      <w:r>
        <w:rPr>
          <w:sz w:val="15"/>
        </w:rPr>
        <w:t>y</w:t>
      </w:r>
      <w:r>
        <w:rPr>
          <w:spacing w:val="9"/>
          <w:sz w:val="15"/>
        </w:rPr>
        <w:t> </w:t>
      </w:r>
      <w:r>
        <w:rPr>
          <w:sz w:val="15"/>
        </w:rPr>
        <w:t>actualización;</w:t>
      </w:r>
    </w:p>
    <w:p>
      <w:pPr>
        <w:pStyle w:val="BodyText"/>
        <w:spacing w:before="2"/>
        <w:rPr>
          <w:sz w:val="22"/>
        </w:rPr>
      </w:pPr>
    </w:p>
    <w:p>
      <w:pPr>
        <w:pStyle w:val="ListParagraph"/>
        <w:numPr>
          <w:ilvl w:val="0"/>
          <w:numId w:val="247"/>
        </w:numPr>
        <w:tabs>
          <w:tab w:pos="812" w:val="left" w:leader="none"/>
        </w:tabs>
        <w:spacing w:line="244" w:lineRule="auto" w:before="0" w:after="0"/>
        <w:ind w:left="151" w:right="1605" w:firstLine="397"/>
        <w:jc w:val="left"/>
        <w:rPr>
          <w:sz w:val="15"/>
        </w:rPr>
      </w:pPr>
      <w:r>
        <w:rPr>
          <w:sz w:val="15"/>
        </w:rPr>
        <w:t>En la venta de alimentos y/o bebidas de consumo</w:t>
      </w:r>
      <w:r>
        <w:rPr>
          <w:spacing w:val="1"/>
          <w:sz w:val="15"/>
        </w:rPr>
        <w:t> </w:t>
      </w:r>
      <w:r>
        <w:rPr>
          <w:sz w:val="15"/>
        </w:rPr>
        <w:t>humano:</w:t>
      </w:r>
    </w:p>
    <w:p>
      <w:pPr>
        <w:pStyle w:val="BodyText"/>
        <w:spacing w:before="4"/>
        <w:rPr>
          <w:sz w:val="22"/>
        </w:rPr>
      </w:pPr>
    </w:p>
    <w:p>
      <w:pPr>
        <w:pStyle w:val="ListParagraph"/>
        <w:numPr>
          <w:ilvl w:val="0"/>
          <w:numId w:val="248"/>
        </w:numPr>
        <w:tabs>
          <w:tab w:pos="736" w:val="left" w:leader="none"/>
        </w:tabs>
        <w:spacing w:line="247" w:lineRule="auto" w:before="0" w:after="0"/>
        <w:ind w:left="151" w:right="38" w:firstLine="397"/>
        <w:jc w:val="left"/>
        <w:rPr>
          <w:sz w:val="15"/>
        </w:rPr>
      </w:pPr>
      <w:r>
        <w:rPr>
          <w:sz w:val="15"/>
        </w:rPr>
        <w:t>Por no contar con el documento o constancia de salud de autoridad competente,</w:t>
      </w:r>
      <w:r>
        <w:rPr>
          <w:spacing w:val="1"/>
          <w:sz w:val="15"/>
        </w:rPr>
        <w:t> </w:t>
      </w:r>
      <w:r>
        <w:rPr>
          <w:sz w:val="15"/>
        </w:rPr>
        <w:t>de:</w:t>
      </w:r>
    </w:p>
    <w:p>
      <w:pPr>
        <w:pStyle w:val="BodyText"/>
        <w:spacing w:line="172" w:lineRule="exact"/>
        <w:ind w:left="2478"/>
        <w:jc w:val="both"/>
      </w:pPr>
      <w:r>
        <w:rPr/>
        <w:t>4 a 12 unidades de medida y actualización;</w:t>
      </w:r>
    </w:p>
    <w:p>
      <w:pPr>
        <w:pStyle w:val="BodyText"/>
        <w:spacing w:before="2"/>
        <w:rPr>
          <w:sz w:val="19"/>
        </w:rPr>
      </w:pPr>
    </w:p>
    <w:p>
      <w:pPr>
        <w:pStyle w:val="ListParagraph"/>
        <w:numPr>
          <w:ilvl w:val="0"/>
          <w:numId w:val="248"/>
        </w:numPr>
        <w:tabs>
          <w:tab w:pos="733" w:val="left" w:leader="none"/>
        </w:tabs>
        <w:spacing w:line="247" w:lineRule="auto" w:before="0" w:after="0"/>
        <w:ind w:left="151" w:right="39" w:firstLine="397"/>
        <w:jc w:val="left"/>
        <w:rPr>
          <w:sz w:val="15"/>
        </w:rPr>
      </w:pPr>
      <w:r>
        <w:rPr>
          <w:sz w:val="15"/>
        </w:rPr>
        <w:t>Por obstruir con muebles y demás instrumentos las arterias públicas y/o no mantener higiénicas sus mercancías,</w:t>
      </w:r>
      <w:r>
        <w:rPr>
          <w:spacing w:val="14"/>
          <w:sz w:val="15"/>
        </w:rPr>
        <w:t> </w:t>
      </w:r>
      <w:r>
        <w:rPr>
          <w:sz w:val="15"/>
        </w:rPr>
        <w:t>de:</w:t>
      </w:r>
    </w:p>
    <w:p>
      <w:pPr>
        <w:pStyle w:val="BodyText"/>
        <w:spacing w:line="172" w:lineRule="exact"/>
        <w:ind w:left="2478"/>
        <w:jc w:val="both"/>
      </w:pPr>
      <w:r>
        <w:rPr/>
        <w:t>4 a 12 unidades de medida y actualización;</w:t>
      </w:r>
    </w:p>
    <w:p>
      <w:pPr>
        <w:pStyle w:val="BodyText"/>
        <w:spacing w:before="2"/>
        <w:rPr>
          <w:sz w:val="19"/>
        </w:rPr>
      </w:pPr>
    </w:p>
    <w:p>
      <w:pPr>
        <w:pStyle w:val="ListParagraph"/>
        <w:numPr>
          <w:ilvl w:val="0"/>
          <w:numId w:val="248"/>
        </w:numPr>
        <w:tabs>
          <w:tab w:pos="746" w:val="left" w:leader="none"/>
        </w:tabs>
        <w:spacing w:line="247" w:lineRule="auto" w:before="0" w:after="0"/>
        <w:ind w:left="151" w:right="38" w:firstLine="397"/>
        <w:jc w:val="both"/>
        <w:rPr>
          <w:sz w:val="15"/>
        </w:rPr>
      </w:pPr>
      <w:r>
        <w:rPr>
          <w:sz w:val="15"/>
        </w:rPr>
        <w:t>Por no guardar la distancia necesaria entre los tambos, estufas y quemadores, o no mantener en buen estado que garantice la seguridad de la comunidad en general,</w:t>
      </w:r>
      <w:r>
        <w:rPr>
          <w:spacing w:val="3"/>
          <w:sz w:val="15"/>
        </w:rPr>
        <w:t> </w:t>
      </w:r>
      <w:r>
        <w:rPr>
          <w:sz w:val="15"/>
        </w:rPr>
        <w:t>de:</w:t>
      </w:r>
    </w:p>
    <w:p>
      <w:pPr>
        <w:pStyle w:val="ListParagraph"/>
        <w:numPr>
          <w:ilvl w:val="0"/>
          <w:numId w:val="249"/>
        </w:numPr>
        <w:tabs>
          <w:tab w:pos="2608" w:val="left" w:leader="none"/>
        </w:tabs>
        <w:spacing w:line="171" w:lineRule="exact" w:before="0" w:after="0"/>
        <w:ind w:left="2607" w:right="0" w:hanging="130"/>
        <w:jc w:val="both"/>
        <w:rPr>
          <w:sz w:val="15"/>
        </w:rPr>
      </w:pPr>
      <w:r>
        <w:rPr>
          <w:sz w:val="15"/>
        </w:rPr>
        <w:t>a 12 unidades de medida y</w:t>
      </w:r>
      <w:r>
        <w:rPr>
          <w:spacing w:val="15"/>
          <w:sz w:val="15"/>
        </w:rPr>
        <w:t> </w:t>
      </w:r>
      <w:r>
        <w:rPr>
          <w:sz w:val="15"/>
        </w:rPr>
        <w:t>actualización;</w:t>
      </w:r>
    </w:p>
    <w:p>
      <w:pPr>
        <w:pStyle w:val="BodyText"/>
        <w:spacing w:before="7"/>
        <w:rPr>
          <w:sz w:val="22"/>
        </w:rPr>
      </w:pPr>
    </w:p>
    <w:p>
      <w:pPr>
        <w:pStyle w:val="ListParagraph"/>
        <w:numPr>
          <w:ilvl w:val="0"/>
          <w:numId w:val="247"/>
        </w:numPr>
        <w:tabs>
          <w:tab w:pos="723" w:val="left" w:leader="none"/>
        </w:tabs>
        <w:spacing w:line="240" w:lineRule="auto" w:before="0" w:after="0"/>
        <w:ind w:left="722" w:right="0" w:hanging="175"/>
        <w:jc w:val="left"/>
        <w:rPr>
          <w:sz w:val="15"/>
        </w:rPr>
      </w:pPr>
      <w:r>
        <w:rPr>
          <w:sz w:val="15"/>
        </w:rPr>
        <w:t>Por instalarse en zonas no autorizadas o restringidas,</w:t>
      </w:r>
      <w:r>
        <w:rPr>
          <w:spacing w:val="31"/>
          <w:sz w:val="15"/>
        </w:rPr>
        <w:t> </w:t>
      </w:r>
      <w:r>
        <w:rPr>
          <w:sz w:val="15"/>
        </w:rPr>
        <w:t>de:</w:t>
      </w:r>
    </w:p>
    <w:p>
      <w:pPr>
        <w:pStyle w:val="ListParagraph"/>
        <w:numPr>
          <w:ilvl w:val="0"/>
          <w:numId w:val="249"/>
        </w:numPr>
        <w:tabs>
          <w:tab w:pos="2607" w:val="left" w:leader="none"/>
        </w:tabs>
        <w:spacing w:line="240" w:lineRule="auto" w:before="4" w:after="0"/>
        <w:ind w:left="2606" w:right="0" w:hanging="130"/>
        <w:jc w:val="both"/>
        <w:rPr>
          <w:sz w:val="15"/>
        </w:rPr>
      </w:pPr>
      <w:r>
        <w:rPr>
          <w:sz w:val="15"/>
        </w:rPr>
        <w:t>a 10 unidades de medida y</w:t>
      </w:r>
      <w:r>
        <w:rPr>
          <w:spacing w:val="15"/>
          <w:sz w:val="15"/>
        </w:rPr>
        <w:t> </w:t>
      </w:r>
      <w:r>
        <w:rPr>
          <w:sz w:val="15"/>
        </w:rPr>
        <w:t>actualización;</w:t>
      </w:r>
    </w:p>
    <w:p>
      <w:pPr>
        <w:pStyle w:val="ListParagraph"/>
        <w:numPr>
          <w:ilvl w:val="0"/>
          <w:numId w:val="250"/>
        </w:numPr>
        <w:tabs>
          <w:tab w:pos="785" w:val="left" w:leader="none"/>
        </w:tabs>
        <w:spacing w:line="247" w:lineRule="auto" w:before="82" w:after="0"/>
        <w:ind w:left="151" w:right="2787" w:firstLine="397"/>
        <w:jc w:val="left"/>
        <w:rPr>
          <w:sz w:val="15"/>
        </w:rPr>
      </w:pPr>
      <w:r>
        <w:rPr>
          <w:w w:val="102"/>
          <w:sz w:val="15"/>
        </w:rPr>
        <w:br w:type="column"/>
      </w:r>
      <w:r>
        <w:rPr>
          <w:sz w:val="15"/>
        </w:rPr>
        <w:t>Por no retirar el puesto al término de las actividades cotidianas, de:   2 a 4 unidades de medida y</w:t>
      </w:r>
      <w:r>
        <w:rPr>
          <w:spacing w:val="13"/>
          <w:sz w:val="15"/>
        </w:rPr>
        <w:t> </w:t>
      </w:r>
      <w:r>
        <w:rPr>
          <w:sz w:val="15"/>
        </w:rPr>
        <w:t>actualización;</w:t>
      </w:r>
    </w:p>
    <w:p>
      <w:pPr>
        <w:pStyle w:val="BodyText"/>
        <w:spacing w:before="1"/>
        <w:rPr>
          <w:sz w:val="22"/>
        </w:rPr>
      </w:pPr>
    </w:p>
    <w:p>
      <w:pPr>
        <w:pStyle w:val="ListParagraph"/>
        <w:numPr>
          <w:ilvl w:val="0"/>
          <w:numId w:val="250"/>
        </w:numPr>
        <w:tabs>
          <w:tab w:pos="736" w:val="left" w:leader="none"/>
        </w:tabs>
        <w:spacing w:line="240" w:lineRule="auto" w:before="1" w:after="0"/>
        <w:ind w:left="735" w:right="0" w:hanging="188"/>
        <w:jc w:val="left"/>
        <w:rPr>
          <w:sz w:val="15"/>
        </w:rPr>
      </w:pPr>
      <w:r>
        <w:rPr>
          <w:sz w:val="15"/>
        </w:rPr>
        <w:t>En juegos</w:t>
      </w:r>
      <w:r>
        <w:rPr>
          <w:spacing w:val="2"/>
          <w:sz w:val="15"/>
        </w:rPr>
        <w:t> </w:t>
      </w:r>
      <w:r>
        <w:rPr>
          <w:sz w:val="15"/>
        </w:rPr>
        <w:t>mecánicos:</w:t>
      </w:r>
    </w:p>
    <w:p>
      <w:pPr>
        <w:pStyle w:val="BodyText"/>
        <w:spacing w:before="7"/>
        <w:rPr>
          <w:sz w:val="22"/>
        </w:rPr>
      </w:pPr>
    </w:p>
    <w:p>
      <w:pPr>
        <w:pStyle w:val="ListParagraph"/>
        <w:numPr>
          <w:ilvl w:val="0"/>
          <w:numId w:val="251"/>
        </w:numPr>
        <w:tabs>
          <w:tab w:pos="729" w:val="left" w:leader="none"/>
        </w:tabs>
        <w:spacing w:line="240" w:lineRule="auto" w:before="0" w:after="0"/>
        <w:ind w:left="728" w:right="0" w:hanging="181"/>
        <w:jc w:val="left"/>
        <w:rPr>
          <w:sz w:val="15"/>
        </w:rPr>
      </w:pPr>
      <w:r>
        <w:rPr>
          <w:sz w:val="15"/>
        </w:rPr>
        <w:t>Por no retirar los juegos el día indicado en el permiso,</w:t>
      </w:r>
      <w:r>
        <w:rPr>
          <w:spacing w:val="19"/>
          <w:sz w:val="15"/>
        </w:rPr>
        <w:t> </w:t>
      </w:r>
      <w:r>
        <w:rPr>
          <w:sz w:val="15"/>
        </w:rPr>
        <w:t>de:</w:t>
      </w:r>
    </w:p>
    <w:p>
      <w:pPr>
        <w:pStyle w:val="BodyText"/>
        <w:spacing w:before="5"/>
        <w:ind w:left="2478"/>
      </w:pPr>
      <w:r>
        <w:rPr/>
        <w:t>8</w:t>
      </w:r>
      <w:r>
        <w:rPr>
          <w:spacing w:val="10"/>
        </w:rPr>
        <w:t> </w:t>
      </w:r>
      <w:r>
        <w:rPr/>
        <w:t>a</w:t>
      </w:r>
      <w:r>
        <w:rPr>
          <w:spacing w:val="10"/>
        </w:rPr>
        <w:t> </w:t>
      </w:r>
      <w:r>
        <w:rPr/>
        <w:t>20</w:t>
      </w:r>
      <w:r>
        <w:rPr>
          <w:spacing w:val="10"/>
        </w:rPr>
        <w:t> </w:t>
      </w:r>
      <w:r>
        <w:rPr/>
        <w:t>unidades</w:t>
      </w:r>
      <w:r>
        <w:rPr>
          <w:spacing w:val="10"/>
        </w:rPr>
        <w:t> </w:t>
      </w:r>
      <w:r>
        <w:rPr/>
        <w:t>de</w:t>
      </w:r>
      <w:r>
        <w:rPr>
          <w:spacing w:val="10"/>
        </w:rPr>
        <w:t> </w:t>
      </w:r>
      <w:r>
        <w:rPr/>
        <w:t>medida</w:t>
      </w:r>
      <w:r>
        <w:rPr>
          <w:spacing w:val="10"/>
        </w:rPr>
        <w:t> </w:t>
      </w:r>
      <w:r>
        <w:rPr/>
        <w:t>y</w:t>
      </w:r>
      <w:r>
        <w:rPr>
          <w:spacing w:val="10"/>
        </w:rPr>
        <w:t> </w:t>
      </w:r>
      <w:r>
        <w:rPr/>
        <w:t>actualización;</w:t>
      </w:r>
    </w:p>
    <w:p>
      <w:pPr>
        <w:pStyle w:val="BodyText"/>
        <w:spacing w:before="1"/>
        <w:rPr>
          <w:sz w:val="19"/>
        </w:rPr>
      </w:pPr>
    </w:p>
    <w:p>
      <w:pPr>
        <w:pStyle w:val="ListParagraph"/>
        <w:numPr>
          <w:ilvl w:val="0"/>
          <w:numId w:val="251"/>
        </w:numPr>
        <w:tabs>
          <w:tab w:pos="739" w:val="left" w:leader="none"/>
          <w:tab w:pos="2455" w:val="left" w:leader="none"/>
        </w:tabs>
        <w:spacing w:line="247" w:lineRule="auto" w:before="1" w:after="0"/>
        <w:ind w:left="151" w:right="2788" w:firstLine="397"/>
        <w:jc w:val="left"/>
        <w:rPr>
          <w:sz w:val="15"/>
        </w:rPr>
      </w:pPr>
      <w:r>
        <w:rPr>
          <w:sz w:val="15"/>
        </w:rPr>
        <w:t>Por no enterar previo a su funcionamiento, el correspondiente pago  de</w:t>
      </w:r>
      <w:r>
        <w:rPr>
          <w:spacing w:val="13"/>
          <w:sz w:val="15"/>
        </w:rPr>
        <w:t> </w:t>
      </w:r>
      <w:r>
        <w:rPr>
          <w:sz w:val="15"/>
        </w:rPr>
        <w:t>derechos,</w:t>
      </w:r>
      <w:r>
        <w:rPr>
          <w:spacing w:val="14"/>
          <w:sz w:val="15"/>
        </w:rPr>
        <w:t> </w:t>
      </w:r>
      <w:r>
        <w:rPr>
          <w:sz w:val="15"/>
        </w:rPr>
        <w:t>de:</w:t>
        <w:tab/>
        <w:t>7</w:t>
      </w:r>
      <w:r>
        <w:rPr>
          <w:spacing w:val="10"/>
          <w:sz w:val="15"/>
        </w:rPr>
        <w:t> </w:t>
      </w:r>
      <w:r>
        <w:rPr>
          <w:sz w:val="15"/>
        </w:rPr>
        <w:t>a</w:t>
      </w:r>
      <w:r>
        <w:rPr>
          <w:spacing w:val="9"/>
          <w:sz w:val="15"/>
        </w:rPr>
        <w:t> </w:t>
      </w:r>
      <w:r>
        <w:rPr>
          <w:sz w:val="15"/>
        </w:rPr>
        <w:t>20</w:t>
      </w:r>
      <w:r>
        <w:rPr>
          <w:spacing w:val="10"/>
          <w:sz w:val="15"/>
        </w:rPr>
        <w:t> </w:t>
      </w:r>
      <w:r>
        <w:rPr>
          <w:sz w:val="15"/>
        </w:rPr>
        <w:t>unidades</w:t>
      </w:r>
      <w:r>
        <w:rPr>
          <w:spacing w:val="10"/>
          <w:sz w:val="15"/>
        </w:rPr>
        <w:t> </w:t>
      </w:r>
      <w:r>
        <w:rPr>
          <w:sz w:val="15"/>
        </w:rPr>
        <w:t>de</w:t>
      </w:r>
      <w:r>
        <w:rPr>
          <w:spacing w:val="10"/>
          <w:sz w:val="15"/>
        </w:rPr>
        <w:t> </w:t>
      </w:r>
      <w:r>
        <w:rPr>
          <w:sz w:val="15"/>
        </w:rPr>
        <w:t>medida</w:t>
      </w:r>
      <w:r>
        <w:rPr>
          <w:spacing w:val="10"/>
          <w:sz w:val="15"/>
        </w:rPr>
        <w:t> </w:t>
      </w:r>
      <w:r>
        <w:rPr>
          <w:sz w:val="15"/>
        </w:rPr>
        <w:t>y</w:t>
      </w:r>
      <w:r>
        <w:rPr>
          <w:spacing w:val="10"/>
          <w:sz w:val="15"/>
        </w:rPr>
        <w:t> </w:t>
      </w:r>
      <w:r>
        <w:rPr>
          <w:sz w:val="15"/>
        </w:rPr>
        <w:t>actualización;</w:t>
      </w:r>
    </w:p>
    <w:p>
      <w:pPr>
        <w:pStyle w:val="BodyText"/>
        <w:spacing w:before="7"/>
        <w:rPr>
          <w:sz w:val="18"/>
        </w:rPr>
      </w:pPr>
    </w:p>
    <w:p>
      <w:pPr>
        <w:pStyle w:val="ListParagraph"/>
        <w:numPr>
          <w:ilvl w:val="0"/>
          <w:numId w:val="251"/>
        </w:numPr>
        <w:tabs>
          <w:tab w:pos="734" w:val="left" w:leader="none"/>
          <w:tab w:pos="2446" w:val="left" w:leader="none"/>
        </w:tabs>
        <w:spacing w:line="247" w:lineRule="auto" w:before="1" w:after="0"/>
        <w:ind w:left="151" w:right="2788" w:firstLine="397"/>
        <w:jc w:val="left"/>
        <w:rPr>
          <w:sz w:val="15"/>
        </w:rPr>
      </w:pPr>
      <w:r>
        <w:rPr>
          <w:sz w:val="15"/>
        </w:rPr>
        <w:t>Por tomar energía eléctrica de otro medio distinto al autorizado por    el</w:t>
      </w:r>
      <w:r>
        <w:rPr>
          <w:spacing w:val="12"/>
          <w:sz w:val="15"/>
        </w:rPr>
        <w:t> </w:t>
      </w:r>
      <w:r>
        <w:rPr>
          <w:sz w:val="15"/>
        </w:rPr>
        <w:t>permiso,</w:t>
      </w:r>
      <w:r>
        <w:rPr>
          <w:spacing w:val="12"/>
          <w:sz w:val="15"/>
        </w:rPr>
        <w:t> </w:t>
      </w:r>
      <w:r>
        <w:rPr>
          <w:sz w:val="15"/>
        </w:rPr>
        <w:t>de:</w:t>
        <w:tab/>
        <w:t>7</w:t>
      </w:r>
      <w:r>
        <w:rPr>
          <w:spacing w:val="10"/>
          <w:sz w:val="15"/>
        </w:rPr>
        <w:t> </w:t>
      </w:r>
      <w:r>
        <w:rPr>
          <w:sz w:val="15"/>
        </w:rPr>
        <w:t>a</w:t>
      </w:r>
      <w:r>
        <w:rPr>
          <w:spacing w:val="9"/>
          <w:sz w:val="15"/>
        </w:rPr>
        <w:t> </w:t>
      </w:r>
      <w:r>
        <w:rPr>
          <w:sz w:val="15"/>
        </w:rPr>
        <w:t>20</w:t>
      </w:r>
      <w:r>
        <w:rPr>
          <w:spacing w:val="10"/>
          <w:sz w:val="15"/>
        </w:rPr>
        <w:t> </w:t>
      </w:r>
      <w:r>
        <w:rPr>
          <w:sz w:val="15"/>
        </w:rPr>
        <w:t>unidades</w:t>
      </w:r>
      <w:r>
        <w:rPr>
          <w:spacing w:val="10"/>
          <w:sz w:val="15"/>
        </w:rPr>
        <w:t> </w:t>
      </w:r>
      <w:r>
        <w:rPr>
          <w:sz w:val="15"/>
        </w:rPr>
        <w:t>de</w:t>
      </w:r>
      <w:r>
        <w:rPr>
          <w:spacing w:val="10"/>
          <w:sz w:val="15"/>
        </w:rPr>
        <w:t> </w:t>
      </w:r>
      <w:r>
        <w:rPr>
          <w:sz w:val="15"/>
        </w:rPr>
        <w:t>medida</w:t>
      </w:r>
      <w:r>
        <w:rPr>
          <w:spacing w:val="10"/>
          <w:sz w:val="15"/>
        </w:rPr>
        <w:t> </w:t>
      </w:r>
      <w:r>
        <w:rPr>
          <w:sz w:val="15"/>
        </w:rPr>
        <w:t>y</w:t>
      </w:r>
      <w:r>
        <w:rPr>
          <w:spacing w:val="10"/>
          <w:sz w:val="15"/>
        </w:rPr>
        <w:t> </w:t>
      </w:r>
      <w:r>
        <w:rPr>
          <w:sz w:val="15"/>
        </w:rPr>
        <w:t>actualización;</w:t>
      </w:r>
    </w:p>
    <w:p>
      <w:pPr>
        <w:pStyle w:val="BodyText"/>
        <w:spacing w:before="1"/>
        <w:rPr>
          <w:sz w:val="22"/>
        </w:rPr>
      </w:pPr>
    </w:p>
    <w:p>
      <w:pPr>
        <w:pStyle w:val="ListParagraph"/>
        <w:numPr>
          <w:ilvl w:val="0"/>
          <w:numId w:val="250"/>
        </w:numPr>
        <w:tabs>
          <w:tab w:pos="781" w:val="left" w:leader="none"/>
        </w:tabs>
        <w:spacing w:line="247" w:lineRule="auto" w:before="0" w:after="0"/>
        <w:ind w:left="151" w:right="2788" w:firstLine="397"/>
        <w:jc w:val="left"/>
        <w:rPr>
          <w:sz w:val="15"/>
        </w:rPr>
      </w:pPr>
      <w:r>
        <w:rPr>
          <w:sz w:val="15"/>
        </w:rPr>
        <w:t>Por obstruir la vialidad en las bocacalles, el tránsito y circulación del público,</w:t>
      </w:r>
      <w:r>
        <w:rPr>
          <w:spacing w:val="1"/>
          <w:sz w:val="15"/>
        </w:rPr>
        <w:t> </w:t>
      </w:r>
      <w:r>
        <w:rPr>
          <w:sz w:val="15"/>
        </w:rPr>
        <w:t>de:</w:t>
      </w:r>
    </w:p>
    <w:p>
      <w:pPr>
        <w:pStyle w:val="BodyText"/>
        <w:spacing w:line="171" w:lineRule="exact"/>
        <w:ind w:left="2478"/>
      </w:pPr>
      <w:r>
        <w:rPr/>
        <w:t>7 a 20 unidades de medida y actualización;</w:t>
      </w:r>
    </w:p>
    <w:p>
      <w:pPr>
        <w:pStyle w:val="BodyText"/>
        <w:spacing w:before="7"/>
        <w:rPr>
          <w:sz w:val="22"/>
        </w:rPr>
      </w:pPr>
    </w:p>
    <w:p>
      <w:pPr>
        <w:pStyle w:val="ListParagraph"/>
        <w:numPr>
          <w:ilvl w:val="0"/>
          <w:numId w:val="250"/>
        </w:numPr>
        <w:tabs>
          <w:tab w:pos="952" w:val="left" w:leader="none"/>
        </w:tabs>
        <w:spacing w:line="247" w:lineRule="auto" w:before="0" w:after="0"/>
        <w:ind w:left="151" w:right="2790" w:firstLine="397"/>
        <w:jc w:val="left"/>
        <w:rPr>
          <w:sz w:val="15"/>
        </w:rPr>
      </w:pPr>
      <w:r>
        <w:rPr>
          <w:sz w:val="15"/>
        </w:rPr>
        <w:t>Por obstruir cajones de estacionamiento en inmuebles comerciales, por cada uno de ellos,</w:t>
      </w:r>
      <w:r>
        <w:rPr>
          <w:spacing w:val="10"/>
          <w:sz w:val="15"/>
        </w:rPr>
        <w:t> </w:t>
      </w:r>
      <w:r>
        <w:rPr>
          <w:sz w:val="15"/>
        </w:rPr>
        <w:t>de:</w:t>
      </w:r>
    </w:p>
    <w:p>
      <w:pPr>
        <w:pStyle w:val="BodyText"/>
        <w:spacing w:line="172" w:lineRule="exact"/>
        <w:ind w:left="2735"/>
      </w:pPr>
      <w:r>
        <w:rPr/>
        <w:t>65 unidades de medida y </w:t>
      </w:r>
      <w:r>
        <w:rPr>
          <w:spacing w:val="22"/>
        </w:rPr>
        <w:t> </w:t>
      </w:r>
      <w:r>
        <w:rPr/>
        <w:t>actualización;</w:t>
      </w:r>
    </w:p>
    <w:p>
      <w:pPr>
        <w:pStyle w:val="BodyText"/>
        <w:spacing w:before="7"/>
        <w:rPr>
          <w:sz w:val="22"/>
        </w:rPr>
      </w:pPr>
    </w:p>
    <w:p>
      <w:pPr>
        <w:pStyle w:val="ListParagraph"/>
        <w:numPr>
          <w:ilvl w:val="0"/>
          <w:numId w:val="250"/>
        </w:numPr>
        <w:tabs>
          <w:tab w:pos="922" w:val="left" w:leader="none"/>
          <w:tab w:pos="2555" w:val="left" w:leader="none"/>
        </w:tabs>
        <w:spacing w:line="247" w:lineRule="auto" w:before="0" w:after="0"/>
        <w:ind w:left="151" w:right="2789" w:firstLine="397"/>
        <w:jc w:val="left"/>
        <w:rPr>
          <w:sz w:val="15"/>
        </w:rPr>
      </w:pPr>
      <w:r>
        <w:rPr>
          <w:sz w:val="15"/>
        </w:rPr>
        <w:t>Por no mostrar los comprobantes del pago de piso ante la autoridad</w:t>
      </w:r>
      <w:r>
        <w:rPr>
          <w:spacing w:val="16"/>
          <w:sz w:val="15"/>
        </w:rPr>
        <w:t> </w:t>
      </w:r>
      <w:r>
        <w:rPr>
          <w:sz w:val="15"/>
        </w:rPr>
        <w:t>Municipal,</w:t>
      </w:r>
      <w:r>
        <w:rPr>
          <w:spacing w:val="16"/>
          <w:sz w:val="15"/>
        </w:rPr>
        <w:t> </w:t>
      </w:r>
      <w:r>
        <w:rPr>
          <w:sz w:val="15"/>
        </w:rPr>
        <w:t>de:</w:t>
        <w:tab/>
        <w:t>2</w:t>
      </w:r>
      <w:r>
        <w:rPr>
          <w:spacing w:val="9"/>
          <w:sz w:val="15"/>
        </w:rPr>
        <w:t> </w:t>
      </w:r>
      <w:r>
        <w:rPr>
          <w:sz w:val="15"/>
        </w:rPr>
        <w:t>a</w:t>
      </w:r>
      <w:r>
        <w:rPr>
          <w:spacing w:val="10"/>
          <w:sz w:val="15"/>
        </w:rPr>
        <w:t> </w:t>
      </w:r>
      <w:r>
        <w:rPr>
          <w:sz w:val="15"/>
        </w:rPr>
        <w:t>7</w:t>
      </w:r>
      <w:r>
        <w:rPr>
          <w:spacing w:val="9"/>
          <w:sz w:val="15"/>
        </w:rPr>
        <w:t> </w:t>
      </w:r>
      <w:r>
        <w:rPr>
          <w:sz w:val="15"/>
        </w:rPr>
        <w:t>unidades</w:t>
      </w:r>
      <w:r>
        <w:rPr>
          <w:spacing w:val="10"/>
          <w:sz w:val="15"/>
        </w:rPr>
        <w:t> </w:t>
      </w:r>
      <w:r>
        <w:rPr>
          <w:sz w:val="15"/>
        </w:rPr>
        <w:t>de</w:t>
      </w:r>
      <w:r>
        <w:rPr>
          <w:spacing w:val="10"/>
          <w:sz w:val="15"/>
        </w:rPr>
        <w:t> </w:t>
      </w:r>
      <w:r>
        <w:rPr>
          <w:sz w:val="15"/>
        </w:rPr>
        <w:t>medida</w:t>
      </w:r>
      <w:r>
        <w:rPr>
          <w:spacing w:val="10"/>
          <w:sz w:val="15"/>
        </w:rPr>
        <w:t> </w:t>
      </w:r>
      <w:r>
        <w:rPr>
          <w:sz w:val="15"/>
        </w:rPr>
        <w:t>y</w:t>
      </w:r>
      <w:r>
        <w:rPr>
          <w:spacing w:val="9"/>
          <w:sz w:val="15"/>
        </w:rPr>
        <w:t> </w:t>
      </w:r>
      <w:r>
        <w:rPr>
          <w:sz w:val="15"/>
        </w:rPr>
        <w:t>actualización;</w:t>
      </w:r>
    </w:p>
    <w:p>
      <w:pPr>
        <w:pStyle w:val="BodyText"/>
        <w:spacing w:before="8"/>
        <w:rPr>
          <w:sz w:val="18"/>
        </w:rPr>
      </w:pPr>
    </w:p>
    <w:p>
      <w:pPr>
        <w:pStyle w:val="ListParagraph"/>
        <w:numPr>
          <w:ilvl w:val="0"/>
          <w:numId w:val="250"/>
        </w:numPr>
        <w:tabs>
          <w:tab w:pos="497" w:val="left" w:leader="none"/>
        </w:tabs>
        <w:spacing w:line="247" w:lineRule="auto" w:before="0" w:after="0"/>
        <w:ind w:left="151" w:right="2786" w:firstLine="0"/>
        <w:jc w:val="both"/>
        <w:rPr>
          <w:sz w:val="15"/>
        </w:rPr>
      </w:pPr>
      <w:r>
        <w:rPr>
          <w:sz w:val="15"/>
        </w:rPr>
        <w:t>Por no contar con los comprobantes del pago anuales por el uso de instalaciones para redes subterráneas o aéreas de telefonía, conducción eléctrica, transmisión de datos, transmisión de señales de televisión, distribución de gas instaladas en las vías o espacios públicos, de:</w:t>
      </w:r>
    </w:p>
    <w:p>
      <w:pPr>
        <w:pStyle w:val="BodyText"/>
        <w:spacing w:line="170" w:lineRule="exact"/>
        <w:ind w:left="1780"/>
        <w:jc w:val="both"/>
      </w:pPr>
      <w:r>
        <w:rPr/>
        <w:t>20,000 a 40,000 unidades de medida y actualización.</w:t>
      </w:r>
    </w:p>
    <w:p>
      <w:pPr>
        <w:pStyle w:val="BodyText"/>
        <w:spacing w:before="10"/>
      </w:pPr>
    </w:p>
    <w:p>
      <w:pPr>
        <w:pStyle w:val="ListParagraph"/>
        <w:numPr>
          <w:ilvl w:val="0"/>
          <w:numId w:val="250"/>
        </w:numPr>
        <w:tabs>
          <w:tab w:pos="430" w:val="left" w:leader="none"/>
        </w:tabs>
        <w:spacing w:line="247" w:lineRule="auto" w:before="0" w:after="0"/>
        <w:ind w:left="151" w:right="2787" w:firstLine="0"/>
        <w:jc w:val="both"/>
        <w:rPr>
          <w:sz w:val="15"/>
        </w:rPr>
      </w:pPr>
      <w:r>
        <w:rPr>
          <w:sz w:val="15"/>
        </w:rPr>
        <w:t>Por impedir a quienes cuenten con los comprobantes de pago anuales el uso de instalaciones para redes subterráneas o aéreas de telefonía, conducción eléctrica, transmisión de datos, transmisión de señales de televisión, distribución de gas instaladas en las vías o espacios públicos, alegando contar con permisos o autorizaciones de urbanizadores posteriores  a la entrega de las obras de urbanización, administradores de condominios u otros particulares,</w:t>
      </w:r>
      <w:r>
        <w:rPr>
          <w:spacing w:val="2"/>
          <w:sz w:val="15"/>
        </w:rPr>
        <w:t> </w:t>
      </w:r>
      <w:r>
        <w:rPr>
          <w:sz w:val="15"/>
        </w:rPr>
        <w:t>de:</w:t>
      </w:r>
    </w:p>
    <w:p>
      <w:pPr>
        <w:spacing w:after="0" w:line="247" w:lineRule="auto"/>
        <w:jc w:val="both"/>
        <w:rPr>
          <w:sz w:val="15"/>
        </w:rPr>
        <w:sectPr>
          <w:type w:val="continuous"/>
          <w:pgSz w:w="23250" w:h="15310" w:orient="landscape"/>
          <w:pgMar w:top="0" w:bottom="0" w:left="1880" w:right="1520"/>
          <w:cols w:num="2" w:equalWidth="0">
            <w:col w:w="5473" w:space="6149"/>
            <w:col w:w="8228"/>
          </w:cols>
        </w:sectPr>
      </w:pPr>
    </w:p>
    <w:p>
      <w:pPr>
        <w:pStyle w:val="BodyText"/>
        <w:spacing w:before="3"/>
        <w:rPr>
          <w:sz w:val="13"/>
        </w:rPr>
      </w:pPr>
    </w:p>
    <w:p>
      <w:pPr>
        <w:pStyle w:val="ListParagraph"/>
        <w:numPr>
          <w:ilvl w:val="1"/>
          <w:numId w:val="250"/>
        </w:numPr>
        <w:tabs>
          <w:tab w:pos="782" w:val="left" w:leader="none"/>
        </w:tabs>
        <w:spacing w:line="247" w:lineRule="auto" w:before="0" w:after="0"/>
        <w:ind w:left="151" w:right="38" w:firstLine="397"/>
        <w:jc w:val="both"/>
        <w:rPr>
          <w:sz w:val="15"/>
        </w:rPr>
      </w:pPr>
      <w:r>
        <w:rPr>
          <w:sz w:val="15"/>
        </w:rPr>
        <w:t>Por obstaculizar el tránsito, contaminar visualmente o atentar contra el orden, de: 7 a 20 unidades de medida y</w:t>
      </w:r>
      <w:r>
        <w:rPr>
          <w:spacing w:val="-2"/>
          <w:sz w:val="15"/>
        </w:rPr>
        <w:t> </w:t>
      </w:r>
      <w:r>
        <w:rPr>
          <w:sz w:val="15"/>
        </w:rPr>
        <w:t>actualización;</w:t>
      </w:r>
    </w:p>
    <w:p>
      <w:pPr>
        <w:pStyle w:val="BodyText"/>
        <w:spacing w:before="2"/>
        <w:rPr>
          <w:sz w:val="22"/>
        </w:rPr>
      </w:pPr>
    </w:p>
    <w:p>
      <w:pPr>
        <w:pStyle w:val="ListParagraph"/>
        <w:numPr>
          <w:ilvl w:val="1"/>
          <w:numId w:val="250"/>
        </w:numPr>
        <w:tabs>
          <w:tab w:pos="834" w:val="left" w:leader="none"/>
        </w:tabs>
        <w:spacing w:line="247" w:lineRule="auto" w:before="0" w:after="0"/>
        <w:ind w:left="151" w:right="38" w:firstLine="397"/>
        <w:jc w:val="both"/>
        <w:rPr>
          <w:sz w:val="15"/>
        </w:rPr>
      </w:pPr>
      <w:r>
        <w:rPr>
          <w:sz w:val="15"/>
        </w:rPr>
        <w:t>Por tener  locales  o  puestos abandonados  o  que se encuentren sin  funcionar por  más de  treinta días  naturales  sin  causa   justificada, de:   4 a 10 unidades de medida y</w:t>
      </w:r>
      <w:r>
        <w:rPr>
          <w:spacing w:val="14"/>
          <w:sz w:val="15"/>
        </w:rPr>
        <w:t> </w:t>
      </w:r>
      <w:r>
        <w:rPr>
          <w:sz w:val="15"/>
        </w:rPr>
        <w:t>actualización;</w:t>
      </w:r>
    </w:p>
    <w:p>
      <w:pPr>
        <w:pStyle w:val="BodyText"/>
        <w:spacing w:before="1"/>
        <w:rPr>
          <w:sz w:val="22"/>
        </w:rPr>
      </w:pPr>
    </w:p>
    <w:p>
      <w:pPr>
        <w:pStyle w:val="ListParagraph"/>
        <w:numPr>
          <w:ilvl w:val="1"/>
          <w:numId w:val="250"/>
        </w:numPr>
        <w:tabs>
          <w:tab w:pos="889" w:val="left" w:leader="none"/>
        </w:tabs>
        <w:spacing w:line="244" w:lineRule="auto" w:before="0" w:after="0"/>
        <w:ind w:left="151" w:right="38" w:firstLine="397"/>
        <w:jc w:val="both"/>
        <w:rPr>
          <w:sz w:val="15"/>
        </w:rPr>
      </w:pPr>
      <w:r>
        <w:rPr>
          <w:sz w:val="15"/>
        </w:rPr>
        <w:t>Por tener en la vía pública puestos o instalaciones que resulten inseguros, originen conflictos viales, representen problemas higiénicos o de contaminación,</w:t>
      </w:r>
      <w:r>
        <w:rPr>
          <w:spacing w:val="29"/>
          <w:sz w:val="15"/>
        </w:rPr>
        <w:t> </w:t>
      </w:r>
      <w:r>
        <w:rPr>
          <w:sz w:val="15"/>
        </w:rPr>
        <w:t>afecten</w:t>
      </w:r>
      <w:r>
        <w:rPr>
          <w:spacing w:val="29"/>
          <w:sz w:val="15"/>
        </w:rPr>
        <w:t> </w:t>
      </w:r>
      <w:r>
        <w:rPr>
          <w:sz w:val="15"/>
        </w:rPr>
        <w:t>los</w:t>
      </w:r>
      <w:r>
        <w:rPr>
          <w:spacing w:val="29"/>
          <w:sz w:val="15"/>
        </w:rPr>
        <w:t> </w:t>
      </w:r>
      <w:r>
        <w:rPr>
          <w:sz w:val="15"/>
        </w:rPr>
        <w:t>intereses</w:t>
      </w:r>
      <w:r>
        <w:rPr>
          <w:spacing w:val="29"/>
          <w:sz w:val="15"/>
        </w:rPr>
        <w:t> </w:t>
      </w:r>
      <w:r>
        <w:rPr>
          <w:sz w:val="15"/>
        </w:rPr>
        <w:t>de</w:t>
      </w:r>
      <w:r>
        <w:rPr>
          <w:spacing w:val="29"/>
          <w:sz w:val="15"/>
        </w:rPr>
        <w:t> </w:t>
      </w:r>
      <w:r>
        <w:rPr>
          <w:sz w:val="15"/>
        </w:rPr>
        <w:t>la</w:t>
      </w:r>
      <w:r>
        <w:rPr>
          <w:spacing w:val="29"/>
          <w:sz w:val="15"/>
        </w:rPr>
        <w:t> </w:t>
      </w:r>
      <w:r>
        <w:rPr>
          <w:sz w:val="15"/>
        </w:rPr>
        <w:t>comunidad</w:t>
      </w:r>
      <w:r>
        <w:rPr>
          <w:spacing w:val="29"/>
          <w:sz w:val="15"/>
        </w:rPr>
        <w:t> </w:t>
      </w:r>
      <w:r>
        <w:rPr>
          <w:sz w:val="15"/>
        </w:rPr>
        <w:t>o</w:t>
      </w:r>
      <w:r>
        <w:rPr>
          <w:spacing w:val="29"/>
          <w:sz w:val="15"/>
        </w:rPr>
        <w:t> </w:t>
      </w:r>
      <w:r>
        <w:rPr>
          <w:sz w:val="15"/>
        </w:rPr>
        <w:t>que</w:t>
      </w:r>
      <w:r>
        <w:rPr>
          <w:spacing w:val="29"/>
          <w:sz w:val="15"/>
        </w:rPr>
        <w:t> </w:t>
      </w:r>
      <w:r>
        <w:rPr>
          <w:sz w:val="15"/>
        </w:rPr>
        <w:t>se</w:t>
      </w:r>
      <w:r>
        <w:rPr>
          <w:spacing w:val="29"/>
          <w:sz w:val="15"/>
        </w:rPr>
        <w:t> </w:t>
      </w:r>
      <w:r>
        <w:rPr>
          <w:sz w:val="15"/>
        </w:rPr>
        <w:t>encuentren</w:t>
      </w:r>
    </w:p>
    <w:p>
      <w:pPr>
        <w:pStyle w:val="BodyText"/>
        <w:spacing w:line="169" w:lineRule="exact"/>
        <w:ind w:left="2307"/>
        <w:jc w:val="both"/>
      </w:pPr>
      <w:r>
        <w:rPr/>
        <w:br w:type="column"/>
      </w:r>
      <w:r>
        <w:rPr/>
        <w:t>80 a 450 unidades de medida y actualización.</w:t>
      </w:r>
    </w:p>
    <w:p>
      <w:pPr>
        <w:pStyle w:val="BodyText"/>
        <w:spacing w:before="8"/>
      </w:pPr>
    </w:p>
    <w:p>
      <w:pPr>
        <w:pStyle w:val="ListParagraph"/>
        <w:numPr>
          <w:ilvl w:val="0"/>
          <w:numId w:val="252"/>
        </w:numPr>
        <w:tabs>
          <w:tab w:pos="885" w:val="left" w:leader="none"/>
        </w:tabs>
        <w:spacing w:line="247" w:lineRule="auto" w:before="0" w:after="0"/>
        <w:ind w:left="151" w:right="2788" w:firstLine="397"/>
        <w:jc w:val="both"/>
        <w:rPr>
          <w:sz w:val="15"/>
        </w:rPr>
      </w:pPr>
      <w:r>
        <w:rPr>
          <w:sz w:val="15"/>
        </w:rPr>
        <w:t>Por invadir áreas verdes, camellones, bocacalles y banquetas, de:  5 a 9 unidades de medida y</w:t>
      </w:r>
      <w:r>
        <w:rPr>
          <w:spacing w:val="13"/>
          <w:sz w:val="15"/>
        </w:rPr>
        <w:t> </w:t>
      </w:r>
      <w:r>
        <w:rPr>
          <w:sz w:val="15"/>
        </w:rPr>
        <w:t>actualización;</w:t>
      </w:r>
    </w:p>
    <w:p>
      <w:pPr>
        <w:pStyle w:val="BodyText"/>
        <w:spacing w:before="2"/>
        <w:rPr>
          <w:sz w:val="22"/>
        </w:rPr>
      </w:pPr>
    </w:p>
    <w:p>
      <w:pPr>
        <w:pStyle w:val="ListParagraph"/>
        <w:numPr>
          <w:ilvl w:val="0"/>
          <w:numId w:val="252"/>
        </w:numPr>
        <w:tabs>
          <w:tab w:pos="928" w:val="left" w:leader="none"/>
        </w:tabs>
        <w:spacing w:line="247" w:lineRule="auto" w:before="0" w:after="0"/>
        <w:ind w:left="151" w:right="2788" w:firstLine="397"/>
        <w:jc w:val="both"/>
        <w:rPr>
          <w:sz w:val="15"/>
        </w:rPr>
      </w:pPr>
      <w:r>
        <w:rPr>
          <w:sz w:val="15"/>
        </w:rPr>
        <w:t>Por expender bebidas alcohólicas, sustancias tóxicas, explosivos, así como el consumo o uso de ellos, así como por vender material pornográfico,</w:t>
      </w:r>
      <w:r>
        <w:rPr>
          <w:spacing w:val="1"/>
          <w:sz w:val="15"/>
        </w:rPr>
        <w:t> </w:t>
      </w:r>
      <w:r>
        <w:rPr>
          <w:sz w:val="15"/>
        </w:rPr>
        <w:t>de:</w:t>
      </w:r>
    </w:p>
    <w:p>
      <w:pPr>
        <w:pStyle w:val="BodyText"/>
        <w:spacing w:line="171" w:lineRule="exact"/>
        <w:ind w:left="2307"/>
        <w:jc w:val="both"/>
      </w:pPr>
      <w:r>
        <w:rPr/>
        <w:t>20 a 143 unidades de medida y actualización;</w:t>
      </w:r>
    </w:p>
    <w:p>
      <w:pPr>
        <w:pStyle w:val="BodyText"/>
        <w:spacing w:before="7"/>
        <w:rPr>
          <w:sz w:val="22"/>
        </w:rPr>
      </w:pPr>
    </w:p>
    <w:p>
      <w:pPr>
        <w:pStyle w:val="ListParagraph"/>
        <w:numPr>
          <w:ilvl w:val="0"/>
          <w:numId w:val="252"/>
        </w:numPr>
        <w:tabs>
          <w:tab w:pos="1002" w:val="left" w:leader="none"/>
        </w:tabs>
        <w:spacing w:line="240" w:lineRule="auto" w:before="0" w:after="0"/>
        <w:ind w:left="1001" w:right="0" w:hanging="454"/>
        <w:jc w:val="left"/>
        <w:rPr>
          <w:sz w:val="15"/>
        </w:rPr>
      </w:pPr>
      <w:r>
        <w:rPr>
          <w:sz w:val="15"/>
        </w:rPr>
        <w:t>Por no observar un comportamiento dentro de la moral y</w:t>
      </w:r>
      <w:r>
        <w:rPr>
          <w:spacing w:val="-14"/>
          <w:sz w:val="15"/>
        </w:rPr>
        <w:t> </w:t>
      </w:r>
      <w:r>
        <w:rPr>
          <w:sz w:val="15"/>
        </w:rPr>
        <w:t>las</w:t>
      </w:r>
    </w:p>
    <w:p>
      <w:pPr>
        <w:spacing w:after="0" w:line="240" w:lineRule="auto"/>
        <w:jc w:val="left"/>
        <w:rPr>
          <w:sz w:val="15"/>
        </w:rPr>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32"/>
          <w:pgSz w:w="23250" w:h="15310" w:orient="landscape"/>
          <w:pgMar w:header="881" w:footer="499" w:top="1920" w:bottom="680" w:left="1880" w:right="1520"/>
        </w:sectPr>
      </w:pPr>
    </w:p>
    <w:p>
      <w:pPr>
        <w:pStyle w:val="BodyText"/>
        <w:spacing w:before="10"/>
        <w:rPr>
          <w:sz w:val="19"/>
        </w:rPr>
      </w:pPr>
    </w:p>
    <w:p>
      <w:pPr>
        <w:pStyle w:val="BodyText"/>
        <w:spacing w:line="247" w:lineRule="auto"/>
        <w:ind w:left="151"/>
      </w:pPr>
      <w:r>
        <w:rPr/>
        <w:t>buenas costumbres así como no guardar respeto al público usuario o a los vecinos del lugar, de:</w:t>
      </w:r>
    </w:p>
    <w:p>
      <w:pPr>
        <w:pStyle w:val="BodyText"/>
        <w:spacing w:line="172" w:lineRule="exact"/>
        <w:ind w:left="2564"/>
        <w:jc w:val="both"/>
      </w:pPr>
      <w:r>
        <w:rPr/>
        <w:t>4 a 9 unidades de medida y actualización;</w:t>
      </w:r>
    </w:p>
    <w:p>
      <w:pPr>
        <w:pStyle w:val="BodyText"/>
        <w:spacing w:before="7"/>
        <w:rPr>
          <w:sz w:val="22"/>
        </w:rPr>
      </w:pPr>
    </w:p>
    <w:p>
      <w:pPr>
        <w:pStyle w:val="ListParagraph"/>
        <w:numPr>
          <w:ilvl w:val="0"/>
          <w:numId w:val="252"/>
        </w:numPr>
        <w:tabs>
          <w:tab w:pos="941" w:val="left" w:leader="none"/>
        </w:tabs>
        <w:spacing w:line="247" w:lineRule="auto" w:before="0" w:after="0"/>
        <w:ind w:left="151" w:right="38" w:firstLine="397"/>
        <w:jc w:val="both"/>
        <w:rPr>
          <w:sz w:val="15"/>
        </w:rPr>
      </w:pPr>
      <w:r>
        <w:rPr>
          <w:sz w:val="15"/>
        </w:rPr>
        <w:t>Por no mantener aseado el área durante y después de la instalación del puesto, de: 2 a 7 unidades de medida y</w:t>
      </w:r>
      <w:r>
        <w:rPr>
          <w:spacing w:val="22"/>
          <w:sz w:val="15"/>
        </w:rPr>
        <w:t> </w:t>
      </w:r>
      <w:r>
        <w:rPr>
          <w:sz w:val="15"/>
        </w:rPr>
        <w:t>actualización;</w:t>
      </w:r>
    </w:p>
    <w:p>
      <w:pPr>
        <w:pStyle w:val="BodyText"/>
        <w:spacing w:before="1"/>
        <w:rPr>
          <w:sz w:val="22"/>
        </w:rPr>
      </w:pPr>
    </w:p>
    <w:p>
      <w:pPr>
        <w:pStyle w:val="ListParagraph"/>
        <w:numPr>
          <w:ilvl w:val="0"/>
          <w:numId w:val="252"/>
        </w:numPr>
        <w:tabs>
          <w:tab w:pos="840" w:val="left" w:leader="none"/>
        </w:tabs>
        <w:spacing w:line="240" w:lineRule="auto" w:before="1" w:after="0"/>
        <w:ind w:left="839" w:right="0" w:hanging="292"/>
        <w:jc w:val="left"/>
        <w:rPr>
          <w:sz w:val="15"/>
        </w:rPr>
      </w:pPr>
      <w:r>
        <w:rPr>
          <w:sz w:val="15"/>
        </w:rPr>
        <w:t>Por exceso de volumen en aparatos de sonido,</w:t>
      </w:r>
      <w:r>
        <w:rPr>
          <w:spacing w:val="24"/>
          <w:sz w:val="15"/>
        </w:rPr>
        <w:t> </w:t>
      </w:r>
      <w:r>
        <w:rPr>
          <w:sz w:val="15"/>
        </w:rPr>
        <w:t>de:</w:t>
      </w:r>
    </w:p>
    <w:p>
      <w:pPr>
        <w:pStyle w:val="BodyText"/>
        <w:spacing w:before="4"/>
        <w:ind w:left="2477"/>
        <w:jc w:val="both"/>
      </w:pPr>
      <w:r>
        <w:rPr/>
        <w:t>3 a 12 unidades de medida y actualización;</w:t>
      </w:r>
    </w:p>
    <w:p>
      <w:pPr>
        <w:pStyle w:val="BodyText"/>
        <w:spacing w:before="6"/>
        <w:rPr>
          <w:sz w:val="22"/>
        </w:rPr>
      </w:pPr>
    </w:p>
    <w:p>
      <w:pPr>
        <w:pStyle w:val="ListParagraph"/>
        <w:numPr>
          <w:ilvl w:val="0"/>
          <w:numId w:val="252"/>
        </w:numPr>
        <w:tabs>
          <w:tab w:pos="883" w:val="left" w:leader="none"/>
        </w:tabs>
        <w:spacing w:line="240" w:lineRule="auto" w:before="0" w:after="0"/>
        <w:ind w:left="882" w:right="0" w:hanging="335"/>
        <w:jc w:val="left"/>
        <w:rPr>
          <w:sz w:val="15"/>
        </w:rPr>
      </w:pPr>
      <w:r>
        <w:rPr>
          <w:sz w:val="15"/>
        </w:rPr>
        <w:t>Por vender o rentar los lugares del mismo tianguis,</w:t>
      </w:r>
      <w:r>
        <w:rPr>
          <w:spacing w:val="32"/>
          <w:sz w:val="15"/>
        </w:rPr>
        <w:t> </w:t>
      </w:r>
      <w:r>
        <w:rPr>
          <w:sz w:val="15"/>
        </w:rPr>
        <w:t>de:</w:t>
      </w:r>
    </w:p>
    <w:p>
      <w:pPr>
        <w:pStyle w:val="BodyText"/>
        <w:spacing w:before="5"/>
        <w:ind w:left="2564"/>
        <w:jc w:val="both"/>
      </w:pPr>
      <w:r>
        <w:rPr/>
        <w:t>5 a 9 unidades de medida y actualización;</w:t>
      </w:r>
    </w:p>
    <w:p>
      <w:pPr>
        <w:pStyle w:val="BodyText"/>
        <w:spacing w:before="7"/>
        <w:rPr>
          <w:sz w:val="22"/>
        </w:rPr>
      </w:pPr>
    </w:p>
    <w:p>
      <w:pPr>
        <w:spacing w:before="0"/>
        <w:ind w:left="702" w:right="0" w:firstLine="0"/>
        <w:jc w:val="left"/>
        <w:rPr>
          <w:sz w:val="15"/>
        </w:rPr>
      </w:pPr>
      <w:r>
        <w:rPr>
          <w:b/>
          <w:sz w:val="15"/>
        </w:rPr>
        <w:t>Artículo 152.- </w:t>
      </w:r>
      <w:r>
        <w:rPr>
          <w:sz w:val="15"/>
        </w:rPr>
        <w:t>Por violaciones en materia de espectáculos públicos:</w:t>
      </w:r>
    </w:p>
    <w:p>
      <w:pPr>
        <w:pStyle w:val="BodyText"/>
        <w:spacing w:before="7"/>
        <w:rPr>
          <w:sz w:val="22"/>
        </w:rPr>
      </w:pPr>
    </w:p>
    <w:p>
      <w:pPr>
        <w:pStyle w:val="ListParagraph"/>
        <w:numPr>
          <w:ilvl w:val="0"/>
          <w:numId w:val="253"/>
        </w:numPr>
        <w:tabs>
          <w:tab w:pos="744" w:val="left" w:leader="none"/>
        </w:tabs>
        <w:spacing w:line="247" w:lineRule="auto" w:before="0" w:after="0"/>
        <w:ind w:left="150" w:right="39" w:firstLine="397"/>
        <w:jc w:val="both"/>
        <w:rPr>
          <w:sz w:val="15"/>
        </w:rPr>
      </w:pPr>
      <w:r>
        <w:rPr>
          <w:sz w:val="15"/>
        </w:rPr>
        <w:t>En los salones de eventos por no recabar previamente a la  realización de evento  el  permiso  otorgado  por  la  autoridad  municipal,  de: 6 a 22 unidades de medida y</w:t>
      </w:r>
      <w:r>
        <w:rPr>
          <w:spacing w:val="14"/>
          <w:sz w:val="15"/>
        </w:rPr>
        <w:t> </w:t>
      </w:r>
      <w:r>
        <w:rPr>
          <w:sz w:val="15"/>
        </w:rPr>
        <w:t>actualización;</w:t>
      </w:r>
    </w:p>
    <w:p>
      <w:pPr>
        <w:pStyle w:val="BodyText"/>
        <w:spacing w:before="1"/>
        <w:rPr>
          <w:sz w:val="22"/>
        </w:rPr>
      </w:pPr>
    </w:p>
    <w:p>
      <w:pPr>
        <w:pStyle w:val="ListParagraph"/>
        <w:numPr>
          <w:ilvl w:val="0"/>
          <w:numId w:val="253"/>
        </w:numPr>
        <w:tabs>
          <w:tab w:pos="725" w:val="left" w:leader="none"/>
        </w:tabs>
        <w:spacing w:line="247" w:lineRule="auto" w:before="1" w:after="0"/>
        <w:ind w:left="150" w:right="38" w:firstLine="397"/>
        <w:jc w:val="both"/>
        <w:rPr>
          <w:sz w:val="15"/>
        </w:rPr>
      </w:pPr>
      <w:r>
        <w:rPr>
          <w:sz w:val="15"/>
        </w:rPr>
        <w:t>Por no contar con croquis visible del inmueble, en el que se señalen  la ubicación de las salidas normales y de emergencia, de los extinguidores y demás elementos de seguridad, así como la orientación  necesaria  para  casos de emergencia,</w:t>
      </w:r>
      <w:r>
        <w:rPr>
          <w:spacing w:val="4"/>
          <w:sz w:val="15"/>
        </w:rPr>
        <w:t> </w:t>
      </w:r>
      <w:r>
        <w:rPr>
          <w:sz w:val="15"/>
        </w:rPr>
        <w:t>de:</w:t>
      </w:r>
    </w:p>
    <w:p>
      <w:pPr>
        <w:pStyle w:val="ListParagraph"/>
        <w:numPr>
          <w:ilvl w:val="0"/>
          <w:numId w:val="254"/>
        </w:numPr>
        <w:tabs>
          <w:tab w:pos="2607" w:val="left" w:leader="none"/>
        </w:tabs>
        <w:spacing w:line="170" w:lineRule="exact" w:before="0" w:after="0"/>
        <w:ind w:left="2606" w:right="0" w:hanging="129"/>
        <w:jc w:val="both"/>
        <w:rPr>
          <w:sz w:val="15"/>
        </w:rPr>
      </w:pPr>
      <w:r>
        <w:rPr>
          <w:sz w:val="15"/>
        </w:rPr>
        <w:t>a 45 unidades de medida y</w:t>
      </w:r>
      <w:r>
        <w:rPr>
          <w:spacing w:val="15"/>
          <w:sz w:val="15"/>
        </w:rPr>
        <w:t> </w:t>
      </w:r>
      <w:r>
        <w:rPr>
          <w:sz w:val="15"/>
        </w:rPr>
        <w:t>actualización;</w:t>
      </w:r>
    </w:p>
    <w:p>
      <w:pPr>
        <w:pStyle w:val="BodyText"/>
        <w:spacing w:before="6"/>
        <w:rPr>
          <w:sz w:val="22"/>
        </w:rPr>
      </w:pPr>
    </w:p>
    <w:p>
      <w:pPr>
        <w:pStyle w:val="ListParagraph"/>
        <w:numPr>
          <w:ilvl w:val="0"/>
          <w:numId w:val="253"/>
        </w:numPr>
        <w:tabs>
          <w:tab w:pos="805" w:val="left" w:leader="none"/>
          <w:tab w:pos="1870" w:val="left" w:leader="none"/>
        </w:tabs>
        <w:spacing w:line="247" w:lineRule="auto" w:before="1" w:after="0"/>
        <w:ind w:left="150" w:right="38" w:firstLine="397"/>
        <w:jc w:val="both"/>
        <w:rPr>
          <w:sz w:val="15"/>
        </w:rPr>
      </w:pPr>
      <w:r>
        <w:rPr>
          <w:sz w:val="15"/>
        </w:rPr>
        <w:t>Por no mantener las salidas usuales y de emergencia libre de obstáculos,</w:t>
      </w:r>
      <w:r>
        <w:rPr>
          <w:spacing w:val="16"/>
          <w:sz w:val="15"/>
        </w:rPr>
        <w:t> </w:t>
      </w:r>
      <w:r>
        <w:rPr>
          <w:sz w:val="15"/>
        </w:rPr>
        <w:t>de:</w:t>
        <w:tab/>
        <w:t>22 a 86 unidades de medida y</w:t>
      </w:r>
      <w:r>
        <w:rPr>
          <w:spacing w:val="31"/>
          <w:sz w:val="15"/>
        </w:rPr>
        <w:t> </w:t>
      </w:r>
      <w:r>
        <w:rPr>
          <w:sz w:val="15"/>
        </w:rPr>
        <w:t>actualización;</w:t>
      </w:r>
    </w:p>
    <w:p>
      <w:pPr>
        <w:pStyle w:val="BodyText"/>
        <w:rPr>
          <w:sz w:val="16"/>
        </w:rPr>
      </w:pPr>
    </w:p>
    <w:p>
      <w:pPr>
        <w:pStyle w:val="BodyText"/>
        <w:spacing w:before="6"/>
        <w:rPr>
          <w:sz w:val="21"/>
        </w:rPr>
      </w:pPr>
    </w:p>
    <w:p>
      <w:pPr>
        <w:pStyle w:val="ListParagraph"/>
        <w:numPr>
          <w:ilvl w:val="0"/>
          <w:numId w:val="253"/>
        </w:numPr>
        <w:tabs>
          <w:tab w:pos="784" w:val="left" w:leader="none"/>
        </w:tabs>
        <w:spacing w:line="244" w:lineRule="auto" w:before="0" w:after="0"/>
        <w:ind w:left="150" w:right="39" w:firstLine="397"/>
        <w:jc w:val="both"/>
        <w:rPr>
          <w:sz w:val="15"/>
        </w:rPr>
      </w:pPr>
      <w:r>
        <w:rPr>
          <w:sz w:val="15"/>
        </w:rPr>
        <w:t>Por variación imputable al artista, del horario de presentación, de:   29 a 221 unidades de medida y</w:t>
      </w:r>
      <w:r>
        <w:rPr>
          <w:spacing w:val="15"/>
          <w:sz w:val="15"/>
        </w:rPr>
        <w:t> </w:t>
      </w:r>
      <w:r>
        <w:rPr>
          <w:sz w:val="15"/>
        </w:rPr>
        <w:t>actualización;</w:t>
      </w:r>
    </w:p>
    <w:p>
      <w:pPr>
        <w:pStyle w:val="BodyText"/>
        <w:spacing w:before="9"/>
        <w:rPr>
          <w:sz w:val="19"/>
        </w:rPr>
      </w:pPr>
      <w:r>
        <w:rPr/>
        <w:br w:type="column"/>
      </w:r>
      <w:r>
        <w:rPr>
          <w:sz w:val="19"/>
        </w:rPr>
      </w:r>
    </w:p>
    <w:p>
      <w:pPr>
        <w:pStyle w:val="BodyText"/>
        <w:tabs>
          <w:tab w:pos="2378" w:val="left" w:leader="none"/>
        </w:tabs>
        <w:spacing w:line="247" w:lineRule="auto"/>
        <w:ind w:left="150" w:right="2788"/>
      </w:pPr>
      <w:r>
        <w:rPr/>
        <w:t>que operen eventualmente, ya sean dichas funciones gratuitas o  de lucro,    de:</w:t>
        <w:tab/>
        <w:t>10</w:t>
      </w:r>
      <w:r>
        <w:rPr>
          <w:spacing w:val="9"/>
        </w:rPr>
        <w:t> </w:t>
      </w:r>
      <w:r>
        <w:rPr/>
        <w:t>a</w:t>
      </w:r>
      <w:r>
        <w:rPr>
          <w:spacing w:val="8"/>
        </w:rPr>
        <w:t> </w:t>
      </w:r>
      <w:r>
        <w:rPr/>
        <w:t>34</w:t>
      </w:r>
      <w:r>
        <w:rPr>
          <w:spacing w:val="9"/>
        </w:rPr>
        <w:t> </w:t>
      </w:r>
      <w:r>
        <w:rPr/>
        <w:t>unidades</w:t>
      </w:r>
      <w:r>
        <w:rPr>
          <w:spacing w:val="10"/>
        </w:rPr>
        <w:t> </w:t>
      </w:r>
      <w:r>
        <w:rPr/>
        <w:t>de</w:t>
      </w:r>
      <w:r>
        <w:rPr>
          <w:spacing w:val="9"/>
        </w:rPr>
        <w:t> </w:t>
      </w:r>
      <w:r>
        <w:rPr/>
        <w:t>medida</w:t>
      </w:r>
      <w:r>
        <w:rPr>
          <w:spacing w:val="9"/>
        </w:rPr>
        <w:t> </w:t>
      </w:r>
      <w:r>
        <w:rPr/>
        <w:t>y</w:t>
      </w:r>
      <w:r>
        <w:rPr>
          <w:spacing w:val="10"/>
        </w:rPr>
        <w:t> </w:t>
      </w:r>
      <w:r>
        <w:rPr/>
        <w:t>actualización;</w:t>
      </w:r>
    </w:p>
    <w:p>
      <w:pPr>
        <w:pStyle w:val="BodyText"/>
        <w:spacing w:before="2"/>
        <w:rPr>
          <w:sz w:val="22"/>
        </w:rPr>
      </w:pPr>
    </w:p>
    <w:p>
      <w:pPr>
        <w:pStyle w:val="ListParagraph"/>
        <w:numPr>
          <w:ilvl w:val="0"/>
          <w:numId w:val="255"/>
        </w:numPr>
        <w:tabs>
          <w:tab w:pos="749" w:val="left" w:leader="none"/>
        </w:tabs>
        <w:spacing w:line="247" w:lineRule="auto" w:before="0" w:after="0"/>
        <w:ind w:left="150" w:right="2787" w:firstLine="397"/>
        <w:jc w:val="both"/>
        <w:rPr>
          <w:sz w:val="15"/>
        </w:rPr>
      </w:pPr>
      <w:r>
        <w:rPr>
          <w:sz w:val="15"/>
        </w:rPr>
        <w:t>Por haber vendido un mayor número de boletos del aforo del lugar  del espectáculo, por sobre cupo independientemente de su origen o por aumentar el aforo mediante la colocación de sillas de 1 a 3 tantos del valor    de los boletos vendidos en</w:t>
      </w:r>
      <w:r>
        <w:rPr>
          <w:spacing w:val="8"/>
          <w:sz w:val="15"/>
        </w:rPr>
        <w:t> </w:t>
      </w:r>
      <w:r>
        <w:rPr>
          <w:sz w:val="15"/>
        </w:rPr>
        <w:t>exceso.</w:t>
      </w:r>
    </w:p>
    <w:p>
      <w:pPr>
        <w:pStyle w:val="BodyText"/>
        <w:rPr>
          <w:sz w:val="22"/>
        </w:rPr>
      </w:pPr>
    </w:p>
    <w:p>
      <w:pPr>
        <w:pStyle w:val="ListParagraph"/>
        <w:numPr>
          <w:ilvl w:val="0"/>
          <w:numId w:val="255"/>
        </w:numPr>
        <w:tabs>
          <w:tab w:pos="793" w:val="left" w:leader="none"/>
        </w:tabs>
        <w:spacing w:line="247" w:lineRule="auto" w:before="1" w:after="0"/>
        <w:ind w:left="150" w:right="2787" w:firstLine="397"/>
        <w:jc w:val="both"/>
        <w:rPr>
          <w:sz w:val="15"/>
        </w:rPr>
      </w:pPr>
      <w:r>
        <w:rPr>
          <w:sz w:val="15"/>
        </w:rPr>
        <w:t>En las instalaciones ambulantes donde se presenten espectáculos  de manera eventual, como circos, carpas, ferias, u  otras  diversiones similares, por no reunir los requisitos de seguridad indispensables para su instalación y funcionamiento,</w:t>
      </w:r>
      <w:r>
        <w:rPr>
          <w:spacing w:val="2"/>
          <w:sz w:val="15"/>
        </w:rPr>
        <w:t> </w:t>
      </w:r>
      <w:r>
        <w:rPr>
          <w:sz w:val="15"/>
        </w:rPr>
        <w:t>de:</w:t>
      </w:r>
    </w:p>
    <w:p>
      <w:pPr>
        <w:pStyle w:val="ListParagraph"/>
        <w:numPr>
          <w:ilvl w:val="0"/>
          <w:numId w:val="254"/>
        </w:numPr>
        <w:tabs>
          <w:tab w:pos="2607" w:val="left" w:leader="none"/>
        </w:tabs>
        <w:spacing w:line="170" w:lineRule="exact" w:before="0" w:after="0"/>
        <w:ind w:left="2606" w:right="0" w:hanging="129"/>
        <w:jc w:val="both"/>
        <w:rPr>
          <w:sz w:val="15"/>
        </w:rPr>
      </w:pPr>
      <w:r>
        <w:rPr>
          <w:sz w:val="15"/>
        </w:rPr>
        <w:t>a 46 unidades de medida y</w:t>
      </w:r>
      <w:r>
        <w:rPr>
          <w:spacing w:val="11"/>
          <w:sz w:val="15"/>
        </w:rPr>
        <w:t> </w:t>
      </w:r>
      <w:r>
        <w:rPr>
          <w:sz w:val="15"/>
        </w:rPr>
        <w:t>actualización;</w:t>
      </w:r>
    </w:p>
    <w:p>
      <w:pPr>
        <w:pStyle w:val="BodyText"/>
        <w:spacing w:before="7"/>
        <w:rPr>
          <w:sz w:val="22"/>
        </w:rPr>
      </w:pPr>
    </w:p>
    <w:p>
      <w:pPr>
        <w:pStyle w:val="ListParagraph"/>
        <w:numPr>
          <w:ilvl w:val="0"/>
          <w:numId w:val="255"/>
        </w:numPr>
        <w:tabs>
          <w:tab w:pos="825" w:val="left" w:leader="none"/>
        </w:tabs>
        <w:spacing w:line="244" w:lineRule="auto" w:before="0" w:after="0"/>
        <w:ind w:left="150" w:right="2787" w:firstLine="397"/>
        <w:jc w:val="both"/>
        <w:rPr>
          <w:sz w:val="15"/>
        </w:rPr>
      </w:pPr>
      <w:r>
        <w:rPr>
          <w:sz w:val="15"/>
        </w:rPr>
        <w:t>Por no haber presentado fianza o carta de obligado solidario previo  a la presentación de los espectáculos públicos o privados, eventuales o permanentes,</w:t>
      </w:r>
      <w:r>
        <w:rPr>
          <w:spacing w:val="1"/>
          <w:sz w:val="15"/>
        </w:rPr>
        <w:t> </w:t>
      </w:r>
      <w:r>
        <w:rPr>
          <w:sz w:val="15"/>
        </w:rPr>
        <w:t>de:</w:t>
      </w:r>
    </w:p>
    <w:p>
      <w:pPr>
        <w:pStyle w:val="BodyText"/>
        <w:spacing w:before="3"/>
        <w:ind w:left="2392"/>
        <w:jc w:val="both"/>
      </w:pPr>
      <w:r>
        <w:rPr/>
        <w:t>7 a 245 unidades de medida y actualización;</w:t>
      </w:r>
    </w:p>
    <w:p>
      <w:pPr>
        <w:pStyle w:val="BodyText"/>
        <w:spacing w:before="7"/>
        <w:rPr>
          <w:sz w:val="22"/>
        </w:rPr>
      </w:pPr>
    </w:p>
    <w:p>
      <w:pPr>
        <w:pStyle w:val="ListParagraph"/>
        <w:numPr>
          <w:ilvl w:val="0"/>
          <w:numId w:val="255"/>
        </w:numPr>
        <w:tabs>
          <w:tab w:pos="877" w:val="left" w:leader="none"/>
        </w:tabs>
        <w:spacing w:line="247" w:lineRule="auto" w:before="0" w:after="0"/>
        <w:ind w:left="150" w:right="2787" w:firstLine="397"/>
        <w:jc w:val="both"/>
        <w:rPr>
          <w:sz w:val="15"/>
        </w:rPr>
      </w:pPr>
      <w:r>
        <w:rPr>
          <w:sz w:val="15"/>
        </w:rPr>
        <w:t>Por permitir la entrada y estancia de niños menores de tres años   en todos los espectáculos públicos que se presenten y por no haber dado a conocer esta prohibición al público mediante la fijación de carteles en lugares visibles,</w:t>
      </w:r>
      <w:r>
        <w:rPr>
          <w:spacing w:val="1"/>
          <w:sz w:val="15"/>
        </w:rPr>
        <w:t> </w:t>
      </w:r>
      <w:r>
        <w:rPr>
          <w:sz w:val="15"/>
        </w:rPr>
        <w:t>de:</w:t>
      </w:r>
    </w:p>
    <w:p>
      <w:pPr>
        <w:pStyle w:val="BodyText"/>
        <w:spacing w:line="170" w:lineRule="exact"/>
        <w:ind w:left="2478"/>
        <w:jc w:val="both"/>
      </w:pPr>
      <w:r>
        <w:rPr/>
        <w:t>7 a 20 unidades de medida y actualización;</w:t>
      </w:r>
    </w:p>
    <w:p>
      <w:pPr>
        <w:pStyle w:val="BodyText"/>
        <w:spacing w:before="7"/>
        <w:rPr>
          <w:sz w:val="22"/>
        </w:rPr>
      </w:pPr>
    </w:p>
    <w:p>
      <w:pPr>
        <w:pStyle w:val="ListParagraph"/>
        <w:numPr>
          <w:ilvl w:val="0"/>
          <w:numId w:val="255"/>
        </w:numPr>
        <w:tabs>
          <w:tab w:pos="870" w:val="left" w:leader="none"/>
        </w:tabs>
        <w:spacing w:line="247" w:lineRule="auto" w:before="0" w:after="0"/>
        <w:ind w:left="150" w:right="2789" w:firstLine="397"/>
        <w:jc w:val="both"/>
        <w:rPr>
          <w:sz w:val="15"/>
        </w:rPr>
      </w:pPr>
      <w:r>
        <w:rPr>
          <w:sz w:val="15"/>
        </w:rPr>
        <w:t>Por vender dos o más boletos con un mismo número y una misma localidad de 1 a 3 tantos del valor de los boletos</w:t>
      </w:r>
      <w:r>
        <w:rPr>
          <w:spacing w:val="32"/>
          <w:sz w:val="15"/>
        </w:rPr>
        <w:t> </w:t>
      </w:r>
      <w:r>
        <w:rPr>
          <w:sz w:val="15"/>
        </w:rPr>
        <w:t>duplicados.</w:t>
      </w:r>
    </w:p>
    <w:p>
      <w:pPr>
        <w:pStyle w:val="BodyText"/>
        <w:spacing w:before="1"/>
        <w:rPr>
          <w:sz w:val="22"/>
        </w:rPr>
      </w:pPr>
    </w:p>
    <w:p>
      <w:pPr>
        <w:pStyle w:val="ListParagraph"/>
        <w:numPr>
          <w:ilvl w:val="0"/>
          <w:numId w:val="255"/>
        </w:numPr>
        <w:tabs>
          <w:tab w:pos="839" w:val="left" w:leader="none"/>
        </w:tabs>
        <w:spacing w:line="247" w:lineRule="auto" w:before="1" w:after="0"/>
        <w:ind w:left="150" w:right="2787" w:firstLine="397"/>
        <w:jc w:val="both"/>
        <w:rPr>
          <w:sz w:val="15"/>
        </w:rPr>
      </w:pPr>
      <w:r>
        <w:rPr>
          <w:sz w:val="15"/>
        </w:rPr>
        <w:t>Por permitir la presencia de personas ajenas a la compañía en el foro de los teatros y/o permitir que los espectadores obstruyan los ingresos y salidas, o permanezcan de pie en los lugares destinados para que el público  se siente,</w:t>
      </w:r>
      <w:r>
        <w:rPr>
          <w:spacing w:val="2"/>
          <w:sz w:val="15"/>
        </w:rPr>
        <w:t> </w:t>
      </w:r>
      <w:r>
        <w:rPr>
          <w:sz w:val="15"/>
        </w:rPr>
        <w:t>de:</w:t>
      </w:r>
    </w:p>
    <w:p>
      <w:pPr>
        <w:spacing w:after="0" w:line="247" w:lineRule="auto"/>
        <w:jc w:val="both"/>
        <w:rPr>
          <w:sz w:val="15"/>
        </w:rPr>
        <w:sectPr>
          <w:type w:val="continuous"/>
          <w:pgSz w:w="23250" w:h="15310" w:orient="landscape"/>
          <w:pgMar w:top="0" w:bottom="0" w:left="1880" w:right="1520"/>
          <w:cols w:num="2" w:equalWidth="0">
            <w:col w:w="5473" w:space="6149"/>
            <w:col w:w="8228"/>
          </w:cols>
        </w:sectPr>
      </w:pPr>
    </w:p>
    <w:p>
      <w:pPr>
        <w:pStyle w:val="BodyText"/>
        <w:spacing w:before="2"/>
        <w:rPr>
          <w:sz w:val="20"/>
        </w:rPr>
      </w:pPr>
    </w:p>
    <w:p>
      <w:pPr>
        <w:pStyle w:val="ListParagraph"/>
        <w:numPr>
          <w:ilvl w:val="0"/>
          <w:numId w:val="256"/>
        </w:numPr>
        <w:tabs>
          <w:tab w:pos="174" w:val="left" w:leader="none"/>
        </w:tabs>
        <w:spacing w:line="240" w:lineRule="auto" w:before="1" w:after="0"/>
        <w:ind w:left="722" w:right="519" w:hanging="723"/>
        <w:jc w:val="right"/>
        <w:rPr>
          <w:sz w:val="15"/>
        </w:rPr>
      </w:pPr>
      <w:r>
        <w:rPr>
          <w:sz w:val="15"/>
        </w:rPr>
        <w:t>Por variación de horario, de cualquier tipo de </w:t>
      </w:r>
      <w:r>
        <w:rPr>
          <w:spacing w:val="16"/>
          <w:sz w:val="15"/>
        </w:rPr>
        <w:t> </w:t>
      </w:r>
      <w:r>
        <w:rPr>
          <w:sz w:val="15"/>
        </w:rPr>
        <w:t>espectáculo,  de:</w:t>
      </w:r>
    </w:p>
    <w:p>
      <w:pPr>
        <w:pStyle w:val="BodyText"/>
        <w:spacing w:before="4"/>
        <w:ind w:right="556"/>
        <w:jc w:val="right"/>
      </w:pPr>
      <w:r>
        <w:rPr/>
        <w:t>10</w:t>
      </w:r>
      <w:r>
        <w:rPr>
          <w:spacing w:val="10"/>
        </w:rPr>
        <w:t> </w:t>
      </w:r>
      <w:r>
        <w:rPr/>
        <w:t>a</w:t>
      </w:r>
      <w:r>
        <w:rPr>
          <w:spacing w:val="9"/>
        </w:rPr>
        <w:t> </w:t>
      </w:r>
      <w:r>
        <w:rPr/>
        <w:t>44</w:t>
      </w:r>
      <w:r>
        <w:rPr>
          <w:spacing w:val="10"/>
        </w:rPr>
        <w:t> </w:t>
      </w:r>
      <w:r>
        <w:rPr/>
        <w:t>unidades</w:t>
      </w:r>
      <w:r>
        <w:rPr>
          <w:spacing w:val="10"/>
        </w:rPr>
        <w:t> </w:t>
      </w:r>
      <w:r>
        <w:rPr/>
        <w:t>de</w:t>
      </w:r>
      <w:r>
        <w:rPr>
          <w:spacing w:val="10"/>
        </w:rPr>
        <w:t> </w:t>
      </w:r>
      <w:r>
        <w:rPr/>
        <w:t>medida</w:t>
      </w:r>
      <w:r>
        <w:rPr>
          <w:spacing w:val="10"/>
        </w:rPr>
        <w:t> </w:t>
      </w:r>
      <w:r>
        <w:rPr/>
        <w:t>y</w:t>
      </w:r>
      <w:r>
        <w:rPr>
          <w:spacing w:val="11"/>
        </w:rPr>
        <w:t> </w:t>
      </w:r>
      <w:r>
        <w:rPr/>
        <w:t>actualización;</w:t>
      </w:r>
    </w:p>
    <w:p>
      <w:pPr>
        <w:pStyle w:val="BodyText"/>
        <w:spacing w:before="7"/>
        <w:rPr>
          <w:sz w:val="22"/>
        </w:rPr>
      </w:pPr>
    </w:p>
    <w:p>
      <w:pPr>
        <w:pStyle w:val="ListParagraph"/>
        <w:numPr>
          <w:ilvl w:val="0"/>
          <w:numId w:val="256"/>
        </w:numPr>
        <w:tabs>
          <w:tab w:pos="780" w:val="left" w:leader="none"/>
        </w:tabs>
        <w:spacing w:line="240" w:lineRule="auto" w:before="1" w:after="0"/>
        <w:ind w:left="779" w:right="0" w:hanging="232"/>
        <w:jc w:val="left"/>
        <w:rPr>
          <w:sz w:val="15"/>
        </w:rPr>
      </w:pPr>
      <w:r>
        <w:rPr>
          <w:sz w:val="15"/>
        </w:rPr>
        <w:t>Por alterar el programa de presentación de artistas,</w:t>
      </w:r>
      <w:r>
        <w:rPr>
          <w:spacing w:val="27"/>
          <w:sz w:val="15"/>
        </w:rPr>
        <w:t> </w:t>
      </w:r>
      <w:r>
        <w:rPr>
          <w:sz w:val="15"/>
        </w:rPr>
        <w:t>de:</w:t>
      </w:r>
    </w:p>
    <w:p>
      <w:pPr>
        <w:pStyle w:val="BodyText"/>
        <w:spacing w:before="4"/>
        <w:ind w:left="2393"/>
        <w:jc w:val="both"/>
      </w:pPr>
      <w:r>
        <w:rPr/>
        <w:t>20 a 49 unidades de medida y actualización;</w:t>
      </w:r>
    </w:p>
    <w:p>
      <w:pPr>
        <w:pStyle w:val="BodyText"/>
        <w:spacing w:before="7"/>
        <w:rPr>
          <w:sz w:val="22"/>
        </w:rPr>
      </w:pPr>
    </w:p>
    <w:p>
      <w:pPr>
        <w:pStyle w:val="ListParagraph"/>
        <w:numPr>
          <w:ilvl w:val="0"/>
          <w:numId w:val="256"/>
        </w:numPr>
        <w:tabs>
          <w:tab w:pos="863" w:val="left" w:leader="none"/>
        </w:tabs>
        <w:spacing w:line="247" w:lineRule="auto" w:before="0" w:after="0"/>
        <w:ind w:left="151" w:right="38" w:firstLine="397"/>
        <w:jc w:val="both"/>
        <w:rPr>
          <w:sz w:val="15"/>
        </w:rPr>
      </w:pPr>
      <w:r>
        <w:rPr>
          <w:sz w:val="15"/>
        </w:rPr>
        <w:t>Por haber permitido el aumento de asientos del aforo original, mediante la colocación de sillas, bancas o similares, y que obstruyan la circulación del público,</w:t>
      </w:r>
      <w:r>
        <w:rPr>
          <w:spacing w:val="3"/>
          <w:sz w:val="15"/>
        </w:rPr>
        <w:t> </w:t>
      </w:r>
      <w:r>
        <w:rPr>
          <w:sz w:val="15"/>
        </w:rPr>
        <w:t>de:</w:t>
      </w:r>
    </w:p>
    <w:p>
      <w:pPr>
        <w:pStyle w:val="BodyText"/>
        <w:spacing w:line="170" w:lineRule="exact"/>
        <w:ind w:left="2392"/>
        <w:jc w:val="both"/>
      </w:pPr>
      <w:r>
        <w:rPr/>
        <w:t>20 a 35 unidades de medida y actualización;</w:t>
      </w:r>
    </w:p>
    <w:p>
      <w:pPr>
        <w:pStyle w:val="BodyText"/>
        <w:spacing w:before="7"/>
        <w:rPr>
          <w:sz w:val="22"/>
        </w:rPr>
      </w:pPr>
    </w:p>
    <w:p>
      <w:pPr>
        <w:pStyle w:val="ListParagraph"/>
        <w:numPr>
          <w:ilvl w:val="0"/>
          <w:numId w:val="256"/>
        </w:numPr>
        <w:tabs>
          <w:tab w:pos="906" w:val="left" w:leader="none"/>
        </w:tabs>
        <w:spacing w:line="247" w:lineRule="auto" w:before="1" w:after="0"/>
        <w:ind w:left="150" w:right="38" w:firstLine="397"/>
        <w:jc w:val="both"/>
        <w:rPr>
          <w:sz w:val="15"/>
        </w:rPr>
      </w:pPr>
      <w:r>
        <w:rPr>
          <w:sz w:val="15"/>
        </w:rPr>
        <w:t>Por revender boletos o alterar los precios autorizados por las autoridades municipales, así como por venderlos fuera de los lugares establecidos para el ingreso a actos y espectáculos públicos del:   10% al   50%</w:t>
      </w:r>
      <w:r>
        <w:rPr>
          <w:spacing w:val="6"/>
          <w:sz w:val="15"/>
        </w:rPr>
        <w:t> </w:t>
      </w:r>
      <w:r>
        <w:rPr>
          <w:sz w:val="15"/>
        </w:rPr>
        <w:t>del</w:t>
      </w:r>
      <w:r>
        <w:rPr>
          <w:spacing w:val="6"/>
          <w:sz w:val="15"/>
        </w:rPr>
        <w:t> </w:t>
      </w:r>
      <w:r>
        <w:rPr>
          <w:sz w:val="15"/>
        </w:rPr>
        <w:t>valor</w:t>
      </w:r>
      <w:r>
        <w:rPr>
          <w:spacing w:val="6"/>
          <w:sz w:val="15"/>
        </w:rPr>
        <w:t> </w:t>
      </w:r>
      <w:r>
        <w:rPr>
          <w:sz w:val="15"/>
        </w:rPr>
        <w:t>del</w:t>
      </w:r>
      <w:r>
        <w:rPr>
          <w:spacing w:val="6"/>
          <w:sz w:val="15"/>
        </w:rPr>
        <w:t> </w:t>
      </w:r>
      <w:r>
        <w:rPr>
          <w:sz w:val="15"/>
        </w:rPr>
        <w:t>boleto,</w:t>
      </w:r>
      <w:r>
        <w:rPr>
          <w:spacing w:val="6"/>
          <w:sz w:val="15"/>
        </w:rPr>
        <w:t> </w:t>
      </w:r>
      <w:r>
        <w:rPr>
          <w:sz w:val="15"/>
        </w:rPr>
        <w:t>calculado</w:t>
      </w:r>
      <w:r>
        <w:rPr>
          <w:spacing w:val="6"/>
          <w:sz w:val="15"/>
        </w:rPr>
        <w:t> </w:t>
      </w:r>
      <w:r>
        <w:rPr>
          <w:sz w:val="15"/>
        </w:rPr>
        <w:t>sobre</w:t>
      </w:r>
      <w:r>
        <w:rPr>
          <w:spacing w:val="6"/>
          <w:sz w:val="15"/>
        </w:rPr>
        <w:t> </w:t>
      </w:r>
      <w:r>
        <w:rPr>
          <w:sz w:val="15"/>
        </w:rPr>
        <w:t>el</w:t>
      </w:r>
      <w:r>
        <w:rPr>
          <w:spacing w:val="7"/>
          <w:sz w:val="15"/>
        </w:rPr>
        <w:t> </w:t>
      </w:r>
      <w:r>
        <w:rPr>
          <w:sz w:val="15"/>
        </w:rPr>
        <w:t>total</w:t>
      </w:r>
      <w:r>
        <w:rPr>
          <w:spacing w:val="5"/>
          <w:sz w:val="15"/>
        </w:rPr>
        <w:t> </w:t>
      </w:r>
      <w:r>
        <w:rPr>
          <w:sz w:val="15"/>
        </w:rPr>
        <w:t>del</w:t>
      </w:r>
      <w:r>
        <w:rPr>
          <w:spacing w:val="6"/>
          <w:sz w:val="15"/>
        </w:rPr>
        <w:t> </w:t>
      </w:r>
      <w:r>
        <w:rPr>
          <w:sz w:val="15"/>
        </w:rPr>
        <w:t>boletaje</w:t>
      </w:r>
      <w:r>
        <w:rPr>
          <w:spacing w:val="7"/>
          <w:sz w:val="15"/>
        </w:rPr>
        <w:t> </w:t>
      </w:r>
      <w:r>
        <w:rPr>
          <w:sz w:val="15"/>
        </w:rPr>
        <w:t>autorizado.</w:t>
      </w:r>
    </w:p>
    <w:p>
      <w:pPr>
        <w:pStyle w:val="BodyText"/>
        <w:rPr>
          <w:sz w:val="22"/>
        </w:rPr>
      </w:pPr>
    </w:p>
    <w:p>
      <w:pPr>
        <w:pStyle w:val="ListParagraph"/>
        <w:numPr>
          <w:ilvl w:val="0"/>
          <w:numId w:val="256"/>
        </w:numPr>
        <w:tabs>
          <w:tab w:pos="879" w:val="left" w:leader="none"/>
        </w:tabs>
        <w:spacing w:line="247" w:lineRule="auto" w:before="0" w:after="0"/>
        <w:ind w:left="150" w:right="39" w:firstLine="397"/>
        <w:jc w:val="both"/>
        <w:rPr>
          <w:sz w:val="15"/>
        </w:rPr>
      </w:pPr>
      <w:r>
        <w:rPr>
          <w:sz w:val="15"/>
        </w:rPr>
        <w:t>Por falta del permiso correspondiente de las autoridades municipales</w:t>
      </w:r>
      <w:r>
        <w:rPr>
          <w:spacing w:val="16"/>
          <w:sz w:val="15"/>
        </w:rPr>
        <w:t> </w:t>
      </w:r>
      <w:r>
        <w:rPr>
          <w:sz w:val="15"/>
        </w:rPr>
        <w:t>para</w:t>
      </w:r>
      <w:r>
        <w:rPr>
          <w:spacing w:val="17"/>
          <w:sz w:val="15"/>
        </w:rPr>
        <w:t> </w:t>
      </w:r>
      <w:r>
        <w:rPr>
          <w:sz w:val="15"/>
        </w:rPr>
        <w:t>la</w:t>
      </w:r>
      <w:r>
        <w:rPr>
          <w:spacing w:val="16"/>
          <w:sz w:val="15"/>
        </w:rPr>
        <w:t> </w:t>
      </w:r>
      <w:r>
        <w:rPr>
          <w:sz w:val="15"/>
        </w:rPr>
        <w:t>celebración</w:t>
      </w:r>
      <w:r>
        <w:rPr>
          <w:spacing w:val="17"/>
          <w:sz w:val="15"/>
        </w:rPr>
        <w:t> </w:t>
      </w:r>
      <w:r>
        <w:rPr>
          <w:sz w:val="15"/>
        </w:rPr>
        <w:t>de</w:t>
      </w:r>
      <w:r>
        <w:rPr>
          <w:spacing w:val="16"/>
          <w:sz w:val="15"/>
        </w:rPr>
        <w:t> </w:t>
      </w:r>
      <w:r>
        <w:rPr>
          <w:sz w:val="15"/>
        </w:rPr>
        <w:t>funciones</w:t>
      </w:r>
      <w:r>
        <w:rPr>
          <w:spacing w:val="17"/>
          <w:sz w:val="15"/>
        </w:rPr>
        <w:t> </w:t>
      </w:r>
      <w:r>
        <w:rPr>
          <w:sz w:val="15"/>
        </w:rPr>
        <w:t>en</w:t>
      </w:r>
      <w:r>
        <w:rPr>
          <w:spacing w:val="15"/>
          <w:sz w:val="15"/>
        </w:rPr>
        <w:t> </w:t>
      </w:r>
      <w:r>
        <w:rPr>
          <w:sz w:val="15"/>
        </w:rPr>
        <w:t>los</w:t>
      </w:r>
      <w:r>
        <w:rPr>
          <w:spacing w:val="17"/>
          <w:sz w:val="15"/>
        </w:rPr>
        <w:t> </w:t>
      </w:r>
      <w:r>
        <w:rPr>
          <w:sz w:val="15"/>
        </w:rPr>
        <w:t>centros</w:t>
      </w:r>
      <w:r>
        <w:rPr>
          <w:spacing w:val="16"/>
          <w:sz w:val="15"/>
        </w:rPr>
        <w:t> </w:t>
      </w:r>
      <w:r>
        <w:rPr>
          <w:sz w:val="15"/>
        </w:rPr>
        <w:t>de</w:t>
      </w:r>
      <w:r>
        <w:rPr>
          <w:spacing w:val="21"/>
          <w:sz w:val="15"/>
        </w:rPr>
        <w:t> </w:t>
      </w:r>
      <w:r>
        <w:rPr>
          <w:sz w:val="15"/>
        </w:rPr>
        <w:t>espectáculos</w:t>
      </w:r>
    </w:p>
    <w:p>
      <w:pPr>
        <w:pStyle w:val="BodyText"/>
        <w:spacing w:line="170" w:lineRule="exact"/>
        <w:ind w:left="2477"/>
      </w:pPr>
      <w:r>
        <w:rPr/>
        <w:br w:type="column"/>
      </w:r>
      <w:r>
        <w:rPr/>
        <w:t>7 a 20 unidades de medida y actualización;</w:t>
      </w:r>
    </w:p>
    <w:p>
      <w:pPr>
        <w:pStyle w:val="BodyText"/>
        <w:spacing w:before="7"/>
        <w:rPr>
          <w:sz w:val="22"/>
        </w:rPr>
      </w:pPr>
    </w:p>
    <w:p>
      <w:pPr>
        <w:pStyle w:val="ListParagraph"/>
        <w:numPr>
          <w:ilvl w:val="0"/>
          <w:numId w:val="257"/>
        </w:numPr>
        <w:tabs>
          <w:tab w:pos="883" w:val="left" w:leader="none"/>
        </w:tabs>
        <w:spacing w:line="247" w:lineRule="auto" w:before="0" w:after="0"/>
        <w:ind w:left="151" w:right="2787" w:firstLine="397"/>
        <w:jc w:val="both"/>
        <w:rPr>
          <w:sz w:val="15"/>
        </w:rPr>
      </w:pPr>
      <w:r>
        <w:rPr>
          <w:sz w:val="15"/>
        </w:rPr>
        <w:t>Por permitir el ingreso a menores de edad en los casos en que, de conformidad al Reglamento de comercio, no proceda su admisión, o a personas  que  se  presenten  en  estado  de  ebriedad  o  drogadicción,  de:  20 a 46 unidades de medida y</w:t>
      </w:r>
      <w:r>
        <w:rPr>
          <w:spacing w:val="14"/>
          <w:sz w:val="15"/>
        </w:rPr>
        <w:t> </w:t>
      </w:r>
      <w:r>
        <w:rPr>
          <w:sz w:val="15"/>
        </w:rPr>
        <w:t>actualización;</w:t>
      </w:r>
    </w:p>
    <w:p>
      <w:pPr>
        <w:pStyle w:val="BodyText"/>
        <w:spacing w:before="1"/>
        <w:rPr>
          <w:sz w:val="22"/>
        </w:rPr>
      </w:pPr>
    </w:p>
    <w:p>
      <w:pPr>
        <w:pStyle w:val="ListParagraph"/>
        <w:numPr>
          <w:ilvl w:val="0"/>
          <w:numId w:val="257"/>
        </w:numPr>
        <w:tabs>
          <w:tab w:pos="1000" w:val="left" w:leader="none"/>
        </w:tabs>
        <w:spacing w:line="244" w:lineRule="auto" w:before="0" w:after="0"/>
        <w:ind w:left="151" w:right="2787" w:firstLine="397"/>
        <w:jc w:val="both"/>
        <w:rPr>
          <w:sz w:val="15"/>
        </w:rPr>
      </w:pPr>
      <w:r>
        <w:rPr>
          <w:sz w:val="15"/>
        </w:rPr>
        <w:t>Por no manifestar de manera visible a los  espectadores, mediante cartel, la prohibición y/o restricción de accesorios, alimentos u objetos específicos al interior de sus instalaciones</w:t>
      </w:r>
      <w:r>
        <w:rPr>
          <w:spacing w:val="18"/>
          <w:sz w:val="15"/>
        </w:rPr>
        <w:t> </w:t>
      </w:r>
      <w:r>
        <w:rPr>
          <w:sz w:val="15"/>
        </w:rPr>
        <w:t>de:</w:t>
      </w:r>
    </w:p>
    <w:p>
      <w:pPr>
        <w:pStyle w:val="BodyText"/>
        <w:spacing w:before="3"/>
        <w:ind w:left="2307"/>
        <w:jc w:val="both"/>
      </w:pPr>
      <w:r>
        <w:rPr/>
        <w:t>12</w:t>
      </w:r>
      <w:r>
        <w:rPr>
          <w:spacing w:val="10"/>
        </w:rPr>
        <w:t> </w:t>
      </w:r>
      <w:r>
        <w:rPr/>
        <w:t>a</w:t>
      </w:r>
      <w:r>
        <w:rPr>
          <w:spacing w:val="11"/>
        </w:rPr>
        <w:t> </w:t>
      </w:r>
      <w:r>
        <w:rPr/>
        <w:t>108</w:t>
      </w:r>
      <w:r>
        <w:rPr>
          <w:spacing w:val="11"/>
        </w:rPr>
        <w:t> </w:t>
      </w:r>
      <w:r>
        <w:rPr/>
        <w:t>unidades</w:t>
      </w:r>
      <w:r>
        <w:rPr>
          <w:spacing w:val="11"/>
        </w:rPr>
        <w:t> </w:t>
      </w:r>
      <w:r>
        <w:rPr/>
        <w:t>de</w:t>
      </w:r>
      <w:r>
        <w:rPr>
          <w:spacing w:val="10"/>
        </w:rPr>
        <w:t> </w:t>
      </w:r>
      <w:r>
        <w:rPr/>
        <w:t>medida</w:t>
      </w:r>
      <w:r>
        <w:rPr>
          <w:spacing w:val="11"/>
        </w:rPr>
        <w:t> </w:t>
      </w:r>
      <w:r>
        <w:rPr/>
        <w:t>y</w:t>
      </w:r>
      <w:r>
        <w:rPr>
          <w:spacing w:val="11"/>
        </w:rPr>
        <w:t> </w:t>
      </w:r>
      <w:r>
        <w:rPr/>
        <w:t>actualización;</w:t>
      </w:r>
    </w:p>
    <w:p>
      <w:pPr>
        <w:pStyle w:val="BodyText"/>
        <w:spacing w:before="7"/>
        <w:rPr>
          <w:sz w:val="22"/>
        </w:rPr>
      </w:pPr>
    </w:p>
    <w:p>
      <w:pPr>
        <w:pStyle w:val="ListParagraph"/>
        <w:numPr>
          <w:ilvl w:val="0"/>
          <w:numId w:val="257"/>
        </w:numPr>
        <w:tabs>
          <w:tab w:pos="979" w:val="left" w:leader="none"/>
        </w:tabs>
        <w:spacing w:line="247" w:lineRule="auto" w:before="0" w:after="0"/>
        <w:ind w:left="150" w:right="2788" w:firstLine="397"/>
        <w:jc w:val="both"/>
        <w:rPr>
          <w:sz w:val="15"/>
        </w:rPr>
      </w:pPr>
      <w:r>
        <w:rPr>
          <w:sz w:val="15"/>
        </w:rPr>
        <w:t>Por carecer de servicios de baño y aseo, de conformidad con el aforo autorizado</w:t>
      </w:r>
      <w:r>
        <w:rPr>
          <w:spacing w:val="2"/>
          <w:sz w:val="15"/>
        </w:rPr>
        <w:t> </w:t>
      </w:r>
      <w:r>
        <w:rPr>
          <w:sz w:val="15"/>
        </w:rPr>
        <w:t>de:</w:t>
      </w:r>
    </w:p>
    <w:p>
      <w:pPr>
        <w:pStyle w:val="BodyText"/>
        <w:spacing w:line="172" w:lineRule="exact"/>
        <w:ind w:left="2406"/>
      </w:pPr>
      <w:r>
        <w:rPr>
          <w:spacing w:val="-6"/>
        </w:rPr>
        <w:t>11  </w:t>
      </w:r>
      <w:r>
        <w:rPr/>
        <w:t>a 91 unidades de medida y</w:t>
      </w:r>
      <w:r>
        <w:rPr>
          <w:spacing w:val="40"/>
        </w:rPr>
        <w:t> </w:t>
      </w:r>
      <w:r>
        <w:rPr/>
        <w:t>actualización;</w:t>
      </w:r>
    </w:p>
    <w:p>
      <w:pPr>
        <w:pStyle w:val="BodyText"/>
        <w:spacing w:before="7"/>
        <w:rPr>
          <w:sz w:val="22"/>
        </w:rPr>
      </w:pPr>
    </w:p>
    <w:p>
      <w:pPr>
        <w:pStyle w:val="ListParagraph"/>
        <w:numPr>
          <w:ilvl w:val="0"/>
          <w:numId w:val="257"/>
        </w:numPr>
        <w:tabs>
          <w:tab w:pos="893" w:val="left" w:leader="none"/>
        </w:tabs>
        <w:spacing w:line="247" w:lineRule="auto" w:before="0" w:after="0"/>
        <w:ind w:left="150" w:right="2788" w:firstLine="397"/>
        <w:jc w:val="both"/>
        <w:rPr>
          <w:sz w:val="15"/>
        </w:rPr>
      </w:pPr>
      <w:r>
        <w:rPr>
          <w:sz w:val="15"/>
        </w:rPr>
        <w:t>Por no contar con autorización para realizar el cobro de servicios  de baño y/o aseo</w:t>
      </w:r>
      <w:r>
        <w:rPr>
          <w:spacing w:val="5"/>
          <w:sz w:val="15"/>
        </w:rPr>
        <w:t> </w:t>
      </w:r>
      <w:r>
        <w:rPr>
          <w:sz w:val="15"/>
        </w:rPr>
        <w:t>de:</w:t>
      </w:r>
    </w:p>
    <w:p>
      <w:pPr>
        <w:pStyle w:val="BodyText"/>
        <w:spacing w:line="171" w:lineRule="exact"/>
        <w:ind w:left="2393"/>
      </w:pPr>
      <w:r>
        <w:rPr/>
        <w:t>9 a 127 unidades de medida y actualización;</w:t>
      </w:r>
    </w:p>
    <w:p>
      <w:pPr>
        <w:spacing w:after="0" w:line="171" w:lineRule="exact"/>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33"/>
          <w:pgSz w:w="23250" w:h="15310" w:orient="landscape"/>
          <w:pgMar w:header="881" w:footer="499" w:top="1920" w:bottom="680" w:left="1880" w:right="1520"/>
        </w:sectPr>
      </w:pPr>
    </w:p>
    <w:p>
      <w:pPr>
        <w:pStyle w:val="BodyText"/>
        <w:spacing w:before="10"/>
        <w:rPr>
          <w:sz w:val="19"/>
        </w:rPr>
      </w:pPr>
    </w:p>
    <w:p>
      <w:pPr>
        <w:pStyle w:val="ListParagraph"/>
        <w:numPr>
          <w:ilvl w:val="0"/>
          <w:numId w:val="257"/>
        </w:numPr>
        <w:tabs>
          <w:tab w:pos="862" w:val="left" w:leader="none"/>
        </w:tabs>
        <w:spacing w:line="247" w:lineRule="auto" w:before="0" w:after="0"/>
        <w:ind w:left="151" w:right="38" w:firstLine="397"/>
        <w:jc w:val="left"/>
        <w:rPr>
          <w:sz w:val="15"/>
        </w:rPr>
      </w:pPr>
      <w:r>
        <w:rPr>
          <w:sz w:val="15"/>
        </w:rPr>
        <w:t>Por infringir otras disposiciones del Reglamento de Comercio en forma no prevista en los incisos anteriores,</w:t>
      </w:r>
      <w:r>
        <w:rPr>
          <w:spacing w:val="15"/>
          <w:sz w:val="15"/>
        </w:rPr>
        <w:t> </w:t>
      </w:r>
      <w:r>
        <w:rPr>
          <w:sz w:val="15"/>
        </w:rPr>
        <w:t>de:</w:t>
      </w:r>
    </w:p>
    <w:p>
      <w:pPr>
        <w:pStyle w:val="BodyText"/>
        <w:spacing w:line="172" w:lineRule="exact"/>
        <w:ind w:left="2478"/>
        <w:jc w:val="both"/>
      </w:pPr>
      <w:r>
        <w:rPr/>
        <w:t>9 a 70 unidades de medida y actualización;</w:t>
      </w:r>
    </w:p>
    <w:p>
      <w:pPr>
        <w:pStyle w:val="BodyText"/>
        <w:spacing w:before="7"/>
        <w:rPr>
          <w:sz w:val="22"/>
        </w:rPr>
      </w:pPr>
    </w:p>
    <w:p>
      <w:pPr>
        <w:pStyle w:val="BodyText"/>
        <w:spacing w:line="247" w:lineRule="auto"/>
        <w:ind w:left="151" w:right="39" w:firstLine="551"/>
        <w:jc w:val="both"/>
      </w:pPr>
      <w:r>
        <w:rPr>
          <w:b/>
        </w:rPr>
        <w:t>Artículo 153.-</w:t>
      </w:r>
      <w:r>
        <w:rPr/>
        <w:t>Por violaciones a la Ley para Regular la </w:t>
      </w:r>
      <w:r>
        <w:rPr>
          <w:spacing w:val="-3"/>
        </w:rPr>
        <w:t>Venta </w:t>
      </w:r>
      <w:r>
        <w:rPr/>
        <w:t>y el Consumo de Bebidas Alcohólicas del Estado de Jalisco y/o en materia de  giros comerciales industriales y de prestación de servicios municipal:</w:t>
      </w:r>
    </w:p>
    <w:p>
      <w:pPr>
        <w:pStyle w:val="BodyText"/>
        <w:spacing w:before="1"/>
        <w:rPr>
          <w:sz w:val="22"/>
        </w:rPr>
      </w:pPr>
    </w:p>
    <w:p>
      <w:pPr>
        <w:pStyle w:val="ListParagraph"/>
        <w:numPr>
          <w:ilvl w:val="0"/>
          <w:numId w:val="258"/>
        </w:numPr>
        <w:tabs>
          <w:tab w:pos="695" w:val="left" w:leader="none"/>
        </w:tabs>
        <w:spacing w:line="244" w:lineRule="auto" w:before="0" w:after="0"/>
        <w:ind w:left="151" w:right="39" w:firstLine="397"/>
        <w:jc w:val="left"/>
        <w:rPr>
          <w:sz w:val="15"/>
        </w:rPr>
      </w:pPr>
      <w:r>
        <w:rPr>
          <w:sz w:val="15"/>
        </w:rPr>
        <w:t>Por vender al público o permitir el consumo de bebidas alcohólicas   sin tener expedido el permiso o la licencia respectiva,</w:t>
      </w:r>
      <w:r>
        <w:rPr>
          <w:spacing w:val="26"/>
          <w:sz w:val="15"/>
        </w:rPr>
        <w:t> </w:t>
      </w:r>
      <w:r>
        <w:rPr>
          <w:sz w:val="15"/>
        </w:rPr>
        <w:t>de:</w:t>
      </w:r>
    </w:p>
    <w:p>
      <w:pPr>
        <w:pStyle w:val="BodyText"/>
        <w:spacing w:before="2"/>
        <w:ind w:left="2307"/>
        <w:jc w:val="both"/>
      </w:pPr>
      <w:r>
        <w:rPr/>
        <w:t>30 a 350 unidades de medida y actualización;</w:t>
      </w:r>
    </w:p>
    <w:p>
      <w:pPr>
        <w:pStyle w:val="BodyText"/>
        <w:spacing w:before="7"/>
        <w:rPr>
          <w:sz w:val="22"/>
        </w:rPr>
      </w:pPr>
    </w:p>
    <w:p>
      <w:pPr>
        <w:pStyle w:val="ListParagraph"/>
        <w:numPr>
          <w:ilvl w:val="0"/>
          <w:numId w:val="258"/>
        </w:numPr>
        <w:tabs>
          <w:tab w:pos="1099" w:val="left" w:leader="none"/>
        </w:tabs>
        <w:spacing w:line="247" w:lineRule="auto" w:before="0" w:after="0"/>
        <w:ind w:left="1098" w:right="39" w:hanging="505"/>
        <w:jc w:val="both"/>
        <w:rPr>
          <w:sz w:val="15"/>
        </w:rPr>
      </w:pPr>
      <w:r>
        <w:rPr>
          <w:sz w:val="15"/>
        </w:rPr>
        <w:t>Por falta de refrendo de la licencia o permiso municipal para el permiso de bebidas alcohólicas,</w:t>
      </w:r>
      <w:r>
        <w:rPr>
          <w:spacing w:val="7"/>
          <w:sz w:val="15"/>
        </w:rPr>
        <w:t> </w:t>
      </w:r>
      <w:r>
        <w:rPr>
          <w:sz w:val="15"/>
        </w:rPr>
        <w:t>de:</w:t>
      </w:r>
    </w:p>
    <w:p>
      <w:pPr>
        <w:pStyle w:val="BodyText"/>
        <w:ind w:left="2306"/>
        <w:jc w:val="both"/>
      </w:pPr>
      <w:r>
        <w:rPr/>
        <w:t>30 a 100 unidades de medida y actualización;</w:t>
      </w:r>
    </w:p>
    <w:p>
      <w:pPr>
        <w:pStyle w:val="BodyText"/>
        <w:rPr>
          <w:sz w:val="16"/>
        </w:rPr>
      </w:pPr>
    </w:p>
    <w:p>
      <w:pPr>
        <w:pStyle w:val="BodyText"/>
        <w:spacing w:before="3"/>
        <w:rPr>
          <w:sz w:val="17"/>
        </w:rPr>
      </w:pPr>
    </w:p>
    <w:p>
      <w:pPr>
        <w:pStyle w:val="ListParagraph"/>
        <w:numPr>
          <w:ilvl w:val="0"/>
          <w:numId w:val="258"/>
        </w:numPr>
        <w:tabs>
          <w:tab w:pos="1099" w:val="left" w:leader="none"/>
        </w:tabs>
        <w:spacing w:line="247" w:lineRule="auto" w:before="0" w:after="0"/>
        <w:ind w:left="1098" w:right="39" w:hanging="504"/>
        <w:jc w:val="both"/>
        <w:rPr>
          <w:sz w:val="15"/>
        </w:rPr>
      </w:pPr>
      <w:r>
        <w:rPr>
          <w:sz w:val="15"/>
        </w:rPr>
        <w:t>Por no tener a la vista la licencia o copia certificada de la  misma, de: 2 a 5 unidades de medida y</w:t>
      </w:r>
      <w:r>
        <w:rPr>
          <w:spacing w:val="36"/>
          <w:sz w:val="15"/>
        </w:rPr>
        <w:t> </w:t>
      </w:r>
      <w:r>
        <w:rPr>
          <w:sz w:val="15"/>
        </w:rPr>
        <w:t>actualización;</w:t>
      </w:r>
    </w:p>
    <w:p>
      <w:pPr>
        <w:pStyle w:val="BodyText"/>
        <w:spacing w:before="2"/>
        <w:rPr>
          <w:sz w:val="22"/>
        </w:rPr>
      </w:pPr>
    </w:p>
    <w:p>
      <w:pPr>
        <w:pStyle w:val="ListParagraph"/>
        <w:numPr>
          <w:ilvl w:val="0"/>
          <w:numId w:val="258"/>
        </w:numPr>
        <w:tabs>
          <w:tab w:pos="1099" w:val="left" w:leader="none"/>
        </w:tabs>
        <w:spacing w:line="247" w:lineRule="auto" w:before="0" w:after="0"/>
        <w:ind w:left="1098" w:right="39" w:hanging="505"/>
        <w:jc w:val="both"/>
        <w:rPr>
          <w:sz w:val="15"/>
        </w:rPr>
      </w:pPr>
      <w:r>
        <w:rPr>
          <w:sz w:val="15"/>
        </w:rPr>
        <w:t>Por no colocar en lugar visible en  el  exterior  del establecimiento avisos en los que se prohíbe la entrada a menores de 18 años de edad en los casos que no proceda su admisión,</w:t>
      </w:r>
      <w:r>
        <w:rPr>
          <w:spacing w:val="1"/>
          <w:sz w:val="15"/>
        </w:rPr>
        <w:t> </w:t>
      </w:r>
      <w:r>
        <w:rPr>
          <w:sz w:val="15"/>
        </w:rPr>
        <w:t>de:</w:t>
      </w:r>
    </w:p>
    <w:p>
      <w:pPr>
        <w:pStyle w:val="BodyText"/>
        <w:spacing w:line="171" w:lineRule="exact"/>
        <w:ind w:left="2391"/>
        <w:jc w:val="both"/>
      </w:pPr>
      <w:r>
        <w:rPr/>
        <w:t>5 a 100 unidades de medida y actualización;</w:t>
      </w:r>
    </w:p>
    <w:p>
      <w:pPr>
        <w:pStyle w:val="BodyText"/>
        <w:rPr>
          <w:sz w:val="16"/>
        </w:rPr>
      </w:pPr>
    </w:p>
    <w:p>
      <w:pPr>
        <w:pStyle w:val="BodyText"/>
        <w:spacing w:before="3"/>
        <w:rPr>
          <w:sz w:val="17"/>
        </w:rPr>
      </w:pPr>
    </w:p>
    <w:p>
      <w:pPr>
        <w:pStyle w:val="ListParagraph"/>
        <w:numPr>
          <w:ilvl w:val="0"/>
          <w:numId w:val="258"/>
        </w:numPr>
        <w:tabs>
          <w:tab w:pos="1099" w:val="left" w:leader="none"/>
        </w:tabs>
        <w:spacing w:line="247" w:lineRule="auto" w:before="0" w:after="0"/>
        <w:ind w:left="1098" w:right="42" w:hanging="505"/>
        <w:jc w:val="both"/>
        <w:rPr>
          <w:sz w:val="15"/>
        </w:rPr>
      </w:pPr>
      <w:r>
        <w:rPr>
          <w:sz w:val="15"/>
        </w:rPr>
        <w:t>Por vender o permitir el consumo de bebidas de contenido alcohólico en lugares y días prohibidos por la presente ley, o    en los horarios prohibidos,</w:t>
      </w:r>
      <w:r>
        <w:rPr>
          <w:spacing w:val="7"/>
          <w:sz w:val="15"/>
        </w:rPr>
        <w:t> </w:t>
      </w:r>
      <w:r>
        <w:rPr>
          <w:sz w:val="15"/>
        </w:rPr>
        <w:t>de:</w:t>
      </w:r>
    </w:p>
    <w:p>
      <w:pPr>
        <w:pStyle w:val="BodyText"/>
        <w:spacing w:line="172" w:lineRule="exact"/>
        <w:ind w:left="2178"/>
        <w:jc w:val="both"/>
      </w:pPr>
      <w:r>
        <w:rPr/>
        <w:t>40 a 1,000 unidades de medida y actualización;</w:t>
      </w:r>
    </w:p>
    <w:p>
      <w:pPr>
        <w:pStyle w:val="BodyText"/>
        <w:rPr>
          <w:sz w:val="16"/>
        </w:rPr>
      </w:pPr>
      <w:r>
        <w:rPr/>
        <w:br w:type="column"/>
      </w:r>
      <w:r>
        <w:rPr>
          <w:sz w:val="16"/>
        </w:rPr>
      </w:r>
    </w:p>
    <w:p>
      <w:pPr>
        <w:pStyle w:val="BodyText"/>
        <w:spacing w:before="8"/>
        <w:rPr>
          <w:sz w:val="22"/>
        </w:rPr>
      </w:pPr>
    </w:p>
    <w:p>
      <w:pPr>
        <w:pStyle w:val="ListParagraph"/>
        <w:numPr>
          <w:ilvl w:val="0"/>
          <w:numId w:val="256"/>
        </w:numPr>
        <w:tabs>
          <w:tab w:pos="656" w:val="left" w:leader="none"/>
        </w:tabs>
        <w:spacing w:line="247" w:lineRule="auto" w:before="0" w:after="0"/>
        <w:ind w:left="655" w:right="2789" w:hanging="505"/>
        <w:jc w:val="both"/>
        <w:rPr>
          <w:sz w:val="15"/>
        </w:rPr>
      </w:pPr>
      <w:r>
        <w:rPr>
          <w:sz w:val="15"/>
        </w:rPr>
        <w:t>Por no impedir y/o no denunciar actos que pongan en peligro el orden en el establecimiento y/o cuando tengan conocimiento o encuentren en el mismo a alguna persona que consuma o  posea estupefacientes o droga,</w:t>
      </w:r>
      <w:r>
        <w:rPr>
          <w:spacing w:val="7"/>
          <w:sz w:val="15"/>
        </w:rPr>
        <w:t> </w:t>
      </w:r>
      <w:r>
        <w:rPr>
          <w:sz w:val="15"/>
        </w:rPr>
        <w:t>de:</w:t>
      </w:r>
    </w:p>
    <w:p>
      <w:pPr>
        <w:pStyle w:val="BodyText"/>
        <w:spacing w:line="171" w:lineRule="exact"/>
        <w:ind w:left="1863"/>
        <w:jc w:val="both"/>
      </w:pPr>
      <w:r>
        <w:rPr/>
        <w:t>30 a 200 unidades de medida y actualización;</w:t>
      </w:r>
    </w:p>
    <w:p>
      <w:pPr>
        <w:pStyle w:val="BodyText"/>
        <w:rPr>
          <w:sz w:val="16"/>
        </w:rPr>
      </w:pPr>
    </w:p>
    <w:p>
      <w:pPr>
        <w:pStyle w:val="BodyText"/>
        <w:spacing w:before="3"/>
        <w:rPr>
          <w:sz w:val="17"/>
        </w:rPr>
      </w:pPr>
    </w:p>
    <w:p>
      <w:pPr>
        <w:pStyle w:val="ListParagraph"/>
        <w:numPr>
          <w:ilvl w:val="0"/>
          <w:numId w:val="256"/>
        </w:numPr>
        <w:tabs>
          <w:tab w:pos="656" w:val="left" w:leader="none"/>
        </w:tabs>
        <w:spacing w:line="247" w:lineRule="auto" w:before="0" w:after="0"/>
        <w:ind w:left="655" w:right="2788" w:hanging="504"/>
        <w:jc w:val="both"/>
        <w:rPr>
          <w:sz w:val="15"/>
        </w:rPr>
      </w:pPr>
      <w:r>
        <w:rPr>
          <w:sz w:val="15"/>
        </w:rPr>
        <w:t>Por no contar con vigilancia debidamente capacitada para dar seguridad a los concurrentes y vecinos del lugar en bailes, centros nocturnos, cabaret, centros botaneros, espectáculos públicos y similares,</w:t>
      </w:r>
      <w:r>
        <w:rPr>
          <w:spacing w:val="4"/>
          <w:sz w:val="15"/>
        </w:rPr>
        <w:t> </w:t>
      </w:r>
      <w:r>
        <w:rPr>
          <w:sz w:val="15"/>
        </w:rPr>
        <w:t>de:</w:t>
      </w:r>
    </w:p>
    <w:p>
      <w:pPr>
        <w:pStyle w:val="BodyText"/>
        <w:spacing w:line="172" w:lineRule="exact"/>
        <w:ind w:left="1864"/>
        <w:jc w:val="both"/>
      </w:pPr>
      <w:r>
        <w:rPr/>
        <w:t>30 a 200 unidades de medida y actualización;</w:t>
      </w:r>
    </w:p>
    <w:p>
      <w:pPr>
        <w:pStyle w:val="BodyText"/>
        <w:rPr>
          <w:sz w:val="16"/>
        </w:rPr>
      </w:pPr>
    </w:p>
    <w:p>
      <w:pPr>
        <w:pStyle w:val="BodyText"/>
        <w:spacing w:before="4"/>
        <w:rPr>
          <w:sz w:val="17"/>
        </w:rPr>
      </w:pPr>
    </w:p>
    <w:p>
      <w:pPr>
        <w:pStyle w:val="ListParagraph"/>
        <w:numPr>
          <w:ilvl w:val="0"/>
          <w:numId w:val="256"/>
        </w:numPr>
        <w:tabs>
          <w:tab w:pos="656" w:val="left" w:leader="none"/>
        </w:tabs>
        <w:spacing w:line="247" w:lineRule="auto" w:before="0" w:after="0"/>
        <w:ind w:left="655" w:right="2790" w:hanging="505"/>
        <w:jc w:val="both"/>
        <w:rPr>
          <w:sz w:val="15"/>
        </w:rPr>
      </w:pPr>
      <w:r>
        <w:rPr>
          <w:sz w:val="15"/>
        </w:rPr>
        <w:t>Por vender bebidas alcohólicas adulteradas, contaminadas o alteradas, independientemente de la clausura,</w:t>
      </w:r>
      <w:r>
        <w:rPr>
          <w:spacing w:val="18"/>
          <w:sz w:val="15"/>
        </w:rPr>
        <w:t> </w:t>
      </w:r>
      <w:r>
        <w:rPr>
          <w:sz w:val="15"/>
        </w:rPr>
        <w:t>de:</w:t>
      </w:r>
    </w:p>
    <w:p>
      <w:pPr>
        <w:pStyle w:val="BodyText"/>
        <w:spacing w:line="172" w:lineRule="exact"/>
        <w:ind w:left="1864"/>
        <w:jc w:val="both"/>
      </w:pPr>
      <w:r>
        <w:rPr/>
        <w:t>98</w:t>
      </w:r>
      <w:r>
        <w:rPr>
          <w:spacing w:val="10"/>
        </w:rPr>
        <w:t> </w:t>
      </w:r>
      <w:r>
        <w:rPr/>
        <w:t>a</w:t>
      </w:r>
      <w:r>
        <w:rPr>
          <w:spacing w:val="11"/>
        </w:rPr>
        <w:t> </w:t>
      </w:r>
      <w:r>
        <w:rPr/>
        <w:t>295</w:t>
      </w:r>
      <w:r>
        <w:rPr>
          <w:spacing w:val="11"/>
        </w:rPr>
        <w:t> </w:t>
      </w:r>
      <w:r>
        <w:rPr/>
        <w:t>unidades</w:t>
      </w:r>
      <w:r>
        <w:rPr>
          <w:spacing w:val="11"/>
        </w:rPr>
        <w:t> </w:t>
      </w:r>
      <w:r>
        <w:rPr/>
        <w:t>de</w:t>
      </w:r>
      <w:r>
        <w:rPr>
          <w:spacing w:val="10"/>
        </w:rPr>
        <w:t> </w:t>
      </w:r>
      <w:r>
        <w:rPr/>
        <w:t>medida</w:t>
      </w:r>
      <w:r>
        <w:rPr>
          <w:spacing w:val="11"/>
        </w:rPr>
        <w:t> </w:t>
      </w:r>
      <w:r>
        <w:rPr/>
        <w:t>y</w:t>
      </w:r>
      <w:r>
        <w:rPr>
          <w:spacing w:val="11"/>
        </w:rPr>
        <w:t> </w:t>
      </w:r>
      <w:r>
        <w:rPr/>
        <w:t>actualización;</w:t>
      </w:r>
    </w:p>
    <w:p>
      <w:pPr>
        <w:pStyle w:val="BodyText"/>
        <w:spacing w:before="7"/>
        <w:rPr>
          <w:sz w:val="22"/>
        </w:rPr>
      </w:pPr>
    </w:p>
    <w:p>
      <w:pPr>
        <w:pStyle w:val="ListParagraph"/>
        <w:numPr>
          <w:ilvl w:val="0"/>
          <w:numId w:val="256"/>
        </w:numPr>
        <w:tabs>
          <w:tab w:pos="656" w:val="left" w:leader="none"/>
        </w:tabs>
        <w:spacing w:line="244" w:lineRule="auto" w:before="0" w:after="0"/>
        <w:ind w:left="655" w:right="2787" w:hanging="504"/>
        <w:jc w:val="both"/>
        <w:rPr>
          <w:sz w:val="15"/>
        </w:rPr>
      </w:pPr>
      <w:r>
        <w:rPr>
          <w:sz w:val="15"/>
        </w:rPr>
        <w:t>Por vender  bebidas alcohólicas fuera del establecimiento,  sin  el permiso de la autoridad competente,</w:t>
      </w:r>
      <w:r>
        <w:rPr>
          <w:spacing w:val="15"/>
          <w:sz w:val="15"/>
        </w:rPr>
        <w:t> </w:t>
      </w:r>
      <w:r>
        <w:rPr>
          <w:sz w:val="15"/>
        </w:rPr>
        <w:t>de:</w:t>
      </w:r>
    </w:p>
    <w:p>
      <w:pPr>
        <w:pStyle w:val="BodyText"/>
        <w:spacing w:before="2"/>
        <w:ind w:left="1863"/>
        <w:jc w:val="both"/>
      </w:pPr>
      <w:r>
        <w:rPr/>
        <w:t>35</w:t>
      </w:r>
      <w:r>
        <w:rPr>
          <w:spacing w:val="10"/>
        </w:rPr>
        <w:t> </w:t>
      </w:r>
      <w:r>
        <w:rPr/>
        <w:t>a</w:t>
      </w:r>
      <w:r>
        <w:rPr>
          <w:spacing w:val="11"/>
        </w:rPr>
        <w:t> </w:t>
      </w:r>
      <w:r>
        <w:rPr/>
        <w:t>350</w:t>
      </w:r>
      <w:r>
        <w:rPr>
          <w:spacing w:val="11"/>
        </w:rPr>
        <w:t> </w:t>
      </w:r>
      <w:r>
        <w:rPr/>
        <w:t>unidades</w:t>
      </w:r>
      <w:r>
        <w:rPr>
          <w:spacing w:val="11"/>
        </w:rPr>
        <w:t> </w:t>
      </w:r>
      <w:r>
        <w:rPr/>
        <w:t>de</w:t>
      </w:r>
      <w:r>
        <w:rPr>
          <w:spacing w:val="10"/>
        </w:rPr>
        <w:t> </w:t>
      </w:r>
      <w:r>
        <w:rPr/>
        <w:t>medida</w:t>
      </w:r>
      <w:r>
        <w:rPr>
          <w:spacing w:val="11"/>
        </w:rPr>
        <w:t> </w:t>
      </w:r>
      <w:r>
        <w:rPr/>
        <w:t>y</w:t>
      </w:r>
      <w:r>
        <w:rPr>
          <w:spacing w:val="11"/>
        </w:rPr>
        <w:t> </w:t>
      </w:r>
      <w:r>
        <w:rPr/>
        <w:t>actualización;</w:t>
      </w:r>
    </w:p>
    <w:p>
      <w:pPr>
        <w:pStyle w:val="BodyText"/>
        <w:rPr>
          <w:sz w:val="16"/>
        </w:rPr>
      </w:pPr>
    </w:p>
    <w:p>
      <w:pPr>
        <w:pStyle w:val="BodyText"/>
        <w:spacing w:before="5"/>
        <w:rPr>
          <w:sz w:val="17"/>
        </w:rPr>
      </w:pPr>
    </w:p>
    <w:p>
      <w:pPr>
        <w:pStyle w:val="ListParagraph"/>
        <w:numPr>
          <w:ilvl w:val="0"/>
          <w:numId w:val="256"/>
        </w:numPr>
        <w:tabs>
          <w:tab w:pos="656" w:val="left" w:leader="none"/>
        </w:tabs>
        <w:spacing w:line="244" w:lineRule="auto" w:before="0" w:after="0"/>
        <w:ind w:left="655" w:right="2788" w:hanging="505"/>
        <w:jc w:val="both"/>
        <w:rPr>
          <w:sz w:val="15"/>
        </w:rPr>
      </w:pPr>
      <w:r>
        <w:rPr>
          <w:sz w:val="15"/>
        </w:rPr>
        <w:t>Por vender o permitir el consumo de bebidas alcohólicas a menores de edad y/o permitirles la entrada en los casos que    no proceda, independientemente de la clausura,</w:t>
      </w:r>
      <w:r>
        <w:rPr>
          <w:spacing w:val="22"/>
          <w:sz w:val="15"/>
        </w:rPr>
        <w:t> </w:t>
      </w:r>
      <w:r>
        <w:rPr>
          <w:sz w:val="15"/>
        </w:rPr>
        <w:t>de:</w:t>
      </w:r>
    </w:p>
    <w:p>
      <w:pPr>
        <w:pStyle w:val="BodyText"/>
        <w:spacing w:before="7"/>
      </w:pPr>
    </w:p>
    <w:p>
      <w:pPr>
        <w:pStyle w:val="ListParagraph"/>
        <w:numPr>
          <w:ilvl w:val="1"/>
          <w:numId w:val="256"/>
        </w:numPr>
        <w:tabs>
          <w:tab w:pos="908" w:val="left" w:leader="none"/>
        </w:tabs>
        <w:spacing w:line="240" w:lineRule="auto" w:before="0" w:after="0"/>
        <w:ind w:left="907" w:right="0" w:hanging="253"/>
        <w:jc w:val="left"/>
        <w:rPr>
          <w:sz w:val="15"/>
        </w:rPr>
      </w:pPr>
      <w:r>
        <w:rPr>
          <w:sz w:val="15"/>
        </w:rPr>
        <w:t>Vender en envase cerrado bebidas alcohólicas,</w:t>
      </w:r>
      <w:r>
        <w:rPr>
          <w:spacing w:val="8"/>
          <w:sz w:val="15"/>
        </w:rPr>
        <w:t> </w:t>
      </w:r>
      <w:r>
        <w:rPr>
          <w:sz w:val="15"/>
        </w:rPr>
        <w:t>de:</w:t>
      </w:r>
    </w:p>
    <w:p>
      <w:pPr>
        <w:pStyle w:val="BodyText"/>
        <w:spacing w:before="5"/>
        <w:ind w:left="1880"/>
        <w:jc w:val="both"/>
      </w:pPr>
      <w:r>
        <w:rPr/>
        <w:t>30 a 100 Unidades de medida y actualización</w:t>
      </w:r>
    </w:p>
    <w:p>
      <w:pPr>
        <w:pStyle w:val="BodyText"/>
        <w:spacing w:before="9"/>
      </w:pPr>
    </w:p>
    <w:p>
      <w:pPr>
        <w:pStyle w:val="ListParagraph"/>
        <w:numPr>
          <w:ilvl w:val="1"/>
          <w:numId w:val="256"/>
        </w:numPr>
        <w:tabs>
          <w:tab w:pos="908" w:val="left" w:leader="none"/>
        </w:tabs>
        <w:spacing w:line="247" w:lineRule="auto" w:before="0" w:after="0"/>
        <w:ind w:left="907" w:right="3224" w:hanging="252"/>
        <w:jc w:val="left"/>
        <w:rPr>
          <w:sz w:val="15"/>
        </w:rPr>
      </w:pPr>
      <w:r>
        <w:rPr>
          <w:sz w:val="15"/>
        </w:rPr>
        <w:t>Permitir el consumo de bebidas alcohólicas, por cada menor</w:t>
      </w:r>
      <w:r>
        <w:rPr>
          <w:spacing w:val="1"/>
          <w:sz w:val="15"/>
        </w:rPr>
        <w:t> </w:t>
      </w:r>
      <w:r>
        <w:rPr>
          <w:sz w:val="15"/>
        </w:rPr>
        <w:t>de:</w:t>
      </w:r>
    </w:p>
    <w:p>
      <w:pPr>
        <w:spacing w:after="0" w:line="247" w:lineRule="auto"/>
        <w:jc w:val="left"/>
        <w:rPr>
          <w:sz w:val="15"/>
        </w:rPr>
        <w:sectPr>
          <w:type w:val="continuous"/>
          <w:pgSz w:w="23250" w:h="15310" w:orient="landscape"/>
          <w:pgMar w:top="0" w:bottom="0" w:left="1880" w:right="1520"/>
          <w:cols w:num="2" w:equalWidth="0">
            <w:col w:w="5473" w:space="6591"/>
            <w:col w:w="7786"/>
          </w:cols>
        </w:sectPr>
      </w:pPr>
    </w:p>
    <w:p>
      <w:pPr>
        <w:pStyle w:val="BodyText"/>
        <w:spacing w:before="11"/>
        <w:rPr>
          <w:sz w:val="16"/>
        </w:rPr>
      </w:pPr>
    </w:p>
    <w:p>
      <w:pPr>
        <w:pStyle w:val="ListParagraph"/>
        <w:numPr>
          <w:ilvl w:val="0"/>
          <w:numId w:val="259"/>
        </w:numPr>
        <w:tabs>
          <w:tab w:pos="1099" w:val="left" w:leader="none"/>
        </w:tabs>
        <w:spacing w:line="247" w:lineRule="auto" w:before="0" w:after="0"/>
        <w:ind w:left="1098" w:right="38" w:hanging="504"/>
        <w:jc w:val="both"/>
        <w:rPr>
          <w:sz w:val="15"/>
        </w:rPr>
      </w:pPr>
      <w:r>
        <w:rPr>
          <w:sz w:val="15"/>
        </w:rPr>
        <w:t>Por alterar, arrendar o enajenar la licencia u opere con</w:t>
      </w:r>
      <w:r>
        <w:rPr>
          <w:spacing w:val="16"/>
          <w:sz w:val="15"/>
        </w:rPr>
        <w:t> </w:t>
      </w:r>
      <w:r>
        <w:rPr>
          <w:sz w:val="15"/>
        </w:rPr>
        <w:t>giro distinto al autorizado en la misma,</w:t>
      </w:r>
      <w:r>
        <w:rPr>
          <w:spacing w:val="11"/>
          <w:sz w:val="15"/>
        </w:rPr>
        <w:t> </w:t>
      </w:r>
      <w:r>
        <w:rPr>
          <w:sz w:val="15"/>
        </w:rPr>
        <w:t>de:</w:t>
      </w:r>
    </w:p>
    <w:p>
      <w:pPr>
        <w:pStyle w:val="BodyText"/>
        <w:ind w:left="2306"/>
      </w:pPr>
      <w:r>
        <w:rPr/>
        <w:t>30 a 200 unidades de medida y actualización;</w:t>
      </w:r>
    </w:p>
    <w:p>
      <w:pPr>
        <w:pStyle w:val="BodyText"/>
        <w:rPr>
          <w:sz w:val="16"/>
        </w:rPr>
      </w:pPr>
    </w:p>
    <w:p>
      <w:pPr>
        <w:pStyle w:val="ListParagraph"/>
        <w:numPr>
          <w:ilvl w:val="0"/>
          <w:numId w:val="259"/>
        </w:numPr>
        <w:tabs>
          <w:tab w:pos="1098" w:val="left" w:leader="none"/>
          <w:tab w:pos="1099" w:val="left" w:leader="none"/>
        </w:tabs>
        <w:spacing w:line="240" w:lineRule="auto" w:before="121" w:after="0"/>
        <w:ind w:left="1098" w:right="0" w:hanging="506"/>
        <w:jc w:val="left"/>
        <w:rPr>
          <w:sz w:val="15"/>
        </w:rPr>
      </w:pPr>
      <w:r>
        <w:rPr>
          <w:sz w:val="15"/>
        </w:rPr>
        <w:t>Por permitir juegos y apuestas prohibidos por la ley,</w:t>
      </w:r>
      <w:r>
        <w:rPr>
          <w:spacing w:val="40"/>
          <w:sz w:val="15"/>
        </w:rPr>
        <w:t> </w:t>
      </w:r>
      <w:r>
        <w:rPr>
          <w:sz w:val="15"/>
        </w:rPr>
        <w:t>de:</w:t>
      </w:r>
    </w:p>
    <w:p>
      <w:pPr>
        <w:pStyle w:val="BodyText"/>
        <w:spacing w:before="5"/>
        <w:ind w:left="2306"/>
      </w:pPr>
      <w:r>
        <w:rPr/>
        <w:t>30 a 200 unidades de medida y actualización;</w:t>
      </w:r>
    </w:p>
    <w:p>
      <w:pPr>
        <w:pStyle w:val="BodyText"/>
        <w:rPr>
          <w:sz w:val="16"/>
        </w:rPr>
      </w:pPr>
    </w:p>
    <w:p>
      <w:pPr>
        <w:pStyle w:val="BodyText"/>
        <w:spacing w:before="10"/>
        <w:rPr>
          <w:sz w:val="13"/>
        </w:rPr>
      </w:pPr>
    </w:p>
    <w:p>
      <w:pPr>
        <w:pStyle w:val="ListParagraph"/>
        <w:numPr>
          <w:ilvl w:val="0"/>
          <w:numId w:val="259"/>
        </w:numPr>
        <w:tabs>
          <w:tab w:pos="1099" w:val="left" w:leader="none"/>
        </w:tabs>
        <w:spacing w:line="247" w:lineRule="auto" w:before="0" w:after="0"/>
        <w:ind w:left="1097" w:right="38" w:hanging="505"/>
        <w:jc w:val="both"/>
        <w:rPr>
          <w:sz w:val="15"/>
        </w:rPr>
      </w:pPr>
      <w:r>
        <w:rPr>
          <w:sz w:val="15"/>
        </w:rPr>
        <w:t>Por suministrar datos falsos a las autoridades para el otorgamiento de la licencia,</w:t>
      </w:r>
      <w:r>
        <w:rPr>
          <w:spacing w:val="7"/>
          <w:sz w:val="15"/>
        </w:rPr>
        <w:t> </w:t>
      </w:r>
      <w:r>
        <w:rPr>
          <w:sz w:val="15"/>
        </w:rPr>
        <w:t>de:</w:t>
      </w:r>
    </w:p>
    <w:p>
      <w:pPr>
        <w:pStyle w:val="BodyText"/>
        <w:ind w:left="2305"/>
      </w:pPr>
      <w:r>
        <w:rPr/>
        <w:t>30 a 200 unidades de medida y actualización;</w:t>
      </w:r>
    </w:p>
    <w:p>
      <w:pPr>
        <w:pStyle w:val="BodyText"/>
        <w:rPr>
          <w:sz w:val="16"/>
        </w:rPr>
      </w:pPr>
    </w:p>
    <w:p>
      <w:pPr>
        <w:pStyle w:val="BodyText"/>
        <w:spacing w:before="3"/>
        <w:rPr>
          <w:sz w:val="17"/>
        </w:rPr>
      </w:pPr>
    </w:p>
    <w:p>
      <w:pPr>
        <w:pStyle w:val="ListParagraph"/>
        <w:numPr>
          <w:ilvl w:val="0"/>
          <w:numId w:val="259"/>
        </w:numPr>
        <w:tabs>
          <w:tab w:pos="1098" w:val="left" w:leader="none"/>
        </w:tabs>
        <w:spacing w:line="247" w:lineRule="auto" w:before="1" w:after="0"/>
        <w:ind w:left="1097" w:right="40" w:hanging="505"/>
        <w:jc w:val="both"/>
        <w:rPr>
          <w:sz w:val="15"/>
        </w:rPr>
      </w:pPr>
      <w:r>
        <w:rPr>
          <w:sz w:val="15"/>
        </w:rPr>
        <w:t>Por impedir o dificultar a las autoridades encargadas la verificación e inspección del establecimiento, y por negarse a presentar la licencia o permiso municipal y el recibo  que  ampara el refrendo del ejercicio fiscal vigente que  se  le  requiera al dueño o encargado del establecimiento</w:t>
      </w:r>
      <w:r>
        <w:rPr>
          <w:spacing w:val="32"/>
          <w:sz w:val="15"/>
        </w:rPr>
        <w:t> </w:t>
      </w:r>
      <w:r>
        <w:rPr>
          <w:sz w:val="15"/>
        </w:rPr>
        <w:t>de:</w:t>
      </w:r>
    </w:p>
    <w:p>
      <w:pPr>
        <w:pStyle w:val="BodyText"/>
        <w:spacing w:line="170" w:lineRule="exact"/>
        <w:ind w:left="2305"/>
        <w:jc w:val="both"/>
      </w:pPr>
      <w:r>
        <w:rPr/>
        <w:t>30 a 200 unidades de medida y actualización;</w:t>
      </w:r>
    </w:p>
    <w:p>
      <w:pPr>
        <w:pStyle w:val="BodyText"/>
        <w:spacing w:line="172" w:lineRule="exact"/>
        <w:ind w:left="2195"/>
      </w:pPr>
      <w:r>
        <w:rPr/>
        <w:br w:type="column"/>
      </w:r>
      <w:r>
        <w:rPr/>
        <w:t>100 a 500 Unidades de medida y actualización;</w:t>
      </w:r>
    </w:p>
    <w:p>
      <w:pPr>
        <w:pStyle w:val="BodyText"/>
        <w:spacing w:before="9"/>
      </w:pPr>
    </w:p>
    <w:p>
      <w:pPr>
        <w:pStyle w:val="ListParagraph"/>
        <w:numPr>
          <w:ilvl w:val="1"/>
          <w:numId w:val="256"/>
        </w:numPr>
        <w:tabs>
          <w:tab w:pos="1393" w:val="left" w:leader="none"/>
        </w:tabs>
        <w:spacing w:line="244" w:lineRule="auto" w:before="0" w:after="0"/>
        <w:ind w:left="1349" w:right="3053" w:hanging="252"/>
        <w:jc w:val="left"/>
        <w:rPr>
          <w:sz w:val="15"/>
        </w:rPr>
      </w:pPr>
      <w:r>
        <w:rPr/>
        <w:tab/>
      </w:r>
      <w:r>
        <w:rPr>
          <w:sz w:val="15"/>
        </w:rPr>
        <w:t>Permitirles la entrada en los casos que no proceda, por cada menor</w:t>
      </w:r>
      <w:r>
        <w:rPr>
          <w:spacing w:val="2"/>
          <w:sz w:val="15"/>
        </w:rPr>
        <w:t> </w:t>
      </w:r>
      <w:r>
        <w:rPr>
          <w:sz w:val="15"/>
        </w:rPr>
        <w:t>de:</w:t>
      </w:r>
    </w:p>
    <w:p>
      <w:pPr>
        <w:pStyle w:val="BodyText"/>
        <w:spacing w:before="2"/>
        <w:ind w:left="2280"/>
      </w:pPr>
      <w:r>
        <w:rPr/>
        <w:t>50 a 250 Unidades de medida y actualización;</w:t>
      </w:r>
    </w:p>
    <w:p>
      <w:pPr>
        <w:pStyle w:val="BodyText"/>
        <w:spacing w:before="2"/>
        <w:rPr>
          <w:sz w:val="19"/>
        </w:rPr>
      </w:pPr>
    </w:p>
    <w:p>
      <w:pPr>
        <w:pStyle w:val="ListParagraph"/>
        <w:numPr>
          <w:ilvl w:val="0"/>
          <w:numId w:val="260"/>
        </w:numPr>
        <w:tabs>
          <w:tab w:pos="1099" w:val="left" w:leader="none"/>
        </w:tabs>
        <w:spacing w:line="247" w:lineRule="auto" w:before="0" w:after="0"/>
        <w:ind w:left="1098" w:right="2787" w:hanging="505"/>
        <w:jc w:val="both"/>
        <w:rPr>
          <w:sz w:val="15"/>
        </w:rPr>
      </w:pPr>
      <w:r>
        <w:rPr>
          <w:sz w:val="15"/>
        </w:rPr>
        <w:t>Obsequiar o vender bebidas alcohólicas a los oficiales de tránsito, policías y militares en servicio, así como a los inspectores del ramo,</w:t>
      </w:r>
      <w:r>
        <w:rPr>
          <w:spacing w:val="3"/>
          <w:sz w:val="15"/>
        </w:rPr>
        <w:t> </w:t>
      </w:r>
      <w:r>
        <w:rPr>
          <w:sz w:val="15"/>
        </w:rPr>
        <w:t>de:</w:t>
      </w:r>
    </w:p>
    <w:p>
      <w:pPr>
        <w:pStyle w:val="BodyText"/>
        <w:spacing w:line="171" w:lineRule="exact"/>
        <w:ind w:left="2306"/>
        <w:jc w:val="both"/>
      </w:pPr>
      <w:r>
        <w:rPr/>
        <w:t>49 a 246 unidades de medida y actualización;</w:t>
      </w:r>
    </w:p>
    <w:p>
      <w:pPr>
        <w:pStyle w:val="BodyText"/>
        <w:spacing w:before="7"/>
        <w:rPr>
          <w:sz w:val="22"/>
        </w:rPr>
      </w:pPr>
    </w:p>
    <w:p>
      <w:pPr>
        <w:pStyle w:val="ListParagraph"/>
        <w:numPr>
          <w:ilvl w:val="0"/>
          <w:numId w:val="260"/>
        </w:numPr>
        <w:tabs>
          <w:tab w:pos="1099" w:val="left" w:leader="none"/>
        </w:tabs>
        <w:spacing w:line="247" w:lineRule="auto" w:before="0" w:after="0"/>
        <w:ind w:left="1097" w:right="2788" w:hanging="505"/>
        <w:jc w:val="both"/>
        <w:rPr>
          <w:sz w:val="15"/>
        </w:rPr>
      </w:pPr>
      <w:r>
        <w:rPr>
          <w:sz w:val="15"/>
        </w:rPr>
        <w:t>Vender o permitir el consumo de bebidas alcohólicas a los que visiblemente estén en estado de ebriedad, a los individuos que estén bajo los efectos psicotrópicos, a personas  con deficiencias mentales, o que están armadas,</w:t>
      </w:r>
      <w:r>
        <w:rPr>
          <w:spacing w:val="22"/>
          <w:sz w:val="15"/>
        </w:rPr>
        <w:t> </w:t>
      </w:r>
      <w:r>
        <w:rPr>
          <w:sz w:val="15"/>
        </w:rPr>
        <w:t>de:</w:t>
      </w:r>
    </w:p>
    <w:p>
      <w:pPr>
        <w:pStyle w:val="BodyText"/>
        <w:spacing w:line="170" w:lineRule="exact"/>
        <w:ind w:left="2306"/>
        <w:jc w:val="both"/>
      </w:pPr>
      <w:r>
        <w:rPr/>
        <w:t>41 a 201 unidades de medida y actualización;</w:t>
      </w:r>
    </w:p>
    <w:p>
      <w:pPr>
        <w:pStyle w:val="BodyText"/>
        <w:spacing w:before="7"/>
        <w:rPr>
          <w:sz w:val="22"/>
        </w:rPr>
      </w:pPr>
    </w:p>
    <w:p>
      <w:pPr>
        <w:pStyle w:val="ListParagraph"/>
        <w:numPr>
          <w:ilvl w:val="0"/>
          <w:numId w:val="260"/>
        </w:numPr>
        <w:tabs>
          <w:tab w:pos="1099" w:val="left" w:leader="none"/>
        </w:tabs>
        <w:spacing w:line="247" w:lineRule="auto" w:before="1" w:after="0"/>
        <w:ind w:left="1098" w:right="2790" w:hanging="505"/>
        <w:jc w:val="both"/>
        <w:rPr>
          <w:sz w:val="15"/>
        </w:rPr>
      </w:pPr>
      <w:r>
        <w:rPr>
          <w:sz w:val="15"/>
        </w:rPr>
        <w:t>A quien venda o permita el consumo de bebidas alcohólicas en contravención a los programas de prevención de accidentes aplicables en el local, cuando así lo establezcan los  reglamentos</w:t>
      </w:r>
      <w:r>
        <w:rPr>
          <w:spacing w:val="14"/>
          <w:sz w:val="15"/>
        </w:rPr>
        <w:t> </w:t>
      </w:r>
      <w:r>
        <w:rPr>
          <w:sz w:val="15"/>
        </w:rPr>
        <w:t>municipales</w:t>
      </w:r>
      <w:r>
        <w:rPr>
          <w:spacing w:val="15"/>
          <w:sz w:val="15"/>
        </w:rPr>
        <w:t> </w:t>
      </w:r>
      <w:r>
        <w:rPr>
          <w:sz w:val="15"/>
        </w:rPr>
        <w:t>(Conductor</w:t>
      </w:r>
      <w:r>
        <w:rPr>
          <w:spacing w:val="14"/>
          <w:sz w:val="15"/>
        </w:rPr>
        <w:t> </w:t>
      </w:r>
      <w:r>
        <w:rPr>
          <w:sz w:val="15"/>
        </w:rPr>
        <w:t>designado,</w:t>
      </w:r>
      <w:r>
        <w:rPr>
          <w:spacing w:val="15"/>
          <w:sz w:val="15"/>
        </w:rPr>
        <w:t> </w:t>
      </w:r>
      <w:r>
        <w:rPr>
          <w:sz w:val="15"/>
        </w:rPr>
        <w:t>taxi</w:t>
      </w:r>
      <w:r>
        <w:rPr>
          <w:spacing w:val="14"/>
          <w:sz w:val="15"/>
        </w:rPr>
        <w:t> </w:t>
      </w:r>
      <w:r>
        <w:rPr>
          <w:sz w:val="15"/>
        </w:rPr>
        <w:t>seguro,</w:t>
      </w:r>
    </w:p>
    <w:p>
      <w:pPr>
        <w:spacing w:after="0" w:line="247" w:lineRule="auto"/>
        <w:jc w:val="both"/>
        <w:rPr>
          <w:sz w:val="15"/>
        </w:rPr>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34"/>
          <w:pgSz w:w="23250" w:h="15310" w:orient="landscape"/>
          <w:pgMar w:header="881" w:footer="499" w:top="1920" w:bottom="680" w:left="1880" w:right="1520"/>
        </w:sectPr>
      </w:pPr>
    </w:p>
    <w:p>
      <w:pPr>
        <w:pStyle w:val="BodyText"/>
        <w:spacing w:before="10"/>
        <w:rPr>
          <w:sz w:val="19"/>
        </w:rPr>
      </w:pPr>
    </w:p>
    <w:p>
      <w:pPr>
        <w:pStyle w:val="BodyText"/>
        <w:ind w:left="1098"/>
      </w:pPr>
      <w:r>
        <w:rPr/>
        <w:t>control de salida con alcoholímetro) de:</w:t>
      </w:r>
    </w:p>
    <w:p>
      <w:pPr>
        <w:pStyle w:val="BodyText"/>
        <w:spacing w:before="6"/>
        <w:ind w:left="2307"/>
        <w:jc w:val="both"/>
      </w:pPr>
      <w:r>
        <w:rPr/>
        <w:t>35 a 350 unidades de medida y actualización.</w:t>
      </w:r>
    </w:p>
    <w:p>
      <w:pPr>
        <w:pStyle w:val="BodyText"/>
        <w:rPr>
          <w:sz w:val="16"/>
        </w:rPr>
      </w:pPr>
    </w:p>
    <w:p>
      <w:pPr>
        <w:pStyle w:val="BodyText"/>
        <w:spacing w:before="3"/>
        <w:rPr>
          <w:sz w:val="17"/>
        </w:rPr>
      </w:pPr>
    </w:p>
    <w:p>
      <w:pPr>
        <w:pStyle w:val="ListParagraph"/>
        <w:numPr>
          <w:ilvl w:val="0"/>
          <w:numId w:val="260"/>
        </w:numPr>
        <w:tabs>
          <w:tab w:pos="1099" w:val="left" w:leader="none"/>
        </w:tabs>
        <w:spacing w:line="247" w:lineRule="auto" w:before="0" w:after="0"/>
        <w:ind w:left="1098" w:right="39" w:hanging="505"/>
        <w:jc w:val="both"/>
        <w:rPr>
          <w:sz w:val="15"/>
        </w:rPr>
      </w:pPr>
      <w:r>
        <w:rPr>
          <w:sz w:val="15"/>
        </w:rPr>
        <w:t>Por trabajar giro fuera de los horarios establecidos para  la  venta o consumo de bebidas alcohólicas, y rebasando los  límites correspondientes a las horas  extraordinarias  autorizadas, de:</w:t>
      </w:r>
    </w:p>
    <w:p>
      <w:pPr>
        <w:pStyle w:val="BodyText"/>
        <w:spacing w:line="172" w:lineRule="exact"/>
        <w:ind w:left="2307"/>
        <w:jc w:val="both"/>
      </w:pPr>
      <w:r>
        <w:rPr/>
        <w:t>35 a 350 unidades de medida y actualización.</w:t>
      </w:r>
    </w:p>
    <w:p>
      <w:pPr>
        <w:pStyle w:val="BodyText"/>
        <w:rPr>
          <w:sz w:val="16"/>
        </w:rPr>
      </w:pPr>
    </w:p>
    <w:p>
      <w:pPr>
        <w:pStyle w:val="BodyText"/>
        <w:spacing w:before="3"/>
        <w:rPr>
          <w:sz w:val="17"/>
        </w:rPr>
      </w:pPr>
    </w:p>
    <w:p>
      <w:pPr>
        <w:pStyle w:val="ListParagraph"/>
        <w:numPr>
          <w:ilvl w:val="0"/>
          <w:numId w:val="260"/>
        </w:numPr>
        <w:tabs>
          <w:tab w:pos="1099" w:val="left" w:leader="none"/>
        </w:tabs>
        <w:spacing w:line="247" w:lineRule="auto" w:before="0" w:after="0"/>
        <w:ind w:left="1098" w:right="39" w:hanging="505"/>
        <w:jc w:val="both"/>
        <w:rPr>
          <w:sz w:val="15"/>
        </w:rPr>
      </w:pPr>
      <w:r>
        <w:rPr>
          <w:sz w:val="15"/>
        </w:rPr>
        <w:t>Por generar la venta o consumo de bebidas alcohólicas en envase abierto o cerrado, en días en que se  celebren elecciones federales, estatales o municipales,</w:t>
      </w:r>
      <w:r>
        <w:rPr>
          <w:spacing w:val="18"/>
          <w:sz w:val="15"/>
        </w:rPr>
        <w:t> </w:t>
      </w:r>
      <w:r>
        <w:rPr>
          <w:sz w:val="15"/>
        </w:rPr>
        <w:t>de:</w:t>
      </w:r>
    </w:p>
    <w:p>
      <w:pPr>
        <w:pStyle w:val="BodyText"/>
        <w:spacing w:line="172" w:lineRule="exact"/>
        <w:ind w:left="2307"/>
        <w:jc w:val="both"/>
      </w:pPr>
      <w:r>
        <w:rPr/>
        <w:t>40 a 500 unidades de medida y actualización.</w:t>
      </w:r>
    </w:p>
    <w:p>
      <w:pPr>
        <w:pStyle w:val="BodyText"/>
        <w:rPr>
          <w:sz w:val="16"/>
        </w:rPr>
      </w:pPr>
    </w:p>
    <w:p>
      <w:pPr>
        <w:pStyle w:val="BodyText"/>
        <w:spacing w:before="6"/>
        <w:rPr>
          <w:sz w:val="21"/>
        </w:rPr>
      </w:pPr>
    </w:p>
    <w:p>
      <w:pPr>
        <w:pStyle w:val="ListParagraph"/>
        <w:numPr>
          <w:ilvl w:val="0"/>
          <w:numId w:val="260"/>
        </w:numPr>
        <w:tabs>
          <w:tab w:pos="1099" w:val="left" w:leader="none"/>
        </w:tabs>
        <w:spacing w:line="247" w:lineRule="auto" w:before="0" w:after="0"/>
        <w:ind w:left="1098" w:right="38" w:hanging="505"/>
        <w:jc w:val="both"/>
        <w:rPr>
          <w:sz w:val="15"/>
        </w:rPr>
      </w:pPr>
      <w:r>
        <w:rPr>
          <w:sz w:val="15"/>
        </w:rPr>
        <w:t>Por mantener vista directa desde la vía pública a centros botaneros, cantinas, bares, video bares, discotecas y giros similares, independientemente de corregir el motivo de la falta, de:</w:t>
      </w:r>
    </w:p>
    <w:p>
      <w:pPr>
        <w:pStyle w:val="BodyText"/>
        <w:spacing w:line="171" w:lineRule="exact"/>
        <w:ind w:left="2392"/>
        <w:jc w:val="both"/>
      </w:pPr>
      <w:r>
        <w:rPr/>
        <w:t>29 a 94 unidades de medida y actualización;</w:t>
      </w:r>
    </w:p>
    <w:p>
      <w:pPr>
        <w:pStyle w:val="BodyText"/>
        <w:rPr>
          <w:sz w:val="16"/>
        </w:rPr>
      </w:pPr>
    </w:p>
    <w:p>
      <w:pPr>
        <w:pStyle w:val="ListParagraph"/>
        <w:numPr>
          <w:ilvl w:val="0"/>
          <w:numId w:val="260"/>
        </w:numPr>
        <w:tabs>
          <w:tab w:pos="1099" w:val="left" w:leader="none"/>
        </w:tabs>
        <w:spacing w:line="247" w:lineRule="auto" w:before="115" w:after="0"/>
        <w:ind w:left="1098" w:right="40" w:hanging="505"/>
        <w:jc w:val="both"/>
        <w:rPr>
          <w:sz w:val="15"/>
        </w:rPr>
      </w:pPr>
      <w:r>
        <w:rPr>
          <w:sz w:val="15"/>
        </w:rPr>
        <w:t>Por vender o permitir el consumo de bebidas de bajo contenido alcohólico, sin alimentos en restaurantes, cenadurías, y fondas por vender y consumir bebidas de baja graduación, previa autorización para su venta, siempre y cuando no se consuman  o no se hayan consumido alimentos,</w:t>
      </w:r>
      <w:r>
        <w:rPr>
          <w:spacing w:val="14"/>
          <w:sz w:val="15"/>
        </w:rPr>
        <w:t> </w:t>
      </w:r>
      <w:r>
        <w:rPr>
          <w:sz w:val="15"/>
        </w:rPr>
        <w:t>de:</w:t>
      </w:r>
    </w:p>
    <w:p>
      <w:pPr>
        <w:pStyle w:val="BodyText"/>
        <w:spacing w:line="169" w:lineRule="exact"/>
        <w:ind w:left="2392"/>
        <w:jc w:val="both"/>
      </w:pPr>
      <w:r>
        <w:rPr/>
        <w:t>19 a 51 unidades de medida y actualización;</w:t>
      </w:r>
    </w:p>
    <w:p>
      <w:pPr>
        <w:pStyle w:val="BodyText"/>
        <w:spacing w:before="7"/>
        <w:rPr>
          <w:sz w:val="22"/>
        </w:rPr>
      </w:pPr>
    </w:p>
    <w:p>
      <w:pPr>
        <w:pStyle w:val="ListParagraph"/>
        <w:numPr>
          <w:ilvl w:val="0"/>
          <w:numId w:val="260"/>
        </w:numPr>
        <w:tabs>
          <w:tab w:pos="959" w:val="left" w:leader="none"/>
        </w:tabs>
        <w:spacing w:line="247" w:lineRule="auto" w:before="0" w:after="0"/>
        <w:ind w:left="150" w:right="38" w:firstLine="397"/>
        <w:jc w:val="both"/>
        <w:rPr>
          <w:sz w:val="15"/>
        </w:rPr>
      </w:pPr>
      <w:r>
        <w:rPr>
          <w:sz w:val="15"/>
        </w:rPr>
        <w:t>En establecimientos autorizados para expendio y consumo de bebidas de bajo y alto contenido</w:t>
      </w:r>
      <w:r>
        <w:rPr>
          <w:spacing w:val="11"/>
          <w:sz w:val="15"/>
        </w:rPr>
        <w:t> </w:t>
      </w:r>
      <w:r>
        <w:rPr>
          <w:sz w:val="15"/>
        </w:rPr>
        <w:t>alcohólico:</w:t>
      </w:r>
    </w:p>
    <w:p>
      <w:pPr>
        <w:pStyle w:val="BodyText"/>
        <w:spacing w:before="1"/>
        <w:rPr>
          <w:sz w:val="22"/>
        </w:rPr>
      </w:pPr>
    </w:p>
    <w:p>
      <w:pPr>
        <w:pStyle w:val="BodyText"/>
        <w:spacing w:line="247" w:lineRule="auto"/>
        <w:ind w:left="175" w:right="38" w:firstLine="397"/>
        <w:jc w:val="both"/>
      </w:pPr>
      <w:r>
        <w:rPr/>
        <w:t>a). Por permitir que los clientes permanezcan fuera del horario autorizado en el interior y anexos, tales como cocheras, pasillos y otros que  se comuniquen con el negocio,</w:t>
      </w:r>
      <w:r>
        <w:rPr>
          <w:spacing w:val="8"/>
        </w:rPr>
        <w:t> </w:t>
      </w:r>
      <w:r>
        <w:rPr/>
        <w:t>de:</w:t>
      </w:r>
    </w:p>
    <w:p>
      <w:pPr>
        <w:pStyle w:val="BodyText"/>
        <w:spacing w:line="170" w:lineRule="exact"/>
        <w:ind w:left="1748"/>
        <w:jc w:val="both"/>
      </w:pPr>
      <w:r>
        <w:rPr/>
        <w:t>12 a 95 unidades de medida y actualización;</w:t>
      </w:r>
    </w:p>
    <w:p>
      <w:pPr>
        <w:pStyle w:val="BodyText"/>
        <w:spacing w:before="7"/>
        <w:rPr>
          <w:sz w:val="22"/>
        </w:rPr>
      </w:pPr>
    </w:p>
    <w:p>
      <w:pPr>
        <w:pStyle w:val="ListParagraph"/>
        <w:numPr>
          <w:ilvl w:val="0"/>
          <w:numId w:val="260"/>
        </w:numPr>
        <w:tabs>
          <w:tab w:pos="990" w:val="left" w:leader="none"/>
        </w:tabs>
        <w:spacing w:line="247" w:lineRule="auto" w:before="1" w:after="0"/>
        <w:ind w:left="150" w:right="38" w:firstLine="397"/>
        <w:jc w:val="both"/>
        <w:rPr>
          <w:sz w:val="15"/>
        </w:rPr>
      </w:pPr>
      <w:r>
        <w:rPr>
          <w:sz w:val="15"/>
        </w:rPr>
        <w:t>Por tener habitaciones privadas dentro de  los  establecimientos en giros sujetos a regulación y control especial, así como el  ingreso  a  pasillos que se comuniquen a otro inmueble distinto al señalado,</w:t>
      </w:r>
      <w:r>
        <w:rPr>
          <w:spacing w:val="6"/>
          <w:sz w:val="15"/>
        </w:rPr>
        <w:t> </w:t>
      </w:r>
      <w:r>
        <w:rPr>
          <w:sz w:val="15"/>
        </w:rPr>
        <w:t>de:</w:t>
      </w:r>
    </w:p>
    <w:p>
      <w:pPr>
        <w:pStyle w:val="BodyText"/>
        <w:spacing w:line="171" w:lineRule="exact"/>
        <w:ind w:left="150"/>
        <w:jc w:val="both"/>
      </w:pPr>
      <w:r>
        <w:rPr/>
        <w:t>13 a 77 unidades de medida y actualización;</w:t>
      </w:r>
    </w:p>
    <w:p>
      <w:pPr>
        <w:pStyle w:val="BodyText"/>
        <w:spacing w:before="7"/>
        <w:rPr>
          <w:sz w:val="22"/>
        </w:rPr>
      </w:pPr>
    </w:p>
    <w:p>
      <w:pPr>
        <w:pStyle w:val="BodyText"/>
        <w:spacing w:line="244" w:lineRule="auto"/>
        <w:ind w:left="150" w:right="38" w:firstLine="397"/>
        <w:jc w:val="both"/>
      </w:pPr>
      <w:r>
        <w:rPr/>
        <w:t>Los casos de reincidencia por violaciones al presente artículo se sancionarán aplicando el doble de la multa de la que le hubiere impuesto con anterioridad.</w:t>
      </w:r>
    </w:p>
    <w:p>
      <w:pPr>
        <w:pStyle w:val="BodyText"/>
        <w:spacing w:before="1"/>
        <w:rPr>
          <w:sz w:val="19"/>
        </w:rPr>
      </w:pPr>
    </w:p>
    <w:p>
      <w:pPr>
        <w:pStyle w:val="BodyText"/>
        <w:spacing w:line="244" w:lineRule="auto"/>
        <w:ind w:left="150" w:right="39" w:firstLine="422"/>
        <w:jc w:val="right"/>
      </w:pPr>
      <w:r>
        <w:rPr>
          <w:b/>
        </w:rPr>
        <w:t>Artículo 154.- </w:t>
      </w:r>
      <w:r>
        <w:rPr/>
        <w:t>A quienes incurran en violaciones en </w:t>
      </w:r>
      <w:r>
        <w:rPr>
          <w:spacing w:val="5"/>
        </w:rPr>
        <w:t> </w:t>
      </w:r>
      <w:r>
        <w:rPr/>
        <w:t>materia </w:t>
      </w:r>
      <w:r>
        <w:rPr>
          <w:spacing w:val="30"/>
        </w:rPr>
        <w:t> </w:t>
      </w:r>
      <w:r>
        <w:rPr/>
        <w:t>del</w:t>
      </w:r>
      <w:r>
        <w:rPr>
          <w:w w:val="102"/>
        </w:rPr>
        <w:t> </w:t>
      </w:r>
      <w:r>
        <w:rPr/>
        <w:t>servicio</w:t>
      </w:r>
      <w:r>
        <w:rPr>
          <w:spacing w:val="34"/>
        </w:rPr>
        <w:t> </w:t>
      </w:r>
      <w:r>
        <w:rPr/>
        <w:t>público</w:t>
      </w:r>
      <w:r>
        <w:rPr>
          <w:spacing w:val="35"/>
        </w:rPr>
        <w:t> </w:t>
      </w:r>
      <w:r>
        <w:rPr/>
        <w:t>de</w:t>
      </w:r>
      <w:r>
        <w:rPr>
          <w:spacing w:val="35"/>
        </w:rPr>
        <w:t> </w:t>
      </w:r>
      <w:r>
        <w:rPr/>
        <w:t>parques</w:t>
      </w:r>
      <w:r>
        <w:rPr>
          <w:spacing w:val="34"/>
        </w:rPr>
        <w:t> </w:t>
      </w:r>
      <w:r>
        <w:rPr/>
        <w:t>y</w:t>
      </w:r>
      <w:r>
        <w:rPr>
          <w:spacing w:val="35"/>
        </w:rPr>
        <w:t> </w:t>
      </w:r>
      <w:r>
        <w:rPr/>
        <w:t>jardines,</w:t>
      </w:r>
      <w:r>
        <w:rPr>
          <w:spacing w:val="35"/>
        </w:rPr>
        <w:t> </w:t>
      </w:r>
      <w:r>
        <w:rPr/>
        <w:t>se</w:t>
      </w:r>
      <w:r>
        <w:rPr>
          <w:spacing w:val="34"/>
        </w:rPr>
        <w:t> </w:t>
      </w:r>
      <w:r>
        <w:rPr/>
        <w:t>sancionarán</w:t>
      </w:r>
      <w:r>
        <w:rPr>
          <w:spacing w:val="35"/>
        </w:rPr>
        <w:t> </w:t>
      </w:r>
      <w:r>
        <w:rPr/>
        <w:t>con</w:t>
      </w:r>
      <w:r>
        <w:rPr>
          <w:spacing w:val="35"/>
        </w:rPr>
        <w:t> </w:t>
      </w:r>
      <w:r>
        <w:rPr/>
        <w:t>una</w:t>
      </w:r>
      <w:r>
        <w:rPr>
          <w:spacing w:val="38"/>
        </w:rPr>
        <w:t> </w:t>
      </w:r>
      <w:r>
        <w:rPr/>
        <w:t>multa,</w:t>
      </w:r>
      <w:r>
        <w:rPr>
          <w:spacing w:val="35"/>
        </w:rPr>
        <w:t> </w:t>
      </w:r>
      <w:r>
        <w:rPr/>
        <w:t>de:</w:t>
      </w:r>
    </w:p>
    <w:p>
      <w:pPr>
        <w:pStyle w:val="BodyText"/>
        <w:spacing w:before="2"/>
        <w:ind w:right="65"/>
        <w:jc w:val="right"/>
      </w:pPr>
      <w:r>
        <w:rPr/>
        <w:t>17</w:t>
      </w:r>
      <w:r>
        <w:rPr>
          <w:spacing w:val="10"/>
        </w:rPr>
        <w:t> </w:t>
      </w:r>
      <w:r>
        <w:rPr/>
        <w:t>a</w:t>
      </w:r>
      <w:r>
        <w:rPr>
          <w:spacing w:val="10"/>
        </w:rPr>
        <w:t> </w:t>
      </w:r>
      <w:r>
        <w:rPr/>
        <w:t>52</w:t>
      </w:r>
      <w:r>
        <w:rPr>
          <w:spacing w:val="10"/>
        </w:rPr>
        <w:t> </w:t>
      </w:r>
      <w:r>
        <w:rPr/>
        <w:t>unidades</w:t>
      </w:r>
      <w:r>
        <w:rPr>
          <w:spacing w:val="10"/>
        </w:rPr>
        <w:t> </w:t>
      </w:r>
      <w:r>
        <w:rPr/>
        <w:t>de</w:t>
      </w:r>
      <w:r>
        <w:rPr>
          <w:spacing w:val="10"/>
        </w:rPr>
        <w:t> </w:t>
      </w:r>
      <w:r>
        <w:rPr/>
        <w:t>medida</w:t>
      </w:r>
      <w:r>
        <w:rPr>
          <w:spacing w:val="11"/>
        </w:rPr>
        <w:t> </w:t>
      </w:r>
      <w:r>
        <w:rPr/>
        <w:t>y</w:t>
      </w:r>
      <w:r>
        <w:rPr>
          <w:spacing w:val="10"/>
        </w:rPr>
        <w:t> </w:t>
      </w:r>
      <w:r>
        <w:rPr/>
        <w:t>actualización;</w:t>
      </w:r>
    </w:p>
    <w:p>
      <w:pPr>
        <w:pStyle w:val="BodyText"/>
        <w:spacing w:before="7"/>
        <w:rPr>
          <w:sz w:val="22"/>
        </w:rPr>
      </w:pPr>
    </w:p>
    <w:p>
      <w:pPr>
        <w:pStyle w:val="ListParagraph"/>
        <w:numPr>
          <w:ilvl w:val="0"/>
          <w:numId w:val="261"/>
        </w:numPr>
        <w:tabs>
          <w:tab w:pos="733" w:val="left" w:leader="none"/>
        </w:tabs>
        <w:spacing w:line="240" w:lineRule="auto" w:before="0" w:after="0"/>
        <w:ind w:left="732" w:right="0" w:hanging="185"/>
        <w:jc w:val="left"/>
        <w:rPr>
          <w:sz w:val="15"/>
        </w:rPr>
      </w:pPr>
      <w:r>
        <w:rPr>
          <w:sz w:val="15"/>
        </w:rPr>
        <w:t>Por</w:t>
      </w:r>
      <w:r>
        <w:rPr>
          <w:spacing w:val="22"/>
          <w:sz w:val="15"/>
        </w:rPr>
        <w:t> </w:t>
      </w:r>
      <w:r>
        <w:rPr>
          <w:sz w:val="15"/>
        </w:rPr>
        <w:t>instalar</w:t>
      </w:r>
      <w:r>
        <w:rPr>
          <w:spacing w:val="23"/>
          <w:sz w:val="15"/>
        </w:rPr>
        <w:t> </w:t>
      </w:r>
      <w:r>
        <w:rPr>
          <w:sz w:val="15"/>
        </w:rPr>
        <w:t>alambre</w:t>
      </w:r>
      <w:r>
        <w:rPr>
          <w:spacing w:val="23"/>
          <w:sz w:val="15"/>
        </w:rPr>
        <w:t> </w:t>
      </w:r>
      <w:r>
        <w:rPr>
          <w:sz w:val="15"/>
        </w:rPr>
        <w:t>de</w:t>
      </w:r>
      <w:r>
        <w:rPr>
          <w:spacing w:val="23"/>
          <w:sz w:val="15"/>
        </w:rPr>
        <w:t> </w:t>
      </w:r>
      <w:r>
        <w:rPr>
          <w:sz w:val="15"/>
        </w:rPr>
        <w:t>púas</w:t>
      </w:r>
      <w:r>
        <w:rPr>
          <w:spacing w:val="21"/>
          <w:sz w:val="15"/>
        </w:rPr>
        <w:t> </w:t>
      </w:r>
      <w:r>
        <w:rPr>
          <w:sz w:val="15"/>
        </w:rPr>
        <w:t>o</w:t>
      </w:r>
      <w:r>
        <w:rPr>
          <w:spacing w:val="23"/>
          <w:sz w:val="15"/>
        </w:rPr>
        <w:t> </w:t>
      </w:r>
      <w:r>
        <w:rPr>
          <w:sz w:val="15"/>
        </w:rPr>
        <w:t>cercas</w:t>
      </w:r>
      <w:r>
        <w:rPr>
          <w:spacing w:val="23"/>
          <w:sz w:val="15"/>
        </w:rPr>
        <w:t> </w:t>
      </w:r>
      <w:r>
        <w:rPr>
          <w:sz w:val="15"/>
        </w:rPr>
        <w:t>que</w:t>
      </w:r>
      <w:r>
        <w:rPr>
          <w:spacing w:val="23"/>
          <w:sz w:val="15"/>
        </w:rPr>
        <w:t> </w:t>
      </w:r>
      <w:r>
        <w:rPr>
          <w:sz w:val="15"/>
        </w:rPr>
        <w:t>obstruyan</w:t>
      </w:r>
      <w:r>
        <w:rPr>
          <w:spacing w:val="23"/>
          <w:sz w:val="15"/>
        </w:rPr>
        <w:t> </w:t>
      </w:r>
      <w:r>
        <w:rPr>
          <w:sz w:val="15"/>
        </w:rPr>
        <w:t>el</w:t>
      </w:r>
      <w:r>
        <w:rPr>
          <w:spacing w:val="23"/>
          <w:sz w:val="15"/>
        </w:rPr>
        <w:t> </w:t>
      </w:r>
      <w:r>
        <w:rPr>
          <w:sz w:val="15"/>
        </w:rPr>
        <w:t>paso</w:t>
      </w:r>
    </w:p>
    <w:p>
      <w:pPr>
        <w:pStyle w:val="BodyText"/>
        <w:spacing w:before="10"/>
        <w:rPr>
          <w:sz w:val="19"/>
        </w:rPr>
      </w:pPr>
      <w:r>
        <w:rPr/>
        <w:br w:type="column"/>
      </w:r>
      <w:r>
        <w:rPr>
          <w:sz w:val="19"/>
        </w:rPr>
      </w:r>
    </w:p>
    <w:p>
      <w:pPr>
        <w:pStyle w:val="BodyText"/>
        <w:spacing w:line="247" w:lineRule="auto"/>
        <w:ind w:left="150" w:right="2849"/>
      </w:pPr>
      <w:r>
        <w:rPr/>
        <w:t>peatonal en banquetas, parques, jardines, glorietas y en general  áreas  verdes;</w:t>
      </w:r>
    </w:p>
    <w:p>
      <w:pPr>
        <w:pStyle w:val="BodyText"/>
        <w:spacing w:before="1"/>
        <w:rPr>
          <w:sz w:val="22"/>
        </w:rPr>
      </w:pPr>
    </w:p>
    <w:p>
      <w:pPr>
        <w:pStyle w:val="ListParagraph"/>
        <w:numPr>
          <w:ilvl w:val="0"/>
          <w:numId w:val="261"/>
        </w:numPr>
        <w:tabs>
          <w:tab w:pos="756" w:val="left" w:leader="none"/>
        </w:tabs>
        <w:spacing w:line="247" w:lineRule="auto" w:before="0" w:after="0"/>
        <w:ind w:left="150" w:right="4353" w:firstLine="397"/>
        <w:jc w:val="left"/>
        <w:rPr>
          <w:sz w:val="15"/>
        </w:rPr>
      </w:pPr>
      <w:r>
        <w:rPr>
          <w:sz w:val="15"/>
        </w:rPr>
        <w:t>Por dañar o cortar plantas, o flores de los lugares de uso</w:t>
      </w:r>
      <w:r>
        <w:rPr>
          <w:spacing w:val="4"/>
          <w:sz w:val="15"/>
        </w:rPr>
        <w:t> </w:t>
      </w:r>
      <w:r>
        <w:rPr>
          <w:sz w:val="15"/>
        </w:rPr>
        <w:t>público;</w:t>
      </w:r>
    </w:p>
    <w:p>
      <w:pPr>
        <w:pStyle w:val="BodyText"/>
        <w:spacing w:before="2"/>
        <w:rPr>
          <w:sz w:val="22"/>
        </w:rPr>
      </w:pPr>
    </w:p>
    <w:p>
      <w:pPr>
        <w:pStyle w:val="ListParagraph"/>
        <w:numPr>
          <w:ilvl w:val="0"/>
          <w:numId w:val="261"/>
        </w:numPr>
        <w:tabs>
          <w:tab w:pos="784" w:val="left" w:leader="none"/>
        </w:tabs>
        <w:spacing w:line="247" w:lineRule="auto" w:before="0" w:after="0"/>
        <w:ind w:left="150" w:right="2787" w:firstLine="397"/>
        <w:jc w:val="both"/>
        <w:rPr>
          <w:sz w:val="15"/>
        </w:rPr>
      </w:pPr>
      <w:r>
        <w:rPr>
          <w:sz w:val="15"/>
        </w:rPr>
        <w:t>Por pintar, rayar y pegar publicidad comercial o de otra índole en equipamiento, monumentos o cualquier otro elemento arquitectónico de los parques y</w:t>
      </w:r>
      <w:r>
        <w:rPr>
          <w:spacing w:val="2"/>
          <w:sz w:val="15"/>
        </w:rPr>
        <w:t> </w:t>
      </w:r>
      <w:r>
        <w:rPr>
          <w:sz w:val="15"/>
        </w:rPr>
        <w:t>jardines;</w:t>
      </w:r>
    </w:p>
    <w:p>
      <w:pPr>
        <w:pStyle w:val="BodyText"/>
        <w:rPr>
          <w:sz w:val="22"/>
        </w:rPr>
      </w:pPr>
    </w:p>
    <w:p>
      <w:pPr>
        <w:pStyle w:val="ListParagraph"/>
        <w:numPr>
          <w:ilvl w:val="0"/>
          <w:numId w:val="261"/>
        </w:numPr>
        <w:tabs>
          <w:tab w:pos="810" w:val="left" w:leader="none"/>
        </w:tabs>
        <w:spacing w:line="247" w:lineRule="auto" w:before="0" w:after="0"/>
        <w:ind w:left="150" w:right="2787" w:firstLine="397"/>
        <w:jc w:val="both"/>
        <w:rPr>
          <w:sz w:val="15"/>
        </w:rPr>
      </w:pPr>
      <w:r>
        <w:rPr>
          <w:sz w:val="15"/>
        </w:rPr>
        <w:t>Por agregar cualquier producto tóxico o sustancia química  que  dañe, lesione o destruya las áreas</w:t>
      </w:r>
      <w:r>
        <w:rPr>
          <w:spacing w:val="11"/>
          <w:sz w:val="15"/>
        </w:rPr>
        <w:t> </w:t>
      </w:r>
      <w:r>
        <w:rPr>
          <w:sz w:val="15"/>
        </w:rPr>
        <w:t>verdes;</w:t>
      </w:r>
    </w:p>
    <w:p>
      <w:pPr>
        <w:pStyle w:val="BodyText"/>
        <w:spacing w:before="1"/>
        <w:rPr>
          <w:sz w:val="22"/>
        </w:rPr>
      </w:pPr>
    </w:p>
    <w:p>
      <w:pPr>
        <w:pStyle w:val="ListParagraph"/>
        <w:numPr>
          <w:ilvl w:val="0"/>
          <w:numId w:val="261"/>
        </w:numPr>
        <w:tabs>
          <w:tab w:pos="737" w:val="left" w:leader="none"/>
        </w:tabs>
        <w:spacing w:line="247" w:lineRule="auto" w:before="1" w:after="0"/>
        <w:ind w:left="150" w:right="2787" w:firstLine="397"/>
        <w:jc w:val="both"/>
        <w:rPr>
          <w:sz w:val="15"/>
        </w:rPr>
      </w:pPr>
      <w:r>
        <w:rPr>
          <w:sz w:val="15"/>
        </w:rPr>
        <w:t>Por derribo o tala de árboles, sin el permiso correspondiente, o sin observar los lineamientos establecidos para tal efecto por el Departamento    de Parques y Jardines, la sanción que se aplicará por cada  árbol  se  establece en función de las características de cada uno de los  árboles  talados:</w:t>
      </w:r>
    </w:p>
    <w:p>
      <w:pPr>
        <w:pStyle w:val="BodyText"/>
        <w:spacing w:before="10"/>
        <w:rPr>
          <w:sz w:val="21"/>
        </w:rPr>
      </w:pPr>
    </w:p>
    <w:p>
      <w:pPr>
        <w:pStyle w:val="ListParagraph"/>
        <w:numPr>
          <w:ilvl w:val="0"/>
          <w:numId w:val="262"/>
        </w:numPr>
        <w:tabs>
          <w:tab w:pos="787" w:val="left" w:leader="none"/>
        </w:tabs>
        <w:spacing w:line="247" w:lineRule="auto" w:before="0" w:after="0"/>
        <w:ind w:left="150" w:right="2788" w:firstLine="397"/>
        <w:jc w:val="both"/>
        <w:rPr>
          <w:sz w:val="15"/>
        </w:rPr>
      </w:pPr>
      <w:r>
        <w:rPr>
          <w:sz w:val="15"/>
        </w:rPr>
        <w:t>Cualquier especie arbórea con más de dos a cinco años de antigüedad o de 3 a 9 centímetros de diámetro de tronco  al nivel del suelo,  de: 30 a 49 unidades de medida y</w:t>
      </w:r>
      <w:r>
        <w:rPr>
          <w:spacing w:val="15"/>
          <w:sz w:val="15"/>
        </w:rPr>
        <w:t> </w:t>
      </w:r>
      <w:r>
        <w:rPr>
          <w:sz w:val="15"/>
        </w:rPr>
        <w:t>actualización</w:t>
      </w:r>
    </w:p>
    <w:p>
      <w:pPr>
        <w:pStyle w:val="BodyText"/>
        <w:spacing w:before="1"/>
        <w:rPr>
          <w:sz w:val="22"/>
        </w:rPr>
      </w:pPr>
    </w:p>
    <w:p>
      <w:pPr>
        <w:pStyle w:val="ListParagraph"/>
        <w:numPr>
          <w:ilvl w:val="0"/>
          <w:numId w:val="262"/>
        </w:numPr>
        <w:tabs>
          <w:tab w:pos="784" w:val="left" w:leader="none"/>
          <w:tab w:pos="2293" w:val="left" w:leader="none"/>
        </w:tabs>
        <w:spacing w:line="247" w:lineRule="auto" w:before="1" w:after="0"/>
        <w:ind w:left="150" w:right="2787" w:firstLine="397"/>
        <w:jc w:val="both"/>
        <w:rPr>
          <w:sz w:val="15"/>
        </w:rPr>
      </w:pPr>
      <w:r>
        <w:rPr>
          <w:sz w:val="15"/>
        </w:rPr>
        <w:t>Cualquier especie arbórea con más de cinco a diez años de antigüedad o de 10 a 20 centímetros de diámetro de tronco al nivel del suelo, de:</w:t>
        <w:tab/>
        <w:t>50 a 100 unidades de medida y</w:t>
      </w:r>
      <w:r>
        <w:rPr>
          <w:spacing w:val="17"/>
          <w:sz w:val="15"/>
        </w:rPr>
        <w:t> </w:t>
      </w:r>
      <w:r>
        <w:rPr>
          <w:sz w:val="15"/>
        </w:rPr>
        <w:t>actualización</w:t>
      </w:r>
    </w:p>
    <w:p>
      <w:pPr>
        <w:pStyle w:val="BodyText"/>
        <w:rPr>
          <w:sz w:val="22"/>
        </w:rPr>
      </w:pPr>
    </w:p>
    <w:p>
      <w:pPr>
        <w:pStyle w:val="ListParagraph"/>
        <w:numPr>
          <w:ilvl w:val="0"/>
          <w:numId w:val="262"/>
        </w:numPr>
        <w:tabs>
          <w:tab w:pos="768" w:val="left" w:leader="none"/>
          <w:tab w:pos="2164" w:val="left" w:leader="none"/>
        </w:tabs>
        <w:spacing w:line="244" w:lineRule="auto" w:before="1" w:after="0"/>
        <w:ind w:left="150" w:right="2789" w:firstLine="397"/>
        <w:jc w:val="both"/>
        <w:rPr>
          <w:sz w:val="15"/>
        </w:rPr>
      </w:pPr>
      <w:r>
        <w:rPr>
          <w:sz w:val="15"/>
        </w:rPr>
        <w:t>Cualquier especie arbórea con más de diez a quince años de antigüedad o de 21 a 50 centímetros de diámetro de tronco al nivel de suelo, de:</w:t>
        <w:tab/>
        <w:t>101 a 150 unidades de medida y</w:t>
      </w:r>
      <w:r>
        <w:rPr>
          <w:spacing w:val="16"/>
          <w:sz w:val="15"/>
        </w:rPr>
        <w:t> </w:t>
      </w:r>
      <w:r>
        <w:rPr>
          <w:sz w:val="15"/>
        </w:rPr>
        <w:t>actualización</w:t>
      </w:r>
    </w:p>
    <w:p>
      <w:pPr>
        <w:pStyle w:val="BodyText"/>
        <w:spacing w:before="5"/>
        <w:rPr>
          <w:sz w:val="22"/>
        </w:rPr>
      </w:pPr>
    </w:p>
    <w:p>
      <w:pPr>
        <w:pStyle w:val="ListParagraph"/>
        <w:numPr>
          <w:ilvl w:val="0"/>
          <w:numId w:val="262"/>
        </w:numPr>
        <w:tabs>
          <w:tab w:pos="751" w:val="left" w:leader="none"/>
          <w:tab w:pos="2207" w:val="left" w:leader="none"/>
        </w:tabs>
        <w:spacing w:line="247" w:lineRule="auto" w:before="0" w:after="0"/>
        <w:ind w:left="150" w:right="2787" w:firstLine="397"/>
        <w:jc w:val="both"/>
        <w:rPr>
          <w:sz w:val="15"/>
        </w:rPr>
      </w:pPr>
      <w:r>
        <w:rPr>
          <w:sz w:val="15"/>
        </w:rPr>
        <w:t>Cualquier especie arbórea con más de dieciséis a veinte años de antigüedad o de 51 a 60 centímetros de diámetro de tronco al nivel de suelo, de:</w:t>
        <w:tab/>
        <w:t>151 a 250 unidades de medida y</w:t>
      </w:r>
      <w:r>
        <w:rPr>
          <w:spacing w:val="18"/>
          <w:sz w:val="15"/>
        </w:rPr>
        <w:t> </w:t>
      </w:r>
      <w:r>
        <w:rPr>
          <w:sz w:val="15"/>
        </w:rPr>
        <w:t>actualización</w:t>
      </w:r>
    </w:p>
    <w:p>
      <w:pPr>
        <w:pStyle w:val="BodyText"/>
        <w:spacing w:before="1"/>
        <w:rPr>
          <w:sz w:val="22"/>
        </w:rPr>
      </w:pPr>
    </w:p>
    <w:p>
      <w:pPr>
        <w:pStyle w:val="ListParagraph"/>
        <w:numPr>
          <w:ilvl w:val="0"/>
          <w:numId w:val="262"/>
        </w:numPr>
        <w:tabs>
          <w:tab w:pos="770" w:val="left" w:leader="none"/>
          <w:tab w:pos="2250" w:val="left" w:leader="none"/>
        </w:tabs>
        <w:spacing w:line="244" w:lineRule="auto" w:before="0" w:after="0"/>
        <w:ind w:left="150" w:right="2789" w:firstLine="397"/>
        <w:jc w:val="both"/>
        <w:rPr>
          <w:sz w:val="15"/>
        </w:rPr>
      </w:pPr>
      <w:r>
        <w:rPr>
          <w:sz w:val="15"/>
        </w:rPr>
        <w:t>Cualquier especie arbórea con más de veintiuno a 40 años de antigüedad o de 61 a 80 centímetros de diámetro de tronco al nivel de suelo, de:</w:t>
        <w:tab/>
        <w:t>251 a 500 unidades de medida y</w:t>
      </w:r>
      <w:r>
        <w:rPr>
          <w:spacing w:val="17"/>
          <w:sz w:val="15"/>
        </w:rPr>
        <w:t> </w:t>
      </w:r>
      <w:r>
        <w:rPr>
          <w:sz w:val="15"/>
        </w:rPr>
        <w:t>actualización</w:t>
      </w:r>
    </w:p>
    <w:p>
      <w:pPr>
        <w:pStyle w:val="BodyText"/>
        <w:spacing w:before="6"/>
        <w:rPr>
          <w:sz w:val="22"/>
        </w:rPr>
      </w:pPr>
    </w:p>
    <w:p>
      <w:pPr>
        <w:pStyle w:val="ListParagraph"/>
        <w:numPr>
          <w:ilvl w:val="0"/>
          <w:numId w:val="262"/>
        </w:numPr>
        <w:tabs>
          <w:tab w:pos="751" w:val="left" w:leader="none"/>
        </w:tabs>
        <w:spacing w:line="247" w:lineRule="auto" w:before="0" w:after="0"/>
        <w:ind w:left="150" w:right="2787" w:firstLine="397"/>
        <w:jc w:val="both"/>
        <w:rPr>
          <w:sz w:val="15"/>
        </w:rPr>
      </w:pPr>
      <w:r>
        <w:rPr>
          <w:sz w:val="15"/>
        </w:rPr>
        <w:t>Cualquier especie arbórea con más de cuarenta un años de antigüedad</w:t>
      </w:r>
      <w:r>
        <w:rPr>
          <w:spacing w:val="12"/>
          <w:sz w:val="15"/>
        </w:rPr>
        <w:t> </w:t>
      </w:r>
      <w:r>
        <w:rPr>
          <w:sz w:val="15"/>
        </w:rPr>
        <w:t>o</w:t>
      </w:r>
      <w:r>
        <w:rPr>
          <w:spacing w:val="13"/>
          <w:sz w:val="15"/>
        </w:rPr>
        <w:t> </w:t>
      </w:r>
      <w:r>
        <w:rPr>
          <w:sz w:val="15"/>
        </w:rPr>
        <w:t>más</w:t>
      </w:r>
      <w:r>
        <w:rPr>
          <w:spacing w:val="13"/>
          <w:sz w:val="15"/>
        </w:rPr>
        <w:t> </w:t>
      </w:r>
      <w:r>
        <w:rPr>
          <w:sz w:val="15"/>
        </w:rPr>
        <w:t>81</w:t>
      </w:r>
      <w:r>
        <w:rPr>
          <w:spacing w:val="12"/>
          <w:sz w:val="15"/>
        </w:rPr>
        <w:t> </w:t>
      </w:r>
      <w:r>
        <w:rPr>
          <w:sz w:val="15"/>
        </w:rPr>
        <w:t>centímetros</w:t>
      </w:r>
      <w:r>
        <w:rPr>
          <w:spacing w:val="13"/>
          <w:sz w:val="15"/>
        </w:rPr>
        <w:t> </w:t>
      </w:r>
      <w:r>
        <w:rPr>
          <w:sz w:val="15"/>
        </w:rPr>
        <w:t>de</w:t>
      </w:r>
      <w:r>
        <w:rPr>
          <w:spacing w:val="14"/>
          <w:sz w:val="15"/>
        </w:rPr>
        <w:t> </w:t>
      </w:r>
      <w:r>
        <w:rPr>
          <w:sz w:val="15"/>
        </w:rPr>
        <w:t>diámetro</w:t>
      </w:r>
      <w:r>
        <w:rPr>
          <w:spacing w:val="12"/>
          <w:sz w:val="15"/>
        </w:rPr>
        <w:t> </w:t>
      </w:r>
      <w:r>
        <w:rPr>
          <w:sz w:val="15"/>
        </w:rPr>
        <w:t>de</w:t>
      </w:r>
      <w:r>
        <w:rPr>
          <w:spacing w:val="13"/>
          <w:sz w:val="15"/>
        </w:rPr>
        <w:t> </w:t>
      </w:r>
      <w:r>
        <w:rPr>
          <w:sz w:val="15"/>
        </w:rPr>
        <w:t>tronco</w:t>
      </w:r>
      <w:r>
        <w:rPr>
          <w:spacing w:val="12"/>
          <w:sz w:val="15"/>
        </w:rPr>
        <w:t> </w:t>
      </w:r>
      <w:r>
        <w:rPr>
          <w:sz w:val="15"/>
        </w:rPr>
        <w:t>al</w:t>
      </w:r>
      <w:r>
        <w:rPr>
          <w:spacing w:val="12"/>
          <w:sz w:val="15"/>
        </w:rPr>
        <w:t> </w:t>
      </w:r>
      <w:r>
        <w:rPr>
          <w:sz w:val="15"/>
        </w:rPr>
        <w:t>nivel</w:t>
      </w:r>
      <w:r>
        <w:rPr>
          <w:spacing w:val="15"/>
          <w:sz w:val="15"/>
        </w:rPr>
        <w:t> </w:t>
      </w:r>
      <w:r>
        <w:rPr>
          <w:sz w:val="15"/>
        </w:rPr>
        <w:t>de</w:t>
      </w:r>
      <w:r>
        <w:rPr>
          <w:spacing w:val="13"/>
          <w:sz w:val="15"/>
        </w:rPr>
        <w:t> </w:t>
      </w:r>
      <w:r>
        <w:rPr>
          <w:sz w:val="15"/>
        </w:rPr>
        <w:t>suelo,</w:t>
      </w:r>
      <w:r>
        <w:rPr>
          <w:spacing w:val="13"/>
          <w:sz w:val="15"/>
        </w:rPr>
        <w:t> </w:t>
      </w:r>
      <w:r>
        <w:rPr>
          <w:sz w:val="15"/>
        </w:rPr>
        <w:t>de</w:t>
      </w:r>
    </w:p>
    <w:p>
      <w:pPr>
        <w:pStyle w:val="BodyText"/>
        <w:tabs>
          <w:tab w:pos="2121" w:val="left" w:leader="none"/>
        </w:tabs>
        <w:spacing w:line="172" w:lineRule="exact"/>
        <w:ind w:left="150"/>
      </w:pPr>
      <w:r>
        <w:rPr/>
        <w:t>:</w:t>
        <w:tab/>
        <w:t>501 a 1,000 unidades de medida y</w:t>
      </w:r>
      <w:r>
        <w:rPr>
          <w:spacing w:val="13"/>
        </w:rPr>
        <w:t> </w:t>
      </w:r>
      <w:r>
        <w:rPr/>
        <w:t>actualización</w:t>
      </w:r>
    </w:p>
    <w:p>
      <w:pPr>
        <w:pStyle w:val="BodyText"/>
        <w:spacing w:before="2"/>
        <w:rPr>
          <w:sz w:val="19"/>
        </w:rPr>
      </w:pPr>
    </w:p>
    <w:p>
      <w:pPr>
        <w:pStyle w:val="ListParagraph"/>
        <w:numPr>
          <w:ilvl w:val="0"/>
          <w:numId w:val="261"/>
        </w:numPr>
        <w:tabs>
          <w:tab w:pos="783" w:val="left" w:leader="none"/>
        </w:tabs>
        <w:spacing w:line="247" w:lineRule="auto" w:before="0" w:after="0"/>
        <w:ind w:left="150" w:right="2789" w:firstLine="397"/>
        <w:jc w:val="both"/>
        <w:rPr>
          <w:sz w:val="15"/>
        </w:rPr>
      </w:pPr>
      <w:r>
        <w:rPr>
          <w:sz w:val="15"/>
        </w:rPr>
        <w:t>Falta de permiso para la tala o poda de árboles, y /o mantenimiento por parte de entidades de carácter público o privado, siendo responsables de los daños o perjuicios que ocasionen,</w:t>
      </w:r>
      <w:r>
        <w:rPr>
          <w:spacing w:val="10"/>
          <w:sz w:val="15"/>
        </w:rPr>
        <w:t> </w:t>
      </w:r>
      <w:r>
        <w:rPr>
          <w:sz w:val="15"/>
        </w:rPr>
        <w:t>de:</w:t>
      </w:r>
    </w:p>
    <w:p>
      <w:pPr>
        <w:pStyle w:val="BodyText"/>
        <w:spacing w:line="171" w:lineRule="exact"/>
        <w:ind w:left="2393"/>
        <w:jc w:val="both"/>
      </w:pPr>
      <w:r>
        <w:rPr/>
        <w:t>35</w:t>
      </w:r>
      <w:r>
        <w:rPr>
          <w:spacing w:val="10"/>
        </w:rPr>
        <w:t> </w:t>
      </w:r>
      <w:r>
        <w:rPr/>
        <w:t>a</w:t>
      </w:r>
      <w:r>
        <w:rPr>
          <w:spacing w:val="10"/>
        </w:rPr>
        <w:t> </w:t>
      </w:r>
      <w:r>
        <w:rPr/>
        <w:t>55</w:t>
      </w:r>
      <w:r>
        <w:rPr>
          <w:spacing w:val="10"/>
        </w:rPr>
        <w:t> </w:t>
      </w:r>
      <w:r>
        <w:rPr/>
        <w:t>unidades</w:t>
      </w:r>
      <w:r>
        <w:rPr>
          <w:spacing w:val="11"/>
        </w:rPr>
        <w:t> </w:t>
      </w:r>
      <w:r>
        <w:rPr/>
        <w:t>de</w:t>
      </w:r>
      <w:r>
        <w:rPr>
          <w:spacing w:val="10"/>
        </w:rPr>
        <w:t> </w:t>
      </w:r>
      <w:r>
        <w:rPr/>
        <w:t>medida</w:t>
      </w:r>
      <w:r>
        <w:rPr>
          <w:spacing w:val="10"/>
        </w:rPr>
        <w:t> </w:t>
      </w:r>
      <w:r>
        <w:rPr/>
        <w:t>y</w:t>
      </w:r>
      <w:r>
        <w:rPr>
          <w:spacing w:val="11"/>
        </w:rPr>
        <w:t> </w:t>
      </w:r>
      <w:r>
        <w:rPr/>
        <w:t>actualización.</w:t>
      </w:r>
    </w:p>
    <w:p>
      <w:pPr>
        <w:pStyle w:val="BodyText"/>
        <w:spacing w:before="7"/>
        <w:rPr>
          <w:sz w:val="22"/>
        </w:rPr>
      </w:pPr>
    </w:p>
    <w:p>
      <w:pPr>
        <w:pStyle w:val="ListParagraph"/>
        <w:numPr>
          <w:ilvl w:val="0"/>
          <w:numId w:val="261"/>
        </w:numPr>
        <w:tabs>
          <w:tab w:pos="893" w:val="left" w:leader="none"/>
        </w:tabs>
        <w:spacing w:line="244" w:lineRule="auto" w:before="0" w:after="0"/>
        <w:ind w:left="150" w:right="2788" w:firstLine="397"/>
        <w:jc w:val="both"/>
        <w:rPr>
          <w:sz w:val="15"/>
        </w:rPr>
      </w:pPr>
      <w:r>
        <w:rPr>
          <w:sz w:val="15"/>
        </w:rPr>
        <w:t>Por trasplantar cualquier especie arbórea sin contar con el Dictamen y/o autorización correspondiente, que ponga en riesgo su supervivencia</w:t>
      </w:r>
      <w:r>
        <w:rPr>
          <w:spacing w:val="27"/>
          <w:sz w:val="15"/>
        </w:rPr>
        <w:t> </w:t>
      </w:r>
      <w:r>
        <w:rPr>
          <w:sz w:val="15"/>
        </w:rPr>
        <w:t>(tomando</w:t>
      </w:r>
      <w:r>
        <w:rPr>
          <w:spacing w:val="27"/>
          <w:sz w:val="15"/>
        </w:rPr>
        <w:t> </w:t>
      </w:r>
      <w:r>
        <w:rPr>
          <w:sz w:val="15"/>
        </w:rPr>
        <w:t>en</w:t>
      </w:r>
      <w:r>
        <w:rPr>
          <w:spacing w:val="27"/>
          <w:sz w:val="15"/>
        </w:rPr>
        <w:t> </w:t>
      </w:r>
      <w:r>
        <w:rPr>
          <w:sz w:val="15"/>
        </w:rPr>
        <w:t>consideración</w:t>
      </w:r>
      <w:r>
        <w:rPr>
          <w:spacing w:val="28"/>
          <w:sz w:val="15"/>
        </w:rPr>
        <w:t> </w:t>
      </w:r>
      <w:r>
        <w:rPr>
          <w:sz w:val="15"/>
        </w:rPr>
        <w:t>diámetro</w:t>
      </w:r>
      <w:r>
        <w:rPr>
          <w:spacing w:val="27"/>
          <w:sz w:val="15"/>
        </w:rPr>
        <w:t> </w:t>
      </w:r>
      <w:r>
        <w:rPr>
          <w:sz w:val="15"/>
        </w:rPr>
        <w:t>y</w:t>
      </w:r>
      <w:r>
        <w:rPr>
          <w:spacing w:val="26"/>
          <w:sz w:val="15"/>
        </w:rPr>
        <w:t> </w:t>
      </w:r>
      <w:r>
        <w:rPr>
          <w:sz w:val="15"/>
        </w:rPr>
        <w:t>edad</w:t>
      </w:r>
      <w:r>
        <w:rPr>
          <w:spacing w:val="27"/>
          <w:sz w:val="15"/>
        </w:rPr>
        <w:t> </w:t>
      </w:r>
      <w:r>
        <w:rPr>
          <w:sz w:val="15"/>
        </w:rPr>
        <w:t>aproximada),</w:t>
      </w:r>
      <w:r>
        <w:rPr>
          <w:spacing w:val="28"/>
          <w:sz w:val="15"/>
        </w:rPr>
        <w:t> </w:t>
      </w:r>
      <w:r>
        <w:rPr>
          <w:sz w:val="15"/>
        </w:rPr>
        <w:t>de:</w:t>
      </w:r>
    </w:p>
    <w:p>
      <w:pPr>
        <w:spacing w:after="0" w:line="244" w:lineRule="auto"/>
        <w:jc w:val="both"/>
        <w:rPr>
          <w:sz w:val="15"/>
        </w:rPr>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35"/>
          <w:pgSz w:w="23250" w:h="15310" w:orient="landscape"/>
          <w:pgMar w:header="881" w:footer="499" w:top="1920" w:bottom="680" w:left="1880" w:right="1520"/>
        </w:sectPr>
      </w:pPr>
    </w:p>
    <w:p>
      <w:pPr>
        <w:pStyle w:val="BodyText"/>
        <w:spacing w:before="10"/>
        <w:rPr>
          <w:sz w:val="19"/>
        </w:rPr>
      </w:pPr>
    </w:p>
    <w:p>
      <w:pPr>
        <w:pStyle w:val="BodyText"/>
        <w:ind w:left="151"/>
      </w:pPr>
      <w:r>
        <w:rPr/>
        <w:t>35 a 100 unidades de medidas y actualización.</w:t>
      </w:r>
    </w:p>
    <w:p>
      <w:pPr>
        <w:pStyle w:val="BodyText"/>
        <w:spacing w:before="7"/>
        <w:rPr>
          <w:sz w:val="22"/>
        </w:rPr>
      </w:pPr>
    </w:p>
    <w:p>
      <w:pPr>
        <w:pStyle w:val="ListParagraph"/>
        <w:numPr>
          <w:ilvl w:val="0"/>
          <w:numId w:val="261"/>
        </w:numPr>
        <w:tabs>
          <w:tab w:pos="883" w:val="left" w:leader="none"/>
        </w:tabs>
        <w:spacing w:line="247" w:lineRule="auto" w:before="0" w:after="0"/>
        <w:ind w:left="151" w:right="39" w:firstLine="397"/>
        <w:jc w:val="left"/>
        <w:rPr>
          <w:sz w:val="15"/>
        </w:rPr>
      </w:pPr>
      <w:r>
        <w:rPr>
          <w:sz w:val="15"/>
        </w:rPr>
        <w:t>Por no contar con permiso correspondiente para realizar la poda   de árboles en propiedad particular,</w:t>
      </w:r>
      <w:r>
        <w:rPr>
          <w:spacing w:val="7"/>
          <w:sz w:val="15"/>
        </w:rPr>
        <w:t> </w:t>
      </w:r>
      <w:r>
        <w:rPr>
          <w:sz w:val="15"/>
        </w:rPr>
        <w:t>de:</w:t>
      </w:r>
    </w:p>
    <w:p>
      <w:pPr>
        <w:pStyle w:val="BodyText"/>
        <w:spacing w:line="172" w:lineRule="exact"/>
        <w:ind w:left="2367"/>
      </w:pPr>
      <w:r>
        <w:rPr/>
        <w:t>30 a 45 Unidades de medida y actualización.</w:t>
      </w:r>
    </w:p>
    <w:p>
      <w:pPr>
        <w:pStyle w:val="BodyText"/>
        <w:spacing w:before="7"/>
        <w:rPr>
          <w:sz w:val="22"/>
        </w:rPr>
      </w:pPr>
    </w:p>
    <w:p>
      <w:pPr>
        <w:pStyle w:val="ListParagraph"/>
        <w:numPr>
          <w:ilvl w:val="0"/>
          <w:numId w:val="261"/>
        </w:numPr>
        <w:tabs>
          <w:tab w:pos="795" w:val="left" w:leader="none"/>
        </w:tabs>
        <w:spacing w:line="247" w:lineRule="auto" w:before="0" w:after="0"/>
        <w:ind w:left="151" w:right="39" w:firstLine="397"/>
        <w:jc w:val="left"/>
        <w:rPr>
          <w:sz w:val="15"/>
        </w:rPr>
      </w:pPr>
      <w:r>
        <w:rPr>
          <w:sz w:val="15"/>
        </w:rPr>
        <w:t>Rebasar la poda permitida a más del 30 por ciento de la biomasa   del sujeto</w:t>
      </w:r>
      <w:r>
        <w:rPr>
          <w:spacing w:val="2"/>
          <w:sz w:val="15"/>
        </w:rPr>
        <w:t> </w:t>
      </w:r>
      <w:r>
        <w:rPr>
          <w:sz w:val="15"/>
        </w:rPr>
        <w:t>forestal.</w:t>
      </w:r>
    </w:p>
    <w:p>
      <w:pPr>
        <w:pStyle w:val="BodyText"/>
        <w:spacing w:before="38"/>
        <w:ind w:left="2281"/>
      </w:pPr>
      <w:r>
        <w:rPr/>
        <w:t>10 a 150 Unidades de medida y actualización.</w:t>
      </w:r>
    </w:p>
    <w:p>
      <w:pPr>
        <w:pStyle w:val="BodyText"/>
        <w:spacing w:before="2"/>
        <w:rPr>
          <w:sz w:val="19"/>
        </w:rPr>
      </w:pPr>
    </w:p>
    <w:p>
      <w:pPr>
        <w:pStyle w:val="ListParagraph"/>
        <w:numPr>
          <w:ilvl w:val="0"/>
          <w:numId w:val="261"/>
        </w:numPr>
        <w:tabs>
          <w:tab w:pos="346" w:val="left" w:leader="none"/>
        </w:tabs>
        <w:spacing w:line="247" w:lineRule="auto" w:before="0" w:after="0"/>
        <w:ind w:left="151" w:right="39" w:firstLine="0"/>
        <w:jc w:val="left"/>
        <w:rPr>
          <w:sz w:val="15"/>
        </w:rPr>
      </w:pPr>
      <w:r>
        <w:rPr>
          <w:sz w:val="15"/>
        </w:rPr>
        <w:t>Por no eliminar el tocón de un árbol derribado, el pago por cada uno será por la cantidad</w:t>
      </w:r>
      <w:r>
        <w:rPr>
          <w:spacing w:val="3"/>
          <w:sz w:val="15"/>
        </w:rPr>
        <w:t> </w:t>
      </w:r>
      <w:r>
        <w:rPr>
          <w:sz w:val="15"/>
        </w:rPr>
        <w:t>de:</w:t>
      </w:r>
    </w:p>
    <w:p>
      <w:pPr>
        <w:pStyle w:val="BodyText"/>
        <w:spacing w:line="172" w:lineRule="exact"/>
        <w:ind w:left="2452"/>
      </w:pPr>
      <w:r>
        <w:rPr/>
        <w:t>5 a 10 Unidades de medida y actualización.</w:t>
      </w:r>
    </w:p>
    <w:p>
      <w:pPr>
        <w:pStyle w:val="BodyText"/>
        <w:spacing w:before="9"/>
      </w:pPr>
    </w:p>
    <w:p>
      <w:pPr>
        <w:pStyle w:val="ListParagraph"/>
        <w:numPr>
          <w:ilvl w:val="0"/>
          <w:numId w:val="261"/>
        </w:numPr>
        <w:tabs>
          <w:tab w:pos="832" w:val="left" w:leader="none"/>
        </w:tabs>
        <w:spacing w:line="247" w:lineRule="auto" w:before="0" w:after="0"/>
        <w:ind w:left="151" w:right="38" w:firstLine="397"/>
        <w:jc w:val="left"/>
        <w:rPr>
          <w:sz w:val="15"/>
        </w:rPr>
      </w:pPr>
      <w:r>
        <w:rPr>
          <w:sz w:val="15"/>
        </w:rPr>
        <w:t>Por cualquier otra violación no prevista a lo dispuesto por el reglamento en la</w:t>
      </w:r>
      <w:r>
        <w:rPr>
          <w:spacing w:val="4"/>
          <w:sz w:val="15"/>
        </w:rPr>
        <w:t> </w:t>
      </w:r>
      <w:r>
        <w:rPr>
          <w:sz w:val="15"/>
        </w:rPr>
        <w:t>materia.</w:t>
      </w:r>
    </w:p>
    <w:p>
      <w:pPr>
        <w:pStyle w:val="BodyText"/>
        <w:spacing w:line="171" w:lineRule="exact"/>
        <w:ind w:left="2281"/>
      </w:pPr>
      <w:r>
        <w:rPr/>
        <w:t>50 a 500 Unidades de medida y actualización.</w:t>
      </w:r>
    </w:p>
    <w:p>
      <w:pPr>
        <w:pStyle w:val="BodyText"/>
        <w:spacing w:before="3"/>
        <w:rPr>
          <w:sz w:val="19"/>
        </w:rPr>
      </w:pPr>
    </w:p>
    <w:p>
      <w:pPr>
        <w:pStyle w:val="BodyText"/>
        <w:spacing w:line="247" w:lineRule="auto" w:before="1"/>
        <w:ind w:left="151" w:right="38" w:firstLine="551"/>
        <w:jc w:val="both"/>
      </w:pPr>
      <w:r>
        <w:rPr>
          <w:b/>
        </w:rPr>
        <w:t>Artículo 155.- </w:t>
      </w:r>
      <w:r>
        <w:rPr/>
        <w:t>Por violaciones a la Ley de Protección y Cuidado de  los Animales del Estado de Jalisco y los ordenamientos municipales en la materia, se deberán pagar la multas de 10 a 300 unidades de medida</w:t>
      </w:r>
      <w:r>
        <w:rPr>
          <w:spacing w:val="17"/>
        </w:rPr>
        <w:t> </w:t>
      </w:r>
      <w:r>
        <w:rPr/>
        <w:t>y actualización, con independencia a la penas prevista en otras leyes de la autoridad</w:t>
      </w:r>
      <w:r>
        <w:rPr>
          <w:spacing w:val="6"/>
        </w:rPr>
        <w:t> </w:t>
      </w:r>
      <w:r>
        <w:rPr/>
        <w:t>correspondiente</w:t>
      </w:r>
      <w:r>
        <w:rPr>
          <w:spacing w:val="7"/>
        </w:rPr>
        <w:t> </w:t>
      </w:r>
      <w:r>
        <w:rPr/>
        <w:t>y</w:t>
      </w:r>
      <w:r>
        <w:rPr>
          <w:spacing w:val="7"/>
        </w:rPr>
        <w:t> </w:t>
      </w:r>
      <w:r>
        <w:rPr/>
        <w:t>realizar</w:t>
      </w:r>
      <w:r>
        <w:rPr>
          <w:spacing w:val="7"/>
        </w:rPr>
        <w:t> </w:t>
      </w:r>
      <w:r>
        <w:rPr/>
        <w:t>los</w:t>
      </w:r>
      <w:r>
        <w:rPr>
          <w:spacing w:val="7"/>
        </w:rPr>
        <w:t> </w:t>
      </w:r>
      <w:r>
        <w:rPr/>
        <w:t>actos</w:t>
      </w:r>
      <w:r>
        <w:rPr>
          <w:spacing w:val="6"/>
        </w:rPr>
        <w:t> </w:t>
      </w:r>
      <w:r>
        <w:rPr/>
        <w:t>jurídicos</w:t>
      </w:r>
      <w:r>
        <w:rPr>
          <w:spacing w:val="7"/>
        </w:rPr>
        <w:t> </w:t>
      </w:r>
      <w:r>
        <w:rPr/>
        <w:t>a</w:t>
      </w:r>
      <w:r>
        <w:rPr>
          <w:spacing w:val="7"/>
        </w:rPr>
        <w:t> </w:t>
      </w:r>
      <w:r>
        <w:rPr/>
        <w:t>que</w:t>
      </w:r>
      <w:r>
        <w:rPr>
          <w:spacing w:val="9"/>
        </w:rPr>
        <w:t> </w:t>
      </w:r>
      <w:r>
        <w:rPr/>
        <w:t>haya</w:t>
      </w:r>
      <w:r>
        <w:rPr>
          <w:spacing w:val="7"/>
        </w:rPr>
        <w:t> </w:t>
      </w:r>
      <w:r>
        <w:rPr/>
        <w:t>lugar:</w:t>
      </w:r>
    </w:p>
    <w:p>
      <w:pPr>
        <w:pStyle w:val="BodyText"/>
        <w:spacing w:before="10"/>
        <w:rPr>
          <w:sz w:val="21"/>
        </w:rPr>
      </w:pPr>
    </w:p>
    <w:p>
      <w:pPr>
        <w:pStyle w:val="ListParagraph"/>
        <w:numPr>
          <w:ilvl w:val="0"/>
          <w:numId w:val="263"/>
        </w:numPr>
        <w:tabs>
          <w:tab w:pos="686" w:val="left" w:leader="none"/>
        </w:tabs>
        <w:spacing w:line="247" w:lineRule="auto" w:before="0" w:after="0"/>
        <w:ind w:left="151" w:right="39" w:firstLine="397"/>
        <w:jc w:val="left"/>
        <w:rPr>
          <w:sz w:val="15"/>
        </w:rPr>
      </w:pPr>
      <w:r>
        <w:rPr>
          <w:sz w:val="15"/>
        </w:rPr>
        <w:t>Por abandonar a una mascota en la vía pública o en una zona rural, por cada</w:t>
      </w:r>
      <w:r>
        <w:rPr>
          <w:spacing w:val="2"/>
          <w:sz w:val="15"/>
        </w:rPr>
        <w:t> </w:t>
      </w:r>
      <w:r>
        <w:rPr>
          <w:sz w:val="15"/>
        </w:rPr>
        <w:t>animal;</w:t>
      </w:r>
    </w:p>
    <w:p>
      <w:pPr>
        <w:pStyle w:val="BodyText"/>
        <w:spacing w:before="2"/>
        <w:rPr>
          <w:sz w:val="22"/>
        </w:rPr>
      </w:pPr>
    </w:p>
    <w:p>
      <w:pPr>
        <w:pStyle w:val="ListParagraph"/>
        <w:numPr>
          <w:ilvl w:val="0"/>
          <w:numId w:val="263"/>
        </w:numPr>
        <w:tabs>
          <w:tab w:pos="720" w:val="left" w:leader="none"/>
        </w:tabs>
        <w:spacing w:line="240" w:lineRule="auto" w:before="0" w:after="0"/>
        <w:ind w:left="720" w:right="0" w:hanging="172"/>
        <w:jc w:val="left"/>
        <w:rPr>
          <w:sz w:val="15"/>
        </w:rPr>
      </w:pPr>
      <w:r>
        <w:rPr>
          <w:sz w:val="15"/>
        </w:rPr>
        <w:t>Por causarle sufrimientos a un animal, por cada</w:t>
      </w:r>
      <w:r>
        <w:rPr>
          <w:spacing w:val="25"/>
          <w:sz w:val="15"/>
        </w:rPr>
        <w:t> </w:t>
      </w:r>
      <w:r>
        <w:rPr>
          <w:sz w:val="15"/>
        </w:rPr>
        <w:t>uno:</w:t>
      </w:r>
    </w:p>
    <w:p>
      <w:pPr>
        <w:pStyle w:val="BodyText"/>
        <w:spacing w:before="7"/>
        <w:rPr>
          <w:sz w:val="22"/>
        </w:rPr>
      </w:pPr>
    </w:p>
    <w:p>
      <w:pPr>
        <w:pStyle w:val="ListParagraph"/>
        <w:numPr>
          <w:ilvl w:val="0"/>
          <w:numId w:val="264"/>
        </w:numPr>
        <w:tabs>
          <w:tab w:pos="727" w:val="left" w:leader="none"/>
        </w:tabs>
        <w:spacing w:line="240" w:lineRule="auto" w:before="0" w:after="0"/>
        <w:ind w:left="726" w:right="0" w:hanging="179"/>
        <w:jc w:val="left"/>
        <w:rPr>
          <w:sz w:val="15"/>
        </w:rPr>
      </w:pPr>
      <w:r>
        <w:rPr>
          <w:sz w:val="15"/>
        </w:rPr>
        <w:t>Al</w:t>
      </w:r>
      <w:r>
        <w:rPr>
          <w:spacing w:val="16"/>
          <w:sz w:val="15"/>
        </w:rPr>
        <w:t> </w:t>
      </w:r>
      <w:r>
        <w:rPr>
          <w:sz w:val="15"/>
        </w:rPr>
        <w:t>propietario</w:t>
      </w:r>
      <w:r>
        <w:rPr>
          <w:spacing w:val="16"/>
          <w:sz w:val="15"/>
        </w:rPr>
        <w:t> </w:t>
      </w:r>
      <w:r>
        <w:rPr>
          <w:sz w:val="15"/>
        </w:rPr>
        <w:t>por</w:t>
      </w:r>
      <w:r>
        <w:rPr>
          <w:spacing w:val="16"/>
          <w:sz w:val="15"/>
        </w:rPr>
        <w:t> </w:t>
      </w:r>
      <w:r>
        <w:rPr>
          <w:sz w:val="15"/>
        </w:rPr>
        <w:t>privarle</w:t>
      </w:r>
      <w:r>
        <w:rPr>
          <w:spacing w:val="16"/>
          <w:sz w:val="15"/>
        </w:rPr>
        <w:t> </w:t>
      </w:r>
      <w:r>
        <w:rPr>
          <w:sz w:val="15"/>
        </w:rPr>
        <w:t>de</w:t>
      </w:r>
      <w:r>
        <w:rPr>
          <w:spacing w:val="16"/>
          <w:sz w:val="15"/>
        </w:rPr>
        <w:t> </w:t>
      </w:r>
      <w:r>
        <w:rPr>
          <w:sz w:val="15"/>
        </w:rPr>
        <w:t>agua</w:t>
      </w:r>
      <w:r>
        <w:rPr>
          <w:spacing w:val="16"/>
          <w:sz w:val="15"/>
        </w:rPr>
        <w:t> </w:t>
      </w:r>
      <w:r>
        <w:rPr>
          <w:sz w:val="15"/>
        </w:rPr>
        <w:t>o</w:t>
      </w:r>
      <w:r>
        <w:rPr>
          <w:spacing w:val="16"/>
          <w:sz w:val="15"/>
        </w:rPr>
        <w:t> </w:t>
      </w:r>
      <w:r>
        <w:rPr>
          <w:sz w:val="15"/>
        </w:rPr>
        <w:t>alimento</w:t>
      </w:r>
      <w:r>
        <w:rPr>
          <w:spacing w:val="16"/>
          <w:sz w:val="15"/>
        </w:rPr>
        <w:t> </w:t>
      </w:r>
      <w:r>
        <w:rPr>
          <w:sz w:val="15"/>
        </w:rPr>
        <w:t>poniendo</w:t>
      </w:r>
      <w:r>
        <w:rPr>
          <w:spacing w:val="16"/>
          <w:sz w:val="15"/>
        </w:rPr>
        <w:t> </w:t>
      </w:r>
      <w:r>
        <w:rPr>
          <w:sz w:val="15"/>
        </w:rPr>
        <w:t>en</w:t>
      </w:r>
      <w:r>
        <w:rPr>
          <w:spacing w:val="17"/>
          <w:sz w:val="15"/>
        </w:rPr>
        <w:t> </w:t>
      </w:r>
      <w:r>
        <w:rPr>
          <w:sz w:val="15"/>
        </w:rPr>
        <w:t>riesgo</w:t>
      </w:r>
      <w:r>
        <w:rPr>
          <w:spacing w:val="16"/>
          <w:sz w:val="15"/>
        </w:rPr>
        <w:t> </w:t>
      </w:r>
      <w:r>
        <w:rPr>
          <w:sz w:val="15"/>
        </w:rPr>
        <w:t>su</w:t>
      </w:r>
    </w:p>
    <w:p>
      <w:pPr>
        <w:pStyle w:val="BodyText"/>
        <w:spacing w:before="4"/>
        <w:ind w:left="151"/>
      </w:pPr>
      <w:r>
        <w:rPr/>
        <w:t>vida;</w:t>
      </w:r>
    </w:p>
    <w:p>
      <w:pPr>
        <w:pStyle w:val="BodyText"/>
        <w:spacing w:before="3"/>
        <w:rPr>
          <w:sz w:val="19"/>
        </w:rPr>
      </w:pPr>
    </w:p>
    <w:p>
      <w:pPr>
        <w:pStyle w:val="ListParagraph"/>
        <w:numPr>
          <w:ilvl w:val="0"/>
          <w:numId w:val="264"/>
        </w:numPr>
        <w:tabs>
          <w:tab w:pos="734" w:val="left" w:leader="none"/>
        </w:tabs>
        <w:spacing w:line="247" w:lineRule="auto" w:before="0" w:after="0"/>
        <w:ind w:left="150" w:right="39" w:firstLine="397"/>
        <w:jc w:val="left"/>
        <w:rPr>
          <w:sz w:val="15"/>
        </w:rPr>
      </w:pPr>
      <w:r>
        <w:rPr>
          <w:sz w:val="15"/>
        </w:rPr>
        <w:t>A cualquier persona incluido el propietario por privarle de movilidad poniendo en riesgo su</w:t>
      </w:r>
      <w:r>
        <w:rPr>
          <w:spacing w:val="4"/>
          <w:sz w:val="15"/>
        </w:rPr>
        <w:t> </w:t>
      </w:r>
      <w:r>
        <w:rPr>
          <w:sz w:val="15"/>
        </w:rPr>
        <w:t>vida;</w:t>
      </w:r>
    </w:p>
    <w:p>
      <w:pPr>
        <w:pStyle w:val="ListParagraph"/>
        <w:numPr>
          <w:ilvl w:val="0"/>
          <w:numId w:val="264"/>
        </w:numPr>
        <w:tabs>
          <w:tab w:pos="717" w:val="left" w:leader="none"/>
        </w:tabs>
        <w:spacing w:line="247" w:lineRule="auto" w:before="38" w:after="0"/>
        <w:ind w:left="150" w:right="40" w:firstLine="397"/>
        <w:jc w:val="left"/>
        <w:rPr>
          <w:sz w:val="15"/>
        </w:rPr>
      </w:pPr>
      <w:r>
        <w:rPr>
          <w:sz w:val="15"/>
        </w:rPr>
        <w:t>A cualquier persona incluido el propietario por azuzarlo con patadas, piedras o cualquier</w:t>
      </w:r>
      <w:r>
        <w:rPr>
          <w:spacing w:val="4"/>
          <w:sz w:val="15"/>
        </w:rPr>
        <w:t> </w:t>
      </w:r>
      <w:r>
        <w:rPr>
          <w:sz w:val="15"/>
        </w:rPr>
        <w:t>objeto;</w:t>
      </w:r>
    </w:p>
    <w:p>
      <w:pPr>
        <w:pStyle w:val="ListParagraph"/>
        <w:numPr>
          <w:ilvl w:val="0"/>
          <w:numId w:val="264"/>
        </w:numPr>
        <w:tabs>
          <w:tab w:pos="747" w:val="left" w:leader="none"/>
        </w:tabs>
        <w:spacing w:line="247" w:lineRule="auto" w:before="38" w:after="0"/>
        <w:ind w:left="150" w:right="38" w:firstLine="397"/>
        <w:jc w:val="left"/>
        <w:rPr>
          <w:sz w:val="15"/>
        </w:rPr>
      </w:pPr>
      <w:r>
        <w:rPr>
          <w:sz w:val="15"/>
        </w:rPr>
        <w:t>Por causar lesiones menores, que pongan en riesgo la vida de un animal o le provoquen una incapacidad de por</w:t>
      </w:r>
      <w:r>
        <w:rPr>
          <w:spacing w:val="18"/>
          <w:sz w:val="15"/>
        </w:rPr>
        <w:t> </w:t>
      </w:r>
      <w:r>
        <w:rPr>
          <w:sz w:val="15"/>
        </w:rPr>
        <w:t>vida;</w:t>
      </w:r>
    </w:p>
    <w:p>
      <w:pPr>
        <w:pStyle w:val="BodyText"/>
        <w:spacing w:before="1"/>
        <w:rPr>
          <w:sz w:val="22"/>
        </w:rPr>
      </w:pPr>
    </w:p>
    <w:p>
      <w:pPr>
        <w:pStyle w:val="ListParagraph"/>
        <w:numPr>
          <w:ilvl w:val="0"/>
          <w:numId w:val="263"/>
        </w:numPr>
        <w:tabs>
          <w:tab w:pos="806" w:val="left" w:leader="none"/>
        </w:tabs>
        <w:spacing w:line="247" w:lineRule="auto" w:before="0" w:after="0"/>
        <w:ind w:left="150" w:right="39" w:firstLine="397"/>
        <w:jc w:val="both"/>
        <w:rPr>
          <w:sz w:val="15"/>
        </w:rPr>
      </w:pPr>
      <w:r>
        <w:rPr>
          <w:sz w:val="15"/>
        </w:rPr>
        <w:t>Por vender, rifar u obsequiar animales vivos en la vía pública, escuelas, mercados, tianguis o cualquier otro lugar en el que no se cumpla  con las disposiciones de la Ley de Protección y Cuidado de los Animales del Estado de</w:t>
      </w:r>
      <w:r>
        <w:rPr>
          <w:spacing w:val="2"/>
          <w:sz w:val="15"/>
        </w:rPr>
        <w:t> </w:t>
      </w:r>
      <w:r>
        <w:rPr>
          <w:sz w:val="15"/>
        </w:rPr>
        <w:t>Jalisco;</w:t>
      </w:r>
    </w:p>
    <w:p>
      <w:pPr>
        <w:pStyle w:val="BodyText"/>
        <w:rPr>
          <w:sz w:val="22"/>
        </w:rPr>
      </w:pPr>
    </w:p>
    <w:p>
      <w:pPr>
        <w:pStyle w:val="ListParagraph"/>
        <w:numPr>
          <w:ilvl w:val="0"/>
          <w:numId w:val="263"/>
        </w:numPr>
        <w:tabs>
          <w:tab w:pos="778" w:val="left" w:leader="none"/>
        </w:tabs>
        <w:spacing w:line="247" w:lineRule="auto" w:before="0" w:after="0"/>
        <w:ind w:left="150" w:right="38" w:firstLine="397"/>
        <w:jc w:val="both"/>
        <w:rPr>
          <w:sz w:val="15"/>
        </w:rPr>
      </w:pPr>
      <w:r>
        <w:rPr>
          <w:sz w:val="15"/>
        </w:rPr>
        <w:t>Para los establecimientos de cría y venta de animales, además de refugios, escuelas de adiestramiento, actividades deportivas, pensiones y cualquier otro establecimiento que obtenga beneficios económicos a partir de los animales</w:t>
      </w:r>
      <w:r>
        <w:rPr>
          <w:spacing w:val="2"/>
          <w:sz w:val="15"/>
        </w:rPr>
        <w:t> </w:t>
      </w:r>
      <w:r>
        <w:rPr>
          <w:sz w:val="15"/>
        </w:rPr>
        <w:t>vivos:</w:t>
      </w:r>
    </w:p>
    <w:p>
      <w:pPr>
        <w:pStyle w:val="BodyText"/>
        <w:spacing w:before="3"/>
      </w:pPr>
    </w:p>
    <w:p>
      <w:pPr>
        <w:pStyle w:val="ListParagraph"/>
        <w:numPr>
          <w:ilvl w:val="0"/>
          <w:numId w:val="265"/>
        </w:numPr>
        <w:tabs>
          <w:tab w:pos="729" w:val="left" w:leader="none"/>
        </w:tabs>
        <w:spacing w:line="240" w:lineRule="auto" w:before="0" w:after="0"/>
        <w:ind w:left="728" w:right="0" w:hanging="181"/>
        <w:jc w:val="left"/>
        <w:rPr>
          <w:sz w:val="15"/>
        </w:rPr>
      </w:pPr>
      <w:r>
        <w:rPr>
          <w:sz w:val="15"/>
        </w:rPr>
        <w:t>Por incumplir con la Norma Oficial Mexicana</w:t>
      </w:r>
      <w:r>
        <w:rPr>
          <w:spacing w:val="39"/>
          <w:sz w:val="15"/>
        </w:rPr>
        <w:t> </w:t>
      </w:r>
      <w:r>
        <w:rPr>
          <w:sz w:val="15"/>
        </w:rPr>
        <w:t>correspondiente;</w:t>
      </w:r>
    </w:p>
    <w:p>
      <w:pPr>
        <w:pStyle w:val="ListParagraph"/>
        <w:numPr>
          <w:ilvl w:val="0"/>
          <w:numId w:val="265"/>
        </w:numPr>
        <w:tabs>
          <w:tab w:pos="732" w:val="left" w:leader="none"/>
        </w:tabs>
        <w:spacing w:line="247" w:lineRule="auto" w:before="44" w:after="0"/>
        <w:ind w:left="151" w:right="38" w:firstLine="397"/>
        <w:jc w:val="both"/>
        <w:rPr>
          <w:sz w:val="15"/>
        </w:rPr>
      </w:pPr>
      <w:r>
        <w:rPr>
          <w:sz w:val="15"/>
        </w:rPr>
        <w:t>Por carecer de un médico veterinario zootecnista titulado con cédula profesional vigente para el manejo clínico de los</w:t>
      </w:r>
      <w:r>
        <w:rPr>
          <w:spacing w:val="22"/>
          <w:sz w:val="15"/>
        </w:rPr>
        <w:t> </w:t>
      </w:r>
      <w:r>
        <w:rPr>
          <w:sz w:val="15"/>
        </w:rPr>
        <w:t>animales;</w:t>
      </w:r>
    </w:p>
    <w:p>
      <w:pPr>
        <w:pStyle w:val="BodyText"/>
        <w:spacing w:before="10"/>
        <w:rPr>
          <w:sz w:val="19"/>
        </w:rPr>
      </w:pPr>
      <w:r>
        <w:rPr/>
        <w:br w:type="column"/>
      </w:r>
      <w:r>
        <w:rPr>
          <w:sz w:val="19"/>
        </w:rPr>
      </w:r>
    </w:p>
    <w:p>
      <w:pPr>
        <w:pStyle w:val="ListParagraph"/>
        <w:numPr>
          <w:ilvl w:val="0"/>
          <w:numId w:val="266"/>
        </w:numPr>
        <w:tabs>
          <w:tab w:pos="742" w:val="left" w:leader="none"/>
        </w:tabs>
        <w:spacing w:line="247" w:lineRule="auto" w:before="0" w:after="0"/>
        <w:ind w:left="150" w:right="2787" w:firstLine="397"/>
        <w:jc w:val="left"/>
        <w:rPr>
          <w:sz w:val="15"/>
        </w:rPr>
      </w:pPr>
      <w:r>
        <w:rPr>
          <w:sz w:val="15"/>
        </w:rPr>
        <w:t>Por carecer de los recursos necesarios para cuando se tenga que realizar</w:t>
      </w:r>
      <w:r>
        <w:rPr>
          <w:spacing w:val="6"/>
          <w:sz w:val="15"/>
        </w:rPr>
        <w:t> </w:t>
      </w:r>
      <w:r>
        <w:rPr>
          <w:sz w:val="15"/>
        </w:rPr>
        <w:t>algún</w:t>
      </w:r>
      <w:r>
        <w:rPr>
          <w:spacing w:val="7"/>
          <w:sz w:val="15"/>
        </w:rPr>
        <w:t> </w:t>
      </w:r>
      <w:r>
        <w:rPr>
          <w:sz w:val="15"/>
        </w:rPr>
        <w:t>procedimiento</w:t>
      </w:r>
      <w:r>
        <w:rPr>
          <w:spacing w:val="7"/>
          <w:sz w:val="15"/>
        </w:rPr>
        <w:t> </w:t>
      </w:r>
      <w:r>
        <w:rPr>
          <w:sz w:val="15"/>
        </w:rPr>
        <w:t>de</w:t>
      </w:r>
      <w:r>
        <w:rPr>
          <w:spacing w:val="7"/>
          <w:sz w:val="15"/>
        </w:rPr>
        <w:t> </w:t>
      </w:r>
      <w:r>
        <w:rPr>
          <w:sz w:val="15"/>
        </w:rPr>
        <w:t>modificación</w:t>
      </w:r>
      <w:r>
        <w:rPr>
          <w:spacing w:val="7"/>
          <w:sz w:val="15"/>
        </w:rPr>
        <w:t> </w:t>
      </w:r>
      <w:r>
        <w:rPr>
          <w:sz w:val="15"/>
        </w:rPr>
        <w:t>de</w:t>
      </w:r>
      <w:r>
        <w:rPr>
          <w:spacing w:val="7"/>
          <w:sz w:val="15"/>
        </w:rPr>
        <w:t> </w:t>
      </w:r>
      <w:r>
        <w:rPr>
          <w:sz w:val="15"/>
        </w:rPr>
        <w:t>la</w:t>
      </w:r>
      <w:r>
        <w:rPr>
          <w:spacing w:val="6"/>
          <w:sz w:val="15"/>
        </w:rPr>
        <w:t> </w:t>
      </w:r>
      <w:r>
        <w:rPr>
          <w:sz w:val="15"/>
        </w:rPr>
        <w:t>anatomía</w:t>
      </w:r>
      <w:r>
        <w:rPr>
          <w:spacing w:val="7"/>
          <w:sz w:val="15"/>
        </w:rPr>
        <w:t> </w:t>
      </w:r>
      <w:r>
        <w:rPr>
          <w:sz w:val="15"/>
        </w:rPr>
        <w:t>del</w:t>
      </w:r>
      <w:r>
        <w:rPr>
          <w:spacing w:val="8"/>
          <w:sz w:val="15"/>
        </w:rPr>
        <w:t> </w:t>
      </w:r>
      <w:r>
        <w:rPr>
          <w:sz w:val="15"/>
        </w:rPr>
        <w:t>animal;</w:t>
      </w:r>
    </w:p>
    <w:p>
      <w:pPr>
        <w:pStyle w:val="ListParagraph"/>
        <w:numPr>
          <w:ilvl w:val="0"/>
          <w:numId w:val="266"/>
        </w:numPr>
        <w:tabs>
          <w:tab w:pos="729" w:val="left" w:leader="none"/>
        </w:tabs>
        <w:spacing w:line="240" w:lineRule="auto" w:before="39" w:after="0"/>
        <w:ind w:left="728" w:right="0" w:hanging="181"/>
        <w:jc w:val="left"/>
        <w:rPr>
          <w:sz w:val="15"/>
        </w:rPr>
      </w:pPr>
      <w:r>
        <w:rPr>
          <w:sz w:val="15"/>
        </w:rPr>
        <w:t>Por carecer de la licencia municipal</w:t>
      </w:r>
      <w:r>
        <w:rPr>
          <w:spacing w:val="10"/>
          <w:sz w:val="15"/>
        </w:rPr>
        <w:t> </w:t>
      </w:r>
      <w:r>
        <w:rPr>
          <w:sz w:val="15"/>
        </w:rPr>
        <w:t>correspondiente;</w:t>
      </w:r>
    </w:p>
    <w:p>
      <w:pPr>
        <w:pStyle w:val="ListParagraph"/>
        <w:numPr>
          <w:ilvl w:val="0"/>
          <w:numId w:val="266"/>
        </w:numPr>
        <w:tabs>
          <w:tab w:pos="686" w:val="left" w:leader="none"/>
        </w:tabs>
        <w:spacing w:line="240" w:lineRule="auto" w:before="43" w:after="0"/>
        <w:ind w:left="685" w:right="0" w:hanging="138"/>
        <w:jc w:val="left"/>
        <w:rPr>
          <w:sz w:val="15"/>
        </w:rPr>
      </w:pPr>
      <w:r>
        <w:rPr>
          <w:sz w:val="15"/>
        </w:rPr>
        <w:t>Por carecer de la licencia sanitaria</w:t>
      </w:r>
      <w:r>
        <w:rPr>
          <w:spacing w:val="10"/>
          <w:sz w:val="15"/>
        </w:rPr>
        <w:t> </w:t>
      </w:r>
      <w:r>
        <w:rPr>
          <w:sz w:val="15"/>
        </w:rPr>
        <w:t>correspondiente;</w:t>
      </w:r>
    </w:p>
    <w:p>
      <w:pPr>
        <w:pStyle w:val="ListParagraph"/>
        <w:numPr>
          <w:ilvl w:val="0"/>
          <w:numId w:val="266"/>
        </w:numPr>
        <w:tabs>
          <w:tab w:pos="729" w:val="left" w:leader="none"/>
        </w:tabs>
        <w:spacing w:line="240" w:lineRule="auto" w:before="44" w:after="0"/>
        <w:ind w:left="728" w:right="0" w:hanging="181"/>
        <w:jc w:val="left"/>
        <w:rPr>
          <w:sz w:val="15"/>
        </w:rPr>
      </w:pPr>
      <w:r>
        <w:rPr>
          <w:sz w:val="15"/>
        </w:rPr>
        <w:t>Por mantener a los animales</w:t>
      </w:r>
      <w:r>
        <w:rPr>
          <w:spacing w:val="7"/>
          <w:sz w:val="15"/>
        </w:rPr>
        <w:t> </w:t>
      </w:r>
      <w:r>
        <w:rPr>
          <w:sz w:val="15"/>
        </w:rPr>
        <w:t>hacinados:</w:t>
      </w:r>
    </w:p>
    <w:p>
      <w:pPr>
        <w:pStyle w:val="ListParagraph"/>
        <w:numPr>
          <w:ilvl w:val="0"/>
          <w:numId w:val="266"/>
        </w:numPr>
        <w:tabs>
          <w:tab w:pos="729" w:val="left" w:leader="none"/>
        </w:tabs>
        <w:spacing w:line="240" w:lineRule="auto" w:before="44" w:after="0"/>
        <w:ind w:left="728" w:right="0" w:hanging="181"/>
        <w:jc w:val="left"/>
        <w:rPr>
          <w:sz w:val="15"/>
        </w:rPr>
      </w:pPr>
      <w:r>
        <w:rPr>
          <w:sz w:val="15"/>
        </w:rPr>
        <w:t>Por sobreexplotar a las hembras, por cada</w:t>
      </w:r>
      <w:r>
        <w:rPr>
          <w:spacing w:val="12"/>
          <w:sz w:val="15"/>
        </w:rPr>
        <w:t> </w:t>
      </w:r>
      <w:r>
        <w:rPr>
          <w:sz w:val="15"/>
        </w:rPr>
        <w:t>animal;</w:t>
      </w:r>
    </w:p>
    <w:p>
      <w:pPr>
        <w:pStyle w:val="ListParagraph"/>
        <w:numPr>
          <w:ilvl w:val="0"/>
          <w:numId w:val="266"/>
        </w:numPr>
        <w:tabs>
          <w:tab w:pos="754" w:val="left" w:leader="none"/>
        </w:tabs>
        <w:spacing w:line="244" w:lineRule="auto" w:before="44" w:after="0"/>
        <w:ind w:left="150" w:right="2789" w:firstLine="397"/>
        <w:jc w:val="both"/>
        <w:rPr>
          <w:sz w:val="15"/>
        </w:rPr>
      </w:pPr>
      <w:r>
        <w:rPr>
          <w:sz w:val="15"/>
        </w:rPr>
        <w:t>Por mantener a las hembras permanentemente enjauladas  y  sacarlas únicamente para el</w:t>
      </w:r>
      <w:r>
        <w:rPr>
          <w:spacing w:val="8"/>
          <w:sz w:val="15"/>
        </w:rPr>
        <w:t> </w:t>
      </w:r>
      <w:r>
        <w:rPr>
          <w:sz w:val="15"/>
        </w:rPr>
        <w:t>apareamiento;</w:t>
      </w:r>
    </w:p>
    <w:p>
      <w:pPr>
        <w:pStyle w:val="ListParagraph"/>
        <w:numPr>
          <w:ilvl w:val="0"/>
          <w:numId w:val="266"/>
        </w:numPr>
        <w:tabs>
          <w:tab w:pos="681" w:val="left" w:leader="none"/>
        </w:tabs>
        <w:spacing w:line="247" w:lineRule="auto" w:before="41" w:after="0"/>
        <w:ind w:left="151" w:right="2787" w:firstLine="397"/>
        <w:jc w:val="both"/>
        <w:rPr>
          <w:sz w:val="15"/>
        </w:rPr>
      </w:pPr>
      <w:r>
        <w:rPr>
          <w:sz w:val="15"/>
        </w:rPr>
        <w:t>Por carecer del espacio y la luz suficientes, de acuerdo a su especie, para permitirles deambular, por cada</w:t>
      </w:r>
      <w:r>
        <w:rPr>
          <w:spacing w:val="8"/>
          <w:sz w:val="15"/>
        </w:rPr>
        <w:t> </w:t>
      </w:r>
      <w:r>
        <w:rPr>
          <w:sz w:val="15"/>
        </w:rPr>
        <w:t>animal;</w:t>
      </w:r>
    </w:p>
    <w:p>
      <w:pPr>
        <w:pStyle w:val="ListParagraph"/>
        <w:numPr>
          <w:ilvl w:val="0"/>
          <w:numId w:val="266"/>
        </w:numPr>
        <w:tabs>
          <w:tab w:pos="783" w:val="left" w:leader="none"/>
        </w:tabs>
        <w:spacing w:line="247" w:lineRule="auto" w:before="0" w:after="0"/>
        <w:ind w:left="151" w:right="2787" w:firstLine="397"/>
        <w:jc w:val="both"/>
        <w:rPr>
          <w:sz w:val="15"/>
        </w:rPr>
      </w:pPr>
      <w:r>
        <w:rPr>
          <w:sz w:val="15"/>
        </w:rPr>
        <w:t>Por dejar de realizar el cuidado diario, incluidos los días  no  laborales, por cada día y cada</w:t>
      </w:r>
      <w:r>
        <w:rPr>
          <w:spacing w:val="9"/>
          <w:sz w:val="15"/>
        </w:rPr>
        <w:t> </w:t>
      </w:r>
      <w:r>
        <w:rPr>
          <w:sz w:val="15"/>
        </w:rPr>
        <w:t>animal;</w:t>
      </w:r>
    </w:p>
    <w:p>
      <w:pPr>
        <w:pStyle w:val="ListParagraph"/>
        <w:numPr>
          <w:ilvl w:val="0"/>
          <w:numId w:val="266"/>
        </w:numPr>
        <w:tabs>
          <w:tab w:pos="686" w:val="left" w:leader="none"/>
        </w:tabs>
        <w:spacing w:line="244" w:lineRule="auto" w:before="37" w:after="0"/>
        <w:ind w:left="151" w:right="2787" w:firstLine="397"/>
        <w:jc w:val="both"/>
        <w:rPr>
          <w:sz w:val="15"/>
        </w:rPr>
      </w:pPr>
      <w:r>
        <w:rPr>
          <w:sz w:val="15"/>
        </w:rPr>
        <w:t>Por llevar a cabo, un médico, cualquier procedimiento quirúrgico, sin insensibilizar previamente con anestésicos suficientes de acuerdo al animal, por cada</w:t>
      </w:r>
      <w:r>
        <w:rPr>
          <w:spacing w:val="2"/>
          <w:sz w:val="15"/>
        </w:rPr>
        <w:t> </w:t>
      </w:r>
      <w:r>
        <w:rPr>
          <w:sz w:val="15"/>
        </w:rPr>
        <w:t>procedimiento;</w:t>
      </w:r>
    </w:p>
    <w:p>
      <w:pPr>
        <w:pStyle w:val="ListParagraph"/>
        <w:numPr>
          <w:ilvl w:val="0"/>
          <w:numId w:val="266"/>
        </w:numPr>
        <w:tabs>
          <w:tab w:pos="811" w:val="left" w:leader="none"/>
        </w:tabs>
        <w:spacing w:line="247" w:lineRule="auto" w:before="43" w:after="0"/>
        <w:ind w:left="151" w:right="2786" w:firstLine="397"/>
        <w:jc w:val="both"/>
        <w:rPr>
          <w:sz w:val="15"/>
        </w:rPr>
      </w:pPr>
      <w:r>
        <w:rPr>
          <w:sz w:val="15"/>
        </w:rPr>
        <w:t>Por vender los animales sin estar desparasitados, vacunados y  libres de toda enfermedad y con certificado médico expedido en el momento  de la venta por el médico que sea el responsable del criadero, por cada  animal;</w:t>
      </w:r>
    </w:p>
    <w:p>
      <w:pPr>
        <w:pStyle w:val="ListParagraph"/>
        <w:numPr>
          <w:ilvl w:val="0"/>
          <w:numId w:val="266"/>
        </w:numPr>
        <w:tabs>
          <w:tab w:pos="729" w:val="left" w:leader="none"/>
        </w:tabs>
        <w:spacing w:line="170" w:lineRule="exact" w:before="0" w:after="0"/>
        <w:ind w:left="728" w:right="0" w:hanging="181"/>
        <w:jc w:val="both"/>
        <w:rPr>
          <w:sz w:val="15"/>
        </w:rPr>
      </w:pPr>
      <w:r>
        <w:rPr>
          <w:sz w:val="15"/>
        </w:rPr>
        <w:t>Por carecer de un control de producción y registro de</w:t>
      </w:r>
      <w:r>
        <w:rPr>
          <w:spacing w:val="20"/>
          <w:sz w:val="15"/>
        </w:rPr>
        <w:t> </w:t>
      </w:r>
      <w:r>
        <w:rPr>
          <w:sz w:val="15"/>
        </w:rPr>
        <w:t>camadas;</w:t>
      </w:r>
    </w:p>
    <w:p>
      <w:pPr>
        <w:pStyle w:val="BodyText"/>
        <w:rPr>
          <w:sz w:val="16"/>
        </w:rPr>
      </w:pPr>
    </w:p>
    <w:p>
      <w:pPr>
        <w:pStyle w:val="BodyText"/>
        <w:spacing w:line="247" w:lineRule="auto" w:before="115"/>
        <w:ind w:left="151" w:right="2849" w:firstLine="397"/>
      </w:pPr>
      <w:r>
        <w:rPr>
          <w:spacing w:val="-5"/>
        </w:rPr>
        <w:t>V.- </w:t>
      </w:r>
      <w:r>
        <w:rPr/>
        <w:t>Para los establecimientos comerciales, ferias y exposiciones donde se dé la venta de animales</w:t>
      </w:r>
      <w:r>
        <w:rPr>
          <w:spacing w:val="11"/>
        </w:rPr>
        <w:t> </w:t>
      </w:r>
      <w:r>
        <w:rPr/>
        <w:t>domésticos:</w:t>
      </w:r>
    </w:p>
    <w:p>
      <w:pPr>
        <w:pStyle w:val="BodyText"/>
        <w:spacing w:before="3"/>
      </w:pPr>
    </w:p>
    <w:p>
      <w:pPr>
        <w:pStyle w:val="ListParagraph"/>
        <w:numPr>
          <w:ilvl w:val="0"/>
          <w:numId w:val="267"/>
        </w:numPr>
        <w:tabs>
          <w:tab w:pos="735" w:val="left" w:leader="none"/>
        </w:tabs>
        <w:spacing w:line="247" w:lineRule="auto" w:before="0" w:after="0"/>
        <w:ind w:left="151" w:right="2786" w:firstLine="397"/>
        <w:jc w:val="left"/>
        <w:rPr>
          <w:sz w:val="15"/>
        </w:rPr>
      </w:pPr>
      <w:r>
        <w:rPr>
          <w:sz w:val="15"/>
        </w:rPr>
        <w:t>Por dejar de entregar al comprador un manual de cuidado, albergue   y dieta del</w:t>
      </w:r>
      <w:r>
        <w:rPr>
          <w:spacing w:val="3"/>
          <w:sz w:val="15"/>
        </w:rPr>
        <w:t> </w:t>
      </w:r>
      <w:r>
        <w:rPr>
          <w:sz w:val="15"/>
        </w:rPr>
        <w:t>animal;</w:t>
      </w:r>
    </w:p>
    <w:p>
      <w:pPr>
        <w:pStyle w:val="ListParagraph"/>
        <w:numPr>
          <w:ilvl w:val="0"/>
          <w:numId w:val="267"/>
        </w:numPr>
        <w:tabs>
          <w:tab w:pos="741" w:val="left" w:leader="none"/>
        </w:tabs>
        <w:spacing w:line="247" w:lineRule="auto" w:before="38" w:after="0"/>
        <w:ind w:left="151" w:right="2787" w:firstLine="397"/>
        <w:jc w:val="left"/>
        <w:rPr>
          <w:sz w:val="15"/>
        </w:rPr>
      </w:pPr>
      <w:r>
        <w:rPr>
          <w:sz w:val="15"/>
        </w:rPr>
        <w:t>Por vender animales vivos o muertos sin el permiso, autorización o licencia de la autoridad municipal</w:t>
      </w:r>
      <w:r>
        <w:rPr>
          <w:spacing w:val="10"/>
          <w:sz w:val="15"/>
        </w:rPr>
        <w:t> </w:t>
      </w:r>
      <w:r>
        <w:rPr>
          <w:sz w:val="15"/>
        </w:rPr>
        <w:t>competente;</w:t>
      </w:r>
    </w:p>
    <w:p>
      <w:pPr>
        <w:pStyle w:val="ListParagraph"/>
        <w:numPr>
          <w:ilvl w:val="0"/>
          <w:numId w:val="267"/>
        </w:numPr>
        <w:tabs>
          <w:tab w:pos="747" w:val="left" w:leader="none"/>
        </w:tabs>
        <w:spacing w:line="247" w:lineRule="auto" w:before="39" w:after="0"/>
        <w:ind w:left="151" w:right="4354" w:firstLine="397"/>
        <w:jc w:val="left"/>
        <w:rPr>
          <w:sz w:val="15"/>
        </w:rPr>
      </w:pPr>
      <w:r>
        <w:rPr>
          <w:sz w:val="15"/>
        </w:rPr>
        <w:t>Por adiestrar un animal para hacerlo pelear  en espectáculos públicos o</w:t>
      </w:r>
      <w:r>
        <w:rPr>
          <w:spacing w:val="10"/>
          <w:sz w:val="15"/>
        </w:rPr>
        <w:t> </w:t>
      </w:r>
      <w:r>
        <w:rPr>
          <w:sz w:val="15"/>
        </w:rPr>
        <w:t>privados;</w:t>
      </w:r>
    </w:p>
    <w:p>
      <w:pPr>
        <w:pStyle w:val="ListParagraph"/>
        <w:numPr>
          <w:ilvl w:val="0"/>
          <w:numId w:val="267"/>
        </w:numPr>
        <w:tabs>
          <w:tab w:pos="731" w:val="left" w:leader="none"/>
        </w:tabs>
        <w:spacing w:line="247" w:lineRule="auto" w:before="38" w:after="0"/>
        <w:ind w:left="151" w:right="2787" w:firstLine="397"/>
        <w:jc w:val="left"/>
        <w:rPr>
          <w:sz w:val="15"/>
        </w:rPr>
      </w:pPr>
      <w:r>
        <w:rPr>
          <w:sz w:val="15"/>
        </w:rPr>
        <w:t>Por someter al animal a jornadas excesivas de trabajo conforme a lo establecido en la norma zoológica correspondiente, por cada animal;</w:t>
      </w:r>
    </w:p>
    <w:p>
      <w:pPr>
        <w:pStyle w:val="ListParagraph"/>
        <w:numPr>
          <w:ilvl w:val="0"/>
          <w:numId w:val="267"/>
        </w:numPr>
        <w:tabs>
          <w:tab w:pos="761" w:val="left" w:leader="none"/>
        </w:tabs>
        <w:spacing w:line="247" w:lineRule="auto" w:before="37" w:after="0"/>
        <w:ind w:left="151" w:right="4353" w:firstLine="397"/>
        <w:jc w:val="left"/>
        <w:rPr>
          <w:sz w:val="15"/>
        </w:rPr>
      </w:pPr>
      <w:r>
        <w:rPr>
          <w:sz w:val="15"/>
        </w:rPr>
        <w:t>Por carecer de las instalaciones de guarda animal en estado</w:t>
      </w:r>
      <w:r>
        <w:rPr>
          <w:spacing w:val="5"/>
          <w:sz w:val="15"/>
        </w:rPr>
        <w:t> </w:t>
      </w:r>
      <w:r>
        <w:rPr>
          <w:sz w:val="15"/>
        </w:rPr>
        <w:t>higiénico;</w:t>
      </w:r>
    </w:p>
    <w:p>
      <w:pPr>
        <w:pStyle w:val="ListParagraph"/>
        <w:numPr>
          <w:ilvl w:val="0"/>
          <w:numId w:val="267"/>
        </w:numPr>
        <w:tabs>
          <w:tab w:pos="733" w:val="left" w:leader="none"/>
        </w:tabs>
        <w:spacing w:line="244" w:lineRule="auto" w:before="39" w:after="0"/>
        <w:ind w:left="151" w:right="2786" w:firstLine="397"/>
        <w:jc w:val="left"/>
        <w:rPr>
          <w:sz w:val="15"/>
        </w:rPr>
      </w:pPr>
      <w:r>
        <w:rPr>
          <w:sz w:val="15"/>
        </w:rPr>
        <w:t>Para conductores de los vehículos movidos o tirados por algún  animal, por cargarlo excesivamente o</w:t>
      </w:r>
      <w:r>
        <w:rPr>
          <w:spacing w:val="22"/>
          <w:sz w:val="15"/>
        </w:rPr>
        <w:t> </w:t>
      </w:r>
      <w:r>
        <w:rPr>
          <w:sz w:val="15"/>
        </w:rPr>
        <w:t>desproporcionadamente;</w:t>
      </w:r>
    </w:p>
    <w:p>
      <w:pPr>
        <w:pStyle w:val="ListParagraph"/>
        <w:numPr>
          <w:ilvl w:val="0"/>
          <w:numId w:val="267"/>
        </w:numPr>
        <w:tabs>
          <w:tab w:pos="729" w:val="left" w:leader="none"/>
        </w:tabs>
        <w:spacing w:line="240" w:lineRule="auto" w:before="41" w:after="0"/>
        <w:ind w:left="728" w:right="0" w:hanging="181"/>
        <w:jc w:val="left"/>
        <w:rPr>
          <w:sz w:val="15"/>
        </w:rPr>
      </w:pPr>
      <w:r>
        <w:rPr>
          <w:sz w:val="15"/>
        </w:rPr>
        <w:t>Por no proporcionar un descanso adecuado al</w:t>
      </w:r>
      <w:r>
        <w:rPr>
          <w:spacing w:val="11"/>
          <w:sz w:val="15"/>
        </w:rPr>
        <w:t> </w:t>
      </w:r>
      <w:r>
        <w:rPr>
          <w:sz w:val="15"/>
        </w:rPr>
        <w:t>animal;</w:t>
      </w:r>
    </w:p>
    <w:p>
      <w:pPr>
        <w:pStyle w:val="ListParagraph"/>
        <w:numPr>
          <w:ilvl w:val="0"/>
          <w:numId w:val="267"/>
        </w:numPr>
        <w:tabs>
          <w:tab w:pos="737" w:val="left" w:leader="none"/>
        </w:tabs>
        <w:spacing w:line="247" w:lineRule="auto" w:before="44" w:after="0"/>
        <w:ind w:left="151" w:right="2789" w:firstLine="397"/>
        <w:jc w:val="both"/>
        <w:rPr>
          <w:sz w:val="15"/>
        </w:rPr>
      </w:pPr>
      <w:r>
        <w:rPr>
          <w:sz w:val="15"/>
        </w:rPr>
        <w:t>Por poner a trabajar, tirar, cargar o cabalgar a un animal hembra en   el periodo próximo al</w:t>
      </w:r>
      <w:r>
        <w:rPr>
          <w:spacing w:val="5"/>
          <w:sz w:val="15"/>
        </w:rPr>
        <w:t> </w:t>
      </w:r>
      <w:r>
        <w:rPr>
          <w:sz w:val="15"/>
        </w:rPr>
        <w:t>parto;</w:t>
      </w:r>
    </w:p>
    <w:p>
      <w:pPr>
        <w:pStyle w:val="ListParagraph"/>
        <w:numPr>
          <w:ilvl w:val="0"/>
          <w:numId w:val="267"/>
        </w:numPr>
        <w:tabs>
          <w:tab w:pos="700" w:val="left" w:leader="none"/>
        </w:tabs>
        <w:spacing w:line="247" w:lineRule="auto" w:before="38" w:after="0"/>
        <w:ind w:left="151" w:right="2787" w:firstLine="397"/>
        <w:jc w:val="both"/>
        <w:rPr>
          <w:sz w:val="15"/>
        </w:rPr>
      </w:pPr>
      <w:r>
        <w:rPr>
          <w:sz w:val="15"/>
        </w:rPr>
        <w:t>Por poner a trabajar, tirar, cargar o cabalgar a animales impedidos para realizar dicha actividad debido a su poca o avanzada</w:t>
      </w:r>
      <w:r>
        <w:rPr>
          <w:spacing w:val="36"/>
          <w:sz w:val="15"/>
        </w:rPr>
        <w:t> </w:t>
      </w:r>
      <w:r>
        <w:rPr>
          <w:sz w:val="15"/>
        </w:rPr>
        <w:t>edad;</w:t>
      </w:r>
    </w:p>
    <w:p>
      <w:pPr>
        <w:pStyle w:val="ListParagraph"/>
        <w:numPr>
          <w:ilvl w:val="0"/>
          <w:numId w:val="267"/>
        </w:numPr>
        <w:tabs>
          <w:tab w:pos="725" w:val="left" w:leader="none"/>
        </w:tabs>
        <w:spacing w:line="247" w:lineRule="auto" w:before="38" w:after="0"/>
        <w:ind w:left="150" w:right="2787" w:firstLine="397"/>
        <w:jc w:val="both"/>
        <w:rPr>
          <w:sz w:val="15"/>
        </w:rPr>
      </w:pPr>
      <w:r>
        <w:rPr>
          <w:sz w:val="15"/>
        </w:rPr>
        <w:t>Por no dar trato humanitario y respetuoso a un animal en una exhibición o espectáculo público o privado, filmación de películas, programas televisivos, anuncios publicitarios y durante la elaboración de cualquier  material visual o auditivo en el que participen animales</w:t>
      </w:r>
      <w:r>
        <w:rPr>
          <w:spacing w:val="29"/>
          <w:sz w:val="15"/>
        </w:rPr>
        <w:t> </w:t>
      </w:r>
      <w:r>
        <w:rPr>
          <w:sz w:val="15"/>
        </w:rPr>
        <w:t>vivos;</w:t>
      </w:r>
    </w:p>
    <w:p>
      <w:pPr>
        <w:pStyle w:val="ListParagraph"/>
        <w:numPr>
          <w:ilvl w:val="0"/>
          <w:numId w:val="267"/>
        </w:numPr>
        <w:tabs>
          <w:tab w:pos="771" w:val="left" w:leader="none"/>
        </w:tabs>
        <w:spacing w:line="247" w:lineRule="auto" w:before="37" w:after="0"/>
        <w:ind w:left="150" w:right="2790" w:firstLine="397"/>
        <w:jc w:val="both"/>
        <w:rPr>
          <w:sz w:val="15"/>
        </w:rPr>
      </w:pPr>
      <w:r>
        <w:rPr>
          <w:sz w:val="15"/>
        </w:rPr>
        <w:t>Por sacrificar un animal no destinado al consumo humano sin  atender la Norma Oficial Mexicana</w:t>
      </w:r>
      <w:r>
        <w:rPr>
          <w:spacing w:val="13"/>
          <w:sz w:val="15"/>
        </w:rPr>
        <w:t> </w:t>
      </w:r>
      <w:r>
        <w:rPr>
          <w:sz w:val="15"/>
        </w:rPr>
        <w:t>correspondiente;</w:t>
      </w:r>
    </w:p>
    <w:p>
      <w:pPr>
        <w:pStyle w:val="ListParagraph"/>
        <w:numPr>
          <w:ilvl w:val="0"/>
          <w:numId w:val="267"/>
        </w:numPr>
        <w:tabs>
          <w:tab w:pos="691" w:val="left" w:leader="none"/>
        </w:tabs>
        <w:spacing w:line="247" w:lineRule="auto" w:before="38" w:after="0"/>
        <w:ind w:left="150" w:right="2788" w:firstLine="397"/>
        <w:jc w:val="both"/>
        <w:rPr>
          <w:sz w:val="15"/>
        </w:rPr>
      </w:pPr>
      <w:r>
        <w:rPr>
          <w:sz w:val="15"/>
        </w:rPr>
        <w:t>Por sacrificar un animal en la vía pública, sin alguno de los motivos que</w:t>
      </w:r>
      <w:r>
        <w:rPr>
          <w:spacing w:val="6"/>
          <w:sz w:val="15"/>
        </w:rPr>
        <w:t> </w:t>
      </w:r>
      <w:r>
        <w:rPr>
          <w:sz w:val="15"/>
        </w:rPr>
        <w:t>expresa</w:t>
      </w:r>
      <w:r>
        <w:rPr>
          <w:spacing w:val="7"/>
          <w:sz w:val="15"/>
        </w:rPr>
        <w:t> </w:t>
      </w:r>
      <w:r>
        <w:rPr>
          <w:sz w:val="15"/>
        </w:rPr>
        <w:t>la</w:t>
      </w:r>
      <w:r>
        <w:rPr>
          <w:spacing w:val="7"/>
          <w:sz w:val="15"/>
        </w:rPr>
        <w:t> </w:t>
      </w:r>
      <w:r>
        <w:rPr>
          <w:sz w:val="15"/>
        </w:rPr>
        <w:t>Ley</w:t>
      </w:r>
      <w:r>
        <w:rPr>
          <w:spacing w:val="6"/>
          <w:sz w:val="15"/>
        </w:rPr>
        <w:t> </w:t>
      </w:r>
      <w:r>
        <w:rPr>
          <w:sz w:val="15"/>
        </w:rPr>
        <w:t>de</w:t>
      </w:r>
      <w:r>
        <w:rPr>
          <w:spacing w:val="7"/>
          <w:sz w:val="15"/>
        </w:rPr>
        <w:t> </w:t>
      </w:r>
      <w:r>
        <w:rPr>
          <w:sz w:val="15"/>
        </w:rPr>
        <w:t>Protección</w:t>
      </w:r>
      <w:r>
        <w:rPr>
          <w:spacing w:val="7"/>
          <w:sz w:val="15"/>
        </w:rPr>
        <w:t> </w:t>
      </w:r>
      <w:r>
        <w:rPr>
          <w:sz w:val="15"/>
        </w:rPr>
        <w:t>y</w:t>
      </w:r>
      <w:r>
        <w:rPr>
          <w:spacing w:val="5"/>
          <w:sz w:val="15"/>
        </w:rPr>
        <w:t> </w:t>
      </w:r>
      <w:r>
        <w:rPr>
          <w:sz w:val="15"/>
        </w:rPr>
        <w:t>cuidado</w:t>
      </w:r>
      <w:r>
        <w:rPr>
          <w:spacing w:val="7"/>
          <w:sz w:val="15"/>
        </w:rPr>
        <w:t> </w:t>
      </w:r>
      <w:r>
        <w:rPr>
          <w:sz w:val="15"/>
        </w:rPr>
        <w:t>animal</w:t>
      </w:r>
      <w:r>
        <w:rPr>
          <w:spacing w:val="7"/>
          <w:sz w:val="15"/>
        </w:rPr>
        <w:t> </w:t>
      </w:r>
      <w:r>
        <w:rPr>
          <w:sz w:val="15"/>
        </w:rPr>
        <w:t>del</w:t>
      </w:r>
      <w:r>
        <w:rPr>
          <w:spacing w:val="7"/>
          <w:sz w:val="15"/>
        </w:rPr>
        <w:t> </w:t>
      </w:r>
      <w:r>
        <w:rPr>
          <w:sz w:val="15"/>
        </w:rPr>
        <w:t>Estado</w:t>
      </w:r>
      <w:r>
        <w:rPr>
          <w:spacing w:val="6"/>
          <w:sz w:val="15"/>
        </w:rPr>
        <w:t> </w:t>
      </w:r>
      <w:r>
        <w:rPr>
          <w:sz w:val="15"/>
        </w:rPr>
        <w:t>de</w:t>
      </w:r>
      <w:r>
        <w:rPr>
          <w:spacing w:val="7"/>
          <w:sz w:val="15"/>
        </w:rPr>
        <w:t> </w:t>
      </w:r>
      <w:r>
        <w:rPr>
          <w:sz w:val="15"/>
        </w:rPr>
        <w:t>Jalisco;</w:t>
      </w:r>
    </w:p>
    <w:p>
      <w:pPr>
        <w:pStyle w:val="BodyText"/>
        <w:spacing w:before="1"/>
        <w:rPr>
          <w:sz w:val="22"/>
        </w:rPr>
      </w:pPr>
    </w:p>
    <w:p>
      <w:pPr>
        <w:pStyle w:val="BodyText"/>
        <w:ind w:left="548"/>
      </w:pPr>
      <w:r>
        <w:rPr/>
        <w:t>VI.- Para los propietarios o poseedores de mascotas o particulares:</w:t>
      </w:r>
    </w:p>
    <w:p>
      <w:pPr>
        <w:spacing w:after="0"/>
        <w:sectPr>
          <w:type w:val="continuous"/>
          <w:pgSz w:w="23250" w:h="15310" w:orient="landscape"/>
          <w:pgMar w:top="0" w:bottom="0" w:left="1880" w:right="1520"/>
          <w:cols w:num="2" w:equalWidth="0">
            <w:col w:w="5474" w:space="6148"/>
            <w:col w:w="8228"/>
          </w:cols>
        </w:sectPr>
      </w:pPr>
    </w:p>
    <w:p>
      <w:pPr>
        <w:pStyle w:val="BodyText"/>
        <w:rPr>
          <w:sz w:val="20"/>
        </w:rPr>
      </w:pPr>
    </w:p>
    <w:p>
      <w:pPr>
        <w:pStyle w:val="BodyText"/>
        <w:rPr>
          <w:sz w:val="20"/>
        </w:rPr>
      </w:pPr>
    </w:p>
    <w:p>
      <w:pPr>
        <w:pStyle w:val="BodyText"/>
        <w:rPr>
          <w:sz w:val="20"/>
        </w:rPr>
      </w:pPr>
    </w:p>
    <w:p>
      <w:pPr>
        <w:spacing w:after="0"/>
        <w:rPr>
          <w:sz w:val="20"/>
        </w:rPr>
        <w:sectPr>
          <w:headerReference w:type="default" r:id="rId136"/>
          <w:pgSz w:w="23250" w:h="15310" w:orient="landscape"/>
          <w:pgMar w:header="881" w:footer="499" w:top="1920" w:bottom="680" w:left="1880" w:right="1520"/>
        </w:sectPr>
      </w:pPr>
    </w:p>
    <w:p>
      <w:pPr>
        <w:pStyle w:val="BodyText"/>
        <w:spacing w:before="8"/>
        <w:rPr>
          <w:sz w:val="18"/>
        </w:rPr>
      </w:pPr>
    </w:p>
    <w:p>
      <w:pPr>
        <w:pStyle w:val="ListParagraph"/>
        <w:numPr>
          <w:ilvl w:val="0"/>
          <w:numId w:val="268"/>
        </w:numPr>
        <w:tabs>
          <w:tab w:pos="777" w:val="left" w:leader="none"/>
        </w:tabs>
        <w:spacing w:line="247" w:lineRule="auto" w:before="0" w:after="0"/>
        <w:ind w:left="150" w:right="40" w:firstLine="397"/>
        <w:jc w:val="left"/>
        <w:rPr>
          <w:sz w:val="15"/>
        </w:rPr>
      </w:pPr>
      <w:r>
        <w:rPr>
          <w:sz w:val="15"/>
        </w:rPr>
        <w:t>Por permitir que la mascota haga daños en la vía y espacios  públicos;</w:t>
      </w:r>
    </w:p>
    <w:p>
      <w:pPr>
        <w:pStyle w:val="ListParagraph"/>
        <w:numPr>
          <w:ilvl w:val="0"/>
          <w:numId w:val="268"/>
        </w:numPr>
        <w:tabs>
          <w:tab w:pos="729" w:val="left" w:leader="none"/>
        </w:tabs>
        <w:spacing w:line="240" w:lineRule="auto" w:before="38" w:after="0"/>
        <w:ind w:left="728" w:right="0" w:hanging="181"/>
        <w:jc w:val="left"/>
        <w:rPr>
          <w:sz w:val="15"/>
        </w:rPr>
      </w:pPr>
      <w:r>
        <w:rPr>
          <w:sz w:val="15"/>
        </w:rPr>
        <w:t>Por no recoger las heces el perro en la vía</w:t>
      </w:r>
      <w:r>
        <w:rPr>
          <w:spacing w:val="27"/>
          <w:sz w:val="15"/>
        </w:rPr>
        <w:t> </w:t>
      </w:r>
      <w:r>
        <w:rPr>
          <w:sz w:val="15"/>
        </w:rPr>
        <w:t>pública;</w:t>
      </w:r>
    </w:p>
    <w:p>
      <w:pPr>
        <w:pStyle w:val="ListParagraph"/>
        <w:numPr>
          <w:ilvl w:val="0"/>
          <w:numId w:val="268"/>
        </w:numPr>
        <w:tabs>
          <w:tab w:pos="731" w:val="left" w:leader="none"/>
        </w:tabs>
        <w:spacing w:line="244" w:lineRule="auto" w:before="44" w:after="0"/>
        <w:ind w:left="150" w:right="39" w:firstLine="397"/>
        <w:jc w:val="left"/>
        <w:rPr>
          <w:sz w:val="15"/>
        </w:rPr>
      </w:pPr>
      <w:r>
        <w:rPr>
          <w:sz w:val="15"/>
        </w:rPr>
        <w:t>Por llevar a una mascota sujeta sin pechera, correa o cadena en la  vía</w:t>
      </w:r>
      <w:r>
        <w:rPr>
          <w:spacing w:val="1"/>
          <w:sz w:val="15"/>
        </w:rPr>
        <w:t> </w:t>
      </w:r>
      <w:r>
        <w:rPr>
          <w:sz w:val="15"/>
        </w:rPr>
        <w:t>pública;</w:t>
      </w:r>
    </w:p>
    <w:p>
      <w:pPr>
        <w:pStyle w:val="ListParagraph"/>
        <w:numPr>
          <w:ilvl w:val="0"/>
          <w:numId w:val="268"/>
        </w:numPr>
        <w:tabs>
          <w:tab w:pos="732" w:val="left" w:leader="none"/>
        </w:tabs>
        <w:spacing w:line="247" w:lineRule="auto" w:before="41" w:after="0"/>
        <w:ind w:left="150" w:right="38" w:firstLine="397"/>
        <w:jc w:val="left"/>
        <w:rPr>
          <w:sz w:val="15"/>
        </w:rPr>
      </w:pPr>
      <w:r>
        <w:rPr>
          <w:sz w:val="15"/>
        </w:rPr>
        <w:t>Por no llevar a la mascota considerada agresiva sujeta con pechera, correa, cadena o bozal en la vía</w:t>
      </w:r>
      <w:r>
        <w:rPr>
          <w:spacing w:val="13"/>
          <w:sz w:val="15"/>
        </w:rPr>
        <w:t> </w:t>
      </w:r>
      <w:r>
        <w:rPr>
          <w:sz w:val="15"/>
        </w:rPr>
        <w:t>pública;</w:t>
      </w:r>
    </w:p>
    <w:p>
      <w:pPr>
        <w:pStyle w:val="ListParagraph"/>
        <w:numPr>
          <w:ilvl w:val="0"/>
          <w:numId w:val="268"/>
        </w:numPr>
        <w:tabs>
          <w:tab w:pos="755" w:val="left" w:leader="none"/>
        </w:tabs>
        <w:spacing w:line="247" w:lineRule="auto" w:before="38" w:after="0"/>
        <w:ind w:left="150" w:right="38" w:firstLine="397"/>
        <w:jc w:val="left"/>
        <w:rPr>
          <w:sz w:val="15"/>
        </w:rPr>
      </w:pPr>
      <w:r>
        <w:rPr>
          <w:sz w:val="15"/>
        </w:rPr>
        <w:t>Por descuidar las condiciones de la morada del animal, por cada animal que ahí</w:t>
      </w:r>
      <w:r>
        <w:rPr>
          <w:spacing w:val="4"/>
          <w:sz w:val="15"/>
        </w:rPr>
        <w:t> </w:t>
      </w:r>
      <w:r>
        <w:rPr>
          <w:sz w:val="15"/>
        </w:rPr>
        <w:t>habite;</w:t>
      </w:r>
    </w:p>
    <w:p>
      <w:pPr>
        <w:pStyle w:val="ListParagraph"/>
        <w:numPr>
          <w:ilvl w:val="0"/>
          <w:numId w:val="268"/>
        </w:numPr>
        <w:tabs>
          <w:tab w:pos="715" w:val="left" w:leader="none"/>
        </w:tabs>
        <w:spacing w:line="247" w:lineRule="auto" w:before="38" w:after="0"/>
        <w:ind w:left="150" w:right="39" w:firstLine="397"/>
        <w:jc w:val="left"/>
        <w:rPr>
          <w:sz w:val="15"/>
        </w:rPr>
      </w:pPr>
      <w:r>
        <w:rPr>
          <w:sz w:val="15"/>
        </w:rPr>
        <w:t>Por ejecutar o propiciar que se ejecuten acciones dolorosas a un animal;</w:t>
      </w:r>
    </w:p>
    <w:p>
      <w:pPr>
        <w:pStyle w:val="ListParagraph"/>
        <w:numPr>
          <w:ilvl w:val="0"/>
          <w:numId w:val="268"/>
        </w:numPr>
        <w:tabs>
          <w:tab w:pos="769" w:val="left" w:leader="none"/>
        </w:tabs>
        <w:spacing w:line="247" w:lineRule="auto" w:before="39" w:after="0"/>
        <w:ind w:left="150" w:right="41" w:firstLine="397"/>
        <w:jc w:val="left"/>
        <w:rPr>
          <w:sz w:val="15"/>
        </w:rPr>
      </w:pPr>
      <w:r>
        <w:rPr>
          <w:sz w:val="15"/>
        </w:rPr>
        <w:t>Por mantener un animal permanentemente en la azotea sin los cuidados necesarios o con peligro de</w:t>
      </w:r>
      <w:r>
        <w:rPr>
          <w:spacing w:val="11"/>
          <w:sz w:val="15"/>
        </w:rPr>
        <w:t> </w:t>
      </w:r>
      <w:r>
        <w:rPr>
          <w:sz w:val="15"/>
        </w:rPr>
        <w:t>caerse;</w:t>
      </w:r>
    </w:p>
    <w:p>
      <w:pPr>
        <w:pStyle w:val="ListParagraph"/>
        <w:numPr>
          <w:ilvl w:val="0"/>
          <w:numId w:val="268"/>
        </w:numPr>
        <w:tabs>
          <w:tab w:pos="740" w:val="left" w:leader="none"/>
        </w:tabs>
        <w:spacing w:line="247" w:lineRule="auto" w:before="37" w:after="0"/>
        <w:ind w:left="150" w:right="39" w:firstLine="397"/>
        <w:jc w:val="left"/>
        <w:rPr>
          <w:sz w:val="15"/>
        </w:rPr>
      </w:pPr>
      <w:r>
        <w:rPr>
          <w:sz w:val="15"/>
        </w:rPr>
        <w:t>Por dejar de proporcionar al animal las medidas de higiene básicas    o la atención médica necesaria en caso de</w:t>
      </w:r>
      <w:r>
        <w:rPr>
          <w:spacing w:val="22"/>
          <w:sz w:val="15"/>
        </w:rPr>
        <w:t> </w:t>
      </w:r>
      <w:r>
        <w:rPr>
          <w:sz w:val="15"/>
        </w:rPr>
        <w:t>enfermedad;</w:t>
      </w:r>
    </w:p>
    <w:p>
      <w:pPr>
        <w:pStyle w:val="ListParagraph"/>
        <w:numPr>
          <w:ilvl w:val="0"/>
          <w:numId w:val="268"/>
        </w:numPr>
        <w:tabs>
          <w:tab w:pos="685" w:val="left" w:leader="none"/>
        </w:tabs>
        <w:spacing w:line="247" w:lineRule="auto" w:before="38" w:after="0"/>
        <w:ind w:left="150" w:right="38" w:firstLine="397"/>
        <w:jc w:val="left"/>
        <w:rPr>
          <w:sz w:val="15"/>
        </w:rPr>
      </w:pPr>
      <w:r>
        <w:rPr>
          <w:sz w:val="15"/>
        </w:rPr>
        <w:t>Por mantener a un animal directo en la luz solar sin posibilidades de buscar sombra o sin protegerlos de las condiciones</w:t>
      </w:r>
      <w:r>
        <w:rPr>
          <w:spacing w:val="40"/>
          <w:sz w:val="15"/>
        </w:rPr>
        <w:t> </w:t>
      </w:r>
      <w:r>
        <w:rPr>
          <w:sz w:val="15"/>
        </w:rPr>
        <w:t>climatológicas;</w:t>
      </w:r>
    </w:p>
    <w:p>
      <w:pPr>
        <w:pStyle w:val="ListParagraph"/>
        <w:numPr>
          <w:ilvl w:val="0"/>
          <w:numId w:val="268"/>
        </w:numPr>
        <w:tabs>
          <w:tab w:pos="694" w:val="left" w:leader="none"/>
        </w:tabs>
        <w:spacing w:line="244" w:lineRule="auto" w:before="39" w:after="0"/>
        <w:ind w:left="150" w:right="38" w:firstLine="397"/>
        <w:jc w:val="left"/>
        <w:rPr>
          <w:sz w:val="15"/>
        </w:rPr>
      </w:pPr>
      <w:r>
        <w:rPr>
          <w:sz w:val="15"/>
        </w:rPr>
        <w:t>Por mantener a un animal atado o en el caso de aves con las alas cruzadas;</w:t>
      </w:r>
    </w:p>
    <w:p>
      <w:pPr>
        <w:pStyle w:val="ListParagraph"/>
        <w:numPr>
          <w:ilvl w:val="0"/>
          <w:numId w:val="268"/>
        </w:numPr>
        <w:tabs>
          <w:tab w:pos="762" w:val="left" w:leader="none"/>
        </w:tabs>
        <w:spacing w:line="247" w:lineRule="auto" w:before="41" w:after="0"/>
        <w:ind w:left="151" w:right="38" w:firstLine="397"/>
        <w:jc w:val="left"/>
        <w:rPr>
          <w:sz w:val="15"/>
        </w:rPr>
      </w:pPr>
      <w:r>
        <w:rPr>
          <w:sz w:val="15"/>
        </w:rPr>
        <w:t>Por colocar a un animal vivo colgado de cualquier parte de su  cuerpo;</w:t>
      </w:r>
    </w:p>
    <w:p>
      <w:pPr>
        <w:pStyle w:val="ListParagraph"/>
        <w:numPr>
          <w:ilvl w:val="0"/>
          <w:numId w:val="268"/>
        </w:numPr>
        <w:tabs>
          <w:tab w:pos="677" w:val="left" w:leader="none"/>
        </w:tabs>
        <w:spacing w:line="240" w:lineRule="auto" w:before="38" w:after="0"/>
        <w:ind w:left="676" w:right="0" w:hanging="129"/>
        <w:jc w:val="left"/>
        <w:rPr>
          <w:sz w:val="15"/>
        </w:rPr>
      </w:pPr>
      <w:r>
        <w:rPr>
          <w:sz w:val="15"/>
        </w:rPr>
        <w:t>Por cualquier otro tipo de acción de maltrato</w:t>
      </w:r>
      <w:r>
        <w:rPr>
          <w:spacing w:val="23"/>
          <w:sz w:val="15"/>
        </w:rPr>
        <w:t> </w:t>
      </w:r>
      <w:r>
        <w:rPr>
          <w:sz w:val="15"/>
        </w:rPr>
        <w:t>animal;</w:t>
      </w:r>
    </w:p>
    <w:p>
      <w:pPr>
        <w:pStyle w:val="ListParagraph"/>
        <w:numPr>
          <w:ilvl w:val="0"/>
          <w:numId w:val="268"/>
        </w:numPr>
        <w:tabs>
          <w:tab w:pos="817" w:val="left" w:leader="none"/>
        </w:tabs>
        <w:spacing w:line="247" w:lineRule="auto" w:before="44" w:after="0"/>
        <w:ind w:left="151" w:right="38" w:firstLine="397"/>
        <w:jc w:val="both"/>
        <w:rPr>
          <w:sz w:val="15"/>
        </w:rPr>
      </w:pPr>
      <w:r>
        <w:rPr>
          <w:sz w:val="15"/>
        </w:rPr>
        <w:t>Por carecer de cartilla de vacunación con el cuadro  completo,  carnet o tarjetón del animal canino o doméstico, en el que se advierta el progreso y registro de sus vacunas o atenciones médicas veterinarias correspondientes;</w:t>
      </w:r>
    </w:p>
    <w:p>
      <w:pPr>
        <w:pStyle w:val="ListParagraph"/>
        <w:numPr>
          <w:ilvl w:val="0"/>
          <w:numId w:val="268"/>
        </w:numPr>
        <w:tabs>
          <w:tab w:pos="781" w:val="left" w:leader="none"/>
        </w:tabs>
        <w:spacing w:line="244" w:lineRule="auto" w:before="37" w:after="0"/>
        <w:ind w:left="151" w:right="38" w:firstLine="397"/>
        <w:jc w:val="both"/>
        <w:rPr>
          <w:sz w:val="15"/>
        </w:rPr>
      </w:pPr>
      <w:r>
        <w:rPr>
          <w:sz w:val="15"/>
        </w:rPr>
        <w:t>Por carecer de licencia municipal, chip o tatuaje, identificación tratándose de perros considerados de alta</w:t>
      </w:r>
      <w:r>
        <w:rPr>
          <w:spacing w:val="17"/>
          <w:sz w:val="15"/>
        </w:rPr>
        <w:t> </w:t>
      </w:r>
      <w:r>
        <w:rPr>
          <w:sz w:val="15"/>
        </w:rPr>
        <w:t>peligrosidad;</w:t>
      </w:r>
    </w:p>
    <w:p>
      <w:pPr>
        <w:pStyle w:val="BodyText"/>
        <w:spacing w:line="247" w:lineRule="auto" w:before="41"/>
        <w:ind w:left="151" w:right="39" w:firstLine="397"/>
        <w:jc w:val="both"/>
      </w:pPr>
      <w:r>
        <w:rPr/>
        <w:t>ñ) Por permitir que un menor de 15 años conduzca a perros considerados de alta peligrosidad en la vía</w:t>
      </w:r>
      <w:r>
        <w:rPr>
          <w:spacing w:val="16"/>
        </w:rPr>
        <w:t> </w:t>
      </w:r>
      <w:r>
        <w:rPr/>
        <w:t>pública;</w:t>
      </w:r>
    </w:p>
    <w:p>
      <w:pPr>
        <w:pStyle w:val="ListParagraph"/>
        <w:numPr>
          <w:ilvl w:val="0"/>
          <w:numId w:val="268"/>
        </w:numPr>
        <w:tabs>
          <w:tab w:pos="743" w:val="left" w:leader="none"/>
        </w:tabs>
        <w:spacing w:line="247" w:lineRule="auto" w:before="38" w:after="0"/>
        <w:ind w:left="151" w:right="39" w:firstLine="397"/>
        <w:jc w:val="both"/>
        <w:rPr>
          <w:sz w:val="15"/>
        </w:rPr>
      </w:pPr>
      <w:r>
        <w:rPr>
          <w:sz w:val="15"/>
        </w:rPr>
        <w:t>Por carecer sus perros o gatos de placa de identificación de forma permanente;</w:t>
      </w:r>
    </w:p>
    <w:p>
      <w:pPr>
        <w:pStyle w:val="ListParagraph"/>
        <w:numPr>
          <w:ilvl w:val="0"/>
          <w:numId w:val="268"/>
        </w:numPr>
        <w:tabs>
          <w:tab w:pos="748" w:val="left" w:leader="none"/>
        </w:tabs>
        <w:spacing w:line="247" w:lineRule="auto" w:before="39" w:after="0"/>
        <w:ind w:left="151" w:right="38" w:firstLine="397"/>
        <w:jc w:val="both"/>
        <w:rPr>
          <w:sz w:val="15"/>
        </w:rPr>
      </w:pPr>
      <w:r>
        <w:rPr>
          <w:sz w:val="15"/>
        </w:rPr>
        <w:t>Previo a la recolección, guarda y custodia de un perro o cualquier  otro animal encontrado dentro de la jurisdicción municipal, deberá obrar constancia por parte del Médico Veterinario Autorizado, asentando el estado de    salud    que    guarde    y    la    repercusión    al    ente    social    de:      20 a 40 unidades de medida y</w:t>
      </w:r>
      <w:r>
        <w:rPr>
          <w:spacing w:val="14"/>
          <w:sz w:val="15"/>
        </w:rPr>
        <w:t> </w:t>
      </w:r>
      <w:r>
        <w:rPr>
          <w:sz w:val="15"/>
        </w:rPr>
        <w:t>actualización.</w:t>
      </w:r>
    </w:p>
    <w:p>
      <w:pPr>
        <w:pStyle w:val="ListParagraph"/>
        <w:numPr>
          <w:ilvl w:val="0"/>
          <w:numId w:val="268"/>
        </w:numPr>
        <w:tabs>
          <w:tab w:pos="769" w:val="left" w:leader="none"/>
        </w:tabs>
        <w:spacing w:line="247" w:lineRule="auto" w:before="35" w:after="0"/>
        <w:ind w:left="151" w:right="38" w:firstLine="397"/>
        <w:jc w:val="both"/>
        <w:rPr>
          <w:sz w:val="15"/>
        </w:rPr>
      </w:pPr>
      <w:r>
        <w:rPr>
          <w:sz w:val="15"/>
        </w:rPr>
        <w:t>Por tener en casas destinadas para uso habitacional cerdos en condiciones</w:t>
      </w:r>
      <w:r>
        <w:rPr>
          <w:spacing w:val="11"/>
          <w:sz w:val="15"/>
        </w:rPr>
        <w:t> </w:t>
      </w:r>
      <w:r>
        <w:rPr>
          <w:sz w:val="15"/>
        </w:rPr>
        <w:t>higiénicas</w:t>
      </w:r>
      <w:r>
        <w:rPr>
          <w:spacing w:val="14"/>
          <w:sz w:val="15"/>
        </w:rPr>
        <w:t> </w:t>
      </w:r>
      <w:r>
        <w:rPr>
          <w:sz w:val="15"/>
        </w:rPr>
        <w:t>deplorables,</w:t>
      </w:r>
      <w:r>
        <w:rPr>
          <w:spacing w:val="13"/>
          <w:sz w:val="15"/>
        </w:rPr>
        <w:t> </w:t>
      </w:r>
      <w:r>
        <w:rPr>
          <w:sz w:val="15"/>
        </w:rPr>
        <w:t>insalubres</w:t>
      </w:r>
      <w:r>
        <w:rPr>
          <w:spacing w:val="13"/>
          <w:sz w:val="15"/>
        </w:rPr>
        <w:t> </w:t>
      </w:r>
      <w:r>
        <w:rPr>
          <w:sz w:val="15"/>
        </w:rPr>
        <w:t>o</w:t>
      </w:r>
      <w:r>
        <w:rPr>
          <w:spacing w:val="12"/>
          <w:sz w:val="15"/>
        </w:rPr>
        <w:t> </w:t>
      </w:r>
      <w:r>
        <w:rPr>
          <w:sz w:val="15"/>
        </w:rPr>
        <w:t>que</w:t>
      </w:r>
      <w:r>
        <w:rPr>
          <w:spacing w:val="13"/>
          <w:sz w:val="15"/>
        </w:rPr>
        <w:t> </w:t>
      </w:r>
      <w:r>
        <w:rPr>
          <w:sz w:val="15"/>
        </w:rPr>
        <w:t>despidan</w:t>
      </w:r>
      <w:r>
        <w:rPr>
          <w:spacing w:val="13"/>
          <w:sz w:val="15"/>
        </w:rPr>
        <w:t> </w:t>
      </w:r>
      <w:r>
        <w:rPr>
          <w:sz w:val="15"/>
        </w:rPr>
        <w:t>malos</w:t>
      </w:r>
      <w:r>
        <w:rPr>
          <w:spacing w:val="13"/>
          <w:sz w:val="15"/>
        </w:rPr>
        <w:t> </w:t>
      </w:r>
      <w:r>
        <w:rPr>
          <w:sz w:val="15"/>
        </w:rPr>
        <w:t>olores;</w:t>
      </w:r>
    </w:p>
    <w:p>
      <w:pPr>
        <w:pStyle w:val="ListParagraph"/>
        <w:numPr>
          <w:ilvl w:val="0"/>
          <w:numId w:val="268"/>
        </w:numPr>
        <w:tabs>
          <w:tab w:pos="709" w:val="left" w:leader="none"/>
        </w:tabs>
        <w:spacing w:line="244" w:lineRule="auto" w:before="39" w:after="0"/>
        <w:ind w:left="151" w:right="39" w:firstLine="397"/>
        <w:jc w:val="both"/>
        <w:rPr>
          <w:sz w:val="15"/>
        </w:rPr>
      </w:pPr>
      <w:r>
        <w:rPr>
          <w:sz w:val="15"/>
        </w:rPr>
        <w:t>Por tener vacas, becerros, bueyes, ovejas, chivos, burros, caballos, aves como gallos, gallinas o similares en los corrales o patios de las casas habitación o zonas consolidadas como</w:t>
      </w:r>
      <w:r>
        <w:rPr>
          <w:spacing w:val="12"/>
          <w:sz w:val="15"/>
        </w:rPr>
        <w:t> </w:t>
      </w:r>
      <w:r>
        <w:rPr>
          <w:sz w:val="15"/>
        </w:rPr>
        <w:t>habitacionales;</w:t>
      </w:r>
    </w:p>
    <w:p>
      <w:pPr>
        <w:pStyle w:val="ListParagraph"/>
        <w:numPr>
          <w:ilvl w:val="0"/>
          <w:numId w:val="268"/>
        </w:numPr>
        <w:tabs>
          <w:tab w:pos="741" w:val="left" w:leader="none"/>
        </w:tabs>
        <w:spacing w:line="247" w:lineRule="auto" w:before="3" w:after="0"/>
        <w:ind w:left="151" w:right="39" w:firstLine="397"/>
        <w:jc w:val="both"/>
        <w:rPr>
          <w:sz w:val="15"/>
        </w:rPr>
      </w:pPr>
      <w:r>
        <w:rPr>
          <w:sz w:val="15"/>
        </w:rPr>
        <w:t>Por disponer de forma incorrecta los desechos o las heces de los animales;</w:t>
      </w:r>
    </w:p>
    <w:p>
      <w:pPr>
        <w:pStyle w:val="ListParagraph"/>
        <w:numPr>
          <w:ilvl w:val="0"/>
          <w:numId w:val="268"/>
        </w:numPr>
        <w:tabs>
          <w:tab w:pos="706" w:val="left" w:leader="none"/>
        </w:tabs>
        <w:spacing w:line="247" w:lineRule="auto" w:before="38" w:after="0"/>
        <w:ind w:left="151" w:right="38" w:firstLine="397"/>
        <w:jc w:val="both"/>
        <w:rPr>
          <w:sz w:val="15"/>
        </w:rPr>
      </w:pPr>
      <w:r>
        <w:rPr>
          <w:sz w:val="15"/>
        </w:rPr>
        <w:t>Por contaminar o arrojar los desechos o las heces a la vía pública   que con motivo del mantenimiento o limpieza, causando inconformidad o problemas de salud a la población en general;</w:t>
      </w:r>
      <w:r>
        <w:rPr>
          <w:spacing w:val="17"/>
          <w:sz w:val="15"/>
        </w:rPr>
        <w:t> </w:t>
      </w:r>
      <w:r>
        <w:rPr>
          <w:sz w:val="15"/>
        </w:rPr>
        <w:t>o</w:t>
      </w:r>
    </w:p>
    <w:p>
      <w:pPr>
        <w:pStyle w:val="ListParagraph"/>
        <w:numPr>
          <w:ilvl w:val="0"/>
          <w:numId w:val="268"/>
        </w:numPr>
        <w:tabs>
          <w:tab w:pos="768" w:val="left" w:leader="none"/>
        </w:tabs>
        <w:spacing w:line="247" w:lineRule="auto" w:before="37" w:after="0"/>
        <w:ind w:left="151" w:right="38" w:firstLine="397"/>
        <w:jc w:val="both"/>
        <w:rPr>
          <w:sz w:val="15"/>
        </w:rPr>
      </w:pPr>
      <w:r>
        <w:rPr>
          <w:sz w:val="15"/>
        </w:rPr>
        <w:t>Por causar alguna infestación de garrapatas, pulgas o parásitos derivados de las faltas de higiene o condiciones de salubridad de  los  animales</w:t>
      </w:r>
      <w:r>
        <w:rPr>
          <w:spacing w:val="1"/>
          <w:sz w:val="15"/>
        </w:rPr>
        <w:t> </w:t>
      </w:r>
      <w:r>
        <w:rPr>
          <w:sz w:val="15"/>
        </w:rPr>
        <w:t>concentrados;</w:t>
      </w:r>
    </w:p>
    <w:p>
      <w:pPr>
        <w:pStyle w:val="BodyText"/>
        <w:spacing w:before="8"/>
        <w:rPr>
          <w:sz w:val="18"/>
        </w:rPr>
      </w:pPr>
      <w:r>
        <w:rPr/>
        <w:br w:type="column"/>
      </w:r>
      <w:r>
        <w:rPr>
          <w:sz w:val="18"/>
        </w:rPr>
      </w:r>
    </w:p>
    <w:p>
      <w:pPr>
        <w:pStyle w:val="BodyText"/>
        <w:spacing w:line="247" w:lineRule="auto"/>
        <w:ind w:left="150" w:right="2786" w:firstLine="397"/>
        <w:jc w:val="both"/>
      </w:pPr>
      <w:r>
        <w:rPr/>
        <w:t>Son excluyentes de responsabilidad administrativa aquellos casos que   el artículo 308 del Código Penal para el Estado Libre y Soberano de Jalisco establece como excluyentes de responsabilidad penal, así como el trabajo     de animales en el campo o para actividades agropecuarias, siendo  sancionable el maltrato en los términos previstos en la Ley de Protección y Cuidado de los Animales del Estado de</w:t>
      </w:r>
      <w:r>
        <w:rPr>
          <w:spacing w:val="5"/>
        </w:rPr>
        <w:t> </w:t>
      </w:r>
      <w:r>
        <w:rPr/>
        <w:t>Jalisco.</w:t>
      </w:r>
    </w:p>
    <w:p>
      <w:pPr>
        <w:pStyle w:val="BodyText"/>
        <w:spacing w:before="1"/>
      </w:pPr>
    </w:p>
    <w:p>
      <w:pPr>
        <w:pStyle w:val="BodyText"/>
        <w:spacing w:line="244" w:lineRule="auto" w:before="1"/>
        <w:ind w:left="151" w:right="2788" w:firstLine="397"/>
        <w:jc w:val="both"/>
      </w:pPr>
      <w:r>
        <w:rPr>
          <w:b/>
        </w:rPr>
        <w:t>Artículo 156.- </w:t>
      </w:r>
      <w:r>
        <w:rPr/>
        <w:t>Por violaciones en materia del servicio público de aseo público:</w:t>
      </w:r>
    </w:p>
    <w:p>
      <w:pPr>
        <w:pStyle w:val="BodyText"/>
        <w:spacing w:before="4"/>
        <w:rPr>
          <w:sz w:val="22"/>
        </w:rPr>
      </w:pPr>
    </w:p>
    <w:p>
      <w:pPr>
        <w:pStyle w:val="ListParagraph"/>
        <w:numPr>
          <w:ilvl w:val="0"/>
          <w:numId w:val="269"/>
        </w:numPr>
        <w:tabs>
          <w:tab w:pos="717" w:val="left" w:leader="none"/>
        </w:tabs>
        <w:spacing w:line="247" w:lineRule="auto" w:before="0" w:after="0"/>
        <w:ind w:left="151" w:right="2787" w:firstLine="397"/>
        <w:jc w:val="both"/>
        <w:rPr>
          <w:sz w:val="15"/>
        </w:rPr>
      </w:pPr>
      <w:r>
        <w:rPr>
          <w:sz w:val="15"/>
        </w:rPr>
        <w:t>Por no asear el frente de su casa habitación, local, comercial o industrial y el arroyo hasta el centro de la calle que ocupe, jardines y zonas    de servidumbres, previa amonestación,</w:t>
      </w:r>
      <w:r>
        <w:rPr>
          <w:spacing w:val="8"/>
          <w:sz w:val="15"/>
        </w:rPr>
        <w:t> </w:t>
      </w:r>
      <w:r>
        <w:rPr>
          <w:sz w:val="15"/>
        </w:rPr>
        <w:t>de:</w:t>
      </w:r>
    </w:p>
    <w:p>
      <w:pPr>
        <w:pStyle w:val="BodyText"/>
        <w:spacing w:line="171" w:lineRule="exact"/>
        <w:ind w:left="2563"/>
        <w:jc w:val="both"/>
      </w:pPr>
      <w:r>
        <w:rPr/>
        <w:t>5 a 9 unidades de medida y actualización;</w:t>
      </w:r>
    </w:p>
    <w:p>
      <w:pPr>
        <w:pStyle w:val="BodyText"/>
        <w:spacing w:before="7"/>
        <w:rPr>
          <w:sz w:val="22"/>
        </w:rPr>
      </w:pPr>
    </w:p>
    <w:p>
      <w:pPr>
        <w:pStyle w:val="ListParagraph"/>
        <w:numPr>
          <w:ilvl w:val="0"/>
          <w:numId w:val="269"/>
        </w:numPr>
        <w:tabs>
          <w:tab w:pos="758" w:val="left" w:leader="none"/>
        </w:tabs>
        <w:spacing w:line="247" w:lineRule="auto" w:before="0" w:after="0"/>
        <w:ind w:left="151" w:right="2786" w:firstLine="397"/>
        <w:jc w:val="both"/>
        <w:rPr>
          <w:sz w:val="15"/>
        </w:rPr>
      </w:pPr>
      <w:r>
        <w:rPr>
          <w:sz w:val="15"/>
        </w:rPr>
        <w:t>Por no haber dejado los tanguistas limpia el área que les fuera asignada para desarrollar su actividad,</w:t>
      </w:r>
      <w:r>
        <w:rPr>
          <w:spacing w:val="9"/>
          <w:sz w:val="15"/>
        </w:rPr>
        <w:t> </w:t>
      </w:r>
      <w:r>
        <w:rPr>
          <w:sz w:val="15"/>
        </w:rPr>
        <w:t>de:</w:t>
      </w:r>
    </w:p>
    <w:p>
      <w:pPr>
        <w:pStyle w:val="BodyText"/>
        <w:spacing w:line="171" w:lineRule="exact"/>
        <w:ind w:left="2564"/>
        <w:jc w:val="both"/>
      </w:pPr>
      <w:r>
        <w:rPr/>
        <w:t>5 a 9 unidades de medida y actualización;</w:t>
      </w:r>
    </w:p>
    <w:p>
      <w:pPr>
        <w:pStyle w:val="BodyText"/>
        <w:spacing w:before="7"/>
        <w:rPr>
          <w:sz w:val="22"/>
        </w:rPr>
      </w:pPr>
    </w:p>
    <w:p>
      <w:pPr>
        <w:pStyle w:val="ListParagraph"/>
        <w:numPr>
          <w:ilvl w:val="0"/>
          <w:numId w:val="269"/>
        </w:numPr>
        <w:tabs>
          <w:tab w:pos="820" w:val="left" w:leader="none"/>
        </w:tabs>
        <w:spacing w:line="247" w:lineRule="auto" w:before="0" w:after="0"/>
        <w:ind w:left="151" w:right="2787" w:firstLine="397"/>
        <w:jc w:val="both"/>
        <w:rPr>
          <w:sz w:val="15"/>
        </w:rPr>
      </w:pPr>
      <w:r>
        <w:rPr>
          <w:sz w:val="15"/>
        </w:rPr>
        <w:t>Por no contar con recipientes para depositar basura, quienes desarrollen actividades comerciales en la vía pública,</w:t>
      </w:r>
      <w:r>
        <w:rPr>
          <w:spacing w:val="20"/>
          <w:sz w:val="15"/>
        </w:rPr>
        <w:t> </w:t>
      </w:r>
      <w:r>
        <w:rPr>
          <w:sz w:val="15"/>
        </w:rPr>
        <w:t>de:</w:t>
      </w:r>
    </w:p>
    <w:p>
      <w:pPr>
        <w:pStyle w:val="BodyText"/>
        <w:spacing w:line="172" w:lineRule="exact"/>
        <w:ind w:left="2564"/>
        <w:jc w:val="both"/>
      </w:pPr>
      <w:r>
        <w:rPr/>
        <w:t>5 a 9 unidades de medida y actualización;</w:t>
      </w:r>
    </w:p>
    <w:p>
      <w:pPr>
        <w:pStyle w:val="BodyText"/>
        <w:spacing w:before="7"/>
        <w:rPr>
          <w:sz w:val="22"/>
        </w:rPr>
      </w:pPr>
    </w:p>
    <w:p>
      <w:pPr>
        <w:pStyle w:val="ListParagraph"/>
        <w:numPr>
          <w:ilvl w:val="0"/>
          <w:numId w:val="269"/>
        </w:numPr>
        <w:tabs>
          <w:tab w:pos="768" w:val="left" w:leader="none"/>
        </w:tabs>
        <w:spacing w:line="247" w:lineRule="auto" w:before="0" w:after="0"/>
        <w:ind w:left="151" w:right="2788" w:firstLine="397"/>
        <w:jc w:val="both"/>
        <w:rPr>
          <w:sz w:val="15"/>
        </w:rPr>
      </w:pPr>
      <w:r>
        <w:rPr>
          <w:sz w:val="15"/>
        </w:rPr>
        <w:t>Por efectuar labores propias del giro fuera del local así como arrojar residuos en la vía pública,</w:t>
      </w:r>
      <w:r>
        <w:rPr>
          <w:spacing w:val="6"/>
          <w:sz w:val="15"/>
        </w:rPr>
        <w:t> </w:t>
      </w:r>
      <w:r>
        <w:rPr>
          <w:sz w:val="15"/>
        </w:rPr>
        <w:t>de:</w:t>
      </w:r>
    </w:p>
    <w:p>
      <w:pPr>
        <w:pStyle w:val="BodyText"/>
        <w:spacing w:line="172" w:lineRule="exact"/>
        <w:ind w:left="2478"/>
        <w:jc w:val="both"/>
      </w:pPr>
      <w:r>
        <w:rPr/>
        <w:t>5 a 23 unidades de medida y actualización;</w:t>
      </w:r>
    </w:p>
    <w:p>
      <w:pPr>
        <w:pStyle w:val="BodyText"/>
        <w:spacing w:before="2"/>
        <w:rPr>
          <w:sz w:val="19"/>
        </w:rPr>
      </w:pPr>
    </w:p>
    <w:p>
      <w:pPr>
        <w:pStyle w:val="ListParagraph"/>
        <w:numPr>
          <w:ilvl w:val="0"/>
          <w:numId w:val="269"/>
        </w:numPr>
        <w:tabs>
          <w:tab w:pos="729" w:val="left" w:leader="none"/>
        </w:tabs>
        <w:spacing w:line="247" w:lineRule="auto" w:before="0" w:after="0"/>
        <w:ind w:left="151" w:right="2788" w:firstLine="397"/>
        <w:jc w:val="both"/>
        <w:rPr>
          <w:sz w:val="15"/>
        </w:rPr>
      </w:pPr>
      <w:r>
        <w:rPr>
          <w:sz w:val="15"/>
        </w:rPr>
        <w:t>Por colocar pendones en árboles, postes y demás mobiliario urbano ubicado sobre la vía pública,</w:t>
      </w:r>
      <w:r>
        <w:rPr>
          <w:spacing w:val="8"/>
          <w:sz w:val="15"/>
        </w:rPr>
        <w:t> </w:t>
      </w:r>
      <w:r>
        <w:rPr>
          <w:sz w:val="15"/>
        </w:rPr>
        <w:t>de:</w:t>
      </w:r>
    </w:p>
    <w:p>
      <w:pPr>
        <w:pStyle w:val="BodyText"/>
        <w:spacing w:line="171" w:lineRule="exact"/>
        <w:ind w:left="2136"/>
        <w:jc w:val="both"/>
      </w:pPr>
      <w:r>
        <w:rPr/>
        <w:t>735 a 2291 unidades de medida y actualización;</w:t>
      </w:r>
    </w:p>
    <w:p>
      <w:pPr>
        <w:pStyle w:val="BodyText"/>
        <w:spacing w:before="7"/>
        <w:rPr>
          <w:sz w:val="22"/>
        </w:rPr>
      </w:pPr>
    </w:p>
    <w:p>
      <w:pPr>
        <w:pStyle w:val="ListParagraph"/>
        <w:numPr>
          <w:ilvl w:val="0"/>
          <w:numId w:val="269"/>
        </w:numPr>
        <w:tabs>
          <w:tab w:pos="787" w:val="left" w:leader="none"/>
        </w:tabs>
        <w:spacing w:line="247" w:lineRule="auto" w:before="1" w:after="0"/>
        <w:ind w:left="151" w:right="2787" w:firstLine="397"/>
        <w:jc w:val="both"/>
        <w:rPr>
          <w:sz w:val="15"/>
        </w:rPr>
      </w:pPr>
      <w:r>
        <w:rPr>
          <w:sz w:val="15"/>
        </w:rPr>
        <w:t>Por obstruir los canales pluviales, ya sean públicos o privados, que ayudan a impedir las inundaciones en las vialidades municipales,</w:t>
      </w:r>
      <w:r>
        <w:rPr>
          <w:spacing w:val="7"/>
          <w:sz w:val="15"/>
        </w:rPr>
        <w:t> </w:t>
      </w:r>
      <w:r>
        <w:rPr>
          <w:sz w:val="15"/>
        </w:rPr>
        <w:t>de:</w:t>
      </w:r>
    </w:p>
    <w:p>
      <w:pPr>
        <w:pStyle w:val="BodyText"/>
        <w:spacing w:line="172" w:lineRule="exact"/>
        <w:ind w:left="2134"/>
        <w:jc w:val="both"/>
      </w:pPr>
      <w:r>
        <w:rPr/>
        <w:t>15 a 7553 unidades de medida y actualización;</w:t>
      </w:r>
    </w:p>
    <w:p>
      <w:pPr>
        <w:pStyle w:val="BodyText"/>
        <w:spacing w:before="7"/>
        <w:rPr>
          <w:sz w:val="22"/>
        </w:rPr>
      </w:pPr>
    </w:p>
    <w:p>
      <w:pPr>
        <w:pStyle w:val="ListParagraph"/>
        <w:numPr>
          <w:ilvl w:val="0"/>
          <w:numId w:val="269"/>
        </w:numPr>
        <w:tabs>
          <w:tab w:pos="870" w:val="left" w:leader="none"/>
        </w:tabs>
        <w:spacing w:line="247" w:lineRule="auto" w:before="0" w:after="0"/>
        <w:ind w:left="151" w:right="2787" w:firstLine="397"/>
        <w:jc w:val="both"/>
        <w:rPr>
          <w:sz w:val="15"/>
        </w:rPr>
      </w:pPr>
      <w:r>
        <w:rPr>
          <w:sz w:val="15"/>
        </w:rPr>
        <w:t>Reducción de la capacidad de los canales pluviales, ya sean públicos o privados, que ayudan a impedir las inundaciones en las vialidades municipales, de:</w:t>
      </w:r>
    </w:p>
    <w:p>
      <w:pPr>
        <w:pStyle w:val="BodyText"/>
        <w:spacing w:line="170" w:lineRule="exact"/>
        <w:ind w:left="2222"/>
        <w:jc w:val="both"/>
      </w:pPr>
      <w:r>
        <w:rPr/>
        <w:t>15 a 7553 unidades de medida y actualización;</w:t>
      </w:r>
    </w:p>
    <w:p>
      <w:pPr>
        <w:pStyle w:val="BodyText"/>
        <w:spacing w:before="7"/>
        <w:rPr>
          <w:sz w:val="22"/>
        </w:rPr>
      </w:pPr>
    </w:p>
    <w:p>
      <w:pPr>
        <w:pStyle w:val="BodyText"/>
        <w:spacing w:line="247" w:lineRule="auto"/>
        <w:ind w:left="151" w:right="2660" w:firstLine="79"/>
      </w:pPr>
      <w:r>
        <w:rPr>
          <w:b/>
        </w:rPr>
        <w:t>Artículo 157.- </w:t>
      </w:r>
      <w:r>
        <w:rPr/>
        <w:t>Las violaciones al Bando de Policía y Gobierno, serán sancionadas de conformidad a lo siguiente:</w:t>
      </w:r>
    </w:p>
    <w:p>
      <w:pPr>
        <w:pStyle w:val="BodyText"/>
        <w:spacing w:before="4"/>
      </w:pPr>
    </w:p>
    <w:p>
      <w:pPr>
        <w:pStyle w:val="ListParagraph"/>
        <w:numPr>
          <w:ilvl w:val="0"/>
          <w:numId w:val="270"/>
        </w:numPr>
        <w:tabs>
          <w:tab w:pos="310" w:val="left" w:leader="none"/>
        </w:tabs>
        <w:spacing w:line="247" w:lineRule="auto" w:before="0" w:after="0"/>
        <w:ind w:left="151" w:right="2787" w:firstLine="0"/>
        <w:jc w:val="both"/>
        <w:rPr>
          <w:sz w:val="15"/>
        </w:rPr>
      </w:pPr>
      <w:r>
        <w:rPr>
          <w:sz w:val="15"/>
        </w:rPr>
        <w:t>Son faltas contra la seguridad y tranquilidad de las personas, por cuya comisión se aplicará una multa por el equivalente</w:t>
      </w:r>
      <w:r>
        <w:rPr>
          <w:spacing w:val="18"/>
          <w:sz w:val="15"/>
        </w:rPr>
        <w:t> </w:t>
      </w:r>
      <w:r>
        <w:rPr>
          <w:sz w:val="15"/>
        </w:rPr>
        <w:t>de:</w:t>
      </w:r>
    </w:p>
    <w:p>
      <w:pPr>
        <w:pStyle w:val="BodyText"/>
        <w:spacing w:line="171" w:lineRule="exact"/>
        <w:ind w:left="1308"/>
      </w:pPr>
      <w:r>
        <w:rPr/>
        <w:t>11 a 100Unidades de Medida y Actualización, las siguientes:</w:t>
      </w:r>
    </w:p>
    <w:p>
      <w:pPr>
        <w:pStyle w:val="BodyText"/>
        <w:spacing w:before="9"/>
      </w:pPr>
    </w:p>
    <w:p>
      <w:pPr>
        <w:pStyle w:val="ListParagraph"/>
        <w:numPr>
          <w:ilvl w:val="0"/>
          <w:numId w:val="271"/>
        </w:numPr>
        <w:tabs>
          <w:tab w:pos="647" w:val="left" w:leader="none"/>
        </w:tabs>
        <w:spacing w:line="247" w:lineRule="auto" w:before="0" w:after="0"/>
        <w:ind w:left="151" w:right="2788" w:firstLine="0"/>
        <w:jc w:val="both"/>
        <w:rPr>
          <w:sz w:val="15"/>
        </w:rPr>
      </w:pPr>
      <w:r>
        <w:rPr>
          <w:spacing w:val="-4"/>
          <w:sz w:val="15"/>
        </w:rPr>
        <w:t>Tener </w:t>
      </w:r>
      <w:r>
        <w:rPr>
          <w:sz w:val="15"/>
        </w:rPr>
        <w:t>animales fieros, bravíos o ganado en el medio urbano, de tal modo</w:t>
      </w:r>
      <w:r>
        <w:rPr>
          <w:spacing w:val="7"/>
          <w:sz w:val="15"/>
        </w:rPr>
        <w:t> </w:t>
      </w:r>
      <w:r>
        <w:rPr>
          <w:sz w:val="15"/>
        </w:rPr>
        <w:t>que</w:t>
      </w:r>
      <w:r>
        <w:rPr>
          <w:spacing w:val="7"/>
          <w:sz w:val="15"/>
        </w:rPr>
        <w:t> </w:t>
      </w:r>
      <w:r>
        <w:rPr>
          <w:sz w:val="15"/>
        </w:rPr>
        <w:t>signifique</w:t>
      </w:r>
      <w:r>
        <w:rPr>
          <w:spacing w:val="7"/>
          <w:sz w:val="15"/>
        </w:rPr>
        <w:t> </w:t>
      </w:r>
      <w:r>
        <w:rPr>
          <w:sz w:val="15"/>
        </w:rPr>
        <w:t>potenciales</w:t>
      </w:r>
      <w:r>
        <w:rPr>
          <w:spacing w:val="7"/>
          <w:sz w:val="15"/>
        </w:rPr>
        <w:t> </w:t>
      </w:r>
      <w:r>
        <w:rPr>
          <w:sz w:val="15"/>
        </w:rPr>
        <w:t>peligros</w:t>
      </w:r>
      <w:r>
        <w:rPr>
          <w:spacing w:val="8"/>
          <w:sz w:val="15"/>
        </w:rPr>
        <w:t> </w:t>
      </w:r>
      <w:r>
        <w:rPr>
          <w:sz w:val="15"/>
        </w:rPr>
        <w:t>para</w:t>
      </w:r>
      <w:r>
        <w:rPr>
          <w:spacing w:val="7"/>
          <w:sz w:val="15"/>
        </w:rPr>
        <w:t> </w:t>
      </w:r>
      <w:r>
        <w:rPr>
          <w:sz w:val="15"/>
        </w:rPr>
        <w:t>los</w:t>
      </w:r>
      <w:r>
        <w:rPr>
          <w:spacing w:val="7"/>
          <w:sz w:val="15"/>
        </w:rPr>
        <w:t> </w:t>
      </w:r>
      <w:r>
        <w:rPr>
          <w:sz w:val="15"/>
        </w:rPr>
        <w:t>vecinos</w:t>
      </w:r>
      <w:r>
        <w:rPr>
          <w:spacing w:val="7"/>
          <w:sz w:val="15"/>
        </w:rPr>
        <w:t> </w:t>
      </w:r>
      <w:r>
        <w:rPr>
          <w:sz w:val="15"/>
        </w:rPr>
        <w:t>o</w:t>
      </w:r>
      <w:r>
        <w:rPr>
          <w:spacing w:val="8"/>
          <w:sz w:val="15"/>
        </w:rPr>
        <w:t> </w:t>
      </w:r>
      <w:r>
        <w:rPr>
          <w:sz w:val="15"/>
        </w:rPr>
        <w:t>transeúntes;</w:t>
      </w:r>
    </w:p>
    <w:p>
      <w:pPr>
        <w:pStyle w:val="ListParagraph"/>
        <w:numPr>
          <w:ilvl w:val="0"/>
          <w:numId w:val="271"/>
        </w:numPr>
        <w:tabs>
          <w:tab w:pos="647" w:val="left" w:leader="none"/>
        </w:tabs>
        <w:spacing w:line="244" w:lineRule="auto" w:before="0" w:after="0"/>
        <w:ind w:left="151" w:right="2788" w:firstLine="0"/>
        <w:jc w:val="both"/>
        <w:rPr>
          <w:sz w:val="15"/>
        </w:rPr>
      </w:pPr>
      <w:r>
        <w:rPr>
          <w:sz w:val="15"/>
        </w:rPr>
        <w:t>Ocupar con objetos, o celebrando fiestas o reuniones, sin la autorización correspondiente, los lugares de uso o tránsito común tales como calles,</w:t>
      </w:r>
      <w:r>
        <w:rPr>
          <w:spacing w:val="22"/>
          <w:sz w:val="15"/>
        </w:rPr>
        <w:t> </w:t>
      </w:r>
      <w:r>
        <w:rPr>
          <w:sz w:val="15"/>
        </w:rPr>
        <w:t>banquetas,</w:t>
      </w:r>
      <w:r>
        <w:rPr>
          <w:spacing w:val="23"/>
          <w:sz w:val="15"/>
        </w:rPr>
        <w:t> </w:t>
      </w:r>
      <w:r>
        <w:rPr>
          <w:sz w:val="15"/>
        </w:rPr>
        <w:t>explanadas,</w:t>
      </w:r>
      <w:r>
        <w:rPr>
          <w:spacing w:val="23"/>
          <w:sz w:val="15"/>
        </w:rPr>
        <w:t> </w:t>
      </w:r>
      <w:r>
        <w:rPr>
          <w:sz w:val="15"/>
        </w:rPr>
        <w:t>plazas</w:t>
      </w:r>
      <w:r>
        <w:rPr>
          <w:spacing w:val="23"/>
          <w:sz w:val="15"/>
        </w:rPr>
        <w:t> </w:t>
      </w:r>
      <w:r>
        <w:rPr>
          <w:sz w:val="15"/>
        </w:rPr>
        <w:t>o</w:t>
      </w:r>
      <w:r>
        <w:rPr>
          <w:spacing w:val="24"/>
          <w:sz w:val="15"/>
        </w:rPr>
        <w:t> </w:t>
      </w:r>
      <w:r>
        <w:rPr>
          <w:sz w:val="15"/>
        </w:rPr>
        <w:t>similares,</w:t>
      </w:r>
      <w:r>
        <w:rPr>
          <w:spacing w:val="23"/>
          <w:sz w:val="15"/>
        </w:rPr>
        <w:t> </w:t>
      </w:r>
      <w:r>
        <w:rPr>
          <w:sz w:val="15"/>
        </w:rPr>
        <w:t>afectando</w:t>
      </w:r>
      <w:r>
        <w:rPr>
          <w:spacing w:val="23"/>
          <w:sz w:val="15"/>
        </w:rPr>
        <w:t> </w:t>
      </w:r>
      <w:r>
        <w:rPr>
          <w:sz w:val="15"/>
        </w:rPr>
        <w:t>el</w:t>
      </w:r>
      <w:r>
        <w:rPr>
          <w:spacing w:val="27"/>
          <w:sz w:val="15"/>
        </w:rPr>
        <w:t> </w:t>
      </w:r>
      <w:r>
        <w:rPr>
          <w:sz w:val="15"/>
        </w:rPr>
        <w:t>libre</w:t>
      </w:r>
      <w:r>
        <w:rPr>
          <w:spacing w:val="22"/>
          <w:sz w:val="15"/>
        </w:rPr>
        <w:t> </w:t>
      </w:r>
      <w:r>
        <w:rPr>
          <w:sz w:val="15"/>
        </w:rPr>
        <w:t>tránsito</w:t>
      </w:r>
    </w:p>
    <w:p>
      <w:pPr>
        <w:spacing w:after="0" w:line="244" w:lineRule="auto"/>
        <w:jc w:val="both"/>
        <w:rPr>
          <w:sz w:val="15"/>
        </w:rPr>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37"/>
          <w:pgSz w:w="23250" w:h="15310" w:orient="landscape"/>
          <w:pgMar w:header="881" w:footer="499" w:top="1920" w:bottom="680" w:left="1880" w:right="1520"/>
        </w:sectPr>
      </w:pPr>
    </w:p>
    <w:p>
      <w:pPr>
        <w:pStyle w:val="BodyText"/>
        <w:spacing w:before="10"/>
        <w:rPr>
          <w:sz w:val="19"/>
        </w:rPr>
      </w:pPr>
    </w:p>
    <w:p>
      <w:pPr>
        <w:pStyle w:val="BodyText"/>
        <w:ind w:left="151"/>
        <w:jc w:val="both"/>
      </w:pPr>
      <w:r>
        <w:rPr/>
        <w:t>de personas o vehículos, causando molestias;</w:t>
      </w:r>
    </w:p>
    <w:p>
      <w:pPr>
        <w:pStyle w:val="ListParagraph"/>
        <w:numPr>
          <w:ilvl w:val="0"/>
          <w:numId w:val="271"/>
        </w:numPr>
        <w:tabs>
          <w:tab w:pos="647" w:val="left" w:leader="none"/>
        </w:tabs>
        <w:spacing w:line="247" w:lineRule="auto" w:before="5" w:after="0"/>
        <w:ind w:left="151" w:right="38" w:firstLine="0"/>
        <w:jc w:val="both"/>
        <w:rPr>
          <w:sz w:val="15"/>
        </w:rPr>
      </w:pPr>
      <w:r>
        <w:rPr>
          <w:sz w:val="15"/>
        </w:rPr>
        <w:t>Ejercer en la vía o lugar público prohibido, el comercio ambulante, prestar servicios o realizar cualquier actividad lucrativa, sin contar  con  licencia, permiso o autorización para ello, o bien llevarlo a cabo obstruyendo   el tránsito peatonal o</w:t>
      </w:r>
      <w:r>
        <w:rPr>
          <w:spacing w:val="6"/>
          <w:sz w:val="15"/>
        </w:rPr>
        <w:t> </w:t>
      </w:r>
      <w:r>
        <w:rPr>
          <w:sz w:val="15"/>
        </w:rPr>
        <w:t>vehicular;</w:t>
      </w:r>
    </w:p>
    <w:p>
      <w:pPr>
        <w:pStyle w:val="ListParagraph"/>
        <w:numPr>
          <w:ilvl w:val="0"/>
          <w:numId w:val="271"/>
        </w:numPr>
        <w:tabs>
          <w:tab w:pos="647" w:val="left" w:leader="none"/>
        </w:tabs>
        <w:spacing w:line="170" w:lineRule="exact" w:before="0" w:after="0"/>
        <w:ind w:left="646" w:right="0" w:hanging="496"/>
        <w:jc w:val="both"/>
        <w:rPr>
          <w:sz w:val="15"/>
        </w:rPr>
      </w:pPr>
      <w:r>
        <w:rPr>
          <w:sz w:val="15"/>
        </w:rPr>
        <w:t>Obstaculizar</w:t>
      </w:r>
      <w:r>
        <w:rPr>
          <w:spacing w:val="11"/>
          <w:sz w:val="15"/>
        </w:rPr>
        <w:t> </w:t>
      </w:r>
      <w:r>
        <w:rPr>
          <w:sz w:val="15"/>
        </w:rPr>
        <w:t>las</w:t>
      </w:r>
      <w:r>
        <w:rPr>
          <w:spacing w:val="12"/>
          <w:sz w:val="15"/>
        </w:rPr>
        <w:t> </w:t>
      </w:r>
      <w:r>
        <w:rPr>
          <w:sz w:val="15"/>
        </w:rPr>
        <w:t>labores</w:t>
      </w:r>
      <w:r>
        <w:rPr>
          <w:spacing w:val="12"/>
          <w:sz w:val="15"/>
        </w:rPr>
        <w:t> </w:t>
      </w:r>
      <w:r>
        <w:rPr>
          <w:sz w:val="15"/>
        </w:rPr>
        <w:t>de</w:t>
      </w:r>
      <w:r>
        <w:rPr>
          <w:spacing w:val="12"/>
          <w:sz w:val="15"/>
        </w:rPr>
        <w:t> </w:t>
      </w:r>
      <w:r>
        <w:rPr>
          <w:sz w:val="15"/>
        </w:rPr>
        <w:t>los</w:t>
      </w:r>
      <w:r>
        <w:rPr>
          <w:spacing w:val="13"/>
          <w:sz w:val="15"/>
        </w:rPr>
        <w:t> </w:t>
      </w:r>
      <w:r>
        <w:rPr>
          <w:sz w:val="15"/>
        </w:rPr>
        <w:t>servicios</w:t>
      </w:r>
      <w:r>
        <w:rPr>
          <w:spacing w:val="13"/>
          <w:sz w:val="15"/>
        </w:rPr>
        <w:t> </w:t>
      </w:r>
      <w:r>
        <w:rPr>
          <w:sz w:val="15"/>
        </w:rPr>
        <w:t>de</w:t>
      </w:r>
      <w:r>
        <w:rPr>
          <w:spacing w:val="12"/>
          <w:sz w:val="15"/>
        </w:rPr>
        <w:t> </w:t>
      </w:r>
      <w:r>
        <w:rPr>
          <w:sz w:val="15"/>
        </w:rPr>
        <w:t>emergencia;</w:t>
      </w:r>
    </w:p>
    <w:p>
      <w:pPr>
        <w:pStyle w:val="ListParagraph"/>
        <w:numPr>
          <w:ilvl w:val="0"/>
          <w:numId w:val="271"/>
        </w:numPr>
        <w:tabs>
          <w:tab w:pos="647" w:val="left" w:leader="none"/>
        </w:tabs>
        <w:spacing w:line="247" w:lineRule="auto" w:before="4" w:after="0"/>
        <w:ind w:left="151" w:right="38" w:firstLine="0"/>
        <w:jc w:val="both"/>
        <w:rPr>
          <w:sz w:val="15"/>
        </w:rPr>
      </w:pPr>
      <w:r>
        <w:rPr>
          <w:sz w:val="15"/>
        </w:rPr>
        <w:t>Utilizar o apartar los espacios destinados para estacionamiento en la vía</w:t>
      </w:r>
      <w:r>
        <w:rPr>
          <w:spacing w:val="10"/>
          <w:sz w:val="15"/>
        </w:rPr>
        <w:t> </w:t>
      </w:r>
      <w:r>
        <w:rPr>
          <w:sz w:val="15"/>
        </w:rPr>
        <w:t>pública</w:t>
      </w:r>
      <w:r>
        <w:rPr>
          <w:spacing w:val="9"/>
          <w:sz w:val="15"/>
        </w:rPr>
        <w:t> </w:t>
      </w:r>
      <w:r>
        <w:rPr>
          <w:sz w:val="15"/>
        </w:rPr>
        <w:t>o</w:t>
      </w:r>
      <w:r>
        <w:rPr>
          <w:spacing w:val="10"/>
          <w:sz w:val="15"/>
        </w:rPr>
        <w:t> </w:t>
      </w:r>
      <w:r>
        <w:rPr>
          <w:sz w:val="15"/>
        </w:rPr>
        <w:t>de</w:t>
      </w:r>
      <w:r>
        <w:rPr>
          <w:spacing w:val="10"/>
          <w:sz w:val="15"/>
        </w:rPr>
        <w:t> </w:t>
      </w:r>
      <w:r>
        <w:rPr>
          <w:sz w:val="15"/>
        </w:rPr>
        <w:t>uso</w:t>
      </w:r>
      <w:r>
        <w:rPr>
          <w:spacing w:val="10"/>
          <w:sz w:val="15"/>
        </w:rPr>
        <w:t> </w:t>
      </w:r>
      <w:r>
        <w:rPr>
          <w:sz w:val="15"/>
        </w:rPr>
        <w:t>exclusivo</w:t>
      </w:r>
      <w:r>
        <w:rPr>
          <w:spacing w:val="10"/>
          <w:sz w:val="15"/>
        </w:rPr>
        <w:t> </w:t>
      </w:r>
      <w:r>
        <w:rPr>
          <w:sz w:val="15"/>
        </w:rPr>
        <w:t>sin</w:t>
      </w:r>
      <w:r>
        <w:rPr>
          <w:spacing w:val="9"/>
          <w:sz w:val="15"/>
        </w:rPr>
        <w:t> </w:t>
      </w:r>
      <w:r>
        <w:rPr>
          <w:sz w:val="15"/>
        </w:rPr>
        <w:t>la</w:t>
      </w:r>
      <w:r>
        <w:rPr>
          <w:spacing w:val="11"/>
          <w:sz w:val="15"/>
        </w:rPr>
        <w:t> </w:t>
      </w:r>
      <w:r>
        <w:rPr>
          <w:sz w:val="15"/>
        </w:rPr>
        <w:t>autorización</w:t>
      </w:r>
      <w:r>
        <w:rPr>
          <w:spacing w:val="10"/>
          <w:sz w:val="15"/>
        </w:rPr>
        <w:t> </w:t>
      </w:r>
      <w:r>
        <w:rPr>
          <w:sz w:val="15"/>
        </w:rPr>
        <w:t>o</w:t>
      </w:r>
      <w:r>
        <w:rPr>
          <w:spacing w:val="10"/>
          <w:sz w:val="15"/>
        </w:rPr>
        <w:t> </w:t>
      </w:r>
      <w:r>
        <w:rPr>
          <w:sz w:val="15"/>
        </w:rPr>
        <w:t>permiso</w:t>
      </w:r>
      <w:r>
        <w:rPr>
          <w:spacing w:val="10"/>
          <w:sz w:val="15"/>
        </w:rPr>
        <w:t> </w:t>
      </w:r>
      <w:r>
        <w:rPr>
          <w:sz w:val="15"/>
        </w:rPr>
        <w:t>correspondiente;</w:t>
      </w:r>
    </w:p>
    <w:p>
      <w:pPr>
        <w:pStyle w:val="ListParagraph"/>
        <w:numPr>
          <w:ilvl w:val="0"/>
          <w:numId w:val="271"/>
        </w:numPr>
        <w:tabs>
          <w:tab w:pos="647" w:val="left" w:leader="none"/>
        </w:tabs>
        <w:spacing w:line="244" w:lineRule="auto" w:before="0" w:after="0"/>
        <w:ind w:left="151" w:right="39" w:firstLine="0"/>
        <w:jc w:val="both"/>
        <w:rPr>
          <w:sz w:val="15"/>
        </w:rPr>
      </w:pPr>
      <w:r>
        <w:rPr>
          <w:sz w:val="15"/>
        </w:rPr>
        <w:t>Usar silbato, sirenas, códigos, torretas o cualquier otro medio de los acostumbrados por la policía, bomberos, ambulancias y vehículos de seguridad privada para identificarse, sin tener autorización para</w:t>
      </w:r>
      <w:r>
        <w:rPr>
          <w:spacing w:val="2"/>
          <w:sz w:val="15"/>
        </w:rPr>
        <w:t> </w:t>
      </w:r>
      <w:r>
        <w:rPr>
          <w:sz w:val="15"/>
        </w:rPr>
        <w:t>ellos;</w:t>
      </w:r>
    </w:p>
    <w:p>
      <w:pPr>
        <w:pStyle w:val="ListParagraph"/>
        <w:numPr>
          <w:ilvl w:val="0"/>
          <w:numId w:val="271"/>
        </w:numPr>
        <w:tabs>
          <w:tab w:pos="647" w:val="left" w:leader="none"/>
        </w:tabs>
        <w:spacing w:line="247" w:lineRule="auto" w:before="3" w:after="0"/>
        <w:ind w:left="151" w:right="38" w:firstLine="0"/>
        <w:jc w:val="both"/>
        <w:rPr>
          <w:sz w:val="15"/>
        </w:rPr>
      </w:pPr>
      <w:r>
        <w:rPr>
          <w:sz w:val="15"/>
        </w:rPr>
        <w:t>Permitir o realizar, el conductor de un vehículo de trasporte público de pasajeros, la realización de alguna conducta antisocial o  molestias  al  usuario, al interior de la unidad;</w:t>
      </w:r>
      <w:r>
        <w:rPr>
          <w:spacing w:val="7"/>
          <w:sz w:val="15"/>
        </w:rPr>
        <w:t> </w:t>
      </w:r>
      <w:r>
        <w:rPr>
          <w:sz w:val="15"/>
        </w:rPr>
        <w:t>y</w:t>
      </w:r>
    </w:p>
    <w:p>
      <w:pPr>
        <w:pStyle w:val="ListParagraph"/>
        <w:numPr>
          <w:ilvl w:val="0"/>
          <w:numId w:val="271"/>
        </w:numPr>
        <w:tabs>
          <w:tab w:pos="647" w:val="left" w:leader="none"/>
        </w:tabs>
        <w:spacing w:line="247" w:lineRule="auto" w:before="0" w:after="0"/>
        <w:ind w:left="151" w:right="39" w:firstLine="0"/>
        <w:jc w:val="both"/>
        <w:rPr>
          <w:sz w:val="15"/>
        </w:rPr>
      </w:pPr>
      <w:r>
        <w:rPr>
          <w:sz w:val="15"/>
        </w:rPr>
        <w:t>Ingerir bebidas alcohólicas en el interior de un vehículo de servicios público de transporte en vía</w:t>
      </w:r>
      <w:r>
        <w:rPr>
          <w:spacing w:val="7"/>
          <w:sz w:val="15"/>
        </w:rPr>
        <w:t> </w:t>
      </w:r>
      <w:r>
        <w:rPr>
          <w:sz w:val="15"/>
        </w:rPr>
        <w:t>pública.</w:t>
      </w:r>
    </w:p>
    <w:p>
      <w:pPr>
        <w:pStyle w:val="BodyText"/>
        <w:spacing w:before="1"/>
      </w:pPr>
    </w:p>
    <w:p>
      <w:pPr>
        <w:pStyle w:val="ListParagraph"/>
        <w:numPr>
          <w:ilvl w:val="0"/>
          <w:numId w:val="270"/>
        </w:numPr>
        <w:tabs>
          <w:tab w:pos="349" w:val="left" w:leader="none"/>
        </w:tabs>
        <w:spacing w:line="247" w:lineRule="auto" w:before="0" w:after="0"/>
        <w:ind w:left="151" w:right="38" w:firstLine="0"/>
        <w:jc w:val="both"/>
        <w:rPr>
          <w:sz w:val="15"/>
        </w:rPr>
      </w:pPr>
      <w:r>
        <w:rPr>
          <w:sz w:val="15"/>
        </w:rPr>
        <w:t>Son faltas contra la seguridad y tranquilidad de las personas, por cuya comisión se aplicará una multa por el equivalente de 5 a 20 Unidades de Medida y</w:t>
      </w:r>
      <w:r>
        <w:rPr>
          <w:spacing w:val="-7"/>
          <w:sz w:val="15"/>
        </w:rPr>
        <w:t> </w:t>
      </w:r>
      <w:r>
        <w:rPr>
          <w:sz w:val="15"/>
        </w:rPr>
        <w:t>Actualización:</w:t>
      </w:r>
    </w:p>
    <w:p>
      <w:pPr>
        <w:pStyle w:val="BodyText"/>
        <w:spacing w:before="3"/>
      </w:pPr>
    </w:p>
    <w:p>
      <w:pPr>
        <w:pStyle w:val="BodyText"/>
        <w:spacing w:line="247" w:lineRule="auto"/>
        <w:ind w:left="151" w:right="39"/>
        <w:jc w:val="both"/>
      </w:pPr>
      <w:r>
        <w:rPr/>
        <w:t>Cuando, sin autorización para hacerlo, una persona invada la cancha de la Unidad Deportiva o Centro de Espectáculos Publico durante el desarrollo de  un espectáculo público o juego</w:t>
      </w:r>
      <w:r>
        <w:rPr>
          <w:spacing w:val="7"/>
        </w:rPr>
        <w:t> </w:t>
      </w:r>
      <w:r>
        <w:rPr/>
        <w:t>deportivo.</w:t>
      </w:r>
    </w:p>
    <w:p>
      <w:pPr>
        <w:pStyle w:val="BodyText"/>
        <w:spacing w:before="3"/>
      </w:pPr>
    </w:p>
    <w:p>
      <w:pPr>
        <w:pStyle w:val="BodyText"/>
        <w:spacing w:line="247" w:lineRule="auto"/>
        <w:ind w:left="151" w:right="39"/>
        <w:jc w:val="both"/>
      </w:pPr>
      <w:r>
        <w:rPr/>
        <w:t>Lo anterior no se aplicará cuando la irrupción sea motivada por búsqueda de refugio o razones de seguridad.</w:t>
      </w:r>
    </w:p>
    <w:p>
      <w:pPr>
        <w:pStyle w:val="BodyText"/>
        <w:spacing w:before="3"/>
      </w:pPr>
    </w:p>
    <w:p>
      <w:pPr>
        <w:pStyle w:val="ListParagraph"/>
        <w:numPr>
          <w:ilvl w:val="0"/>
          <w:numId w:val="270"/>
        </w:numPr>
        <w:tabs>
          <w:tab w:pos="388" w:val="left" w:leader="none"/>
        </w:tabs>
        <w:spacing w:line="247" w:lineRule="auto" w:before="0" w:after="0"/>
        <w:ind w:left="151" w:right="38" w:firstLine="0"/>
        <w:jc w:val="both"/>
        <w:rPr>
          <w:sz w:val="15"/>
        </w:rPr>
      </w:pPr>
      <w:r>
        <w:rPr>
          <w:sz w:val="15"/>
        </w:rPr>
        <w:t>Son faltas contra la seguridad y tranquilidad de las personas, por cuya comisión se aplicará una multa por el equivalente de 5 a 35 Unidades </w:t>
      </w:r>
      <w:r>
        <w:rPr>
          <w:spacing w:val="-6"/>
          <w:sz w:val="15"/>
        </w:rPr>
        <w:t>de </w:t>
      </w:r>
      <w:r>
        <w:rPr>
          <w:sz w:val="15"/>
        </w:rPr>
        <w:t>Medida y Actualización, las</w:t>
      </w:r>
      <w:r>
        <w:rPr>
          <w:spacing w:val="-2"/>
          <w:sz w:val="15"/>
        </w:rPr>
        <w:t> </w:t>
      </w:r>
      <w:r>
        <w:rPr>
          <w:sz w:val="15"/>
        </w:rPr>
        <w:t>siguientes:</w:t>
      </w:r>
    </w:p>
    <w:p>
      <w:pPr>
        <w:pStyle w:val="BodyText"/>
        <w:spacing w:before="3"/>
      </w:pPr>
    </w:p>
    <w:p>
      <w:pPr>
        <w:pStyle w:val="ListParagraph"/>
        <w:numPr>
          <w:ilvl w:val="0"/>
          <w:numId w:val="272"/>
        </w:numPr>
        <w:tabs>
          <w:tab w:pos="647" w:val="left" w:leader="none"/>
        </w:tabs>
        <w:spacing w:line="247" w:lineRule="auto" w:before="0" w:after="0"/>
        <w:ind w:left="151" w:right="38" w:firstLine="0"/>
        <w:jc w:val="both"/>
        <w:rPr>
          <w:sz w:val="15"/>
        </w:rPr>
      </w:pPr>
      <w:r>
        <w:rPr>
          <w:sz w:val="15"/>
        </w:rPr>
        <w:t>Portar o utilizar en lugar público armas cortantes, punzantes, punzocortantes, manoplas, cadenas, macanas, hondas, pesas,  puntas, chacos o cualquier artículo similar a estas, aparatos explosivos, de gases asfixiantes o tóxicos, u otros semejantes que puedan emplearse  para agredir  y puedan causar daño, lesiones o molestias a las personas o propiedades,   sin tener autorización para llevarlas consigo, excepto tratándose de instrumentos propios para el desempeño del trabajo, deporte u oficio del portador, o de uso</w:t>
      </w:r>
      <w:r>
        <w:rPr>
          <w:spacing w:val="5"/>
          <w:sz w:val="15"/>
        </w:rPr>
        <w:t> </w:t>
      </w:r>
      <w:r>
        <w:rPr>
          <w:sz w:val="15"/>
        </w:rPr>
        <w:t>decorativo;</w:t>
      </w:r>
    </w:p>
    <w:p>
      <w:pPr>
        <w:pStyle w:val="ListParagraph"/>
        <w:numPr>
          <w:ilvl w:val="0"/>
          <w:numId w:val="272"/>
        </w:numPr>
        <w:tabs>
          <w:tab w:pos="647" w:val="left" w:leader="none"/>
        </w:tabs>
        <w:spacing w:line="247" w:lineRule="auto" w:before="0" w:after="0"/>
        <w:ind w:left="151" w:right="38" w:firstLine="0"/>
        <w:jc w:val="both"/>
        <w:rPr>
          <w:sz w:val="15"/>
        </w:rPr>
      </w:pPr>
      <w:r>
        <w:rPr>
          <w:sz w:val="15"/>
        </w:rPr>
        <w:t>Molestar en cualquier forma o causar daños a las personas o propine un golpe que no cause lesión en lugares públicos o</w:t>
      </w:r>
      <w:r>
        <w:rPr>
          <w:spacing w:val="34"/>
          <w:sz w:val="15"/>
        </w:rPr>
        <w:t> </w:t>
      </w:r>
      <w:r>
        <w:rPr>
          <w:sz w:val="15"/>
        </w:rPr>
        <w:t>privados;</w:t>
      </w:r>
    </w:p>
    <w:p>
      <w:pPr>
        <w:pStyle w:val="ListParagraph"/>
        <w:numPr>
          <w:ilvl w:val="0"/>
          <w:numId w:val="272"/>
        </w:numPr>
        <w:tabs>
          <w:tab w:pos="647" w:val="left" w:leader="none"/>
        </w:tabs>
        <w:spacing w:line="244" w:lineRule="auto" w:before="0" w:after="0"/>
        <w:ind w:left="151" w:right="39" w:firstLine="0"/>
        <w:jc w:val="both"/>
        <w:rPr>
          <w:sz w:val="15"/>
        </w:rPr>
      </w:pPr>
      <w:r>
        <w:rPr>
          <w:sz w:val="15"/>
        </w:rPr>
        <w:t>Penetrar o intentar hacerlo, sin autorización, a un espectáculo o diversión</w:t>
      </w:r>
      <w:r>
        <w:rPr>
          <w:spacing w:val="1"/>
          <w:sz w:val="15"/>
        </w:rPr>
        <w:t> </w:t>
      </w:r>
      <w:r>
        <w:rPr>
          <w:sz w:val="15"/>
        </w:rPr>
        <w:t>pública;</w:t>
      </w:r>
    </w:p>
    <w:p>
      <w:pPr>
        <w:pStyle w:val="ListParagraph"/>
        <w:numPr>
          <w:ilvl w:val="0"/>
          <w:numId w:val="272"/>
        </w:numPr>
        <w:tabs>
          <w:tab w:pos="647" w:val="left" w:leader="none"/>
        </w:tabs>
        <w:spacing w:line="247" w:lineRule="auto" w:before="0" w:after="0"/>
        <w:ind w:left="151" w:right="39" w:firstLine="0"/>
        <w:jc w:val="both"/>
        <w:rPr>
          <w:sz w:val="15"/>
        </w:rPr>
      </w:pPr>
      <w:r>
        <w:rPr>
          <w:sz w:val="15"/>
        </w:rPr>
        <w:t>Detonar cohetes o cualquier otro juego pirotécnico sin la autorización municipal correspondiente, hacer fogatas o utilizar combustibles o materiales inflamables en lugar</w:t>
      </w:r>
      <w:r>
        <w:rPr>
          <w:spacing w:val="3"/>
          <w:sz w:val="15"/>
        </w:rPr>
        <w:t> </w:t>
      </w:r>
      <w:r>
        <w:rPr>
          <w:sz w:val="15"/>
        </w:rPr>
        <w:t>público;</w:t>
      </w:r>
    </w:p>
    <w:p>
      <w:pPr>
        <w:pStyle w:val="ListParagraph"/>
        <w:numPr>
          <w:ilvl w:val="0"/>
          <w:numId w:val="272"/>
        </w:numPr>
        <w:tabs>
          <w:tab w:pos="647" w:val="left" w:leader="none"/>
        </w:tabs>
        <w:spacing w:line="244" w:lineRule="auto" w:before="0" w:after="0"/>
        <w:ind w:left="151" w:right="39" w:firstLine="0"/>
        <w:jc w:val="both"/>
        <w:rPr>
          <w:sz w:val="15"/>
        </w:rPr>
      </w:pPr>
      <w:r>
        <w:rPr>
          <w:sz w:val="15"/>
        </w:rPr>
        <w:t>Conducir en la vía pública con animales peligrosos o bravíos sin permiso de la autoridad municipal y sin tomar las precauciones de seguridad para evitar daños a</w:t>
      </w:r>
      <w:r>
        <w:rPr>
          <w:spacing w:val="5"/>
          <w:sz w:val="15"/>
        </w:rPr>
        <w:t> </w:t>
      </w:r>
      <w:r>
        <w:rPr>
          <w:sz w:val="15"/>
        </w:rPr>
        <w:t>terceros;</w:t>
      </w:r>
    </w:p>
    <w:p>
      <w:pPr>
        <w:pStyle w:val="ListParagraph"/>
        <w:numPr>
          <w:ilvl w:val="0"/>
          <w:numId w:val="272"/>
        </w:numPr>
        <w:tabs>
          <w:tab w:pos="647" w:val="left" w:leader="none"/>
        </w:tabs>
        <w:spacing w:line="247" w:lineRule="auto" w:before="0" w:after="0"/>
        <w:ind w:left="151" w:right="39" w:firstLine="0"/>
        <w:jc w:val="both"/>
        <w:rPr>
          <w:sz w:val="15"/>
        </w:rPr>
      </w:pPr>
      <w:r>
        <w:rPr>
          <w:sz w:val="15"/>
        </w:rPr>
        <w:t>Conducir ganado mayor o menor por la vía pública, sin el permiso respectivo, o llevarlo a cabo fuera de la ruta asignada para</w:t>
      </w:r>
      <w:r>
        <w:rPr>
          <w:spacing w:val="37"/>
          <w:sz w:val="15"/>
        </w:rPr>
        <w:t> </w:t>
      </w:r>
      <w:r>
        <w:rPr>
          <w:sz w:val="15"/>
        </w:rPr>
        <w:t>ello;</w:t>
      </w:r>
    </w:p>
    <w:p>
      <w:pPr>
        <w:pStyle w:val="ListParagraph"/>
        <w:numPr>
          <w:ilvl w:val="0"/>
          <w:numId w:val="272"/>
        </w:numPr>
        <w:tabs>
          <w:tab w:pos="647" w:val="left" w:leader="none"/>
        </w:tabs>
        <w:spacing w:line="244" w:lineRule="auto" w:before="0" w:after="0"/>
        <w:ind w:left="151" w:right="38" w:firstLine="0"/>
        <w:jc w:val="both"/>
        <w:rPr>
          <w:sz w:val="15"/>
        </w:rPr>
      </w:pPr>
      <w:r>
        <w:rPr>
          <w:sz w:val="15"/>
        </w:rPr>
        <w:t>Ejecutar en la vía pública o en las puertas de los talleres, fábricas o establecimientos similares, trabajos que por ser propios de los  mismos,  deban efectuarse en el interior de los locales que aquellos</w:t>
      </w:r>
      <w:r>
        <w:rPr>
          <w:spacing w:val="4"/>
          <w:sz w:val="15"/>
        </w:rPr>
        <w:t> </w:t>
      </w:r>
      <w:r>
        <w:rPr>
          <w:sz w:val="15"/>
        </w:rPr>
        <w:t>ocupen;</w:t>
      </w:r>
    </w:p>
    <w:p>
      <w:pPr>
        <w:pStyle w:val="ListParagraph"/>
        <w:numPr>
          <w:ilvl w:val="0"/>
          <w:numId w:val="272"/>
        </w:numPr>
        <w:tabs>
          <w:tab w:pos="647" w:val="left" w:leader="none"/>
        </w:tabs>
        <w:spacing w:line="240" w:lineRule="auto" w:before="0" w:after="0"/>
        <w:ind w:left="646" w:right="0" w:hanging="496"/>
        <w:jc w:val="both"/>
        <w:rPr>
          <w:sz w:val="15"/>
        </w:rPr>
      </w:pPr>
      <w:r>
        <w:rPr>
          <w:sz w:val="15"/>
        </w:rPr>
        <w:t>Quitar o destruir las señales instaladas para prevenir accidentes</w:t>
      </w:r>
      <w:r>
        <w:rPr>
          <w:spacing w:val="34"/>
          <w:sz w:val="15"/>
        </w:rPr>
        <w:t> </w:t>
      </w:r>
      <w:r>
        <w:rPr>
          <w:sz w:val="15"/>
        </w:rPr>
        <w:t>o</w:t>
      </w:r>
    </w:p>
    <w:p>
      <w:pPr>
        <w:pStyle w:val="BodyText"/>
        <w:spacing w:before="10"/>
        <w:rPr>
          <w:sz w:val="19"/>
        </w:rPr>
      </w:pPr>
      <w:r>
        <w:rPr/>
        <w:br w:type="column"/>
      </w:r>
      <w:r>
        <w:rPr>
          <w:sz w:val="19"/>
        </w:rPr>
      </w:r>
    </w:p>
    <w:p>
      <w:pPr>
        <w:pStyle w:val="BodyText"/>
        <w:ind w:left="151"/>
      </w:pPr>
      <w:r>
        <w:rPr/>
        <w:t>peligros;</w:t>
      </w:r>
    </w:p>
    <w:p>
      <w:pPr>
        <w:pStyle w:val="ListParagraph"/>
        <w:numPr>
          <w:ilvl w:val="0"/>
          <w:numId w:val="272"/>
        </w:numPr>
        <w:tabs>
          <w:tab w:pos="646" w:val="left" w:leader="none"/>
          <w:tab w:pos="647" w:val="left" w:leader="none"/>
        </w:tabs>
        <w:spacing w:line="247" w:lineRule="auto" w:before="5" w:after="0"/>
        <w:ind w:left="151" w:right="2787" w:firstLine="0"/>
        <w:jc w:val="left"/>
        <w:rPr>
          <w:sz w:val="15"/>
        </w:rPr>
      </w:pPr>
      <w:r>
        <w:rPr>
          <w:sz w:val="15"/>
        </w:rPr>
        <w:t>Invadir de cualquier forma el paso peatonal, en las zonas designadas para ello;</w:t>
      </w:r>
      <w:r>
        <w:rPr>
          <w:spacing w:val="2"/>
          <w:sz w:val="15"/>
        </w:rPr>
        <w:t> </w:t>
      </w:r>
      <w:r>
        <w:rPr>
          <w:sz w:val="15"/>
        </w:rPr>
        <w:t>y</w:t>
      </w:r>
    </w:p>
    <w:p>
      <w:pPr>
        <w:pStyle w:val="ListParagraph"/>
        <w:numPr>
          <w:ilvl w:val="0"/>
          <w:numId w:val="272"/>
        </w:numPr>
        <w:tabs>
          <w:tab w:pos="646" w:val="left" w:leader="none"/>
          <w:tab w:pos="647" w:val="left" w:leader="none"/>
        </w:tabs>
        <w:spacing w:line="247" w:lineRule="auto" w:before="0" w:after="0"/>
        <w:ind w:left="151" w:right="2788" w:firstLine="0"/>
        <w:jc w:val="left"/>
        <w:rPr>
          <w:sz w:val="15"/>
        </w:rPr>
      </w:pPr>
      <w:r>
        <w:rPr>
          <w:sz w:val="15"/>
        </w:rPr>
        <w:t>Producir en cualquier forma, ruido o sonido que por su intensidad provoque</w:t>
      </w:r>
      <w:r>
        <w:rPr>
          <w:spacing w:val="1"/>
          <w:sz w:val="15"/>
        </w:rPr>
        <w:t> </w:t>
      </w:r>
      <w:r>
        <w:rPr>
          <w:sz w:val="15"/>
        </w:rPr>
        <w:t>malestar.</w:t>
      </w:r>
    </w:p>
    <w:p>
      <w:pPr>
        <w:pStyle w:val="BodyText"/>
        <w:spacing w:before="2"/>
      </w:pPr>
    </w:p>
    <w:p>
      <w:pPr>
        <w:pStyle w:val="ListParagraph"/>
        <w:numPr>
          <w:ilvl w:val="0"/>
          <w:numId w:val="270"/>
        </w:numPr>
        <w:tabs>
          <w:tab w:pos="390" w:val="left" w:leader="none"/>
        </w:tabs>
        <w:spacing w:line="247" w:lineRule="auto" w:before="0" w:after="0"/>
        <w:ind w:left="151" w:right="2787" w:firstLine="0"/>
        <w:jc w:val="both"/>
        <w:rPr>
          <w:sz w:val="15"/>
        </w:rPr>
      </w:pPr>
      <w:r>
        <w:rPr>
          <w:sz w:val="15"/>
        </w:rPr>
        <w:t>Son faltas contra la seguridad y tranquilidad de las personas, por cuya comisión se aplicará una multa por el equivalente de 6 a 40 Unidades de Medida y Actualización, las</w:t>
      </w:r>
      <w:r>
        <w:rPr>
          <w:spacing w:val="-2"/>
          <w:sz w:val="15"/>
        </w:rPr>
        <w:t> </w:t>
      </w:r>
      <w:r>
        <w:rPr>
          <w:sz w:val="15"/>
        </w:rPr>
        <w:t>siguientes:</w:t>
      </w:r>
    </w:p>
    <w:p>
      <w:pPr>
        <w:pStyle w:val="BodyText"/>
        <w:spacing w:before="2"/>
      </w:pPr>
    </w:p>
    <w:p>
      <w:pPr>
        <w:pStyle w:val="ListParagraph"/>
        <w:numPr>
          <w:ilvl w:val="0"/>
          <w:numId w:val="273"/>
        </w:numPr>
        <w:tabs>
          <w:tab w:pos="647" w:val="left" w:leader="none"/>
        </w:tabs>
        <w:spacing w:line="247" w:lineRule="auto" w:before="0" w:after="0"/>
        <w:ind w:left="151" w:right="2788" w:firstLine="0"/>
        <w:jc w:val="both"/>
        <w:rPr>
          <w:sz w:val="15"/>
        </w:rPr>
      </w:pPr>
      <w:r>
        <w:rPr>
          <w:sz w:val="15"/>
        </w:rPr>
        <w:t>Generar escándalo que moleste a los vecinos por riñas o generen intranquilidad en lugar público o en la proximidad de los domicilios, zonas escolares, templos religiosos o centros de</w:t>
      </w:r>
      <w:r>
        <w:rPr>
          <w:spacing w:val="12"/>
          <w:sz w:val="15"/>
        </w:rPr>
        <w:t> </w:t>
      </w:r>
      <w:r>
        <w:rPr>
          <w:sz w:val="15"/>
        </w:rPr>
        <w:t>trabajo;</w:t>
      </w:r>
    </w:p>
    <w:p>
      <w:pPr>
        <w:pStyle w:val="ListParagraph"/>
        <w:numPr>
          <w:ilvl w:val="0"/>
          <w:numId w:val="273"/>
        </w:numPr>
        <w:tabs>
          <w:tab w:pos="647" w:val="left" w:leader="none"/>
        </w:tabs>
        <w:spacing w:line="247" w:lineRule="auto" w:before="0" w:after="0"/>
        <w:ind w:left="151" w:right="2787" w:firstLine="0"/>
        <w:jc w:val="both"/>
        <w:rPr>
          <w:sz w:val="15"/>
        </w:rPr>
      </w:pPr>
      <w:r>
        <w:rPr>
          <w:sz w:val="15"/>
        </w:rPr>
        <w:t>Ocasionar falsas alarmas, lanzar voces altisonantes o adoptar  actitudes que por su naturaleza puedan provocar molestias o pánico a los asistentes a los espectáculos y lugares</w:t>
      </w:r>
      <w:r>
        <w:rPr>
          <w:spacing w:val="12"/>
          <w:sz w:val="15"/>
        </w:rPr>
        <w:t> </w:t>
      </w:r>
      <w:r>
        <w:rPr>
          <w:sz w:val="15"/>
        </w:rPr>
        <w:t>públicos;</w:t>
      </w:r>
    </w:p>
    <w:p>
      <w:pPr>
        <w:pStyle w:val="ListParagraph"/>
        <w:numPr>
          <w:ilvl w:val="0"/>
          <w:numId w:val="273"/>
        </w:numPr>
        <w:tabs>
          <w:tab w:pos="647" w:val="left" w:leader="none"/>
        </w:tabs>
        <w:spacing w:line="247" w:lineRule="auto" w:before="0" w:after="0"/>
        <w:ind w:left="151" w:right="2787" w:firstLine="0"/>
        <w:jc w:val="both"/>
        <w:rPr>
          <w:sz w:val="15"/>
        </w:rPr>
      </w:pPr>
      <w:r>
        <w:rPr>
          <w:sz w:val="15"/>
        </w:rPr>
        <w:t>Usar faros buscadores sobre personas o vehículos sin la autorización correspondiente;</w:t>
      </w:r>
    </w:p>
    <w:p>
      <w:pPr>
        <w:pStyle w:val="ListParagraph"/>
        <w:numPr>
          <w:ilvl w:val="0"/>
          <w:numId w:val="273"/>
        </w:numPr>
        <w:tabs>
          <w:tab w:pos="647" w:val="left" w:leader="none"/>
        </w:tabs>
        <w:spacing w:line="247" w:lineRule="auto" w:before="0" w:after="0"/>
        <w:ind w:left="151" w:right="2788" w:firstLine="0"/>
        <w:jc w:val="both"/>
        <w:rPr>
          <w:sz w:val="15"/>
        </w:rPr>
      </w:pPr>
      <w:r>
        <w:rPr>
          <w:sz w:val="15"/>
        </w:rPr>
        <w:t>Estacionar vehículos de trasporte de carga, sea  público  o  privado, con</w:t>
      </w:r>
      <w:r>
        <w:rPr>
          <w:spacing w:val="6"/>
          <w:sz w:val="15"/>
        </w:rPr>
        <w:t> </w:t>
      </w:r>
      <w:r>
        <w:rPr>
          <w:sz w:val="15"/>
        </w:rPr>
        <w:t>materiales</w:t>
      </w:r>
      <w:r>
        <w:rPr>
          <w:spacing w:val="6"/>
          <w:sz w:val="15"/>
        </w:rPr>
        <w:t> </w:t>
      </w:r>
      <w:r>
        <w:rPr>
          <w:sz w:val="15"/>
        </w:rPr>
        <w:t>que</w:t>
      </w:r>
      <w:r>
        <w:rPr>
          <w:spacing w:val="6"/>
          <w:sz w:val="15"/>
        </w:rPr>
        <w:t> </w:t>
      </w:r>
      <w:r>
        <w:rPr>
          <w:sz w:val="15"/>
        </w:rPr>
        <w:t>emitan</w:t>
      </w:r>
      <w:r>
        <w:rPr>
          <w:spacing w:val="7"/>
          <w:sz w:val="15"/>
        </w:rPr>
        <w:t> </w:t>
      </w:r>
      <w:r>
        <w:rPr>
          <w:sz w:val="15"/>
        </w:rPr>
        <w:t>olores</w:t>
      </w:r>
      <w:r>
        <w:rPr>
          <w:spacing w:val="6"/>
          <w:sz w:val="15"/>
        </w:rPr>
        <w:t> </w:t>
      </w:r>
      <w:r>
        <w:rPr>
          <w:sz w:val="15"/>
        </w:rPr>
        <w:t>fétidos,</w:t>
      </w:r>
      <w:r>
        <w:rPr>
          <w:spacing w:val="6"/>
          <w:sz w:val="15"/>
        </w:rPr>
        <w:t> </w:t>
      </w:r>
      <w:r>
        <w:rPr>
          <w:sz w:val="15"/>
        </w:rPr>
        <w:t>en</w:t>
      </w:r>
      <w:r>
        <w:rPr>
          <w:spacing w:val="6"/>
          <w:sz w:val="15"/>
        </w:rPr>
        <w:t> </w:t>
      </w:r>
      <w:r>
        <w:rPr>
          <w:sz w:val="15"/>
        </w:rPr>
        <w:t>lugares</w:t>
      </w:r>
      <w:r>
        <w:rPr>
          <w:spacing w:val="7"/>
          <w:sz w:val="15"/>
        </w:rPr>
        <w:t> </w:t>
      </w:r>
      <w:r>
        <w:rPr>
          <w:sz w:val="15"/>
        </w:rPr>
        <w:t>públicos</w:t>
      </w:r>
      <w:r>
        <w:rPr>
          <w:spacing w:val="6"/>
          <w:sz w:val="15"/>
        </w:rPr>
        <w:t> </w:t>
      </w:r>
      <w:r>
        <w:rPr>
          <w:sz w:val="15"/>
        </w:rPr>
        <w:t>o</w:t>
      </w:r>
      <w:r>
        <w:rPr>
          <w:spacing w:val="10"/>
          <w:sz w:val="15"/>
        </w:rPr>
        <w:t> </w:t>
      </w:r>
      <w:r>
        <w:rPr>
          <w:sz w:val="15"/>
        </w:rPr>
        <w:t>privados;</w:t>
      </w:r>
    </w:p>
    <w:p>
      <w:pPr>
        <w:pStyle w:val="ListParagraph"/>
        <w:numPr>
          <w:ilvl w:val="0"/>
          <w:numId w:val="273"/>
        </w:numPr>
        <w:tabs>
          <w:tab w:pos="647" w:val="left" w:leader="none"/>
        </w:tabs>
        <w:spacing w:line="244" w:lineRule="auto" w:before="0" w:after="0"/>
        <w:ind w:left="151" w:right="2788" w:firstLine="0"/>
        <w:jc w:val="both"/>
        <w:rPr>
          <w:sz w:val="15"/>
        </w:rPr>
      </w:pPr>
      <w:r>
        <w:rPr>
          <w:sz w:val="15"/>
        </w:rPr>
        <w:t>Trepar bardas o cualquier construcción para observar el interior de un inmueble</w:t>
      </w:r>
      <w:r>
        <w:rPr>
          <w:spacing w:val="1"/>
          <w:sz w:val="15"/>
        </w:rPr>
        <w:t> </w:t>
      </w:r>
      <w:r>
        <w:rPr>
          <w:sz w:val="15"/>
        </w:rPr>
        <w:t>ajeno;</w:t>
      </w:r>
    </w:p>
    <w:p>
      <w:pPr>
        <w:pStyle w:val="ListParagraph"/>
        <w:numPr>
          <w:ilvl w:val="0"/>
          <w:numId w:val="273"/>
        </w:numPr>
        <w:tabs>
          <w:tab w:pos="647" w:val="left" w:leader="none"/>
        </w:tabs>
        <w:spacing w:line="240" w:lineRule="auto" w:before="0" w:after="0"/>
        <w:ind w:left="646" w:right="0" w:hanging="496"/>
        <w:jc w:val="both"/>
        <w:rPr>
          <w:sz w:val="15"/>
        </w:rPr>
      </w:pPr>
      <w:r>
        <w:rPr>
          <w:sz w:val="15"/>
        </w:rPr>
        <w:t>Dejar chatarra, objetos o vehículos de desecho en lugar público;</w:t>
      </w:r>
      <w:r>
        <w:rPr>
          <w:spacing w:val="20"/>
          <w:sz w:val="15"/>
        </w:rPr>
        <w:t> </w:t>
      </w:r>
      <w:r>
        <w:rPr>
          <w:sz w:val="15"/>
        </w:rPr>
        <w:t>y</w:t>
      </w:r>
    </w:p>
    <w:p>
      <w:pPr>
        <w:pStyle w:val="ListParagraph"/>
        <w:numPr>
          <w:ilvl w:val="0"/>
          <w:numId w:val="273"/>
        </w:numPr>
        <w:tabs>
          <w:tab w:pos="647" w:val="left" w:leader="none"/>
        </w:tabs>
        <w:spacing w:line="247" w:lineRule="auto" w:before="2" w:after="0"/>
        <w:ind w:left="151" w:right="2789" w:firstLine="0"/>
        <w:jc w:val="both"/>
        <w:rPr>
          <w:sz w:val="15"/>
        </w:rPr>
      </w:pPr>
      <w:r>
        <w:rPr>
          <w:sz w:val="15"/>
        </w:rPr>
        <w:t>Expresar o realizar actos que causen ofensa o injuria a una persona     o más</w:t>
      </w:r>
      <w:r>
        <w:rPr>
          <w:spacing w:val="2"/>
          <w:sz w:val="15"/>
        </w:rPr>
        <w:t> </w:t>
      </w:r>
      <w:r>
        <w:rPr>
          <w:sz w:val="15"/>
        </w:rPr>
        <w:t>personas.</w:t>
      </w:r>
    </w:p>
    <w:p>
      <w:pPr>
        <w:pStyle w:val="BodyText"/>
        <w:spacing w:before="3"/>
      </w:pPr>
    </w:p>
    <w:p>
      <w:pPr>
        <w:pStyle w:val="ListParagraph"/>
        <w:numPr>
          <w:ilvl w:val="0"/>
          <w:numId w:val="270"/>
        </w:numPr>
        <w:tabs>
          <w:tab w:pos="351" w:val="left" w:leader="none"/>
        </w:tabs>
        <w:spacing w:line="244" w:lineRule="auto" w:before="1" w:after="0"/>
        <w:ind w:left="151" w:right="2789" w:firstLine="0"/>
        <w:jc w:val="both"/>
        <w:rPr>
          <w:sz w:val="15"/>
        </w:rPr>
      </w:pPr>
      <w:r>
        <w:rPr>
          <w:sz w:val="15"/>
        </w:rPr>
        <w:t>Son faltas contra la seguridad y tranquilidad de las personas, por cuya comisión de aplicar una multa por el equivalente de16 a 90 Unidades de Medida y Actualización, las</w:t>
      </w:r>
      <w:r>
        <w:rPr>
          <w:spacing w:val="-2"/>
          <w:sz w:val="15"/>
        </w:rPr>
        <w:t> </w:t>
      </w:r>
      <w:r>
        <w:rPr>
          <w:sz w:val="15"/>
        </w:rPr>
        <w:t>siguientes:</w:t>
      </w:r>
    </w:p>
    <w:p>
      <w:pPr>
        <w:pStyle w:val="BodyText"/>
        <w:spacing w:before="7"/>
      </w:pPr>
    </w:p>
    <w:p>
      <w:pPr>
        <w:pStyle w:val="ListParagraph"/>
        <w:numPr>
          <w:ilvl w:val="0"/>
          <w:numId w:val="274"/>
        </w:numPr>
        <w:tabs>
          <w:tab w:pos="647" w:val="left" w:leader="none"/>
        </w:tabs>
        <w:spacing w:line="244" w:lineRule="auto" w:before="0" w:after="0"/>
        <w:ind w:left="151" w:right="2788" w:firstLine="0"/>
        <w:jc w:val="both"/>
        <w:rPr>
          <w:sz w:val="15"/>
        </w:rPr>
      </w:pPr>
      <w:r>
        <w:rPr>
          <w:spacing w:val="-3"/>
          <w:sz w:val="15"/>
        </w:rPr>
        <w:t>Vender, </w:t>
      </w:r>
      <w:r>
        <w:rPr>
          <w:sz w:val="15"/>
        </w:rPr>
        <w:t>distribuir o almacenar gasolina, petróleo o productos inflamables sin la autorización correspondiente o en condiciones que pongan en peligro a la</w:t>
      </w:r>
      <w:r>
        <w:rPr>
          <w:spacing w:val="4"/>
          <w:sz w:val="15"/>
        </w:rPr>
        <w:t> </w:t>
      </w:r>
      <w:r>
        <w:rPr>
          <w:sz w:val="15"/>
        </w:rPr>
        <w:t>ciudadanía;</w:t>
      </w:r>
    </w:p>
    <w:p>
      <w:pPr>
        <w:pStyle w:val="ListParagraph"/>
        <w:numPr>
          <w:ilvl w:val="0"/>
          <w:numId w:val="274"/>
        </w:numPr>
        <w:tabs>
          <w:tab w:pos="647" w:val="left" w:leader="none"/>
        </w:tabs>
        <w:spacing w:line="247" w:lineRule="auto" w:before="3" w:after="0"/>
        <w:ind w:left="151" w:right="2786" w:firstLine="0"/>
        <w:jc w:val="both"/>
        <w:rPr>
          <w:sz w:val="15"/>
        </w:rPr>
      </w:pPr>
      <w:r>
        <w:rPr>
          <w:sz w:val="15"/>
        </w:rPr>
        <w:t>Introducirse fuera de los horarios de trabajo o sin autorización a instalaciones escolares, panteones, espacios deportivos o edificios públicos;    y</w:t>
      </w:r>
    </w:p>
    <w:p>
      <w:pPr>
        <w:pStyle w:val="ListParagraph"/>
        <w:numPr>
          <w:ilvl w:val="0"/>
          <w:numId w:val="274"/>
        </w:numPr>
        <w:tabs>
          <w:tab w:pos="647" w:val="left" w:leader="none"/>
        </w:tabs>
        <w:spacing w:line="247" w:lineRule="auto" w:before="0" w:after="0"/>
        <w:ind w:left="151" w:right="2788" w:firstLine="0"/>
        <w:jc w:val="both"/>
        <w:rPr>
          <w:sz w:val="15"/>
        </w:rPr>
      </w:pPr>
      <w:r>
        <w:rPr>
          <w:sz w:val="15"/>
        </w:rPr>
        <w:t>Vender boletos de espectáculos públicos sin la autorización de la autoridad municipal</w:t>
      </w:r>
      <w:r>
        <w:rPr>
          <w:spacing w:val="3"/>
          <w:sz w:val="15"/>
        </w:rPr>
        <w:t> </w:t>
      </w:r>
      <w:r>
        <w:rPr>
          <w:sz w:val="15"/>
        </w:rPr>
        <w:t>competente.</w:t>
      </w:r>
    </w:p>
    <w:p>
      <w:pPr>
        <w:pStyle w:val="BodyText"/>
        <w:spacing w:before="2"/>
      </w:pPr>
    </w:p>
    <w:p>
      <w:pPr>
        <w:pStyle w:val="ListParagraph"/>
        <w:numPr>
          <w:ilvl w:val="0"/>
          <w:numId w:val="270"/>
        </w:numPr>
        <w:tabs>
          <w:tab w:pos="412" w:val="left" w:leader="none"/>
        </w:tabs>
        <w:spacing w:line="247" w:lineRule="auto" w:before="0" w:after="0"/>
        <w:ind w:left="151" w:right="2787" w:firstLine="0"/>
        <w:jc w:val="both"/>
        <w:rPr>
          <w:sz w:val="15"/>
        </w:rPr>
      </w:pPr>
      <w:r>
        <w:rPr>
          <w:sz w:val="15"/>
        </w:rPr>
        <w:t>Son faltas contra la moral pública y las buenas costumbres, por cuya comisión se aplicará una multa por el equivalente de5 a 30 Unidades</w:t>
      </w:r>
      <w:r>
        <w:rPr>
          <w:spacing w:val="9"/>
          <w:sz w:val="15"/>
        </w:rPr>
        <w:t> </w:t>
      </w:r>
      <w:r>
        <w:rPr>
          <w:sz w:val="15"/>
        </w:rPr>
        <w:t>de Medida y Actualización, las</w:t>
      </w:r>
      <w:r>
        <w:rPr>
          <w:spacing w:val="-2"/>
          <w:sz w:val="15"/>
        </w:rPr>
        <w:t> </w:t>
      </w:r>
      <w:r>
        <w:rPr>
          <w:sz w:val="15"/>
        </w:rPr>
        <w:t>siguientes:</w:t>
      </w:r>
    </w:p>
    <w:p>
      <w:pPr>
        <w:pStyle w:val="BodyText"/>
        <w:spacing w:before="2"/>
      </w:pPr>
    </w:p>
    <w:p>
      <w:pPr>
        <w:pStyle w:val="ListParagraph"/>
        <w:numPr>
          <w:ilvl w:val="0"/>
          <w:numId w:val="275"/>
        </w:numPr>
        <w:tabs>
          <w:tab w:pos="647" w:val="left" w:leader="none"/>
        </w:tabs>
        <w:spacing w:line="247" w:lineRule="auto" w:before="1" w:after="0"/>
        <w:ind w:left="151" w:right="2788" w:firstLine="0"/>
        <w:jc w:val="both"/>
        <w:rPr>
          <w:sz w:val="15"/>
        </w:rPr>
      </w:pPr>
      <w:r>
        <w:rPr>
          <w:sz w:val="15"/>
        </w:rPr>
        <w:t>Corregir con exceso, insultar o maltratar a cualquier persona independientemente de su edad, sexo o</w:t>
      </w:r>
      <w:r>
        <w:rPr>
          <w:spacing w:val="15"/>
          <w:sz w:val="15"/>
        </w:rPr>
        <w:t> </w:t>
      </w:r>
      <w:r>
        <w:rPr>
          <w:sz w:val="15"/>
        </w:rPr>
        <w:t>condición;</w:t>
      </w:r>
    </w:p>
    <w:p>
      <w:pPr>
        <w:pStyle w:val="ListParagraph"/>
        <w:numPr>
          <w:ilvl w:val="0"/>
          <w:numId w:val="275"/>
        </w:numPr>
        <w:tabs>
          <w:tab w:pos="647" w:val="left" w:leader="none"/>
        </w:tabs>
        <w:spacing w:line="247" w:lineRule="auto" w:before="0" w:after="0"/>
        <w:ind w:left="151" w:right="2788" w:firstLine="0"/>
        <w:jc w:val="both"/>
        <w:rPr>
          <w:sz w:val="15"/>
        </w:rPr>
      </w:pPr>
      <w:r>
        <w:rPr>
          <w:sz w:val="15"/>
        </w:rPr>
        <w:t>Solicitar con falsa alarma los servicios de policía, bomberos o de establecimiento médicos o asistenciales de emergencia, públicos o privados; asimismo, obstruir o activar en falso las líneas telefónicas designadas a los mismos;</w:t>
      </w:r>
    </w:p>
    <w:p>
      <w:pPr>
        <w:pStyle w:val="ListParagraph"/>
        <w:numPr>
          <w:ilvl w:val="0"/>
          <w:numId w:val="275"/>
        </w:numPr>
        <w:tabs>
          <w:tab w:pos="647" w:val="left" w:leader="none"/>
        </w:tabs>
        <w:spacing w:line="247" w:lineRule="auto" w:before="0" w:after="0"/>
        <w:ind w:left="151" w:right="2786" w:firstLine="0"/>
        <w:jc w:val="both"/>
        <w:rPr>
          <w:sz w:val="15"/>
        </w:rPr>
      </w:pPr>
      <w:r>
        <w:rPr>
          <w:sz w:val="15"/>
        </w:rPr>
        <w:t>Alterar, borrar, cubrir, deteriorar o destruir las señales de tránsito, así como los números o denominaciones que identifiquen las casas,  calles,  plazas u ocupar los lugares destinados para ello con  propaganda  de  cualquier</w:t>
      </w:r>
      <w:r>
        <w:rPr>
          <w:spacing w:val="1"/>
          <w:sz w:val="15"/>
        </w:rPr>
        <w:t> </w:t>
      </w:r>
      <w:r>
        <w:rPr>
          <w:sz w:val="15"/>
        </w:rPr>
        <w:t>clase;</w:t>
      </w:r>
    </w:p>
    <w:p>
      <w:pPr>
        <w:pStyle w:val="ListParagraph"/>
        <w:numPr>
          <w:ilvl w:val="0"/>
          <w:numId w:val="275"/>
        </w:numPr>
        <w:tabs>
          <w:tab w:pos="647" w:val="left" w:leader="none"/>
        </w:tabs>
        <w:spacing w:line="244" w:lineRule="auto" w:before="0" w:after="0"/>
        <w:ind w:left="151" w:right="2788" w:firstLine="0"/>
        <w:jc w:val="both"/>
        <w:rPr>
          <w:sz w:val="15"/>
        </w:rPr>
      </w:pPr>
      <w:r>
        <w:rPr>
          <w:sz w:val="15"/>
        </w:rPr>
        <w:t>Alterar, borrar, cubrir, deteriorar o destruir impresos o anuncios que contengan disposiciones dictadas por la</w:t>
      </w:r>
      <w:r>
        <w:rPr>
          <w:spacing w:val="12"/>
          <w:sz w:val="15"/>
        </w:rPr>
        <w:t> </w:t>
      </w:r>
      <w:r>
        <w:rPr>
          <w:sz w:val="15"/>
        </w:rPr>
        <w:t>autoridad;</w:t>
      </w:r>
    </w:p>
    <w:p>
      <w:pPr>
        <w:pStyle w:val="ListParagraph"/>
        <w:numPr>
          <w:ilvl w:val="0"/>
          <w:numId w:val="275"/>
        </w:numPr>
        <w:tabs>
          <w:tab w:pos="647" w:val="left" w:leader="none"/>
        </w:tabs>
        <w:spacing w:line="240" w:lineRule="auto" w:before="0" w:after="0"/>
        <w:ind w:left="646" w:right="0" w:hanging="496"/>
        <w:jc w:val="both"/>
        <w:rPr>
          <w:sz w:val="15"/>
        </w:rPr>
      </w:pPr>
      <w:r>
        <w:rPr>
          <w:sz w:val="15"/>
        </w:rPr>
        <w:t>Proferir</w:t>
      </w:r>
      <w:r>
        <w:rPr>
          <w:spacing w:val="6"/>
          <w:sz w:val="15"/>
        </w:rPr>
        <w:t> </w:t>
      </w:r>
      <w:r>
        <w:rPr>
          <w:sz w:val="15"/>
        </w:rPr>
        <w:t>palabras</w:t>
      </w:r>
      <w:r>
        <w:rPr>
          <w:spacing w:val="6"/>
          <w:sz w:val="15"/>
        </w:rPr>
        <w:t> </w:t>
      </w:r>
      <w:r>
        <w:rPr>
          <w:sz w:val="15"/>
        </w:rPr>
        <w:t>o</w:t>
      </w:r>
      <w:r>
        <w:rPr>
          <w:spacing w:val="7"/>
          <w:sz w:val="15"/>
        </w:rPr>
        <w:t> </w:t>
      </w:r>
      <w:r>
        <w:rPr>
          <w:sz w:val="15"/>
        </w:rPr>
        <w:t>hacer</w:t>
      </w:r>
      <w:r>
        <w:rPr>
          <w:spacing w:val="6"/>
          <w:sz w:val="15"/>
        </w:rPr>
        <w:t> </w:t>
      </w:r>
      <w:r>
        <w:rPr>
          <w:sz w:val="15"/>
        </w:rPr>
        <w:t>ademanes</w:t>
      </w:r>
      <w:r>
        <w:rPr>
          <w:spacing w:val="7"/>
          <w:sz w:val="15"/>
        </w:rPr>
        <w:t> </w:t>
      </w:r>
      <w:r>
        <w:rPr>
          <w:sz w:val="15"/>
        </w:rPr>
        <w:t>obscenos</w:t>
      </w:r>
      <w:r>
        <w:rPr>
          <w:spacing w:val="6"/>
          <w:sz w:val="15"/>
        </w:rPr>
        <w:t> </w:t>
      </w:r>
      <w:r>
        <w:rPr>
          <w:sz w:val="15"/>
        </w:rPr>
        <w:t>o</w:t>
      </w:r>
      <w:r>
        <w:rPr>
          <w:spacing w:val="6"/>
          <w:sz w:val="15"/>
        </w:rPr>
        <w:t> </w:t>
      </w:r>
      <w:r>
        <w:rPr>
          <w:sz w:val="15"/>
        </w:rPr>
        <w:t>asumir</w:t>
      </w:r>
      <w:r>
        <w:rPr>
          <w:spacing w:val="6"/>
          <w:sz w:val="15"/>
        </w:rPr>
        <w:t> </w:t>
      </w:r>
      <w:r>
        <w:rPr>
          <w:sz w:val="15"/>
        </w:rPr>
        <w:t>actitudes</w:t>
      </w:r>
      <w:r>
        <w:rPr>
          <w:spacing w:val="7"/>
          <w:sz w:val="15"/>
        </w:rPr>
        <w:t> </w:t>
      </w:r>
      <w:r>
        <w:rPr>
          <w:sz w:val="15"/>
        </w:rPr>
        <w:t>que</w:t>
      </w:r>
    </w:p>
    <w:p>
      <w:pPr>
        <w:spacing w:after="0" w:line="240" w:lineRule="auto"/>
        <w:jc w:val="both"/>
        <w:rPr>
          <w:sz w:val="15"/>
        </w:rPr>
        <w:sectPr>
          <w:type w:val="continuous"/>
          <w:pgSz w:w="23250" w:h="15310" w:orient="landscape"/>
          <w:pgMar w:top="0" w:bottom="0" w:left="1880" w:right="1520"/>
          <w:cols w:num="2" w:equalWidth="0">
            <w:col w:w="5474" w:space="6148"/>
            <w:col w:w="8228"/>
          </w:cols>
        </w:sectPr>
      </w:pPr>
    </w:p>
    <w:p>
      <w:pPr>
        <w:pStyle w:val="BodyText"/>
        <w:rPr>
          <w:sz w:val="20"/>
        </w:rPr>
      </w:pPr>
    </w:p>
    <w:p>
      <w:pPr>
        <w:pStyle w:val="BodyText"/>
        <w:rPr>
          <w:sz w:val="20"/>
        </w:rPr>
      </w:pPr>
    </w:p>
    <w:p>
      <w:pPr>
        <w:spacing w:after="0"/>
        <w:rPr>
          <w:sz w:val="20"/>
        </w:rPr>
        <w:sectPr>
          <w:headerReference w:type="default" r:id="rId138"/>
          <w:pgSz w:w="23250" w:h="15310" w:orient="landscape"/>
          <w:pgMar w:header="881" w:footer="499" w:top="1920" w:bottom="680" w:left="1880" w:right="1520"/>
        </w:sectPr>
      </w:pPr>
    </w:p>
    <w:p>
      <w:pPr>
        <w:pStyle w:val="BodyText"/>
        <w:spacing w:before="10"/>
        <w:rPr>
          <w:sz w:val="19"/>
        </w:rPr>
      </w:pPr>
    </w:p>
    <w:p>
      <w:pPr>
        <w:pStyle w:val="BodyText"/>
        <w:ind w:left="151"/>
      </w:pPr>
      <w:r>
        <w:rPr/>
        <w:t>atenten contra la moral y las buenas costumbres en lugar público; y</w:t>
      </w:r>
    </w:p>
    <w:p>
      <w:pPr>
        <w:pStyle w:val="ListParagraph"/>
        <w:numPr>
          <w:ilvl w:val="0"/>
          <w:numId w:val="275"/>
        </w:numPr>
        <w:tabs>
          <w:tab w:pos="647" w:val="left" w:leader="none"/>
        </w:tabs>
        <w:spacing w:line="240" w:lineRule="auto" w:before="5" w:after="0"/>
        <w:ind w:left="646" w:right="0" w:hanging="496"/>
        <w:jc w:val="both"/>
        <w:rPr>
          <w:sz w:val="15"/>
        </w:rPr>
      </w:pPr>
      <w:r>
        <w:rPr>
          <w:sz w:val="15"/>
        </w:rPr>
        <w:t>Satisfacer</w:t>
      </w:r>
      <w:r>
        <w:rPr>
          <w:spacing w:val="11"/>
          <w:sz w:val="15"/>
        </w:rPr>
        <w:t> </w:t>
      </w:r>
      <w:r>
        <w:rPr>
          <w:sz w:val="15"/>
        </w:rPr>
        <w:t>necesidades</w:t>
      </w:r>
      <w:r>
        <w:rPr>
          <w:spacing w:val="9"/>
          <w:sz w:val="15"/>
        </w:rPr>
        <w:t> </w:t>
      </w:r>
      <w:r>
        <w:rPr>
          <w:sz w:val="15"/>
        </w:rPr>
        <w:t>fisiológicas</w:t>
      </w:r>
      <w:r>
        <w:rPr>
          <w:spacing w:val="10"/>
          <w:sz w:val="15"/>
        </w:rPr>
        <w:t> </w:t>
      </w:r>
      <w:r>
        <w:rPr>
          <w:sz w:val="15"/>
        </w:rPr>
        <w:t>en</w:t>
      </w:r>
      <w:r>
        <w:rPr>
          <w:spacing w:val="11"/>
          <w:sz w:val="15"/>
        </w:rPr>
        <w:t> </w:t>
      </w:r>
      <w:r>
        <w:rPr>
          <w:sz w:val="15"/>
        </w:rPr>
        <w:t>forma</w:t>
      </w:r>
      <w:r>
        <w:rPr>
          <w:spacing w:val="11"/>
          <w:sz w:val="15"/>
        </w:rPr>
        <w:t> </w:t>
      </w:r>
      <w:r>
        <w:rPr>
          <w:sz w:val="15"/>
        </w:rPr>
        <w:t>pública</w:t>
      </w:r>
      <w:r>
        <w:rPr>
          <w:spacing w:val="11"/>
          <w:sz w:val="15"/>
        </w:rPr>
        <w:t> </w:t>
      </w:r>
      <w:r>
        <w:rPr>
          <w:sz w:val="15"/>
        </w:rPr>
        <w:t>o</w:t>
      </w:r>
      <w:r>
        <w:rPr>
          <w:spacing w:val="11"/>
          <w:sz w:val="15"/>
        </w:rPr>
        <w:t> </w:t>
      </w:r>
      <w:r>
        <w:rPr>
          <w:sz w:val="15"/>
        </w:rPr>
        <w:t>exhibicionista.</w:t>
      </w:r>
    </w:p>
    <w:p>
      <w:pPr>
        <w:pStyle w:val="BodyText"/>
        <w:spacing w:before="9"/>
      </w:pPr>
    </w:p>
    <w:p>
      <w:pPr>
        <w:pStyle w:val="ListParagraph"/>
        <w:numPr>
          <w:ilvl w:val="0"/>
          <w:numId w:val="270"/>
        </w:numPr>
        <w:tabs>
          <w:tab w:pos="452" w:val="left" w:leader="none"/>
        </w:tabs>
        <w:spacing w:line="244" w:lineRule="auto" w:before="0" w:after="0"/>
        <w:ind w:left="151" w:right="39" w:firstLine="0"/>
        <w:jc w:val="both"/>
        <w:rPr>
          <w:sz w:val="15"/>
        </w:rPr>
      </w:pPr>
      <w:r>
        <w:rPr>
          <w:sz w:val="15"/>
        </w:rPr>
        <w:t>Son faltas contra la moral pública y las buenas costumbres, por cuya comisión se aplicará una multa por el equivalente de10 a 50 Unidades de Medida y Actualización, las</w:t>
      </w:r>
      <w:r>
        <w:rPr>
          <w:spacing w:val="-2"/>
          <w:sz w:val="15"/>
        </w:rPr>
        <w:t> </w:t>
      </w:r>
      <w:r>
        <w:rPr>
          <w:sz w:val="15"/>
        </w:rPr>
        <w:t>siguientes:</w:t>
      </w:r>
    </w:p>
    <w:p>
      <w:pPr>
        <w:pStyle w:val="BodyText"/>
        <w:spacing w:before="8"/>
      </w:pPr>
    </w:p>
    <w:p>
      <w:pPr>
        <w:pStyle w:val="ListParagraph"/>
        <w:numPr>
          <w:ilvl w:val="0"/>
          <w:numId w:val="276"/>
        </w:numPr>
        <w:tabs>
          <w:tab w:pos="647" w:val="left" w:leader="none"/>
        </w:tabs>
        <w:spacing w:line="247" w:lineRule="auto" w:before="0" w:after="0"/>
        <w:ind w:left="151" w:right="38" w:firstLine="0"/>
        <w:jc w:val="both"/>
        <w:rPr>
          <w:sz w:val="15"/>
        </w:rPr>
      </w:pPr>
      <w:r>
        <w:rPr>
          <w:sz w:val="15"/>
        </w:rPr>
        <w:t>Proferir insultos a los cuerpos policíacos o a cualquier otra autoridad cuando estén actuando en ejercicio de sus</w:t>
      </w:r>
      <w:r>
        <w:rPr>
          <w:spacing w:val="17"/>
          <w:sz w:val="15"/>
        </w:rPr>
        <w:t> </w:t>
      </w:r>
      <w:r>
        <w:rPr>
          <w:sz w:val="15"/>
        </w:rPr>
        <w:t>funciones;</w:t>
      </w:r>
    </w:p>
    <w:p>
      <w:pPr>
        <w:pStyle w:val="ListParagraph"/>
        <w:numPr>
          <w:ilvl w:val="0"/>
          <w:numId w:val="276"/>
        </w:numPr>
        <w:tabs>
          <w:tab w:pos="647" w:val="left" w:leader="none"/>
        </w:tabs>
        <w:spacing w:line="244" w:lineRule="auto" w:before="0" w:after="0"/>
        <w:ind w:left="151" w:right="38" w:firstLine="0"/>
        <w:jc w:val="both"/>
        <w:rPr>
          <w:sz w:val="15"/>
        </w:rPr>
      </w:pPr>
      <w:r>
        <w:rPr>
          <w:sz w:val="15"/>
        </w:rPr>
        <w:t>Entorpecer la labor de los órganos o agentes encargados de prestar    el servicio de seguridad pública, cuando se aboquen al conocimiento de una falta o la detención de un presunto</w:t>
      </w:r>
      <w:r>
        <w:rPr>
          <w:spacing w:val="13"/>
          <w:sz w:val="15"/>
        </w:rPr>
        <w:t> </w:t>
      </w:r>
      <w:r>
        <w:rPr>
          <w:sz w:val="15"/>
        </w:rPr>
        <w:t>infractor;</w:t>
      </w:r>
    </w:p>
    <w:p>
      <w:pPr>
        <w:pStyle w:val="ListParagraph"/>
        <w:numPr>
          <w:ilvl w:val="0"/>
          <w:numId w:val="276"/>
        </w:numPr>
        <w:tabs>
          <w:tab w:pos="647" w:val="left" w:leader="none"/>
        </w:tabs>
        <w:spacing w:line="240" w:lineRule="auto" w:before="2" w:after="0"/>
        <w:ind w:left="646" w:right="0" w:hanging="496"/>
        <w:jc w:val="both"/>
        <w:rPr>
          <w:sz w:val="15"/>
        </w:rPr>
      </w:pPr>
      <w:r>
        <w:rPr>
          <w:sz w:val="15"/>
        </w:rPr>
        <w:t>Bañarse</w:t>
      </w:r>
      <w:r>
        <w:rPr>
          <w:spacing w:val="6"/>
          <w:sz w:val="15"/>
        </w:rPr>
        <w:t> </w:t>
      </w:r>
      <w:r>
        <w:rPr>
          <w:sz w:val="15"/>
        </w:rPr>
        <w:t>desnudo</w:t>
      </w:r>
      <w:r>
        <w:rPr>
          <w:spacing w:val="6"/>
          <w:sz w:val="15"/>
        </w:rPr>
        <w:t> </w:t>
      </w:r>
      <w:r>
        <w:rPr>
          <w:sz w:val="15"/>
        </w:rPr>
        <w:t>en</w:t>
      </w:r>
      <w:r>
        <w:rPr>
          <w:spacing w:val="7"/>
          <w:sz w:val="15"/>
        </w:rPr>
        <w:t> </w:t>
      </w:r>
      <w:r>
        <w:rPr>
          <w:sz w:val="15"/>
        </w:rPr>
        <w:t>los</w:t>
      </w:r>
      <w:r>
        <w:rPr>
          <w:spacing w:val="6"/>
          <w:sz w:val="15"/>
        </w:rPr>
        <w:t> </w:t>
      </w:r>
      <w:r>
        <w:rPr>
          <w:sz w:val="15"/>
        </w:rPr>
        <w:t>ríos,</w:t>
      </w:r>
      <w:r>
        <w:rPr>
          <w:spacing w:val="7"/>
          <w:sz w:val="15"/>
        </w:rPr>
        <w:t> </w:t>
      </w:r>
      <w:r>
        <w:rPr>
          <w:sz w:val="15"/>
        </w:rPr>
        <w:t>presas,</w:t>
      </w:r>
      <w:r>
        <w:rPr>
          <w:spacing w:val="6"/>
          <w:sz w:val="15"/>
        </w:rPr>
        <w:t> </w:t>
      </w:r>
      <w:r>
        <w:rPr>
          <w:sz w:val="15"/>
        </w:rPr>
        <w:t>diques</w:t>
      </w:r>
      <w:r>
        <w:rPr>
          <w:spacing w:val="7"/>
          <w:sz w:val="15"/>
        </w:rPr>
        <w:t> </w:t>
      </w:r>
      <w:r>
        <w:rPr>
          <w:sz w:val="15"/>
        </w:rPr>
        <w:t>o</w:t>
      </w:r>
      <w:r>
        <w:rPr>
          <w:spacing w:val="5"/>
          <w:sz w:val="15"/>
        </w:rPr>
        <w:t> </w:t>
      </w:r>
      <w:r>
        <w:rPr>
          <w:sz w:val="15"/>
        </w:rPr>
        <w:t>lugares</w:t>
      </w:r>
      <w:r>
        <w:rPr>
          <w:spacing w:val="7"/>
          <w:sz w:val="15"/>
        </w:rPr>
        <w:t> </w:t>
      </w:r>
      <w:r>
        <w:rPr>
          <w:sz w:val="15"/>
        </w:rPr>
        <w:t>públicos;</w:t>
      </w:r>
      <w:r>
        <w:rPr>
          <w:spacing w:val="6"/>
          <w:sz w:val="15"/>
        </w:rPr>
        <w:t> </w:t>
      </w:r>
      <w:r>
        <w:rPr>
          <w:sz w:val="15"/>
        </w:rPr>
        <w:t>y</w:t>
      </w:r>
    </w:p>
    <w:p>
      <w:pPr>
        <w:pStyle w:val="ListParagraph"/>
        <w:numPr>
          <w:ilvl w:val="0"/>
          <w:numId w:val="276"/>
        </w:numPr>
        <w:tabs>
          <w:tab w:pos="647" w:val="left" w:leader="none"/>
        </w:tabs>
        <w:spacing w:line="247" w:lineRule="auto" w:before="5" w:after="0"/>
        <w:ind w:left="151" w:right="38" w:firstLine="0"/>
        <w:jc w:val="both"/>
        <w:rPr>
          <w:sz w:val="15"/>
        </w:rPr>
      </w:pPr>
      <w:r>
        <w:rPr>
          <w:sz w:val="15"/>
        </w:rPr>
        <w:t>Realizar actos obscenos o insultantes en la vía o lugares públicos, terrenos baldíos, vehículos o sitios similares en lugares privados con vista al público.</w:t>
      </w:r>
    </w:p>
    <w:p>
      <w:pPr>
        <w:pStyle w:val="BodyText"/>
        <w:spacing w:before="2"/>
      </w:pPr>
    </w:p>
    <w:p>
      <w:pPr>
        <w:pStyle w:val="ListParagraph"/>
        <w:numPr>
          <w:ilvl w:val="0"/>
          <w:numId w:val="270"/>
        </w:numPr>
        <w:tabs>
          <w:tab w:pos="490" w:val="left" w:leader="none"/>
        </w:tabs>
        <w:spacing w:line="247" w:lineRule="auto" w:before="0" w:after="0"/>
        <w:ind w:left="151" w:right="39" w:firstLine="0"/>
        <w:jc w:val="both"/>
        <w:rPr>
          <w:sz w:val="15"/>
        </w:rPr>
      </w:pPr>
      <w:r>
        <w:rPr>
          <w:sz w:val="15"/>
        </w:rPr>
        <w:t>Son faltas contra la moral pública y las buenas costumbres, por cuya comisión se aplicará una multa por el equivalente de10 a 80 Unidades de Medida y Actualización, las</w:t>
      </w:r>
      <w:r>
        <w:rPr>
          <w:spacing w:val="-2"/>
          <w:sz w:val="15"/>
        </w:rPr>
        <w:t> </w:t>
      </w:r>
      <w:r>
        <w:rPr>
          <w:sz w:val="15"/>
        </w:rPr>
        <w:t>siguientes:</w:t>
      </w:r>
    </w:p>
    <w:p>
      <w:pPr>
        <w:pStyle w:val="BodyText"/>
        <w:spacing w:before="3"/>
      </w:pPr>
    </w:p>
    <w:p>
      <w:pPr>
        <w:pStyle w:val="ListParagraph"/>
        <w:numPr>
          <w:ilvl w:val="0"/>
          <w:numId w:val="277"/>
        </w:numPr>
        <w:tabs>
          <w:tab w:pos="647" w:val="left" w:leader="none"/>
        </w:tabs>
        <w:spacing w:line="247" w:lineRule="auto" w:before="0" w:after="0"/>
        <w:ind w:left="151" w:right="39" w:firstLine="0"/>
        <w:jc w:val="both"/>
        <w:rPr>
          <w:sz w:val="15"/>
        </w:rPr>
      </w:pPr>
      <w:r>
        <w:rPr>
          <w:sz w:val="15"/>
        </w:rPr>
        <w:t>Ingerir bebidas alcohólicas en lugares públicos o bien los señalados   en el artículo 19 del Bando de Policía y Buen Gobierno del Municipio de Tlajomulco de Zúñiga, Jalisco, salvo que estos se encuentren expresamente autorizados para tal fin o concurrir bajo sus notorios efectos en lugares públicos; y</w:t>
      </w:r>
    </w:p>
    <w:p>
      <w:pPr>
        <w:pStyle w:val="ListParagraph"/>
        <w:numPr>
          <w:ilvl w:val="0"/>
          <w:numId w:val="277"/>
        </w:numPr>
        <w:tabs>
          <w:tab w:pos="647" w:val="left" w:leader="none"/>
        </w:tabs>
        <w:spacing w:line="244" w:lineRule="auto" w:before="0" w:after="0"/>
        <w:ind w:left="150" w:right="38" w:firstLine="0"/>
        <w:jc w:val="both"/>
        <w:rPr>
          <w:sz w:val="15"/>
        </w:rPr>
      </w:pPr>
      <w:r>
        <w:rPr>
          <w:sz w:val="15"/>
        </w:rPr>
        <w:t>Actuar de forma exhibicionista y lasciva en lugares públicos o bien los señalados en el artículo 19 del Bando de Policía y Buen Gobierno del Municipio de Tlajomulco de Zúñiga,</w:t>
      </w:r>
      <w:r>
        <w:rPr>
          <w:spacing w:val="6"/>
          <w:sz w:val="15"/>
        </w:rPr>
        <w:t> </w:t>
      </w:r>
      <w:r>
        <w:rPr>
          <w:sz w:val="15"/>
        </w:rPr>
        <w:t>Jalisco.</w:t>
      </w:r>
    </w:p>
    <w:p>
      <w:pPr>
        <w:pStyle w:val="BodyText"/>
        <w:spacing w:before="6"/>
      </w:pPr>
    </w:p>
    <w:p>
      <w:pPr>
        <w:pStyle w:val="ListParagraph"/>
        <w:numPr>
          <w:ilvl w:val="0"/>
          <w:numId w:val="270"/>
        </w:numPr>
        <w:tabs>
          <w:tab w:pos="395" w:val="left" w:leader="none"/>
        </w:tabs>
        <w:spacing w:line="247" w:lineRule="auto" w:before="0" w:after="0"/>
        <w:ind w:left="150" w:right="38" w:firstLine="0"/>
        <w:jc w:val="both"/>
        <w:rPr>
          <w:sz w:val="15"/>
        </w:rPr>
      </w:pPr>
      <w:r>
        <w:rPr>
          <w:sz w:val="15"/>
        </w:rPr>
        <w:t>En el caso del inciso a) del artículo anterior, cuando de manera pacífica   se ingieran bebidas alcohólicas en las afueras del domicilio particular de alguno de los presentes, los elementos de la policía los invitarán,  hasta en  dos ocasiones, a ingresar al domicilio, procediendo, en caso de negativa, en los términos del presente</w:t>
      </w:r>
      <w:r>
        <w:rPr>
          <w:spacing w:val="7"/>
          <w:sz w:val="15"/>
        </w:rPr>
        <w:t> </w:t>
      </w:r>
      <w:r>
        <w:rPr>
          <w:sz w:val="15"/>
        </w:rPr>
        <w:t>reglamento.</w:t>
      </w:r>
    </w:p>
    <w:p>
      <w:pPr>
        <w:pStyle w:val="BodyText"/>
        <w:spacing w:before="2"/>
      </w:pPr>
    </w:p>
    <w:p>
      <w:pPr>
        <w:pStyle w:val="BodyText"/>
        <w:ind w:left="150"/>
      </w:pPr>
      <w:r>
        <w:rPr/>
        <w:t>Lo anterior no se aplicará en los siguientes casos:</w:t>
      </w:r>
    </w:p>
    <w:p>
      <w:pPr>
        <w:pStyle w:val="BodyText"/>
        <w:spacing w:before="8"/>
      </w:pPr>
    </w:p>
    <w:p>
      <w:pPr>
        <w:pStyle w:val="ListParagraph"/>
        <w:numPr>
          <w:ilvl w:val="1"/>
          <w:numId w:val="270"/>
        </w:numPr>
        <w:tabs>
          <w:tab w:pos="337" w:val="left" w:leader="none"/>
        </w:tabs>
        <w:spacing w:line="247" w:lineRule="auto" w:before="0" w:after="0"/>
        <w:ind w:left="150" w:right="39" w:firstLine="0"/>
        <w:jc w:val="both"/>
        <w:rPr>
          <w:sz w:val="15"/>
        </w:rPr>
      </w:pPr>
      <w:r>
        <w:rPr>
          <w:sz w:val="15"/>
        </w:rPr>
        <w:t>Cuando las personas estén incurriendo en desórdenes y medie  queja de  un</w:t>
      </w:r>
      <w:r>
        <w:rPr>
          <w:spacing w:val="1"/>
          <w:sz w:val="15"/>
        </w:rPr>
        <w:t> </w:t>
      </w:r>
      <w:r>
        <w:rPr>
          <w:sz w:val="15"/>
        </w:rPr>
        <w:t>perjudicado;</w:t>
      </w:r>
    </w:p>
    <w:p>
      <w:pPr>
        <w:pStyle w:val="ListParagraph"/>
        <w:numPr>
          <w:ilvl w:val="1"/>
          <w:numId w:val="270"/>
        </w:numPr>
        <w:tabs>
          <w:tab w:pos="323" w:val="left" w:leader="none"/>
        </w:tabs>
        <w:spacing w:line="172" w:lineRule="exact" w:before="0" w:after="0"/>
        <w:ind w:left="322" w:right="0" w:hanging="173"/>
        <w:jc w:val="both"/>
        <w:rPr>
          <w:sz w:val="15"/>
        </w:rPr>
      </w:pPr>
      <w:r>
        <w:rPr>
          <w:sz w:val="15"/>
        </w:rPr>
        <w:t>Cuando</w:t>
      </w:r>
      <w:r>
        <w:rPr>
          <w:spacing w:val="5"/>
          <w:sz w:val="15"/>
        </w:rPr>
        <w:t> </w:t>
      </w:r>
      <w:r>
        <w:rPr>
          <w:sz w:val="15"/>
        </w:rPr>
        <w:t>la</w:t>
      </w:r>
      <w:r>
        <w:rPr>
          <w:spacing w:val="6"/>
          <w:sz w:val="15"/>
        </w:rPr>
        <w:t> </w:t>
      </w:r>
      <w:r>
        <w:rPr>
          <w:sz w:val="15"/>
        </w:rPr>
        <w:t>conducta</w:t>
      </w:r>
      <w:r>
        <w:rPr>
          <w:spacing w:val="4"/>
          <w:sz w:val="15"/>
        </w:rPr>
        <w:t> </w:t>
      </w:r>
      <w:r>
        <w:rPr>
          <w:sz w:val="15"/>
        </w:rPr>
        <w:t>de</w:t>
      </w:r>
      <w:r>
        <w:rPr>
          <w:spacing w:val="6"/>
          <w:sz w:val="15"/>
        </w:rPr>
        <w:t> </w:t>
      </w:r>
      <w:r>
        <w:rPr>
          <w:sz w:val="15"/>
        </w:rPr>
        <w:t>las</w:t>
      </w:r>
      <w:r>
        <w:rPr>
          <w:spacing w:val="5"/>
          <w:sz w:val="15"/>
        </w:rPr>
        <w:t> </w:t>
      </w:r>
      <w:r>
        <w:rPr>
          <w:sz w:val="15"/>
        </w:rPr>
        <w:t>personas</w:t>
      </w:r>
      <w:r>
        <w:rPr>
          <w:spacing w:val="6"/>
          <w:sz w:val="15"/>
        </w:rPr>
        <w:t> </w:t>
      </w:r>
      <w:r>
        <w:rPr>
          <w:sz w:val="15"/>
        </w:rPr>
        <w:t>provoque</w:t>
      </w:r>
      <w:r>
        <w:rPr>
          <w:spacing w:val="5"/>
          <w:sz w:val="15"/>
        </w:rPr>
        <w:t> </w:t>
      </w:r>
      <w:r>
        <w:rPr>
          <w:sz w:val="15"/>
        </w:rPr>
        <w:t>un</w:t>
      </w:r>
      <w:r>
        <w:rPr>
          <w:spacing w:val="6"/>
          <w:sz w:val="15"/>
        </w:rPr>
        <w:t> </w:t>
      </w:r>
      <w:r>
        <w:rPr>
          <w:sz w:val="15"/>
        </w:rPr>
        <w:t>ambiente</w:t>
      </w:r>
      <w:r>
        <w:rPr>
          <w:spacing w:val="5"/>
          <w:sz w:val="15"/>
        </w:rPr>
        <w:t> </w:t>
      </w:r>
      <w:r>
        <w:rPr>
          <w:sz w:val="15"/>
        </w:rPr>
        <w:t>hostil;</w:t>
      </w:r>
      <w:r>
        <w:rPr>
          <w:spacing w:val="6"/>
          <w:sz w:val="15"/>
        </w:rPr>
        <w:t> </w:t>
      </w:r>
      <w:r>
        <w:rPr>
          <w:sz w:val="15"/>
        </w:rPr>
        <w:t>y</w:t>
      </w:r>
    </w:p>
    <w:p>
      <w:pPr>
        <w:pStyle w:val="ListParagraph"/>
        <w:numPr>
          <w:ilvl w:val="1"/>
          <w:numId w:val="270"/>
        </w:numPr>
        <w:tabs>
          <w:tab w:pos="334" w:val="left" w:leader="none"/>
        </w:tabs>
        <w:spacing w:line="244" w:lineRule="auto" w:before="5" w:after="0"/>
        <w:ind w:left="150" w:right="38" w:firstLine="0"/>
        <w:jc w:val="both"/>
        <w:rPr>
          <w:sz w:val="15"/>
        </w:rPr>
      </w:pPr>
      <w:r>
        <w:rPr>
          <w:sz w:val="15"/>
        </w:rPr>
        <w:t>Cuando se porten armas de fuego, agentes punzocortantes, explosivos o cualquier objeto que pueda causar daño a la seguridad e integridad de las personas o sus</w:t>
      </w:r>
      <w:r>
        <w:rPr>
          <w:spacing w:val="3"/>
          <w:sz w:val="15"/>
        </w:rPr>
        <w:t> </w:t>
      </w:r>
      <w:r>
        <w:rPr>
          <w:sz w:val="15"/>
        </w:rPr>
        <w:t>bienes.</w:t>
      </w:r>
    </w:p>
    <w:p>
      <w:pPr>
        <w:pStyle w:val="BodyText"/>
        <w:spacing w:before="8"/>
      </w:pPr>
    </w:p>
    <w:p>
      <w:pPr>
        <w:pStyle w:val="ListParagraph"/>
        <w:numPr>
          <w:ilvl w:val="0"/>
          <w:numId w:val="270"/>
        </w:numPr>
        <w:tabs>
          <w:tab w:pos="372" w:val="left" w:leader="none"/>
        </w:tabs>
        <w:spacing w:line="247" w:lineRule="auto" w:before="0" w:after="0"/>
        <w:ind w:left="150" w:right="41" w:firstLine="0"/>
        <w:jc w:val="both"/>
        <w:rPr>
          <w:sz w:val="15"/>
        </w:rPr>
      </w:pPr>
      <w:r>
        <w:rPr>
          <w:sz w:val="15"/>
        </w:rPr>
        <w:t>Son faltas contra la moral pública y las buenas costumbres, por cuya comisión se aplicará una multa por el equivalente de16 a 90 Unidades de Medida y Actualización, las</w:t>
      </w:r>
      <w:r>
        <w:rPr>
          <w:spacing w:val="-2"/>
          <w:sz w:val="15"/>
        </w:rPr>
        <w:t> </w:t>
      </w:r>
      <w:r>
        <w:rPr>
          <w:sz w:val="15"/>
        </w:rPr>
        <w:t>siguientes:</w:t>
      </w:r>
    </w:p>
    <w:p>
      <w:pPr>
        <w:pStyle w:val="BodyText"/>
        <w:spacing w:before="2"/>
      </w:pPr>
    </w:p>
    <w:p>
      <w:pPr>
        <w:pStyle w:val="ListParagraph"/>
        <w:numPr>
          <w:ilvl w:val="0"/>
          <w:numId w:val="278"/>
        </w:numPr>
        <w:tabs>
          <w:tab w:pos="647" w:val="left" w:leader="none"/>
        </w:tabs>
        <w:spacing w:line="247" w:lineRule="auto" w:before="0" w:after="0"/>
        <w:ind w:left="150" w:right="38" w:firstLine="0"/>
        <w:jc w:val="both"/>
        <w:rPr>
          <w:sz w:val="15"/>
        </w:rPr>
      </w:pPr>
      <w:r>
        <w:rPr>
          <w:sz w:val="15"/>
        </w:rPr>
        <w:t>Concurrir en compañía de un menor de edad a centros nocturnos, cantinas, bares o cualquier otro lugar público de similar naturaleza;</w:t>
      </w:r>
    </w:p>
    <w:p>
      <w:pPr>
        <w:pStyle w:val="ListParagraph"/>
        <w:numPr>
          <w:ilvl w:val="0"/>
          <w:numId w:val="278"/>
        </w:numPr>
        <w:tabs>
          <w:tab w:pos="647" w:val="left" w:leader="none"/>
        </w:tabs>
        <w:spacing w:line="247" w:lineRule="auto" w:before="0" w:after="0"/>
        <w:ind w:left="150" w:right="38" w:firstLine="0"/>
        <w:jc w:val="both"/>
        <w:rPr>
          <w:sz w:val="15"/>
        </w:rPr>
      </w:pPr>
      <w:r>
        <w:rPr>
          <w:sz w:val="15"/>
        </w:rPr>
        <w:t>Permitir los responsables o dueños de centros nocturnos, cantinas, bares o cualquier otro lugar público de similar naturaleza, el acceso  a  menores de edad a dichos establecimientos;</w:t>
      </w:r>
      <w:r>
        <w:rPr>
          <w:spacing w:val="13"/>
          <w:sz w:val="15"/>
        </w:rPr>
        <w:t> </w:t>
      </w:r>
      <w:r>
        <w:rPr>
          <w:sz w:val="15"/>
        </w:rPr>
        <w:t>y</w:t>
      </w:r>
    </w:p>
    <w:p>
      <w:pPr>
        <w:pStyle w:val="ListParagraph"/>
        <w:numPr>
          <w:ilvl w:val="0"/>
          <w:numId w:val="278"/>
        </w:numPr>
        <w:tabs>
          <w:tab w:pos="647" w:val="left" w:leader="none"/>
        </w:tabs>
        <w:spacing w:line="170" w:lineRule="exact" w:before="0" w:after="0"/>
        <w:ind w:left="646" w:right="0" w:hanging="497"/>
        <w:jc w:val="both"/>
        <w:rPr>
          <w:sz w:val="15"/>
        </w:rPr>
      </w:pPr>
      <w:r>
        <w:rPr>
          <w:sz w:val="15"/>
        </w:rPr>
        <w:t>Consumir drogas o enervantes en lugares</w:t>
      </w:r>
      <w:r>
        <w:rPr>
          <w:spacing w:val="28"/>
          <w:sz w:val="15"/>
        </w:rPr>
        <w:t> </w:t>
      </w:r>
      <w:r>
        <w:rPr>
          <w:sz w:val="15"/>
        </w:rPr>
        <w:t>públicos.</w:t>
      </w:r>
    </w:p>
    <w:p>
      <w:pPr>
        <w:pStyle w:val="BodyText"/>
        <w:spacing w:before="10"/>
        <w:rPr>
          <w:sz w:val="19"/>
        </w:rPr>
      </w:pPr>
      <w:r>
        <w:rPr/>
        <w:br w:type="column"/>
      </w:r>
      <w:r>
        <w:rPr>
          <w:sz w:val="19"/>
        </w:rPr>
      </w:r>
    </w:p>
    <w:p>
      <w:pPr>
        <w:pStyle w:val="ListParagraph"/>
        <w:numPr>
          <w:ilvl w:val="0"/>
          <w:numId w:val="270"/>
        </w:numPr>
        <w:tabs>
          <w:tab w:pos="393" w:val="left" w:leader="none"/>
        </w:tabs>
        <w:spacing w:line="247" w:lineRule="auto" w:before="0" w:after="0"/>
        <w:ind w:left="151" w:right="2788" w:firstLine="0"/>
        <w:jc w:val="both"/>
        <w:rPr>
          <w:sz w:val="15"/>
        </w:rPr>
      </w:pPr>
      <w:r>
        <w:rPr>
          <w:sz w:val="15"/>
        </w:rPr>
        <w:t>Son faltas contra la protección de la naturaleza, medio ambiente y salud pública, por cuya comisión se aplicará una multa por el equivalente de1 a 50 Unidades de Medida y Actualización, las</w:t>
      </w:r>
      <w:r>
        <w:rPr>
          <w:spacing w:val="7"/>
          <w:sz w:val="15"/>
        </w:rPr>
        <w:t> </w:t>
      </w:r>
      <w:r>
        <w:rPr>
          <w:sz w:val="15"/>
        </w:rPr>
        <w:t>siguientes:</w:t>
      </w:r>
    </w:p>
    <w:p>
      <w:pPr>
        <w:pStyle w:val="BodyText"/>
        <w:spacing w:before="3"/>
      </w:pPr>
    </w:p>
    <w:p>
      <w:pPr>
        <w:pStyle w:val="ListParagraph"/>
        <w:numPr>
          <w:ilvl w:val="0"/>
          <w:numId w:val="279"/>
        </w:numPr>
        <w:tabs>
          <w:tab w:pos="647" w:val="left" w:leader="none"/>
        </w:tabs>
        <w:spacing w:line="244" w:lineRule="auto" w:before="0" w:after="0"/>
        <w:ind w:left="151" w:right="2788" w:hanging="1"/>
        <w:jc w:val="both"/>
        <w:rPr>
          <w:sz w:val="15"/>
        </w:rPr>
      </w:pPr>
      <w:r>
        <w:rPr>
          <w:sz w:val="15"/>
        </w:rPr>
        <w:t>A los propietarios que permitan fumar dentro de las salas de espectáculos, hospitales, salas de cine,  centros  educativos,  oficinas  públicas,</w:t>
      </w:r>
      <w:r>
        <w:rPr>
          <w:spacing w:val="7"/>
          <w:sz w:val="15"/>
        </w:rPr>
        <w:t> </w:t>
      </w:r>
      <w:r>
        <w:rPr>
          <w:sz w:val="15"/>
        </w:rPr>
        <w:t>restaurantes,</w:t>
      </w:r>
      <w:r>
        <w:rPr>
          <w:spacing w:val="8"/>
          <w:sz w:val="15"/>
        </w:rPr>
        <w:t> </w:t>
      </w:r>
      <w:r>
        <w:rPr>
          <w:sz w:val="15"/>
        </w:rPr>
        <w:t>salvo</w:t>
      </w:r>
      <w:r>
        <w:rPr>
          <w:spacing w:val="9"/>
          <w:sz w:val="15"/>
        </w:rPr>
        <w:t> </w:t>
      </w:r>
      <w:r>
        <w:rPr>
          <w:sz w:val="15"/>
        </w:rPr>
        <w:t>que</w:t>
      </w:r>
      <w:r>
        <w:rPr>
          <w:spacing w:val="9"/>
          <w:sz w:val="15"/>
        </w:rPr>
        <w:t> </w:t>
      </w:r>
      <w:r>
        <w:rPr>
          <w:sz w:val="15"/>
        </w:rPr>
        <w:t>se</w:t>
      </w:r>
      <w:r>
        <w:rPr>
          <w:spacing w:val="8"/>
          <w:sz w:val="15"/>
        </w:rPr>
        <w:t> </w:t>
      </w:r>
      <w:r>
        <w:rPr>
          <w:sz w:val="15"/>
        </w:rPr>
        <w:t>encuentre</w:t>
      </w:r>
      <w:r>
        <w:rPr>
          <w:spacing w:val="8"/>
          <w:sz w:val="15"/>
        </w:rPr>
        <w:t> </w:t>
      </w:r>
      <w:r>
        <w:rPr>
          <w:sz w:val="15"/>
        </w:rPr>
        <w:t>expresamente</w:t>
      </w:r>
      <w:r>
        <w:rPr>
          <w:spacing w:val="9"/>
          <w:sz w:val="15"/>
        </w:rPr>
        <w:t> </w:t>
      </w:r>
      <w:r>
        <w:rPr>
          <w:sz w:val="15"/>
        </w:rPr>
        <w:t>permitido;</w:t>
      </w:r>
      <w:r>
        <w:rPr>
          <w:spacing w:val="9"/>
          <w:sz w:val="15"/>
        </w:rPr>
        <w:t> </w:t>
      </w:r>
      <w:r>
        <w:rPr>
          <w:sz w:val="15"/>
        </w:rPr>
        <w:t>y</w:t>
      </w:r>
    </w:p>
    <w:p>
      <w:pPr>
        <w:pStyle w:val="ListParagraph"/>
        <w:numPr>
          <w:ilvl w:val="0"/>
          <w:numId w:val="279"/>
        </w:numPr>
        <w:tabs>
          <w:tab w:pos="647" w:val="left" w:leader="none"/>
        </w:tabs>
        <w:spacing w:line="247" w:lineRule="auto" w:before="3" w:after="0"/>
        <w:ind w:left="151" w:right="2787" w:firstLine="0"/>
        <w:jc w:val="both"/>
        <w:rPr>
          <w:sz w:val="15"/>
        </w:rPr>
      </w:pPr>
      <w:r>
        <w:rPr>
          <w:sz w:val="15"/>
        </w:rPr>
        <w:t>En establos o criaderos de animales mantener sustancias putrefactas que expidan mal olor o que sean nocivos para la salud, dentro de los centros poblados.</w:t>
      </w:r>
    </w:p>
    <w:p>
      <w:pPr>
        <w:pStyle w:val="BodyText"/>
        <w:spacing w:before="3"/>
      </w:pPr>
    </w:p>
    <w:p>
      <w:pPr>
        <w:pStyle w:val="ListParagraph"/>
        <w:numPr>
          <w:ilvl w:val="0"/>
          <w:numId w:val="270"/>
        </w:numPr>
        <w:tabs>
          <w:tab w:pos="432" w:val="left" w:leader="none"/>
        </w:tabs>
        <w:spacing w:line="247" w:lineRule="auto" w:before="0" w:after="0"/>
        <w:ind w:left="151" w:right="2788" w:firstLine="0"/>
        <w:jc w:val="both"/>
        <w:rPr>
          <w:sz w:val="15"/>
        </w:rPr>
      </w:pPr>
      <w:r>
        <w:rPr>
          <w:sz w:val="15"/>
        </w:rPr>
        <w:t>Son faltas contra la protección de la naturaleza, medio ambiente y salud pública, por cuya comisión se aplicará una multa por el equivalente de10 a  100 Unidades de Medida y Actualización, las</w:t>
      </w:r>
      <w:r>
        <w:rPr>
          <w:spacing w:val="12"/>
          <w:sz w:val="15"/>
        </w:rPr>
        <w:t> </w:t>
      </w:r>
      <w:r>
        <w:rPr>
          <w:sz w:val="15"/>
        </w:rPr>
        <w:t>siguientes:</w:t>
      </w:r>
    </w:p>
    <w:p>
      <w:pPr>
        <w:pStyle w:val="BodyText"/>
        <w:spacing w:before="3"/>
      </w:pPr>
    </w:p>
    <w:p>
      <w:pPr>
        <w:pStyle w:val="ListParagraph"/>
        <w:numPr>
          <w:ilvl w:val="0"/>
          <w:numId w:val="280"/>
        </w:numPr>
        <w:tabs>
          <w:tab w:pos="647" w:val="left" w:leader="none"/>
        </w:tabs>
        <w:spacing w:line="247" w:lineRule="auto" w:before="0" w:after="0"/>
        <w:ind w:left="150" w:right="2787" w:firstLine="0"/>
        <w:jc w:val="both"/>
        <w:rPr>
          <w:sz w:val="15"/>
        </w:rPr>
      </w:pPr>
      <w:r>
        <w:rPr>
          <w:sz w:val="15"/>
        </w:rPr>
        <w:t>Arrojar en lugar público o privado no destinado para ello, basura, desechos, objeto, sustancias fétidas, residuos de poda, animales muertos o desperdicios orgánicos, aceite, combustibles, químicos o infectocontagiosos    u objetos</w:t>
      </w:r>
      <w:r>
        <w:rPr>
          <w:spacing w:val="2"/>
          <w:sz w:val="15"/>
        </w:rPr>
        <w:t> </w:t>
      </w:r>
      <w:r>
        <w:rPr>
          <w:sz w:val="15"/>
        </w:rPr>
        <w:t>contaminantes;</w:t>
      </w:r>
    </w:p>
    <w:p>
      <w:pPr>
        <w:pStyle w:val="ListParagraph"/>
        <w:numPr>
          <w:ilvl w:val="0"/>
          <w:numId w:val="280"/>
        </w:numPr>
        <w:tabs>
          <w:tab w:pos="647" w:val="left" w:leader="none"/>
        </w:tabs>
        <w:spacing w:line="244" w:lineRule="auto" w:before="0" w:after="0"/>
        <w:ind w:left="151" w:right="2788" w:firstLine="0"/>
        <w:jc w:val="both"/>
        <w:rPr>
          <w:sz w:val="15"/>
        </w:rPr>
      </w:pPr>
      <w:r>
        <w:rPr>
          <w:sz w:val="15"/>
        </w:rPr>
        <w:t>Incinerar llantas, residuos orgánicos o de podas, plásticos, hule y similares, cuyo humo cause molestias, altere la salud o trastorne el  ecosistema y el medio</w:t>
      </w:r>
      <w:r>
        <w:rPr>
          <w:spacing w:val="4"/>
          <w:sz w:val="15"/>
        </w:rPr>
        <w:t> </w:t>
      </w:r>
      <w:r>
        <w:rPr>
          <w:sz w:val="15"/>
        </w:rPr>
        <w:t>ambiente;</w:t>
      </w:r>
    </w:p>
    <w:p>
      <w:pPr>
        <w:pStyle w:val="ListParagraph"/>
        <w:numPr>
          <w:ilvl w:val="0"/>
          <w:numId w:val="280"/>
        </w:numPr>
        <w:tabs>
          <w:tab w:pos="647" w:val="left" w:leader="none"/>
        </w:tabs>
        <w:spacing w:line="247" w:lineRule="auto" w:before="1" w:after="0"/>
        <w:ind w:left="151" w:right="2788" w:firstLine="0"/>
        <w:jc w:val="both"/>
        <w:rPr>
          <w:sz w:val="15"/>
        </w:rPr>
      </w:pPr>
      <w:r>
        <w:rPr>
          <w:sz w:val="15"/>
        </w:rPr>
        <w:t>Mantener los predios urbanos, con o sin construcción, en condiciones que no garanticen la higiene y seguridad; o sin los medios necesarios para evitar</w:t>
      </w:r>
      <w:r>
        <w:rPr>
          <w:spacing w:val="5"/>
          <w:sz w:val="15"/>
        </w:rPr>
        <w:t> </w:t>
      </w:r>
      <w:r>
        <w:rPr>
          <w:sz w:val="15"/>
        </w:rPr>
        <w:t>el</w:t>
      </w:r>
      <w:r>
        <w:rPr>
          <w:spacing w:val="5"/>
          <w:sz w:val="15"/>
        </w:rPr>
        <w:t> </w:t>
      </w:r>
      <w:r>
        <w:rPr>
          <w:sz w:val="15"/>
        </w:rPr>
        <w:t>acceso</w:t>
      </w:r>
      <w:r>
        <w:rPr>
          <w:spacing w:val="6"/>
          <w:sz w:val="15"/>
        </w:rPr>
        <w:t> </w:t>
      </w:r>
      <w:r>
        <w:rPr>
          <w:sz w:val="15"/>
        </w:rPr>
        <w:t>de</w:t>
      </w:r>
      <w:r>
        <w:rPr>
          <w:spacing w:val="5"/>
          <w:sz w:val="15"/>
        </w:rPr>
        <w:t> </w:t>
      </w:r>
      <w:r>
        <w:rPr>
          <w:sz w:val="15"/>
        </w:rPr>
        <w:t>personas</w:t>
      </w:r>
      <w:r>
        <w:rPr>
          <w:spacing w:val="5"/>
          <w:sz w:val="15"/>
        </w:rPr>
        <w:t> </w:t>
      </w:r>
      <w:r>
        <w:rPr>
          <w:sz w:val="15"/>
        </w:rPr>
        <w:t>que</w:t>
      </w:r>
      <w:r>
        <w:rPr>
          <w:spacing w:val="6"/>
          <w:sz w:val="15"/>
        </w:rPr>
        <w:t> </w:t>
      </w:r>
      <w:r>
        <w:rPr>
          <w:sz w:val="15"/>
        </w:rPr>
        <w:t>se</w:t>
      </w:r>
      <w:r>
        <w:rPr>
          <w:spacing w:val="4"/>
          <w:sz w:val="15"/>
        </w:rPr>
        <w:t> </w:t>
      </w:r>
      <w:r>
        <w:rPr>
          <w:sz w:val="15"/>
        </w:rPr>
        <w:t>conviertan</w:t>
      </w:r>
      <w:r>
        <w:rPr>
          <w:spacing w:val="5"/>
          <w:sz w:val="15"/>
        </w:rPr>
        <w:t> </w:t>
      </w:r>
      <w:r>
        <w:rPr>
          <w:sz w:val="15"/>
        </w:rPr>
        <w:t>en</w:t>
      </w:r>
      <w:r>
        <w:rPr>
          <w:spacing w:val="6"/>
          <w:sz w:val="15"/>
        </w:rPr>
        <w:t> </w:t>
      </w:r>
      <w:r>
        <w:rPr>
          <w:sz w:val="15"/>
        </w:rPr>
        <w:t>molestias</w:t>
      </w:r>
      <w:r>
        <w:rPr>
          <w:spacing w:val="5"/>
          <w:sz w:val="15"/>
        </w:rPr>
        <w:t> </w:t>
      </w:r>
      <w:r>
        <w:rPr>
          <w:sz w:val="15"/>
        </w:rPr>
        <w:t>o</w:t>
      </w:r>
      <w:r>
        <w:rPr>
          <w:spacing w:val="6"/>
          <w:sz w:val="15"/>
        </w:rPr>
        <w:t> </w:t>
      </w:r>
      <w:r>
        <w:rPr>
          <w:sz w:val="15"/>
        </w:rPr>
        <w:t>peligro;</w:t>
      </w:r>
    </w:p>
    <w:p>
      <w:pPr>
        <w:pStyle w:val="ListParagraph"/>
        <w:numPr>
          <w:ilvl w:val="0"/>
          <w:numId w:val="280"/>
        </w:numPr>
        <w:tabs>
          <w:tab w:pos="647" w:val="left" w:leader="none"/>
        </w:tabs>
        <w:spacing w:line="247" w:lineRule="auto" w:before="0" w:after="0"/>
        <w:ind w:left="151" w:right="2788" w:firstLine="0"/>
        <w:jc w:val="both"/>
        <w:rPr>
          <w:sz w:val="15"/>
        </w:rPr>
      </w:pPr>
      <w:r>
        <w:rPr>
          <w:spacing w:val="-3"/>
          <w:sz w:val="15"/>
        </w:rPr>
        <w:t>Tolerar </w:t>
      </w:r>
      <w:r>
        <w:rPr>
          <w:sz w:val="15"/>
        </w:rPr>
        <w:t>o permitir los propietarios o vecinos lotes baldíos que  se  utilicen con fines o como tiraderos de</w:t>
      </w:r>
      <w:r>
        <w:rPr>
          <w:spacing w:val="11"/>
          <w:sz w:val="15"/>
        </w:rPr>
        <w:t> </w:t>
      </w:r>
      <w:r>
        <w:rPr>
          <w:sz w:val="15"/>
        </w:rPr>
        <w:t>basura;</w:t>
      </w:r>
    </w:p>
    <w:p>
      <w:pPr>
        <w:pStyle w:val="ListParagraph"/>
        <w:numPr>
          <w:ilvl w:val="0"/>
          <w:numId w:val="280"/>
        </w:numPr>
        <w:tabs>
          <w:tab w:pos="647" w:val="left" w:leader="none"/>
        </w:tabs>
        <w:spacing w:line="247" w:lineRule="auto" w:before="0" w:after="0"/>
        <w:ind w:left="151" w:right="2787" w:firstLine="0"/>
        <w:jc w:val="both"/>
        <w:rPr>
          <w:sz w:val="15"/>
        </w:rPr>
      </w:pPr>
      <w:r>
        <w:rPr>
          <w:sz w:val="15"/>
        </w:rPr>
        <w:t>Efectuar o provocar incendios en predio público o privados en el territorio Municipal sin afectar masas forestales o ubicado fuera de un área natural</w:t>
      </w:r>
      <w:r>
        <w:rPr>
          <w:spacing w:val="1"/>
          <w:sz w:val="15"/>
        </w:rPr>
        <w:t> </w:t>
      </w:r>
      <w:r>
        <w:rPr>
          <w:sz w:val="15"/>
        </w:rPr>
        <w:t>protegida;</w:t>
      </w:r>
    </w:p>
    <w:p>
      <w:pPr>
        <w:pStyle w:val="ListParagraph"/>
        <w:numPr>
          <w:ilvl w:val="0"/>
          <w:numId w:val="280"/>
        </w:numPr>
        <w:tabs>
          <w:tab w:pos="648" w:val="left" w:leader="none"/>
        </w:tabs>
        <w:spacing w:line="247" w:lineRule="auto" w:before="0" w:after="0"/>
        <w:ind w:left="151" w:right="2787" w:hanging="1"/>
        <w:jc w:val="both"/>
        <w:rPr>
          <w:sz w:val="15"/>
        </w:rPr>
      </w:pPr>
      <w:r>
        <w:rPr>
          <w:sz w:val="15"/>
        </w:rPr>
        <w:t>Efectuar o provocar derrumbes en sitio público o privados en el  territorio</w:t>
      </w:r>
      <w:r>
        <w:rPr>
          <w:spacing w:val="1"/>
          <w:sz w:val="15"/>
        </w:rPr>
        <w:t> </w:t>
      </w:r>
      <w:r>
        <w:rPr>
          <w:sz w:val="15"/>
        </w:rPr>
        <w:t>Municipal;</w:t>
      </w:r>
    </w:p>
    <w:p>
      <w:pPr>
        <w:pStyle w:val="ListParagraph"/>
        <w:numPr>
          <w:ilvl w:val="0"/>
          <w:numId w:val="280"/>
        </w:numPr>
        <w:tabs>
          <w:tab w:pos="647" w:val="left" w:leader="none"/>
        </w:tabs>
        <w:spacing w:line="247" w:lineRule="auto" w:before="0" w:after="0"/>
        <w:ind w:left="151" w:right="2787" w:firstLine="0"/>
        <w:jc w:val="both"/>
        <w:rPr>
          <w:sz w:val="15"/>
        </w:rPr>
      </w:pPr>
      <w:r>
        <w:rPr>
          <w:spacing w:val="-4"/>
          <w:sz w:val="15"/>
        </w:rPr>
        <w:t>Talar </w:t>
      </w:r>
      <w:r>
        <w:rPr>
          <w:sz w:val="15"/>
        </w:rPr>
        <w:t>o podar cualquier clase de árbol que se encuentre en la vía pública sin la autorización correspondiente, con excepción de las podas necesarias de árboles en ramas menores al diámetro y condiciones que determine el reglamento municipal aplicable en la</w:t>
      </w:r>
      <w:r>
        <w:rPr>
          <w:spacing w:val="22"/>
          <w:sz w:val="15"/>
        </w:rPr>
        <w:t> </w:t>
      </w:r>
      <w:r>
        <w:rPr>
          <w:sz w:val="15"/>
        </w:rPr>
        <w:t>materia;</w:t>
      </w:r>
    </w:p>
    <w:p>
      <w:pPr>
        <w:pStyle w:val="ListParagraph"/>
        <w:numPr>
          <w:ilvl w:val="0"/>
          <w:numId w:val="280"/>
        </w:numPr>
        <w:tabs>
          <w:tab w:pos="647" w:val="left" w:leader="none"/>
        </w:tabs>
        <w:spacing w:line="247" w:lineRule="auto" w:before="0" w:after="0"/>
        <w:ind w:left="151" w:right="2787" w:firstLine="0"/>
        <w:jc w:val="both"/>
        <w:rPr>
          <w:sz w:val="15"/>
        </w:rPr>
      </w:pPr>
      <w:r>
        <w:rPr>
          <w:sz w:val="15"/>
        </w:rPr>
        <w:t>Omitir la recolección, en las vías o lugares públicos, de las</w:t>
      </w:r>
      <w:r>
        <w:rPr>
          <w:spacing w:val="12"/>
          <w:sz w:val="15"/>
        </w:rPr>
        <w:t> </w:t>
      </w:r>
      <w:r>
        <w:rPr>
          <w:sz w:val="15"/>
        </w:rPr>
        <w:t>heces fecales de un animal de su propiedad o bajo su</w:t>
      </w:r>
      <w:r>
        <w:rPr>
          <w:spacing w:val="27"/>
          <w:sz w:val="15"/>
        </w:rPr>
        <w:t> </w:t>
      </w:r>
      <w:r>
        <w:rPr>
          <w:sz w:val="15"/>
        </w:rPr>
        <w:t>custodia;</w:t>
      </w:r>
    </w:p>
    <w:p>
      <w:pPr>
        <w:pStyle w:val="ListParagraph"/>
        <w:numPr>
          <w:ilvl w:val="0"/>
          <w:numId w:val="280"/>
        </w:numPr>
        <w:tabs>
          <w:tab w:pos="647" w:val="left" w:leader="none"/>
        </w:tabs>
        <w:spacing w:line="247" w:lineRule="auto" w:before="0" w:after="0"/>
        <w:ind w:left="151" w:right="2789" w:firstLine="0"/>
        <w:jc w:val="both"/>
        <w:rPr>
          <w:sz w:val="15"/>
        </w:rPr>
      </w:pPr>
      <w:r>
        <w:rPr>
          <w:sz w:val="15"/>
        </w:rPr>
        <w:t>Por arrojar bachichas o colillas de cigarros o puros en la vía pública o espacios públicos;</w:t>
      </w:r>
      <w:r>
        <w:rPr>
          <w:spacing w:val="2"/>
          <w:sz w:val="15"/>
        </w:rPr>
        <w:t> </w:t>
      </w:r>
      <w:r>
        <w:rPr>
          <w:sz w:val="15"/>
        </w:rPr>
        <w:t>y</w:t>
      </w:r>
    </w:p>
    <w:p>
      <w:pPr>
        <w:pStyle w:val="ListParagraph"/>
        <w:numPr>
          <w:ilvl w:val="0"/>
          <w:numId w:val="280"/>
        </w:numPr>
        <w:tabs>
          <w:tab w:pos="647" w:val="left" w:leader="none"/>
        </w:tabs>
        <w:spacing w:line="247" w:lineRule="auto" w:before="0" w:after="0"/>
        <w:ind w:left="151" w:right="2787" w:firstLine="0"/>
        <w:jc w:val="both"/>
        <w:rPr>
          <w:sz w:val="15"/>
        </w:rPr>
      </w:pPr>
      <w:r>
        <w:rPr>
          <w:sz w:val="15"/>
        </w:rPr>
        <w:t>Por no realizar la separación de basura en residuos orgánicos, inorgánicos y</w:t>
      </w:r>
      <w:r>
        <w:rPr>
          <w:spacing w:val="1"/>
          <w:sz w:val="15"/>
        </w:rPr>
        <w:t> </w:t>
      </w:r>
      <w:r>
        <w:rPr>
          <w:sz w:val="15"/>
        </w:rPr>
        <w:t>sanitarios.</w:t>
      </w:r>
    </w:p>
    <w:p>
      <w:pPr>
        <w:pStyle w:val="BodyText"/>
        <w:spacing w:before="4"/>
        <w:rPr>
          <w:sz w:val="14"/>
        </w:rPr>
      </w:pPr>
    </w:p>
    <w:p>
      <w:pPr>
        <w:pStyle w:val="ListParagraph"/>
        <w:numPr>
          <w:ilvl w:val="0"/>
          <w:numId w:val="270"/>
        </w:numPr>
        <w:tabs>
          <w:tab w:pos="472" w:val="left" w:leader="none"/>
        </w:tabs>
        <w:spacing w:line="247" w:lineRule="auto" w:before="0" w:after="0"/>
        <w:ind w:left="151" w:right="2788" w:firstLine="0"/>
        <w:jc w:val="both"/>
        <w:rPr>
          <w:sz w:val="15"/>
        </w:rPr>
      </w:pPr>
      <w:r>
        <w:rPr>
          <w:sz w:val="15"/>
        </w:rPr>
        <w:t>Son faltas contra la protección de la naturaleza, medio ambiente y salud pública, por cuya comisión se aplicará una multa por el equivalente de16 a  100 Unidades de Medida y Actualización, las</w:t>
      </w:r>
      <w:r>
        <w:rPr>
          <w:spacing w:val="12"/>
          <w:sz w:val="15"/>
        </w:rPr>
        <w:t> </w:t>
      </w:r>
      <w:r>
        <w:rPr>
          <w:sz w:val="15"/>
        </w:rPr>
        <w:t>siguientes:</w:t>
      </w:r>
    </w:p>
    <w:p>
      <w:pPr>
        <w:pStyle w:val="BodyText"/>
        <w:spacing w:before="4"/>
      </w:pPr>
    </w:p>
    <w:p>
      <w:pPr>
        <w:pStyle w:val="ListParagraph"/>
        <w:numPr>
          <w:ilvl w:val="0"/>
          <w:numId w:val="281"/>
        </w:numPr>
        <w:tabs>
          <w:tab w:pos="647" w:val="left" w:leader="none"/>
        </w:tabs>
        <w:spacing w:line="244" w:lineRule="auto" w:before="0" w:after="0"/>
        <w:ind w:left="151" w:right="2788" w:firstLine="0"/>
        <w:jc w:val="both"/>
        <w:rPr>
          <w:sz w:val="15"/>
        </w:rPr>
      </w:pPr>
      <w:r>
        <w:rPr>
          <w:sz w:val="15"/>
        </w:rPr>
        <w:t>Vender bebidas alcohólicas, thiner, cigarros, drogas o sustancias similares a los menores de edad, en caso de ser más de una ocasión al  mismo menor de edad se procederá conforme a la legislación</w:t>
      </w:r>
      <w:r>
        <w:rPr>
          <w:spacing w:val="9"/>
          <w:sz w:val="15"/>
        </w:rPr>
        <w:t> </w:t>
      </w:r>
      <w:r>
        <w:rPr>
          <w:sz w:val="15"/>
        </w:rPr>
        <w:t>penal;</w:t>
      </w:r>
    </w:p>
    <w:p>
      <w:pPr>
        <w:pStyle w:val="ListParagraph"/>
        <w:numPr>
          <w:ilvl w:val="0"/>
          <w:numId w:val="281"/>
        </w:numPr>
        <w:tabs>
          <w:tab w:pos="647" w:val="left" w:leader="none"/>
        </w:tabs>
        <w:spacing w:line="247" w:lineRule="auto" w:before="3" w:after="0"/>
        <w:ind w:left="151" w:right="2790" w:firstLine="0"/>
        <w:jc w:val="both"/>
        <w:rPr>
          <w:sz w:val="15"/>
        </w:rPr>
      </w:pPr>
      <w:r>
        <w:rPr>
          <w:sz w:val="15"/>
        </w:rPr>
        <w:t>Sacrificar animales sin inspección sanitaria o en lugares no autorizados;</w:t>
      </w:r>
    </w:p>
    <w:p>
      <w:pPr>
        <w:pStyle w:val="ListParagraph"/>
        <w:numPr>
          <w:ilvl w:val="0"/>
          <w:numId w:val="281"/>
        </w:numPr>
        <w:tabs>
          <w:tab w:pos="647" w:val="left" w:leader="none"/>
        </w:tabs>
        <w:spacing w:line="247" w:lineRule="auto" w:before="0" w:after="0"/>
        <w:ind w:left="151" w:right="2787" w:firstLine="0"/>
        <w:jc w:val="both"/>
        <w:rPr>
          <w:sz w:val="15"/>
        </w:rPr>
      </w:pPr>
      <w:r>
        <w:rPr>
          <w:sz w:val="15"/>
        </w:rPr>
        <w:t>Expender comestibles o bebidas en estado de descomposición o que por su estado impliquen riesgos para la</w:t>
      </w:r>
      <w:r>
        <w:rPr>
          <w:spacing w:val="13"/>
          <w:sz w:val="15"/>
        </w:rPr>
        <w:t> </w:t>
      </w:r>
      <w:r>
        <w:rPr>
          <w:sz w:val="15"/>
        </w:rPr>
        <w:t>salud;</w:t>
      </w:r>
    </w:p>
    <w:p>
      <w:pPr>
        <w:pStyle w:val="ListParagraph"/>
        <w:numPr>
          <w:ilvl w:val="0"/>
          <w:numId w:val="281"/>
        </w:numPr>
        <w:tabs>
          <w:tab w:pos="647" w:val="left" w:leader="none"/>
        </w:tabs>
        <w:spacing w:line="247" w:lineRule="auto" w:before="0" w:after="0"/>
        <w:ind w:left="151" w:right="2789" w:firstLine="0"/>
        <w:jc w:val="both"/>
        <w:rPr>
          <w:sz w:val="15"/>
        </w:rPr>
      </w:pPr>
      <w:r>
        <w:rPr>
          <w:sz w:val="15"/>
        </w:rPr>
        <w:t>Transportar carnes, frutas, legumbres u otros comestibles en condiciones antihigiénicas;</w:t>
      </w:r>
    </w:p>
    <w:p>
      <w:pPr>
        <w:spacing w:after="0" w:line="247" w:lineRule="auto"/>
        <w:jc w:val="both"/>
        <w:rPr>
          <w:sz w:val="15"/>
        </w:rPr>
        <w:sectPr>
          <w:type w:val="continuous"/>
          <w:pgSz w:w="23250" w:h="15310" w:orient="landscape"/>
          <w:pgMar w:top="0" w:bottom="0" w:left="1880" w:right="1520"/>
          <w:cols w:num="2" w:equalWidth="0">
            <w:col w:w="5473" w:space="6149"/>
            <w:col w:w="8228"/>
          </w:cols>
        </w:sectPr>
      </w:pPr>
    </w:p>
    <w:p>
      <w:pPr>
        <w:pStyle w:val="BodyText"/>
        <w:rPr>
          <w:sz w:val="20"/>
        </w:rPr>
      </w:pPr>
    </w:p>
    <w:p>
      <w:pPr>
        <w:pStyle w:val="BodyText"/>
        <w:rPr>
          <w:sz w:val="20"/>
        </w:rPr>
      </w:pPr>
    </w:p>
    <w:p>
      <w:pPr>
        <w:spacing w:after="0"/>
        <w:rPr>
          <w:sz w:val="20"/>
        </w:rPr>
        <w:sectPr>
          <w:headerReference w:type="default" r:id="rId139"/>
          <w:pgSz w:w="23250" w:h="15310" w:orient="landscape"/>
          <w:pgMar w:header="881" w:footer="499" w:top="1920" w:bottom="680" w:left="1880" w:right="1520"/>
        </w:sectPr>
      </w:pPr>
    </w:p>
    <w:p>
      <w:pPr>
        <w:pStyle w:val="BodyText"/>
        <w:spacing w:before="10"/>
        <w:rPr>
          <w:sz w:val="19"/>
        </w:rPr>
      </w:pPr>
    </w:p>
    <w:p>
      <w:pPr>
        <w:pStyle w:val="ListParagraph"/>
        <w:numPr>
          <w:ilvl w:val="0"/>
          <w:numId w:val="281"/>
        </w:numPr>
        <w:tabs>
          <w:tab w:pos="647" w:val="left" w:leader="none"/>
        </w:tabs>
        <w:spacing w:line="247" w:lineRule="auto" w:before="0" w:after="0"/>
        <w:ind w:left="151" w:right="38" w:firstLine="0"/>
        <w:jc w:val="both"/>
        <w:rPr>
          <w:sz w:val="15"/>
        </w:rPr>
      </w:pPr>
      <w:r>
        <w:rPr>
          <w:sz w:val="15"/>
        </w:rPr>
        <w:t>Por incinerar sustancias y objetos que cuyo humo cause molestias, altere la salud o el medio ambiente;</w:t>
      </w:r>
      <w:r>
        <w:rPr>
          <w:spacing w:val="12"/>
          <w:sz w:val="15"/>
        </w:rPr>
        <w:t> </w:t>
      </w:r>
      <w:r>
        <w:rPr>
          <w:sz w:val="15"/>
        </w:rPr>
        <w:t>y</w:t>
      </w:r>
    </w:p>
    <w:p>
      <w:pPr>
        <w:pStyle w:val="ListParagraph"/>
        <w:numPr>
          <w:ilvl w:val="0"/>
          <w:numId w:val="281"/>
        </w:numPr>
        <w:tabs>
          <w:tab w:pos="647" w:val="left" w:leader="none"/>
        </w:tabs>
        <w:spacing w:line="247" w:lineRule="auto" w:before="0" w:after="0"/>
        <w:ind w:left="151" w:right="38" w:firstLine="0"/>
        <w:jc w:val="both"/>
        <w:rPr>
          <w:sz w:val="15"/>
        </w:rPr>
      </w:pPr>
      <w:r>
        <w:rPr>
          <w:sz w:val="15"/>
        </w:rPr>
        <w:t>Por exhibir en los sitios públicos ejemplares de vida silvestre sin la respectiva</w:t>
      </w:r>
      <w:r>
        <w:rPr>
          <w:spacing w:val="1"/>
          <w:sz w:val="15"/>
        </w:rPr>
        <w:t> </w:t>
      </w:r>
      <w:r>
        <w:rPr>
          <w:sz w:val="15"/>
        </w:rPr>
        <w:t>autorización.</w:t>
      </w:r>
    </w:p>
    <w:p>
      <w:pPr>
        <w:pStyle w:val="BodyText"/>
        <w:spacing w:before="2"/>
      </w:pPr>
    </w:p>
    <w:p>
      <w:pPr>
        <w:pStyle w:val="ListParagraph"/>
        <w:numPr>
          <w:ilvl w:val="0"/>
          <w:numId w:val="270"/>
        </w:numPr>
        <w:tabs>
          <w:tab w:pos="474" w:val="left" w:leader="none"/>
        </w:tabs>
        <w:spacing w:line="247" w:lineRule="auto" w:before="0" w:after="0"/>
        <w:ind w:left="151" w:right="39" w:firstLine="0"/>
        <w:jc w:val="both"/>
        <w:rPr>
          <w:sz w:val="15"/>
        </w:rPr>
      </w:pPr>
      <w:r>
        <w:rPr>
          <w:sz w:val="15"/>
        </w:rPr>
        <w:t>Son faltas contra la protección de la naturaleza, medio ambiente y salud pública, por cuya comisión se aplicará una multa de50 a 500 Unidades de Medida y Actualización, las</w:t>
      </w:r>
      <w:r>
        <w:rPr>
          <w:spacing w:val="-2"/>
          <w:sz w:val="15"/>
        </w:rPr>
        <w:t> </w:t>
      </w:r>
      <w:r>
        <w:rPr>
          <w:sz w:val="15"/>
        </w:rPr>
        <w:t>siguientes:</w:t>
      </w:r>
    </w:p>
    <w:p>
      <w:pPr>
        <w:pStyle w:val="BodyText"/>
        <w:spacing w:before="3"/>
      </w:pPr>
    </w:p>
    <w:p>
      <w:pPr>
        <w:pStyle w:val="ListParagraph"/>
        <w:numPr>
          <w:ilvl w:val="0"/>
          <w:numId w:val="282"/>
        </w:numPr>
        <w:tabs>
          <w:tab w:pos="647" w:val="left" w:leader="none"/>
        </w:tabs>
        <w:spacing w:line="240" w:lineRule="auto" w:before="1" w:after="0"/>
        <w:ind w:left="646" w:right="0" w:hanging="496"/>
        <w:jc w:val="both"/>
        <w:rPr>
          <w:sz w:val="15"/>
        </w:rPr>
      </w:pPr>
      <w:r>
        <w:rPr>
          <w:sz w:val="15"/>
        </w:rPr>
        <w:t>Por</w:t>
      </w:r>
      <w:r>
        <w:rPr>
          <w:spacing w:val="6"/>
          <w:sz w:val="15"/>
        </w:rPr>
        <w:t> </w:t>
      </w:r>
      <w:r>
        <w:rPr>
          <w:sz w:val="15"/>
        </w:rPr>
        <w:t>hacer</w:t>
      </w:r>
      <w:r>
        <w:rPr>
          <w:spacing w:val="7"/>
          <w:sz w:val="15"/>
        </w:rPr>
        <w:t> </w:t>
      </w:r>
      <w:r>
        <w:rPr>
          <w:sz w:val="15"/>
        </w:rPr>
        <w:t>correr</w:t>
      </w:r>
      <w:r>
        <w:rPr>
          <w:spacing w:val="7"/>
          <w:sz w:val="15"/>
        </w:rPr>
        <w:t> </w:t>
      </w:r>
      <w:r>
        <w:rPr>
          <w:sz w:val="15"/>
        </w:rPr>
        <w:t>o</w:t>
      </w:r>
      <w:r>
        <w:rPr>
          <w:spacing w:val="7"/>
          <w:sz w:val="15"/>
        </w:rPr>
        <w:t> </w:t>
      </w:r>
      <w:r>
        <w:rPr>
          <w:sz w:val="15"/>
        </w:rPr>
        <w:t>arrojar</w:t>
      </w:r>
      <w:r>
        <w:rPr>
          <w:spacing w:val="6"/>
          <w:sz w:val="15"/>
        </w:rPr>
        <w:t> </w:t>
      </w:r>
      <w:r>
        <w:rPr>
          <w:sz w:val="15"/>
        </w:rPr>
        <w:t>aguas</w:t>
      </w:r>
      <w:r>
        <w:rPr>
          <w:spacing w:val="7"/>
          <w:sz w:val="15"/>
        </w:rPr>
        <w:t> </w:t>
      </w:r>
      <w:r>
        <w:rPr>
          <w:sz w:val="15"/>
        </w:rPr>
        <w:t>sucias</w:t>
      </w:r>
      <w:r>
        <w:rPr>
          <w:spacing w:val="7"/>
          <w:sz w:val="15"/>
        </w:rPr>
        <w:t> </w:t>
      </w:r>
      <w:r>
        <w:rPr>
          <w:sz w:val="15"/>
        </w:rPr>
        <w:t>en</w:t>
      </w:r>
      <w:r>
        <w:rPr>
          <w:spacing w:val="7"/>
          <w:sz w:val="15"/>
        </w:rPr>
        <w:t> </w:t>
      </w:r>
      <w:r>
        <w:rPr>
          <w:sz w:val="15"/>
        </w:rPr>
        <w:t>la</w:t>
      </w:r>
      <w:r>
        <w:rPr>
          <w:spacing w:val="6"/>
          <w:sz w:val="15"/>
        </w:rPr>
        <w:t> </w:t>
      </w:r>
      <w:r>
        <w:rPr>
          <w:sz w:val="15"/>
        </w:rPr>
        <w:t>vía</w:t>
      </w:r>
      <w:r>
        <w:rPr>
          <w:spacing w:val="7"/>
          <w:sz w:val="15"/>
        </w:rPr>
        <w:t> </w:t>
      </w:r>
      <w:r>
        <w:rPr>
          <w:sz w:val="15"/>
        </w:rPr>
        <w:t>o</w:t>
      </w:r>
      <w:r>
        <w:rPr>
          <w:spacing w:val="7"/>
          <w:sz w:val="15"/>
        </w:rPr>
        <w:t> </w:t>
      </w:r>
      <w:r>
        <w:rPr>
          <w:sz w:val="15"/>
        </w:rPr>
        <w:t>lugares</w:t>
      </w:r>
      <w:r>
        <w:rPr>
          <w:spacing w:val="6"/>
          <w:sz w:val="15"/>
        </w:rPr>
        <w:t> </w:t>
      </w:r>
      <w:r>
        <w:rPr>
          <w:sz w:val="15"/>
        </w:rPr>
        <w:t>públicos;</w:t>
      </w:r>
    </w:p>
    <w:p>
      <w:pPr>
        <w:pStyle w:val="ListParagraph"/>
        <w:numPr>
          <w:ilvl w:val="0"/>
          <w:numId w:val="282"/>
        </w:numPr>
        <w:tabs>
          <w:tab w:pos="647" w:val="left" w:leader="none"/>
        </w:tabs>
        <w:spacing w:line="247" w:lineRule="auto" w:before="3" w:after="0"/>
        <w:ind w:left="151" w:right="38" w:firstLine="0"/>
        <w:jc w:val="both"/>
        <w:rPr>
          <w:sz w:val="15"/>
        </w:rPr>
      </w:pPr>
      <w:r>
        <w:rPr>
          <w:sz w:val="15"/>
        </w:rPr>
        <w:t>Desviar, retener o alterar las corrientes de agua, manantiales, acueductos, tuberías, drenajes, cuerpos de agua o</w:t>
      </w:r>
      <w:r>
        <w:rPr>
          <w:spacing w:val="22"/>
          <w:sz w:val="15"/>
        </w:rPr>
        <w:t> </w:t>
      </w:r>
      <w:r>
        <w:rPr>
          <w:sz w:val="15"/>
        </w:rPr>
        <w:t>arroyos;</w:t>
      </w:r>
    </w:p>
    <w:p>
      <w:pPr>
        <w:pStyle w:val="ListParagraph"/>
        <w:numPr>
          <w:ilvl w:val="0"/>
          <w:numId w:val="282"/>
        </w:numPr>
        <w:tabs>
          <w:tab w:pos="647" w:val="left" w:leader="none"/>
        </w:tabs>
        <w:spacing w:line="247" w:lineRule="auto" w:before="0" w:after="0"/>
        <w:ind w:left="150" w:right="39" w:firstLine="0"/>
        <w:jc w:val="both"/>
        <w:rPr>
          <w:sz w:val="15"/>
        </w:rPr>
      </w:pPr>
      <w:r>
        <w:rPr>
          <w:sz w:val="15"/>
        </w:rPr>
        <w:t>Arrojar residuos sólidos o líquidos contaminantes a las corrientes de agua, manantiales, acueductos, tuberías, drenajes, cuerpos  de  agua,  arroyos, tanques o tinacos almacenadores;</w:t>
      </w:r>
      <w:r>
        <w:rPr>
          <w:spacing w:val="10"/>
          <w:sz w:val="15"/>
        </w:rPr>
        <w:t> </w:t>
      </w:r>
      <w:r>
        <w:rPr>
          <w:sz w:val="15"/>
        </w:rPr>
        <w:t>y</w:t>
      </w:r>
    </w:p>
    <w:p>
      <w:pPr>
        <w:pStyle w:val="ListParagraph"/>
        <w:numPr>
          <w:ilvl w:val="0"/>
          <w:numId w:val="282"/>
        </w:numPr>
        <w:tabs>
          <w:tab w:pos="647" w:val="left" w:leader="none"/>
        </w:tabs>
        <w:spacing w:line="244" w:lineRule="auto" w:before="0" w:after="0"/>
        <w:ind w:left="150" w:right="43" w:firstLine="0"/>
        <w:jc w:val="both"/>
        <w:rPr>
          <w:sz w:val="15"/>
        </w:rPr>
      </w:pPr>
      <w:r>
        <w:rPr>
          <w:sz w:val="15"/>
        </w:rPr>
        <w:t>Por obstruir los canales pluviales, que ayuden a impedir las inundaciones en las vialidades</w:t>
      </w:r>
      <w:r>
        <w:rPr>
          <w:spacing w:val="8"/>
          <w:sz w:val="15"/>
        </w:rPr>
        <w:t> </w:t>
      </w:r>
      <w:r>
        <w:rPr>
          <w:sz w:val="15"/>
        </w:rPr>
        <w:t>municipales.</w:t>
      </w:r>
    </w:p>
    <w:p>
      <w:pPr>
        <w:pStyle w:val="BodyText"/>
        <w:spacing w:before="5"/>
      </w:pPr>
    </w:p>
    <w:p>
      <w:pPr>
        <w:pStyle w:val="ListParagraph"/>
        <w:numPr>
          <w:ilvl w:val="0"/>
          <w:numId w:val="270"/>
        </w:numPr>
        <w:tabs>
          <w:tab w:pos="430" w:val="left" w:leader="none"/>
        </w:tabs>
        <w:spacing w:line="247" w:lineRule="auto" w:before="0" w:after="0"/>
        <w:ind w:left="150" w:right="39" w:firstLine="0"/>
        <w:jc w:val="both"/>
        <w:rPr>
          <w:sz w:val="15"/>
        </w:rPr>
      </w:pPr>
      <w:r>
        <w:rPr>
          <w:sz w:val="15"/>
        </w:rPr>
        <w:t>Son faltas contra la propiedad pública, por cuya comisión se aplicará una multa por el equivalente de15 a 40 Unidades de Medida y Actualización, las siguientes:</w:t>
      </w:r>
    </w:p>
    <w:p>
      <w:pPr>
        <w:pStyle w:val="BodyText"/>
        <w:spacing w:before="2"/>
      </w:pPr>
    </w:p>
    <w:p>
      <w:pPr>
        <w:pStyle w:val="ListParagraph"/>
        <w:numPr>
          <w:ilvl w:val="0"/>
          <w:numId w:val="283"/>
        </w:numPr>
        <w:tabs>
          <w:tab w:pos="647" w:val="left" w:leader="none"/>
        </w:tabs>
        <w:spacing w:line="247" w:lineRule="auto" w:before="0" w:after="0"/>
        <w:ind w:left="150" w:right="39" w:firstLine="0"/>
        <w:jc w:val="both"/>
        <w:rPr>
          <w:sz w:val="15"/>
        </w:rPr>
      </w:pPr>
      <w:r>
        <w:rPr>
          <w:sz w:val="15"/>
        </w:rPr>
        <w:t>Usar indebidamente o deteriorar bienes destinados al uso  común,  tales como casetas telefónicas, buzones, señalética u otros  aparatos similares;</w:t>
      </w:r>
    </w:p>
    <w:p>
      <w:pPr>
        <w:pStyle w:val="ListParagraph"/>
        <w:numPr>
          <w:ilvl w:val="0"/>
          <w:numId w:val="283"/>
        </w:numPr>
        <w:tabs>
          <w:tab w:pos="647" w:val="left" w:leader="none"/>
        </w:tabs>
        <w:spacing w:line="247" w:lineRule="auto" w:before="0" w:after="0"/>
        <w:ind w:left="150" w:right="39" w:firstLine="0"/>
        <w:jc w:val="both"/>
        <w:rPr>
          <w:sz w:val="15"/>
        </w:rPr>
      </w:pPr>
      <w:r>
        <w:rPr>
          <w:sz w:val="15"/>
        </w:rPr>
        <w:t>Rayar, marcar, ensuciar o deteriorar las fachadas, puertas o ventanas de los inmuebles cualquiera que sea su naturaleza o  destino,  arboles,  bardas, muros de contención, postes o construcciones similares, sin consentimiento de sus propietarios o cuando se afecte el paisaje y la  fisonomía del</w:t>
      </w:r>
      <w:r>
        <w:rPr>
          <w:spacing w:val="2"/>
          <w:sz w:val="15"/>
        </w:rPr>
        <w:t> </w:t>
      </w:r>
      <w:r>
        <w:rPr>
          <w:sz w:val="15"/>
        </w:rPr>
        <w:t>municipio;</w:t>
      </w:r>
    </w:p>
    <w:p>
      <w:pPr>
        <w:pStyle w:val="ListParagraph"/>
        <w:numPr>
          <w:ilvl w:val="0"/>
          <w:numId w:val="283"/>
        </w:numPr>
        <w:tabs>
          <w:tab w:pos="647" w:val="left" w:leader="none"/>
        </w:tabs>
        <w:spacing w:line="247" w:lineRule="auto" w:before="0" w:after="0"/>
        <w:ind w:left="150" w:right="39" w:firstLine="0"/>
        <w:jc w:val="both"/>
        <w:rPr>
          <w:sz w:val="15"/>
        </w:rPr>
      </w:pPr>
      <w:r>
        <w:rPr>
          <w:sz w:val="15"/>
        </w:rPr>
        <w:t>Fijar anuncios o propaganda de cualquier naturaleza en árboles, edificios públicos sin la autorización de la autoridad</w:t>
      </w:r>
      <w:r>
        <w:rPr>
          <w:spacing w:val="27"/>
          <w:sz w:val="15"/>
        </w:rPr>
        <w:t> </w:t>
      </w:r>
      <w:r>
        <w:rPr>
          <w:sz w:val="15"/>
        </w:rPr>
        <w:t>municipal;</w:t>
      </w:r>
    </w:p>
    <w:p>
      <w:pPr>
        <w:pStyle w:val="ListParagraph"/>
        <w:numPr>
          <w:ilvl w:val="0"/>
          <w:numId w:val="283"/>
        </w:numPr>
        <w:tabs>
          <w:tab w:pos="647" w:val="left" w:leader="none"/>
        </w:tabs>
        <w:spacing w:line="247" w:lineRule="auto" w:before="0" w:after="0"/>
        <w:ind w:left="150" w:right="39" w:firstLine="0"/>
        <w:jc w:val="both"/>
        <w:rPr>
          <w:sz w:val="15"/>
        </w:rPr>
      </w:pPr>
      <w:r>
        <w:rPr>
          <w:sz w:val="15"/>
        </w:rPr>
        <w:t>Usar el escudo del Municipio para fines publicitarios no oficiales y de explotación comercial;</w:t>
      </w:r>
      <w:r>
        <w:rPr>
          <w:spacing w:val="2"/>
          <w:sz w:val="15"/>
        </w:rPr>
        <w:t> </w:t>
      </w:r>
      <w:r>
        <w:rPr>
          <w:sz w:val="15"/>
        </w:rPr>
        <w:t>y</w:t>
      </w:r>
    </w:p>
    <w:p>
      <w:pPr>
        <w:pStyle w:val="ListParagraph"/>
        <w:numPr>
          <w:ilvl w:val="0"/>
          <w:numId w:val="283"/>
        </w:numPr>
        <w:tabs>
          <w:tab w:pos="647" w:val="left" w:leader="none"/>
        </w:tabs>
        <w:spacing w:line="247" w:lineRule="auto" w:before="0" w:after="0"/>
        <w:ind w:left="150" w:right="39" w:firstLine="0"/>
        <w:jc w:val="both"/>
        <w:rPr>
          <w:sz w:val="15"/>
        </w:rPr>
      </w:pPr>
      <w:r>
        <w:rPr>
          <w:sz w:val="15"/>
        </w:rPr>
        <w:t>Usar un servicio público sin el pago correspondiente, cuando éste tenga</w:t>
      </w:r>
      <w:r>
        <w:rPr>
          <w:spacing w:val="8"/>
          <w:sz w:val="15"/>
        </w:rPr>
        <w:t> </w:t>
      </w:r>
      <w:r>
        <w:rPr>
          <w:sz w:val="15"/>
        </w:rPr>
        <w:t>un</w:t>
      </w:r>
      <w:r>
        <w:rPr>
          <w:spacing w:val="9"/>
          <w:sz w:val="15"/>
        </w:rPr>
        <w:t> </w:t>
      </w:r>
      <w:r>
        <w:rPr>
          <w:sz w:val="15"/>
        </w:rPr>
        <w:t>costo</w:t>
      </w:r>
      <w:r>
        <w:rPr>
          <w:spacing w:val="9"/>
          <w:sz w:val="15"/>
        </w:rPr>
        <w:t> </w:t>
      </w:r>
      <w:r>
        <w:rPr>
          <w:sz w:val="15"/>
        </w:rPr>
        <w:t>previamente</w:t>
      </w:r>
      <w:r>
        <w:rPr>
          <w:spacing w:val="8"/>
          <w:sz w:val="15"/>
        </w:rPr>
        <w:t> </w:t>
      </w:r>
      <w:r>
        <w:rPr>
          <w:sz w:val="15"/>
        </w:rPr>
        <w:t>establecido</w:t>
      </w:r>
      <w:r>
        <w:rPr>
          <w:spacing w:val="9"/>
          <w:sz w:val="15"/>
        </w:rPr>
        <w:t> </w:t>
      </w:r>
      <w:r>
        <w:rPr>
          <w:sz w:val="15"/>
        </w:rPr>
        <w:t>y</w:t>
      </w:r>
      <w:r>
        <w:rPr>
          <w:spacing w:val="9"/>
          <w:sz w:val="15"/>
        </w:rPr>
        <w:t> </w:t>
      </w:r>
      <w:r>
        <w:rPr>
          <w:sz w:val="15"/>
        </w:rPr>
        <w:t>siempre</w:t>
      </w:r>
      <w:r>
        <w:rPr>
          <w:spacing w:val="8"/>
          <w:sz w:val="15"/>
        </w:rPr>
        <w:t> </w:t>
      </w:r>
      <w:r>
        <w:rPr>
          <w:sz w:val="15"/>
        </w:rPr>
        <w:t>que</w:t>
      </w:r>
      <w:r>
        <w:rPr>
          <w:spacing w:val="9"/>
          <w:sz w:val="15"/>
        </w:rPr>
        <w:t> </w:t>
      </w:r>
      <w:r>
        <w:rPr>
          <w:sz w:val="15"/>
        </w:rPr>
        <w:t>no</w:t>
      </w:r>
      <w:r>
        <w:rPr>
          <w:spacing w:val="9"/>
          <w:sz w:val="15"/>
        </w:rPr>
        <w:t> </w:t>
      </w:r>
      <w:r>
        <w:rPr>
          <w:sz w:val="15"/>
        </w:rPr>
        <w:t>constituya</w:t>
      </w:r>
      <w:r>
        <w:rPr>
          <w:spacing w:val="8"/>
          <w:sz w:val="15"/>
        </w:rPr>
        <w:t> </w:t>
      </w:r>
      <w:r>
        <w:rPr>
          <w:sz w:val="15"/>
        </w:rPr>
        <w:t>delito.</w:t>
      </w:r>
    </w:p>
    <w:p>
      <w:pPr>
        <w:pStyle w:val="BodyText"/>
        <w:spacing w:before="9"/>
        <w:rPr>
          <w:sz w:val="14"/>
        </w:rPr>
      </w:pPr>
    </w:p>
    <w:p>
      <w:pPr>
        <w:pStyle w:val="ListParagraph"/>
        <w:numPr>
          <w:ilvl w:val="0"/>
          <w:numId w:val="270"/>
        </w:numPr>
        <w:tabs>
          <w:tab w:pos="509" w:val="left" w:leader="none"/>
        </w:tabs>
        <w:spacing w:line="244" w:lineRule="auto" w:before="0" w:after="0"/>
        <w:ind w:left="150" w:right="40" w:firstLine="0"/>
        <w:jc w:val="both"/>
        <w:rPr>
          <w:sz w:val="15"/>
        </w:rPr>
      </w:pPr>
      <w:r>
        <w:rPr>
          <w:sz w:val="15"/>
        </w:rPr>
        <w:t>Son faltas contra la propiedad pública, por cuya comisión se aplicara   una multa por el equivalente de10 a 50 Unidades de Medida y Actualización, las</w:t>
      </w:r>
      <w:r>
        <w:rPr>
          <w:spacing w:val="1"/>
          <w:sz w:val="15"/>
        </w:rPr>
        <w:t> </w:t>
      </w:r>
      <w:r>
        <w:rPr>
          <w:sz w:val="15"/>
        </w:rPr>
        <w:t>siguientes:</w:t>
      </w:r>
    </w:p>
    <w:p>
      <w:pPr>
        <w:pStyle w:val="BodyText"/>
        <w:spacing w:before="8"/>
      </w:pPr>
    </w:p>
    <w:p>
      <w:pPr>
        <w:pStyle w:val="ListParagraph"/>
        <w:numPr>
          <w:ilvl w:val="0"/>
          <w:numId w:val="284"/>
        </w:numPr>
        <w:tabs>
          <w:tab w:pos="647" w:val="left" w:leader="none"/>
        </w:tabs>
        <w:spacing w:line="247" w:lineRule="auto" w:before="0" w:after="0"/>
        <w:ind w:left="151" w:right="39" w:firstLine="0"/>
        <w:jc w:val="both"/>
        <w:rPr>
          <w:sz w:val="15"/>
        </w:rPr>
      </w:pPr>
      <w:r>
        <w:rPr>
          <w:sz w:val="15"/>
        </w:rPr>
        <w:t>Dañar, remover, disponer o cortar, sin la debida autorización, arboles, flores, tierra u otros materiales ubicados en lugares públicos;</w:t>
      </w:r>
      <w:r>
        <w:rPr>
          <w:spacing w:val="33"/>
          <w:sz w:val="15"/>
        </w:rPr>
        <w:t> </w:t>
      </w:r>
      <w:r>
        <w:rPr>
          <w:sz w:val="15"/>
        </w:rPr>
        <w:t>y</w:t>
      </w:r>
    </w:p>
    <w:p>
      <w:pPr>
        <w:pStyle w:val="ListParagraph"/>
        <w:numPr>
          <w:ilvl w:val="0"/>
          <w:numId w:val="284"/>
        </w:numPr>
        <w:tabs>
          <w:tab w:pos="647" w:val="left" w:leader="none"/>
        </w:tabs>
        <w:spacing w:line="247" w:lineRule="auto" w:before="0" w:after="0"/>
        <w:ind w:left="151" w:right="39" w:firstLine="0"/>
        <w:jc w:val="both"/>
        <w:rPr>
          <w:sz w:val="15"/>
        </w:rPr>
      </w:pPr>
      <w:r>
        <w:rPr>
          <w:sz w:val="15"/>
        </w:rPr>
        <w:t>Depositar, tierra, piedras u otro material en las calles, caminos u otros lugares públicos, sin permiso de la autoridad</w:t>
      </w:r>
      <w:r>
        <w:rPr>
          <w:spacing w:val="20"/>
          <w:sz w:val="15"/>
        </w:rPr>
        <w:t> </w:t>
      </w:r>
      <w:r>
        <w:rPr>
          <w:sz w:val="15"/>
        </w:rPr>
        <w:t>municipal.</w:t>
      </w:r>
    </w:p>
    <w:p>
      <w:pPr>
        <w:pStyle w:val="BodyText"/>
        <w:rPr>
          <w:sz w:val="16"/>
        </w:rPr>
      </w:pPr>
    </w:p>
    <w:p>
      <w:pPr>
        <w:pStyle w:val="BodyText"/>
        <w:spacing w:before="6"/>
        <w:rPr>
          <w:sz w:val="14"/>
        </w:rPr>
      </w:pPr>
    </w:p>
    <w:p>
      <w:pPr>
        <w:pStyle w:val="ListParagraph"/>
        <w:numPr>
          <w:ilvl w:val="0"/>
          <w:numId w:val="270"/>
        </w:numPr>
        <w:tabs>
          <w:tab w:pos="548" w:val="left" w:leader="none"/>
        </w:tabs>
        <w:spacing w:line="244" w:lineRule="auto" w:before="1" w:after="0"/>
        <w:ind w:left="151" w:right="40" w:firstLine="0"/>
        <w:jc w:val="both"/>
        <w:rPr>
          <w:sz w:val="15"/>
        </w:rPr>
      </w:pPr>
      <w:r>
        <w:rPr>
          <w:sz w:val="15"/>
        </w:rPr>
        <w:t>Son faltas contra la propiedad pública, por cuya comisión se aplicará  una multa por el equivalente de15 a 80 Unidades de Medida y Actualización, las</w:t>
      </w:r>
      <w:r>
        <w:rPr>
          <w:spacing w:val="1"/>
          <w:sz w:val="15"/>
        </w:rPr>
        <w:t> </w:t>
      </w:r>
      <w:r>
        <w:rPr>
          <w:sz w:val="15"/>
        </w:rPr>
        <w:t>siguientes:</w:t>
      </w:r>
    </w:p>
    <w:p>
      <w:pPr>
        <w:pStyle w:val="BodyText"/>
        <w:spacing w:before="7"/>
      </w:pPr>
    </w:p>
    <w:p>
      <w:pPr>
        <w:pStyle w:val="ListParagraph"/>
        <w:numPr>
          <w:ilvl w:val="0"/>
          <w:numId w:val="285"/>
        </w:numPr>
        <w:tabs>
          <w:tab w:pos="647" w:val="left" w:leader="none"/>
        </w:tabs>
        <w:spacing w:line="247" w:lineRule="auto" w:before="0" w:after="0"/>
        <w:ind w:left="151" w:right="39" w:firstLine="0"/>
        <w:jc w:val="both"/>
        <w:rPr>
          <w:sz w:val="15"/>
        </w:rPr>
      </w:pPr>
      <w:r>
        <w:rPr>
          <w:sz w:val="15"/>
        </w:rPr>
        <w:t>Dañar o hacer uso indebido de los monumentos, fuentes, estatuas, anfiteatros, arbotantes o cualquier construcción de uso público o de muebles colocados en los parques, jardines, paseos o lugares</w:t>
      </w:r>
      <w:r>
        <w:rPr>
          <w:spacing w:val="28"/>
          <w:sz w:val="15"/>
        </w:rPr>
        <w:t> </w:t>
      </w:r>
      <w:r>
        <w:rPr>
          <w:sz w:val="15"/>
        </w:rPr>
        <w:t>públicos;</w:t>
      </w:r>
    </w:p>
    <w:p>
      <w:pPr>
        <w:pStyle w:val="ListParagraph"/>
        <w:numPr>
          <w:ilvl w:val="0"/>
          <w:numId w:val="285"/>
        </w:numPr>
        <w:tabs>
          <w:tab w:pos="647" w:val="left" w:leader="none"/>
        </w:tabs>
        <w:spacing w:line="247" w:lineRule="auto" w:before="0" w:after="0"/>
        <w:ind w:left="151" w:right="41" w:firstLine="0"/>
        <w:jc w:val="both"/>
        <w:rPr>
          <w:sz w:val="15"/>
        </w:rPr>
      </w:pPr>
      <w:r>
        <w:rPr>
          <w:sz w:val="15"/>
        </w:rPr>
        <w:t>Hacer excavaciones o construir topes sin la autorización correspondiente en las vías o lugares públicos de uso</w:t>
      </w:r>
      <w:r>
        <w:rPr>
          <w:spacing w:val="31"/>
          <w:sz w:val="15"/>
        </w:rPr>
        <w:t> </w:t>
      </w:r>
      <w:r>
        <w:rPr>
          <w:sz w:val="15"/>
        </w:rPr>
        <w:t>común;</w:t>
      </w:r>
    </w:p>
    <w:p>
      <w:pPr>
        <w:pStyle w:val="BodyText"/>
        <w:spacing w:before="10"/>
        <w:rPr>
          <w:sz w:val="19"/>
        </w:rPr>
      </w:pPr>
      <w:r>
        <w:rPr/>
        <w:br w:type="column"/>
      </w:r>
      <w:r>
        <w:rPr>
          <w:sz w:val="19"/>
        </w:rPr>
      </w:r>
    </w:p>
    <w:p>
      <w:pPr>
        <w:pStyle w:val="ListParagraph"/>
        <w:numPr>
          <w:ilvl w:val="0"/>
          <w:numId w:val="285"/>
        </w:numPr>
        <w:tabs>
          <w:tab w:pos="647" w:val="left" w:leader="none"/>
        </w:tabs>
        <w:spacing w:line="247" w:lineRule="auto" w:before="0" w:after="0"/>
        <w:ind w:left="150" w:right="2787" w:firstLine="0"/>
        <w:jc w:val="both"/>
        <w:rPr>
          <w:sz w:val="15"/>
        </w:rPr>
      </w:pPr>
      <w:r>
        <w:rPr>
          <w:sz w:val="15"/>
        </w:rPr>
        <w:t>Encender o apagar el alumbrado, o abrir o cerrar llaves de agua, ya sean de servicios públicos o privados, sin contar con la autorización para    ello;</w:t>
      </w:r>
    </w:p>
    <w:p>
      <w:pPr>
        <w:pStyle w:val="ListParagraph"/>
        <w:numPr>
          <w:ilvl w:val="0"/>
          <w:numId w:val="285"/>
        </w:numPr>
        <w:tabs>
          <w:tab w:pos="647" w:val="left" w:leader="none"/>
        </w:tabs>
        <w:spacing w:line="247" w:lineRule="auto" w:before="0" w:after="0"/>
        <w:ind w:left="150" w:right="2788" w:firstLine="0"/>
        <w:jc w:val="both"/>
        <w:rPr>
          <w:sz w:val="15"/>
        </w:rPr>
      </w:pPr>
      <w:r>
        <w:rPr>
          <w:sz w:val="15"/>
        </w:rPr>
        <w:t>Dañar o hacer uso indebido de los faroles, focos o instalaciones de alumbrados público;</w:t>
      </w:r>
      <w:r>
        <w:rPr>
          <w:spacing w:val="2"/>
          <w:sz w:val="15"/>
        </w:rPr>
        <w:t> </w:t>
      </w:r>
      <w:r>
        <w:rPr>
          <w:sz w:val="15"/>
        </w:rPr>
        <w:t>y</w:t>
      </w:r>
    </w:p>
    <w:p>
      <w:pPr>
        <w:pStyle w:val="ListParagraph"/>
        <w:numPr>
          <w:ilvl w:val="0"/>
          <w:numId w:val="285"/>
        </w:numPr>
        <w:tabs>
          <w:tab w:pos="647" w:val="left" w:leader="none"/>
        </w:tabs>
        <w:spacing w:line="247" w:lineRule="auto" w:before="0" w:after="0"/>
        <w:ind w:left="150" w:right="2788" w:firstLine="0"/>
        <w:jc w:val="both"/>
        <w:rPr>
          <w:sz w:val="15"/>
        </w:rPr>
      </w:pPr>
      <w:r>
        <w:rPr>
          <w:sz w:val="15"/>
        </w:rPr>
        <w:t>Colocar o permitir que coloquen señalamientos en las banquetas,  frente a sus domicilios o negocios, que indiquen exclusividad en el uso del espacio del estacionamiento, sin contar con el permiso de la autoridad municipal.</w:t>
      </w:r>
    </w:p>
    <w:p>
      <w:pPr>
        <w:pStyle w:val="BodyText"/>
        <w:spacing w:before="10"/>
        <w:rPr>
          <w:sz w:val="14"/>
        </w:rPr>
      </w:pPr>
    </w:p>
    <w:p>
      <w:pPr>
        <w:pStyle w:val="ListParagraph"/>
        <w:numPr>
          <w:ilvl w:val="0"/>
          <w:numId w:val="270"/>
        </w:numPr>
        <w:tabs>
          <w:tab w:pos="695" w:val="left" w:leader="none"/>
        </w:tabs>
        <w:spacing w:line="247" w:lineRule="auto" w:before="1" w:after="0"/>
        <w:ind w:left="150" w:right="2787" w:firstLine="0"/>
        <w:jc w:val="both"/>
        <w:rPr>
          <w:sz w:val="15"/>
        </w:rPr>
      </w:pPr>
      <w:r>
        <w:rPr>
          <w:sz w:val="15"/>
        </w:rPr>
        <w:t>Son faltas contra las medidas de seguridad o clausura por cuya comisión, se aplicará una multa por el equivalente de 50 a 1000 Unidades de Medida y Actualización, a cualquier persona o a los propietarios del bien inmueble que sin romper o alterar el estado natural del sello de clausura se introduzca al bien inmueble o continúen con las actividades que se venían desarrollando al momento de la clausura, así como el que viole las medidas  de seguridad determinadas por autoridad</w:t>
      </w:r>
      <w:r>
        <w:rPr>
          <w:spacing w:val="13"/>
          <w:sz w:val="15"/>
        </w:rPr>
        <w:t> </w:t>
      </w:r>
      <w:r>
        <w:rPr>
          <w:sz w:val="15"/>
        </w:rPr>
        <w:t>municipal.</w:t>
      </w:r>
    </w:p>
    <w:p>
      <w:pPr>
        <w:pStyle w:val="BodyText"/>
      </w:pPr>
    </w:p>
    <w:p>
      <w:pPr>
        <w:pStyle w:val="BodyText"/>
        <w:spacing w:line="247" w:lineRule="auto"/>
        <w:ind w:left="150" w:right="2788"/>
        <w:jc w:val="both"/>
      </w:pPr>
      <w:r>
        <w:rPr/>
        <w:t>Para la aplicación de las multas se tomarán en cuenta la superficie del inmueble objeto de las medidas de seguridad o clausura, de la manera siguiente:</w:t>
      </w:r>
    </w:p>
    <w:p>
      <w:pPr>
        <w:pStyle w:val="BodyText"/>
        <w:spacing w:before="3"/>
      </w:pPr>
    </w:p>
    <w:p>
      <w:pPr>
        <w:pStyle w:val="ListParagraph"/>
        <w:numPr>
          <w:ilvl w:val="0"/>
          <w:numId w:val="286"/>
        </w:numPr>
        <w:tabs>
          <w:tab w:pos="646" w:val="left" w:leader="none"/>
          <w:tab w:pos="647" w:val="left" w:leader="none"/>
        </w:tabs>
        <w:spacing w:line="247" w:lineRule="auto" w:before="0" w:after="0"/>
        <w:ind w:left="150" w:right="2787" w:firstLine="0"/>
        <w:jc w:val="left"/>
        <w:rPr>
          <w:sz w:val="15"/>
        </w:rPr>
      </w:pPr>
      <w:r>
        <w:rPr>
          <w:sz w:val="15"/>
        </w:rPr>
        <w:t>Hasta 59.99 metros cuadrados se aplicará una multa de 50 a 100 Unidades de Medida y</w:t>
      </w:r>
      <w:r>
        <w:rPr>
          <w:spacing w:val="-2"/>
          <w:sz w:val="15"/>
        </w:rPr>
        <w:t> </w:t>
      </w:r>
      <w:r>
        <w:rPr>
          <w:sz w:val="15"/>
        </w:rPr>
        <w:t>Actualización;</w:t>
      </w:r>
    </w:p>
    <w:p>
      <w:pPr>
        <w:pStyle w:val="ListParagraph"/>
        <w:numPr>
          <w:ilvl w:val="0"/>
          <w:numId w:val="286"/>
        </w:numPr>
        <w:tabs>
          <w:tab w:pos="646" w:val="left" w:leader="none"/>
          <w:tab w:pos="647" w:val="left" w:leader="none"/>
        </w:tabs>
        <w:spacing w:line="247" w:lineRule="auto" w:before="0" w:after="0"/>
        <w:ind w:left="150" w:right="2787" w:firstLine="0"/>
        <w:jc w:val="left"/>
        <w:rPr>
          <w:sz w:val="15"/>
        </w:rPr>
      </w:pPr>
      <w:r>
        <w:rPr>
          <w:sz w:val="15"/>
        </w:rPr>
        <w:t>De 60 metros cuadrados hasta 99.99 metros cuadrados se aplicará  una multa de 100 a 200 Unidades de Medida y</w:t>
      </w:r>
      <w:r>
        <w:rPr>
          <w:spacing w:val="24"/>
          <w:sz w:val="15"/>
        </w:rPr>
        <w:t> </w:t>
      </w:r>
      <w:r>
        <w:rPr>
          <w:sz w:val="15"/>
        </w:rPr>
        <w:t>Actualización;</w:t>
      </w:r>
    </w:p>
    <w:p>
      <w:pPr>
        <w:pStyle w:val="ListParagraph"/>
        <w:numPr>
          <w:ilvl w:val="0"/>
          <w:numId w:val="286"/>
        </w:numPr>
        <w:tabs>
          <w:tab w:pos="646" w:val="left" w:leader="none"/>
          <w:tab w:pos="647" w:val="left" w:leader="none"/>
        </w:tabs>
        <w:spacing w:line="244" w:lineRule="auto" w:before="0" w:after="0"/>
        <w:ind w:left="150" w:right="2788" w:firstLine="0"/>
        <w:jc w:val="left"/>
        <w:rPr>
          <w:sz w:val="15"/>
        </w:rPr>
      </w:pPr>
      <w:r>
        <w:rPr>
          <w:sz w:val="15"/>
        </w:rPr>
        <w:t>De 100 metros cuadrados hasta 199.99 metros cuadrados se aplicará una multa de 201 a 300 Unidades de Medida y</w:t>
      </w:r>
      <w:r>
        <w:rPr>
          <w:spacing w:val="24"/>
          <w:sz w:val="15"/>
        </w:rPr>
        <w:t> </w:t>
      </w:r>
      <w:r>
        <w:rPr>
          <w:sz w:val="15"/>
        </w:rPr>
        <w:t>Actualización;</w:t>
      </w:r>
    </w:p>
    <w:p>
      <w:pPr>
        <w:pStyle w:val="ListParagraph"/>
        <w:numPr>
          <w:ilvl w:val="0"/>
          <w:numId w:val="286"/>
        </w:numPr>
        <w:tabs>
          <w:tab w:pos="646" w:val="left" w:leader="none"/>
          <w:tab w:pos="647" w:val="left" w:leader="none"/>
        </w:tabs>
        <w:spacing w:line="247" w:lineRule="auto" w:before="0" w:after="0"/>
        <w:ind w:left="150" w:right="2788" w:firstLine="0"/>
        <w:jc w:val="left"/>
        <w:rPr>
          <w:sz w:val="15"/>
        </w:rPr>
      </w:pPr>
      <w:r>
        <w:rPr>
          <w:sz w:val="15"/>
        </w:rPr>
        <w:t>De 200 metros cuadrados hasta 499.99 metros cuadrados se aplicará una multa de 301 a 600 Unidades de Medida y Actualización;</w:t>
      </w:r>
      <w:r>
        <w:rPr>
          <w:spacing w:val="29"/>
          <w:sz w:val="15"/>
        </w:rPr>
        <w:t> </w:t>
      </w:r>
      <w:r>
        <w:rPr>
          <w:sz w:val="15"/>
        </w:rPr>
        <w:t>y</w:t>
      </w:r>
    </w:p>
    <w:p>
      <w:pPr>
        <w:pStyle w:val="ListParagraph"/>
        <w:numPr>
          <w:ilvl w:val="0"/>
          <w:numId w:val="286"/>
        </w:numPr>
        <w:tabs>
          <w:tab w:pos="646" w:val="left" w:leader="none"/>
          <w:tab w:pos="647" w:val="left" w:leader="none"/>
        </w:tabs>
        <w:spacing w:line="247" w:lineRule="auto" w:before="0" w:after="0"/>
        <w:ind w:left="150" w:right="2788" w:firstLine="0"/>
        <w:jc w:val="left"/>
        <w:rPr>
          <w:sz w:val="15"/>
        </w:rPr>
      </w:pPr>
      <w:r>
        <w:rPr>
          <w:sz w:val="15"/>
        </w:rPr>
        <w:t>De 500 metros cuadrados en adelante se aplicará una multa de 601 a 1000 Unidades de Medida y</w:t>
      </w:r>
      <w:r>
        <w:rPr>
          <w:spacing w:val="1"/>
          <w:sz w:val="15"/>
        </w:rPr>
        <w:t> </w:t>
      </w:r>
      <w:r>
        <w:rPr>
          <w:sz w:val="15"/>
        </w:rPr>
        <w:t>Actualización.</w:t>
      </w:r>
    </w:p>
    <w:p>
      <w:pPr>
        <w:pStyle w:val="BodyText"/>
        <w:spacing w:before="2"/>
      </w:pPr>
    </w:p>
    <w:p>
      <w:pPr>
        <w:pStyle w:val="ListParagraph"/>
        <w:numPr>
          <w:ilvl w:val="0"/>
          <w:numId w:val="270"/>
        </w:numPr>
        <w:tabs>
          <w:tab w:pos="496" w:val="left" w:leader="none"/>
        </w:tabs>
        <w:spacing w:line="247" w:lineRule="auto" w:before="0" w:after="0"/>
        <w:ind w:left="150" w:right="2787" w:firstLine="0"/>
        <w:jc w:val="both"/>
        <w:rPr>
          <w:sz w:val="15"/>
        </w:rPr>
      </w:pPr>
      <w:r>
        <w:rPr>
          <w:sz w:val="15"/>
        </w:rPr>
        <w:t>Son faltas contra el cuidado animal, por cuya comisión se aplicará una multa por el equivalente de5 a 80Unidades de Medida y Actualización, las siguientes:</w:t>
      </w:r>
    </w:p>
    <w:p>
      <w:pPr>
        <w:pStyle w:val="BodyText"/>
        <w:spacing w:before="3"/>
      </w:pPr>
    </w:p>
    <w:p>
      <w:pPr>
        <w:pStyle w:val="ListParagraph"/>
        <w:numPr>
          <w:ilvl w:val="0"/>
          <w:numId w:val="287"/>
        </w:numPr>
        <w:tabs>
          <w:tab w:pos="647" w:val="left" w:leader="none"/>
        </w:tabs>
        <w:spacing w:line="244" w:lineRule="auto" w:before="1" w:after="0"/>
        <w:ind w:left="150" w:right="2787" w:firstLine="0"/>
        <w:jc w:val="both"/>
        <w:rPr>
          <w:sz w:val="15"/>
        </w:rPr>
      </w:pPr>
      <w:r>
        <w:rPr>
          <w:spacing w:val="-4"/>
          <w:sz w:val="15"/>
        </w:rPr>
        <w:t>Tener </w:t>
      </w:r>
      <w:r>
        <w:rPr>
          <w:sz w:val="15"/>
        </w:rPr>
        <w:t>cualquier tipo de animal bajo su propiedad, afuera de las fincas sin los cuidados necesarios para para su protección y de las personas que transiten por la vía</w:t>
      </w:r>
      <w:r>
        <w:rPr>
          <w:spacing w:val="4"/>
          <w:sz w:val="15"/>
        </w:rPr>
        <w:t> </w:t>
      </w:r>
      <w:r>
        <w:rPr>
          <w:sz w:val="15"/>
        </w:rPr>
        <w:t>pública;</w:t>
      </w:r>
    </w:p>
    <w:p>
      <w:pPr>
        <w:pStyle w:val="ListParagraph"/>
        <w:numPr>
          <w:ilvl w:val="0"/>
          <w:numId w:val="287"/>
        </w:numPr>
        <w:tabs>
          <w:tab w:pos="647" w:val="left" w:leader="none"/>
        </w:tabs>
        <w:spacing w:line="247" w:lineRule="auto" w:before="3" w:after="0"/>
        <w:ind w:left="150" w:right="2788" w:firstLine="0"/>
        <w:jc w:val="both"/>
        <w:rPr>
          <w:sz w:val="15"/>
        </w:rPr>
      </w:pPr>
      <w:r>
        <w:rPr>
          <w:sz w:val="15"/>
        </w:rPr>
        <w:t>Trasladar a los animales en los vehículos sin las medidas  de  seguridad necesarias o bien en la caja de carga de las camionetas sin ser asegurados para evitar su</w:t>
      </w:r>
      <w:r>
        <w:rPr>
          <w:spacing w:val="5"/>
          <w:sz w:val="15"/>
        </w:rPr>
        <w:t> </w:t>
      </w:r>
      <w:r>
        <w:rPr>
          <w:sz w:val="15"/>
        </w:rPr>
        <w:t>caída;</w:t>
      </w:r>
    </w:p>
    <w:p>
      <w:pPr>
        <w:pStyle w:val="ListParagraph"/>
        <w:numPr>
          <w:ilvl w:val="0"/>
          <w:numId w:val="287"/>
        </w:numPr>
        <w:tabs>
          <w:tab w:pos="647" w:val="left" w:leader="none"/>
        </w:tabs>
        <w:spacing w:line="247" w:lineRule="auto" w:before="0" w:after="0"/>
        <w:ind w:left="150" w:right="2787" w:firstLine="0"/>
        <w:jc w:val="both"/>
        <w:rPr>
          <w:sz w:val="15"/>
        </w:rPr>
      </w:pPr>
      <w:r>
        <w:rPr>
          <w:sz w:val="15"/>
        </w:rPr>
        <w:t>Mantenerlos sin las medidas de seguridad necesarias, ante las inclemencias del tiempo por periodos prolongados, atados a las defensas, llantas o cualquier parte de vehículos abandonados o estacionados en sus domicilios o en la vía</w:t>
      </w:r>
      <w:r>
        <w:rPr>
          <w:spacing w:val="6"/>
          <w:sz w:val="15"/>
        </w:rPr>
        <w:t> </w:t>
      </w:r>
      <w:r>
        <w:rPr>
          <w:sz w:val="15"/>
        </w:rPr>
        <w:t>pública;</w:t>
      </w:r>
    </w:p>
    <w:p>
      <w:pPr>
        <w:pStyle w:val="ListParagraph"/>
        <w:numPr>
          <w:ilvl w:val="0"/>
          <w:numId w:val="287"/>
        </w:numPr>
        <w:tabs>
          <w:tab w:pos="647" w:val="left" w:leader="none"/>
        </w:tabs>
        <w:spacing w:line="171" w:lineRule="exact" w:before="0" w:after="0"/>
        <w:ind w:left="646" w:right="0" w:hanging="497"/>
        <w:jc w:val="both"/>
        <w:rPr>
          <w:sz w:val="15"/>
        </w:rPr>
      </w:pPr>
      <w:r>
        <w:rPr>
          <w:sz w:val="15"/>
        </w:rPr>
        <w:t>Vender rifar u obsequiar animales en espacios y vía</w:t>
      </w:r>
      <w:r>
        <w:rPr>
          <w:spacing w:val="14"/>
          <w:sz w:val="15"/>
        </w:rPr>
        <w:t> </w:t>
      </w:r>
      <w:r>
        <w:rPr>
          <w:sz w:val="15"/>
        </w:rPr>
        <w:t>pública;</w:t>
      </w:r>
    </w:p>
    <w:p>
      <w:pPr>
        <w:pStyle w:val="ListParagraph"/>
        <w:numPr>
          <w:ilvl w:val="0"/>
          <w:numId w:val="287"/>
        </w:numPr>
        <w:tabs>
          <w:tab w:pos="647" w:val="left" w:leader="none"/>
        </w:tabs>
        <w:spacing w:line="247" w:lineRule="auto" w:before="1" w:after="0"/>
        <w:ind w:left="150" w:right="2787" w:firstLine="0"/>
        <w:jc w:val="both"/>
        <w:rPr>
          <w:sz w:val="15"/>
        </w:rPr>
      </w:pPr>
      <w:r>
        <w:rPr>
          <w:sz w:val="15"/>
        </w:rPr>
        <w:t>Transitar en la vía pública con una mascota sin ir sujeta con pechera,   y correa o cadena, así mismo en caso de los perros considerados como agresivos o perros entrenados para ataque, que transiten en la vía pública, deberán ser acompañados por sus dueños, poseedores o entrenadores, siendo sujetados con correa o cadena corta, con un máximo de un metro con veinticinco</w:t>
      </w:r>
      <w:r>
        <w:rPr>
          <w:spacing w:val="8"/>
          <w:sz w:val="15"/>
        </w:rPr>
        <w:t> </w:t>
      </w:r>
      <w:r>
        <w:rPr>
          <w:sz w:val="15"/>
        </w:rPr>
        <w:t>centímetros</w:t>
      </w:r>
      <w:r>
        <w:rPr>
          <w:spacing w:val="8"/>
          <w:sz w:val="15"/>
        </w:rPr>
        <w:t> </w:t>
      </w:r>
      <w:r>
        <w:rPr>
          <w:sz w:val="15"/>
        </w:rPr>
        <w:t>de</w:t>
      </w:r>
      <w:r>
        <w:rPr>
          <w:spacing w:val="8"/>
          <w:sz w:val="15"/>
        </w:rPr>
        <w:t> </w:t>
      </w:r>
      <w:r>
        <w:rPr>
          <w:sz w:val="15"/>
        </w:rPr>
        <w:t>longitud</w:t>
      </w:r>
      <w:r>
        <w:rPr>
          <w:spacing w:val="8"/>
          <w:sz w:val="15"/>
        </w:rPr>
        <w:t> </w:t>
      </w:r>
      <w:r>
        <w:rPr>
          <w:sz w:val="15"/>
        </w:rPr>
        <w:t>y</w:t>
      </w:r>
      <w:r>
        <w:rPr>
          <w:spacing w:val="8"/>
          <w:sz w:val="15"/>
        </w:rPr>
        <w:t> </w:t>
      </w:r>
      <w:r>
        <w:rPr>
          <w:sz w:val="15"/>
        </w:rPr>
        <w:t>con</w:t>
      </w:r>
      <w:r>
        <w:rPr>
          <w:spacing w:val="8"/>
          <w:sz w:val="15"/>
        </w:rPr>
        <w:t> </w:t>
      </w:r>
      <w:r>
        <w:rPr>
          <w:sz w:val="15"/>
        </w:rPr>
        <w:t>un</w:t>
      </w:r>
      <w:r>
        <w:rPr>
          <w:spacing w:val="8"/>
          <w:sz w:val="15"/>
        </w:rPr>
        <w:t> </w:t>
      </w:r>
      <w:r>
        <w:rPr>
          <w:sz w:val="15"/>
        </w:rPr>
        <w:t>bozal</w:t>
      </w:r>
      <w:r>
        <w:rPr>
          <w:spacing w:val="8"/>
          <w:sz w:val="15"/>
        </w:rPr>
        <w:t> </w:t>
      </w:r>
      <w:r>
        <w:rPr>
          <w:sz w:val="15"/>
        </w:rPr>
        <w:t>de</w:t>
      </w:r>
      <w:r>
        <w:rPr>
          <w:spacing w:val="8"/>
          <w:sz w:val="15"/>
        </w:rPr>
        <w:t> </w:t>
      </w:r>
      <w:r>
        <w:rPr>
          <w:sz w:val="15"/>
        </w:rPr>
        <w:t>acuerdo</w:t>
      </w:r>
      <w:r>
        <w:rPr>
          <w:spacing w:val="7"/>
          <w:sz w:val="15"/>
        </w:rPr>
        <w:t> </w:t>
      </w:r>
      <w:r>
        <w:rPr>
          <w:sz w:val="15"/>
        </w:rPr>
        <w:t>para</w:t>
      </w:r>
      <w:r>
        <w:rPr>
          <w:spacing w:val="8"/>
          <w:sz w:val="15"/>
        </w:rPr>
        <w:t> </w:t>
      </w:r>
      <w:r>
        <w:rPr>
          <w:sz w:val="15"/>
        </w:rPr>
        <w:t>su</w:t>
      </w:r>
      <w:r>
        <w:rPr>
          <w:spacing w:val="8"/>
          <w:sz w:val="15"/>
        </w:rPr>
        <w:t> </w:t>
      </w:r>
      <w:r>
        <w:rPr>
          <w:sz w:val="15"/>
        </w:rPr>
        <w:t>raza;</w:t>
      </w:r>
    </w:p>
    <w:p>
      <w:pPr>
        <w:pStyle w:val="ListParagraph"/>
        <w:numPr>
          <w:ilvl w:val="0"/>
          <w:numId w:val="287"/>
        </w:numPr>
        <w:tabs>
          <w:tab w:pos="647" w:val="left" w:leader="none"/>
        </w:tabs>
        <w:spacing w:line="247" w:lineRule="auto" w:before="0" w:after="0"/>
        <w:ind w:left="150" w:right="2788" w:firstLine="0"/>
        <w:jc w:val="both"/>
        <w:rPr>
          <w:sz w:val="15"/>
        </w:rPr>
      </w:pPr>
      <w:r>
        <w:rPr>
          <w:sz w:val="15"/>
        </w:rPr>
        <w:t>Trasladar a los animales arrastrándolos, suspendiendo de los  miembros</w:t>
      </w:r>
      <w:r>
        <w:rPr>
          <w:spacing w:val="21"/>
          <w:sz w:val="15"/>
        </w:rPr>
        <w:t> </w:t>
      </w:r>
      <w:r>
        <w:rPr>
          <w:sz w:val="15"/>
        </w:rPr>
        <w:t>superiores</w:t>
      </w:r>
      <w:r>
        <w:rPr>
          <w:spacing w:val="21"/>
          <w:sz w:val="15"/>
        </w:rPr>
        <w:t> </w:t>
      </w:r>
      <w:r>
        <w:rPr>
          <w:sz w:val="15"/>
        </w:rPr>
        <w:t>o</w:t>
      </w:r>
      <w:r>
        <w:rPr>
          <w:spacing w:val="21"/>
          <w:sz w:val="15"/>
        </w:rPr>
        <w:t> </w:t>
      </w:r>
      <w:r>
        <w:rPr>
          <w:sz w:val="15"/>
        </w:rPr>
        <w:t>inferiores</w:t>
      </w:r>
      <w:r>
        <w:rPr>
          <w:spacing w:val="21"/>
          <w:sz w:val="15"/>
        </w:rPr>
        <w:t> </w:t>
      </w:r>
      <w:r>
        <w:rPr>
          <w:sz w:val="15"/>
        </w:rPr>
        <w:t>o</w:t>
      </w:r>
      <w:r>
        <w:rPr>
          <w:spacing w:val="19"/>
          <w:sz w:val="15"/>
        </w:rPr>
        <w:t> </w:t>
      </w:r>
      <w:r>
        <w:rPr>
          <w:sz w:val="15"/>
        </w:rPr>
        <w:t>en</w:t>
      </w:r>
      <w:r>
        <w:rPr>
          <w:spacing w:val="21"/>
          <w:sz w:val="15"/>
        </w:rPr>
        <w:t> </w:t>
      </w:r>
      <w:r>
        <w:rPr>
          <w:sz w:val="15"/>
        </w:rPr>
        <w:t>el</w:t>
      </w:r>
      <w:r>
        <w:rPr>
          <w:spacing w:val="22"/>
          <w:sz w:val="15"/>
        </w:rPr>
        <w:t> </w:t>
      </w:r>
      <w:r>
        <w:rPr>
          <w:sz w:val="15"/>
        </w:rPr>
        <w:t>interior</w:t>
      </w:r>
      <w:r>
        <w:rPr>
          <w:spacing w:val="21"/>
          <w:sz w:val="15"/>
        </w:rPr>
        <w:t> </w:t>
      </w:r>
      <w:r>
        <w:rPr>
          <w:sz w:val="15"/>
        </w:rPr>
        <w:t>de</w:t>
      </w:r>
      <w:r>
        <w:rPr>
          <w:spacing w:val="22"/>
          <w:sz w:val="15"/>
        </w:rPr>
        <w:t> </w:t>
      </w:r>
      <w:r>
        <w:rPr>
          <w:sz w:val="15"/>
        </w:rPr>
        <w:t>costales,</w:t>
      </w:r>
      <w:r>
        <w:rPr>
          <w:spacing w:val="23"/>
          <w:sz w:val="15"/>
        </w:rPr>
        <w:t> </w:t>
      </w:r>
      <w:r>
        <w:rPr>
          <w:sz w:val="15"/>
        </w:rPr>
        <w:t>cajas</w:t>
      </w:r>
      <w:r>
        <w:rPr>
          <w:spacing w:val="22"/>
          <w:sz w:val="15"/>
        </w:rPr>
        <w:t> </w:t>
      </w:r>
      <w:r>
        <w:rPr>
          <w:sz w:val="15"/>
        </w:rPr>
        <w:t>o</w:t>
      </w:r>
      <w:r>
        <w:rPr>
          <w:spacing w:val="21"/>
          <w:sz w:val="15"/>
        </w:rPr>
        <w:t> </w:t>
      </w:r>
      <w:r>
        <w:rPr>
          <w:sz w:val="15"/>
        </w:rPr>
        <w:t>bolsas</w:t>
      </w:r>
    </w:p>
    <w:p>
      <w:pPr>
        <w:spacing w:after="0" w:line="247" w:lineRule="auto"/>
        <w:jc w:val="both"/>
        <w:rPr>
          <w:sz w:val="15"/>
        </w:rPr>
        <w:sectPr>
          <w:type w:val="continuous"/>
          <w:pgSz w:w="23250" w:h="15310" w:orient="landscape"/>
          <w:pgMar w:top="0" w:bottom="0" w:left="1880" w:right="1520"/>
          <w:cols w:num="2" w:equalWidth="0">
            <w:col w:w="5474" w:space="6148"/>
            <w:col w:w="8228"/>
          </w:cols>
        </w:sectPr>
      </w:pPr>
    </w:p>
    <w:p>
      <w:pPr>
        <w:pStyle w:val="BodyText"/>
        <w:rPr>
          <w:sz w:val="20"/>
        </w:rPr>
      </w:pPr>
    </w:p>
    <w:p>
      <w:pPr>
        <w:pStyle w:val="BodyText"/>
        <w:spacing w:before="7"/>
        <w:rPr>
          <w:sz w:val="29"/>
        </w:rPr>
      </w:pPr>
    </w:p>
    <w:p>
      <w:pPr>
        <w:spacing w:after="0"/>
        <w:rPr>
          <w:sz w:val="29"/>
        </w:rPr>
        <w:sectPr>
          <w:headerReference w:type="default" r:id="rId140"/>
          <w:pgSz w:w="23250" w:h="15310" w:orient="landscape"/>
          <w:pgMar w:header="881" w:footer="499" w:top="1920" w:bottom="680" w:left="1880" w:right="1520"/>
        </w:sectPr>
      </w:pPr>
    </w:p>
    <w:p>
      <w:pPr>
        <w:pStyle w:val="BodyText"/>
        <w:spacing w:before="118"/>
        <w:ind w:left="151"/>
      </w:pPr>
      <w:r>
        <w:rPr/>
        <w:t>sin ventilación; y</w:t>
      </w:r>
    </w:p>
    <w:p>
      <w:pPr>
        <w:pStyle w:val="ListParagraph"/>
        <w:numPr>
          <w:ilvl w:val="0"/>
          <w:numId w:val="287"/>
        </w:numPr>
        <w:tabs>
          <w:tab w:pos="647" w:val="left" w:leader="none"/>
        </w:tabs>
        <w:spacing w:line="247" w:lineRule="auto" w:before="5" w:after="0"/>
        <w:ind w:left="151" w:right="38" w:firstLine="0"/>
        <w:jc w:val="both"/>
        <w:rPr>
          <w:sz w:val="15"/>
        </w:rPr>
      </w:pPr>
      <w:r>
        <w:rPr>
          <w:sz w:val="15"/>
        </w:rPr>
        <w:t>Utilizar a los animales para actos de magia, ilusionismo u otros espectáculos que les causen sufrimiento y</w:t>
      </w:r>
      <w:r>
        <w:rPr>
          <w:spacing w:val="12"/>
          <w:sz w:val="15"/>
        </w:rPr>
        <w:t> </w:t>
      </w:r>
      <w:r>
        <w:rPr>
          <w:sz w:val="15"/>
        </w:rPr>
        <w:t>dolor.</w:t>
      </w:r>
    </w:p>
    <w:p>
      <w:pPr>
        <w:pStyle w:val="BodyText"/>
        <w:spacing w:before="3"/>
      </w:pPr>
    </w:p>
    <w:p>
      <w:pPr>
        <w:pStyle w:val="ListParagraph"/>
        <w:numPr>
          <w:ilvl w:val="0"/>
          <w:numId w:val="270"/>
        </w:numPr>
        <w:tabs>
          <w:tab w:pos="458" w:val="left" w:leader="none"/>
        </w:tabs>
        <w:spacing w:line="244" w:lineRule="auto" w:before="1" w:after="0"/>
        <w:ind w:left="151" w:right="38" w:firstLine="0"/>
        <w:jc w:val="both"/>
        <w:rPr>
          <w:sz w:val="15"/>
        </w:rPr>
      </w:pPr>
      <w:r>
        <w:rPr>
          <w:sz w:val="15"/>
        </w:rPr>
        <w:t>Son faltas contra el cuidado animal, por cuya comisión se aplicará una multa por el equivalente de10 a 50 Unidades de Medida y Actualización, las siguientes:</w:t>
      </w:r>
    </w:p>
    <w:p>
      <w:pPr>
        <w:pStyle w:val="BodyText"/>
        <w:spacing w:before="7"/>
      </w:pPr>
    </w:p>
    <w:p>
      <w:pPr>
        <w:pStyle w:val="ListParagraph"/>
        <w:numPr>
          <w:ilvl w:val="0"/>
          <w:numId w:val="288"/>
        </w:numPr>
        <w:tabs>
          <w:tab w:pos="647" w:val="left" w:leader="none"/>
        </w:tabs>
        <w:spacing w:line="240" w:lineRule="auto" w:before="0" w:after="0"/>
        <w:ind w:left="646" w:right="0" w:hanging="496"/>
        <w:jc w:val="both"/>
        <w:rPr>
          <w:sz w:val="15"/>
        </w:rPr>
      </w:pPr>
      <w:r>
        <w:rPr>
          <w:sz w:val="15"/>
        </w:rPr>
        <w:t>Abandonar animales vivos en la vía</w:t>
      </w:r>
      <w:r>
        <w:rPr>
          <w:spacing w:val="14"/>
          <w:sz w:val="15"/>
        </w:rPr>
        <w:t> </w:t>
      </w:r>
      <w:r>
        <w:rPr>
          <w:sz w:val="15"/>
        </w:rPr>
        <w:t>pública;</w:t>
      </w:r>
    </w:p>
    <w:p>
      <w:pPr>
        <w:pStyle w:val="ListParagraph"/>
        <w:numPr>
          <w:ilvl w:val="0"/>
          <w:numId w:val="288"/>
        </w:numPr>
        <w:tabs>
          <w:tab w:pos="647" w:val="left" w:leader="none"/>
        </w:tabs>
        <w:spacing w:line="244" w:lineRule="auto" w:before="5" w:after="0"/>
        <w:ind w:left="151" w:right="38" w:firstLine="0"/>
        <w:jc w:val="both"/>
        <w:rPr>
          <w:sz w:val="15"/>
        </w:rPr>
      </w:pPr>
      <w:r>
        <w:rPr>
          <w:sz w:val="15"/>
        </w:rPr>
        <w:t>Atar animales a cualquier vehículo motorizado, obligándolo a correr a  la velocidad de</w:t>
      </w:r>
      <w:r>
        <w:rPr>
          <w:spacing w:val="2"/>
          <w:sz w:val="15"/>
        </w:rPr>
        <w:t> </w:t>
      </w:r>
      <w:r>
        <w:rPr>
          <w:sz w:val="15"/>
        </w:rPr>
        <w:t>éste;</w:t>
      </w:r>
    </w:p>
    <w:p>
      <w:pPr>
        <w:pStyle w:val="ListParagraph"/>
        <w:numPr>
          <w:ilvl w:val="0"/>
          <w:numId w:val="288"/>
        </w:numPr>
        <w:tabs>
          <w:tab w:pos="647" w:val="left" w:leader="none"/>
        </w:tabs>
        <w:spacing w:line="247" w:lineRule="auto" w:before="2" w:after="0"/>
        <w:ind w:left="150" w:right="39" w:firstLine="0"/>
        <w:jc w:val="both"/>
        <w:rPr>
          <w:sz w:val="15"/>
        </w:rPr>
      </w:pPr>
      <w:r>
        <w:rPr>
          <w:sz w:val="15"/>
        </w:rPr>
        <w:t>Apoderarse de animales sin derecho de quien legalmente pueda disponer de</w:t>
      </w:r>
      <w:r>
        <w:rPr>
          <w:spacing w:val="1"/>
          <w:sz w:val="15"/>
        </w:rPr>
        <w:t> </w:t>
      </w:r>
      <w:r>
        <w:rPr>
          <w:sz w:val="15"/>
        </w:rPr>
        <w:t>ellos;</w:t>
      </w:r>
    </w:p>
    <w:p>
      <w:pPr>
        <w:pStyle w:val="ListParagraph"/>
        <w:numPr>
          <w:ilvl w:val="0"/>
          <w:numId w:val="288"/>
        </w:numPr>
        <w:tabs>
          <w:tab w:pos="647" w:val="left" w:leader="none"/>
        </w:tabs>
        <w:spacing w:line="247" w:lineRule="auto" w:before="0" w:after="0"/>
        <w:ind w:left="150" w:right="38" w:firstLine="0"/>
        <w:jc w:val="both"/>
        <w:rPr>
          <w:sz w:val="15"/>
        </w:rPr>
      </w:pPr>
      <w:r>
        <w:rPr>
          <w:sz w:val="15"/>
        </w:rPr>
        <w:t>No presentar de inmediato la Unidad de Salud Animal Municipal, el animal que su propiedad, que tenga posesión o custodia cuando haya generado algún daño o lesión para su control epidemiológico;</w:t>
      </w:r>
      <w:r>
        <w:rPr>
          <w:spacing w:val="35"/>
          <w:sz w:val="15"/>
        </w:rPr>
        <w:t> </w:t>
      </w:r>
      <w:r>
        <w:rPr>
          <w:sz w:val="15"/>
        </w:rPr>
        <w:t>y</w:t>
      </w:r>
    </w:p>
    <w:p>
      <w:pPr>
        <w:pStyle w:val="ListParagraph"/>
        <w:numPr>
          <w:ilvl w:val="0"/>
          <w:numId w:val="288"/>
        </w:numPr>
        <w:tabs>
          <w:tab w:pos="647" w:val="left" w:leader="none"/>
        </w:tabs>
        <w:spacing w:line="247" w:lineRule="auto" w:before="0" w:after="0"/>
        <w:ind w:left="150" w:right="39" w:firstLine="0"/>
        <w:jc w:val="both"/>
        <w:rPr>
          <w:sz w:val="15"/>
        </w:rPr>
      </w:pPr>
      <w:r>
        <w:rPr>
          <w:sz w:val="15"/>
        </w:rPr>
        <w:t>Propiciar el apareamiento de los animales en la vía o espacios públicos,</w:t>
      </w:r>
      <w:r>
        <w:rPr>
          <w:spacing w:val="12"/>
          <w:sz w:val="15"/>
        </w:rPr>
        <w:t> </w:t>
      </w:r>
      <w:r>
        <w:rPr>
          <w:sz w:val="15"/>
        </w:rPr>
        <w:t>especialmente</w:t>
      </w:r>
      <w:r>
        <w:rPr>
          <w:spacing w:val="15"/>
          <w:sz w:val="15"/>
        </w:rPr>
        <w:t> </w:t>
      </w:r>
      <w:r>
        <w:rPr>
          <w:sz w:val="15"/>
        </w:rPr>
        <w:t>de</w:t>
      </w:r>
      <w:r>
        <w:rPr>
          <w:spacing w:val="14"/>
          <w:sz w:val="15"/>
        </w:rPr>
        <w:t> </w:t>
      </w:r>
      <w:r>
        <w:rPr>
          <w:sz w:val="15"/>
        </w:rPr>
        <w:t>perros</w:t>
      </w:r>
      <w:r>
        <w:rPr>
          <w:spacing w:val="14"/>
          <w:sz w:val="15"/>
        </w:rPr>
        <w:t> </w:t>
      </w:r>
      <w:r>
        <w:rPr>
          <w:sz w:val="15"/>
        </w:rPr>
        <w:t>considerados</w:t>
      </w:r>
      <w:r>
        <w:rPr>
          <w:spacing w:val="14"/>
          <w:sz w:val="15"/>
        </w:rPr>
        <w:t> </w:t>
      </w:r>
      <w:r>
        <w:rPr>
          <w:sz w:val="15"/>
        </w:rPr>
        <w:t>potencialmente</w:t>
      </w:r>
      <w:r>
        <w:rPr>
          <w:spacing w:val="14"/>
          <w:sz w:val="15"/>
        </w:rPr>
        <w:t> </w:t>
      </w:r>
      <w:r>
        <w:rPr>
          <w:sz w:val="15"/>
        </w:rPr>
        <w:t>peligrosos.</w:t>
      </w:r>
    </w:p>
    <w:p>
      <w:pPr>
        <w:pStyle w:val="BodyText"/>
        <w:spacing w:before="1"/>
      </w:pPr>
    </w:p>
    <w:p>
      <w:pPr>
        <w:pStyle w:val="ListParagraph"/>
        <w:numPr>
          <w:ilvl w:val="0"/>
          <w:numId w:val="270"/>
        </w:numPr>
        <w:tabs>
          <w:tab w:pos="496" w:val="left" w:leader="none"/>
        </w:tabs>
        <w:spacing w:line="244" w:lineRule="auto" w:before="0" w:after="0"/>
        <w:ind w:left="150" w:right="38" w:firstLine="0"/>
        <w:jc w:val="both"/>
        <w:rPr>
          <w:sz w:val="15"/>
        </w:rPr>
      </w:pPr>
      <w:r>
        <w:rPr>
          <w:sz w:val="15"/>
        </w:rPr>
        <w:t>Son faltas contra el cuidado animal, por cuya comisión se aplicará una multa por el equivalente de 50 a 100 Unidades de Medida y Actualización, la utilización de animales para prácticas</w:t>
      </w:r>
      <w:r>
        <w:rPr>
          <w:spacing w:val="10"/>
          <w:sz w:val="15"/>
        </w:rPr>
        <w:t> </w:t>
      </w:r>
      <w:r>
        <w:rPr>
          <w:sz w:val="15"/>
        </w:rPr>
        <w:t>sexuales.</w:t>
      </w:r>
    </w:p>
    <w:p>
      <w:pPr>
        <w:pStyle w:val="BodyText"/>
        <w:spacing w:before="7"/>
      </w:pPr>
    </w:p>
    <w:p>
      <w:pPr>
        <w:pStyle w:val="ListParagraph"/>
        <w:numPr>
          <w:ilvl w:val="0"/>
          <w:numId w:val="270"/>
        </w:numPr>
        <w:tabs>
          <w:tab w:pos="536" w:val="left" w:leader="none"/>
        </w:tabs>
        <w:spacing w:line="247" w:lineRule="auto" w:before="1" w:after="0"/>
        <w:ind w:left="150" w:right="38" w:firstLine="0"/>
        <w:jc w:val="both"/>
        <w:rPr>
          <w:sz w:val="15"/>
        </w:rPr>
      </w:pPr>
      <w:r>
        <w:rPr>
          <w:sz w:val="15"/>
        </w:rPr>
        <w:t>El denominado acoso sexual callejero, que consiste en molestar a otra persona a través de acciones, expresiones o conductas de naturaleza o connotación sexual, que generen una situación  intimidatoria,  de  incomodidad, degradación, humillación, o un ambiente ofensivo en  los  lugares establecidos en el artículo 19 del Bando de Policía y Buen Gobierno del Municipio, o aquellas análogas contenidas en la Ley General de Acceso   de las Mujeres a una Vida Libre de Violencia de:20  a  80  Unidades  de Medida y</w:t>
      </w:r>
      <w:r>
        <w:rPr>
          <w:spacing w:val="-7"/>
          <w:sz w:val="15"/>
        </w:rPr>
        <w:t> </w:t>
      </w:r>
      <w:r>
        <w:rPr>
          <w:sz w:val="15"/>
        </w:rPr>
        <w:t>Actualización</w:t>
      </w:r>
    </w:p>
    <w:p>
      <w:pPr>
        <w:pStyle w:val="BodyText"/>
        <w:spacing w:before="10"/>
        <w:rPr>
          <w:sz w:val="14"/>
        </w:rPr>
      </w:pPr>
    </w:p>
    <w:p>
      <w:pPr>
        <w:pStyle w:val="ListParagraph"/>
        <w:numPr>
          <w:ilvl w:val="0"/>
          <w:numId w:val="270"/>
        </w:numPr>
        <w:tabs>
          <w:tab w:pos="573" w:val="left" w:leader="none"/>
        </w:tabs>
        <w:spacing w:line="247" w:lineRule="auto" w:before="1" w:after="0"/>
        <w:ind w:left="150" w:right="38" w:firstLine="0"/>
        <w:jc w:val="both"/>
        <w:rPr>
          <w:sz w:val="15"/>
        </w:rPr>
      </w:pPr>
      <w:r>
        <w:rPr>
          <w:sz w:val="15"/>
        </w:rPr>
        <w:t>Por infringir otras disposiciones en materia del bando de policía y buen gobierno o derivadas de convenios de colaboración no previstas en este artículo,</w:t>
      </w:r>
      <w:r>
        <w:rPr>
          <w:spacing w:val="1"/>
          <w:sz w:val="15"/>
        </w:rPr>
        <w:t> </w:t>
      </w:r>
      <w:r>
        <w:rPr>
          <w:sz w:val="15"/>
        </w:rPr>
        <w:t>de:</w:t>
      </w:r>
    </w:p>
    <w:p>
      <w:pPr>
        <w:pStyle w:val="BodyText"/>
        <w:spacing w:before="99"/>
        <w:ind w:left="150"/>
      </w:pPr>
      <w:r>
        <w:rPr/>
        <w:br w:type="column"/>
      </w:r>
      <w:r>
        <w:rPr/>
        <w:t>actualización.</w:t>
      </w:r>
    </w:p>
    <w:p>
      <w:pPr>
        <w:pStyle w:val="BodyText"/>
        <w:spacing w:before="9"/>
      </w:pPr>
    </w:p>
    <w:p>
      <w:pPr>
        <w:pStyle w:val="ListParagraph"/>
        <w:numPr>
          <w:ilvl w:val="0"/>
          <w:numId w:val="289"/>
        </w:numPr>
        <w:tabs>
          <w:tab w:pos="785" w:val="left" w:leader="none"/>
        </w:tabs>
        <w:spacing w:line="244" w:lineRule="auto" w:before="0" w:after="0"/>
        <w:ind w:left="150" w:right="512" w:firstLine="397"/>
        <w:jc w:val="left"/>
        <w:rPr>
          <w:sz w:val="15"/>
        </w:rPr>
      </w:pPr>
      <w:r>
        <w:rPr>
          <w:sz w:val="15"/>
        </w:rPr>
        <w:t>Abandonar vehículos en la vía pública en los términos que indique la ley y reglamento, además de     los costos que implique el</w:t>
      </w:r>
      <w:r>
        <w:rPr>
          <w:spacing w:val="6"/>
          <w:sz w:val="15"/>
        </w:rPr>
        <w:t> </w:t>
      </w:r>
      <w:r>
        <w:rPr>
          <w:sz w:val="15"/>
        </w:rPr>
        <w:t>retiro:</w:t>
      </w:r>
    </w:p>
    <w:p>
      <w:pPr>
        <w:pStyle w:val="BodyText"/>
        <w:spacing w:before="2"/>
        <w:ind w:left="3076"/>
      </w:pPr>
      <w:r>
        <w:rPr/>
        <w:t>5 a 10 unidades de medida y actualización.</w:t>
      </w:r>
    </w:p>
    <w:p>
      <w:pPr>
        <w:pStyle w:val="BodyText"/>
        <w:spacing w:before="9"/>
      </w:pPr>
    </w:p>
    <w:p>
      <w:pPr>
        <w:pStyle w:val="ListParagraph"/>
        <w:numPr>
          <w:ilvl w:val="0"/>
          <w:numId w:val="289"/>
        </w:numPr>
        <w:tabs>
          <w:tab w:pos="844" w:val="left" w:leader="none"/>
        </w:tabs>
        <w:spacing w:line="247" w:lineRule="auto" w:before="0" w:after="0"/>
        <w:ind w:left="150" w:right="512" w:firstLine="397"/>
        <w:jc w:val="left"/>
        <w:rPr>
          <w:sz w:val="15"/>
        </w:rPr>
      </w:pPr>
      <w:r>
        <w:rPr>
          <w:sz w:val="15"/>
        </w:rPr>
        <w:t>Circular en motocicleta sin las medidas y elementos de seguridad que marque la ley o quien los     porte</w:t>
      </w:r>
      <w:r>
        <w:rPr>
          <w:spacing w:val="1"/>
          <w:sz w:val="15"/>
        </w:rPr>
        <w:t> </w:t>
      </w:r>
      <w:r>
        <w:rPr>
          <w:sz w:val="15"/>
        </w:rPr>
        <w:t>indebidamente:</w:t>
      </w:r>
    </w:p>
    <w:p>
      <w:pPr>
        <w:pStyle w:val="BodyText"/>
        <w:spacing w:line="172" w:lineRule="exact"/>
        <w:ind w:left="4671"/>
      </w:pPr>
      <w:r>
        <w:rPr/>
        <w:t>10 a 20 unidades de medida y actualización.</w:t>
      </w:r>
    </w:p>
    <w:p>
      <w:pPr>
        <w:pStyle w:val="BodyText"/>
        <w:spacing w:before="9"/>
      </w:pPr>
    </w:p>
    <w:p>
      <w:pPr>
        <w:pStyle w:val="ListParagraph"/>
        <w:numPr>
          <w:ilvl w:val="0"/>
          <w:numId w:val="289"/>
        </w:numPr>
        <w:tabs>
          <w:tab w:pos="318" w:val="left" w:leader="none"/>
        </w:tabs>
        <w:spacing w:line="240" w:lineRule="auto" w:before="0" w:after="0"/>
        <w:ind w:left="865" w:right="2176" w:hanging="866"/>
        <w:jc w:val="right"/>
        <w:rPr>
          <w:sz w:val="15"/>
        </w:rPr>
      </w:pPr>
      <w:r>
        <w:rPr>
          <w:sz w:val="15"/>
        </w:rPr>
        <w:t>Realizar</w:t>
      </w:r>
      <w:r>
        <w:rPr>
          <w:spacing w:val="11"/>
          <w:sz w:val="15"/>
        </w:rPr>
        <w:t> </w:t>
      </w:r>
      <w:r>
        <w:rPr>
          <w:sz w:val="15"/>
        </w:rPr>
        <w:t>maniobras</w:t>
      </w:r>
      <w:r>
        <w:rPr>
          <w:spacing w:val="11"/>
          <w:sz w:val="15"/>
        </w:rPr>
        <w:t> </w:t>
      </w:r>
      <w:r>
        <w:rPr>
          <w:sz w:val="15"/>
        </w:rPr>
        <w:t>de</w:t>
      </w:r>
      <w:r>
        <w:rPr>
          <w:spacing w:val="11"/>
          <w:sz w:val="15"/>
        </w:rPr>
        <w:t> </w:t>
      </w:r>
      <w:r>
        <w:rPr>
          <w:sz w:val="15"/>
        </w:rPr>
        <w:t>carga</w:t>
      </w:r>
      <w:r>
        <w:rPr>
          <w:spacing w:val="11"/>
          <w:sz w:val="15"/>
        </w:rPr>
        <w:t> </w:t>
      </w:r>
      <w:r>
        <w:rPr>
          <w:sz w:val="15"/>
        </w:rPr>
        <w:t>y</w:t>
      </w:r>
      <w:r>
        <w:rPr>
          <w:spacing w:val="11"/>
          <w:sz w:val="15"/>
        </w:rPr>
        <w:t> </w:t>
      </w:r>
      <w:r>
        <w:rPr>
          <w:sz w:val="15"/>
        </w:rPr>
        <w:t>descarga</w:t>
      </w:r>
      <w:r>
        <w:rPr>
          <w:spacing w:val="11"/>
          <w:sz w:val="15"/>
        </w:rPr>
        <w:t> </w:t>
      </w:r>
      <w:r>
        <w:rPr>
          <w:sz w:val="15"/>
        </w:rPr>
        <w:t>fuera</w:t>
      </w:r>
      <w:r>
        <w:rPr>
          <w:spacing w:val="11"/>
          <w:sz w:val="15"/>
        </w:rPr>
        <w:t> </w:t>
      </w:r>
      <w:r>
        <w:rPr>
          <w:sz w:val="15"/>
        </w:rPr>
        <w:t>del</w:t>
      </w:r>
      <w:r>
        <w:rPr>
          <w:spacing w:val="11"/>
          <w:sz w:val="15"/>
        </w:rPr>
        <w:t> </w:t>
      </w:r>
      <w:r>
        <w:rPr>
          <w:sz w:val="15"/>
        </w:rPr>
        <w:t>horario</w:t>
      </w:r>
      <w:r>
        <w:rPr>
          <w:spacing w:val="11"/>
          <w:sz w:val="15"/>
        </w:rPr>
        <w:t> </w:t>
      </w:r>
      <w:r>
        <w:rPr>
          <w:sz w:val="15"/>
        </w:rPr>
        <w:t>o</w:t>
      </w:r>
      <w:r>
        <w:rPr>
          <w:spacing w:val="11"/>
          <w:sz w:val="15"/>
        </w:rPr>
        <w:t> </w:t>
      </w:r>
      <w:r>
        <w:rPr>
          <w:sz w:val="15"/>
        </w:rPr>
        <w:t>sitio</w:t>
      </w:r>
      <w:r>
        <w:rPr>
          <w:spacing w:val="11"/>
          <w:sz w:val="15"/>
        </w:rPr>
        <w:t> </w:t>
      </w:r>
      <w:r>
        <w:rPr>
          <w:sz w:val="15"/>
        </w:rPr>
        <w:t>autorizado:</w:t>
      </w:r>
    </w:p>
    <w:p>
      <w:pPr>
        <w:pStyle w:val="BodyText"/>
        <w:spacing w:before="5"/>
        <w:ind w:right="2236"/>
        <w:jc w:val="right"/>
      </w:pPr>
      <w:r>
        <w:rPr/>
        <w:t>1 a 5 unidades de medida y actualización.</w:t>
      </w:r>
    </w:p>
    <w:p>
      <w:pPr>
        <w:pStyle w:val="BodyText"/>
        <w:spacing w:before="9"/>
      </w:pPr>
    </w:p>
    <w:p>
      <w:pPr>
        <w:pStyle w:val="ListParagraph"/>
        <w:numPr>
          <w:ilvl w:val="0"/>
          <w:numId w:val="289"/>
        </w:numPr>
        <w:tabs>
          <w:tab w:pos="779" w:val="left" w:leader="none"/>
        </w:tabs>
        <w:spacing w:line="240" w:lineRule="auto" w:before="0" w:after="0"/>
        <w:ind w:left="778" w:right="0" w:hanging="231"/>
        <w:jc w:val="left"/>
        <w:rPr>
          <w:sz w:val="15"/>
        </w:rPr>
      </w:pPr>
      <w:r>
        <w:rPr>
          <w:sz w:val="15"/>
        </w:rPr>
        <w:t>Negarse a acatar la medida que ordena retirar un vehículo de</w:t>
      </w:r>
      <w:r>
        <w:rPr>
          <w:spacing w:val="27"/>
          <w:sz w:val="15"/>
        </w:rPr>
        <w:t> </w:t>
      </w:r>
      <w:r>
        <w:rPr>
          <w:sz w:val="15"/>
        </w:rPr>
        <w:t>circulación:</w:t>
      </w:r>
    </w:p>
    <w:p>
      <w:pPr>
        <w:pStyle w:val="BodyText"/>
        <w:spacing w:before="4"/>
        <w:ind w:left="3076"/>
      </w:pPr>
      <w:r>
        <w:rPr/>
        <w:t>5 a 10 unidades de medida y actualización.</w:t>
      </w:r>
    </w:p>
    <w:p>
      <w:pPr>
        <w:pStyle w:val="BodyText"/>
        <w:spacing w:before="9"/>
      </w:pPr>
    </w:p>
    <w:p>
      <w:pPr>
        <w:pStyle w:val="ListParagraph"/>
        <w:numPr>
          <w:ilvl w:val="0"/>
          <w:numId w:val="289"/>
        </w:numPr>
        <w:tabs>
          <w:tab w:pos="737" w:val="left" w:leader="none"/>
        </w:tabs>
        <w:spacing w:line="240" w:lineRule="auto" w:before="1" w:after="0"/>
        <w:ind w:left="736" w:right="0" w:hanging="189"/>
        <w:jc w:val="left"/>
        <w:rPr>
          <w:sz w:val="15"/>
        </w:rPr>
      </w:pPr>
      <w:r>
        <w:rPr>
          <w:sz w:val="15"/>
        </w:rPr>
        <w:t>No respetar las indicaciones de la Policía Vial u otra autoridad</w:t>
      </w:r>
      <w:r>
        <w:rPr>
          <w:spacing w:val="25"/>
          <w:sz w:val="15"/>
        </w:rPr>
        <w:t> </w:t>
      </w:r>
      <w:r>
        <w:rPr>
          <w:sz w:val="15"/>
        </w:rPr>
        <w:t>competente:</w:t>
      </w:r>
    </w:p>
    <w:p>
      <w:pPr>
        <w:pStyle w:val="BodyText"/>
        <w:spacing w:before="4"/>
        <w:ind w:left="3076"/>
      </w:pPr>
      <w:r>
        <w:rPr/>
        <w:t>5 a 10 unidades de medida y actualización.</w:t>
      </w:r>
    </w:p>
    <w:p>
      <w:pPr>
        <w:pStyle w:val="BodyText"/>
        <w:spacing w:before="9"/>
      </w:pPr>
    </w:p>
    <w:p>
      <w:pPr>
        <w:pStyle w:val="ListParagraph"/>
        <w:numPr>
          <w:ilvl w:val="0"/>
          <w:numId w:val="289"/>
        </w:numPr>
        <w:tabs>
          <w:tab w:pos="786" w:val="left" w:leader="none"/>
        </w:tabs>
        <w:spacing w:line="247" w:lineRule="auto" w:before="0" w:after="0"/>
        <w:ind w:left="150" w:right="509" w:firstLine="397"/>
        <w:jc w:val="left"/>
        <w:rPr>
          <w:sz w:val="15"/>
        </w:rPr>
      </w:pPr>
      <w:r>
        <w:rPr>
          <w:sz w:val="15"/>
        </w:rPr>
        <w:t>No respetar el derecho establecido para el paso de peatones  en la vía de circulación o quien invada  los accesos o zonas</w:t>
      </w:r>
      <w:r>
        <w:rPr>
          <w:spacing w:val="4"/>
          <w:sz w:val="15"/>
        </w:rPr>
        <w:t> </w:t>
      </w:r>
      <w:r>
        <w:rPr>
          <w:sz w:val="15"/>
        </w:rPr>
        <w:t>peatonales:</w:t>
      </w:r>
    </w:p>
    <w:p>
      <w:pPr>
        <w:pStyle w:val="BodyText"/>
        <w:spacing w:line="172" w:lineRule="exact"/>
        <w:ind w:left="4757"/>
      </w:pPr>
      <w:r>
        <w:rPr/>
        <w:t>5 a 10 unidades de medida y actualización.</w:t>
      </w:r>
    </w:p>
    <w:p>
      <w:pPr>
        <w:pStyle w:val="BodyText"/>
        <w:spacing w:before="9"/>
      </w:pPr>
    </w:p>
    <w:p>
      <w:pPr>
        <w:pStyle w:val="ListParagraph"/>
        <w:numPr>
          <w:ilvl w:val="0"/>
          <w:numId w:val="289"/>
        </w:numPr>
        <w:tabs>
          <w:tab w:pos="822" w:val="left" w:leader="none"/>
        </w:tabs>
        <w:spacing w:line="240" w:lineRule="auto" w:before="0" w:after="0"/>
        <w:ind w:left="821" w:right="0" w:hanging="274"/>
        <w:jc w:val="left"/>
        <w:rPr>
          <w:sz w:val="15"/>
        </w:rPr>
      </w:pPr>
      <w:r>
        <w:rPr>
          <w:sz w:val="15"/>
        </w:rPr>
        <w:t>No hacer alto en vías férreas o cruces</w:t>
      </w:r>
      <w:r>
        <w:rPr>
          <w:spacing w:val="13"/>
          <w:sz w:val="15"/>
        </w:rPr>
        <w:t> </w:t>
      </w:r>
      <w:r>
        <w:rPr>
          <w:sz w:val="15"/>
        </w:rPr>
        <w:t>peatonales:</w:t>
      </w:r>
    </w:p>
    <w:p>
      <w:pPr>
        <w:pStyle w:val="BodyText"/>
        <w:spacing w:before="5"/>
        <w:ind w:left="4757"/>
      </w:pPr>
      <w:r>
        <w:rPr/>
        <w:t>5 a 10 unidades de medida y actualización.</w:t>
      </w:r>
    </w:p>
    <w:p>
      <w:pPr>
        <w:pStyle w:val="BodyText"/>
        <w:spacing w:before="9"/>
      </w:pPr>
    </w:p>
    <w:p>
      <w:pPr>
        <w:pStyle w:val="ListParagraph"/>
        <w:numPr>
          <w:ilvl w:val="0"/>
          <w:numId w:val="289"/>
        </w:numPr>
        <w:tabs>
          <w:tab w:pos="967" w:val="left" w:leader="none"/>
        </w:tabs>
        <w:spacing w:line="247" w:lineRule="auto" w:before="0" w:after="0"/>
        <w:ind w:left="151" w:right="509" w:firstLine="397"/>
        <w:jc w:val="left"/>
        <w:rPr>
          <w:sz w:val="15"/>
        </w:rPr>
      </w:pPr>
      <w:r>
        <w:rPr>
          <w:sz w:val="15"/>
        </w:rPr>
        <w:t>Al   conductor   que   circule   sin   respetar   los   señalamientos   y    marcas   en   la   vialidad:       10 a 20 unidades de medida y</w:t>
      </w:r>
      <w:r>
        <w:rPr>
          <w:spacing w:val="11"/>
          <w:sz w:val="15"/>
        </w:rPr>
        <w:t> </w:t>
      </w:r>
      <w:r>
        <w:rPr>
          <w:sz w:val="15"/>
        </w:rPr>
        <w:t>actualización.</w:t>
      </w:r>
    </w:p>
    <w:p>
      <w:pPr>
        <w:pStyle w:val="BodyText"/>
        <w:spacing w:before="4"/>
      </w:pPr>
    </w:p>
    <w:p>
      <w:pPr>
        <w:pStyle w:val="BodyText"/>
        <w:spacing w:line="244" w:lineRule="auto"/>
        <w:ind w:left="151" w:right="178" w:firstLine="397"/>
      </w:pPr>
      <w:r>
        <w:rPr/>
        <w:t>En el caso de que el servicio de tránsito no lo preste directamente el Ayuntamiento, se estará a lo que se establezca en el convenio respectivo que suscriba la autoridad municipal con el Gobierno del Estado.</w:t>
      </w:r>
    </w:p>
    <w:p>
      <w:pPr>
        <w:pStyle w:val="BodyText"/>
        <w:spacing w:before="6"/>
      </w:pPr>
    </w:p>
    <w:p>
      <w:pPr>
        <w:pStyle w:val="BodyText"/>
        <w:spacing w:line="247" w:lineRule="auto"/>
        <w:ind w:left="150" w:right="178" w:firstLine="397"/>
      </w:pPr>
      <w:r>
        <w:rPr/>
        <w:t>Las infracciones en materia de tránsito serán sancionadas administrativamente con multas, en base a lo señalado por la Ley de Movilidad y Transporte del Estado de Jalisco y sus reglamentos.</w:t>
      </w:r>
    </w:p>
    <w:p>
      <w:pPr>
        <w:spacing w:after="0" w:line="247" w:lineRule="auto"/>
        <w:sectPr>
          <w:type w:val="continuous"/>
          <w:pgSz w:w="23250" w:h="15310" w:orient="landscape"/>
          <w:pgMar w:top="0" w:bottom="0" w:left="1880" w:right="1520"/>
          <w:cols w:num="2" w:equalWidth="0">
            <w:col w:w="5473" w:space="6149"/>
            <w:col w:w="8228"/>
          </w:cols>
        </w:sectPr>
      </w:pPr>
    </w:p>
    <w:p>
      <w:pPr>
        <w:pStyle w:val="BodyText"/>
        <w:spacing w:line="171" w:lineRule="exact"/>
        <w:ind w:left="115" w:right="160"/>
        <w:jc w:val="center"/>
      </w:pPr>
      <w:r>
        <w:rPr/>
        <w:t>10 a 500 Unidades de Medida y Actualización,</w:t>
      </w:r>
    </w:p>
    <w:p>
      <w:pPr>
        <w:pStyle w:val="BodyText"/>
        <w:spacing w:before="2"/>
        <w:rPr>
          <w:sz w:val="19"/>
        </w:rPr>
      </w:pPr>
    </w:p>
    <w:p>
      <w:pPr>
        <w:pStyle w:val="BodyText"/>
        <w:spacing w:line="247" w:lineRule="auto"/>
        <w:ind w:left="150" w:right="1789" w:firstLine="397"/>
      </w:pPr>
      <w:r>
        <w:rPr>
          <w:b/>
        </w:rPr>
        <w:t>Artículo 158.- </w:t>
      </w:r>
      <w:r>
        <w:rPr/>
        <w:t>Son infracciones por violaciones a la Ley de Movilidad y Transporte del Estado de Jalisco y sus reglamentos las siguientes:</w:t>
      </w:r>
    </w:p>
    <w:p>
      <w:pPr>
        <w:pStyle w:val="BodyText"/>
        <w:spacing w:before="1"/>
        <w:rPr>
          <w:sz w:val="22"/>
        </w:rPr>
      </w:pPr>
    </w:p>
    <w:p>
      <w:pPr>
        <w:pStyle w:val="ListParagraph"/>
        <w:numPr>
          <w:ilvl w:val="0"/>
          <w:numId w:val="290"/>
        </w:numPr>
        <w:tabs>
          <w:tab w:pos="683" w:val="left" w:leader="none"/>
        </w:tabs>
        <w:spacing w:line="247" w:lineRule="auto" w:before="0" w:after="0"/>
        <w:ind w:left="150" w:right="2316" w:firstLine="397"/>
        <w:jc w:val="left"/>
        <w:rPr>
          <w:sz w:val="15"/>
        </w:rPr>
      </w:pPr>
      <w:r>
        <w:rPr>
          <w:sz w:val="15"/>
        </w:rPr>
        <w:t>Por conducir o estacionar vehículos en banquetas o lugares públicos destinados exclusivamente al tránsito de personas</w:t>
      </w:r>
      <w:r>
        <w:rPr>
          <w:spacing w:val="16"/>
          <w:sz w:val="15"/>
        </w:rPr>
        <w:t> </w:t>
      </w:r>
      <w:r>
        <w:rPr>
          <w:sz w:val="15"/>
        </w:rPr>
        <w:t>de:</w:t>
      </w:r>
    </w:p>
    <w:p>
      <w:pPr>
        <w:pStyle w:val="BodyText"/>
        <w:spacing w:line="172" w:lineRule="exact"/>
        <w:ind w:left="2478"/>
      </w:pPr>
      <w:r>
        <w:rPr/>
        <w:t>3 a 10 unidades de medida y actualización;</w:t>
      </w:r>
    </w:p>
    <w:p>
      <w:pPr>
        <w:pStyle w:val="BodyText"/>
        <w:spacing w:before="7"/>
        <w:rPr>
          <w:sz w:val="22"/>
        </w:rPr>
      </w:pPr>
    </w:p>
    <w:p>
      <w:pPr>
        <w:pStyle w:val="ListParagraph"/>
        <w:numPr>
          <w:ilvl w:val="0"/>
          <w:numId w:val="290"/>
        </w:numPr>
        <w:tabs>
          <w:tab w:pos="753" w:val="left" w:leader="none"/>
        </w:tabs>
        <w:spacing w:line="244" w:lineRule="auto" w:before="0" w:after="0"/>
        <w:ind w:left="150" w:right="2318" w:firstLine="397"/>
        <w:jc w:val="left"/>
        <w:rPr>
          <w:sz w:val="15"/>
        </w:rPr>
      </w:pPr>
      <w:r>
        <w:rPr>
          <w:sz w:val="15"/>
        </w:rPr>
        <w:t>Por prestar servicio de transporte público o especializado sin los permisos o autorizaciones</w:t>
      </w:r>
      <w:r>
        <w:rPr>
          <w:spacing w:val="6"/>
          <w:sz w:val="15"/>
        </w:rPr>
        <w:t> </w:t>
      </w:r>
      <w:r>
        <w:rPr>
          <w:sz w:val="15"/>
        </w:rPr>
        <w:t>correspondientes:</w:t>
      </w:r>
    </w:p>
    <w:p>
      <w:pPr>
        <w:pStyle w:val="BodyText"/>
        <w:spacing w:before="2"/>
        <w:ind w:left="2392"/>
      </w:pPr>
      <w:r>
        <w:rPr/>
        <w:t>27 a 77 unidades de medida y actualización;</w:t>
      </w:r>
    </w:p>
    <w:p>
      <w:pPr>
        <w:pStyle w:val="BodyText"/>
        <w:spacing w:before="11"/>
        <w:rPr>
          <w:sz w:val="20"/>
        </w:rPr>
      </w:pPr>
    </w:p>
    <w:p>
      <w:pPr>
        <w:pStyle w:val="ListParagraph"/>
        <w:numPr>
          <w:ilvl w:val="0"/>
          <w:numId w:val="290"/>
        </w:numPr>
        <w:tabs>
          <w:tab w:pos="777" w:val="left" w:leader="none"/>
          <w:tab w:pos="6175" w:val="left" w:leader="none"/>
        </w:tabs>
        <w:spacing w:line="247" w:lineRule="auto" w:before="0" w:after="0"/>
        <w:ind w:left="150" w:right="38" w:firstLine="397"/>
        <w:jc w:val="left"/>
        <w:rPr>
          <w:sz w:val="15"/>
        </w:rPr>
      </w:pPr>
      <w:r>
        <w:rPr>
          <w:sz w:val="15"/>
        </w:rPr>
        <w:t>Circular</w:t>
      </w:r>
      <w:r>
        <w:rPr>
          <w:spacing w:val="22"/>
          <w:sz w:val="15"/>
        </w:rPr>
        <w:t> </w:t>
      </w:r>
      <w:r>
        <w:rPr>
          <w:sz w:val="15"/>
        </w:rPr>
        <w:t>en</w:t>
      </w:r>
      <w:r>
        <w:rPr>
          <w:spacing w:val="24"/>
          <w:sz w:val="15"/>
        </w:rPr>
        <w:t> </w:t>
      </w:r>
      <w:r>
        <w:rPr>
          <w:sz w:val="15"/>
        </w:rPr>
        <w:t>motocicletas,</w:t>
      </w:r>
      <w:r>
        <w:rPr>
          <w:spacing w:val="24"/>
          <w:sz w:val="15"/>
        </w:rPr>
        <w:t> </w:t>
      </w:r>
      <w:r>
        <w:rPr>
          <w:sz w:val="15"/>
        </w:rPr>
        <w:t>en</w:t>
      </w:r>
      <w:r>
        <w:rPr>
          <w:spacing w:val="24"/>
          <w:sz w:val="15"/>
        </w:rPr>
        <w:t> </w:t>
      </w:r>
      <w:r>
        <w:rPr>
          <w:sz w:val="15"/>
        </w:rPr>
        <w:t>sentido</w:t>
      </w:r>
      <w:r>
        <w:rPr>
          <w:spacing w:val="24"/>
          <w:sz w:val="15"/>
        </w:rPr>
        <w:t> </w:t>
      </w:r>
      <w:r>
        <w:rPr>
          <w:sz w:val="15"/>
        </w:rPr>
        <w:t>contrario</w:t>
      </w:r>
      <w:r>
        <w:rPr>
          <w:spacing w:val="24"/>
          <w:sz w:val="15"/>
        </w:rPr>
        <w:t> </w:t>
      </w:r>
      <w:r>
        <w:rPr>
          <w:sz w:val="15"/>
        </w:rPr>
        <w:t>por</w:t>
      </w:r>
      <w:r>
        <w:rPr>
          <w:spacing w:val="23"/>
          <w:sz w:val="15"/>
        </w:rPr>
        <w:t> </w:t>
      </w:r>
      <w:r>
        <w:rPr>
          <w:sz w:val="15"/>
        </w:rPr>
        <w:t>calles</w:t>
      </w:r>
      <w:r>
        <w:rPr>
          <w:spacing w:val="25"/>
          <w:sz w:val="15"/>
        </w:rPr>
        <w:t> </w:t>
      </w:r>
      <w:r>
        <w:rPr>
          <w:sz w:val="15"/>
        </w:rPr>
        <w:t>o</w:t>
      </w:r>
      <w:r>
        <w:rPr>
          <w:spacing w:val="24"/>
          <w:sz w:val="15"/>
        </w:rPr>
        <w:t> </w:t>
      </w:r>
      <w:r>
        <w:rPr>
          <w:sz w:val="15"/>
        </w:rPr>
        <w:t>avenidas:</w:t>
        <w:tab/>
        <w:t>Hasta 10 unidades </w:t>
      </w:r>
      <w:r>
        <w:rPr>
          <w:spacing w:val="-6"/>
          <w:sz w:val="15"/>
        </w:rPr>
        <w:t>de </w:t>
      </w:r>
      <w:r>
        <w:rPr>
          <w:sz w:val="15"/>
        </w:rPr>
        <w:t>medida y</w:t>
      </w:r>
      <w:r>
        <w:rPr>
          <w:spacing w:val="2"/>
          <w:sz w:val="15"/>
        </w:rPr>
        <w:t> </w:t>
      </w:r>
      <w:r>
        <w:rPr>
          <w:sz w:val="15"/>
        </w:rPr>
        <w:t>actualización;</w:t>
      </w:r>
    </w:p>
    <w:p>
      <w:pPr>
        <w:pStyle w:val="BodyText"/>
        <w:spacing w:before="3"/>
      </w:pPr>
    </w:p>
    <w:p>
      <w:pPr>
        <w:pStyle w:val="ListParagraph"/>
        <w:numPr>
          <w:ilvl w:val="0"/>
          <w:numId w:val="290"/>
        </w:numPr>
        <w:tabs>
          <w:tab w:pos="793" w:val="left" w:leader="none"/>
          <w:tab w:pos="6218" w:val="left" w:leader="none"/>
        </w:tabs>
        <w:spacing w:line="247" w:lineRule="auto" w:before="0" w:after="0"/>
        <w:ind w:left="150" w:right="38" w:firstLine="397"/>
        <w:jc w:val="left"/>
        <w:rPr>
          <w:sz w:val="15"/>
        </w:rPr>
      </w:pPr>
      <w:r>
        <w:rPr>
          <w:sz w:val="15"/>
        </w:rPr>
        <w:t>Circular  motocicletas  entre  carriles  de  circulación  de  calles</w:t>
      </w:r>
      <w:r>
        <w:rPr>
          <w:spacing w:val="23"/>
          <w:sz w:val="15"/>
        </w:rPr>
        <w:t> </w:t>
      </w:r>
      <w:r>
        <w:rPr>
          <w:sz w:val="15"/>
        </w:rPr>
        <w:t>o</w:t>
      </w:r>
      <w:r>
        <w:rPr>
          <w:spacing w:val="40"/>
          <w:sz w:val="15"/>
        </w:rPr>
        <w:t> </w:t>
      </w:r>
      <w:r>
        <w:rPr>
          <w:sz w:val="15"/>
        </w:rPr>
        <w:t>avenidas:</w:t>
        <w:tab/>
        <w:t>Hasta 3 unidades </w:t>
      </w:r>
      <w:r>
        <w:rPr>
          <w:spacing w:val="-7"/>
          <w:sz w:val="15"/>
        </w:rPr>
        <w:t>de </w:t>
      </w:r>
      <w:r>
        <w:rPr>
          <w:sz w:val="15"/>
        </w:rPr>
        <w:t>medida y actualización;</w:t>
      </w:r>
      <w:r>
        <w:rPr>
          <w:spacing w:val="2"/>
          <w:sz w:val="15"/>
        </w:rPr>
        <w:t> </w:t>
      </w:r>
      <w:r>
        <w:rPr>
          <w:sz w:val="15"/>
        </w:rPr>
        <w:t>y</w:t>
      </w:r>
    </w:p>
    <w:p>
      <w:pPr>
        <w:pStyle w:val="BodyText"/>
        <w:spacing w:before="4"/>
      </w:pPr>
    </w:p>
    <w:p>
      <w:pPr>
        <w:pStyle w:val="ListParagraph"/>
        <w:numPr>
          <w:ilvl w:val="0"/>
          <w:numId w:val="290"/>
        </w:numPr>
        <w:tabs>
          <w:tab w:pos="737" w:val="left" w:leader="none"/>
        </w:tabs>
        <w:spacing w:line="240" w:lineRule="auto" w:before="0" w:after="0"/>
        <w:ind w:left="736" w:right="0" w:hanging="189"/>
        <w:jc w:val="left"/>
        <w:rPr>
          <w:sz w:val="15"/>
        </w:rPr>
      </w:pPr>
      <w:r>
        <w:rPr>
          <w:sz w:val="15"/>
        </w:rPr>
        <w:t>Conducir</w:t>
      </w:r>
      <w:r>
        <w:rPr>
          <w:spacing w:val="22"/>
          <w:sz w:val="15"/>
        </w:rPr>
        <w:t> </w:t>
      </w:r>
      <w:r>
        <w:rPr>
          <w:sz w:val="15"/>
        </w:rPr>
        <w:t>vehículos</w:t>
      </w:r>
      <w:r>
        <w:rPr>
          <w:spacing w:val="23"/>
          <w:sz w:val="15"/>
        </w:rPr>
        <w:t> </w:t>
      </w:r>
      <w:r>
        <w:rPr>
          <w:sz w:val="15"/>
        </w:rPr>
        <w:t>de</w:t>
      </w:r>
      <w:r>
        <w:rPr>
          <w:spacing w:val="23"/>
          <w:sz w:val="15"/>
        </w:rPr>
        <w:t> </w:t>
      </w:r>
      <w:r>
        <w:rPr>
          <w:sz w:val="15"/>
        </w:rPr>
        <w:t>motor,</w:t>
      </w:r>
      <w:r>
        <w:rPr>
          <w:spacing w:val="23"/>
          <w:sz w:val="15"/>
        </w:rPr>
        <w:t> </w:t>
      </w:r>
      <w:r>
        <w:rPr>
          <w:sz w:val="15"/>
        </w:rPr>
        <w:t>sin</w:t>
      </w:r>
      <w:r>
        <w:rPr>
          <w:spacing w:val="23"/>
          <w:sz w:val="15"/>
        </w:rPr>
        <w:t> </w:t>
      </w:r>
      <w:r>
        <w:rPr>
          <w:sz w:val="15"/>
        </w:rPr>
        <w:t>respetar</w:t>
      </w:r>
      <w:r>
        <w:rPr>
          <w:spacing w:val="23"/>
          <w:sz w:val="15"/>
        </w:rPr>
        <w:t> </w:t>
      </w:r>
      <w:r>
        <w:rPr>
          <w:sz w:val="15"/>
        </w:rPr>
        <w:t>los</w:t>
      </w:r>
      <w:r>
        <w:rPr>
          <w:spacing w:val="22"/>
          <w:sz w:val="15"/>
        </w:rPr>
        <w:t> </w:t>
      </w:r>
      <w:r>
        <w:rPr>
          <w:sz w:val="15"/>
        </w:rPr>
        <w:t>semáforos</w:t>
      </w:r>
      <w:r>
        <w:rPr>
          <w:spacing w:val="23"/>
          <w:sz w:val="15"/>
        </w:rPr>
        <w:t> </w:t>
      </w:r>
      <w:r>
        <w:rPr>
          <w:sz w:val="15"/>
        </w:rPr>
        <w:t>de</w:t>
      </w:r>
      <w:r>
        <w:rPr>
          <w:spacing w:val="23"/>
          <w:sz w:val="15"/>
        </w:rPr>
        <w:t> </w:t>
      </w:r>
      <w:r>
        <w:rPr>
          <w:sz w:val="15"/>
        </w:rPr>
        <w:t>tránsito:</w:t>
      </w:r>
      <w:r>
        <w:rPr>
          <w:spacing w:val="22"/>
          <w:sz w:val="15"/>
        </w:rPr>
        <w:t> </w:t>
      </w:r>
      <w:r>
        <w:rPr>
          <w:sz w:val="15"/>
        </w:rPr>
        <w:t>Hasta</w:t>
      </w:r>
      <w:r>
        <w:rPr>
          <w:spacing w:val="23"/>
          <w:sz w:val="15"/>
        </w:rPr>
        <w:t> </w:t>
      </w:r>
      <w:r>
        <w:rPr>
          <w:sz w:val="15"/>
        </w:rPr>
        <w:t>8</w:t>
      </w:r>
      <w:r>
        <w:rPr>
          <w:spacing w:val="23"/>
          <w:sz w:val="15"/>
        </w:rPr>
        <w:t> </w:t>
      </w:r>
      <w:r>
        <w:rPr>
          <w:sz w:val="15"/>
        </w:rPr>
        <w:t>unidades</w:t>
      </w:r>
      <w:r>
        <w:rPr>
          <w:spacing w:val="22"/>
          <w:sz w:val="15"/>
        </w:rPr>
        <w:t> </w:t>
      </w:r>
      <w:r>
        <w:rPr>
          <w:sz w:val="15"/>
        </w:rPr>
        <w:t>de</w:t>
      </w:r>
      <w:r>
        <w:rPr>
          <w:spacing w:val="21"/>
          <w:sz w:val="15"/>
        </w:rPr>
        <w:t> </w:t>
      </w:r>
      <w:r>
        <w:rPr>
          <w:sz w:val="15"/>
        </w:rPr>
        <w:t>medida</w:t>
      </w:r>
      <w:r>
        <w:rPr>
          <w:spacing w:val="23"/>
          <w:sz w:val="15"/>
        </w:rPr>
        <w:t> </w:t>
      </w:r>
      <w:r>
        <w:rPr>
          <w:sz w:val="15"/>
        </w:rPr>
        <w:t>y</w:t>
      </w:r>
    </w:p>
    <w:p>
      <w:pPr>
        <w:pStyle w:val="BodyText"/>
        <w:spacing w:line="152" w:lineRule="exact"/>
        <w:ind w:left="548"/>
      </w:pPr>
      <w:r>
        <w:rPr/>
        <w:br w:type="column"/>
      </w:r>
      <w:r>
        <w:rPr>
          <w:b/>
        </w:rPr>
        <w:t>Artículo 159.- </w:t>
      </w:r>
      <w:r>
        <w:rPr/>
        <w:t>Son infracciones por violaciones a la Ley de Gestión Integral de los Residuos del Estado</w:t>
      </w:r>
    </w:p>
    <w:p>
      <w:pPr>
        <w:pStyle w:val="BodyText"/>
        <w:spacing w:before="4"/>
        <w:ind w:left="150"/>
      </w:pPr>
      <w:r>
        <w:rPr/>
        <w:t>de Jalisco, se aplicarán las siguientes sanciones:</w:t>
      </w:r>
    </w:p>
    <w:p>
      <w:pPr>
        <w:pStyle w:val="BodyText"/>
        <w:spacing w:before="9"/>
      </w:pPr>
    </w:p>
    <w:p>
      <w:pPr>
        <w:pStyle w:val="ListParagraph"/>
        <w:numPr>
          <w:ilvl w:val="0"/>
          <w:numId w:val="291"/>
        </w:numPr>
        <w:tabs>
          <w:tab w:pos="678" w:val="left" w:leader="none"/>
        </w:tabs>
        <w:spacing w:line="247" w:lineRule="auto" w:before="0" w:after="0"/>
        <w:ind w:left="151" w:right="2298" w:firstLine="397"/>
        <w:jc w:val="left"/>
        <w:rPr>
          <w:sz w:val="15"/>
        </w:rPr>
      </w:pPr>
      <w:r>
        <w:rPr>
          <w:sz w:val="15"/>
        </w:rPr>
        <w:t>Por realizar la clasificación manual de residuos en los rellenos sanitarios, de: 20 a 25,000 unidades de medida y</w:t>
      </w:r>
      <w:r>
        <w:rPr>
          <w:spacing w:val="12"/>
          <w:sz w:val="15"/>
        </w:rPr>
        <w:t> </w:t>
      </w:r>
      <w:r>
        <w:rPr>
          <w:sz w:val="15"/>
        </w:rPr>
        <w:t>actualización.</w:t>
      </w:r>
    </w:p>
    <w:p>
      <w:pPr>
        <w:pStyle w:val="BodyText"/>
        <w:spacing w:before="3"/>
      </w:pPr>
    </w:p>
    <w:p>
      <w:pPr>
        <w:pStyle w:val="ListParagraph"/>
        <w:numPr>
          <w:ilvl w:val="0"/>
          <w:numId w:val="291"/>
        </w:numPr>
        <w:tabs>
          <w:tab w:pos="721" w:val="left" w:leader="none"/>
        </w:tabs>
        <w:spacing w:line="240" w:lineRule="auto" w:before="0" w:after="0"/>
        <w:ind w:left="720" w:right="0" w:hanging="173"/>
        <w:jc w:val="left"/>
        <w:rPr>
          <w:sz w:val="15"/>
        </w:rPr>
      </w:pPr>
      <w:r>
        <w:rPr>
          <w:sz w:val="15"/>
        </w:rPr>
        <w:t>Por carecer de las autorizaciones correspondientes establecidas en la </w:t>
      </w:r>
      <w:r>
        <w:rPr>
          <w:spacing w:val="-4"/>
          <w:sz w:val="15"/>
        </w:rPr>
        <w:t>ley,</w:t>
      </w:r>
      <w:r>
        <w:rPr>
          <w:spacing w:val="25"/>
          <w:sz w:val="15"/>
        </w:rPr>
        <w:t> </w:t>
      </w:r>
      <w:r>
        <w:rPr>
          <w:sz w:val="15"/>
        </w:rPr>
        <w:t>de:</w:t>
      </w:r>
    </w:p>
    <w:p>
      <w:pPr>
        <w:pStyle w:val="BodyText"/>
        <w:spacing w:before="5"/>
        <w:ind w:left="4372"/>
      </w:pPr>
      <w:r>
        <w:rPr/>
        <w:t>20 a 25,000 unidades de medida y actualización.</w:t>
      </w:r>
    </w:p>
    <w:p>
      <w:pPr>
        <w:pStyle w:val="BodyText"/>
        <w:spacing w:before="9"/>
      </w:pPr>
    </w:p>
    <w:p>
      <w:pPr>
        <w:pStyle w:val="ListParagraph"/>
        <w:numPr>
          <w:ilvl w:val="0"/>
          <w:numId w:val="291"/>
        </w:numPr>
        <w:tabs>
          <w:tab w:pos="764" w:val="left" w:leader="none"/>
        </w:tabs>
        <w:spacing w:line="240" w:lineRule="auto" w:before="0" w:after="0"/>
        <w:ind w:left="763" w:right="0" w:hanging="216"/>
        <w:jc w:val="left"/>
        <w:rPr>
          <w:sz w:val="15"/>
        </w:rPr>
      </w:pPr>
      <w:r>
        <w:rPr>
          <w:sz w:val="15"/>
        </w:rPr>
        <w:t>Por omitir la presentación de informes semestrales o anuales establecidos en la </w:t>
      </w:r>
      <w:r>
        <w:rPr>
          <w:spacing w:val="-4"/>
          <w:sz w:val="15"/>
        </w:rPr>
        <w:t>ley,</w:t>
      </w:r>
      <w:r>
        <w:rPr>
          <w:spacing w:val="9"/>
          <w:sz w:val="15"/>
        </w:rPr>
        <w:t> </w:t>
      </w:r>
      <w:r>
        <w:rPr>
          <w:sz w:val="15"/>
        </w:rPr>
        <w:t>de:</w:t>
      </w:r>
    </w:p>
    <w:p>
      <w:pPr>
        <w:pStyle w:val="BodyText"/>
        <w:spacing w:before="5"/>
        <w:ind w:left="4372"/>
      </w:pPr>
      <w:r>
        <w:rPr/>
        <w:t>20 a 25,000 unidades de medida y actualización.</w:t>
      </w:r>
    </w:p>
    <w:p>
      <w:pPr>
        <w:pStyle w:val="BodyText"/>
        <w:spacing w:before="8"/>
      </w:pPr>
    </w:p>
    <w:p>
      <w:pPr>
        <w:pStyle w:val="ListParagraph"/>
        <w:numPr>
          <w:ilvl w:val="0"/>
          <w:numId w:val="291"/>
        </w:numPr>
        <w:tabs>
          <w:tab w:pos="766" w:val="left" w:leader="none"/>
        </w:tabs>
        <w:spacing w:line="240" w:lineRule="auto" w:before="1" w:after="0"/>
        <w:ind w:left="765" w:right="0" w:hanging="218"/>
        <w:jc w:val="left"/>
        <w:rPr>
          <w:sz w:val="15"/>
        </w:rPr>
      </w:pPr>
      <w:r>
        <w:rPr>
          <w:sz w:val="15"/>
        </w:rPr>
        <w:t>Por carecer del registro establecido en la </w:t>
      </w:r>
      <w:r>
        <w:rPr>
          <w:spacing w:val="-4"/>
          <w:sz w:val="15"/>
        </w:rPr>
        <w:t>ley,</w:t>
      </w:r>
      <w:r>
        <w:rPr>
          <w:spacing w:val="13"/>
          <w:sz w:val="15"/>
        </w:rPr>
        <w:t> </w:t>
      </w:r>
      <w:r>
        <w:rPr>
          <w:sz w:val="15"/>
        </w:rPr>
        <w:t>de:</w:t>
      </w:r>
    </w:p>
    <w:p>
      <w:pPr>
        <w:pStyle w:val="BodyText"/>
        <w:spacing w:before="4"/>
        <w:ind w:left="4372"/>
      </w:pPr>
      <w:r>
        <w:rPr/>
        <w:t>20 a 25,000 unidades de medida y actualización.</w:t>
      </w:r>
    </w:p>
    <w:p>
      <w:pPr>
        <w:pStyle w:val="BodyText"/>
        <w:spacing w:before="10"/>
      </w:pPr>
    </w:p>
    <w:p>
      <w:pPr>
        <w:pStyle w:val="ListParagraph"/>
        <w:numPr>
          <w:ilvl w:val="0"/>
          <w:numId w:val="291"/>
        </w:numPr>
        <w:tabs>
          <w:tab w:pos="726" w:val="left" w:leader="none"/>
          <w:tab w:pos="6001" w:val="left" w:leader="none"/>
        </w:tabs>
        <w:spacing w:line="247" w:lineRule="auto" w:before="0" w:after="0"/>
        <w:ind w:left="151" w:right="508" w:firstLine="397"/>
        <w:jc w:val="left"/>
        <w:rPr>
          <w:sz w:val="15"/>
        </w:rPr>
      </w:pPr>
      <w:r>
        <w:rPr>
          <w:sz w:val="15"/>
        </w:rPr>
        <w:t>Por</w:t>
      </w:r>
      <w:r>
        <w:rPr>
          <w:spacing w:val="11"/>
          <w:sz w:val="15"/>
        </w:rPr>
        <w:t> </w:t>
      </w:r>
      <w:r>
        <w:rPr>
          <w:sz w:val="15"/>
        </w:rPr>
        <w:t>carecer</w:t>
      </w:r>
      <w:r>
        <w:rPr>
          <w:spacing w:val="12"/>
          <w:sz w:val="15"/>
        </w:rPr>
        <w:t> </w:t>
      </w:r>
      <w:r>
        <w:rPr>
          <w:sz w:val="15"/>
        </w:rPr>
        <w:t>de</w:t>
      </w:r>
      <w:r>
        <w:rPr>
          <w:spacing w:val="12"/>
          <w:sz w:val="15"/>
        </w:rPr>
        <w:t> </w:t>
      </w:r>
      <w:r>
        <w:rPr>
          <w:sz w:val="15"/>
        </w:rPr>
        <w:t>bitácoras</w:t>
      </w:r>
      <w:r>
        <w:rPr>
          <w:spacing w:val="12"/>
          <w:sz w:val="15"/>
        </w:rPr>
        <w:t> </w:t>
      </w:r>
      <w:r>
        <w:rPr>
          <w:sz w:val="15"/>
        </w:rPr>
        <w:t>de</w:t>
      </w:r>
      <w:r>
        <w:rPr>
          <w:spacing w:val="12"/>
          <w:sz w:val="15"/>
        </w:rPr>
        <w:t> </w:t>
      </w:r>
      <w:r>
        <w:rPr>
          <w:sz w:val="15"/>
        </w:rPr>
        <w:t>registro</w:t>
      </w:r>
      <w:r>
        <w:rPr>
          <w:spacing w:val="12"/>
          <w:sz w:val="15"/>
        </w:rPr>
        <w:t> </w:t>
      </w:r>
      <w:r>
        <w:rPr>
          <w:sz w:val="15"/>
        </w:rPr>
        <w:t>en</w:t>
      </w:r>
      <w:r>
        <w:rPr>
          <w:spacing w:val="12"/>
          <w:sz w:val="15"/>
        </w:rPr>
        <w:t> </w:t>
      </w:r>
      <w:r>
        <w:rPr>
          <w:sz w:val="15"/>
        </w:rPr>
        <w:t>los</w:t>
      </w:r>
      <w:r>
        <w:rPr>
          <w:spacing w:val="12"/>
          <w:sz w:val="15"/>
        </w:rPr>
        <w:t> </w:t>
      </w:r>
      <w:r>
        <w:rPr>
          <w:sz w:val="15"/>
        </w:rPr>
        <w:t>términos</w:t>
      </w:r>
      <w:r>
        <w:rPr>
          <w:spacing w:val="11"/>
          <w:sz w:val="15"/>
        </w:rPr>
        <w:t> </w:t>
      </w:r>
      <w:r>
        <w:rPr>
          <w:sz w:val="15"/>
        </w:rPr>
        <w:t>de</w:t>
      </w:r>
      <w:r>
        <w:rPr>
          <w:spacing w:val="12"/>
          <w:sz w:val="15"/>
        </w:rPr>
        <w:t> </w:t>
      </w:r>
      <w:r>
        <w:rPr>
          <w:sz w:val="15"/>
        </w:rPr>
        <w:t>la</w:t>
      </w:r>
      <w:r>
        <w:rPr>
          <w:spacing w:val="13"/>
          <w:sz w:val="15"/>
        </w:rPr>
        <w:t> </w:t>
      </w:r>
      <w:r>
        <w:rPr>
          <w:spacing w:val="-3"/>
          <w:sz w:val="15"/>
        </w:rPr>
        <w:t>ley,</w:t>
      </w:r>
      <w:r>
        <w:rPr>
          <w:spacing w:val="12"/>
          <w:sz w:val="15"/>
        </w:rPr>
        <w:t> </w:t>
      </w:r>
      <w:r>
        <w:rPr>
          <w:sz w:val="15"/>
        </w:rPr>
        <w:t>de:</w:t>
        <w:tab/>
        <w:t>20 a 25,000 unidades </w:t>
      </w:r>
      <w:r>
        <w:rPr>
          <w:spacing w:val="-6"/>
          <w:sz w:val="15"/>
        </w:rPr>
        <w:t>de </w:t>
      </w:r>
      <w:r>
        <w:rPr>
          <w:sz w:val="15"/>
        </w:rPr>
        <w:t>medida y</w:t>
      </w:r>
      <w:r>
        <w:rPr>
          <w:spacing w:val="2"/>
          <w:sz w:val="15"/>
        </w:rPr>
        <w:t> </w:t>
      </w:r>
      <w:r>
        <w:rPr>
          <w:sz w:val="15"/>
        </w:rPr>
        <w:t>actualización.</w:t>
      </w:r>
    </w:p>
    <w:p>
      <w:pPr>
        <w:pStyle w:val="BodyText"/>
        <w:spacing w:before="3"/>
      </w:pPr>
    </w:p>
    <w:p>
      <w:pPr>
        <w:pStyle w:val="ListParagraph"/>
        <w:numPr>
          <w:ilvl w:val="0"/>
          <w:numId w:val="291"/>
        </w:numPr>
        <w:tabs>
          <w:tab w:pos="772" w:val="left" w:leader="none"/>
        </w:tabs>
        <w:spacing w:line="240" w:lineRule="auto" w:before="0" w:after="0"/>
        <w:ind w:left="771" w:right="0" w:hanging="224"/>
        <w:jc w:val="left"/>
        <w:rPr>
          <w:sz w:val="15"/>
        </w:rPr>
      </w:pPr>
      <w:r>
        <w:rPr>
          <w:sz w:val="15"/>
        </w:rPr>
        <w:t>Arrojar a la vía pública animales muertos o parte de ellos,</w:t>
      </w:r>
      <w:r>
        <w:rPr>
          <w:spacing w:val="19"/>
          <w:sz w:val="15"/>
        </w:rPr>
        <w:t> </w:t>
      </w:r>
      <w:r>
        <w:rPr>
          <w:sz w:val="15"/>
        </w:rPr>
        <w:t>de:</w:t>
      </w:r>
    </w:p>
    <w:p>
      <w:pPr>
        <w:pStyle w:val="BodyText"/>
        <w:spacing w:before="5"/>
        <w:ind w:left="4372"/>
      </w:pPr>
      <w:r>
        <w:rPr/>
        <w:t>20 a 25,000 unidades de medida y actualización.</w:t>
      </w:r>
    </w:p>
    <w:p>
      <w:pPr>
        <w:spacing w:after="0"/>
        <w:sectPr>
          <w:type w:val="continuous"/>
          <w:pgSz w:w="23250" w:h="15310" w:orient="landscape"/>
          <w:pgMar w:top="0" w:bottom="0" w:left="1880" w:right="1520"/>
          <w:cols w:num="2" w:equalWidth="0">
            <w:col w:w="7752" w:space="3871"/>
            <w:col w:w="8227"/>
          </w:cols>
        </w:sectPr>
      </w:pPr>
    </w:p>
    <w:p>
      <w:pPr>
        <w:pStyle w:val="BodyText"/>
        <w:rPr>
          <w:sz w:val="20"/>
        </w:rPr>
      </w:pPr>
    </w:p>
    <w:p>
      <w:pPr>
        <w:pStyle w:val="BodyText"/>
        <w:spacing w:before="7"/>
        <w:rPr>
          <w:sz w:val="29"/>
        </w:rPr>
      </w:pPr>
    </w:p>
    <w:p>
      <w:pPr>
        <w:spacing w:after="0"/>
        <w:rPr>
          <w:sz w:val="29"/>
        </w:rPr>
        <w:sectPr>
          <w:headerReference w:type="default" r:id="rId141"/>
          <w:pgSz w:w="23250" w:h="15310" w:orient="landscape"/>
          <w:pgMar w:header="881" w:footer="499" w:top="1920" w:bottom="680" w:left="1880" w:right="1520"/>
        </w:sectPr>
      </w:pPr>
    </w:p>
    <w:p>
      <w:pPr>
        <w:pStyle w:val="ListParagraph"/>
        <w:numPr>
          <w:ilvl w:val="0"/>
          <w:numId w:val="291"/>
        </w:numPr>
        <w:tabs>
          <w:tab w:pos="843" w:val="left" w:leader="none"/>
        </w:tabs>
        <w:spacing w:line="247" w:lineRule="auto" w:before="99" w:after="0"/>
        <w:ind w:left="150" w:right="38" w:firstLine="397"/>
        <w:jc w:val="left"/>
        <w:rPr>
          <w:sz w:val="15"/>
        </w:rPr>
      </w:pPr>
      <w:r>
        <w:rPr>
          <w:sz w:val="15"/>
        </w:rPr>
        <w:t>Por almacenar los residuos correspondientes sin sujeción a las normas oficiales mexicanas o los ordenamientos jurídicos del Estado de Jalisco,</w:t>
      </w:r>
      <w:r>
        <w:rPr>
          <w:spacing w:val="9"/>
          <w:sz w:val="15"/>
        </w:rPr>
        <w:t> </w:t>
      </w:r>
      <w:r>
        <w:rPr>
          <w:sz w:val="15"/>
        </w:rPr>
        <w:t>de:</w:t>
      </w:r>
    </w:p>
    <w:p>
      <w:pPr>
        <w:pStyle w:val="BodyText"/>
        <w:spacing w:before="98"/>
        <w:ind w:left="150"/>
      </w:pPr>
      <w:r>
        <w:rPr/>
        <w:br w:type="column"/>
      </w:r>
      <w:r>
        <w:rPr/>
        <w:t>impondrá amonestación con apercibimiento y multa de 8 a 49 unidades de medida y actualización;</w:t>
      </w:r>
    </w:p>
    <w:p>
      <w:pPr>
        <w:spacing w:after="0"/>
        <w:sectPr>
          <w:type w:val="continuous"/>
          <w:pgSz w:w="23250" w:h="15310" w:orient="landscape"/>
          <w:pgMar w:top="0" w:bottom="0" w:left="1880" w:right="1520"/>
          <w:cols w:num="2" w:equalWidth="0">
            <w:col w:w="7751" w:space="3871"/>
            <w:col w:w="8228"/>
          </w:cols>
        </w:sectPr>
      </w:pPr>
    </w:p>
    <w:p>
      <w:pPr>
        <w:pStyle w:val="BodyText"/>
        <w:spacing w:line="172" w:lineRule="exact"/>
        <w:ind w:left="4371"/>
      </w:pPr>
      <w:r>
        <w:rPr/>
        <w:t>20 a 25,000 unidades de medida y actualización.</w:t>
      </w:r>
    </w:p>
    <w:p>
      <w:pPr>
        <w:pStyle w:val="BodyText"/>
        <w:spacing w:before="8"/>
      </w:pPr>
    </w:p>
    <w:p>
      <w:pPr>
        <w:pStyle w:val="ListParagraph"/>
        <w:numPr>
          <w:ilvl w:val="0"/>
          <w:numId w:val="291"/>
        </w:numPr>
        <w:tabs>
          <w:tab w:pos="873" w:val="left" w:leader="none"/>
        </w:tabs>
        <w:spacing w:line="247" w:lineRule="auto" w:before="0" w:after="0"/>
        <w:ind w:left="151" w:right="40" w:firstLine="397"/>
        <w:jc w:val="both"/>
        <w:rPr>
          <w:sz w:val="15"/>
        </w:rPr>
      </w:pPr>
      <w:r>
        <w:rPr>
          <w:sz w:val="15"/>
        </w:rPr>
        <w:t>Por mezclar residuos sólidos urbanos y de manejo especial con residuos peligrosos contraviniendo    lo dispuesto en la Ley General, en la del Estado y en los demás ordenamientos legales  o  normativos  aplicables,</w:t>
      </w:r>
      <w:r>
        <w:rPr>
          <w:spacing w:val="1"/>
          <w:sz w:val="15"/>
        </w:rPr>
        <w:t> </w:t>
      </w:r>
      <w:r>
        <w:rPr>
          <w:sz w:val="15"/>
        </w:rPr>
        <w:t>de:</w:t>
      </w:r>
    </w:p>
    <w:p>
      <w:pPr>
        <w:pStyle w:val="BodyText"/>
        <w:spacing w:line="171" w:lineRule="exact"/>
        <w:ind w:left="2691"/>
        <w:jc w:val="both"/>
      </w:pPr>
      <w:r>
        <w:rPr/>
        <w:t>20 a 25,000 unidades de medida y actualización.</w:t>
      </w:r>
    </w:p>
    <w:p>
      <w:pPr>
        <w:pStyle w:val="BodyText"/>
        <w:spacing w:before="9"/>
      </w:pPr>
    </w:p>
    <w:p>
      <w:pPr>
        <w:pStyle w:val="ListParagraph"/>
        <w:numPr>
          <w:ilvl w:val="0"/>
          <w:numId w:val="291"/>
        </w:numPr>
        <w:tabs>
          <w:tab w:pos="833" w:val="left" w:leader="none"/>
        </w:tabs>
        <w:spacing w:line="247" w:lineRule="auto" w:before="0" w:after="0"/>
        <w:ind w:left="151" w:right="40" w:firstLine="397"/>
        <w:jc w:val="both"/>
        <w:rPr>
          <w:sz w:val="15"/>
        </w:rPr>
      </w:pPr>
      <w:r>
        <w:rPr>
          <w:sz w:val="15"/>
        </w:rPr>
        <w:t>Por depositar en los recipientes de almacenamiento de uso público o privado  residuos  que  contengan sustancias tóxicas o peligrosas para la salud pública o aquellos  que  despidan  olores  desagradables,</w:t>
      </w:r>
      <w:r>
        <w:rPr>
          <w:spacing w:val="1"/>
          <w:sz w:val="15"/>
        </w:rPr>
        <w:t> </w:t>
      </w:r>
      <w:r>
        <w:rPr>
          <w:sz w:val="15"/>
        </w:rPr>
        <w:t>de:</w:t>
      </w:r>
    </w:p>
    <w:p>
      <w:pPr>
        <w:pStyle w:val="BodyText"/>
        <w:spacing w:line="171" w:lineRule="exact"/>
        <w:ind w:left="4157"/>
        <w:jc w:val="both"/>
      </w:pPr>
      <w:r>
        <w:rPr/>
        <w:t>5,001 a 50,000 unidades de medida y actualización.</w:t>
      </w:r>
    </w:p>
    <w:p>
      <w:pPr>
        <w:pStyle w:val="BodyText"/>
        <w:spacing w:before="8"/>
      </w:pPr>
    </w:p>
    <w:p>
      <w:pPr>
        <w:pStyle w:val="ListParagraph"/>
        <w:numPr>
          <w:ilvl w:val="0"/>
          <w:numId w:val="291"/>
        </w:numPr>
        <w:tabs>
          <w:tab w:pos="754" w:val="left" w:leader="none"/>
        </w:tabs>
        <w:spacing w:line="240" w:lineRule="auto" w:before="1" w:after="0"/>
        <w:ind w:left="753" w:right="0" w:hanging="206"/>
        <w:jc w:val="left"/>
        <w:rPr>
          <w:sz w:val="15"/>
        </w:rPr>
      </w:pPr>
      <w:r>
        <w:rPr>
          <w:sz w:val="15"/>
        </w:rPr>
        <w:t>Por</w:t>
      </w:r>
      <w:r>
        <w:rPr>
          <w:spacing w:val="27"/>
          <w:sz w:val="15"/>
        </w:rPr>
        <w:t> </w:t>
      </w:r>
      <w:r>
        <w:rPr>
          <w:sz w:val="15"/>
        </w:rPr>
        <w:t>realizar</w:t>
      </w:r>
      <w:r>
        <w:rPr>
          <w:spacing w:val="28"/>
          <w:sz w:val="15"/>
        </w:rPr>
        <w:t> </w:t>
      </w:r>
      <w:r>
        <w:rPr>
          <w:sz w:val="15"/>
        </w:rPr>
        <w:t>la</w:t>
      </w:r>
      <w:r>
        <w:rPr>
          <w:spacing w:val="28"/>
          <w:sz w:val="15"/>
        </w:rPr>
        <w:t> </w:t>
      </w:r>
      <w:r>
        <w:rPr>
          <w:sz w:val="15"/>
        </w:rPr>
        <w:t>recolección</w:t>
      </w:r>
      <w:r>
        <w:rPr>
          <w:spacing w:val="28"/>
          <w:sz w:val="15"/>
        </w:rPr>
        <w:t> </w:t>
      </w:r>
      <w:r>
        <w:rPr>
          <w:sz w:val="15"/>
        </w:rPr>
        <w:t>de</w:t>
      </w:r>
      <w:r>
        <w:rPr>
          <w:spacing w:val="28"/>
          <w:sz w:val="15"/>
        </w:rPr>
        <w:t> </w:t>
      </w:r>
      <w:r>
        <w:rPr>
          <w:sz w:val="15"/>
        </w:rPr>
        <w:t>residuos</w:t>
      </w:r>
      <w:r>
        <w:rPr>
          <w:spacing w:val="28"/>
          <w:sz w:val="15"/>
        </w:rPr>
        <w:t> </w:t>
      </w:r>
      <w:r>
        <w:rPr>
          <w:sz w:val="15"/>
        </w:rPr>
        <w:t>de</w:t>
      </w:r>
      <w:r>
        <w:rPr>
          <w:spacing w:val="27"/>
          <w:sz w:val="15"/>
        </w:rPr>
        <w:t> </w:t>
      </w:r>
      <w:r>
        <w:rPr>
          <w:sz w:val="15"/>
        </w:rPr>
        <w:t>manejo</w:t>
      </w:r>
      <w:r>
        <w:rPr>
          <w:spacing w:val="28"/>
          <w:sz w:val="15"/>
        </w:rPr>
        <w:t> </w:t>
      </w:r>
      <w:r>
        <w:rPr>
          <w:sz w:val="15"/>
        </w:rPr>
        <w:t>especial</w:t>
      </w:r>
      <w:r>
        <w:rPr>
          <w:spacing w:val="28"/>
          <w:sz w:val="15"/>
        </w:rPr>
        <w:t> </w:t>
      </w:r>
      <w:r>
        <w:rPr>
          <w:sz w:val="15"/>
        </w:rPr>
        <w:t>sin</w:t>
      </w:r>
      <w:r>
        <w:rPr>
          <w:spacing w:val="26"/>
          <w:sz w:val="15"/>
        </w:rPr>
        <w:t> </w:t>
      </w:r>
      <w:r>
        <w:rPr>
          <w:sz w:val="15"/>
        </w:rPr>
        <w:t>cumplir</w:t>
      </w:r>
      <w:r>
        <w:rPr>
          <w:spacing w:val="28"/>
          <w:sz w:val="15"/>
        </w:rPr>
        <w:t> </w:t>
      </w:r>
      <w:r>
        <w:rPr>
          <w:sz w:val="15"/>
        </w:rPr>
        <w:t>con</w:t>
      </w:r>
      <w:r>
        <w:rPr>
          <w:spacing w:val="28"/>
          <w:sz w:val="15"/>
        </w:rPr>
        <w:t> </w:t>
      </w:r>
      <w:r>
        <w:rPr>
          <w:sz w:val="15"/>
        </w:rPr>
        <w:t>la</w:t>
      </w:r>
      <w:r>
        <w:rPr>
          <w:spacing w:val="28"/>
          <w:sz w:val="15"/>
        </w:rPr>
        <w:t> </w:t>
      </w:r>
      <w:r>
        <w:rPr>
          <w:sz w:val="15"/>
        </w:rPr>
        <w:t>normatividad</w:t>
      </w:r>
      <w:r>
        <w:rPr>
          <w:spacing w:val="28"/>
          <w:sz w:val="15"/>
        </w:rPr>
        <w:t> </w:t>
      </w:r>
      <w:r>
        <w:rPr>
          <w:sz w:val="15"/>
        </w:rPr>
        <w:t>vigente,</w:t>
      </w:r>
    </w:p>
    <w:p>
      <w:pPr>
        <w:pStyle w:val="BodyText"/>
        <w:spacing w:before="4"/>
        <w:ind w:left="151"/>
      </w:pPr>
      <w:r>
        <w:rPr/>
        <w:t>de:</w:t>
      </w:r>
    </w:p>
    <w:p>
      <w:pPr>
        <w:pStyle w:val="BodyText"/>
        <w:spacing w:before="5"/>
        <w:ind w:left="4158"/>
      </w:pPr>
      <w:r>
        <w:rPr/>
        <w:t>5,001 a 50,000 unidades de medida y actualización.</w:t>
      </w:r>
    </w:p>
    <w:p>
      <w:pPr>
        <w:pStyle w:val="BodyText"/>
        <w:spacing w:before="9"/>
      </w:pPr>
    </w:p>
    <w:p>
      <w:pPr>
        <w:pStyle w:val="ListParagraph"/>
        <w:numPr>
          <w:ilvl w:val="0"/>
          <w:numId w:val="291"/>
        </w:numPr>
        <w:tabs>
          <w:tab w:pos="779" w:val="left" w:leader="none"/>
        </w:tabs>
        <w:spacing w:line="240" w:lineRule="auto" w:before="1" w:after="0"/>
        <w:ind w:left="778" w:right="0" w:hanging="231"/>
        <w:jc w:val="left"/>
        <w:rPr>
          <w:sz w:val="15"/>
        </w:rPr>
      </w:pPr>
      <w:r>
        <w:rPr>
          <w:sz w:val="15"/>
        </w:rPr>
        <w:t>Por crear basureros o tiraderos clandestinos,</w:t>
      </w:r>
      <w:r>
        <w:rPr>
          <w:spacing w:val="8"/>
          <w:sz w:val="15"/>
        </w:rPr>
        <w:t> </w:t>
      </w:r>
      <w:r>
        <w:rPr>
          <w:sz w:val="15"/>
        </w:rPr>
        <w:t>de:</w:t>
      </w:r>
    </w:p>
    <w:p>
      <w:pPr>
        <w:pStyle w:val="BodyText"/>
        <w:spacing w:before="3"/>
        <w:ind w:left="4072"/>
      </w:pPr>
      <w:r>
        <w:rPr/>
        <w:t>10,001 a 45,000 unidades de medida y actualización.</w:t>
      </w:r>
    </w:p>
    <w:p>
      <w:pPr>
        <w:pStyle w:val="BodyText"/>
        <w:spacing w:before="10"/>
      </w:pPr>
    </w:p>
    <w:p>
      <w:pPr>
        <w:pStyle w:val="ListParagraph"/>
        <w:numPr>
          <w:ilvl w:val="0"/>
          <w:numId w:val="291"/>
        </w:numPr>
        <w:tabs>
          <w:tab w:pos="825" w:val="left" w:leader="none"/>
        </w:tabs>
        <w:spacing w:line="247" w:lineRule="auto" w:before="0" w:after="0"/>
        <w:ind w:left="151" w:right="40" w:firstLine="397"/>
        <w:jc w:val="both"/>
        <w:rPr>
          <w:sz w:val="15"/>
        </w:rPr>
      </w:pPr>
      <w:r>
        <w:rPr>
          <w:sz w:val="15"/>
        </w:rPr>
        <w:t>Por el depósito o confinamiento de residuos fuera de los sitios destinados para dicho fin en parques, áreas verdes, áreas de valor ambiental, áreas naturales protegidas, zonas rurales o áreas de conservación ecológica y otros lugares no autorizados,</w:t>
      </w:r>
      <w:r>
        <w:rPr>
          <w:spacing w:val="8"/>
          <w:sz w:val="15"/>
        </w:rPr>
        <w:t> </w:t>
      </w:r>
      <w:r>
        <w:rPr>
          <w:sz w:val="15"/>
        </w:rPr>
        <w:t>de:</w:t>
      </w:r>
    </w:p>
    <w:p>
      <w:pPr>
        <w:pStyle w:val="BodyText"/>
        <w:spacing w:line="171" w:lineRule="exact"/>
        <w:ind w:left="4072"/>
        <w:jc w:val="both"/>
      </w:pPr>
      <w:r>
        <w:rPr/>
        <w:t>10,001 a 45,000 unidades de medida y actualización.</w:t>
      </w:r>
    </w:p>
    <w:p>
      <w:pPr>
        <w:pStyle w:val="BodyText"/>
        <w:spacing w:before="8"/>
      </w:pPr>
    </w:p>
    <w:p>
      <w:pPr>
        <w:pStyle w:val="ListParagraph"/>
        <w:numPr>
          <w:ilvl w:val="0"/>
          <w:numId w:val="291"/>
        </w:numPr>
        <w:tabs>
          <w:tab w:pos="896" w:val="left" w:leader="none"/>
        </w:tabs>
        <w:spacing w:line="247" w:lineRule="auto" w:before="1" w:after="0"/>
        <w:ind w:left="151" w:right="41" w:firstLine="397"/>
        <w:jc w:val="both"/>
        <w:rPr>
          <w:sz w:val="15"/>
        </w:rPr>
      </w:pPr>
      <w:r>
        <w:rPr>
          <w:sz w:val="15"/>
        </w:rPr>
        <w:t>Por establecer sitios de disposición final de residuos sólidos urbanos o de manejo  especial</w:t>
      </w:r>
      <w:r>
        <w:rPr>
          <w:spacing w:val="21"/>
          <w:sz w:val="15"/>
        </w:rPr>
        <w:t> </w:t>
      </w:r>
      <w:r>
        <w:rPr>
          <w:sz w:val="15"/>
        </w:rPr>
        <w:t>en lugares no autorizados,</w:t>
      </w:r>
      <w:r>
        <w:rPr>
          <w:spacing w:val="2"/>
          <w:sz w:val="15"/>
        </w:rPr>
        <w:t> </w:t>
      </w:r>
      <w:r>
        <w:rPr>
          <w:sz w:val="15"/>
        </w:rPr>
        <w:t>de:</w:t>
      </w:r>
    </w:p>
    <w:p>
      <w:pPr>
        <w:pStyle w:val="BodyText"/>
        <w:spacing w:line="172" w:lineRule="exact"/>
        <w:ind w:left="4072"/>
        <w:jc w:val="both"/>
      </w:pPr>
      <w:r>
        <w:rPr/>
        <w:t>10,001 a 45,000 unidades de medida y actualización.</w:t>
      </w:r>
    </w:p>
    <w:p>
      <w:pPr>
        <w:pStyle w:val="BodyText"/>
        <w:spacing w:before="8"/>
      </w:pPr>
    </w:p>
    <w:p>
      <w:pPr>
        <w:pStyle w:val="ListParagraph"/>
        <w:numPr>
          <w:ilvl w:val="0"/>
          <w:numId w:val="291"/>
        </w:numPr>
        <w:tabs>
          <w:tab w:pos="880" w:val="left" w:leader="none"/>
        </w:tabs>
        <w:spacing w:line="247" w:lineRule="auto" w:before="0" w:after="0"/>
        <w:ind w:left="151" w:right="40" w:firstLine="397"/>
        <w:jc w:val="both"/>
        <w:rPr>
          <w:sz w:val="15"/>
        </w:rPr>
      </w:pPr>
      <w:r>
        <w:rPr>
          <w:sz w:val="15"/>
        </w:rPr>
        <w:t>Por el confinamiento o depósito final de residuos en estado líquido o con contenidos líquidos o de materia</w:t>
      </w:r>
      <w:r>
        <w:rPr>
          <w:spacing w:val="4"/>
          <w:sz w:val="15"/>
        </w:rPr>
        <w:t> </w:t>
      </w:r>
      <w:r>
        <w:rPr>
          <w:sz w:val="15"/>
        </w:rPr>
        <w:t>orgánica</w:t>
      </w:r>
      <w:r>
        <w:rPr>
          <w:spacing w:val="5"/>
          <w:sz w:val="15"/>
        </w:rPr>
        <w:t> </w:t>
      </w:r>
      <w:r>
        <w:rPr>
          <w:sz w:val="15"/>
        </w:rPr>
        <w:t>que</w:t>
      </w:r>
      <w:r>
        <w:rPr>
          <w:spacing w:val="5"/>
          <w:sz w:val="15"/>
        </w:rPr>
        <w:t> </w:t>
      </w:r>
      <w:r>
        <w:rPr>
          <w:sz w:val="15"/>
        </w:rPr>
        <w:t>excedan</w:t>
      </w:r>
      <w:r>
        <w:rPr>
          <w:spacing w:val="5"/>
          <w:sz w:val="15"/>
        </w:rPr>
        <w:t> </w:t>
      </w:r>
      <w:r>
        <w:rPr>
          <w:sz w:val="15"/>
        </w:rPr>
        <w:t>los</w:t>
      </w:r>
      <w:r>
        <w:rPr>
          <w:spacing w:val="3"/>
          <w:sz w:val="15"/>
        </w:rPr>
        <w:t> </w:t>
      </w:r>
      <w:r>
        <w:rPr>
          <w:sz w:val="15"/>
        </w:rPr>
        <w:t>máximos</w:t>
      </w:r>
      <w:r>
        <w:rPr>
          <w:spacing w:val="5"/>
          <w:sz w:val="15"/>
        </w:rPr>
        <w:t> </w:t>
      </w:r>
      <w:r>
        <w:rPr>
          <w:sz w:val="15"/>
        </w:rPr>
        <w:t>permitidos</w:t>
      </w:r>
      <w:r>
        <w:rPr>
          <w:spacing w:val="5"/>
          <w:sz w:val="15"/>
        </w:rPr>
        <w:t> </w:t>
      </w:r>
      <w:r>
        <w:rPr>
          <w:sz w:val="15"/>
        </w:rPr>
        <w:t>por</w:t>
      </w:r>
      <w:r>
        <w:rPr>
          <w:spacing w:val="4"/>
          <w:sz w:val="15"/>
        </w:rPr>
        <w:t> </w:t>
      </w:r>
      <w:r>
        <w:rPr>
          <w:sz w:val="15"/>
        </w:rPr>
        <w:t>las</w:t>
      </w:r>
      <w:r>
        <w:rPr>
          <w:spacing w:val="5"/>
          <w:sz w:val="15"/>
        </w:rPr>
        <w:t> </w:t>
      </w:r>
      <w:r>
        <w:rPr>
          <w:sz w:val="15"/>
        </w:rPr>
        <w:t>normas</w:t>
      </w:r>
      <w:r>
        <w:rPr>
          <w:spacing w:val="5"/>
          <w:sz w:val="15"/>
        </w:rPr>
        <w:t> </w:t>
      </w:r>
      <w:r>
        <w:rPr>
          <w:sz w:val="15"/>
        </w:rPr>
        <w:t>oficiales</w:t>
      </w:r>
      <w:r>
        <w:rPr>
          <w:spacing w:val="5"/>
          <w:sz w:val="15"/>
        </w:rPr>
        <w:t> </w:t>
      </w:r>
      <w:r>
        <w:rPr>
          <w:sz w:val="15"/>
        </w:rPr>
        <w:t>mexicanas,</w:t>
      </w:r>
      <w:r>
        <w:rPr>
          <w:spacing w:val="4"/>
          <w:sz w:val="15"/>
        </w:rPr>
        <w:t> </w:t>
      </w:r>
      <w:r>
        <w:rPr>
          <w:sz w:val="15"/>
        </w:rPr>
        <w:t>de:</w:t>
      </w:r>
    </w:p>
    <w:p>
      <w:pPr>
        <w:pStyle w:val="BodyText"/>
        <w:spacing w:line="172" w:lineRule="exact"/>
        <w:ind w:left="4072"/>
        <w:jc w:val="both"/>
      </w:pPr>
      <w:r>
        <w:rPr/>
        <w:t>10,001 a 45,000 unidades de medida y actualización.</w:t>
      </w:r>
    </w:p>
    <w:p>
      <w:pPr>
        <w:pStyle w:val="BodyText"/>
        <w:spacing w:before="9"/>
      </w:pPr>
    </w:p>
    <w:p>
      <w:pPr>
        <w:pStyle w:val="ListParagraph"/>
        <w:numPr>
          <w:ilvl w:val="0"/>
          <w:numId w:val="291"/>
        </w:numPr>
        <w:tabs>
          <w:tab w:pos="833" w:val="left" w:leader="none"/>
        </w:tabs>
        <w:spacing w:line="247" w:lineRule="auto" w:before="1" w:after="0"/>
        <w:ind w:left="151" w:right="38" w:firstLine="397"/>
        <w:jc w:val="both"/>
        <w:rPr>
          <w:sz w:val="15"/>
        </w:rPr>
      </w:pPr>
      <w:r>
        <w:rPr>
          <w:sz w:val="15"/>
        </w:rPr>
        <w:t>Realizar procesos de tratamiento de residuos sólidos urbanos sin cumplir con las disposiciones que establecen</w:t>
      </w:r>
      <w:r>
        <w:rPr>
          <w:spacing w:val="5"/>
          <w:sz w:val="15"/>
        </w:rPr>
        <w:t> </w:t>
      </w:r>
      <w:r>
        <w:rPr>
          <w:sz w:val="15"/>
        </w:rPr>
        <w:t>las</w:t>
      </w:r>
      <w:r>
        <w:rPr>
          <w:spacing w:val="5"/>
          <w:sz w:val="15"/>
        </w:rPr>
        <w:t> </w:t>
      </w:r>
      <w:r>
        <w:rPr>
          <w:sz w:val="15"/>
        </w:rPr>
        <w:t>normas</w:t>
      </w:r>
      <w:r>
        <w:rPr>
          <w:spacing w:val="5"/>
          <w:sz w:val="15"/>
        </w:rPr>
        <w:t> </w:t>
      </w:r>
      <w:r>
        <w:rPr>
          <w:sz w:val="15"/>
        </w:rPr>
        <w:t>oficiales</w:t>
      </w:r>
      <w:r>
        <w:rPr>
          <w:spacing w:val="5"/>
          <w:sz w:val="15"/>
        </w:rPr>
        <w:t> </w:t>
      </w:r>
      <w:r>
        <w:rPr>
          <w:sz w:val="15"/>
        </w:rPr>
        <w:t>mexicanas</w:t>
      </w:r>
      <w:r>
        <w:rPr>
          <w:spacing w:val="5"/>
          <w:sz w:val="15"/>
        </w:rPr>
        <w:t> </w:t>
      </w:r>
      <w:r>
        <w:rPr>
          <w:sz w:val="15"/>
        </w:rPr>
        <w:t>y</w:t>
      </w:r>
      <w:r>
        <w:rPr>
          <w:spacing w:val="5"/>
          <w:sz w:val="15"/>
        </w:rPr>
        <w:t> </w:t>
      </w:r>
      <w:r>
        <w:rPr>
          <w:sz w:val="15"/>
        </w:rPr>
        <w:t>las</w:t>
      </w:r>
      <w:r>
        <w:rPr>
          <w:spacing w:val="5"/>
          <w:sz w:val="15"/>
        </w:rPr>
        <w:t> </w:t>
      </w:r>
      <w:r>
        <w:rPr>
          <w:sz w:val="15"/>
        </w:rPr>
        <w:t>normas</w:t>
      </w:r>
      <w:r>
        <w:rPr>
          <w:spacing w:val="5"/>
          <w:sz w:val="15"/>
        </w:rPr>
        <w:t> </w:t>
      </w:r>
      <w:r>
        <w:rPr>
          <w:sz w:val="15"/>
        </w:rPr>
        <w:t>ambientales</w:t>
      </w:r>
      <w:r>
        <w:rPr>
          <w:spacing w:val="5"/>
          <w:sz w:val="15"/>
        </w:rPr>
        <w:t> </w:t>
      </w:r>
      <w:r>
        <w:rPr>
          <w:sz w:val="15"/>
        </w:rPr>
        <w:t>estatales</w:t>
      </w:r>
      <w:r>
        <w:rPr>
          <w:spacing w:val="5"/>
          <w:sz w:val="15"/>
        </w:rPr>
        <w:t> </w:t>
      </w:r>
      <w:r>
        <w:rPr>
          <w:sz w:val="15"/>
        </w:rPr>
        <w:t>en</w:t>
      </w:r>
      <w:r>
        <w:rPr>
          <w:spacing w:val="5"/>
          <w:sz w:val="15"/>
        </w:rPr>
        <w:t> </w:t>
      </w:r>
      <w:r>
        <w:rPr>
          <w:sz w:val="15"/>
        </w:rPr>
        <w:t>esta</w:t>
      </w:r>
      <w:r>
        <w:rPr>
          <w:spacing w:val="5"/>
          <w:sz w:val="15"/>
        </w:rPr>
        <w:t> </w:t>
      </w:r>
      <w:r>
        <w:rPr>
          <w:sz w:val="15"/>
        </w:rPr>
        <w:t>materia,</w:t>
      </w:r>
      <w:r>
        <w:rPr>
          <w:spacing w:val="5"/>
          <w:sz w:val="15"/>
        </w:rPr>
        <w:t> </w:t>
      </w:r>
      <w:r>
        <w:rPr>
          <w:sz w:val="15"/>
        </w:rPr>
        <w:t>de:</w:t>
      </w:r>
    </w:p>
    <w:p>
      <w:pPr>
        <w:pStyle w:val="BodyText"/>
        <w:spacing w:line="171" w:lineRule="exact"/>
        <w:ind w:left="4072"/>
        <w:jc w:val="both"/>
      </w:pPr>
      <w:r>
        <w:rPr/>
        <w:t>10,001 a 45,000 unidades de medida y actualización.</w:t>
      </w:r>
    </w:p>
    <w:p>
      <w:pPr>
        <w:pStyle w:val="BodyText"/>
        <w:spacing w:before="9"/>
      </w:pPr>
    </w:p>
    <w:p>
      <w:pPr>
        <w:pStyle w:val="ListParagraph"/>
        <w:numPr>
          <w:ilvl w:val="0"/>
          <w:numId w:val="291"/>
        </w:numPr>
        <w:tabs>
          <w:tab w:pos="901" w:val="left" w:leader="none"/>
        </w:tabs>
        <w:spacing w:line="247" w:lineRule="auto" w:before="0" w:after="0"/>
        <w:ind w:left="151" w:right="44" w:firstLine="397"/>
        <w:jc w:val="both"/>
        <w:rPr>
          <w:sz w:val="15"/>
        </w:rPr>
      </w:pPr>
      <w:r>
        <w:rPr>
          <w:sz w:val="15"/>
        </w:rPr>
        <w:t>Por la incineración de residuos en condiciones contrarias a las establecidas en las disposiciones legales correspondientes, y sin el permiso de las autoridades competentes,</w:t>
      </w:r>
      <w:r>
        <w:rPr>
          <w:spacing w:val="29"/>
          <w:sz w:val="15"/>
        </w:rPr>
        <w:t> </w:t>
      </w:r>
      <w:r>
        <w:rPr>
          <w:sz w:val="15"/>
        </w:rPr>
        <w:t>de:</w:t>
      </w:r>
    </w:p>
    <w:p>
      <w:pPr>
        <w:pStyle w:val="BodyText"/>
        <w:spacing w:line="172" w:lineRule="exact"/>
        <w:ind w:left="3987"/>
      </w:pPr>
      <w:r>
        <w:rPr/>
        <w:t>15,001 a 100,000 unidades de medida y actualización.</w:t>
      </w:r>
    </w:p>
    <w:p>
      <w:pPr>
        <w:pStyle w:val="BodyText"/>
        <w:spacing w:before="9"/>
      </w:pPr>
    </w:p>
    <w:p>
      <w:pPr>
        <w:pStyle w:val="ListParagraph"/>
        <w:numPr>
          <w:ilvl w:val="0"/>
          <w:numId w:val="291"/>
        </w:numPr>
        <w:tabs>
          <w:tab w:pos="943" w:val="left" w:leader="none"/>
        </w:tabs>
        <w:spacing w:line="247" w:lineRule="auto" w:before="0" w:after="0"/>
        <w:ind w:left="151" w:right="39" w:firstLine="397"/>
        <w:jc w:val="both"/>
        <w:rPr>
          <w:sz w:val="15"/>
        </w:rPr>
      </w:pPr>
      <w:r>
        <w:rPr>
          <w:sz w:val="15"/>
        </w:rPr>
        <w:t>Por la dilución o mezcla de residuos sólidos urbanos o de manejo especial con líquidos para su vertimiento al sistema de alcantarillado, a cualquier cuerpo de agua o sobre suelos con o sin cubierta vegetal,  de:</w:t>
      </w:r>
    </w:p>
    <w:p>
      <w:pPr>
        <w:pStyle w:val="ListParagraph"/>
        <w:numPr>
          <w:ilvl w:val="0"/>
          <w:numId w:val="292"/>
        </w:numPr>
        <w:tabs>
          <w:tab w:pos="777" w:val="left" w:leader="none"/>
        </w:tabs>
        <w:spacing w:line="247" w:lineRule="auto" w:before="0" w:after="0"/>
        <w:ind w:left="151" w:right="509" w:firstLine="397"/>
        <w:jc w:val="both"/>
        <w:rPr>
          <w:sz w:val="15"/>
        </w:rPr>
      </w:pPr>
      <w:r>
        <w:rPr>
          <w:w w:val="102"/>
          <w:sz w:val="15"/>
        </w:rPr>
        <w:br w:type="column"/>
      </w:r>
      <w:r>
        <w:rPr>
          <w:sz w:val="15"/>
        </w:rPr>
        <w:t>El quebrantamiento de sellos o el incumplimiento a las medidas de seguridad determinadas por las autoridades a que se refiere el presente Reglamento; se impondrá  amonestación  con apercibimiento  y multa  de 50 a 120 unidades de medida y</w:t>
      </w:r>
      <w:r>
        <w:rPr>
          <w:spacing w:val="11"/>
          <w:sz w:val="15"/>
        </w:rPr>
        <w:t> </w:t>
      </w:r>
      <w:r>
        <w:rPr>
          <w:sz w:val="15"/>
        </w:rPr>
        <w:t>actualización;</w:t>
      </w:r>
    </w:p>
    <w:p>
      <w:pPr>
        <w:pStyle w:val="BodyText"/>
        <w:spacing w:before="1"/>
      </w:pPr>
    </w:p>
    <w:p>
      <w:pPr>
        <w:pStyle w:val="ListParagraph"/>
        <w:numPr>
          <w:ilvl w:val="0"/>
          <w:numId w:val="292"/>
        </w:numPr>
        <w:tabs>
          <w:tab w:pos="801" w:val="left" w:leader="none"/>
        </w:tabs>
        <w:spacing w:line="247" w:lineRule="auto" w:before="0" w:after="0"/>
        <w:ind w:left="151" w:right="507" w:firstLine="397"/>
        <w:jc w:val="both"/>
        <w:rPr>
          <w:sz w:val="15"/>
        </w:rPr>
      </w:pPr>
      <w:r>
        <w:rPr>
          <w:sz w:val="15"/>
        </w:rPr>
        <w:t>No llevar el libro de registro de compradores a que se refiere el presente Reglamento, tenerlo incompleto o carecer del letrero a que se refiere el artículo 9, fracción I de dicho Reglamento; se impondrá amonestación con apercibimiento y multa de 8 a 49 unidades de medida y</w:t>
      </w:r>
      <w:r>
        <w:rPr>
          <w:spacing w:val="4"/>
          <w:sz w:val="15"/>
        </w:rPr>
        <w:t> </w:t>
      </w:r>
      <w:r>
        <w:rPr>
          <w:sz w:val="15"/>
        </w:rPr>
        <w:t>actualización;</w:t>
      </w:r>
    </w:p>
    <w:p>
      <w:pPr>
        <w:pStyle w:val="BodyText"/>
        <w:spacing w:before="2"/>
      </w:pPr>
    </w:p>
    <w:p>
      <w:pPr>
        <w:pStyle w:val="ListParagraph"/>
        <w:numPr>
          <w:ilvl w:val="0"/>
          <w:numId w:val="292"/>
        </w:numPr>
        <w:tabs>
          <w:tab w:pos="773" w:val="left" w:leader="none"/>
        </w:tabs>
        <w:spacing w:line="247" w:lineRule="auto" w:before="1" w:after="0"/>
        <w:ind w:left="151" w:right="509" w:firstLine="397"/>
        <w:jc w:val="both"/>
        <w:rPr>
          <w:sz w:val="15"/>
        </w:rPr>
      </w:pPr>
      <w:r>
        <w:rPr>
          <w:sz w:val="15"/>
        </w:rPr>
        <w:t>Proporcionar datos falsos a las autoridades a que se refiere dicho Reglamento; se impondrá amonestación</w:t>
      </w:r>
      <w:r>
        <w:rPr>
          <w:spacing w:val="4"/>
          <w:sz w:val="15"/>
        </w:rPr>
        <w:t> </w:t>
      </w:r>
      <w:r>
        <w:rPr>
          <w:sz w:val="15"/>
        </w:rPr>
        <w:t>con</w:t>
      </w:r>
      <w:r>
        <w:rPr>
          <w:spacing w:val="4"/>
          <w:sz w:val="15"/>
        </w:rPr>
        <w:t> </w:t>
      </w:r>
      <w:r>
        <w:rPr>
          <w:sz w:val="15"/>
        </w:rPr>
        <w:t>apercibimiento</w:t>
      </w:r>
      <w:r>
        <w:rPr>
          <w:spacing w:val="4"/>
          <w:sz w:val="15"/>
        </w:rPr>
        <w:t> </w:t>
      </w:r>
      <w:r>
        <w:rPr>
          <w:sz w:val="15"/>
        </w:rPr>
        <w:t>y</w:t>
      </w:r>
      <w:r>
        <w:rPr>
          <w:spacing w:val="4"/>
          <w:sz w:val="15"/>
        </w:rPr>
        <w:t> </w:t>
      </w:r>
      <w:r>
        <w:rPr>
          <w:sz w:val="15"/>
        </w:rPr>
        <w:t>multa</w:t>
      </w:r>
      <w:r>
        <w:rPr>
          <w:spacing w:val="4"/>
          <w:sz w:val="15"/>
        </w:rPr>
        <w:t> </w:t>
      </w:r>
      <w:r>
        <w:rPr>
          <w:sz w:val="15"/>
        </w:rPr>
        <w:t>de</w:t>
      </w:r>
      <w:r>
        <w:rPr>
          <w:spacing w:val="4"/>
          <w:sz w:val="15"/>
        </w:rPr>
        <w:t> </w:t>
      </w:r>
      <w:r>
        <w:rPr>
          <w:sz w:val="15"/>
        </w:rPr>
        <w:t>50</w:t>
      </w:r>
      <w:r>
        <w:rPr>
          <w:spacing w:val="4"/>
          <w:sz w:val="15"/>
        </w:rPr>
        <w:t> </w:t>
      </w:r>
      <w:r>
        <w:rPr>
          <w:sz w:val="15"/>
        </w:rPr>
        <w:t>a</w:t>
      </w:r>
      <w:r>
        <w:rPr>
          <w:spacing w:val="4"/>
          <w:sz w:val="15"/>
        </w:rPr>
        <w:t> </w:t>
      </w:r>
      <w:r>
        <w:rPr>
          <w:sz w:val="15"/>
        </w:rPr>
        <w:t>120</w:t>
      </w:r>
      <w:r>
        <w:rPr>
          <w:spacing w:val="4"/>
          <w:sz w:val="15"/>
        </w:rPr>
        <w:t> </w:t>
      </w:r>
      <w:r>
        <w:rPr>
          <w:sz w:val="15"/>
        </w:rPr>
        <w:t>unidades</w:t>
      </w:r>
      <w:r>
        <w:rPr>
          <w:spacing w:val="4"/>
          <w:sz w:val="15"/>
        </w:rPr>
        <w:t> </w:t>
      </w:r>
      <w:r>
        <w:rPr>
          <w:sz w:val="15"/>
        </w:rPr>
        <w:t>de</w:t>
      </w:r>
      <w:r>
        <w:rPr>
          <w:spacing w:val="6"/>
          <w:sz w:val="15"/>
        </w:rPr>
        <w:t> </w:t>
      </w:r>
      <w:r>
        <w:rPr>
          <w:sz w:val="15"/>
        </w:rPr>
        <w:t>medida</w:t>
      </w:r>
      <w:r>
        <w:rPr>
          <w:spacing w:val="4"/>
          <w:sz w:val="15"/>
        </w:rPr>
        <w:t> </w:t>
      </w:r>
      <w:r>
        <w:rPr>
          <w:sz w:val="15"/>
        </w:rPr>
        <w:t>y</w:t>
      </w:r>
      <w:r>
        <w:rPr>
          <w:spacing w:val="4"/>
          <w:sz w:val="15"/>
        </w:rPr>
        <w:t> </w:t>
      </w:r>
      <w:r>
        <w:rPr>
          <w:sz w:val="15"/>
        </w:rPr>
        <w:t>actualización;</w:t>
      </w:r>
      <w:r>
        <w:rPr>
          <w:spacing w:val="4"/>
          <w:sz w:val="15"/>
        </w:rPr>
        <w:t> </w:t>
      </w:r>
      <w:r>
        <w:rPr>
          <w:sz w:val="15"/>
        </w:rPr>
        <w:t>y</w:t>
      </w:r>
    </w:p>
    <w:p>
      <w:pPr>
        <w:pStyle w:val="BodyText"/>
        <w:spacing w:before="3"/>
      </w:pPr>
    </w:p>
    <w:p>
      <w:pPr>
        <w:pStyle w:val="ListParagraph"/>
        <w:numPr>
          <w:ilvl w:val="0"/>
          <w:numId w:val="292"/>
        </w:numPr>
        <w:tabs>
          <w:tab w:pos="786" w:val="left" w:leader="none"/>
        </w:tabs>
        <w:spacing w:line="247" w:lineRule="auto" w:before="1" w:after="0"/>
        <w:ind w:left="151" w:right="509" w:firstLine="397"/>
        <w:jc w:val="both"/>
        <w:rPr>
          <w:sz w:val="15"/>
        </w:rPr>
      </w:pPr>
      <w:r>
        <w:rPr>
          <w:sz w:val="15"/>
        </w:rPr>
        <w:t>Resistirse u obstaculizar por cualquier medio a las visitas de inspección, impedir a los inspectores el acceso a los almacenes, depósitos, bodegas, oficinas </w:t>
      </w:r>
      <w:r>
        <w:rPr>
          <w:spacing w:val="-7"/>
          <w:sz w:val="15"/>
        </w:rPr>
        <w:t>y,  </w:t>
      </w:r>
      <w:r>
        <w:rPr>
          <w:sz w:val="15"/>
        </w:rPr>
        <w:t>en general, negarse a proporcionar los elementos      que se requieran en relación con el objeto de las inspecciones:  se impondrá amonestación con apercibimiento   y multa de 50 a 120 unidades de medida y</w:t>
      </w:r>
      <w:r>
        <w:rPr>
          <w:spacing w:val="18"/>
          <w:sz w:val="15"/>
        </w:rPr>
        <w:t> </w:t>
      </w:r>
      <w:r>
        <w:rPr>
          <w:sz w:val="15"/>
        </w:rPr>
        <w:t>actualización.</w:t>
      </w:r>
    </w:p>
    <w:p>
      <w:pPr>
        <w:pStyle w:val="BodyText"/>
        <w:spacing w:before="1"/>
      </w:pPr>
    </w:p>
    <w:p>
      <w:pPr>
        <w:pStyle w:val="BodyText"/>
        <w:spacing w:line="244" w:lineRule="auto" w:before="1"/>
        <w:ind w:left="151" w:right="508" w:firstLine="397"/>
        <w:jc w:val="both"/>
      </w:pPr>
      <w:r>
        <w:rPr>
          <w:b/>
        </w:rPr>
        <w:t>Artículo 161.- </w:t>
      </w:r>
      <w:r>
        <w:rPr/>
        <w:t>Por violaciones al Reglamento que Determina los Medios Idóneos de Prueba  para  Acreditar la Posesión de </w:t>
      </w:r>
      <w:r>
        <w:rPr>
          <w:spacing w:val="-3"/>
        </w:rPr>
        <w:t>Terrenos  </w:t>
      </w:r>
      <w:r>
        <w:rPr/>
        <w:t>para el Otorgamiento de Autorizaciones, Permisos o Licencias en Materia     de Desarrollo Urbano del Municipio de Tlajomulco de Zúñiga,</w:t>
      </w:r>
      <w:r>
        <w:rPr>
          <w:spacing w:val="17"/>
        </w:rPr>
        <w:t> </w:t>
      </w:r>
      <w:r>
        <w:rPr/>
        <w:t>Jalisco:</w:t>
      </w:r>
    </w:p>
    <w:p>
      <w:pPr>
        <w:pStyle w:val="BodyText"/>
        <w:spacing w:before="7"/>
      </w:pPr>
    </w:p>
    <w:p>
      <w:pPr>
        <w:pStyle w:val="ListParagraph"/>
        <w:numPr>
          <w:ilvl w:val="0"/>
          <w:numId w:val="293"/>
        </w:numPr>
        <w:tabs>
          <w:tab w:pos="734" w:val="left" w:leader="none"/>
        </w:tabs>
        <w:spacing w:line="247" w:lineRule="auto" w:before="0" w:after="0"/>
        <w:ind w:left="151" w:right="509" w:firstLine="397"/>
        <w:jc w:val="both"/>
        <w:rPr>
          <w:sz w:val="15"/>
        </w:rPr>
      </w:pPr>
      <w:r>
        <w:rPr>
          <w:sz w:val="15"/>
        </w:rPr>
        <w:t>Proporcionen datos falsos al presentar las solicitudes de autorizaciones, permisos  o  licencias  reguladas en el Código Urbano del Estado de Jalisco, el Ordenamiento de Construcción o dicho Reglamento;    se sancionará con multa de 10 a 50 unidades de medida y</w:t>
      </w:r>
      <w:r>
        <w:rPr>
          <w:spacing w:val="26"/>
          <w:sz w:val="15"/>
        </w:rPr>
        <w:t> </w:t>
      </w:r>
      <w:r>
        <w:rPr>
          <w:sz w:val="15"/>
        </w:rPr>
        <w:t>actualización;</w:t>
      </w:r>
    </w:p>
    <w:p>
      <w:pPr>
        <w:pStyle w:val="BodyText"/>
        <w:spacing w:before="3"/>
      </w:pPr>
    </w:p>
    <w:p>
      <w:pPr>
        <w:pStyle w:val="ListParagraph"/>
        <w:numPr>
          <w:ilvl w:val="0"/>
          <w:numId w:val="293"/>
        </w:numPr>
        <w:tabs>
          <w:tab w:pos="790" w:val="left" w:leader="none"/>
        </w:tabs>
        <w:spacing w:line="247" w:lineRule="auto" w:before="0" w:after="0"/>
        <w:ind w:left="151" w:right="509" w:firstLine="397"/>
        <w:jc w:val="both"/>
        <w:rPr>
          <w:sz w:val="15"/>
        </w:rPr>
      </w:pPr>
      <w:r>
        <w:rPr>
          <w:sz w:val="15"/>
        </w:rPr>
        <w:t>Formulen oposiciones que se declaren infundadas por el Director General para impedir  el  otorgamiento de autorizaciones, permisos o licencias reguladas en el Código Urbano del Estado de Jalisco, el Ordenamiento de Construcción o dicho Reglamento; se sancionará con multa de 10 a 50 unidades de medida     y</w:t>
      </w:r>
      <w:r>
        <w:rPr>
          <w:spacing w:val="1"/>
          <w:sz w:val="15"/>
        </w:rPr>
        <w:t> </w:t>
      </w:r>
      <w:r>
        <w:rPr>
          <w:sz w:val="15"/>
        </w:rPr>
        <w:t>actualización;</w:t>
      </w:r>
    </w:p>
    <w:p>
      <w:pPr>
        <w:pStyle w:val="BodyText"/>
        <w:spacing w:before="2"/>
      </w:pPr>
    </w:p>
    <w:p>
      <w:pPr>
        <w:pStyle w:val="ListParagraph"/>
        <w:numPr>
          <w:ilvl w:val="0"/>
          <w:numId w:val="293"/>
        </w:numPr>
        <w:tabs>
          <w:tab w:pos="775" w:val="left" w:leader="none"/>
        </w:tabs>
        <w:spacing w:line="247" w:lineRule="auto" w:before="0" w:after="0"/>
        <w:ind w:left="151" w:right="510" w:firstLine="397"/>
        <w:jc w:val="both"/>
        <w:rPr>
          <w:sz w:val="15"/>
        </w:rPr>
      </w:pPr>
      <w:r>
        <w:rPr>
          <w:sz w:val="15"/>
        </w:rPr>
        <w:t>Comparezcan en calidad de colindantes sin serlo; se sancionará con multa de 10 a 50 unidades de medida y</w:t>
      </w:r>
      <w:r>
        <w:rPr>
          <w:spacing w:val="2"/>
          <w:sz w:val="15"/>
        </w:rPr>
        <w:t> </w:t>
      </w:r>
      <w:r>
        <w:rPr>
          <w:sz w:val="15"/>
        </w:rPr>
        <w:t>actualización;</w:t>
      </w:r>
    </w:p>
    <w:p>
      <w:pPr>
        <w:pStyle w:val="BodyText"/>
        <w:spacing w:before="4"/>
      </w:pPr>
    </w:p>
    <w:p>
      <w:pPr>
        <w:pStyle w:val="ListParagraph"/>
        <w:numPr>
          <w:ilvl w:val="0"/>
          <w:numId w:val="293"/>
        </w:numPr>
        <w:tabs>
          <w:tab w:pos="773" w:val="left" w:leader="none"/>
        </w:tabs>
        <w:spacing w:line="247" w:lineRule="auto" w:before="0" w:after="0"/>
        <w:ind w:left="151" w:right="509" w:firstLine="397"/>
        <w:jc w:val="both"/>
        <w:rPr>
          <w:sz w:val="15"/>
        </w:rPr>
      </w:pPr>
      <w:r>
        <w:rPr>
          <w:sz w:val="15"/>
        </w:rPr>
        <w:t>Proporcionen documentos falsos o alterados al presentar las  solicitudes de autorizaciones, permisos    o licencias reguladas en el Código Urbano del Estado de Jalisco, el Ordenamiento de Construcción o dicho Reglamento, y que induzcan el error en los actos que las autoridades municipales lleven a cabo en el o los procedimientos administrativos previstos en el presente Reglamento; se sancionará con multa de 50 a 500 unidades de medida y</w:t>
      </w:r>
      <w:r>
        <w:rPr>
          <w:spacing w:val="4"/>
          <w:sz w:val="15"/>
        </w:rPr>
        <w:t> </w:t>
      </w:r>
      <w:r>
        <w:rPr>
          <w:sz w:val="15"/>
        </w:rPr>
        <w:t>actualización;</w:t>
      </w:r>
    </w:p>
    <w:p>
      <w:pPr>
        <w:pStyle w:val="BodyText"/>
        <w:spacing w:before="2"/>
      </w:pPr>
    </w:p>
    <w:p>
      <w:pPr>
        <w:pStyle w:val="ListParagraph"/>
        <w:numPr>
          <w:ilvl w:val="0"/>
          <w:numId w:val="293"/>
        </w:numPr>
        <w:tabs>
          <w:tab w:pos="790" w:val="left" w:leader="none"/>
        </w:tabs>
        <w:spacing w:line="247" w:lineRule="auto" w:before="0" w:after="0"/>
        <w:ind w:left="151" w:right="508" w:firstLine="397"/>
        <w:jc w:val="both"/>
        <w:rPr>
          <w:sz w:val="15"/>
        </w:rPr>
      </w:pPr>
      <w:r>
        <w:rPr>
          <w:sz w:val="15"/>
        </w:rPr>
        <w:t>Formulen oposiciones que se sustenten en documentos falsos o alterados para  impedir  el otorgamiento de autorizaciones, permisos o licencias reguladas en el Código Urbano del Estado de Jalisco, el Ordenamiento de Construcción o dicho; se sancionará con multa de 50 a 500 unidades de medida y actualización.;</w:t>
      </w:r>
    </w:p>
    <w:p>
      <w:pPr>
        <w:spacing w:after="0" w:line="247" w:lineRule="auto"/>
        <w:jc w:val="both"/>
        <w:rPr>
          <w:sz w:val="15"/>
        </w:rPr>
        <w:sectPr>
          <w:type w:val="continuous"/>
          <w:pgSz w:w="23250" w:h="15310" w:orient="landscape"/>
          <w:pgMar w:top="0" w:bottom="0" w:left="1880" w:right="1520"/>
          <w:cols w:num="2" w:equalWidth="0">
            <w:col w:w="7753" w:space="3869"/>
            <w:col w:w="8228"/>
          </w:cols>
        </w:sectPr>
      </w:pPr>
    </w:p>
    <w:p>
      <w:pPr>
        <w:pStyle w:val="BodyText"/>
        <w:spacing w:line="171" w:lineRule="exact"/>
        <w:ind w:left="3987"/>
      </w:pPr>
      <w:r>
        <w:rPr/>
        <w:t>15,001 a 100,000 unidades de medida y actualización.</w:t>
      </w:r>
    </w:p>
    <w:p>
      <w:pPr>
        <w:pStyle w:val="BodyText"/>
        <w:spacing w:before="8"/>
      </w:pPr>
    </w:p>
    <w:p>
      <w:pPr>
        <w:pStyle w:val="BodyText"/>
        <w:spacing w:line="247" w:lineRule="auto"/>
        <w:ind w:left="151" w:right="233" w:firstLine="397"/>
      </w:pPr>
      <w:r>
        <w:rPr>
          <w:b/>
        </w:rPr>
        <w:t>Artículo 160.- </w:t>
      </w:r>
      <w:r>
        <w:rPr/>
        <w:t>Por violaciones al Reglamento que Controla el Expendio, Uso y Manejo de Sustancias Inhalantes de Efecto Psicotrópico para el Municipio de Tlajomulco de Zúñiga, Jalisco:</w:t>
      </w:r>
    </w:p>
    <w:p>
      <w:pPr>
        <w:pStyle w:val="BodyText"/>
        <w:spacing w:before="4"/>
      </w:pPr>
    </w:p>
    <w:p>
      <w:pPr>
        <w:pStyle w:val="ListParagraph"/>
        <w:numPr>
          <w:ilvl w:val="0"/>
          <w:numId w:val="294"/>
        </w:numPr>
        <w:tabs>
          <w:tab w:pos="759" w:val="left" w:leader="none"/>
        </w:tabs>
        <w:spacing w:line="244" w:lineRule="auto" w:before="0" w:after="0"/>
        <w:ind w:left="151" w:right="38" w:firstLine="397"/>
        <w:jc w:val="both"/>
        <w:rPr>
          <w:sz w:val="15"/>
        </w:rPr>
      </w:pPr>
      <w:r>
        <w:rPr>
          <w:sz w:val="15"/>
        </w:rPr>
        <w:t>Vender o suministrar, por cualquier medio, sustancias inhalantes de efecto psicotrópico a farmacodependientes y menores de edad o incapaces mentales; se impondrá  amonestación  con  apercibimiento y multa de 120 a 250 unidades de medida y</w:t>
      </w:r>
      <w:r>
        <w:rPr>
          <w:spacing w:val="27"/>
          <w:sz w:val="15"/>
        </w:rPr>
        <w:t> </w:t>
      </w:r>
      <w:r>
        <w:rPr>
          <w:sz w:val="15"/>
        </w:rPr>
        <w:t>actualización;</w:t>
      </w:r>
    </w:p>
    <w:p>
      <w:pPr>
        <w:pStyle w:val="BodyText"/>
        <w:spacing w:before="8"/>
      </w:pPr>
    </w:p>
    <w:p>
      <w:pPr>
        <w:pStyle w:val="ListParagraph"/>
        <w:numPr>
          <w:ilvl w:val="0"/>
          <w:numId w:val="294"/>
        </w:numPr>
        <w:tabs>
          <w:tab w:pos="758" w:val="left" w:leader="none"/>
        </w:tabs>
        <w:spacing w:line="247" w:lineRule="auto" w:before="0" w:after="0"/>
        <w:ind w:left="151" w:right="39" w:firstLine="397"/>
        <w:jc w:val="both"/>
        <w:rPr>
          <w:sz w:val="15"/>
        </w:rPr>
      </w:pPr>
      <w:r>
        <w:rPr>
          <w:sz w:val="15"/>
        </w:rPr>
        <w:t>Vender o suministrar sustancias inhalantes de efecto psicotrópico en recipientes o envases que carezcan de la identificación a que se refiere el artículo 9, fracción I, inciso b) de dicho Reglamento;</w:t>
      </w:r>
      <w:r>
        <w:rPr>
          <w:spacing w:val="-2"/>
          <w:sz w:val="15"/>
        </w:rPr>
        <w:t> </w:t>
      </w:r>
      <w:r>
        <w:rPr>
          <w:sz w:val="15"/>
        </w:rPr>
        <w:t>se</w:t>
      </w:r>
    </w:p>
    <w:p>
      <w:pPr>
        <w:pStyle w:val="ListParagraph"/>
        <w:numPr>
          <w:ilvl w:val="0"/>
          <w:numId w:val="295"/>
        </w:numPr>
        <w:tabs>
          <w:tab w:pos="834" w:val="left" w:leader="none"/>
        </w:tabs>
        <w:spacing w:line="247" w:lineRule="auto" w:before="0" w:after="0"/>
        <w:ind w:left="151" w:right="508" w:firstLine="397"/>
        <w:jc w:val="both"/>
        <w:rPr>
          <w:sz w:val="15"/>
        </w:rPr>
      </w:pPr>
      <w:r>
        <w:rPr>
          <w:spacing w:val="-12"/>
          <w:w w:val="102"/>
          <w:sz w:val="15"/>
        </w:rPr>
        <w:br w:type="column"/>
      </w:r>
      <w:r>
        <w:rPr>
          <w:sz w:val="15"/>
        </w:rPr>
        <w:t>Valiéndose de cualquiera de los procedimientos administrativos contemplados en el presente Reglamento, obtengan autorizaciones, permisos o licencias en materia de desarrollo urbano en los casos prohibidos en el artículo 12 de dicho Reglamento; se sancionará con multa  de  500  a  2,500  unidades</w:t>
      </w:r>
      <w:r>
        <w:rPr>
          <w:spacing w:val="-3"/>
          <w:sz w:val="15"/>
        </w:rPr>
        <w:t> </w:t>
      </w:r>
      <w:r>
        <w:rPr>
          <w:sz w:val="15"/>
        </w:rPr>
        <w:t>de medida y actualización;</w:t>
      </w:r>
      <w:r>
        <w:rPr>
          <w:spacing w:val="2"/>
          <w:sz w:val="15"/>
        </w:rPr>
        <w:t> </w:t>
      </w:r>
      <w:r>
        <w:rPr>
          <w:sz w:val="15"/>
        </w:rPr>
        <w:t>y</w:t>
      </w:r>
    </w:p>
    <w:p>
      <w:pPr>
        <w:pStyle w:val="BodyText"/>
      </w:pPr>
    </w:p>
    <w:p>
      <w:pPr>
        <w:pStyle w:val="ListParagraph"/>
        <w:numPr>
          <w:ilvl w:val="0"/>
          <w:numId w:val="295"/>
        </w:numPr>
        <w:tabs>
          <w:tab w:pos="860" w:val="left" w:leader="none"/>
        </w:tabs>
        <w:spacing w:line="244" w:lineRule="auto" w:before="0" w:after="0"/>
        <w:ind w:left="151" w:right="509" w:firstLine="397"/>
        <w:jc w:val="both"/>
        <w:rPr>
          <w:sz w:val="15"/>
        </w:rPr>
      </w:pPr>
      <w:r>
        <w:rPr>
          <w:sz w:val="15"/>
        </w:rPr>
        <w:t>La sanción se duplicará por reincidencia o cuando su actuar genere la  ocupación  irregular  de  predios o asentamientos irregulares, quedando facultada la Tesorería Municipal para determinar  créditos  fiscales por los conceptos que se omitan enterar a la hacienda pública</w:t>
      </w:r>
      <w:r>
        <w:rPr>
          <w:spacing w:val="37"/>
          <w:sz w:val="15"/>
        </w:rPr>
        <w:t> </w:t>
      </w:r>
      <w:r>
        <w:rPr>
          <w:sz w:val="15"/>
        </w:rPr>
        <w:t>municipal.</w:t>
      </w:r>
    </w:p>
    <w:p>
      <w:pPr>
        <w:pStyle w:val="BodyText"/>
        <w:spacing w:before="8"/>
      </w:pPr>
    </w:p>
    <w:p>
      <w:pPr>
        <w:pStyle w:val="BodyText"/>
        <w:ind w:left="548"/>
      </w:pPr>
      <w:r>
        <w:rPr>
          <w:b/>
        </w:rPr>
        <w:t>Artículo 162.- </w:t>
      </w:r>
      <w:r>
        <w:rPr/>
        <w:t>Por violaciones al reglamento en materia de participación ciudadana:</w:t>
      </w:r>
    </w:p>
    <w:p>
      <w:pPr>
        <w:spacing w:after="0"/>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spacing w:before="7"/>
        <w:rPr>
          <w:sz w:val="29"/>
        </w:rPr>
      </w:pPr>
    </w:p>
    <w:p>
      <w:pPr>
        <w:spacing w:after="0"/>
        <w:rPr>
          <w:sz w:val="29"/>
        </w:rPr>
        <w:sectPr>
          <w:headerReference w:type="default" r:id="rId142"/>
          <w:pgSz w:w="23250" w:h="15310" w:orient="landscape"/>
          <w:pgMar w:header="881" w:footer="499" w:top="1920" w:bottom="680" w:left="1880" w:right="1520"/>
        </w:sectPr>
      </w:pPr>
    </w:p>
    <w:p>
      <w:pPr>
        <w:pStyle w:val="ListParagraph"/>
        <w:numPr>
          <w:ilvl w:val="0"/>
          <w:numId w:val="296"/>
        </w:numPr>
        <w:tabs>
          <w:tab w:pos="678" w:val="left" w:leader="none"/>
        </w:tabs>
        <w:spacing w:line="247" w:lineRule="auto" w:before="99" w:after="0"/>
        <w:ind w:left="150" w:right="38" w:firstLine="397"/>
        <w:jc w:val="both"/>
        <w:rPr>
          <w:sz w:val="15"/>
        </w:rPr>
      </w:pPr>
      <w:r>
        <w:rPr>
          <w:sz w:val="15"/>
        </w:rPr>
        <w:t>Con independencia a otras sanciones en que pudieran incurrir, se impondrá una multa de diez a treinta unidades de medida y actualización, a quien teniendo acceso a los padrones de vecinos a que se refiere dicho Reglamento:</w:t>
      </w:r>
    </w:p>
    <w:p>
      <w:pPr>
        <w:pStyle w:val="BodyText"/>
        <w:spacing w:before="2"/>
      </w:pPr>
    </w:p>
    <w:p>
      <w:pPr>
        <w:pStyle w:val="ListParagraph"/>
        <w:numPr>
          <w:ilvl w:val="0"/>
          <w:numId w:val="297"/>
        </w:numPr>
        <w:tabs>
          <w:tab w:pos="748" w:val="left" w:leader="none"/>
        </w:tabs>
        <w:spacing w:line="247" w:lineRule="auto" w:before="0" w:after="0"/>
        <w:ind w:left="548" w:right="39" w:firstLine="0"/>
        <w:jc w:val="both"/>
        <w:rPr>
          <w:sz w:val="15"/>
        </w:rPr>
      </w:pPr>
      <w:r>
        <w:rPr>
          <w:sz w:val="15"/>
        </w:rPr>
        <w:t>Divulgue o transfiera la información personal de los vecinos con fines distintos a la representación vecinal. Cuando la divulgación o transferencia se realice con fines comerciales o electorales podrá duplicarse la sanción prevista en la presente</w:t>
      </w:r>
      <w:r>
        <w:rPr>
          <w:spacing w:val="11"/>
          <w:sz w:val="15"/>
        </w:rPr>
        <w:t> </w:t>
      </w:r>
      <w:r>
        <w:rPr>
          <w:sz w:val="15"/>
        </w:rPr>
        <w:t>fracción;</w:t>
      </w:r>
    </w:p>
    <w:p>
      <w:pPr>
        <w:pStyle w:val="BodyText"/>
        <w:spacing w:before="6"/>
        <w:rPr>
          <w:sz w:val="14"/>
        </w:rPr>
      </w:pPr>
    </w:p>
    <w:p>
      <w:pPr>
        <w:pStyle w:val="ListParagraph"/>
        <w:numPr>
          <w:ilvl w:val="0"/>
          <w:numId w:val="297"/>
        </w:numPr>
        <w:tabs>
          <w:tab w:pos="729" w:val="left" w:leader="none"/>
        </w:tabs>
        <w:spacing w:line="240" w:lineRule="auto" w:before="0" w:after="0"/>
        <w:ind w:left="728" w:right="0" w:hanging="181"/>
        <w:jc w:val="both"/>
        <w:rPr>
          <w:sz w:val="15"/>
        </w:rPr>
      </w:pPr>
      <w:r>
        <w:rPr>
          <w:sz w:val="15"/>
        </w:rPr>
        <w:t>Destruya la información del padrón de</w:t>
      </w:r>
      <w:r>
        <w:rPr>
          <w:spacing w:val="10"/>
          <w:sz w:val="15"/>
        </w:rPr>
        <w:t> </w:t>
      </w:r>
      <w:r>
        <w:rPr>
          <w:sz w:val="15"/>
        </w:rPr>
        <w:t>vecinos;</w:t>
      </w:r>
    </w:p>
    <w:p>
      <w:pPr>
        <w:pStyle w:val="BodyText"/>
        <w:spacing w:before="8"/>
      </w:pPr>
    </w:p>
    <w:p>
      <w:pPr>
        <w:pStyle w:val="ListParagraph"/>
        <w:numPr>
          <w:ilvl w:val="0"/>
          <w:numId w:val="297"/>
        </w:numPr>
        <w:tabs>
          <w:tab w:pos="725" w:val="left" w:leader="none"/>
        </w:tabs>
        <w:spacing w:line="247" w:lineRule="auto" w:before="1" w:after="0"/>
        <w:ind w:left="548" w:right="38" w:firstLine="0"/>
        <w:jc w:val="both"/>
        <w:rPr>
          <w:sz w:val="15"/>
        </w:rPr>
      </w:pPr>
      <w:r>
        <w:rPr>
          <w:sz w:val="15"/>
        </w:rPr>
        <w:t>Utilice la información personal de los vecinos para causarle cualquier tipo de daño físico o moral a un vecino, su familia o bienes;</w:t>
      </w:r>
      <w:r>
        <w:rPr>
          <w:spacing w:val="6"/>
          <w:sz w:val="15"/>
        </w:rPr>
        <w:t> </w:t>
      </w:r>
      <w:r>
        <w:rPr>
          <w:sz w:val="15"/>
        </w:rPr>
        <w:t>o</w:t>
      </w:r>
    </w:p>
    <w:p>
      <w:pPr>
        <w:pStyle w:val="BodyText"/>
        <w:spacing w:before="3"/>
      </w:pPr>
    </w:p>
    <w:p>
      <w:pPr>
        <w:pStyle w:val="ListParagraph"/>
        <w:numPr>
          <w:ilvl w:val="0"/>
          <w:numId w:val="297"/>
        </w:numPr>
        <w:tabs>
          <w:tab w:pos="782" w:val="left" w:leader="none"/>
        </w:tabs>
        <w:spacing w:line="244" w:lineRule="auto" w:before="1" w:after="0"/>
        <w:ind w:left="548" w:right="38" w:firstLine="0"/>
        <w:jc w:val="both"/>
        <w:rPr>
          <w:sz w:val="15"/>
        </w:rPr>
      </w:pPr>
      <w:r>
        <w:rPr>
          <w:sz w:val="15"/>
        </w:rPr>
        <w:t>Impida o limite a algún miembro de una organización vecinal a participar en asambleas de la misma, formar parte de planillas para la elección de su órgano de dirección, utilizar espacios públicos que administre la organización vecinal o impida el ejercicio de sus derechos como</w:t>
      </w:r>
      <w:r>
        <w:rPr>
          <w:spacing w:val="4"/>
          <w:sz w:val="15"/>
        </w:rPr>
        <w:t> </w:t>
      </w:r>
      <w:r>
        <w:rPr>
          <w:sz w:val="15"/>
        </w:rPr>
        <w:t>vecino.</w:t>
      </w:r>
    </w:p>
    <w:p>
      <w:pPr>
        <w:pStyle w:val="BodyText"/>
        <w:spacing w:before="7"/>
      </w:pPr>
    </w:p>
    <w:p>
      <w:pPr>
        <w:pStyle w:val="ListParagraph"/>
        <w:numPr>
          <w:ilvl w:val="0"/>
          <w:numId w:val="296"/>
        </w:numPr>
        <w:tabs>
          <w:tab w:pos="729" w:val="left" w:leader="none"/>
        </w:tabs>
        <w:spacing w:line="247" w:lineRule="auto" w:before="0" w:after="0"/>
        <w:ind w:left="151" w:right="40" w:firstLine="397"/>
        <w:jc w:val="both"/>
        <w:rPr>
          <w:sz w:val="15"/>
        </w:rPr>
      </w:pPr>
      <w:r>
        <w:rPr>
          <w:sz w:val="15"/>
        </w:rPr>
        <w:t>Se impondrá una multa de cuarenta a ochenta unidades de medida y actualización, a los integrantes    de los órganos de dirección de las organizaciones vecinales</w:t>
      </w:r>
      <w:r>
        <w:rPr>
          <w:spacing w:val="18"/>
          <w:sz w:val="15"/>
        </w:rPr>
        <w:t> </w:t>
      </w:r>
      <w:r>
        <w:rPr>
          <w:sz w:val="15"/>
        </w:rPr>
        <w:t>que:</w:t>
      </w:r>
    </w:p>
    <w:p>
      <w:pPr>
        <w:pStyle w:val="BodyText"/>
        <w:spacing w:before="3"/>
      </w:pPr>
    </w:p>
    <w:p>
      <w:pPr>
        <w:pStyle w:val="ListParagraph"/>
        <w:numPr>
          <w:ilvl w:val="0"/>
          <w:numId w:val="298"/>
        </w:numPr>
        <w:tabs>
          <w:tab w:pos="846" w:val="left" w:leader="none"/>
        </w:tabs>
        <w:spacing w:line="247" w:lineRule="auto" w:before="0" w:after="0"/>
        <w:ind w:left="845" w:right="39" w:hanging="244"/>
        <w:jc w:val="both"/>
        <w:rPr>
          <w:sz w:val="15"/>
        </w:rPr>
      </w:pPr>
      <w:r>
        <w:rPr>
          <w:sz w:val="15"/>
        </w:rPr>
        <w:t>Pretendan ejercer funciones de representación vecinal fuera de  la  delimitación  territorial  previamente asignada por el Consejo Municipal;</w:t>
      </w:r>
      <w:r>
        <w:rPr>
          <w:spacing w:val="12"/>
          <w:sz w:val="15"/>
        </w:rPr>
        <w:t> </w:t>
      </w:r>
      <w:r>
        <w:rPr>
          <w:sz w:val="15"/>
        </w:rPr>
        <w:t>o</w:t>
      </w:r>
    </w:p>
    <w:p>
      <w:pPr>
        <w:pStyle w:val="BodyText"/>
        <w:spacing w:before="4"/>
      </w:pPr>
    </w:p>
    <w:p>
      <w:pPr>
        <w:pStyle w:val="ListParagraph"/>
        <w:numPr>
          <w:ilvl w:val="0"/>
          <w:numId w:val="298"/>
        </w:numPr>
        <w:tabs>
          <w:tab w:pos="846" w:val="left" w:leader="none"/>
        </w:tabs>
        <w:spacing w:line="240" w:lineRule="auto" w:before="0" w:after="0"/>
        <w:ind w:left="845" w:right="0" w:hanging="244"/>
        <w:jc w:val="both"/>
        <w:rPr>
          <w:sz w:val="15"/>
        </w:rPr>
      </w:pPr>
      <w:r>
        <w:rPr>
          <w:sz w:val="15"/>
        </w:rPr>
        <w:t>Omitan</w:t>
      </w:r>
      <w:r>
        <w:rPr>
          <w:spacing w:val="6"/>
          <w:sz w:val="15"/>
        </w:rPr>
        <w:t> </w:t>
      </w:r>
      <w:r>
        <w:rPr>
          <w:sz w:val="15"/>
        </w:rPr>
        <w:t>rendir</w:t>
      </w:r>
      <w:r>
        <w:rPr>
          <w:spacing w:val="7"/>
          <w:sz w:val="15"/>
        </w:rPr>
        <w:t> </w:t>
      </w:r>
      <w:r>
        <w:rPr>
          <w:sz w:val="15"/>
        </w:rPr>
        <w:t>a</w:t>
      </w:r>
      <w:r>
        <w:rPr>
          <w:spacing w:val="7"/>
          <w:sz w:val="15"/>
        </w:rPr>
        <w:t> </w:t>
      </w:r>
      <w:r>
        <w:rPr>
          <w:sz w:val="15"/>
        </w:rPr>
        <w:t>la</w:t>
      </w:r>
      <w:r>
        <w:rPr>
          <w:spacing w:val="7"/>
          <w:sz w:val="15"/>
        </w:rPr>
        <w:t> </w:t>
      </w:r>
      <w:r>
        <w:rPr>
          <w:sz w:val="15"/>
        </w:rPr>
        <w:t>asamblea</w:t>
      </w:r>
      <w:r>
        <w:rPr>
          <w:spacing w:val="7"/>
          <w:sz w:val="15"/>
        </w:rPr>
        <w:t> </w:t>
      </w:r>
      <w:r>
        <w:rPr>
          <w:sz w:val="15"/>
        </w:rPr>
        <w:t>los</w:t>
      </w:r>
      <w:r>
        <w:rPr>
          <w:spacing w:val="7"/>
          <w:sz w:val="15"/>
        </w:rPr>
        <w:t> </w:t>
      </w:r>
      <w:r>
        <w:rPr>
          <w:sz w:val="15"/>
        </w:rPr>
        <w:t>informes</w:t>
      </w:r>
      <w:r>
        <w:rPr>
          <w:spacing w:val="7"/>
          <w:sz w:val="15"/>
        </w:rPr>
        <w:t> </w:t>
      </w:r>
      <w:r>
        <w:rPr>
          <w:sz w:val="15"/>
        </w:rPr>
        <w:t>de</w:t>
      </w:r>
      <w:r>
        <w:rPr>
          <w:spacing w:val="7"/>
          <w:sz w:val="15"/>
        </w:rPr>
        <w:t> </w:t>
      </w:r>
      <w:r>
        <w:rPr>
          <w:sz w:val="15"/>
        </w:rPr>
        <w:t>actividades</w:t>
      </w:r>
      <w:r>
        <w:rPr>
          <w:spacing w:val="7"/>
          <w:sz w:val="15"/>
        </w:rPr>
        <w:t> </w:t>
      </w:r>
      <w:r>
        <w:rPr>
          <w:sz w:val="15"/>
        </w:rPr>
        <w:t>o</w:t>
      </w:r>
      <w:r>
        <w:rPr>
          <w:spacing w:val="7"/>
          <w:sz w:val="15"/>
        </w:rPr>
        <w:t> </w:t>
      </w:r>
      <w:r>
        <w:rPr>
          <w:sz w:val="15"/>
        </w:rPr>
        <w:t>de</w:t>
      </w:r>
      <w:r>
        <w:rPr>
          <w:spacing w:val="7"/>
          <w:sz w:val="15"/>
        </w:rPr>
        <w:t> </w:t>
      </w:r>
      <w:r>
        <w:rPr>
          <w:sz w:val="15"/>
        </w:rPr>
        <w:t>cuentas</w:t>
      </w:r>
      <w:r>
        <w:rPr>
          <w:spacing w:val="7"/>
          <w:sz w:val="15"/>
        </w:rPr>
        <w:t> </w:t>
      </w:r>
      <w:r>
        <w:rPr>
          <w:sz w:val="15"/>
        </w:rPr>
        <w:t>de</w:t>
      </w:r>
      <w:r>
        <w:rPr>
          <w:spacing w:val="7"/>
          <w:sz w:val="15"/>
        </w:rPr>
        <w:t> </w:t>
      </w:r>
      <w:r>
        <w:rPr>
          <w:sz w:val="15"/>
        </w:rPr>
        <w:t>la</w:t>
      </w:r>
      <w:r>
        <w:rPr>
          <w:spacing w:val="7"/>
          <w:sz w:val="15"/>
        </w:rPr>
        <w:t> </w:t>
      </w:r>
      <w:r>
        <w:rPr>
          <w:sz w:val="15"/>
        </w:rPr>
        <w:t>organización</w:t>
      </w:r>
      <w:r>
        <w:rPr>
          <w:spacing w:val="7"/>
          <w:sz w:val="15"/>
        </w:rPr>
        <w:t> </w:t>
      </w:r>
      <w:r>
        <w:rPr>
          <w:sz w:val="15"/>
        </w:rPr>
        <w:t>vecinal;</w:t>
      </w:r>
    </w:p>
    <w:p>
      <w:pPr>
        <w:pStyle w:val="BodyText"/>
        <w:spacing w:before="10"/>
      </w:pPr>
    </w:p>
    <w:p>
      <w:pPr>
        <w:pStyle w:val="ListParagraph"/>
        <w:numPr>
          <w:ilvl w:val="0"/>
          <w:numId w:val="296"/>
        </w:numPr>
        <w:tabs>
          <w:tab w:pos="802" w:val="left" w:leader="none"/>
        </w:tabs>
        <w:spacing w:line="244" w:lineRule="auto" w:before="0" w:after="0"/>
        <w:ind w:left="151" w:right="39" w:firstLine="397"/>
        <w:jc w:val="both"/>
        <w:rPr>
          <w:sz w:val="15"/>
        </w:rPr>
      </w:pPr>
      <w:r>
        <w:rPr>
          <w:sz w:val="15"/>
        </w:rPr>
        <w:t>Se impondrá una multa de 40 a 80 unidades de medida y actualización a los  titulares  de  las  entidades gubernamentales,</w:t>
      </w:r>
      <w:r>
        <w:rPr>
          <w:spacing w:val="2"/>
          <w:sz w:val="15"/>
        </w:rPr>
        <w:t> </w:t>
      </w:r>
      <w:r>
        <w:rPr>
          <w:sz w:val="15"/>
        </w:rPr>
        <w:t>cuando:</w:t>
      </w:r>
    </w:p>
    <w:p>
      <w:pPr>
        <w:pStyle w:val="BodyText"/>
        <w:spacing w:before="6"/>
      </w:pPr>
    </w:p>
    <w:p>
      <w:pPr>
        <w:pStyle w:val="ListParagraph"/>
        <w:numPr>
          <w:ilvl w:val="0"/>
          <w:numId w:val="299"/>
        </w:numPr>
        <w:tabs>
          <w:tab w:pos="846" w:val="left" w:leader="none"/>
        </w:tabs>
        <w:spacing w:line="247" w:lineRule="auto" w:before="0" w:after="0"/>
        <w:ind w:left="845" w:right="40" w:hanging="252"/>
        <w:jc w:val="both"/>
        <w:rPr>
          <w:sz w:val="15"/>
        </w:rPr>
      </w:pPr>
      <w:r>
        <w:rPr>
          <w:sz w:val="15"/>
        </w:rPr>
        <w:t>Incumplan con un requerimiento de información o dé cumplimiento ocultando información solicitada  por el organismo social correspondiente para determinar la procedencia de alguna solicitud de inicio  de los mecanismos de participación ciudadana;</w:t>
      </w:r>
      <w:r>
        <w:rPr>
          <w:spacing w:val="8"/>
          <w:sz w:val="15"/>
        </w:rPr>
        <w:t> </w:t>
      </w:r>
      <w:r>
        <w:rPr>
          <w:sz w:val="15"/>
        </w:rPr>
        <w:t>o</w:t>
      </w:r>
    </w:p>
    <w:p>
      <w:pPr>
        <w:pStyle w:val="ListParagraph"/>
        <w:numPr>
          <w:ilvl w:val="0"/>
          <w:numId w:val="299"/>
        </w:numPr>
        <w:tabs>
          <w:tab w:pos="846" w:val="left" w:leader="none"/>
        </w:tabs>
        <w:spacing w:line="247" w:lineRule="auto" w:before="0" w:after="0"/>
        <w:ind w:left="845" w:right="39" w:hanging="253"/>
        <w:jc w:val="both"/>
        <w:rPr>
          <w:sz w:val="15"/>
        </w:rPr>
      </w:pPr>
      <w:r>
        <w:rPr>
          <w:sz w:val="15"/>
        </w:rPr>
        <w:t>Omitan conceder audiencia pública en los términos del Reglamento en materia de participación ciudadana;</w:t>
      </w:r>
    </w:p>
    <w:p>
      <w:pPr>
        <w:pStyle w:val="BodyText"/>
        <w:spacing w:before="2"/>
      </w:pPr>
    </w:p>
    <w:p>
      <w:pPr>
        <w:pStyle w:val="ListParagraph"/>
        <w:numPr>
          <w:ilvl w:val="0"/>
          <w:numId w:val="296"/>
        </w:numPr>
        <w:tabs>
          <w:tab w:pos="769" w:val="left" w:leader="none"/>
        </w:tabs>
        <w:spacing w:line="247" w:lineRule="auto" w:before="0" w:after="0"/>
        <w:ind w:left="151" w:right="39" w:firstLine="397"/>
        <w:jc w:val="both"/>
        <w:rPr>
          <w:sz w:val="15"/>
        </w:rPr>
      </w:pPr>
      <w:r>
        <w:rPr>
          <w:sz w:val="15"/>
        </w:rPr>
        <w:t>Se impondrá una multa de cincuenta a cien unidades de medida y actualización, a los titulares de las entidades gubernamentales de las que emanen los ordenamientos municipales, resoluciones, decretos,  acuerdos o actos sujetos a los mecanismos de participación ciudadana,</w:t>
      </w:r>
      <w:r>
        <w:rPr>
          <w:spacing w:val="27"/>
          <w:sz w:val="15"/>
        </w:rPr>
        <w:t> </w:t>
      </w:r>
      <w:r>
        <w:rPr>
          <w:sz w:val="15"/>
        </w:rPr>
        <w:t>cuando:</w:t>
      </w:r>
    </w:p>
    <w:p>
      <w:pPr>
        <w:pStyle w:val="BodyText"/>
        <w:spacing w:before="2"/>
      </w:pPr>
    </w:p>
    <w:p>
      <w:pPr>
        <w:pStyle w:val="ListParagraph"/>
        <w:numPr>
          <w:ilvl w:val="0"/>
          <w:numId w:val="300"/>
        </w:numPr>
        <w:tabs>
          <w:tab w:pos="847" w:val="left" w:leader="none"/>
        </w:tabs>
        <w:spacing w:line="247" w:lineRule="auto" w:before="0" w:after="0"/>
        <w:ind w:left="845" w:right="38" w:hanging="252"/>
        <w:jc w:val="left"/>
        <w:rPr>
          <w:sz w:val="15"/>
        </w:rPr>
      </w:pPr>
      <w:r>
        <w:rPr>
          <w:sz w:val="15"/>
        </w:rPr>
        <w:t>Dejen de participar en los debates que organicen los organismos sociales durante el desarrollo de     un mecanismo de participación ciudadana directa o manden representantes para</w:t>
      </w:r>
      <w:r>
        <w:rPr>
          <w:spacing w:val="1"/>
          <w:sz w:val="15"/>
        </w:rPr>
        <w:t> </w:t>
      </w:r>
      <w:r>
        <w:rPr>
          <w:sz w:val="15"/>
        </w:rPr>
        <w:t>ello;</w:t>
      </w:r>
    </w:p>
    <w:p>
      <w:pPr>
        <w:pStyle w:val="ListParagraph"/>
        <w:numPr>
          <w:ilvl w:val="0"/>
          <w:numId w:val="300"/>
        </w:numPr>
        <w:tabs>
          <w:tab w:pos="847" w:val="left" w:leader="none"/>
        </w:tabs>
        <w:spacing w:line="247" w:lineRule="auto" w:before="0" w:after="0"/>
        <w:ind w:left="845" w:right="40" w:hanging="252"/>
        <w:jc w:val="left"/>
        <w:rPr>
          <w:sz w:val="15"/>
        </w:rPr>
      </w:pPr>
      <w:r>
        <w:rPr>
          <w:sz w:val="15"/>
        </w:rPr>
        <w:t>Por cualquier forma obstaculice el ejercicio del derecho de los vecinos a solicitar se lleve a cabo   algún mecanismo de participación ciudadana;</w:t>
      </w:r>
      <w:r>
        <w:rPr>
          <w:spacing w:val="7"/>
          <w:sz w:val="15"/>
        </w:rPr>
        <w:t> </w:t>
      </w:r>
      <w:r>
        <w:rPr>
          <w:sz w:val="15"/>
        </w:rPr>
        <w:t>o</w:t>
      </w:r>
    </w:p>
    <w:p>
      <w:pPr>
        <w:pStyle w:val="ListParagraph"/>
        <w:numPr>
          <w:ilvl w:val="0"/>
          <w:numId w:val="300"/>
        </w:numPr>
        <w:tabs>
          <w:tab w:pos="846" w:val="left" w:leader="none"/>
        </w:tabs>
        <w:spacing w:line="247" w:lineRule="auto" w:before="0" w:after="0"/>
        <w:ind w:left="845" w:right="41" w:hanging="252"/>
        <w:jc w:val="left"/>
        <w:rPr>
          <w:sz w:val="15"/>
        </w:rPr>
      </w:pPr>
      <w:r>
        <w:rPr>
          <w:sz w:val="15"/>
        </w:rPr>
        <w:t>Declarada la procedencia del mecanismo de participación ciudadana solicitado, lleven a cabo actos que impidan su</w:t>
      </w:r>
      <w:r>
        <w:rPr>
          <w:spacing w:val="4"/>
          <w:sz w:val="15"/>
        </w:rPr>
        <w:t> </w:t>
      </w:r>
      <w:r>
        <w:rPr>
          <w:sz w:val="15"/>
        </w:rPr>
        <w:t>desarrollo;</w:t>
      </w:r>
    </w:p>
    <w:p>
      <w:pPr>
        <w:pStyle w:val="BodyText"/>
        <w:spacing w:before="2"/>
      </w:pPr>
    </w:p>
    <w:p>
      <w:pPr>
        <w:pStyle w:val="ListParagraph"/>
        <w:numPr>
          <w:ilvl w:val="0"/>
          <w:numId w:val="296"/>
        </w:numPr>
        <w:tabs>
          <w:tab w:pos="739" w:val="left" w:leader="none"/>
        </w:tabs>
        <w:spacing w:line="247" w:lineRule="auto" w:before="0" w:after="0"/>
        <w:ind w:left="151" w:right="38" w:firstLine="397"/>
        <w:jc w:val="both"/>
        <w:rPr>
          <w:sz w:val="15"/>
        </w:rPr>
      </w:pPr>
      <w:r>
        <w:rPr>
          <w:sz w:val="15"/>
        </w:rPr>
        <w:t>Se impondrá una multa de doscientos a cuatrocientos unidades de medida y actualización, a quien siendo presidente, secretario o comisionado de mesa directiva de una organización</w:t>
      </w:r>
      <w:r>
        <w:rPr>
          <w:spacing w:val="3"/>
          <w:sz w:val="15"/>
        </w:rPr>
        <w:t> </w:t>
      </w:r>
      <w:r>
        <w:rPr>
          <w:sz w:val="15"/>
        </w:rPr>
        <w:t>vecinal:</w:t>
      </w:r>
    </w:p>
    <w:p>
      <w:pPr>
        <w:pStyle w:val="BodyText"/>
        <w:spacing w:before="3"/>
      </w:pPr>
    </w:p>
    <w:p>
      <w:pPr>
        <w:pStyle w:val="ListParagraph"/>
        <w:numPr>
          <w:ilvl w:val="0"/>
          <w:numId w:val="301"/>
        </w:numPr>
        <w:tabs>
          <w:tab w:pos="847" w:val="left" w:leader="none"/>
        </w:tabs>
        <w:spacing w:line="247" w:lineRule="auto" w:before="0" w:after="0"/>
        <w:ind w:left="845" w:right="38" w:hanging="252"/>
        <w:jc w:val="both"/>
        <w:rPr>
          <w:sz w:val="15"/>
        </w:rPr>
      </w:pPr>
      <w:r>
        <w:rPr>
          <w:sz w:val="15"/>
        </w:rPr>
        <w:t>Coaccione, cobre u ordene cobrar cuotas o cualquier tipo de contraprestación por la emisión de anuencias para la apertura de giros comerciales dentro de la delimitación territorial de  su  organización</w:t>
      </w:r>
      <w:r>
        <w:rPr>
          <w:spacing w:val="1"/>
          <w:sz w:val="15"/>
        </w:rPr>
        <w:t> </w:t>
      </w:r>
      <w:r>
        <w:rPr>
          <w:sz w:val="15"/>
        </w:rPr>
        <w:t>vecinal;</w:t>
      </w:r>
    </w:p>
    <w:p>
      <w:pPr>
        <w:pStyle w:val="ListParagraph"/>
        <w:numPr>
          <w:ilvl w:val="0"/>
          <w:numId w:val="301"/>
        </w:numPr>
        <w:tabs>
          <w:tab w:pos="847" w:val="left" w:leader="none"/>
        </w:tabs>
        <w:spacing w:line="247" w:lineRule="auto" w:before="0" w:after="0"/>
        <w:ind w:left="846" w:right="38" w:hanging="253"/>
        <w:jc w:val="both"/>
        <w:rPr>
          <w:sz w:val="15"/>
        </w:rPr>
      </w:pPr>
      <w:r>
        <w:rPr>
          <w:sz w:val="15"/>
        </w:rPr>
        <w:t>Coaccione, cobre u ordene cobrar cuotas o cualquier tipo de  contraprestación  para  expedir  licencias, permisos o autorizaciones de construcción o edificación que compete  emitir  a  las  entidades gubernamentales en ejercicio de las facultades previstas en la normatividad aplicable, sin que cuente con la autorización correspondiente de la</w:t>
      </w:r>
      <w:r>
        <w:rPr>
          <w:spacing w:val="17"/>
          <w:sz w:val="15"/>
        </w:rPr>
        <w:t> </w:t>
      </w:r>
      <w:r>
        <w:rPr>
          <w:sz w:val="15"/>
        </w:rPr>
        <w:t>asamblea;</w:t>
      </w:r>
    </w:p>
    <w:p>
      <w:pPr>
        <w:pStyle w:val="ListParagraph"/>
        <w:numPr>
          <w:ilvl w:val="0"/>
          <w:numId w:val="301"/>
        </w:numPr>
        <w:tabs>
          <w:tab w:pos="847" w:val="left" w:leader="none"/>
        </w:tabs>
        <w:spacing w:line="170" w:lineRule="exact" w:before="0" w:after="0"/>
        <w:ind w:left="846" w:right="0" w:hanging="253"/>
        <w:jc w:val="both"/>
        <w:rPr>
          <w:sz w:val="15"/>
        </w:rPr>
      </w:pPr>
      <w:r>
        <w:rPr>
          <w:sz w:val="15"/>
        </w:rPr>
        <w:t>Impida</w:t>
      </w:r>
      <w:r>
        <w:rPr>
          <w:spacing w:val="30"/>
          <w:sz w:val="15"/>
        </w:rPr>
        <w:t> </w:t>
      </w:r>
      <w:r>
        <w:rPr>
          <w:sz w:val="15"/>
        </w:rPr>
        <w:t>u</w:t>
      </w:r>
      <w:r>
        <w:rPr>
          <w:spacing w:val="31"/>
          <w:sz w:val="15"/>
        </w:rPr>
        <w:t> </w:t>
      </w:r>
      <w:r>
        <w:rPr>
          <w:sz w:val="15"/>
        </w:rPr>
        <w:t>ordene</w:t>
      </w:r>
      <w:r>
        <w:rPr>
          <w:spacing w:val="30"/>
          <w:sz w:val="15"/>
        </w:rPr>
        <w:t> </w:t>
      </w:r>
      <w:r>
        <w:rPr>
          <w:sz w:val="15"/>
        </w:rPr>
        <w:t>impedir</w:t>
      </w:r>
      <w:r>
        <w:rPr>
          <w:spacing w:val="31"/>
          <w:sz w:val="15"/>
        </w:rPr>
        <w:t> </w:t>
      </w:r>
      <w:r>
        <w:rPr>
          <w:sz w:val="15"/>
        </w:rPr>
        <w:t>el</w:t>
      </w:r>
      <w:r>
        <w:rPr>
          <w:spacing w:val="30"/>
          <w:sz w:val="15"/>
        </w:rPr>
        <w:t> </w:t>
      </w:r>
      <w:r>
        <w:rPr>
          <w:sz w:val="15"/>
        </w:rPr>
        <w:t>acceso</w:t>
      </w:r>
      <w:r>
        <w:rPr>
          <w:spacing w:val="30"/>
          <w:sz w:val="15"/>
        </w:rPr>
        <w:t> </w:t>
      </w:r>
      <w:r>
        <w:rPr>
          <w:sz w:val="15"/>
        </w:rPr>
        <w:t>a</w:t>
      </w:r>
      <w:r>
        <w:rPr>
          <w:spacing w:val="30"/>
          <w:sz w:val="15"/>
        </w:rPr>
        <w:t> </w:t>
      </w:r>
      <w:r>
        <w:rPr>
          <w:sz w:val="15"/>
        </w:rPr>
        <w:t>las</w:t>
      </w:r>
      <w:r>
        <w:rPr>
          <w:spacing w:val="31"/>
          <w:sz w:val="15"/>
        </w:rPr>
        <w:t> </w:t>
      </w:r>
      <w:r>
        <w:rPr>
          <w:sz w:val="15"/>
        </w:rPr>
        <w:t>viviendas</w:t>
      </w:r>
      <w:r>
        <w:rPr>
          <w:spacing w:val="30"/>
          <w:sz w:val="15"/>
        </w:rPr>
        <w:t> </w:t>
      </w:r>
      <w:r>
        <w:rPr>
          <w:sz w:val="15"/>
        </w:rPr>
        <w:t>de</w:t>
      </w:r>
      <w:r>
        <w:rPr>
          <w:spacing w:val="31"/>
          <w:sz w:val="15"/>
        </w:rPr>
        <w:t> </w:t>
      </w:r>
      <w:r>
        <w:rPr>
          <w:sz w:val="15"/>
        </w:rPr>
        <w:t>los</w:t>
      </w:r>
      <w:r>
        <w:rPr>
          <w:spacing w:val="30"/>
          <w:sz w:val="15"/>
        </w:rPr>
        <w:t> </w:t>
      </w:r>
      <w:r>
        <w:rPr>
          <w:sz w:val="15"/>
        </w:rPr>
        <w:t>vecinos</w:t>
      </w:r>
      <w:r>
        <w:rPr>
          <w:spacing w:val="31"/>
          <w:sz w:val="15"/>
        </w:rPr>
        <w:t> </w:t>
      </w:r>
      <w:r>
        <w:rPr>
          <w:sz w:val="15"/>
        </w:rPr>
        <w:t>de</w:t>
      </w:r>
      <w:r>
        <w:rPr>
          <w:spacing w:val="31"/>
          <w:sz w:val="15"/>
        </w:rPr>
        <w:t> </w:t>
      </w:r>
      <w:r>
        <w:rPr>
          <w:sz w:val="15"/>
        </w:rPr>
        <w:t>la</w:t>
      </w:r>
      <w:r>
        <w:rPr>
          <w:spacing w:val="30"/>
          <w:sz w:val="15"/>
        </w:rPr>
        <w:t> </w:t>
      </w:r>
      <w:r>
        <w:rPr>
          <w:sz w:val="15"/>
        </w:rPr>
        <w:t>colonia,</w:t>
      </w:r>
      <w:r>
        <w:rPr>
          <w:spacing w:val="30"/>
          <w:sz w:val="15"/>
        </w:rPr>
        <w:t> </w:t>
      </w:r>
      <w:r>
        <w:rPr>
          <w:sz w:val="15"/>
        </w:rPr>
        <w:t>fraccionamiento,</w:t>
      </w:r>
    </w:p>
    <w:p>
      <w:pPr>
        <w:pStyle w:val="BodyText"/>
        <w:spacing w:line="247" w:lineRule="auto" w:before="98"/>
        <w:ind w:left="845" w:right="509"/>
        <w:jc w:val="both"/>
      </w:pPr>
      <w:r>
        <w:rPr/>
        <w:br w:type="column"/>
      </w:r>
      <w:r>
        <w:rPr/>
        <w:t>condominio, etapa, clúster o coto, so pretexto de cualquier tipo de adeudos con la organización vecinal;</w:t>
      </w:r>
      <w:r>
        <w:rPr>
          <w:spacing w:val="1"/>
        </w:rPr>
        <w:t> </w:t>
      </w:r>
      <w:r>
        <w:rPr/>
        <w:t>o</w:t>
      </w:r>
    </w:p>
    <w:p>
      <w:pPr>
        <w:pStyle w:val="ListParagraph"/>
        <w:numPr>
          <w:ilvl w:val="0"/>
          <w:numId w:val="301"/>
        </w:numPr>
        <w:tabs>
          <w:tab w:pos="846" w:val="left" w:leader="none"/>
        </w:tabs>
        <w:spacing w:line="247" w:lineRule="auto" w:before="0" w:after="0"/>
        <w:ind w:left="845" w:right="510" w:hanging="253"/>
        <w:jc w:val="both"/>
        <w:rPr>
          <w:sz w:val="15"/>
        </w:rPr>
      </w:pPr>
      <w:r>
        <w:rPr>
          <w:sz w:val="15"/>
        </w:rPr>
        <w:t>Condicione, retenga u omita total o parcialmente la entrega de bienes, libros, archivos o los documentos a los integrantes de la nueva mesa directiva, cuando deban dejar su cargo, en un plazo de cinco días, contados a partir de la fecha en que se entregue a la planilla electa la constancia que emita la Dirección de Participación</w:t>
      </w:r>
      <w:r>
        <w:rPr>
          <w:spacing w:val="7"/>
          <w:sz w:val="15"/>
        </w:rPr>
        <w:t> </w:t>
      </w:r>
      <w:r>
        <w:rPr>
          <w:sz w:val="15"/>
        </w:rPr>
        <w:t>Ciudadana.</w:t>
      </w:r>
    </w:p>
    <w:p>
      <w:pPr>
        <w:pStyle w:val="BodyText"/>
        <w:spacing w:before="2"/>
      </w:pPr>
    </w:p>
    <w:p>
      <w:pPr>
        <w:pStyle w:val="ListParagraph"/>
        <w:numPr>
          <w:ilvl w:val="0"/>
          <w:numId w:val="296"/>
        </w:numPr>
        <w:tabs>
          <w:tab w:pos="783" w:val="left" w:leader="none"/>
        </w:tabs>
        <w:spacing w:line="247" w:lineRule="auto" w:before="0" w:after="0"/>
        <w:ind w:left="150" w:right="507" w:firstLine="397"/>
        <w:jc w:val="both"/>
        <w:rPr>
          <w:sz w:val="15"/>
        </w:rPr>
      </w:pPr>
      <w:r>
        <w:rPr>
          <w:sz w:val="15"/>
        </w:rPr>
        <w:t>Se impondrá una multa de mil a mil quinientos unidades de medida y actualización, a los titulares de  las entidades gubernamentales de las que emanen los resoluciones, acuerdos o actos sujetos a  los  mecanismos de participación ciudadana directa, de los que se declare que sus efectos son vinculatorios e incumplan de forma total o parcial con el mandato popular, sin causa</w:t>
      </w:r>
      <w:r>
        <w:rPr>
          <w:spacing w:val="32"/>
          <w:sz w:val="15"/>
        </w:rPr>
        <w:t> </w:t>
      </w:r>
      <w:r>
        <w:rPr>
          <w:sz w:val="15"/>
        </w:rPr>
        <w:t>justificada.</w:t>
      </w:r>
    </w:p>
    <w:p>
      <w:pPr>
        <w:pStyle w:val="BodyText"/>
        <w:spacing w:before="2"/>
      </w:pPr>
    </w:p>
    <w:p>
      <w:pPr>
        <w:pStyle w:val="BodyText"/>
        <w:spacing w:line="244" w:lineRule="auto"/>
        <w:ind w:left="151" w:right="508" w:firstLine="397"/>
        <w:jc w:val="both"/>
      </w:pPr>
      <w:r>
        <w:rPr/>
        <w:t>El titular de la entidad gubernamental que sea sancionado en términos del presente artículo y que siga incumpliendo dentro de un plazo razonable, será suspendido de sus funciones y sujeto de responsabilidad en términos de la normatividad aplicable.</w:t>
      </w:r>
    </w:p>
    <w:p>
      <w:pPr>
        <w:pStyle w:val="BodyText"/>
        <w:spacing w:before="7"/>
      </w:pPr>
    </w:p>
    <w:p>
      <w:pPr>
        <w:pStyle w:val="BodyText"/>
        <w:spacing w:line="247" w:lineRule="auto" w:before="1"/>
        <w:ind w:left="151" w:right="509" w:firstLine="397"/>
        <w:jc w:val="both"/>
      </w:pPr>
      <w:r>
        <w:rPr/>
        <w:t>VII.- Se impondrá una multa de mil a mil quinientos unidades de medida y actualización a los titulares de las entidades gubernamentales que emitan resoluciones, acuerdos o actos sujetos a los mecanismos de participación ciudadana directa, de los que se declare que sus efectos son vinculatorios y una vez que hayan dejado</w:t>
      </w:r>
      <w:r>
        <w:rPr>
          <w:spacing w:val="4"/>
        </w:rPr>
        <w:t> </w:t>
      </w:r>
      <w:r>
        <w:rPr/>
        <w:t>sin</w:t>
      </w:r>
      <w:r>
        <w:rPr>
          <w:spacing w:val="4"/>
        </w:rPr>
        <w:t> </w:t>
      </w:r>
      <w:r>
        <w:rPr/>
        <w:t>efectos</w:t>
      </w:r>
      <w:r>
        <w:rPr>
          <w:spacing w:val="4"/>
        </w:rPr>
        <w:t> </w:t>
      </w:r>
      <w:r>
        <w:rPr/>
        <w:t>o</w:t>
      </w:r>
      <w:r>
        <w:rPr>
          <w:spacing w:val="4"/>
        </w:rPr>
        <w:t> </w:t>
      </w:r>
      <w:r>
        <w:rPr/>
        <w:t>modificados</w:t>
      </w:r>
      <w:r>
        <w:rPr>
          <w:spacing w:val="5"/>
        </w:rPr>
        <w:t> </w:t>
      </w:r>
      <w:r>
        <w:rPr/>
        <w:t>los</w:t>
      </w:r>
      <w:r>
        <w:rPr>
          <w:spacing w:val="4"/>
        </w:rPr>
        <w:t> </w:t>
      </w:r>
      <w:r>
        <w:rPr/>
        <w:t>mismos</w:t>
      </w:r>
      <w:r>
        <w:rPr>
          <w:spacing w:val="4"/>
        </w:rPr>
        <w:t> </w:t>
      </w:r>
      <w:r>
        <w:rPr/>
        <w:t>y</w:t>
      </w:r>
      <w:r>
        <w:rPr>
          <w:spacing w:val="4"/>
        </w:rPr>
        <w:t> </w:t>
      </w:r>
      <w:r>
        <w:rPr/>
        <w:t>los</w:t>
      </w:r>
      <w:r>
        <w:rPr>
          <w:spacing w:val="4"/>
        </w:rPr>
        <w:t> </w:t>
      </w:r>
      <w:r>
        <w:rPr/>
        <w:t>vuelvan</w:t>
      </w:r>
      <w:r>
        <w:rPr>
          <w:spacing w:val="5"/>
        </w:rPr>
        <w:t> </w:t>
      </w:r>
      <w:r>
        <w:rPr/>
        <w:t>a</w:t>
      </w:r>
      <w:r>
        <w:rPr>
          <w:spacing w:val="4"/>
        </w:rPr>
        <w:t> </w:t>
      </w:r>
      <w:r>
        <w:rPr/>
        <w:t>emitir</w:t>
      </w:r>
      <w:r>
        <w:rPr>
          <w:spacing w:val="4"/>
        </w:rPr>
        <w:t> </w:t>
      </w:r>
      <w:r>
        <w:rPr/>
        <w:t>en</w:t>
      </w:r>
      <w:r>
        <w:rPr>
          <w:spacing w:val="4"/>
        </w:rPr>
        <w:t> </w:t>
      </w:r>
      <w:r>
        <w:rPr/>
        <w:t>sus</w:t>
      </w:r>
      <w:r>
        <w:rPr>
          <w:spacing w:val="5"/>
        </w:rPr>
        <w:t> </w:t>
      </w:r>
      <w:r>
        <w:rPr/>
        <w:t>términos</w:t>
      </w:r>
      <w:r>
        <w:rPr>
          <w:spacing w:val="4"/>
        </w:rPr>
        <w:t> </w:t>
      </w:r>
      <w:r>
        <w:rPr/>
        <w:t>originales.</w:t>
      </w:r>
    </w:p>
    <w:p>
      <w:pPr>
        <w:pStyle w:val="BodyText"/>
        <w:spacing w:before="2"/>
      </w:pPr>
    </w:p>
    <w:p>
      <w:pPr>
        <w:pStyle w:val="BodyText"/>
        <w:ind w:left="548"/>
      </w:pPr>
      <w:r>
        <w:rPr>
          <w:b/>
        </w:rPr>
        <w:t>Artículo 163.- </w:t>
      </w:r>
      <w:r>
        <w:rPr/>
        <w:t>Por violaciones al Reglamento para el Funcionamiento de Giros Comerciales.</w:t>
      </w:r>
    </w:p>
    <w:p>
      <w:pPr>
        <w:pStyle w:val="BodyText"/>
        <w:spacing w:before="9"/>
      </w:pPr>
    </w:p>
    <w:p>
      <w:pPr>
        <w:pStyle w:val="BodyText"/>
        <w:spacing w:line="244" w:lineRule="auto"/>
        <w:ind w:left="150" w:right="509" w:firstLine="397"/>
        <w:jc w:val="both"/>
      </w:pPr>
      <w:r>
        <w:rPr/>
        <w:t>Las sanciones que se aplicarán por violación a las disposiciones de este  Reglamento,  consistirán  en multa de 8 a 200 unidades de medida y actualización, en el momento de comisión de la infracción, para los  casos que no se encuentren previstos en esta</w:t>
      </w:r>
      <w:r>
        <w:rPr>
          <w:spacing w:val="13"/>
        </w:rPr>
        <w:t> </w:t>
      </w:r>
      <w:r>
        <w:rPr>
          <w:spacing w:val="-4"/>
        </w:rPr>
        <w:t>ley.</w:t>
      </w:r>
    </w:p>
    <w:p>
      <w:pPr>
        <w:pStyle w:val="BodyText"/>
        <w:spacing w:before="8"/>
      </w:pPr>
    </w:p>
    <w:p>
      <w:pPr>
        <w:pStyle w:val="BodyText"/>
        <w:spacing w:line="247" w:lineRule="auto"/>
        <w:ind w:left="150" w:right="508" w:firstLine="397"/>
        <w:jc w:val="both"/>
      </w:pPr>
      <w:r>
        <w:rPr>
          <w:b/>
        </w:rPr>
        <w:t>Artículo 164.- </w:t>
      </w:r>
      <w:r>
        <w:rPr/>
        <w:t>Por violaciones a la Ley de Protección contra la Exposición al Humo de Tabaco para el Estado de Jalisco:</w:t>
      </w:r>
    </w:p>
    <w:p>
      <w:pPr>
        <w:pStyle w:val="BodyText"/>
        <w:spacing w:before="3"/>
      </w:pPr>
    </w:p>
    <w:p>
      <w:pPr>
        <w:pStyle w:val="ListParagraph"/>
        <w:numPr>
          <w:ilvl w:val="0"/>
          <w:numId w:val="302"/>
        </w:numPr>
        <w:tabs>
          <w:tab w:pos="678" w:val="left" w:leader="none"/>
        </w:tabs>
        <w:spacing w:line="240" w:lineRule="auto" w:before="0" w:after="0"/>
        <w:ind w:left="677" w:right="0" w:hanging="130"/>
        <w:jc w:val="left"/>
        <w:rPr>
          <w:sz w:val="15"/>
        </w:rPr>
      </w:pPr>
      <w:r>
        <w:rPr>
          <w:sz w:val="15"/>
        </w:rPr>
        <w:t>Por permitir en el establecimiento mercantil fumar en zonas prohibidas</w:t>
      </w:r>
      <w:r>
        <w:rPr>
          <w:spacing w:val="25"/>
          <w:sz w:val="15"/>
        </w:rPr>
        <w:t> </w:t>
      </w:r>
      <w:r>
        <w:rPr>
          <w:sz w:val="15"/>
        </w:rPr>
        <w:t>de:</w:t>
      </w:r>
    </w:p>
    <w:p>
      <w:pPr>
        <w:pStyle w:val="BodyText"/>
        <w:spacing w:before="5"/>
        <w:ind w:left="2819"/>
      </w:pPr>
      <w:r>
        <w:rPr/>
        <w:t>120 a 500 unidades de medida y actualización;</w:t>
      </w:r>
    </w:p>
    <w:p>
      <w:pPr>
        <w:pStyle w:val="BodyText"/>
        <w:spacing w:before="9"/>
      </w:pPr>
    </w:p>
    <w:p>
      <w:pPr>
        <w:pStyle w:val="ListParagraph"/>
        <w:numPr>
          <w:ilvl w:val="0"/>
          <w:numId w:val="302"/>
        </w:numPr>
        <w:tabs>
          <w:tab w:pos="720" w:val="left" w:leader="none"/>
        </w:tabs>
        <w:spacing w:line="247" w:lineRule="auto" w:before="0" w:after="0"/>
        <w:ind w:left="150" w:right="509" w:firstLine="397"/>
        <w:jc w:val="both"/>
        <w:rPr>
          <w:sz w:val="15"/>
        </w:rPr>
      </w:pPr>
      <w:r>
        <w:rPr>
          <w:sz w:val="15"/>
        </w:rPr>
        <w:t>No colocar señalética para la protección de los no fumadores o esté incompleta de: 20 a 100 unidades de medida y</w:t>
      </w:r>
      <w:r>
        <w:rPr>
          <w:spacing w:val="3"/>
          <w:sz w:val="15"/>
        </w:rPr>
        <w:t> </w:t>
      </w:r>
      <w:r>
        <w:rPr>
          <w:sz w:val="15"/>
        </w:rPr>
        <w:t>actualización;</w:t>
      </w:r>
    </w:p>
    <w:p>
      <w:pPr>
        <w:pStyle w:val="BodyText"/>
        <w:spacing w:before="3"/>
      </w:pPr>
    </w:p>
    <w:p>
      <w:pPr>
        <w:pStyle w:val="ListParagraph"/>
        <w:numPr>
          <w:ilvl w:val="0"/>
          <w:numId w:val="302"/>
        </w:numPr>
        <w:tabs>
          <w:tab w:pos="763" w:val="left" w:leader="none"/>
        </w:tabs>
        <w:spacing w:line="240" w:lineRule="auto" w:before="0" w:after="0"/>
        <w:ind w:left="762" w:right="0" w:hanging="215"/>
        <w:jc w:val="left"/>
        <w:rPr>
          <w:sz w:val="15"/>
        </w:rPr>
      </w:pPr>
      <w:r>
        <w:rPr>
          <w:sz w:val="15"/>
        </w:rPr>
        <w:t>No adecuar correctamente los espacios para fumadores</w:t>
      </w:r>
      <w:r>
        <w:rPr>
          <w:spacing w:val="13"/>
          <w:sz w:val="15"/>
        </w:rPr>
        <w:t> </w:t>
      </w:r>
      <w:r>
        <w:rPr>
          <w:sz w:val="15"/>
        </w:rPr>
        <w:t>de:</w:t>
      </w:r>
    </w:p>
    <w:p>
      <w:pPr>
        <w:pStyle w:val="BodyText"/>
        <w:spacing w:before="5"/>
        <w:ind w:left="4587"/>
      </w:pPr>
      <w:r>
        <w:rPr/>
        <w:t>30 a 500 unidades de medida y actualización;</w:t>
      </w:r>
    </w:p>
    <w:p>
      <w:pPr>
        <w:pStyle w:val="BodyText"/>
        <w:spacing w:before="9"/>
      </w:pPr>
    </w:p>
    <w:p>
      <w:pPr>
        <w:pStyle w:val="ListParagraph"/>
        <w:numPr>
          <w:ilvl w:val="0"/>
          <w:numId w:val="302"/>
        </w:numPr>
        <w:tabs>
          <w:tab w:pos="766" w:val="left" w:leader="none"/>
        </w:tabs>
        <w:spacing w:line="240" w:lineRule="auto" w:before="1" w:after="0"/>
        <w:ind w:left="765" w:right="0" w:hanging="218"/>
        <w:jc w:val="left"/>
        <w:rPr>
          <w:sz w:val="15"/>
        </w:rPr>
      </w:pPr>
      <w:r>
        <w:rPr>
          <w:sz w:val="15"/>
        </w:rPr>
        <w:t>Vender cigarros por unidad en los establecimientos mercantiles</w:t>
      </w:r>
      <w:r>
        <w:rPr>
          <w:spacing w:val="17"/>
          <w:sz w:val="15"/>
        </w:rPr>
        <w:t> </w:t>
      </w:r>
      <w:r>
        <w:rPr>
          <w:sz w:val="15"/>
        </w:rPr>
        <w:t>de:</w:t>
      </w:r>
    </w:p>
    <w:p>
      <w:pPr>
        <w:pStyle w:val="BodyText"/>
        <w:spacing w:before="4"/>
        <w:ind w:left="2776"/>
      </w:pPr>
      <w:r>
        <w:rPr/>
        <w:t>20 a 100 unidades de medida y actualización; o</w:t>
      </w:r>
    </w:p>
    <w:p>
      <w:pPr>
        <w:pStyle w:val="BodyText"/>
        <w:spacing w:before="9"/>
      </w:pPr>
    </w:p>
    <w:p>
      <w:pPr>
        <w:pStyle w:val="ListParagraph"/>
        <w:numPr>
          <w:ilvl w:val="0"/>
          <w:numId w:val="302"/>
        </w:numPr>
        <w:tabs>
          <w:tab w:pos="723" w:val="left" w:leader="none"/>
        </w:tabs>
        <w:spacing w:line="240" w:lineRule="auto" w:before="0" w:after="0"/>
        <w:ind w:left="722" w:right="0" w:hanging="175"/>
        <w:jc w:val="left"/>
        <w:rPr>
          <w:sz w:val="15"/>
        </w:rPr>
      </w:pPr>
      <w:r>
        <w:rPr>
          <w:spacing w:val="-3"/>
          <w:sz w:val="15"/>
        </w:rPr>
        <w:t>Venta </w:t>
      </w:r>
      <w:r>
        <w:rPr>
          <w:sz w:val="15"/>
        </w:rPr>
        <w:t>de cigarros a menores de edad en establecimientos mercantiles</w:t>
      </w:r>
      <w:r>
        <w:rPr>
          <w:spacing w:val="29"/>
          <w:sz w:val="15"/>
        </w:rPr>
        <w:t> </w:t>
      </w:r>
      <w:r>
        <w:rPr>
          <w:sz w:val="15"/>
        </w:rPr>
        <w:t>de:</w:t>
      </w:r>
    </w:p>
    <w:p>
      <w:pPr>
        <w:pStyle w:val="BodyText"/>
        <w:spacing w:before="5"/>
        <w:ind w:left="2862"/>
      </w:pPr>
      <w:r>
        <w:rPr/>
        <w:t>50 a 500 unidades de medida y actualización;</w:t>
      </w:r>
    </w:p>
    <w:p>
      <w:pPr>
        <w:pStyle w:val="BodyText"/>
        <w:spacing w:before="9"/>
      </w:pPr>
    </w:p>
    <w:p>
      <w:pPr>
        <w:pStyle w:val="BodyText"/>
        <w:spacing w:line="247" w:lineRule="auto"/>
        <w:ind w:left="150" w:right="508" w:firstLine="397"/>
        <w:jc w:val="both"/>
      </w:pPr>
      <w:r>
        <w:rPr>
          <w:b/>
        </w:rPr>
        <w:t>Artículo 165.- </w:t>
      </w:r>
      <w:r>
        <w:rPr/>
        <w:t>A los contratistas concesionarios, urbanizadores, proveedores y prestadores de servicios profesionales que, en los términos de las leyes, ordenamientos municipales o los contratos que suscriban, respectivamente, que  omitan registrar o actualizar sus domicilios en el Padrón de Particulares Responsables   del</w:t>
      </w:r>
      <w:r>
        <w:rPr>
          <w:spacing w:val="3"/>
        </w:rPr>
        <w:t> </w:t>
      </w:r>
      <w:r>
        <w:rPr/>
        <w:t>Gasto</w:t>
      </w:r>
      <w:r>
        <w:rPr>
          <w:spacing w:val="4"/>
        </w:rPr>
        <w:t> </w:t>
      </w:r>
      <w:r>
        <w:rPr/>
        <w:t>que</w:t>
      </w:r>
      <w:r>
        <w:rPr>
          <w:spacing w:val="4"/>
        </w:rPr>
        <w:t> </w:t>
      </w:r>
      <w:r>
        <w:rPr/>
        <w:t>lleva</w:t>
      </w:r>
      <w:r>
        <w:rPr>
          <w:spacing w:val="3"/>
        </w:rPr>
        <w:t> </w:t>
      </w:r>
      <w:r>
        <w:rPr/>
        <w:t>la</w:t>
      </w:r>
      <w:r>
        <w:rPr>
          <w:spacing w:val="1"/>
        </w:rPr>
        <w:t> </w:t>
      </w:r>
      <w:r>
        <w:rPr/>
        <w:t>Tesorería</w:t>
      </w:r>
      <w:r>
        <w:rPr>
          <w:spacing w:val="3"/>
        </w:rPr>
        <w:t> </w:t>
      </w:r>
      <w:r>
        <w:rPr/>
        <w:t>Municipal,</w:t>
      </w:r>
      <w:r>
        <w:rPr>
          <w:spacing w:val="4"/>
        </w:rPr>
        <w:t> </w:t>
      </w:r>
      <w:r>
        <w:rPr/>
        <w:t>de</w:t>
      </w:r>
      <w:r>
        <w:rPr>
          <w:spacing w:val="4"/>
        </w:rPr>
        <w:t> </w:t>
      </w:r>
      <w:r>
        <w:rPr/>
        <w:t>100</w:t>
      </w:r>
      <w:r>
        <w:rPr>
          <w:spacing w:val="3"/>
        </w:rPr>
        <w:t> </w:t>
      </w:r>
      <w:r>
        <w:rPr/>
        <w:t>a</w:t>
      </w:r>
      <w:r>
        <w:rPr>
          <w:spacing w:val="4"/>
        </w:rPr>
        <w:t> </w:t>
      </w:r>
      <w:r>
        <w:rPr/>
        <w:t>105</w:t>
      </w:r>
      <w:r>
        <w:rPr>
          <w:spacing w:val="8"/>
        </w:rPr>
        <w:t> </w:t>
      </w:r>
      <w:r>
        <w:rPr/>
        <w:t>unidades</w:t>
      </w:r>
      <w:r>
        <w:rPr>
          <w:spacing w:val="3"/>
        </w:rPr>
        <w:t> </w:t>
      </w:r>
      <w:r>
        <w:rPr/>
        <w:t>de</w:t>
      </w:r>
      <w:r>
        <w:rPr>
          <w:spacing w:val="4"/>
        </w:rPr>
        <w:t> </w:t>
      </w:r>
      <w:r>
        <w:rPr/>
        <w:t>medida</w:t>
      </w:r>
      <w:r>
        <w:rPr>
          <w:spacing w:val="4"/>
        </w:rPr>
        <w:t> </w:t>
      </w:r>
      <w:r>
        <w:rPr/>
        <w:t>y</w:t>
      </w:r>
      <w:r>
        <w:rPr>
          <w:spacing w:val="3"/>
        </w:rPr>
        <w:t> </w:t>
      </w:r>
      <w:r>
        <w:rPr/>
        <w:t>actualización.</w:t>
      </w:r>
    </w:p>
    <w:p>
      <w:pPr>
        <w:pStyle w:val="BodyText"/>
        <w:spacing w:before="2"/>
      </w:pPr>
    </w:p>
    <w:p>
      <w:pPr>
        <w:pStyle w:val="BodyText"/>
        <w:spacing w:line="247" w:lineRule="auto"/>
        <w:ind w:left="150" w:right="509" w:firstLine="397"/>
        <w:jc w:val="both"/>
      </w:pPr>
      <w:r>
        <w:rPr>
          <w:b/>
        </w:rPr>
        <w:t>Artículo 166.- </w:t>
      </w:r>
      <w:r>
        <w:rPr/>
        <w:t>Por violación al Reglamento para la Inclusión Social y la No  Discriminación  de  las Personas con Discapacidad del</w:t>
      </w:r>
      <w:r>
        <w:rPr>
          <w:spacing w:val="6"/>
        </w:rPr>
        <w:t> </w:t>
      </w:r>
      <w:r>
        <w:rPr/>
        <w:t>Municipio:</w:t>
      </w:r>
    </w:p>
    <w:p>
      <w:pPr>
        <w:pStyle w:val="BodyText"/>
        <w:spacing w:before="3"/>
      </w:pPr>
    </w:p>
    <w:p>
      <w:pPr>
        <w:pStyle w:val="ListParagraph"/>
        <w:numPr>
          <w:ilvl w:val="0"/>
          <w:numId w:val="303"/>
        </w:numPr>
        <w:tabs>
          <w:tab w:pos="728" w:val="left" w:leader="none"/>
        </w:tabs>
        <w:spacing w:line="247" w:lineRule="auto" w:before="0" w:after="0"/>
        <w:ind w:left="150" w:right="509" w:firstLine="397"/>
        <w:jc w:val="both"/>
        <w:rPr>
          <w:sz w:val="15"/>
        </w:rPr>
      </w:pPr>
      <w:r>
        <w:rPr>
          <w:sz w:val="15"/>
        </w:rPr>
        <w:t>Multa por el equivalente de 10 a 50 Unidades de Medida y Actualización, a quienes ocupen indebidamente los espacios de estacionamiento preferencial; o que obstruyan las rampas o accesos para personas</w:t>
      </w:r>
      <w:r>
        <w:rPr>
          <w:spacing w:val="21"/>
          <w:sz w:val="15"/>
        </w:rPr>
        <w:t> </w:t>
      </w:r>
      <w:r>
        <w:rPr>
          <w:sz w:val="15"/>
        </w:rPr>
        <w:t>con</w:t>
      </w:r>
      <w:r>
        <w:rPr>
          <w:spacing w:val="21"/>
          <w:sz w:val="15"/>
        </w:rPr>
        <w:t> </w:t>
      </w:r>
      <w:r>
        <w:rPr>
          <w:sz w:val="15"/>
        </w:rPr>
        <w:t>discapacidad,</w:t>
      </w:r>
      <w:r>
        <w:rPr>
          <w:spacing w:val="21"/>
          <w:sz w:val="15"/>
        </w:rPr>
        <w:t> </w:t>
      </w:r>
      <w:r>
        <w:rPr>
          <w:sz w:val="15"/>
        </w:rPr>
        <w:t>con</w:t>
      </w:r>
      <w:r>
        <w:rPr>
          <w:spacing w:val="22"/>
          <w:sz w:val="15"/>
        </w:rPr>
        <w:t> </w:t>
      </w:r>
      <w:r>
        <w:rPr>
          <w:sz w:val="15"/>
        </w:rPr>
        <w:t>los</w:t>
      </w:r>
      <w:r>
        <w:rPr>
          <w:spacing w:val="21"/>
          <w:sz w:val="15"/>
        </w:rPr>
        <w:t> </w:t>
      </w:r>
      <w:r>
        <w:rPr>
          <w:sz w:val="15"/>
        </w:rPr>
        <w:t>que</w:t>
      </w:r>
      <w:r>
        <w:rPr>
          <w:spacing w:val="21"/>
          <w:sz w:val="15"/>
        </w:rPr>
        <w:t> </w:t>
      </w:r>
      <w:r>
        <w:rPr>
          <w:sz w:val="15"/>
        </w:rPr>
        <w:t>cuente</w:t>
      </w:r>
      <w:r>
        <w:rPr>
          <w:spacing w:val="21"/>
          <w:sz w:val="15"/>
        </w:rPr>
        <w:t> </w:t>
      </w:r>
      <w:r>
        <w:rPr>
          <w:sz w:val="15"/>
        </w:rPr>
        <w:t>el</w:t>
      </w:r>
      <w:r>
        <w:rPr>
          <w:spacing w:val="21"/>
          <w:sz w:val="15"/>
        </w:rPr>
        <w:t> </w:t>
      </w:r>
      <w:r>
        <w:rPr>
          <w:sz w:val="15"/>
        </w:rPr>
        <w:t>equipamiento</w:t>
      </w:r>
      <w:r>
        <w:rPr>
          <w:spacing w:val="21"/>
          <w:sz w:val="15"/>
        </w:rPr>
        <w:t> </w:t>
      </w:r>
      <w:r>
        <w:rPr>
          <w:sz w:val="15"/>
        </w:rPr>
        <w:t>y</w:t>
      </w:r>
      <w:r>
        <w:rPr>
          <w:spacing w:val="24"/>
          <w:sz w:val="15"/>
        </w:rPr>
        <w:t> </w:t>
      </w:r>
      <w:r>
        <w:rPr>
          <w:sz w:val="15"/>
        </w:rPr>
        <w:t>mobiliario</w:t>
      </w:r>
      <w:r>
        <w:rPr>
          <w:spacing w:val="21"/>
          <w:sz w:val="15"/>
        </w:rPr>
        <w:t> </w:t>
      </w:r>
      <w:r>
        <w:rPr>
          <w:sz w:val="15"/>
        </w:rPr>
        <w:t>urbano,</w:t>
      </w:r>
      <w:r>
        <w:rPr>
          <w:spacing w:val="22"/>
          <w:sz w:val="15"/>
        </w:rPr>
        <w:t> </w:t>
      </w:r>
      <w:r>
        <w:rPr>
          <w:sz w:val="15"/>
        </w:rPr>
        <w:t>así</w:t>
      </w:r>
      <w:r>
        <w:rPr>
          <w:spacing w:val="21"/>
          <w:sz w:val="15"/>
        </w:rPr>
        <w:t> </w:t>
      </w:r>
      <w:r>
        <w:rPr>
          <w:sz w:val="15"/>
        </w:rPr>
        <w:t>como</w:t>
      </w:r>
      <w:r>
        <w:rPr>
          <w:spacing w:val="21"/>
          <w:sz w:val="15"/>
        </w:rPr>
        <w:t> </w:t>
      </w:r>
      <w:r>
        <w:rPr>
          <w:sz w:val="15"/>
        </w:rPr>
        <w:t>los</w:t>
      </w:r>
      <w:r>
        <w:rPr>
          <w:spacing w:val="22"/>
          <w:sz w:val="15"/>
        </w:rPr>
        <w:t> </w:t>
      </w:r>
      <w:r>
        <w:rPr>
          <w:sz w:val="15"/>
        </w:rPr>
        <w:t>edificios</w:t>
      </w:r>
      <w:r>
        <w:rPr>
          <w:spacing w:val="20"/>
          <w:sz w:val="15"/>
        </w:rPr>
        <w:t> </w:t>
      </w:r>
      <w:r>
        <w:rPr>
          <w:sz w:val="15"/>
        </w:rPr>
        <w:t>y</w:t>
      </w:r>
    </w:p>
    <w:p>
      <w:pPr>
        <w:spacing w:after="0" w:line="247" w:lineRule="auto"/>
        <w:jc w:val="both"/>
        <w:rPr>
          <w:sz w:val="15"/>
        </w:rPr>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spacing w:before="7"/>
        <w:rPr>
          <w:sz w:val="29"/>
        </w:rPr>
      </w:pPr>
    </w:p>
    <w:p>
      <w:pPr>
        <w:spacing w:after="0"/>
        <w:rPr>
          <w:sz w:val="29"/>
        </w:rPr>
        <w:sectPr>
          <w:headerReference w:type="default" r:id="rId143"/>
          <w:pgSz w:w="23250" w:h="15310" w:orient="landscape"/>
          <w:pgMar w:header="881" w:footer="499" w:top="1920" w:bottom="680" w:left="1880" w:right="1520"/>
        </w:sectPr>
      </w:pPr>
    </w:p>
    <w:p>
      <w:pPr>
        <w:pStyle w:val="BodyText"/>
        <w:spacing w:before="99"/>
        <w:ind w:left="151"/>
      </w:pPr>
      <w:r>
        <w:rPr/>
        <w:t>construcciones del Municipio;</w:t>
      </w:r>
    </w:p>
    <w:p>
      <w:pPr>
        <w:pStyle w:val="BodyText"/>
        <w:spacing w:before="9"/>
      </w:pPr>
    </w:p>
    <w:p>
      <w:pPr>
        <w:pStyle w:val="ListParagraph"/>
        <w:numPr>
          <w:ilvl w:val="0"/>
          <w:numId w:val="303"/>
        </w:numPr>
        <w:tabs>
          <w:tab w:pos="756" w:val="left" w:leader="none"/>
        </w:tabs>
        <w:spacing w:line="247" w:lineRule="auto" w:before="0" w:after="0"/>
        <w:ind w:left="151" w:right="38" w:firstLine="397"/>
        <w:jc w:val="both"/>
        <w:rPr>
          <w:sz w:val="15"/>
        </w:rPr>
      </w:pPr>
      <w:r>
        <w:rPr>
          <w:sz w:val="15"/>
        </w:rPr>
        <w:t>Multa por el equivalente de 30 a 90 Unidades de Medida y Actualización, a los  prestadores  de cualquier modalidad del servicio de transporte público que nieguen, impidan u obstaculicen el uso del servicio     a una persona con</w:t>
      </w:r>
      <w:r>
        <w:rPr>
          <w:spacing w:val="5"/>
          <w:sz w:val="15"/>
        </w:rPr>
        <w:t> </w:t>
      </w:r>
      <w:r>
        <w:rPr>
          <w:sz w:val="15"/>
        </w:rPr>
        <w:t>discapacidad;</w:t>
      </w:r>
    </w:p>
    <w:p>
      <w:pPr>
        <w:pStyle w:val="BodyText"/>
        <w:spacing w:before="3"/>
      </w:pPr>
    </w:p>
    <w:p>
      <w:pPr>
        <w:pStyle w:val="ListParagraph"/>
        <w:numPr>
          <w:ilvl w:val="0"/>
          <w:numId w:val="303"/>
        </w:numPr>
        <w:tabs>
          <w:tab w:pos="795" w:val="left" w:leader="none"/>
        </w:tabs>
        <w:spacing w:line="247" w:lineRule="auto" w:before="0" w:after="0"/>
        <w:ind w:left="151" w:right="39" w:firstLine="397"/>
        <w:jc w:val="both"/>
        <w:rPr>
          <w:sz w:val="15"/>
        </w:rPr>
      </w:pPr>
      <w:r>
        <w:rPr>
          <w:sz w:val="15"/>
        </w:rPr>
        <w:t>Multa por el equivalente de 180 a 240 Unidades de Medida y Actualización, a los empresarios, administradores y organizadores de espectáculos públicos que omitan o ubiquen discriminatoriamente los espacios reservados y las facilidades de acceso para personas con</w:t>
      </w:r>
      <w:r>
        <w:rPr>
          <w:spacing w:val="29"/>
          <w:sz w:val="15"/>
        </w:rPr>
        <w:t> </w:t>
      </w:r>
      <w:r>
        <w:rPr>
          <w:sz w:val="15"/>
        </w:rPr>
        <w:t>discapacidad;</w:t>
      </w:r>
    </w:p>
    <w:p>
      <w:pPr>
        <w:pStyle w:val="BodyText"/>
        <w:spacing w:before="2"/>
      </w:pPr>
    </w:p>
    <w:p>
      <w:pPr>
        <w:pStyle w:val="ListParagraph"/>
        <w:numPr>
          <w:ilvl w:val="0"/>
          <w:numId w:val="303"/>
        </w:numPr>
        <w:tabs>
          <w:tab w:pos="790" w:val="left" w:leader="none"/>
        </w:tabs>
        <w:spacing w:line="247" w:lineRule="auto" w:before="0" w:after="0"/>
        <w:ind w:left="151" w:right="39" w:firstLine="397"/>
        <w:jc w:val="both"/>
        <w:rPr>
          <w:sz w:val="15"/>
        </w:rPr>
      </w:pPr>
      <w:r>
        <w:rPr>
          <w:sz w:val="15"/>
        </w:rPr>
        <w:t>Por la contravención a cualquier otra de las disposiciones contenidas en el dicho Reglamento, la autoridad municipal podrá aplicar a su criterio y tomando en consideración la gravedad de la infracción, la situación económica del infractor; así como los daños que se causaron, una multa por el equivalente de 10 a   240 Unidades de Medida y Actualización; y</w:t>
      </w:r>
    </w:p>
    <w:p>
      <w:pPr>
        <w:pStyle w:val="BodyText"/>
        <w:spacing w:before="2"/>
      </w:pPr>
    </w:p>
    <w:p>
      <w:pPr>
        <w:pStyle w:val="ListParagraph"/>
        <w:numPr>
          <w:ilvl w:val="0"/>
          <w:numId w:val="303"/>
        </w:numPr>
        <w:tabs>
          <w:tab w:pos="771" w:val="left" w:leader="none"/>
        </w:tabs>
        <w:spacing w:line="247" w:lineRule="auto" w:before="1" w:after="0"/>
        <w:ind w:left="151" w:right="41" w:firstLine="397"/>
        <w:jc w:val="both"/>
        <w:rPr>
          <w:sz w:val="15"/>
        </w:rPr>
      </w:pPr>
      <w:r>
        <w:rPr>
          <w:sz w:val="15"/>
        </w:rPr>
        <w:t>Si la o el presunto infractor fuese jornalero, obrero o trabajador no asalariado, la multa  será  equivalente a un día de su jornal, salario o ingreso diario; tratándose de personas desempleadas sin ingresos,   la multa máxima será el equivalente a una Unidad de Medida de</w:t>
      </w:r>
      <w:r>
        <w:rPr>
          <w:spacing w:val="24"/>
          <w:sz w:val="15"/>
        </w:rPr>
        <w:t> </w:t>
      </w:r>
      <w:r>
        <w:rPr>
          <w:sz w:val="15"/>
        </w:rPr>
        <w:t>Actualización.</w:t>
      </w:r>
    </w:p>
    <w:p>
      <w:pPr>
        <w:pStyle w:val="BodyText"/>
        <w:spacing w:before="2"/>
      </w:pPr>
    </w:p>
    <w:p>
      <w:pPr>
        <w:spacing w:before="0"/>
        <w:ind w:left="548" w:right="0" w:firstLine="0"/>
        <w:jc w:val="left"/>
        <w:rPr>
          <w:sz w:val="15"/>
        </w:rPr>
      </w:pPr>
      <w:r>
        <w:rPr>
          <w:b/>
          <w:sz w:val="15"/>
        </w:rPr>
        <w:t>Artículo 167.- </w:t>
      </w:r>
      <w:r>
        <w:rPr>
          <w:sz w:val="15"/>
        </w:rPr>
        <w:t>Por violación en materia de firma electrónica:</w:t>
      </w:r>
    </w:p>
    <w:p>
      <w:pPr>
        <w:pStyle w:val="BodyText"/>
        <w:spacing w:before="9"/>
      </w:pPr>
    </w:p>
    <w:p>
      <w:pPr>
        <w:pStyle w:val="BodyText"/>
        <w:spacing w:before="1"/>
        <w:ind w:right="114"/>
        <w:jc w:val="right"/>
      </w:pPr>
      <w:r>
        <w:rPr/>
        <w:t>I.- La utilización de documentos simulando que fueron emitidos utilizando la firma electrónica avanzada:</w:t>
      </w:r>
    </w:p>
    <w:p>
      <w:pPr>
        <w:pStyle w:val="BodyText"/>
        <w:spacing w:before="4"/>
        <w:ind w:right="54"/>
        <w:jc w:val="right"/>
      </w:pPr>
      <w:r>
        <w:rPr/>
        <w:t>De 200 a 300 unidades de medida y actualización;</w:t>
      </w:r>
    </w:p>
    <w:p>
      <w:pPr>
        <w:pStyle w:val="BodyText"/>
        <w:spacing w:before="10"/>
      </w:pPr>
    </w:p>
    <w:p>
      <w:pPr>
        <w:pStyle w:val="BodyText"/>
        <w:spacing w:line="244" w:lineRule="auto"/>
        <w:ind w:left="151" w:right="233" w:firstLine="397"/>
      </w:pPr>
      <w:r>
        <w:rPr/>
        <w:t>II.- La destrucción, daño doloso o por negligencia, total o parcial, de los sistemas de registro electrónico     o del sistema de información,</w:t>
      </w:r>
      <w:r>
        <w:rPr>
          <w:spacing w:val="6"/>
        </w:rPr>
        <w:t> </w:t>
      </w:r>
      <w:r>
        <w:rPr/>
        <w:t>de:</w:t>
      </w:r>
    </w:p>
    <w:p>
      <w:pPr>
        <w:pStyle w:val="BodyText"/>
        <w:spacing w:line="247" w:lineRule="auto" w:before="98"/>
        <w:ind w:left="151" w:right="571"/>
      </w:pPr>
      <w:r>
        <w:rPr/>
        <w:br w:type="column"/>
      </w:r>
      <w:r>
        <w:rPr/>
        <w:t>como de los instrumentos de planeación urbana vigente, las cuales formarán parte de  su  patrimonio  de  dominio</w:t>
      </w:r>
      <w:r>
        <w:rPr>
          <w:spacing w:val="1"/>
        </w:rPr>
        <w:t> </w:t>
      </w:r>
      <w:r>
        <w:rPr/>
        <w:t>público.</w:t>
      </w:r>
    </w:p>
    <w:p>
      <w:pPr>
        <w:pStyle w:val="BodyText"/>
        <w:spacing w:before="3"/>
      </w:pPr>
    </w:p>
    <w:p>
      <w:pPr>
        <w:pStyle w:val="BodyText"/>
        <w:spacing w:line="247" w:lineRule="auto"/>
        <w:ind w:left="151" w:right="509" w:firstLine="321"/>
        <w:jc w:val="both"/>
      </w:pPr>
      <w:r>
        <w:rPr/>
        <w:t>Cuando a juicio de la autoridad municipal las áreas de cesión no sean útiles para fines públicos, éstas podrán permutarse por otros terrenos o en su caso se podrá optar por el mecanismo de sustitución de la obligación para el otorgamiento de áreas de cesión, conforme a  lo establecido en los artículos 80 al 84 del  citado Reglamento. Para tal efecto, el Municipio creará los siguientes</w:t>
      </w:r>
      <w:r>
        <w:rPr>
          <w:spacing w:val="28"/>
        </w:rPr>
        <w:t> </w:t>
      </w:r>
      <w:r>
        <w:rPr/>
        <w:t>fondos:</w:t>
      </w:r>
    </w:p>
    <w:p>
      <w:pPr>
        <w:pStyle w:val="BodyText"/>
        <w:spacing w:before="3"/>
      </w:pPr>
    </w:p>
    <w:p>
      <w:pPr>
        <w:pStyle w:val="ListParagraph"/>
        <w:numPr>
          <w:ilvl w:val="0"/>
          <w:numId w:val="304"/>
        </w:numPr>
        <w:tabs>
          <w:tab w:pos="604" w:val="left" w:leader="none"/>
        </w:tabs>
        <w:spacing w:line="244" w:lineRule="auto" w:before="0" w:after="0"/>
        <w:ind w:left="151" w:right="510" w:firstLine="321"/>
        <w:jc w:val="left"/>
        <w:rPr>
          <w:sz w:val="15"/>
        </w:rPr>
      </w:pPr>
      <w:r>
        <w:rPr>
          <w:sz w:val="15"/>
        </w:rPr>
        <w:t>Fondo Municipal Exclusivo para la Recaudación de Recursos Destinados a la Constitución de Reservas Territoriales en Favor del Municipio;</w:t>
      </w:r>
      <w:r>
        <w:rPr>
          <w:spacing w:val="5"/>
          <w:sz w:val="15"/>
        </w:rPr>
        <w:t> </w:t>
      </w:r>
      <w:r>
        <w:rPr>
          <w:sz w:val="15"/>
        </w:rPr>
        <w:t>y</w:t>
      </w:r>
    </w:p>
    <w:p>
      <w:pPr>
        <w:pStyle w:val="BodyText"/>
        <w:spacing w:before="7"/>
      </w:pPr>
    </w:p>
    <w:p>
      <w:pPr>
        <w:pStyle w:val="ListParagraph"/>
        <w:numPr>
          <w:ilvl w:val="0"/>
          <w:numId w:val="304"/>
        </w:numPr>
        <w:tabs>
          <w:tab w:pos="705" w:val="left" w:leader="none"/>
        </w:tabs>
        <w:spacing w:line="247" w:lineRule="auto" w:before="0" w:after="0"/>
        <w:ind w:left="151" w:right="508" w:firstLine="321"/>
        <w:jc w:val="left"/>
        <w:rPr>
          <w:sz w:val="15"/>
        </w:rPr>
      </w:pPr>
      <w:r>
        <w:rPr>
          <w:sz w:val="15"/>
        </w:rPr>
        <w:t>Fondo Municipal Exclusivo para la Recaudación de Recursos Destinados para la Creación o Mejoramiento de Infraestructura y Equipamientos Urbanos en Predios</w:t>
      </w:r>
      <w:r>
        <w:rPr>
          <w:spacing w:val="26"/>
          <w:sz w:val="15"/>
        </w:rPr>
        <w:t> </w:t>
      </w:r>
      <w:r>
        <w:rPr>
          <w:sz w:val="15"/>
        </w:rPr>
        <w:t>Municipales.</w:t>
      </w:r>
    </w:p>
    <w:p>
      <w:pPr>
        <w:pStyle w:val="BodyText"/>
        <w:spacing w:before="3"/>
      </w:pPr>
    </w:p>
    <w:p>
      <w:pPr>
        <w:pStyle w:val="BodyText"/>
        <w:spacing w:line="247" w:lineRule="auto"/>
        <w:ind w:left="151" w:right="509" w:firstLine="321"/>
        <w:jc w:val="both"/>
      </w:pPr>
      <w:r>
        <w:rPr/>
        <w:t>Los recursos recaudados por la ejecución del mecanismo de sustitución de la obligación para el otorgamiento de áreas de cesión, y que se destinen a los fondos señalados en las fracciones I y II anteriores, será administrados de forma independiente a la recaudación general, y deberán ser canalizados a los fines específicos por los que se crearon los citados</w:t>
      </w:r>
      <w:r>
        <w:rPr>
          <w:spacing w:val="12"/>
        </w:rPr>
        <w:t> </w:t>
      </w:r>
      <w:r>
        <w:rPr/>
        <w:t>fondos.</w:t>
      </w:r>
    </w:p>
    <w:p>
      <w:pPr>
        <w:pStyle w:val="BodyText"/>
        <w:spacing w:before="2"/>
      </w:pPr>
    </w:p>
    <w:p>
      <w:pPr>
        <w:pStyle w:val="BodyText"/>
        <w:spacing w:line="247" w:lineRule="auto"/>
        <w:ind w:left="151" w:right="507" w:firstLine="321"/>
        <w:jc w:val="both"/>
      </w:pPr>
      <w:r>
        <w:rPr>
          <w:b/>
        </w:rPr>
        <w:t>Artículo 172.- </w:t>
      </w:r>
      <w:r>
        <w:rPr/>
        <w:t>La determinación de la superficie de las áreas de cesión para destinos de equipamiento,      se entregará al municipio, conforme a los porcentajes establecidos en el Código Urbano para el Estado de Jalisco, considerando el tipo de zona de que se</w:t>
      </w:r>
      <w:r>
        <w:rPr>
          <w:spacing w:val="14"/>
        </w:rPr>
        <w:t> </w:t>
      </w:r>
      <w:r>
        <w:rPr/>
        <w:t>trate.</w:t>
      </w:r>
    </w:p>
    <w:p>
      <w:pPr>
        <w:pStyle w:val="BodyText"/>
        <w:spacing w:before="3"/>
      </w:pPr>
    </w:p>
    <w:p>
      <w:pPr>
        <w:pStyle w:val="BodyText"/>
        <w:spacing w:line="247" w:lineRule="auto"/>
        <w:ind w:left="151" w:right="507" w:firstLine="321"/>
        <w:jc w:val="both"/>
      </w:pPr>
      <w:r>
        <w:rPr/>
        <w:t>Cuando una acción urbanística acredite que ya ha entregado áreas de cesión para destinos de equipamiento, dichas áreas serán descontadas de la cuantificación arriba establecida.</w:t>
      </w:r>
    </w:p>
    <w:p>
      <w:pPr>
        <w:spacing w:after="0" w:line="247" w:lineRule="auto"/>
        <w:jc w:val="both"/>
        <w:sectPr>
          <w:type w:val="continuous"/>
          <w:pgSz w:w="23250" w:h="15310" w:orient="landscape"/>
          <w:pgMar w:top="0" w:bottom="0" w:left="1880" w:right="1520"/>
          <w:cols w:num="2" w:equalWidth="0">
            <w:col w:w="7752" w:space="3871"/>
            <w:col w:w="8227"/>
          </w:cols>
        </w:sectPr>
      </w:pPr>
    </w:p>
    <w:p>
      <w:pPr>
        <w:pStyle w:val="BodyText"/>
        <w:spacing w:before="2"/>
        <w:ind w:left="2691"/>
      </w:pPr>
      <w:r>
        <w:rPr/>
        <w:t>300 a 1,000 unidades de medida y actualización;</w:t>
      </w:r>
    </w:p>
    <w:p>
      <w:pPr>
        <w:pStyle w:val="BodyText"/>
        <w:spacing w:before="9"/>
      </w:pPr>
    </w:p>
    <w:p>
      <w:pPr>
        <w:pStyle w:val="BodyText"/>
        <w:spacing w:line="247" w:lineRule="auto"/>
        <w:ind w:left="151" w:right="54" w:firstLine="397"/>
        <w:jc w:val="both"/>
      </w:pPr>
      <w:r>
        <w:rPr/>
        <w:t>III.- El uso de la firma electrónica avanzada a sabiendas de que ha concluido  el  cargo,  empleo  o comisión por la cual le fue otorgada,</w:t>
      </w:r>
      <w:r>
        <w:rPr>
          <w:spacing w:val="9"/>
        </w:rPr>
        <w:t> </w:t>
      </w:r>
      <w:r>
        <w:rPr/>
        <w:t>de:</w:t>
      </w:r>
    </w:p>
    <w:p>
      <w:pPr>
        <w:pStyle w:val="BodyText"/>
        <w:spacing w:line="171" w:lineRule="exact"/>
        <w:ind w:left="2520"/>
        <w:jc w:val="both"/>
      </w:pPr>
      <w:r>
        <w:rPr/>
        <w:t>350 a 700 unidades de medida y actualización; y</w:t>
      </w:r>
    </w:p>
    <w:p>
      <w:pPr>
        <w:pStyle w:val="BodyText"/>
        <w:spacing w:before="9"/>
      </w:pPr>
    </w:p>
    <w:p>
      <w:pPr>
        <w:pStyle w:val="BodyText"/>
        <w:spacing w:line="247" w:lineRule="auto" w:before="1"/>
        <w:ind w:left="151" w:right="52" w:firstLine="397"/>
        <w:jc w:val="both"/>
      </w:pPr>
      <w:r>
        <w:rPr/>
        <w:t>IV.- La omisión total o parcial en la entrega de los sistemas de registro electrónico o del sistema de información al haber concluido el cargo, empleo o comisión por la cual le fue otorgada la firma electrónica avanzada; de:</w:t>
      </w:r>
    </w:p>
    <w:p>
      <w:pPr>
        <w:pStyle w:val="BodyText"/>
        <w:spacing w:line="171" w:lineRule="exact"/>
        <w:ind w:left="2520"/>
        <w:jc w:val="both"/>
      </w:pPr>
      <w:r>
        <w:rPr/>
        <w:t>700 a 1,500 unidades de medida y actualización.</w:t>
      </w:r>
    </w:p>
    <w:p>
      <w:pPr>
        <w:pStyle w:val="BodyText"/>
        <w:spacing w:before="8"/>
      </w:pPr>
    </w:p>
    <w:p>
      <w:pPr>
        <w:pStyle w:val="BodyText"/>
        <w:spacing w:line="247" w:lineRule="auto"/>
        <w:ind w:left="151" w:right="38" w:firstLine="397"/>
        <w:jc w:val="both"/>
      </w:pPr>
      <w:r>
        <w:rPr>
          <w:b/>
        </w:rPr>
        <w:t>Artículo 168.- </w:t>
      </w:r>
      <w:r>
        <w:rPr>
          <w:spacing w:val="-4"/>
        </w:rPr>
        <w:t>Todas </w:t>
      </w:r>
      <w:r>
        <w:rPr/>
        <w:t>aquellas infracciones por violaciones a esta </w:t>
      </w:r>
      <w:r>
        <w:rPr>
          <w:spacing w:val="-4"/>
        </w:rPr>
        <w:t>Ley, </w:t>
      </w:r>
      <w:r>
        <w:rPr/>
        <w:t>demás Leyes y Ordenamientos Municipales, que no se encuentren previstas en los artículos anteriores,  serán  sancionadas,  según  la  gravedad de la infracción, con una multa,</w:t>
      </w:r>
      <w:r>
        <w:rPr>
          <w:spacing w:val="9"/>
        </w:rPr>
        <w:t> </w:t>
      </w:r>
      <w:r>
        <w:rPr/>
        <w:t>de:</w:t>
      </w:r>
    </w:p>
    <w:p>
      <w:pPr>
        <w:pStyle w:val="BodyText"/>
        <w:spacing w:line="171" w:lineRule="exact"/>
        <w:ind w:left="2563"/>
        <w:jc w:val="both"/>
      </w:pPr>
      <w:r>
        <w:rPr/>
        <w:t>10 a 1,000 unidades de medida y actualización.</w:t>
      </w:r>
    </w:p>
    <w:p>
      <w:pPr>
        <w:pStyle w:val="BodyText"/>
        <w:spacing w:before="9"/>
      </w:pPr>
    </w:p>
    <w:p>
      <w:pPr>
        <w:spacing w:before="0"/>
        <w:ind w:left="549" w:right="0" w:firstLine="0"/>
        <w:jc w:val="left"/>
        <w:rPr>
          <w:sz w:val="15"/>
        </w:rPr>
      </w:pPr>
      <w:r>
        <w:rPr>
          <w:b/>
          <w:sz w:val="15"/>
        </w:rPr>
        <w:t>Artículo 169.- </w:t>
      </w:r>
      <w:r>
        <w:rPr>
          <w:sz w:val="15"/>
        </w:rPr>
        <w:t>Otros aprovechamientos no previstos en este capítulo.</w:t>
      </w:r>
    </w:p>
    <w:p>
      <w:pPr>
        <w:pStyle w:val="BodyText"/>
        <w:spacing w:before="10"/>
      </w:pPr>
    </w:p>
    <w:p>
      <w:pPr>
        <w:pStyle w:val="Heading4"/>
        <w:ind w:left="270"/>
      </w:pPr>
      <w:r>
        <w:rPr/>
        <w:t>CAPÍTULO SEGUNDO</w:t>
      </w:r>
    </w:p>
    <w:p>
      <w:pPr>
        <w:spacing w:before="5"/>
        <w:ind w:left="271" w:right="160" w:firstLine="0"/>
        <w:jc w:val="center"/>
        <w:rPr>
          <w:b/>
          <w:sz w:val="15"/>
        </w:rPr>
      </w:pPr>
      <w:r>
        <w:rPr>
          <w:b/>
          <w:sz w:val="15"/>
        </w:rPr>
        <w:t>Aprovechamientos de Capital</w:t>
      </w:r>
    </w:p>
    <w:p>
      <w:pPr>
        <w:pStyle w:val="BodyText"/>
        <w:spacing w:before="7"/>
        <w:rPr>
          <w:b/>
        </w:rPr>
      </w:pPr>
    </w:p>
    <w:p>
      <w:pPr>
        <w:pStyle w:val="BodyText"/>
        <w:spacing w:line="247" w:lineRule="auto" w:before="1"/>
        <w:ind w:left="151" w:right="38" w:firstLine="298"/>
        <w:jc w:val="both"/>
      </w:pPr>
      <w:r>
        <w:rPr>
          <w:b/>
        </w:rPr>
        <w:t>Artículo 170.- </w:t>
      </w:r>
      <w:r>
        <w:rPr/>
        <w:t>Cuando se concedan plazos para cubrir créditos fiscales, la tasa de interés será el costo porcentual promedio (C.P.P.), del mes inmediato anterior, que determine el Banco de México.</w:t>
      </w:r>
    </w:p>
    <w:p>
      <w:pPr>
        <w:pStyle w:val="BodyText"/>
        <w:spacing w:before="4"/>
      </w:pPr>
    </w:p>
    <w:p>
      <w:pPr>
        <w:pStyle w:val="Heading4"/>
        <w:ind w:left="272"/>
      </w:pPr>
      <w:r>
        <w:rPr/>
        <w:t>CAPÍTULO TERCERO</w:t>
      </w:r>
    </w:p>
    <w:p>
      <w:pPr>
        <w:spacing w:before="5"/>
        <w:ind w:left="274" w:right="126" w:firstLine="0"/>
        <w:jc w:val="center"/>
        <w:rPr>
          <w:b/>
          <w:sz w:val="15"/>
        </w:rPr>
      </w:pPr>
      <w:r>
        <w:rPr>
          <w:b/>
          <w:sz w:val="15"/>
        </w:rPr>
        <w:t>Aprovechamientos por Urbanización del Suelo</w:t>
      </w:r>
    </w:p>
    <w:p>
      <w:pPr>
        <w:pStyle w:val="BodyText"/>
        <w:spacing w:before="8"/>
        <w:rPr>
          <w:b/>
        </w:rPr>
      </w:pPr>
    </w:p>
    <w:p>
      <w:pPr>
        <w:pStyle w:val="BodyText"/>
        <w:spacing w:line="247" w:lineRule="auto"/>
        <w:ind w:left="151" w:right="38" w:firstLine="321"/>
        <w:jc w:val="both"/>
      </w:pPr>
      <w:r>
        <w:rPr>
          <w:b/>
        </w:rPr>
        <w:t>Artículo 171.- </w:t>
      </w:r>
      <w:r>
        <w:rPr/>
        <w:t>El Municipio recibirá las áreas de cesión para destinos producto de las  acciones  urbanísticas que se desarrollen en su territorio conforme a los términos y reglas que al efecto establezca el Código</w:t>
      </w:r>
      <w:r>
        <w:rPr>
          <w:spacing w:val="15"/>
        </w:rPr>
        <w:t> </w:t>
      </w:r>
      <w:r>
        <w:rPr/>
        <w:t>Urbano</w:t>
      </w:r>
      <w:r>
        <w:rPr>
          <w:spacing w:val="15"/>
        </w:rPr>
        <w:t> </w:t>
      </w:r>
      <w:r>
        <w:rPr/>
        <w:t>para</w:t>
      </w:r>
      <w:r>
        <w:rPr>
          <w:spacing w:val="15"/>
        </w:rPr>
        <w:t> </w:t>
      </w:r>
      <w:r>
        <w:rPr/>
        <w:t>el</w:t>
      </w:r>
      <w:r>
        <w:rPr>
          <w:spacing w:val="14"/>
        </w:rPr>
        <w:t> </w:t>
      </w:r>
      <w:r>
        <w:rPr/>
        <w:t>Estado</w:t>
      </w:r>
      <w:r>
        <w:rPr>
          <w:spacing w:val="15"/>
        </w:rPr>
        <w:t> </w:t>
      </w:r>
      <w:r>
        <w:rPr/>
        <w:t>de</w:t>
      </w:r>
      <w:r>
        <w:rPr>
          <w:spacing w:val="15"/>
        </w:rPr>
        <w:t> </w:t>
      </w:r>
      <w:r>
        <w:rPr/>
        <w:t>Jalisco,</w:t>
      </w:r>
      <w:r>
        <w:rPr>
          <w:spacing w:val="14"/>
        </w:rPr>
        <w:t> </w:t>
      </w:r>
      <w:r>
        <w:rPr/>
        <w:t>Reglamento</w:t>
      </w:r>
      <w:r>
        <w:rPr>
          <w:spacing w:val="16"/>
        </w:rPr>
        <w:t> </w:t>
      </w:r>
      <w:r>
        <w:rPr/>
        <w:t>Municipal</w:t>
      </w:r>
      <w:r>
        <w:rPr>
          <w:spacing w:val="15"/>
        </w:rPr>
        <w:t> </w:t>
      </w:r>
      <w:r>
        <w:rPr/>
        <w:t>de</w:t>
      </w:r>
      <w:r>
        <w:rPr>
          <w:spacing w:val="15"/>
        </w:rPr>
        <w:t> </w:t>
      </w:r>
      <w:r>
        <w:rPr/>
        <w:t>Zonificación</w:t>
      </w:r>
      <w:r>
        <w:rPr>
          <w:spacing w:val="14"/>
        </w:rPr>
        <w:t> </w:t>
      </w:r>
      <w:r>
        <w:rPr/>
        <w:t>de</w:t>
      </w:r>
      <w:r>
        <w:rPr>
          <w:spacing w:val="13"/>
        </w:rPr>
        <w:t> </w:t>
      </w:r>
      <w:r>
        <w:rPr/>
        <w:t>Tlajomulco</w:t>
      </w:r>
      <w:r>
        <w:rPr>
          <w:spacing w:val="15"/>
        </w:rPr>
        <w:t> </w:t>
      </w:r>
      <w:r>
        <w:rPr/>
        <w:t>de</w:t>
      </w:r>
      <w:r>
        <w:rPr>
          <w:spacing w:val="15"/>
        </w:rPr>
        <w:t> </w:t>
      </w:r>
      <w:r>
        <w:rPr/>
        <w:t>Zúñiga,</w:t>
      </w:r>
      <w:r>
        <w:rPr>
          <w:spacing w:val="15"/>
        </w:rPr>
        <w:t> </w:t>
      </w:r>
      <w:r>
        <w:rPr/>
        <w:t>así</w:t>
      </w:r>
    </w:p>
    <w:p>
      <w:pPr>
        <w:pStyle w:val="BodyText"/>
        <w:spacing w:line="247" w:lineRule="auto" w:before="1"/>
        <w:ind w:left="151" w:right="506" w:firstLine="321"/>
        <w:jc w:val="both"/>
      </w:pPr>
      <w:r>
        <w:rPr/>
        <w:br w:type="column"/>
      </w:r>
      <w:r>
        <w:rPr>
          <w:b/>
        </w:rPr>
        <w:t>Artículo 173.- </w:t>
      </w:r>
      <w:r>
        <w:rPr/>
        <w:t>El Municipio percibirá los ingresos derivados de la ejecución del mecanismo de sustitución  de la obligación para el otorgamiento de áreas de cesión, previsto en el Reglamento Municipal de Zonificación  de Tlajomulco  de Zúñiga,  establecido y regulado en el mismo, conforme al cual,  los desarrolladores realizan   un pago a favor del municipio, a fin de que éste adquiera suelo dentro del territorio municipal, con las características que se requieran, y se realice su equipamiento, construcción y urbanización, excepto acciones urbanísticas de tipo</w:t>
      </w:r>
      <w:r>
        <w:rPr>
          <w:spacing w:val="3"/>
        </w:rPr>
        <w:t> </w:t>
      </w:r>
      <w:r>
        <w:rPr/>
        <w:t>habitacional.</w:t>
      </w:r>
    </w:p>
    <w:p>
      <w:pPr>
        <w:pStyle w:val="BodyText"/>
        <w:spacing w:before="1"/>
      </w:pPr>
    </w:p>
    <w:p>
      <w:pPr>
        <w:pStyle w:val="BodyText"/>
        <w:spacing w:line="247" w:lineRule="auto"/>
        <w:ind w:left="151" w:right="508" w:firstLine="397"/>
        <w:jc w:val="both"/>
      </w:pPr>
      <w:r>
        <w:rPr>
          <w:b/>
        </w:rPr>
        <w:t>Artículo 174.- </w:t>
      </w:r>
      <w:r>
        <w:rPr/>
        <w:t>En los casos de entrega de áreas de cesión al Municipio y que se solicite la sustitución de dicha obligación en los términos establecidos en los artículos 80 al 83 del Reglamento  Municipal  de  Zonificación de Tlajomulco de Zúñiga, Jalisco y sus Normas Técnicas, para determinar el valor de dicha obligación se estará a las disposiciones</w:t>
      </w:r>
      <w:r>
        <w:rPr>
          <w:spacing w:val="9"/>
        </w:rPr>
        <w:t> </w:t>
      </w:r>
      <w:r>
        <w:rPr/>
        <w:t>siguientes:</w:t>
      </w:r>
    </w:p>
    <w:p>
      <w:pPr>
        <w:pStyle w:val="BodyText"/>
        <w:spacing w:before="2"/>
      </w:pPr>
    </w:p>
    <w:p>
      <w:pPr>
        <w:pStyle w:val="ListParagraph"/>
        <w:numPr>
          <w:ilvl w:val="0"/>
          <w:numId w:val="305"/>
        </w:numPr>
        <w:tabs>
          <w:tab w:pos="682" w:val="left" w:leader="none"/>
        </w:tabs>
        <w:spacing w:line="247" w:lineRule="auto" w:before="1" w:after="0"/>
        <w:ind w:left="151" w:right="508" w:firstLine="397"/>
        <w:jc w:val="both"/>
        <w:rPr>
          <w:sz w:val="15"/>
        </w:rPr>
      </w:pPr>
      <w:r>
        <w:rPr>
          <w:sz w:val="15"/>
        </w:rPr>
        <w:t>El valor será determinado por avalúo comercial emitido por perito valuador con cédula de especialidad  en valuación, corredor público, perito registrado ante el Instituto de Administración y Avalúos de Bienes Nacionales (INDAABIN) o por una institución bancaria, según</w:t>
      </w:r>
      <w:r>
        <w:rPr>
          <w:spacing w:val="21"/>
          <w:sz w:val="15"/>
        </w:rPr>
        <w:t> </w:t>
      </w:r>
      <w:r>
        <w:rPr>
          <w:sz w:val="15"/>
        </w:rPr>
        <w:t>corresponda;</w:t>
      </w:r>
    </w:p>
    <w:p>
      <w:pPr>
        <w:pStyle w:val="BodyText"/>
        <w:spacing w:before="2"/>
      </w:pPr>
    </w:p>
    <w:p>
      <w:pPr>
        <w:pStyle w:val="ListParagraph"/>
        <w:numPr>
          <w:ilvl w:val="0"/>
          <w:numId w:val="305"/>
        </w:numPr>
        <w:tabs>
          <w:tab w:pos="724" w:val="left" w:leader="none"/>
        </w:tabs>
        <w:spacing w:line="247" w:lineRule="auto" w:before="0" w:after="0"/>
        <w:ind w:left="151" w:right="508" w:firstLine="397"/>
        <w:jc w:val="both"/>
        <w:rPr>
          <w:sz w:val="15"/>
        </w:rPr>
      </w:pPr>
      <w:r>
        <w:rPr>
          <w:sz w:val="15"/>
        </w:rPr>
        <w:t>Los metros de construcción se calcularán de conformidad a lo señalado por el artículo 186 del Código Urbano para el Estado de Jalisco, tomando como base el valor por metro cuadrado de una construcción del     tipo Moderno Económico Bueno conforme a lo establecido en la tabla de construcciones de las tablas de   valores unitarios del suelo del</w:t>
      </w:r>
      <w:r>
        <w:rPr>
          <w:spacing w:val="7"/>
          <w:sz w:val="15"/>
        </w:rPr>
        <w:t> </w:t>
      </w:r>
      <w:r>
        <w:rPr>
          <w:sz w:val="15"/>
        </w:rPr>
        <w:t>Municipio;</w:t>
      </w:r>
    </w:p>
    <w:p>
      <w:pPr>
        <w:pStyle w:val="BodyText"/>
        <w:spacing w:before="2"/>
      </w:pPr>
    </w:p>
    <w:p>
      <w:pPr>
        <w:pStyle w:val="ListParagraph"/>
        <w:numPr>
          <w:ilvl w:val="0"/>
          <w:numId w:val="305"/>
        </w:numPr>
        <w:tabs>
          <w:tab w:pos="809" w:val="left" w:leader="none"/>
        </w:tabs>
        <w:spacing w:line="247" w:lineRule="auto" w:before="0" w:after="0"/>
        <w:ind w:left="151" w:right="508" w:firstLine="397"/>
        <w:jc w:val="both"/>
        <w:rPr>
          <w:sz w:val="15"/>
        </w:rPr>
      </w:pPr>
      <w:r>
        <w:rPr>
          <w:sz w:val="15"/>
        </w:rPr>
        <w:t>El valor de equipamiento se tomará de la superficie total del área de cesión por el valor de  instalaciones deportivas económicas de la tabla de construcciones de las tablas de valores unitarios del suelo  del Municipio;</w:t>
      </w:r>
      <w:r>
        <w:rPr>
          <w:spacing w:val="2"/>
          <w:sz w:val="15"/>
        </w:rPr>
        <w:t> </w:t>
      </w:r>
      <w:r>
        <w:rPr>
          <w:sz w:val="15"/>
        </w:rPr>
        <w:t>y</w:t>
      </w:r>
    </w:p>
    <w:p>
      <w:pPr>
        <w:pStyle w:val="BodyText"/>
        <w:spacing w:before="4"/>
      </w:pPr>
    </w:p>
    <w:p>
      <w:pPr>
        <w:pStyle w:val="ListParagraph"/>
        <w:numPr>
          <w:ilvl w:val="0"/>
          <w:numId w:val="305"/>
        </w:numPr>
        <w:tabs>
          <w:tab w:pos="767" w:val="left" w:leader="none"/>
        </w:tabs>
        <w:spacing w:line="244" w:lineRule="auto" w:before="0" w:after="0"/>
        <w:ind w:left="151" w:right="993" w:firstLine="397"/>
        <w:jc w:val="left"/>
        <w:rPr>
          <w:sz w:val="15"/>
        </w:rPr>
      </w:pPr>
      <w:r>
        <w:rPr>
          <w:sz w:val="15"/>
        </w:rPr>
        <w:t>El valor de urbanización se tomará al 30% del valor del terreno o el valor resultante del estudio incorporando</w:t>
      </w:r>
      <w:r>
        <w:rPr>
          <w:spacing w:val="5"/>
          <w:sz w:val="15"/>
        </w:rPr>
        <w:t> </w:t>
      </w:r>
      <w:r>
        <w:rPr>
          <w:sz w:val="15"/>
        </w:rPr>
        <w:t>los</w:t>
      </w:r>
      <w:r>
        <w:rPr>
          <w:spacing w:val="6"/>
          <w:sz w:val="15"/>
        </w:rPr>
        <w:t> </w:t>
      </w:r>
      <w:r>
        <w:rPr>
          <w:sz w:val="15"/>
        </w:rPr>
        <w:t>costos</w:t>
      </w:r>
      <w:r>
        <w:rPr>
          <w:spacing w:val="4"/>
          <w:sz w:val="15"/>
        </w:rPr>
        <w:t> </w:t>
      </w:r>
      <w:r>
        <w:rPr>
          <w:sz w:val="15"/>
        </w:rPr>
        <w:t>de</w:t>
      </w:r>
      <w:r>
        <w:rPr>
          <w:spacing w:val="6"/>
          <w:sz w:val="15"/>
        </w:rPr>
        <w:t> </w:t>
      </w:r>
      <w:r>
        <w:rPr>
          <w:sz w:val="15"/>
        </w:rPr>
        <w:t>la</w:t>
      </w:r>
      <w:r>
        <w:rPr>
          <w:spacing w:val="5"/>
          <w:sz w:val="15"/>
        </w:rPr>
        <w:t> </w:t>
      </w:r>
      <w:r>
        <w:rPr>
          <w:sz w:val="15"/>
        </w:rPr>
        <w:t>urbanización</w:t>
      </w:r>
      <w:r>
        <w:rPr>
          <w:spacing w:val="6"/>
          <w:sz w:val="15"/>
        </w:rPr>
        <w:t> </w:t>
      </w:r>
      <w:r>
        <w:rPr>
          <w:sz w:val="15"/>
        </w:rPr>
        <w:t>del</w:t>
      </w:r>
      <w:r>
        <w:rPr>
          <w:spacing w:val="6"/>
          <w:sz w:val="15"/>
        </w:rPr>
        <w:t> </w:t>
      </w:r>
      <w:r>
        <w:rPr>
          <w:sz w:val="15"/>
        </w:rPr>
        <w:t>área</w:t>
      </w:r>
      <w:r>
        <w:rPr>
          <w:spacing w:val="5"/>
          <w:sz w:val="15"/>
        </w:rPr>
        <w:t> </w:t>
      </w:r>
      <w:r>
        <w:rPr>
          <w:sz w:val="15"/>
        </w:rPr>
        <w:t>de</w:t>
      </w:r>
      <w:r>
        <w:rPr>
          <w:spacing w:val="6"/>
          <w:sz w:val="15"/>
        </w:rPr>
        <w:t> </w:t>
      </w:r>
      <w:r>
        <w:rPr>
          <w:sz w:val="15"/>
        </w:rPr>
        <w:t>cesión</w:t>
      </w:r>
      <w:r>
        <w:rPr>
          <w:spacing w:val="5"/>
          <w:sz w:val="15"/>
        </w:rPr>
        <w:t> </w:t>
      </w:r>
      <w:r>
        <w:rPr>
          <w:sz w:val="15"/>
        </w:rPr>
        <w:t>firmado</w:t>
      </w:r>
      <w:r>
        <w:rPr>
          <w:spacing w:val="6"/>
          <w:sz w:val="15"/>
        </w:rPr>
        <w:t> </w:t>
      </w:r>
      <w:r>
        <w:rPr>
          <w:sz w:val="15"/>
        </w:rPr>
        <w:t>por</w:t>
      </w:r>
      <w:r>
        <w:rPr>
          <w:spacing w:val="6"/>
          <w:sz w:val="15"/>
        </w:rPr>
        <w:t> </w:t>
      </w:r>
      <w:r>
        <w:rPr>
          <w:sz w:val="15"/>
        </w:rPr>
        <w:t>perito</w:t>
      </w:r>
      <w:r>
        <w:rPr>
          <w:spacing w:val="5"/>
          <w:sz w:val="15"/>
        </w:rPr>
        <w:t> </w:t>
      </w:r>
      <w:r>
        <w:rPr>
          <w:sz w:val="15"/>
        </w:rPr>
        <w:t>en</w:t>
      </w:r>
      <w:r>
        <w:rPr>
          <w:spacing w:val="6"/>
          <w:sz w:val="15"/>
        </w:rPr>
        <w:t> </w:t>
      </w:r>
      <w:r>
        <w:rPr>
          <w:sz w:val="15"/>
        </w:rPr>
        <w:t>la</w:t>
      </w:r>
      <w:r>
        <w:rPr>
          <w:spacing w:val="5"/>
          <w:sz w:val="15"/>
        </w:rPr>
        <w:t> </w:t>
      </w:r>
      <w:r>
        <w:rPr>
          <w:sz w:val="15"/>
        </w:rPr>
        <w:t>materia.</w:t>
      </w:r>
    </w:p>
    <w:p>
      <w:pPr>
        <w:pStyle w:val="BodyText"/>
        <w:rPr>
          <w:sz w:val="16"/>
        </w:rPr>
      </w:pPr>
    </w:p>
    <w:p>
      <w:pPr>
        <w:pStyle w:val="BodyText"/>
      </w:pPr>
    </w:p>
    <w:p>
      <w:pPr>
        <w:pStyle w:val="Heading4"/>
        <w:ind w:left="275" w:right="632"/>
      </w:pPr>
      <w:r>
        <w:rPr/>
        <w:t>CAPÍTULO CUARTO</w:t>
      </w:r>
    </w:p>
    <w:p>
      <w:pPr>
        <w:spacing w:after="0"/>
        <w:sectPr>
          <w:type w:val="continuous"/>
          <w:pgSz w:w="23250" w:h="15310" w:orient="landscape"/>
          <w:pgMar w:top="0" w:bottom="0" w:left="1880" w:right="1520"/>
          <w:cols w:num="2" w:equalWidth="0">
            <w:col w:w="7752" w:space="3870"/>
            <w:col w:w="8228"/>
          </w:cols>
        </w:sectPr>
      </w:pPr>
    </w:p>
    <w:p>
      <w:pPr>
        <w:pStyle w:val="BodyText"/>
        <w:rPr>
          <w:b/>
          <w:sz w:val="20"/>
        </w:rPr>
      </w:pPr>
    </w:p>
    <w:p>
      <w:pPr>
        <w:pStyle w:val="BodyText"/>
        <w:spacing w:before="6"/>
        <w:rPr>
          <w:b/>
          <w:sz w:val="29"/>
        </w:rPr>
      </w:pPr>
    </w:p>
    <w:p>
      <w:pPr>
        <w:spacing w:after="0"/>
        <w:rPr>
          <w:sz w:val="29"/>
        </w:rPr>
        <w:sectPr>
          <w:headerReference w:type="default" r:id="rId144"/>
          <w:pgSz w:w="23250" w:h="15310" w:orient="landscape"/>
          <w:pgMar w:header="881" w:footer="499" w:top="1920" w:bottom="680" w:left="1880" w:right="1520"/>
        </w:sectPr>
      </w:pPr>
    </w:p>
    <w:p>
      <w:pPr>
        <w:spacing w:before="100"/>
        <w:ind w:left="270" w:right="160" w:firstLine="0"/>
        <w:jc w:val="center"/>
        <w:rPr>
          <w:b/>
          <w:sz w:val="15"/>
        </w:rPr>
      </w:pPr>
      <w:r>
        <w:rPr>
          <w:b/>
          <w:sz w:val="15"/>
        </w:rPr>
        <w:t>Ingresos por Fondos y Convenios de Colaboración Ciudadana</w:t>
      </w:r>
    </w:p>
    <w:p>
      <w:pPr>
        <w:pStyle w:val="BodyText"/>
        <w:spacing w:before="9"/>
        <w:rPr>
          <w:b/>
        </w:rPr>
      </w:pPr>
    </w:p>
    <w:p>
      <w:pPr>
        <w:pStyle w:val="BodyText"/>
        <w:spacing w:line="244" w:lineRule="auto"/>
        <w:ind w:left="150" w:right="38" w:firstLine="397"/>
        <w:jc w:val="both"/>
      </w:pPr>
      <w:r>
        <w:rPr>
          <w:b/>
        </w:rPr>
        <w:t>Artículo 175.- </w:t>
      </w:r>
      <w:r>
        <w:rPr/>
        <w:t>EI Municipio percibirá Ios ingresos por Ia constitución de fondos y ceIebración  de  convenios de coIaboración para Ia ejecución de obras, proyectos y acciones sociaIes conforme a Io previsto     en Ia regIamentación municipaI en materia de participación</w:t>
      </w:r>
      <w:r>
        <w:rPr>
          <w:spacing w:val="14"/>
        </w:rPr>
        <w:t> </w:t>
      </w:r>
      <w:r>
        <w:rPr/>
        <w:t>ciudadana.</w:t>
      </w:r>
    </w:p>
    <w:p>
      <w:pPr>
        <w:pStyle w:val="BodyText"/>
        <w:rPr>
          <w:sz w:val="16"/>
        </w:rPr>
      </w:pPr>
    </w:p>
    <w:p>
      <w:pPr>
        <w:pStyle w:val="BodyText"/>
        <w:spacing w:before="2"/>
      </w:pPr>
    </w:p>
    <w:p>
      <w:pPr>
        <w:pStyle w:val="Heading4"/>
        <w:ind w:left="272"/>
      </w:pPr>
      <w:r>
        <w:rPr/>
        <w:t>TÍTULO TERCERO</w:t>
      </w:r>
    </w:p>
    <w:p>
      <w:pPr>
        <w:spacing w:before="5"/>
        <w:ind w:left="271" w:right="160" w:firstLine="0"/>
        <w:jc w:val="center"/>
        <w:rPr>
          <w:b/>
          <w:sz w:val="15"/>
        </w:rPr>
      </w:pPr>
      <w:r>
        <w:rPr>
          <w:b/>
          <w:sz w:val="15"/>
        </w:rPr>
        <w:t>Ingresos por Ventas de Bienes y Servicios</w:t>
      </w:r>
    </w:p>
    <w:p>
      <w:pPr>
        <w:pStyle w:val="BodyText"/>
        <w:spacing w:before="8"/>
        <w:rPr>
          <w:b/>
        </w:rPr>
      </w:pPr>
    </w:p>
    <w:p>
      <w:pPr>
        <w:spacing w:before="0"/>
        <w:ind w:left="269" w:right="160" w:firstLine="0"/>
        <w:jc w:val="center"/>
        <w:rPr>
          <w:b/>
          <w:sz w:val="15"/>
        </w:rPr>
      </w:pPr>
      <w:r>
        <w:rPr>
          <w:b/>
          <w:sz w:val="15"/>
        </w:rPr>
        <w:t>CAPÍTULO ÚNICO</w:t>
      </w:r>
    </w:p>
    <w:p>
      <w:pPr>
        <w:spacing w:before="5"/>
        <w:ind w:left="270" w:right="160" w:firstLine="0"/>
        <w:jc w:val="center"/>
        <w:rPr>
          <w:b/>
          <w:sz w:val="15"/>
        </w:rPr>
      </w:pPr>
      <w:r>
        <w:rPr>
          <w:b/>
          <w:sz w:val="15"/>
        </w:rPr>
        <w:t>Ingresos por Ventas de Bienes y Servicios de Organismos Paramunicipales</w:t>
      </w:r>
    </w:p>
    <w:p>
      <w:pPr>
        <w:pStyle w:val="BodyText"/>
        <w:spacing w:before="8"/>
        <w:rPr>
          <w:b/>
        </w:rPr>
      </w:pPr>
    </w:p>
    <w:p>
      <w:pPr>
        <w:pStyle w:val="BodyText"/>
        <w:spacing w:line="244" w:lineRule="auto" w:before="1"/>
        <w:ind w:left="150" w:right="39" w:firstLine="397"/>
        <w:jc w:val="both"/>
      </w:pPr>
      <w:r>
        <w:rPr>
          <w:b/>
        </w:rPr>
        <w:t>Artículo 176.- </w:t>
      </w:r>
      <w:r>
        <w:rPr/>
        <w:t>EI Municipio percibirá Ios ingresos por venta de bienes y  servicios,  de  Ios  recursos propios que obtienen Ias diversas entidades que conforman eI sector paramunicipaI y gobierno centraI por sus actividades de producción y/o comerciaIización, provenientes de Ios siguientes</w:t>
      </w:r>
      <w:r>
        <w:rPr>
          <w:spacing w:val="32"/>
        </w:rPr>
        <w:t> </w:t>
      </w:r>
      <w:r>
        <w:rPr/>
        <w:t>conceptos:</w:t>
      </w:r>
    </w:p>
    <w:p>
      <w:pPr>
        <w:pStyle w:val="BodyText"/>
        <w:spacing w:before="7"/>
      </w:pPr>
    </w:p>
    <w:p>
      <w:pPr>
        <w:pStyle w:val="ListParagraph"/>
        <w:numPr>
          <w:ilvl w:val="0"/>
          <w:numId w:val="306"/>
        </w:numPr>
        <w:tabs>
          <w:tab w:pos="678" w:val="left" w:leader="none"/>
        </w:tabs>
        <w:spacing w:line="240" w:lineRule="auto" w:before="0" w:after="0"/>
        <w:ind w:left="677" w:right="0" w:hanging="130"/>
        <w:jc w:val="left"/>
        <w:rPr>
          <w:sz w:val="15"/>
        </w:rPr>
      </w:pPr>
      <w:r>
        <w:rPr>
          <w:sz w:val="15"/>
        </w:rPr>
        <w:t>Ingresos por ventas de bienes y servicios producidos por organismos descentraIizados;</w:t>
      </w:r>
    </w:p>
    <w:p>
      <w:pPr>
        <w:pStyle w:val="BodyText"/>
        <w:spacing w:before="9"/>
      </w:pPr>
    </w:p>
    <w:p>
      <w:pPr>
        <w:pStyle w:val="ListParagraph"/>
        <w:numPr>
          <w:ilvl w:val="0"/>
          <w:numId w:val="306"/>
        </w:numPr>
        <w:tabs>
          <w:tab w:pos="720" w:val="left" w:leader="none"/>
        </w:tabs>
        <w:spacing w:line="240" w:lineRule="auto" w:before="0" w:after="0"/>
        <w:ind w:left="719" w:right="0" w:hanging="172"/>
        <w:jc w:val="left"/>
        <w:rPr>
          <w:sz w:val="15"/>
        </w:rPr>
      </w:pPr>
      <w:r>
        <w:rPr>
          <w:sz w:val="15"/>
        </w:rPr>
        <w:t>Ingresos de operación de entidades paramunicipaIes empresariaIes;</w:t>
      </w:r>
      <w:r>
        <w:rPr>
          <w:spacing w:val="15"/>
          <w:sz w:val="15"/>
        </w:rPr>
        <w:t> </w:t>
      </w:r>
      <w:r>
        <w:rPr>
          <w:sz w:val="15"/>
        </w:rPr>
        <w:t>y</w:t>
      </w:r>
    </w:p>
    <w:p>
      <w:pPr>
        <w:pStyle w:val="BodyText"/>
        <w:spacing w:before="9"/>
      </w:pPr>
    </w:p>
    <w:p>
      <w:pPr>
        <w:pStyle w:val="ListParagraph"/>
        <w:numPr>
          <w:ilvl w:val="0"/>
          <w:numId w:val="306"/>
        </w:numPr>
        <w:tabs>
          <w:tab w:pos="806" w:val="left" w:leader="none"/>
        </w:tabs>
        <w:spacing w:line="240" w:lineRule="auto" w:before="0" w:after="0"/>
        <w:ind w:left="805" w:right="0" w:hanging="258"/>
        <w:jc w:val="left"/>
        <w:rPr>
          <w:sz w:val="15"/>
        </w:rPr>
      </w:pPr>
      <w:r>
        <w:rPr>
          <w:sz w:val="15"/>
        </w:rPr>
        <w:t>Ingresos</w:t>
      </w:r>
      <w:r>
        <w:rPr>
          <w:spacing w:val="6"/>
          <w:sz w:val="15"/>
        </w:rPr>
        <w:t> </w:t>
      </w:r>
      <w:r>
        <w:rPr>
          <w:sz w:val="15"/>
        </w:rPr>
        <w:t>por</w:t>
      </w:r>
      <w:r>
        <w:rPr>
          <w:spacing w:val="6"/>
          <w:sz w:val="15"/>
        </w:rPr>
        <w:t> </w:t>
      </w:r>
      <w:r>
        <w:rPr>
          <w:sz w:val="15"/>
        </w:rPr>
        <w:t>ventas</w:t>
      </w:r>
      <w:r>
        <w:rPr>
          <w:spacing w:val="6"/>
          <w:sz w:val="15"/>
        </w:rPr>
        <w:t> </w:t>
      </w:r>
      <w:r>
        <w:rPr>
          <w:sz w:val="15"/>
        </w:rPr>
        <w:t>de</w:t>
      </w:r>
      <w:r>
        <w:rPr>
          <w:spacing w:val="6"/>
          <w:sz w:val="15"/>
        </w:rPr>
        <w:t> </w:t>
      </w:r>
      <w:r>
        <w:rPr>
          <w:sz w:val="15"/>
        </w:rPr>
        <w:t>bienes</w:t>
      </w:r>
      <w:r>
        <w:rPr>
          <w:spacing w:val="6"/>
          <w:sz w:val="15"/>
        </w:rPr>
        <w:t> </w:t>
      </w:r>
      <w:r>
        <w:rPr>
          <w:sz w:val="15"/>
        </w:rPr>
        <w:t>y</w:t>
      </w:r>
      <w:r>
        <w:rPr>
          <w:spacing w:val="6"/>
          <w:sz w:val="15"/>
        </w:rPr>
        <w:t> </w:t>
      </w:r>
      <w:r>
        <w:rPr>
          <w:sz w:val="15"/>
        </w:rPr>
        <w:t>servicios</w:t>
      </w:r>
      <w:r>
        <w:rPr>
          <w:spacing w:val="6"/>
          <w:sz w:val="15"/>
        </w:rPr>
        <w:t> </w:t>
      </w:r>
      <w:r>
        <w:rPr>
          <w:sz w:val="15"/>
        </w:rPr>
        <w:t>producidos</w:t>
      </w:r>
      <w:r>
        <w:rPr>
          <w:spacing w:val="6"/>
          <w:sz w:val="15"/>
        </w:rPr>
        <w:t> </w:t>
      </w:r>
      <w:r>
        <w:rPr>
          <w:sz w:val="15"/>
        </w:rPr>
        <w:t>en</w:t>
      </w:r>
      <w:r>
        <w:rPr>
          <w:spacing w:val="5"/>
          <w:sz w:val="15"/>
        </w:rPr>
        <w:t> </w:t>
      </w:r>
      <w:r>
        <w:rPr>
          <w:sz w:val="15"/>
        </w:rPr>
        <w:t>estabIecimientos</w:t>
      </w:r>
      <w:r>
        <w:rPr>
          <w:spacing w:val="6"/>
          <w:sz w:val="15"/>
        </w:rPr>
        <w:t> </w:t>
      </w:r>
      <w:r>
        <w:rPr>
          <w:sz w:val="15"/>
        </w:rPr>
        <w:t>deI</w:t>
      </w:r>
      <w:r>
        <w:rPr>
          <w:spacing w:val="7"/>
          <w:sz w:val="15"/>
        </w:rPr>
        <w:t> </w:t>
      </w:r>
      <w:r>
        <w:rPr>
          <w:sz w:val="15"/>
        </w:rPr>
        <w:t>Gobierno</w:t>
      </w:r>
      <w:r>
        <w:rPr>
          <w:spacing w:val="6"/>
          <w:sz w:val="15"/>
        </w:rPr>
        <w:t> </w:t>
      </w:r>
      <w:r>
        <w:rPr>
          <w:sz w:val="15"/>
        </w:rPr>
        <w:t>CentraI.</w:t>
      </w:r>
    </w:p>
    <w:p>
      <w:pPr>
        <w:pStyle w:val="BodyText"/>
        <w:spacing w:before="10"/>
      </w:pPr>
    </w:p>
    <w:p>
      <w:pPr>
        <w:pStyle w:val="BodyText"/>
        <w:spacing w:line="247" w:lineRule="auto"/>
        <w:ind w:left="150" w:right="38" w:firstLine="397"/>
        <w:jc w:val="both"/>
      </w:pPr>
      <w:r>
        <w:rPr>
          <w:b/>
        </w:rPr>
        <w:t>Artículo 177.- </w:t>
      </w:r>
      <w:r>
        <w:rPr/>
        <w:t>EI Municipio percibirá Ios activos por extinción y Iiquidación de sus Organismos PúbIicos DescentraIizados que hayan formado parte de su patrimonio propio.</w:t>
      </w:r>
    </w:p>
    <w:p>
      <w:pPr>
        <w:pStyle w:val="BodyText"/>
        <w:spacing w:before="4"/>
      </w:pPr>
    </w:p>
    <w:p>
      <w:pPr>
        <w:pStyle w:val="Heading4"/>
        <w:ind w:left="269"/>
      </w:pPr>
      <w:r>
        <w:rPr/>
        <w:t>TÍTULO CUARTO</w:t>
      </w:r>
    </w:p>
    <w:p>
      <w:pPr>
        <w:spacing w:before="5"/>
        <w:ind w:left="269" w:right="160" w:firstLine="0"/>
        <w:jc w:val="center"/>
        <w:rPr>
          <w:b/>
          <w:sz w:val="15"/>
        </w:rPr>
      </w:pPr>
      <w:r>
        <w:rPr>
          <w:b/>
          <w:sz w:val="15"/>
        </w:rPr>
        <w:t>Participaciones y Aportaciones</w:t>
      </w:r>
    </w:p>
    <w:p>
      <w:pPr>
        <w:pStyle w:val="BodyText"/>
        <w:spacing w:before="9"/>
        <w:rPr>
          <w:b/>
        </w:rPr>
      </w:pPr>
    </w:p>
    <w:p>
      <w:pPr>
        <w:spacing w:before="0"/>
        <w:ind w:left="269" w:right="160" w:firstLine="0"/>
        <w:jc w:val="center"/>
        <w:rPr>
          <w:b/>
          <w:sz w:val="15"/>
        </w:rPr>
      </w:pPr>
      <w:r>
        <w:rPr>
          <w:b/>
          <w:sz w:val="15"/>
        </w:rPr>
        <w:t>CAPÍTULO PRIMERO</w:t>
      </w:r>
    </w:p>
    <w:p>
      <w:pPr>
        <w:spacing w:before="4"/>
        <w:ind w:left="267" w:right="160" w:firstLine="0"/>
        <w:jc w:val="center"/>
        <w:rPr>
          <w:b/>
          <w:sz w:val="15"/>
        </w:rPr>
      </w:pPr>
      <w:r>
        <w:rPr>
          <w:b/>
          <w:sz w:val="15"/>
        </w:rPr>
        <w:t>De las Participaciones y Aportaciones Federales</w:t>
      </w:r>
    </w:p>
    <w:p>
      <w:pPr>
        <w:pStyle w:val="BodyText"/>
        <w:spacing w:before="8"/>
        <w:rPr>
          <w:b/>
        </w:rPr>
      </w:pPr>
    </w:p>
    <w:p>
      <w:pPr>
        <w:pStyle w:val="BodyText"/>
        <w:spacing w:line="247" w:lineRule="auto" w:before="1"/>
        <w:ind w:left="151" w:right="38" w:firstLine="397"/>
        <w:jc w:val="both"/>
      </w:pPr>
      <w:r>
        <w:rPr>
          <w:b/>
        </w:rPr>
        <w:t>Artículo 178.- </w:t>
      </w:r>
      <w:r>
        <w:rPr/>
        <w:t>Las participaciones federaIes que correspondan aI Municipio por concepto de impuestos, derechos, recargos o muItas, excIusivos o de jurisdicción concurrente, se percibirán en Ios términos  que  se  fijen en Ios convenios respectivos y en Ia LegisIación FiscaI de Ia</w:t>
      </w:r>
      <w:r>
        <w:rPr>
          <w:spacing w:val="24"/>
        </w:rPr>
        <w:t> </w:t>
      </w:r>
      <w:r>
        <w:rPr/>
        <w:t>Federación.</w:t>
      </w:r>
    </w:p>
    <w:p>
      <w:pPr>
        <w:pStyle w:val="BodyText"/>
        <w:spacing w:before="2"/>
      </w:pPr>
    </w:p>
    <w:p>
      <w:pPr>
        <w:pStyle w:val="BodyText"/>
        <w:spacing w:line="247" w:lineRule="auto"/>
        <w:ind w:left="151" w:right="39" w:firstLine="397"/>
        <w:jc w:val="both"/>
      </w:pPr>
      <w:r>
        <w:rPr>
          <w:b/>
        </w:rPr>
        <w:t>Artículo 179.- </w:t>
      </w:r>
      <w:r>
        <w:rPr/>
        <w:t>Las participaciones estataIes que correspondan aI Municipio por concepto de impuestos, derechos, recargos o muItas, excIusivos o de jurisdicción concurrente se percibirán en Ios términos que se     fijen en Ios convenios respectivos y en Ia LegisIación FiscaI deI</w:t>
      </w:r>
      <w:r>
        <w:rPr>
          <w:spacing w:val="18"/>
        </w:rPr>
        <w:t> </w:t>
      </w:r>
      <w:r>
        <w:rPr/>
        <w:t>Estado.</w:t>
      </w:r>
    </w:p>
    <w:p>
      <w:pPr>
        <w:pStyle w:val="BodyText"/>
        <w:spacing w:before="4"/>
      </w:pPr>
    </w:p>
    <w:p>
      <w:pPr>
        <w:pStyle w:val="Heading4"/>
        <w:spacing w:before="1"/>
        <w:ind w:left="270"/>
      </w:pPr>
      <w:r>
        <w:rPr/>
        <w:t>CAPÍTULO SEGUNDO</w:t>
      </w:r>
    </w:p>
    <w:p>
      <w:pPr>
        <w:spacing w:before="3"/>
        <w:ind w:left="270" w:right="160" w:firstLine="0"/>
        <w:jc w:val="center"/>
        <w:rPr>
          <w:b/>
          <w:sz w:val="15"/>
        </w:rPr>
      </w:pPr>
      <w:r>
        <w:rPr>
          <w:b/>
          <w:sz w:val="15"/>
        </w:rPr>
        <w:t>De las Aportaciones Federales del Ramo 33</w:t>
      </w:r>
    </w:p>
    <w:p>
      <w:pPr>
        <w:pStyle w:val="BodyText"/>
        <w:spacing w:before="9"/>
        <w:rPr>
          <w:b/>
        </w:rPr>
      </w:pPr>
    </w:p>
    <w:p>
      <w:pPr>
        <w:pStyle w:val="BodyText"/>
        <w:spacing w:line="247" w:lineRule="auto"/>
        <w:ind w:left="151" w:right="39" w:firstLine="397"/>
        <w:jc w:val="both"/>
      </w:pPr>
      <w:r>
        <w:rPr>
          <w:b/>
        </w:rPr>
        <w:t>Artículo 180.- </w:t>
      </w:r>
      <w:r>
        <w:rPr/>
        <w:t>Las aportaciones federaIes que a través de Ios diferentes fondos, Ie correspondan aI Municipio, se percibirán en Ios términos que estabIezcan eI Presupuesto de Egresos de Ia Federación, Ia Ley   de Coordinación FiscaI y Ios convenios</w:t>
      </w:r>
      <w:r>
        <w:rPr>
          <w:spacing w:val="9"/>
        </w:rPr>
        <w:t> </w:t>
      </w:r>
      <w:r>
        <w:rPr/>
        <w:t>respectivos.</w:t>
      </w:r>
    </w:p>
    <w:p>
      <w:pPr>
        <w:pStyle w:val="BodyText"/>
        <w:spacing w:before="3"/>
      </w:pPr>
    </w:p>
    <w:p>
      <w:pPr>
        <w:pStyle w:val="Heading4"/>
        <w:ind w:left="270"/>
      </w:pPr>
      <w:r>
        <w:rPr/>
        <w:t>TÍTULO QUINTO</w:t>
      </w:r>
    </w:p>
    <w:p>
      <w:pPr>
        <w:spacing w:before="5"/>
        <w:ind w:left="270" w:right="160" w:firstLine="0"/>
        <w:jc w:val="center"/>
        <w:rPr>
          <w:b/>
          <w:sz w:val="15"/>
        </w:rPr>
      </w:pPr>
      <w:r>
        <w:rPr>
          <w:b/>
          <w:sz w:val="15"/>
        </w:rPr>
        <w:t>De las Transferencias, Asignaciones, Subsidios y Otras Ayudas</w:t>
      </w:r>
    </w:p>
    <w:p>
      <w:pPr>
        <w:pStyle w:val="BodyText"/>
        <w:spacing w:before="9"/>
        <w:rPr>
          <w:b/>
        </w:rPr>
      </w:pPr>
    </w:p>
    <w:p>
      <w:pPr>
        <w:pStyle w:val="BodyText"/>
        <w:spacing w:line="247" w:lineRule="auto"/>
        <w:ind w:left="151" w:right="39" w:firstLine="397"/>
        <w:jc w:val="both"/>
      </w:pPr>
      <w:r>
        <w:rPr>
          <w:b/>
        </w:rPr>
        <w:t>Artículo 181.- </w:t>
      </w:r>
      <w:r>
        <w:rPr/>
        <w:t>Los ingresos por concepto de transferencias, subsidios y otras ayudas son Ios que se perciben por:</w:t>
      </w:r>
    </w:p>
    <w:p>
      <w:pPr>
        <w:pStyle w:val="BodyText"/>
        <w:spacing w:before="3"/>
      </w:pPr>
    </w:p>
    <w:p>
      <w:pPr>
        <w:pStyle w:val="ListParagraph"/>
        <w:numPr>
          <w:ilvl w:val="0"/>
          <w:numId w:val="307"/>
        </w:numPr>
        <w:tabs>
          <w:tab w:pos="669" w:val="left" w:leader="none"/>
        </w:tabs>
        <w:spacing w:line="240" w:lineRule="auto" w:before="0" w:after="0"/>
        <w:ind w:left="668" w:right="0" w:hanging="121"/>
        <w:jc w:val="left"/>
        <w:rPr>
          <w:sz w:val="15"/>
        </w:rPr>
      </w:pPr>
      <w:r>
        <w:rPr>
          <w:sz w:val="15"/>
        </w:rPr>
        <w:t>Aportaciones a fondos</w:t>
      </w:r>
      <w:r>
        <w:rPr>
          <w:spacing w:val="3"/>
          <w:sz w:val="15"/>
        </w:rPr>
        <w:t> </w:t>
      </w:r>
      <w:r>
        <w:rPr>
          <w:sz w:val="15"/>
        </w:rPr>
        <w:t>específicos;</w:t>
      </w:r>
    </w:p>
    <w:p>
      <w:pPr>
        <w:pStyle w:val="BodyText"/>
        <w:spacing w:before="9"/>
      </w:pPr>
    </w:p>
    <w:p>
      <w:pPr>
        <w:pStyle w:val="ListParagraph"/>
        <w:numPr>
          <w:ilvl w:val="0"/>
          <w:numId w:val="307"/>
        </w:numPr>
        <w:tabs>
          <w:tab w:pos="776" w:val="left" w:leader="none"/>
        </w:tabs>
        <w:spacing w:line="240" w:lineRule="auto" w:before="0" w:after="0"/>
        <w:ind w:left="775" w:right="0" w:hanging="228"/>
        <w:jc w:val="left"/>
        <w:rPr>
          <w:sz w:val="15"/>
        </w:rPr>
      </w:pPr>
      <w:r>
        <w:rPr>
          <w:sz w:val="15"/>
        </w:rPr>
        <w:t>Subsidios</w:t>
      </w:r>
      <w:r>
        <w:rPr>
          <w:spacing w:val="23"/>
          <w:sz w:val="15"/>
        </w:rPr>
        <w:t> </w:t>
      </w:r>
      <w:r>
        <w:rPr>
          <w:sz w:val="15"/>
        </w:rPr>
        <w:t>provenientes</w:t>
      </w:r>
      <w:r>
        <w:rPr>
          <w:spacing w:val="23"/>
          <w:sz w:val="15"/>
        </w:rPr>
        <w:t> </w:t>
      </w:r>
      <w:r>
        <w:rPr>
          <w:sz w:val="15"/>
        </w:rPr>
        <w:t>de</w:t>
      </w:r>
      <w:r>
        <w:rPr>
          <w:spacing w:val="23"/>
          <w:sz w:val="15"/>
        </w:rPr>
        <w:t> </w:t>
      </w:r>
      <w:r>
        <w:rPr>
          <w:sz w:val="15"/>
        </w:rPr>
        <w:t>Ios</w:t>
      </w:r>
      <w:r>
        <w:rPr>
          <w:spacing w:val="24"/>
          <w:sz w:val="15"/>
        </w:rPr>
        <w:t> </w:t>
      </w:r>
      <w:r>
        <w:rPr>
          <w:sz w:val="15"/>
        </w:rPr>
        <w:t>Gobiernos</w:t>
      </w:r>
      <w:r>
        <w:rPr>
          <w:spacing w:val="23"/>
          <w:sz w:val="15"/>
        </w:rPr>
        <w:t> </w:t>
      </w:r>
      <w:r>
        <w:rPr>
          <w:sz w:val="15"/>
        </w:rPr>
        <w:t>FederaIes</w:t>
      </w:r>
      <w:r>
        <w:rPr>
          <w:spacing w:val="23"/>
          <w:sz w:val="15"/>
        </w:rPr>
        <w:t> </w:t>
      </w:r>
      <w:r>
        <w:rPr>
          <w:sz w:val="15"/>
        </w:rPr>
        <w:t>y</w:t>
      </w:r>
      <w:r>
        <w:rPr>
          <w:spacing w:val="22"/>
          <w:sz w:val="15"/>
        </w:rPr>
        <w:t> </w:t>
      </w:r>
      <w:r>
        <w:rPr>
          <w:sz w:val="15"/>
        </w:rPr>
        <w:t>EstataIes,</w:t>
      </w:r>
      <w:r>
        <w:rPr>
          <w:spacing w:val="24"/>
          <w:sz w:val="15"/>
        </w:rPr>
        <w:t> </w:t>
      </w:r>
      <w:r>
        <w:rPr>
          <w:sz w:val="15"/>
        </w:rPr>
        <w:t>así</w:t>
      </w:r>
      <w:r>
        <w:rPr>
          <w:spacing w:val="23"/>
          <w:sz w:val="15"/>
        </w:rPr>
        <w:t> </w:t>
      </w:r>
      <w:r>
        <w:rPr>
          <w:sz w:val="15"/>
        </w:rPr>
        <w:t>como</w:t>
      </w:r>
      <w:r>
        <w:rPr>
          <w:spacing w:val="23"/>
          <w:sz w:val="15"/>
        </w:rPr>
        <w:t> </w:t>
      </w:r>
      <w:r>
        <w:rPr>
          <w:sz w:val="15"/>
        </w:rPr>
        <w:t>de</w:t>
      </w:r>
      <w:r>
        <w:rPr>
          <w:spacing w:val="24"/>
          <w:sz w:val="15"/>
        </w:rPr>
        <w:t> </w:t>
      </w:r>
      <w:r>
        <w:rPr>
          <w:sz w:val="15"/>
        </w:rPr>
        <w:t>Instituciones</w:t>
      </w:r>
      <w:r>
        <w:rPr>
          <w:spacing w:val="22"/>
          <w:sz w:val="15"/>
        </w:rPr>
        <w:t> </w:t>
      </w:r>
      <w:r>
        <w:rPr>
          <w:sz w:val="15"/>
        </w:rPr>
        <w:t>o</w:t>
      </w:r>
    </w:p>
    <w:p>
      <w:pPr>
        <w:pStyle w:val="BodyText"/>
        <w:spacing w:before="99"/>
        <w:ind w:left="151"/>
      </w:pPr>
      <w:r>
        <w:rPr/>
        <w:br w:type="column"/>
      </w:r>
      <w:r>
        <w:rPr/>
        <w:t>particulares a favor del Municipio;</w:t>
      </w:r>
    </w:p>
    <w:p>
      <w:pPr>
        <w:pStyle w:val="BodyText"/>
        <w:spacing w:before="9"/>
      </w:pPr>
    </w:p>
    <w:p>
      <w:pPr>
        <w:pStyle w:val="ListParagraph"/>
        <w:numPr>
          <w:ilvl w:val="0"/>
          <w:numId w:val="307"/>
        </w:numPr>
        <w:tabs>
          <w:tab w:pos="769" w:val="left" w:leader="none"/>
        </w:tabs>
        <w:spacing w:line="244" w:lineRule="auto" w:before="0" w:after="0"/>
        <w:ind w:left="151" w:right="512" w:firstLine="397"/>
        <w:jc w:val="left"/>
        <w:rPr>
          <w:sz w:val="15"/>
        </w:rPr>
      </w:pPr>
      <w:r>
        <w:rPr>
          <w:sz w:val="15"/>
        </w:rPr>
        <w:t>Aportaciones de los Gobiernos Federal y Estatal, y de terceros, para obras y servicios de beneficio social a cargo del Municipio;</w:t>
      </w:r>
      <w:r>
        <w:rPr>
          <w:spacing w:val="5"/>
          <w:sz w:val="15"/>
        </w:rPr>
        <w:t> </w:t>
      </w:r>
      <w:r>
        <w:rPr>
          <w:sz w:val="15"/>
        </w:rPr>
        <w:t>y</w:t>
      </w:r>
    </w:p>
    <w:p>
      <w:pPr>
        <w:pStyle w:val="BodyText"/>
        <w:spacing w:before="7"/>
      </w:pPr>
    </w:p>
    <w:p>
      <w:pPr>
        <w:pStyle w:val="ListParagraph"/>
        <w:numPr>
          <w:ilvl w:val="0"/>
          <w:numId w:val="307"/>
        </w:numPr>
        <w:tabs>
          <w:tab w:pos="766" w:val="left" w:leader="none"/>
        </w:tabs>
        <w:spacing w:line="240" w:lineRule="auto" w:before="0" w:after="0"/>
        <w:ind w:left="765" w:right="0" w:hanging="218"/>
        <w:jc w:val="left"/>
        <w:rPr>
          <w:sz w:val="15"/>
        </w:rPr>
      </w:pPr>
      <w:r>
        <w:rPr>
          <w:sz w:val="15"/>
        </w:rPr>
        <w:t>Otras transferencias, asignaciones, subsidios y otras ayudas no</w:t>
      </w:r>
      <w:r>
        <w:rPr>
          <w:spacing w:val="23"/>
          <w:sz w:val="15"/>
        </w:rPr>
        <w:t> </w:t>
      </w:r>
      <w:r>
        <w:rPr>
          <w:sz w:val="15"/>
        </w:rPr>
        <w:t>especificadas.</w:t>
      </w:r>
    </w:p>
    <w:p>
      <w:pPr>
        <w:pStyle w:val="BodyText"/>
        <w:spacing w:before="10"/>
      </w:pPr>
    </w:p>
    <w:p>
      <w:pPr>
        <w:pStyle w:val="Heading4"/>
        <w:ind w:left="276" w:right="632"/>
      </w:pPr>
      <w:r>
        <w:rPr/>
        <w:t>TÍTULO SEXTO</w:t>
      </w:r>
    </w:p>
    <w:p>
      <w:pPr>
        <w:spacing w:before="5"/>
        <w:ind w:left="276" w:right="632" w:firstLine="0"/>
        <w:jc w:val="center"/>
        <w:rPr>
          <w:b/>
          <w:sz w:val="15"/>
        </w:rPr>
      </w:pPr>
      <w:r>
        <w:rPr>
          <w:b/>
          <w:sz w:val="15"/>
        </w:rPr>
        <w:t>Ingresos Derivados de Financiamientos</w:t>
      </w:r>
    </w:p>
    <w:p>
      <w:pPr>
        <w:pStyle w:val="BodyText"/>
        <w:spacing w:before="8"/>
        <w:rPr>
          <w:b/>
        </w:rPr>
      </w:pPr>
    </w:p>
    <w:p>
      <w:pPr>
        <w:pStyle w:val="BodyText"/>
        <w:spacing w:line="247" w:lineRule="auto"/>
        <w:ind w:left="150" w:right="508" w:firstLine="397"/>
        <w:jc w:val="both"/>
      </w:pPr>
      <w:r>
        <w:rPr>
          <w:b/>
        </w:rPr>
        <w:t>Artículo 182.- </w:t>
      </w:r>
      <w:r>
        <w:rPr/>
        <w:t>El Municipio y las entidades de control directo podrán contratar obligaciones constitutivas   de deuda pública interna, en los términos de la Ley de Deuda Pública del Estado de Jalisco y sus Municipios y para</w:t>
      </w:r>
      <w:r>
        <w:rPr>
          <w:spacing w:val="4"/>
        </w:rPr>
        <w:t> </w:t>
      </w:r>
      <w:r>
        <w:rPr/>
        <w:t>el</w:t>
      </w:r>
      <w:r>
        <w:rPr>
          <w:spacing w:val="4"/>
        </w:rPr>
        <w:t> </w:t>
      </w:r>
      <w:r>
        <w:rPr/>
        <w:t>financiamiento</w:t>
      </w:r>
      <w:r>
        <w:rPr>
          <w:spacing w:val="4"/>
        </w:rPr>
        <w:t> </w:t>
      </w:r>
      <w:r>
        <w:rPr/>
        <w:t>del</w:t>
      </w:r>
      <w:r>
        <w:rPr>
          <w:spacing w:val="5"/>
        </w:rPr>
        <w:t> </w:t>
      </w:r>
      <w:r>
        <w:rPr/>
        <w:t>Presupuesto</w:t>
      </w:r>
      <w:r>
        <w:rPr>
          <w:spacing w:val="4"/>
        </w:rPr>
        <w:t> </w:t>
      </w:r>
      <w:r>
        <w:rPr/>
        <w:t>de</w:t>
      </w:r>
      <w:r>
        <w:rPr>
          <w:spacing w:val="4"/>
        </w:rPr>
        <w:t> </w:t>
      </w:r>
      <w:r>
        <w:rPr/>
        <w:t>Egresos</w:t>
      </w:r>
      <w:r>
        <w:rPr>
          <w:spacing w:val="4"/>
        </w:rPr>
        <w:t> </w:t>
      </w:r>
      <w:r>
        <w:rPr/>
        <w:t>del</w:t>
      </w:r>
      <w:r>
        <w:rPr>
          <w:spacing w:val="5"/>
        </w:rPr>
        <w:t> </w:t>
      </w:r>
      <w:r>
        <w:rPr/>
        <w:t>Municipio</w:t>
      </w:r>
      <w:r>
        <w:rPr>
          <w:spacing w:val="6"/>
        </w:rPr>
        <w:t> </w:t>
      </w:r>
      <w:r>
        <w:rPr/>
        <w:t>para</w:t>
      </w:r>
      <w:r>
        <w:rPr>
          <w:spacing w:val="4"/>
        </w:rPr>
        <w:t> </w:t>
      </w:r>
      <w:r>
        <w:rPr/>
        <w:t>el</w:t>
      </w:r>
      <w:r>
        <w:rPr>
          <w:spacing w:val="5"/>
        </w:rPr>
        <w:t> </w:t>
      </w:r>
      <w:r>
        <w:rPr/>
        <w:t>Ejercicio</w:t>
      </w:r>
      <w:r>
        <w:rPr>
          <w:spacing w:val="4"/>
        </w:rPr>
        <w:t> </w:t>
      </w:r>
      <w:r>
        <w:rPr/>
        <w:t>Fiscal</w:t>
      </w:r>
      <w:r>
        <w:rPr>
          <w:spacing w:val="4"/>
        </w:rPr>
        <w:t> </w:t>
      </w:r>
      <w:r>
        <w:rPr/>
        <w:t>2020.</w:t>
      </w:r>
    </w:p>
    <w:p>
      <w:pPr>
        <w:pStyle w:val="BodyText"/>
        <w:spacing w:before="3"/>
      </w:pPr>
    </w:p>
    <w:p>
      <w:pPr>
        <w:pStyle w:val="Heading4"/>
        <w:ind w:left="274" w:right="632"/>
      </w:pPr>
      <w:r>
        <w:rPr/>
        <w:t>LIBRO CUARTO</w:t>
      </w:r>
    </w:p>
    <w:p>
      <w:pPr>
        <w:spacing w:before="5"/>
        <w:ind w:left="274" w:right="632" w:firstLine="0"/>
        <w:jc w:val="center"/>
        <w:rPr>
          <w:b/>
          <w:sz w:val="15"/>
        </w:rPr>
      </w:pPr>
      <w:r>
        <w:rPr>
          <w:b/>
          <w:sz w:val="15"/>
        </w:rPr>
        <w:t>Disposiciones Finales</w:t>
      </w:r>
    </w:p>
    <w:p>
      <w:pPr>
        <w:pStyle w:val="BodyText"/>
        <w:spacing w:before="9"/>
        <w:rPr>
          <w:b/>
        </w:rPr>
      </w:pPr>
    </w:p>
    <w:p>
      <w:pPr>
        <w:spacing w:before="1"/>
        <w:ind w:left="275" w:right="632" w:firstLine="0"/>
        <w:jc w:val="center"/>
        <w:rPr>
          <w:b/>
          <w:sz w:val="15"/>
        </w:rPr>
      </w:pPr>
      <w:r>
        <w:rPr>
          <w:b/>
          <w:sz w:val="15"/>
        </w:rPr>
        <w:t>TÍTULO</w:t>
      </w:r>
      <w:r>
        <w:rPr>
          <w:b/>
          <w:spacing w:val="26"/>
          <w:sz w:val="15"/>
        </w:rPr>
        <w:t> </w:t>
      </w:r>
      <w:r>
        <w:rPr>
          <w:b/>
          <w:sz w:val="15"/>
        </w:rPr>
        <w:t>ÚNICO</w:t>
      </w:r>
    </w:p>
    <w:p>
      <w:pPr>
        <w:spacing w:before="4"/>
        <w:ind w:left="274" w:right="632" w:firstLine="0"/>
        <w:jc w:val="center"/>
        <w:rPr>
          <w:b/>
          <w:sz w:val="15"/>
        </w:rPr>
      </w:pPr>
      <w:r>
        <w:rPr>
          <w:b/>
          <w:sz w:val="15"/>
        </w:rPr>
        <w:t>Dación  en</w:t>
      </w:r>
      <w:r>
        <w:rPr>
          <w:b/>
          <w:spacing w:val="-14"/>
          <w:sz w:val="15"/>
        </w:rPr>
        <w:t> </w:t>
      </w:r>
      <w:r>
        <w:rPr>
          <w:b/>
          <w:sz w:val="15"/>
        </w:rPr>
        <w:t>Pago</w:t>
      </w:r>
    </w:p>
    <w:p>
      <w:pPr>
        <w:pStyle w:val="BodyText"/>
        <w:spacing w:before="8"/>
        <w:rPr>
          <w:b/>
        </w:rPr>
      </w:pPr>
    </w:p>
    <w:p>
      <w:pPr>
        <w:pStyle w:val="BodyText"/>
        <w:spacing w:line="247" w:lineRule="auto"/>
        <w:ind w:left="150" w:right="508" w:firstLine="397"/>
        <w:jc w:val="both"/>
      </w:pPr>
      <w:r>
        <w:rPr>
          <w:b/>
        </w:rPr>
        <w:t>Artículo 183.- </w:t>
      </w:r>
      <w:r>
        <w:rPr/>
        <w:t>A fin de asegurar la recaudación de toda clase de obligaciones fiscales de pago a la hacienda pública municipal y previo acuerdo de Ayuntamiento, se podrá aceptar la dación  de  bienes  o  servicios en pago total o parcial de las mismas, cuando éstos sean de fácil realización o venta, o resulten aprovechables en el desempeño de la función pública, para la prestación de los servicios públicos municipales    o para el equipamiento urbano, a juicio del propio</w:t>
      </w:r>
      <w:r>
        <w:rPr>
          <w:spacing w:val="8"/>
        </w:rPr>
        <w:t> </w:t>
      </w:r>
      <w:r>
        <w:rPr/>
        <w:t>Ayuntamiento.</w:t>
      </w:r>
    </w:p>
    <w:p>
      <w:pPr>
        <w:pStyle w:val="BodyText"/>
        <w:spacing w:before="2"/>
      </w:pPr>
    </w:p>
    <w:p>
      <w:pPr>
        <w:pStyle w:val="BodyText"/>
        <w:spacing w:line="247" w:lineRule="auto"/>
        <w:ind w:left="151" w:right="509" w:firstLine="397"/>
        <w:jc w:val="both"/>
      </w:pPr>
      <w:r>
        <w:rPr/>
        <w:t>La aceptación o negativa de la solicitud de dación en pago será facultad discrecional del Ayuntamiento, debiendo resolverse en un término que no excederá de treinta días hábiles contados a partir de que esté debidamente integrado el expediente y su resolución no podrá ser impugnada en recurso administrativo, ni mediante juicio de nulidad ante el Tribunal de lo Administrativo del Estado de Jalisco.</w:t>
      </w:r>
    </w:p>
    <w:p>
      <w:pPr>
        <w:pStyle w:val="BodyText"/>
        <w:spacing w:before="2"/>
      </w:pPr>
    </w:p>
    <w:p>
      <w:pPr>
        <w:pStyle w:val="BodyText"/>
        <w:spacing w:line="247" w:lineRule="auto"/>
        <w:ind w:left="151" w:right="508" w:firstLine="397"/>
        <w:jc w:val="both"/>
      </w:pPr>
      <w:r>
        <w:rPr>
          <w:b/>
        </w:rPr>
        <w:t>Artículo 184.- </w:t>
      </w:r>
      <w:r>
        <w:rPr/>
        <w:t>Las daciones en pago de bienes muebles o inmuebles a que se refiere el artículo anterior  se</w:t>
      </w:r>
      <w:r>
        <w:rPr>
          <w:spacing w:val="4"/>
        </w:rPr>
        <w:t> </w:t>
      </w:r>
      <w:r>
        <w:rPr/>
        <w:t>aceptarán</w:t>
      </w:r>
      <w:r>
        <w:rPr>
          <w:spacing w:val="4"/>
        </w:rPr>
        <w:t> </w:t>
      </w:r>
      <w:r>
        <w:rPr/>
        <w:t>hasta</w:t>
      </w:r>
      <w:r>
        <w:rPr>
          <w:spacing w:val="4"/>
        </w:rPr>
        <w:t> </w:t>
      </w:r>
      <w:r>
        <w:rPr/>
        <w:t>por</w:t>
      </w:r>
      <w:r>
        <w:rPr>
          <w:spacing w:val="4"/>
        </w:rPr>
        <w:t> </w:t>
      </w:r>
      <w:r>
        <w:rPr/>
        <w:t>el</w:t>
      </w:r>
      <w:r>
        <w:rPr>
          <w:spacing w:val="4"/>
        </w:rPr>
        <w:t> </w:t>
      </w:r>
      <w:r>
        <w:rPr/>
        <w:t>valor</w:t>
      </w:r>
      <w:r>
        <w:rPr>
          <w:spacing w:val="4"/>
        </w:rPr>
        <w:t> </w:t>
      </w:r>
      <w:r>
        <w:rPr/>
        <w:t>del</w:t>
      </w:r>
      <w:r>
        <w:rPr>
          <w:spacing w:val="3"/>
        </w:rPr>
        <w:t> </w:t>
      </w:r>
      <w:r>
        <w:rPr/>
        <w:t>avalúo</w:t>
      </w:r>
      <w:r>
        <w:rPr>
          <w:spacing w:val="5"/>
        </w:rPr>
        <w:t> </w:t>
      </w:r>
      <w:r>
        <w:rPr/>
        <w:t>emitido</w:t>
      </w:r>
      <w:r>
        <w:rPr>
          <w:spacing w:val="4"/>
        </w:rPr>
        <w:t> </w:t>
      </w:r>
      <w:r>
        <w:rPr/>
        <w:t>por</w:t>
      </w:r>
      <w:r>
        <w:rPr>
          <w:spacing w:val="4"/>
        </w:rPr>
        <w:t> </w:t>
      </w:r>
      <w:r>
        <w:rPr/>
        <w:t>corredor</w:t>
      </w:r>
      <w:r>
        <w:rPr>
          <w:spacing w:val="5"/>
        </w:rPr>
        <w:t> </w:t>
      </w:r>
      <w:r>
        <w:rPr/>
        <w:t>público</w:t>
      </w:r>
      <w:r>
        <w:rPr>
          <w:spacing w:val="3"/>
        </w:rPr>
        <w:t> </w:t>
      </w:r>
      <w:r>
        <w:rPr/>
        <w:t>o</w:t>
      </w:r>
      <w:r>
        <w:rPr>
          <w:spacing w:val="4"/>
        </w:rPr>
        <w:t> </w:t>
      </w:r>
      <w:r>
        <w:rPr/>
        <w:t>por</w:t>
      </w:r>
      <w:r>
        <w:rPr>
          <w:spacing w:val="4"/>
        </w:rPr>
        <w:t> </w:t>
      </w:r>
      <w:r>
        <w:rPr/>
        <w:t>perito</w:t>
      </w:r>
      <w:r>
        <w:rPr>
          <w:spacing w:val="4"/>
        </w:rPr>
        <w:t> </w:t>
      </w:r>
      <w:r>
        <w:rPr/>
        <w:t>autorizado.</w:t>
      </w:r>
    </w:p>
    <w:p>
      <w:pPr>
        <w:pStyle w:val="BodyText"/>
        <w:spacing w:before="4"/>
      </w:pPr>
    </w:p>
    <w:p>
      <w:pPr>
        <w:pStyle w:val="BodyText"/>
        <w:spacing w:line="244" w:lineRule="auto"/>
        <w:ind w:left="151" w:right="509" w:firstLine="397"/>
        <w:jc w:val="both"/>
      </w:pPr>
      <w:r>
        <w:rPr/>
        <w:t>Tratándose de servicios, el </w:t>
      </w:r>
      <w:r>
        <w:rPr>
          <w:spacing w:val="-3"/>
        </w:rPr>
        <w:t>Tesorero </w:t>
      </w:r>
      <w:r>
        <w:rPr/>
        <w:t>Municipal determinará los términos, las  condiciones  y  el  monto hasta por el cual podrá aceptarse el ofrecimiento del deudor de pagar el crédito mediante la dación en pago de servicios.</w:t>
      </w:r>
    </w:p>
    <w:p>
      <w:pPr>
        <w:pStyle w:val="BodyText"/>
        <w:spacing w:before="7"/>
      </w:pPr>
    </w:p>
    <w:p>
      <w:pPr>
        <w:pStyle w:val="BodyText"/>
        <w:spacing w:line="247" w:lineRule="auto" w:before="1"/>
        <w:ind w:left="151" w:right="508" w:firstLine="397"/>
        <w:jc w:val="both"/>
      </w:pPr>
      <w:r>
        <w:rPr/>
        <w:t>La aceptación de bienes o servicios a que se refiere el presente artículo, suspenderá provisionalmente todos los  actos tendientes al cobro de la obligación de pago respectiva. De no formalizarse la dación en pago,  en los términos del artículo 185 de esta </w:t>
      </w:r>
      <w:r>
        <w:rPr>
          <w:spacing w:val="-4"/>
        </w:rPr>
        <w:t>Ley, </w:t>
      </w:r>
      <w:r>
        <w:rPr/>
        <w:t>quedará sin efectos la suspensión del cobro de la obligación de pago, por lo que se generarán las actualizaciones, recargos, multas de demás accesorios de las obligaciones adeudadas desde la fecha en que debió hacerse el pago y hasta que el mismo se efectúe, conformes a las disposiciones</w:t>
      </w:r>
      <w:r>
        <w:rPr>
          <w:spacing w:val="1"/>
        </w:rPr>
        <w:t> </w:t>
      </w:r>
      <w:r>
        <w:rPr/>
        <w:t>fiscales.</w:t>
      </w:r>
    </w:p>
    <w:p>
      <w:pPr>
        <w:pStyle w:val="BodyText"/>
        <w:spacing w:before="1"/>
      </w:pPr>
    </w:p>
    <w:p>
      <w:pPr>
        <w:pStyle w:val="BodyText"/>
        <w:spacing w:line="247" w:lineRule="auto"/>
        <w:ind w:left="151" w:right="508" w:firstLine="397"/>
        <w:jc w:val="both"/>
      </w:pPr>
      <w:r>
        <w:rPr>
          <w:b/>
        </w:rPr>
        <w:t>Artículo 185.- </w:t>
      </w:r>
      <w:r>
        <w:rPr/>
        <w:t>Una vez aceptado el ofrecimiento de la dación en pago de servicios, la Coordinación General de Administración e Innovación Gubernamental o dependencia que contrate dichos  servicios,  lo  deberá comunicar por escrito a la Tesorería Municipal, de acuerdo a los procedimientos que para tal efecto disponga el </w:t>
      </w:r>
      <w:r>
        <w:rPr>
          <w:spacing w:val="-3"/>
        </w:rPr>
        <w:t>Tesorero</w:t>
      </w:r>
      <w:r>
        <w:rPr/>
        <w:t> Municipal.</w:t>
      </w:r>
    </w:p>
    <w:p>
      <w:pPr>
        <w:pStyle w:val="BodyText"/>
        <w:spacing w:before="2"/>
      </w:pPr>
    </w:p>
    <w:p>
      <w:pPr>
        <w:pStyle w:val="BodyText"/>
        <w:spacing w:line="247" w:lineRule="auto"/>
        <w:ind w:left="151" w:right="508" w:firstLine="397"/>
        <w:jc w:val="both"/>
      </w:pPr>
      <w:r>
        <w:rPr/>
        <w:t>La prestación de los servicios ofrecidos como dación en pago, se deberán realizar en un plazo máximo    de 12 meses, contados a partir de la fecha de aceptación a que  se refiere el artículo 182. En el supuesto de   que el deudor no presente los servicios a la Coordinación General de Administración e Innovación Gubernamental o a las dependencias en el plazo y condiciones establecidos, quedará  sin  efectos  la  suspensión del cobro del crédito fiscal, debiendo actualizarse el saldo remanente desde la fecha en que debió hacerse</w:t>
      </w:r>
      <w:r>
        <w:rPr>
          <w:spacing w:val="3"/>
        </w:rPr>
        <w:t> </w:t>
      </w:r>
      <w:r>
        <w:rPr/>
        <w:t>el</w:t>
      </w:r>
      <w:r>
        <w:rPr>
          <w:spacing w:val="4"/>
        </w:rPr>
        <w:t> </w:t>
      </w:r>
      <w:r>
        <w:rPr/>
        <w:t>pago</w:t>
      </w:r>
      <w:r>
        <w:rPr>
          <w:spacing w:val="3"/>
        </w:rPr>
        <w:t> </w:t>
      </w:r>
      <w:r>
        <w:rPr/>
        <w:t>y</w:t>
      </w:r>
      <w:r>
        <w:rPr>
          <w:spacing w:val="4"/>
        </w:rPr>
        <w:t> </w:t>
      </w:r>
      <w:r>
        <w:rPr/>
        <w:t>hasta</w:t>
      </w:r>
      <w:r>
        <w:rPr>
          <w:spacing w:val="3"/>
        </w:rPr>
        <w:t> </w:t>
      </w:r>
      <w:r>
        <w:rPr/>
        <w:t>que</w:t>
      </w:r>
      <w:r>
        <w:rPr>
          <w:spacing w:val="4"/>
        </w:rPr>
        <w:t> </w:t>
      </w:r>
      <w:r>
        <w:rPr/>
        <w:t>el</w:t>
      </w:r>
      <w:r>
        <w:rPr>
          <w:spacing w:val="3"/>
        </w:rPr>
        <w:t> </w:t>
      </w:r>
      <w:r>
        <w:rPr/>
        <w:t>mismos</w:t>
      </w:r>
      <w:r>
        <w:rPr>
          <w:spacing w:val="4"/>
        </w:rPr>
        <w:t> </w:t>
      </w:r>
      <w:r>
        <w:rPr/>
        <w:t>e</w:t>
      </w:r>
      <w:r>
        <w:rPr>
          <w:spacing w:val="3"/>
        </w:rPr>
        <w:t> </w:t>
      </w:r>
      <w:r>
        <w:rPr/>
        <w:t>efectúe,</w:t>
      </w:r>
      <w:r>
        <w:rPr>
          <w:spacing w:val="4"/>
        </w:rPr>
        <w:t> </w:t>
      </w:r>
      <w:r>
        <w:rPr/>
        <w:t>conformes</w:t>
      </w:r>
      <w:r>
        <w:rPr>
          <w:spacing w:val="4"/>
        </w:rPr>
        <w:t> </w:t>
      </w:r>
      <w:r>
        <w:rPr/>
        <w:t>a</w:t>
      </w:r>
      <w:r>
        <w:rPr>
          <w:spacing w:val="3"/>
        </w:rPr>
        <w:t> </w:t>
      </w:r>
      <w:r>
        <w:rPr/>
        <w:t>las</w:t>
      </w:r>
      <w:r>
        <w:rPr>
          <w:spacing w:val="4"/>
        </w:rPr>
        <w:t> </w:t>
      </w:r>
      <w:r>
        <w:rPr/>
        <w:t>disposiciones</w:t>
      </w:r>
      <w:r>
        <w:rPr>
          <w:spacing w:val="3"/>
        </w:rPr>
        <w:t> </w:t>
      </w:r>
      <w:r>
        <w:rPr/>
        <w:t>fiscales.</w:t>
      </w:r>
    </w:p>
    <w:p>
      <w:pPr>
        <w:spacing w:after="0" w:line="247" w:lineRule="auto"/>
        <w:jc w:val="both"/>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spacing w:before="7"/>
        <w:rPr>
          <w:sz w:val="29"/>
        </w:rPr>
      </w:pPr>
    </w:p>
    <w:p>
      <w:pPr>
        <w:spacing w:after="0"/>
        <w:rPr>
          <w:sz w:val="29"/>
        </w:rPr>
        <w:sectPr>
          <w:headerReference w:type="default" r:id="rId145"/>
          <w:pgSz w:w="23250" w:h="15310" w:orient="landscape"/>
          <w:pgMar w:header="881" w:footer="499" w:top="1920" w:bottom="680" w:left="1880" w:right="1520"/>
        </w:sectPr>
      </w:pPr>
    </w:p>
    <w:p>
      <w:pPr>
        <w:pStyle w:val="BodyText"/>
        <w:rPr>
          <w:sz w:val="16"/>
        </w:rPr>
      </w:pPr>
    </w:p>
    <w:p>
      <w:pPr>
        <w:pStyle w:val="BodyText"/>
        <w:spacing w:line="247" w:lineRule="auto" w:before="92"/>
        <w:ind w:left="150" w:right="39" w:firstLine="397"/>
        <w:jc w:val="both"/>
      </w:pPr>
      <w:r>
        <w:rPr/>
        <w:t>La Coordinación General de Administración e Innovación Gubernamental o las dependencias que aprovechen los servicios sujetos a las previsiones de este artículo, deberán informar periódicamente a la Tesorería Municipal de la contratación y el cumplimiento total o parcial de los mismos.</w:t>
      </w:r>
    </w:p>
    <w:p>
      <w:pPr>
        <w:pStyle w:val="BodyText"/>
        <w:spacing w:before="2"/>
      </w:pPr>
    </w:p>
    <w:p>
      <w:pPr>
        <w:pStyle w:val="BodyText"/>
        <w:spacing w:line="247" w:lineRule="auto" w:before="1"/>
        <w:ind w:left="150" w:right="39" w:firstLine="397"/>
        <w:jc w:val="both"/>
      </w:pPr>
      <w:r>
        <w:rPr>
          <w:b/>
        </w:rPr>
        <w:t>Artículo 186.- </w:t>
      </w:r>
      <w:r>
        <w:rPr/>
        <w:t>La dación en pago quedará formalizada y el crédito fiscal extinguido de  la  siguiente manera:</w:t>
      </w:r>
    </w:p>
    <w:p>
      <w:pPr>
        <w:pStyle w:val="BodyText"/>
        <w:spacing w:before="3"/>
      </w:pPr>
    </w:p>
    <w:p>
      <w:pPr>
        <w:pStyle w:val="ListParagraph"/>
        <w:numPr>
          <w:ilvl w:val="0"/>
          <w:numId w:val="308"/>
        </w:numPr>
        <w:tabs>
          <w:tab w:pos="694" w:val="left" w:leader="none"/>
        </w:tabs>
        <w:spacing w:line="247" w:lineRule="auto" w:before="1" w:after="0"/>
        <w:ind w:left="150" w:right="39" w:firstLine="397"/>
        <w:jc w:val="both"/>
        <w:rPr>
          <w:sz w:val="15"/>
        </w:rPr>
      </w:pPr>
      <w:r>
        <w:rPr>
          <w:sz w:val="15"/>
        </w:rPr>
        <w:t>Tratándose de bienes inmuebles, a la fecha de firma de la escritura pública en que se transfiera el dominio del buen al Municipio, a través de la Tesorería Municipal, misma que se otorgará dentro de los treinta días hábiles siguientes a aquel en que se haya notificado la aceptación. Los gastos de escrituración y las contribuciones que origine la operación, serán por cuenta del deudor al que se le haya aceptado la dación en pago;</w:t>
      </w:r>
    </w:p>
    <w:p>
      <w:pPr>
        <w:pStyle w:val="BodyText"/>
      </w:pPr>
    </w:p>
    <w:p>
      <w:pPr>
        <w:pStyle w:val="ListParagraph"/>
        <w:numPr>
          <w:ilvl w:val="0"/>
          <w:numId w:val="308"/>
        </w:numPr>
        <w:tabs>
          <w:tab w:pos="733" w:val="left" w:leader="none"/>
        </w:tabs>
        <w:spacing w:line="247" w:lineRule="auto" w:before="0" w:after="0"/>
        <w:ind w:left="150" w:right="39" w:firstLine="397"/>
        <w:jc w:val="both"/>
        <w:rPr>
          <w:sz w:val="15"/>
        </w:rPr>
      </w:pPr>
      <w:r>
        <w:rPr>
          <w:sz w:val="15"/>
        </w:rPr>
        <w:t>Tratándose de bienes muebles, a la fecha de firma del acta  de entrega y recepción de los mismos,    que</w:t>
      </w:r>
      <w:r>
        <w:rPr>
          <w:spacing w:val="5"/>
          <w:sz w:val="15"/>
        </w:rPr>
        <w:t> </w:t>
      </w:r>
      <w:r>
        <w:rPr>
          <w:sz w:val="15"/>
        </w:rPr>
        <w:t>será</w:t>
      </w:r>
      <w:r>
        <w:rPr>
          <w:spacing w:val="5"/>
          <w:sz w:val="15"/>
        </w:rPr>
        <w:t> </w:t>
      </w:r>
      <w:r>
        <w:rPr>
          <w:sz w:val="15"/>
        </w:rPr>
        <w:t>dentro</w:t>
      </w:r>
      <w:r>
        <w:rPr>
          <w:spacing w:val="6"/>
          <w:sz w:val="15"/>
        </w:rPr>
        <w:t> </w:t>
      </w:r>
      <w:r>
        <w:rPr>
          <w:sz w:val="15"/>
        </w:rPr>
        <w:t>de</w:t>
      </w:r>
      <w:r>
        <w:rPr>
          <w:spacing w:val="5"/>
          <w:sz w:val="15"/>
        </w:rPr>
        <w:t> </w:t>
      </w:r>
      <w:r>
        <w:rPr>
          <w:sz w:val="15"/>
        </w:rPr>
        <w:t>los</w:t>
      </w:r>
      <w:r>
        <w:rPr>
          <w:spacing w:val="6"/>
          <w:sz w:val="15"/>
        </w:rPr>
        <w:t> </w:t>
      </w:r>
      <w:r>
        <w:rPr>
          <w:sz w:val="15"/>
        </w:rPr>
        <w:t>cinco</w:t>
      </w:r>
      <w:r>
        <w:rPr>
          <w:spacing w:val="5"/>
          <w:sz w:val="15"/>
        </w:rPr>
        <w:t> </w:t>
      </w:r>
      <w:r>
        <w:rPr>
          <w:sz w:val="15"/>
        </w:rPr>
        <w:t>días</w:t>
      </w:r>
      <w:r>
        <w:rPr>
          <w:spacing w:val="6"/>
          <w:sz w:val="15"/>
        </w:rPr>
        <w:t> </w:t>
      </w:r>
      <w:r>
        <w:rPr>
          <w:sz w:val="15"/>
        </w:rPr>
        <w:t>hábiles</w:t>
      </w:r>
      <w:r>
        <w:rPr>
          <w:spacing w:val="5"/>
          <w:sz w:val="15"/>
        </w:rPr>
        <w:t> </w:t>
      </w:r>
      <w:r>
        <w:rPr>
          <w:sz w:val="15"/>
        </w:rPr>
        <w:t>siguientes</w:t>
      </w:r>
      <w:r>
        <w:rPr>
          <w:spacing w:val="5"/>
          <w:sz w:val="15"/>
        </w:rPr>
        <w:t> </w:t>
      </w:r>
      <w:r>
        <w:rPr>
          <w:sz w:val="15"/>
        </w:rPr>
        <w:t>a</w:t>
      </w:r>
      <w:r>
        <w:rPr>
          <w:spacing w:val="6"/>
          <w:sz w:val="15"/>
        </w:rPr>
        <w:t> </w:t>
      </w:r>
      <w:r>
        <w:rPr>
          <w:sz w:val="15"/>
        </w:rPr>
        <w:t>aquel</w:t>
      </w:r>
      <w:r>
        <w:rPr>
          <w:spacing w:val="4"/>
          <w:sz w:val="15"/>
        </w:rPr>
        <w:t> </w:t>
      </w:r>
      <w:r>
        <w:rPr>
          <w:sz w:val="15"/>
        </w:rPr>
        <w:t>en</w:t>
      </w:r>
      <w:r>
        <w:rPr>
          <w:spacing w:val="9"/>
          <w:sz w:val="15"/>
        </w:rPr>
        <w:t> </w:t>
      </w:r>
      <w:r>
        <w:rPr>
          <w:sz w:val="15"/>
        </w:rPr>
        <w:t>que</w:t>
      </w:r>
      <w:r>
        <w:rPr>
          <w:spacing w:val="5"/>
          <w:sz w:val="15"/>
        </w:rPr>
        <w:t> </w:t>
      </w:r>
      <w:r>
        <w:rPr>
          <w:sz w:val="15"/>
        </w:rPr>
        <w:t>se</w:t>
      </w:r>
      <w:r>
        <w:rPr>
          <w:spacing w:val="6"/>
          <w:sz w:val="15"/>
        </w:rPr>
        <w:t> </w:t>
      </w:r>
      <w:r>
        <w:rPr>
          <w:sz w:val="15"/>
        </w:rPr>
        <w:t>haya</w:t>
      </w:r>
      <w:r>
        <w:rPr>
          <w:spacing w:val="5"/>
          <w:sz w:val="15"/>
        </w:rPr>
        <w:t> </w:t>
      </w:r>
      <w:r>
        <w:rPr>
          <w:sz w:val="15"/>
        </w:rPr>
        <w:t>notificado</w:t>
      </w:r>
      <w:r>
        <w:rPr>
          <w:spacing w:val="6"/>
          <w:sz w:val="15"/>
        </w:rPr>
        <w:t> </w:t>
      </w:r>
      <w:r>
        <w:rPr>
          <w:sz w:val="15"/>
        </w:rPr>
        <w:t>la</w:t>
      </w:r>
      <w:r>
        <w:rPr>
          <w:spacing w:val="5"/>
          <w:sz w:val="15"/>
        </w:rPr>
        <w:t> </w:t>
      </w:r>
      <w:r>
        <w:rPr>
          <w:sz w:val="15"/>
        </w:rPr>
        <w:t>aceptación;</w:t>
      </w:r>
      <w:r>
        <w:rPr>
          <w:spacing w:val="6"/>
          <w:sz w:val="15"/>
        </w:rPr>
        <w:t> </w:t>
      </w:r>
      <w:r>
        <w:rPr>
          <w:sz w:val="15"/>
        </w:rPr>
        <w:t>y</w:t>
      </w:r>
    </w:p>
    <w:p>
      <w:pPr>
        <w:pStyle w:val="BodyText"/>
        <w:spacing w:before="4"/>
      </w:pPr>
    </w:p>
    <w:p>
      <w:pPr>
        <w:pStyle w:val="ListParagraph"/>
        <w:numPr>
          <w:ilvl w:val="0"/>
          <w:numId w:val="308"/>
        </w:numPr>
        <w:tabs>
          <w:tab w:pos="810" w:val="left" w:leader="none"/>
        </w:tabs>
        <w:spacing w:line="247" w:lineRule="auto" w:before="0" w:after="0"/>
        <w:ind w:left="150" w:right="38" w:firstLine="397"/>
        <w:jc w:val="both"/>
        <w:rPr>
          <w:sz w:val="15"/>
        </w:rPr>
      </w:pPr>
      <w:r>
        <w:rPr>
          <w:sz w:val="15"/>
        </w:rPr>
        <w:t>Tratándose de servicios, en la fecha que éstos fueron efectivamente prestados. Al efecto, la Coordinación General de Administración e Innovación Gubernamental o las dependencias de la administración pública municipal deberán manifestar a la Tesorería Municipal que los servicios fueron aprovechados por las mismas.</w:t>
      </w:r>
    </w:p>
    <w:p>
      <w:pPr>
        <w:pStyle w:val="BodyText"/>
        <w:spacing w:before="2"/>
      </w:pPr>
    </w:p>
    <w:p>
      <w:pPr>
        <w:pStyle w:val="BodyText"/>
        <w:ind w:left="548"/>
      </w:pPr>
      <w:r>
        <w:rPr/>
        <w:t>En caso de complimiento parcial se extinguirá proporcionalmente el crédito fiscal respectivo.</w:t>
      </w:r>
    </w:p>
    <w:p>
      <w:pPr>
        <w:pStyle w:val="BodyText"/>
        <w:spacing w:before="10"/>
      </w:pPr>
    </w:p>
    <w:p>
      <w:pPr>
        <w:pStyle w:val="BodyText"/>
        <w:spacing w:line="247" w:lineRule="auto"/>
        <w:ind w:left="150" w:right="39" w:firstLine="397"/>
        <w:jc w:val="both"/>
      </w:pPr>
      <w:r>
        <w:rPr>
          <w:b/>
        </w:rPr>
        <w:t>Artículo 187.- </w:t>
      </w:r>
      <w:r>
        <w:rPr/>
        <w:t>Los bienes recibidos como dación en pago quedarán en custodia y administración del Municipio a partir de que ésta se formalice. El Ayuntamiento tendrá plenas facultades para proceder a su enajenación en los términos de la Ley del Gobierno y la Administración Pública  Municipal  del  Estado  de Jalisco, o bien, podrá determinar su destino para que éstos sean incorporados al Registro Público de Bienes Municipales del patrimonio inmobiliario del</w:t>
      </w:r>
      <w:r>
        <w:rPr>
          <w:spacing w:val="7"/>
        </w:rPr>
        <w:t> </w:t>
      </w:r>
      <w:r>
        <w:rPr/>
        <w:t>Municipio.</w:t>
      </w:r>
    </w:p>
    <w:p>
      <w:pPr>
        <w:pStyle w:val="BodyText"/>
        <w:spacing w:before="1"/>
      </w:pPr>
    </w:p>
    <w:p>
      <w:pPr>
        <w:pStyle w:val="Heading4"/>
        <w:spacing w:before="1"/>
        <w:ind w:left="270"/>
      </w:pPr>
      <w:r>
        <w:rPr/>
        <w:t>T R A N S I T O R I O S</w:t>
      </w:r>
    </w:p>
    <w:p>
      <w:pPr>
        <w:pStyle w:val="BodyText"/>
        <w:spacing w:before="8"/>
        <w:rPr>
          <w:b/>
        </w:rPr>
      </w:pPr>
    </w:p>
    <w:p>
      <w:pPr>
        <w:pStyle w:val="BodyText"/>
        <w:spacing w:line="247" w:lineRule="auto"/>
        <w:ind w:left="151" w:right="39" w:firstLine="397"/>
        <w:jc w:val="both"/>
      </w:pPr>
      <w:r>
        <w:rPr>
          <w:b/>
        </w:rPr>
        <w:t>PRIMERO.- </w:t>
      </w:r>
      <w:r>
        <w:rPr/>
        <w:t>La presente ley entrará en vigor a partir del día primero de enero del año 2020, previa su publicación en el Periódico Oficial “El Estado de Jalisco”.</w:t>
      </w:r>
    </w:p>
    <w:p>
      <w:pPr>
        <w:pStyle w:val="BodyText"/>
        <w:spacing w:before="4"/>
      </w:pPr>
    </w:p>
    <w:p>
      <w:pPr>
        <w:pStyle w:val="BodyText"/>
        <w:ind w:left="548"/>
      </w:pPr>
      <w:r>
        <w:rPr>
          <w:b/>
        </w:rPr>
        <w:t>SEGUNDO.- </w:t>
      </w:r>
      <w:r>
        <w:rPr/>
        <w:t>Se derogan todas las disposiciones que se opongan a la presente ley.</w:t>
      </w:r>
    </w:p>
    <w:p>
      <w:pPr>
        <w:pStyle w:val="BodyText"/>
        <w:spacing w:before="8"/>
      </w:pPr>
    </w:p>
    <w:p>
      <w:pPr>
        <w:pStyle w:val="BodyText"/>
        <w:spacing w:line="247" w:lineRule="auto" w:before="1"/>
        <w:ind w:left="151" w:right="39" w:firstLine="397"/>
        <w:jc w:val="both"/>
      </w:pPr>
      <w:r>
        <w:rPr>
          <w:b/>
        </w:rPr>
        <w:t>TERCERO.- </w:t>
      </w:r>
      <w:r>
        <w:rPr/>
        <w:t>A los avisos traslativos de dominio de regularizaciones de la Comisión Municipal de Regularización (COMUR) o el Instituto Nacional del Suelo Sustentable (INSUS) al amparo de la legislación en materia de regularización de predios y el Decreto 20,920, se les exime de anexar el avalúo a que se refiere el artículo 119, fracción I, de la Ley de Hacienda Municipal; y el artículo 81, fracción I, de la Ley de Catastro Municipal del Estado de Jalisco, así mismo a dichos avisos no le serán aplicables los recargos que pudieran corresponder por presentación extemporánea en su caso.</w:t>
      </w:r>
    </w:p>
    <w:p>
      <w:pPr>
        <w:pStyle w:val="BodyText"/>
        <w:spacing w:before="1"/>
      </w:pPr>
    </w:p>
    <w:p>
      <w:pPr>
        <w:pStyle w:val="BodyText"/>
        <w:spacing w:line="247" w:lineRule="auto"/>
        <w:ind w:left="151" w:right="40" w:firstLine="397"/>
        <w:jc w:val="both"/>
      </w:pPr>
      <w:r>
        <w:rPr/>
        <w:t>Aquellos documentos expedidos por la Comisión Reguladora de la Tenencia de la Tierra (CORETT), que reciban las autoridades municipales se enteran expedidos por el Instituto Nacional del Suelo Sustentable (INSUS).</w:t>
      </w:r>
    </w:p>
    <w:p>
      <w:pPr>
        <w:pStyle w:val="BodyText"/>
        <w:spacing w:before="2"/>
      </w:pPr>
    </w:p>
    <w:p>
      <w:pPr>
        <w:pStyle w:val="BodyText"/>
        <w:spacing w:line="247" w:lineRule="auto" w:before="1"/>
        <w:ind w:left="151" w:right="38" w:firstLine="397"/>
        <w:jc w:val="both"/>
      </w:pPr>
      <w:r>
        <w:rPr>
          <w:b/>
        </w:rPr>
        <w:t>CUARTO.- </w:t>
      </w:r>
      <w:r>
        <w:rPr/>
        <w:t>Cuando en otras leyes u ordenamientos municipales se haga referencia al Encargado de la Hacienda Municipal, a la Hacienda Municipal, y al servidor público encargado  de  la  Secretaría,  respectivamente se deberá entender que se refieren al </w:t>
      </w:r>
      <w:r>
        <w:rPr>
          <w:spacing w:val="-3"/>
        </w:rPr>
        <w:t>Tesorero </w:t>
      </w:r>
      <w:r>
        <w:rPr/>
        <w:t>Municipal, a la Tesorería Municipal o al Secretario General del Ayuntamiento. Lo anterior con independencia de las denominaciones que reciban los citados servidores en los reglamentos u ordenamientos municipales</w:t>
      </w:r>
      <w:r>
        <w:rPr>
          <w:spacing w:val="24"/>
        </w:rPr>
        <w:t> </w:t>
      </w:r>
      <w:r>
        <w:rPr/>
        <w:t>respectivos.</w:t>
      </w:r>
    </w:p>
    <w:p>
      <w:pPr>
        <w:pStyle w:val="BodyText"/>
        <w:spacing w:before="1"/>
      </w:pPr>
    </w:p>
    <w:p>
      <w:pPr>
        <w:pStyle w:val="BodyText"/>
        <w:spacing w:line="247" w:lineRule="auto"/>
        <w:ind w:left="151" w:right="38" w:firstLine="397"/>
        <w:jc w:val="both"/>
      </w:pPr>
      <w:r>
        <w:rPr/>
        <w:t>Las denominaciones de las dependencias de la administración pública municipal serán aquellas establecidas en el Reglamento de la Administración Pública del Municipio de Tlajomulco de Zúñiga, Jalisco,</w:t>
      </w:r>
    </w:p>
    <w:p>
      <w:pPr>
        <w:pStyle w:val="BodyText"/>
        <w:spacing w:line="247" w:lineRule="auto" w:before="98"/>
        <w:ind w:left="150" w:right="511"/>
        <w:jc w:val="both"/>
      </w:pPr>
      <w:r>
        <w:rPr/>
        <w:br w:type="column"/>
      </w:r>
      <w:r>
        <w:rPr/>
        <w:t>sus reformas o el que lo sustituya, por lo que se existir cambios de denominaciones o facultades durante la vigencia de la presente Ley se estará a las nuevas denominaciones y operará la sustitución de dependencias      y de facultades de pleno derecho y por ministerio de</w:t>
      </w:r>
      <w:r>
        <w:rPr>
          <w:spacing w:val="18"/>
        </w:rPr>
        <w:t> </w:t>
      </w:r>
      <w:r>
        <w:rPr>
          <w:spacing w:val="-4"/>
        </w:rPr>
        <w:t>ley.</w:t>
      </w:r>
    </w:p>
    <w:p>
      <w:pPr>
        <w:pStyle w:val="BodyText"/>
        <w:spacing w:before="3"/>
      </w:pPr>
    </w:p>
    <w:p>
      <w:pPr>
        <w:pStyle w:val="BodyText"/>
        <w:spacing w:line="247" w:lineRule="auto"/>
        <w:ind w:left="150" w:right="511" w:firstLine="397"/>
        <w:jc w:val="both"/>
      </w:pPr>
      <w:r>
        <w:rPr/>
        <w:t>Las denominaciones de los organismos públicos descentralizados del Municipio serán aquellas establecidos en los decretos u ordenamientos municipales que los</w:t>
      </w:r>
      <w:r>
        <w:rPr>
          <w:spacing w:val="26"/>
        </w:rPr>
        <w:t> </w:t>
      </w:r>
      <w:r>
        <w:rPr/>
        <w:t>establezcan.</w:t>
      </w:r>
    </w:p>
    <w:p>
      <w:pPr>
        <w:pStyle w:val="BodyText"/>
        <w:spacing w:before="4"/>
      </w:pPr>
    </w:p>
    <w:p>
      <w:pPr>
        <w:pStyle w:val="BodyText"/>
        <w:spacing w:line="247" w:lineRule="auto"/>
        <w:ind w:left="150" w:right="510" w:firstLine="397"/>
        <w:jc w:val="both"/>
      </w:pPr>
      <w:r>
        <w:rPr/>
        <w:t>En caso de duda se estará a las disposiciones administrativas de observancia general emitidas por el Ayuntamiento.</w:t>
      </w:r>
    </w:p>
    <w:p>
      <w:pPr>
        <w:pStyle w:val="BodyText"/>
        <w:spacing w:before="3"/>
      </w:pPr>
    </w:p>
    <w:p>
      <w:pPr>
        <w:pStyle w:val="BodyText"/>
        <w:spacing w:line="247" w:lineRule="auto"/>
        <w:ind w:left="150" w:right="508" w:firstLine="397"/>
        <w:jc w:val="both"/>
      </w:pPr>
      <w:r>
        <w:rPr>
          <w:b/>
        </w:rPr>
        <w:t>QUINTO.- </w:t>
      </w:r>
      <w:r>
        <w:rPr/>
        <w:t>De conformidad con los artículos 60 y 61 de la Ley de  Catastro  Municipal del Estado de  Jalisco, la determinación de las contribuciones inmobiliarias a favor de este Municipio se realizará de conformidad a los valores unitarios aprobados por el Congreso del Estado de Jalisco para el ejercicio fiscal de 2020. A</w:t>
      </w:r>
      <w:r>
        <w:rPr>
          <w:spacing w:val="27"/>
        </w:rPr>
        <w:t> </w:t>
      </w:r>
      <w:r>
        <w:rPr/>
        <w:t>falta de éstos, se prorrogará la aplicación de los valores vigentes en el ejercicio fiscal anterior.</w:t>
      </w:r>
    </w:p>
    <w:p>
      <w:pPr>
        <w:pStyle w:val="BodyText"/>
        <w:spacing w:before="2"/>
      </w:pPr>
    </w:p>
    <w:p>
      <w:pPr>
        <w:pStyle w:val="BodyText"/>
        <w:spacing w:line="247" w:lineRule="auto"/>
        <w:ind w:left="150" w:right="509" w:firstLine="397"/>
        <w:jc w:val="both"/>
      </w:pPr>
      <w:r>
        <w:rPr>
          <w:b/>
        </w:rPr>
        <w:t>SEXTO.- </w:t>
      </w:r>
      <w:r>
        <w:rPr/>
        <w:t>Las autoridades municipales deberán acatar en todo momento las  disposiciones contenidas en  el artículo 197 de la Ley de Hacienda Municipal del Estado de Jalisco respecto a  la  aplicación  de  las  sanciones y los límites mínimos y máximos establecidos para el pago de las multas,  con  la  finalidad  de eliminar la discrecionalidad en su</w:t>
      </w:r>
      <w:r>
        <w:rPr>
          <w:spacing w:val="7"/>
        </w:rPr>
        <w:t> </w:t>
      </w:r>
      <w:r>
        <w:rPr/>
        <w:t>aplicación.</w:t>
      </w:r>
    </w:p>
    <w:p>
      <w:pPr>
        <w:pStyle w:val="BodyText"/>
        <w:spacing w:before="2"/>
      </w:pPr>
    </w:p>
    <w:p>
      <w:pPr>
        <w:pStyle w:val="BodyText"/>
        <w:spacing w:line="247" w:lineRule="auto"/>
        <w:ind w:left="150" w:right="509" w:firstLine="397"/>
        <w:jc w:val="both"/>
      </w:pPr>
      <w:r>
        <w:rPr>
          <w:b/>
        </w:rPr>
        <w:t>SÉPTIMO.- </w:t>
      </w:r>
      <w:r>
        <w:rPr/>
        <w:t>A los contribuyentes que efectúen el pago total o celebren convenio de  pago  en  parcialidades, respecto de los adeudos provenientes de impuestos, contribuciones especiales, derechos o productos, podrá aplicárseles por acuerdo del Presidente Municipal el beneficio del 75% de descuento sobre    los recargos generados hasta la fecha de pago, por falta de pago oportuno en los conceptos anteriormente señalados. Este acuerdo estará supeditado al Decreto que emita el Congreso del Estado para autorizar a los Ayuntamientos a realizar descuentos sobre los recargos en contribuciones municipales para el ejercicio fiscal 2020.</w:t>
      </w:r>
    </w:p>
    <w:p>
      <w:pPr>
        <w:pStyle w:val="BodyText"/>
        <w:spacing w:before="1"/>
      </w:pPr>
    </w:p>
    <w:p>
      <w:pPr>
        <w:pStyle w:val="BodyText"/>
        <w:spacing w:line="244" w:lineRule="auto"/>
        <w:ind w:left="150" w:right="508" w:firstLine="397"/>
        <w:jc w:val="both"/>
      </w:pPr>
      <w:r>
        <w:rPr>
          <w:b/>
          <w:spacing w:val="-3"/>
        </w:rPr>
        <w:t>OCTAVO.- </w:t>
      </w:r>
      <w:r>
        <w:rPr/>
        <w:t>Las sanciones establecidas en salarios mínimos en los ordenamientos municipales vigentes  que no se encuentren incluidas en la presente Ley serán impuestas en su equivalente en unidades de medida     y</w:t>
      </w:r>
      <w:r>
        <w:rPr>
          <w:spacing w:val="1"/>
        </w:rPr>
        <w:t> </w:t>
      </w:r>
      <w:r>
        <w:rPr/>
        <w:t>actualización.</w:t>
      </w:r>
    </w:p>
    <w:p>
      <w:pPr>
        <w:spacing w:after="0" w:line="244" w:lineRule="auto"/>
        <w:jc w:val="both"/>
        <w:sectPr>
          <w:type w:val="continuous"/>
          <w:pgSz w:w="23250" w:h="15310" w:orient="landscape"/>
          <w:pgMar w:top="0" w:bottom="0" w:left="1880" w:right="1520"/>
          <w:cols w:num="2" w:equalWidth="0">
            <w:col w:w="7752" w:space="3870"/>
            <w:col w:w="822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after="0"/>
        <w:rPr>
          <w:sz w:val="26"/>
        </w:rPr>
        <w:sectPr>
          <w:headerReference w:type="default" r:id="rId146"/>
          <w:pgSz w:w="23250" w:h="15310" w:orient="landscape"/>
          <w:pgMar w:header="881" w:footer="499" w:top="1920" w:bottom="680" w:left="1880" w:right="1520"/>
        </w:sectPr>
      </w:pPr>
    </w:p>
    <w:p>
      <w:pPr>
        <w:spacing w:line="264" w:lineRule="auto" w:before="101"/>
        <w:ind w:left="2074" w:right="38" w:hanging="1"/>
        <w:jc w:val="center"/>
        <w:rPr>
          <w:rFonts w:ascii="Tahoma" w:hAnsi="Tahoma"/>
          <w:sz w:val="18"/>
        </w:rPr>
      </w:pPr>
      <w:r>
        <w:rPr>
          <w:rFonts w:ascii="Tahoma" w:hAnsi="Tahoma"/>
          <w:sz w:val="18"/>
        </w:rPr>
        <w:t>Salón de Sesiones del Congreso del Estado Guadalajara, Jalisco, 27 de noviembre de</w:t>
      </w:r>
      <w:r>
        <w:rPr>
          <w:rFonts w:ascii="Tahoma" w:hAnsi="Tahoma"/>
          <w:spacing w:val="-21"/>
          <w:sz w:val="18"/>
        </w:rPr>
        <w:t> </w:t>
      </w:r>
      <w:r>
        <w:rPr>
          <w:rFonts w:ascii="Tahoma" w:hAnsi="Tahoma"/>
          <w:sz w:val="18"/>
        </w:rPr>
        <w:t>2019</w:t>
      </w:r>
    </w:p>
    <w:p>
      <w:pPr>
        <w:pStyle w:val="BodyText"/>
        <w:rPr>
          <w:rFonts w:ascii="Tahoma"/>
          <w:sz w:val="22"/>
        </w:rPr>
      </w:pPr>
    </w:p>
    <w:p>
      <w:pPr>
        <w:pStyle w:val="BodyText"/>
        <w:spacing w:before="7"/>
        <w:rPr>
          <w:rFonts w:ascii="Tahoma"/>
          <w:sz w:val="31"/>
        </w:rPr>
      </w:pPr>
    </w:p>
    <w:p>
      <w:pPr>
        <w:spacing w:line="217" w:lineRule="exact" w:before="0"/>
        <w:ind w:left="2498" w:right="465" w:firstLine="0"/>
        <w:jc w:val="center"/>
        <w:rPr>
          <w:rFonts w:ascii="Tahoma"/>
          <w:sz w:val="18"/>
        </w:rPr>
      </w:pPr>
      <w:r>
        <w:rPr>
          <w:rFonts w:ascii="Tahoma"/>
          <w:sz w:val="18"/>
        </w:rPr>
        <w:t>Diputada Presidenta</w:t>
      </w:r>
    </w:p>
    <w:p>
      <w:pPr>
        <w:spacing w:line="217" w:lineRule="exact" w:before="0"/>
        <w:ind w:left="2499" w:right="465" w:firstLine="0"/>
        <w:jc w:val="center"/>
        <w:rPr>
          <w:rFonts w:ascii="Tahoma" w:hAnsi="Tahoma"/>
          <w:b/>
          <w:sz w:val="18"/>
        </w:rPr>
      </w:pPr>
      <w:r>
        <w:rPr>
          <w:rFonts w:ascii="Tahoma" w:hAnsi="Tahoma"/>
          <w:b/>
          <w:sz w:val="18"/>
        </w:rPr>
        <w:t>MARÍA PATRICIA MEZA NÚÑEZ</w:t>
      </w:r>
    </w:p>
    <w:p>
      <w:pPr>
        <w:spacing w:before="59"/>
        <w:ind w:left="2499" w:right="465" w:firstLine="0"/>
        <w:jc w:val="center"/>
        <w:rPr>
          <w:rFonts w:ascii="Tahoma" w:hAnsi="Tahoma"/>
          <w:sz w:val="12"/>
        </w:rPr>
      </w:pPr>
      <w:r>
        <w:rPr>
          <w:rFonts w:ascii="Tahoma" w:hAnsi="Tahoma"/>
          <w:sz w:val="12"/>
        </w:rPr>
        <w:t>(RÚBRICA)</w:t>
      </w:r>
    </w:p>
    <w:p>
      <w:pPr>
        <w:pStyle w:val="BodyText"/>
        <w:spacing w:before="4"/>
        <w:rPr>
          <w:rFonts w:ascii="Tahoma"/>
          <w:sz w:val="20"/>
        </w:rPr>
      </w:pPr>
      <w:r>
        <w:rPr/>
        <w:br w:type="column"/>
      </w:r>
      <w:r>
        <w:rPr>
          <w:rFonts w:ascii="Tahoma"/>
          <w:sz w:val="20"/>
        </w:rPr>
      </w:r>
    </w:p>
    <w:p>
      <w:pPr>
        <w:spacing w:line="278" w:lineRule="auto" w:before="0"/>
        <w:ind w:left="2074" w:right="115" w:firstLine="0"/>
        <w:jc w:val="both"/>
        <w:rPr>
          <w:b/>
          <w:sz w:val="18"/>
        </w:rPr>
      </w:pPr>
      <w:r>
        <w:rPr>
          <w:b/>
          <w:sz w:val="18"/>
        </w:rPr>
        <w:t>PROMULGACIÓN DEL DECRETO 27693/LXII/19, MEDIANTE EL CUAL SE APRUEBA LA LEY DE INGRESOS</w:t>
      </w:r>
      <w:r>
        <w:rPr>
          <w:b/>
          <w:spacing w:val="-13"/>
          <w:sz w:val="18"/>
        </w:rPr>
        <w:t> </w:t>
      </w:r>
      <w:r>
        <w:rPr>
          <w:b/>
          <w:sz w:val="18"/>
        </w:rPr>
        <w:t>DEL</w:t>
      </w:r>
      <w:r>
        <w:rPr>
          <w:b/>
          <w:spacing w:val="-16"/>
          <w:sz w:val="18"/>
        </w:rPr>
        <w:t> </w:t>
      </w:r>
      <w:r>
        <w:rPr>
          <w:b/>
          <w:sz w:val="18"/>
        </w:rPr>
        <w:t>MUNICIPIO</w:t>
      </w:r>
      <w:r>
        <w:rPr>
          <w:b/>
          <w:spacing w:val="-13"/>
          <w:sz w:val="18"/>
        </w:rPr>
        <w:t> </w:t>
      </w:r>
      <w:r>
        <w:rPr>
          <w:b/>
          <w:sz w:val="18"/>
        </w:rPr>
        <w:t>DE</w:t>
      </w:r>
      <w:r>
        <w:rPr>
          <w:b/>
          <w:spacing w:val="-13"/>
          <w:sz w:val="18"/>
        </w:rPr>
        <w:t> </w:t>
      </w:r>
      <w:r>
        <w:rPr>
          <w:b/>
          <w:sz w:val="18"/>
        </w:rPr>
        <w:t>TLAJOMULCO</w:t>
      </w:r>
      <w:r>
        <w:rPr>
          <w:b/>
          <w:spacing w:val="-13"/>
          <w:sz w:val="18"/>
        </w:rPr>
        <w:t> </w:t>
      </w:r>
      <w:r>
        <w:rPr>
          <w:b/>
          <w:sz w:val="18"/>
        </w:rPr>
        <w:t>DE</w:t>
      </w:r>
      <w:r>
        <w:rPr>
          <w:b/>
          <w:spacing w:val="-13"/>
          <w:sz w:val="18"/>
        </w:rPr>
        <w:t> </w:t>
      </w:r>
      <w:r>
        <w:rPr>
          <w:b/>
          <w:sz w:val="18"/>
        </w:rPr>
        <w:t>ZÚÑIGA,</w:t>
      </w:r>
      <w:r>
        <w:rPr>
          <w:b/>
          <w:spacing w:val="-13"/>
          <w:sz w:val="18"/>
        </w:rPr>
        <w:t> </w:t>
      </w:r>
      <w:r>
        <w:rPr>
          <w:b/>
          <w:sz w:val="18"/>
        </w:rPr>
        <w:t>JALISCO,</w:t>
      </w:r>
      <w:r>
        <w:rPr>
          <w:b/>
          <w:spacing w:val="-13"/>
          <w:sz w:val="18"/>
        </w:rPr>
        <w:t> </w:t>
      </w:r>
      <w:r>
        <w:rPr>
          <w:b/>
          <w:spacing w:val="-4"/>
          <w:sz w:val="18"/>
        </w:rPr>
        <w:t>PARA</w:t>
      </w:r>
      <w:r>
        <w:rPr>
          <w:b/>
          <w:spacing w:val="-19"/>
          <w:sz w:val="18"/>
        </w:rPr>
        <w:t> </w:t>
      </w:r>
      <w:r>
        <w:rPr>
          <w:b/>
          <w:sz w:val="18"/>
        </w:rPr>
        <w:t>EL</w:t>
      </w:r>
      <w:r>
        <w:rPr>
          <w:b/>
          <w:spacing w:val="-16"/>
          <w:sz w:val="18"/>
        </w:rPr>
        <w:t> </w:t>
      </w:r>
      <w:r>
        <w:rPr>
          <w:b/>
          <w:sz w:val="18"/>
        </w:rPr>
        <w:t>EJERCICIO</w:t>
      </w:r>
      <w:r>
        <w:rPr>
          <w:b/>
          <w:spacing w:val="-13"/>
          <w:sz w:val="18"/>
        </w:rPr>
        <w:t> </w:t>
      </w:r>
      <w:r>
        <w:rPr>
          <w:b/>
          <w:sz w:val="18"/>
        </w:rPr>
        <w:t>FISCAL 2020.</w:t>
      </w:r>
    </w:p>
    <w:p>
      <w:pPr>
        <w:pStyle w:val="BodyText"/>
        <w:spacing w:before="3"/>
        <w:rPr>
          <w:b/>
          <w:sz w:val="21"/>
        </w:rPr>
      </w:pPr>
    </w:p>
    <w:p>
      <w:pPr>
        <w:spacing w:line="249" w:lineRule="auto" w:before="1"/>
        <w:ind w:left="2074" w:right="120" w:firstLine="0"/>
        <w:jc w:val="both"/>
        <w:rPr>
          <w:sz w:val="20"/>
        </w:rPr>
      </w:pPr>
      <w:r>
        <w:rPr>
          <w:sz w:val="20"/>
        </w:rPr>
        <w:t>En</w:t>
      </w:r>
      <w:r>
        <w:rPr>
          <w:spacing w:val="-8"/>
          <w:sz w:val="20"/>
        </w:rPr>
        <w:t> </w:t>
      </w:r>
      <w:r>
        <w:rPr>
          <w:sz w:val="20"/>
        </w:rPr>
        <w:t>mérito</w:t>
      </w:r>
      <w:r>
        <w:rPr>
          <w:spacing w:val="-8"/>
          <w:sz w:val="20"/>
        </w:rPr>
        <w:t> </w:t>
      </w:r>
      <w:r>
        <w:rPr>
          <w:sz w:val="20"/>
        </w:rPr>
        <w:t>de</w:t>
      </w:r>
      <w:r>
        <w:rPr>
          <w:spacing w:val="-8"/>
          <w:sz w:val="20"/>
        </w:rPr>
        <w:t> </w:t>
      </w:r>
      <w:r>
        <w:rPr>
          <w:sz w:val="20"/>
        </w:rPr>
        <w:t>lo</w:t>
      </w:r>
      <w:r>
        <w:rPr>
          <w:spacing w:val="-8"/>
          <w:sz w:val="20"/>
        </w:rPr>
        <w:t> </w:t>
      </w:r>
      <w:r>
        <w:rPr>
          <w:sz w:val="20"/>
        </w:rPr>
        <w:t>anterior</w:t>
      </w:r>
      <w:r>
        <w:rPr>
          <w:spacing w:val="-7"/>
          <w:sz w:val="20"/>
        </w:rPr>
        <w:t> </w:t>
      </w:r>
      <w:r>
        <w:rPr>
          <w:sz w:val="20"/>
        </w:rPr>
        <w:t>y</w:t>
      </w:r>
      <w:r>
        <w:rPr>
          <w:spacing w:val="-8"/>
          <w:sz w:val="20"/>
        </w:rPr>
        <w:t> </w:t>
      </w:r>
      <w:r>
        <w:rPr>
          <w:sz w:val="20"/>
        </w:rPr>
        <w:t>con</w:t>
      </w:r>
      <w:r>
        <w:rPr>
          <w:spacing w:val="-8"/>
          <w:sz w:val="20"/>
        </w:rPr>
        <w:t> </w:t>
      </w:r>
      <w:r>
        <w:rPr>
          <w:sz w:val="20"/>
        </w:rPr>
        <w:t>fundamento</w:t>
      </w:r>
      <w:r>
        <w:rPr>
          <w:spacing w:val="-8"/>
          <w:sz w:val="20"/>
        </w:rPr>
        <w:t> </w:t>
      </w:r>
      <w:r>
        <w:rPr>
          <w:sz w:val="20"/>
        </w:rPr>
        <w:t>en</w:t>
      </w:r>
      <w:r>
        <w:rPr>
          <w:spacing w:val="-7"/>
          <w:sz w:val="20"/>
        </w:rPr>
        <w:t> </w:t>
      </w:r>
      <w:r>
        <w:rPr>
          <w:sz w:val="20"/>
        </w:rPr>
        <w:t>el</w:t>
      </w:r>
      <w:r>
        <w:rPr>
          <w:spacing w:val="-8"/>
          <w:sz w:val="20"/>
        </w:rPr>
        <w:t> </w:t>
      </w:r>
      <w:r>
        <w:rPr>
          <w:sz w:val="20"/>
        </w:rPr>
        <w:t>artículo</w:t>
      </w:r>
      <w:r>
        <w:rPr>
          <w:spacing w:val="-8"/>
          <w:sz w:val="20"/>
        </w:rPr>
        <w:t> </w:t>
      </w:r>
      <w:r>
        <w:rPr>
          <w:sz w:val="20"/>
        </w:rPr>
        <w:t>50</w:t>
      </w:r>
      <w:r>
        <w:rPr>
          <w:spacing w:val="-8"/>
          <w:sz w:val="20"/>
        </w:rPr>
        <w:t> </w:t>
      </w:r>
      <w:r>
        <w:rPr>
          <w:sz w:val="20"/>
        </w:rPr>
        <w:t>fracción</w:t>
      </w:r>
      <w:r>
        <w:rPr>
          <w:spacing w:val="-8"/>
          <w:sz w:val="20"/>
        </w:rPr>
        <w:t> </w:t>
      </w:r>
      <w:r>
        <w:rPr>
          <w:sz w:val="20"/>
        </w:rPr>
        <w:t>I</w:t>
      </w:r>
      <w:r>
        <w:rPr>
          <w:spacing w:val="-7"/>
          <w:sz w:val="20"/>
        </w:rPr>
        <w:t> </w:t>
      </w:r>
      <w:r>
        <w:rPr>
          <w:sz w:val="20"/>
        </w:rPr>
        <w:t>de</w:t>
      </w:r>
      <w:r>
        <w:rPr>
          <w:spacing w:val="-8"/>
          <w:sz w:val="20"/>
        </w:rPr>
        <w:t> </w:t>
      </w:r>
      <w:r>
        <w:rPr>
          <w:sz w:val="20"/>
        </w:rPr>
        <w:t>la</w:t>
      </w:r>
      <w:r>
        <w:rPr>
          <w:spacing w:val="-8"/>
          <w:sz w:val="20"/>
        </w:rPr>
        <w:t> </w:t>
      </w:r>
      <w:r>
        <w:rPr>
          <w:sz w:val="20"/>
        </w:rPr>
        <w:t>Constitución</w:t>
      </w:r>
      <w:r>
        <w:rPr>
          <w:spacing w:val="-8"/>
          <w:sz w:val="20"/>
        </w:rPr>
        <w:t> </w:t>
      </w:r>
      <w:r>
        <w:rPr>
          <w:sz w:val="20"/>
        </w:rPr>
        <w:t>Política del</w:t>
      </w:r>
      <w:r>
        <w:rPr>
          <w:spacing w:val="-10"/>
          <w:sz w:val="20"/>
        </w:rPr>
        <w:t> </w:t>
      </w:r>
      <w:r>
        <w:rPr>
          <w:sz w:val="20"/>
        </w:rPr>
        <w:t>Estado</w:t>
      </w:r>
      <w:r>
        <w:rPr>
          <w:spacing w:val="-9"/>
          <w:sz w:val="20"/>
        </w:rPr>
        <w:t> </w:t>
      </w:r>
      <w:r>
        <w:rPr>
          <w:sz w:val="20"/>
        </w:rPr>
        <w:t>de</w:t>
      </w:r>
      <w:r>
        <w:rPr>
          <w:spacing w:val="-9"/>
          <w:sz w:val="20"/>
        </w:rPr>
        <w:t> </w:t>
      </w:r>
      <w:r>
        <w:rPr>
          <w:sz w:val="20"/>
        </w:rPr>
        <w:t>Jalisco,</w:t>
      </w:r>
      <w:r>
        <w:rPr>
          <w:spacing w:val="-9"/>
          <w:sz w:val="20"/>
        </w:rPr>
        <w:t> </w:t>
      </w:r>
      <w:r>
        <w:rPr>
          <w:sz w:val="20"/>
        </w:rPr>
        <w:t>mando</w:t>
      </w:r>
      <w:r>
        <w:rPr>
          <w:spacing w:val="-9"/>
          <w:sz w:val="20"/>
        </w:rPr>
        <w:t> </w:t>
      </w:r>
      <w:r>
        <w:rPr>
          <w:sz w:val="20"/>
        </w:rPr>
        <w:t>se</w:t>
      </w:r>
      <w:r>
        <w:rPr>
          <w:spacing w:val="-9"/>
          <w:sz w:val="20"/>
        </w:rPr>
        <w:t> </w:t>
      </w:r>
      <w:r>
        <w:rPr>
          <w:sz w:val="20"/>
        </w:rPr>
        <w:t>imprima,</w:t>
      </w:r>
      <w:r>
        <w:rPr>
          <w:spacing w:val="-9"/>
          <w:sz w:val="20"/>
        </w:rPr>
        <w:t> </w:t>
      </w:r>
      <w:r>
        <w:rPr>
          <w:sz w:val="20"/>
        </w:rPr>
        <w:t>publique,</w:t>
      </w:r>
      <w:r>
        <w:rPr>
          <w:spacing w:val="-9"/>
          <w:sz w:val="20"/>
        </w:rPr>
        <w:t> </w:t>
      </w:r>
      <w:r>
        <w:rPr>
          <w:sz w:val="20"/>
        </w:rPr>
        <w:t>divulgue</w:t>
      </w:r>
      <w:r>
        <w:rPr>
          <w:spacing w:val="-9"/>
          <w:sz w:val="20"/>
        </w:rPr>
        <w:t> </w:t>
      </w:r>
      <w:r>
        <w:rPr>
          <w:sz w:val="20"/>
        </w:rPr>
        <w:t>y</w:t>
      </w:r>
      <w:r>
        <w:rPr>
          <w:spacing w:val="-9"/>
          <w:sz w:val="20"/>
        </w:rPr>
        <w:t> </w:t>
      </w:r>
      <w:r>
        <w:rPr>
          <w:sz w:val="20"/>
        </w:rPr>
        <w:t>se</w:t>
      </w:r>
      <w:r>
        <w:rPr>
          <w:spacing w:val="-9"/>
          <w:sz w:val="20"/>
        </w:rPr>
        <w:t> </w:t>
      </w:r>
      <w:r>
        <w:rPr>
          <w:sz w:val="20"/>
        </w:rPr>
        <w:t>le</w:t>
      </w:r>
      <w:r>
        <w:rPr>
          <w:spacing w:val="-9"/>
          <w:sz w:val="20"/>
        </w:rPr>
        <w:t> </w:t>
      </w:r>
      <w:r>
        <w:rPr>
          <w:sz w:val="20"/>
        </w:rPr>
        <w:t>dé</w:t>
      </w:r>
      <w:r>
        <w:rPr>
          <w:spacing w:val="-9"/>
          <w:sz w:val="20"/>
        </w:rPr>
        <w:t> </w:t>
      </w:r>
      <w:r>
        <w:rPr>
          <w:sz w:val="20"/>
        </w:rPr>
        <w:t>el</w:t>
      </w:r>
      <w:r>
        <w:rPr>
          <w:spacing w:val="-9"/>
          <w:sz w:val="20"/>
        </w:rPr>
        <w:t> </w:t>
      </w:r>
      <w:r>
        <w:rPr>
          <w:sz w:val="20"/>
        </w:rPr>
        <w:t>debido</w:t>
      </w:r>
      <w:r>
        <w:rPr>
          <w:spacing w:val="-10"/>
          <w:sz w:val="20"/>
        </w:rPr>
        <w:t> </w:t>
      </w:r>
      <w:r>
        <w:rPr>
          <w:sz w:val="20"/>
        </w:rPr>
        <w:t>cumplimiento.</w:t>
      </w:r>
    </w:p>
    <w:p>
      <w:pPr>
        <w:pStyle w:val="BodyText"/>
        <w:rPr>
          <w:sz w:val="21"/>
        </w:rPr>
      </w:pPr>
    </w:p>
    <w:p>
      <w:pPr>
        <w:spacing w:line="249" w:lineRule="auto" w:before="0"/>
        <w:ind w:left="2074" w:right="119" w:firstLine="0"/>
        <w:jc w:val="both"/>
        <w:rPr>
          <w:sz w:val="20"/>
        </w:rPr>
      </w:pPr>
      <w:r>
        <w:rPr>
          <w:sz w:val="20"/>
        </w:rPr>
        <w:t>Emitido en Palacio de Gobierno, sede del Poder Ejecutivo del Estado Libre y Soberano de Jalisco, al día 13 (trece) del mes de diciembre de 2019 (dos mil diecinueve).</w:t>
      </w:r>
    </w:p>
    <w:p>
      <w:pPr>
        <w:spacing w:after="0" w:line="249" w:lineRule="auto"/>
        <w:jc w:val="both"/>
        <w:rPr>
          <w:sz w:val="20"/>
        </w:rPr>
        <w:sectPr>
          <w:type w:val="continuous"/>
          <w:pgSz w:w="23250" w:h="15310" w:orient="landscape"/>
          <w:pgMar w:top="0" w:bottom="0" w:left="1880" w:right="1520"/>
          <w:cols w:num="2" w:equalWidth="0">
            <w:col w:w="5828" w:space="3482"/>
            <w:col w:w="10540"/>
          </w:cols>
        </w:sectPr>
      </w:pPr>
    </w:p>
    <w:p>
      <w:pPr>
        <w:pStyle w:val="BodyText"/>
        <w:rPr>
          <w:sz w:val="20"/>
        </w:rPr>
      </w:pPr>
    </w:p>
    <w:p>
      <w:pPr>
        <w:spacing w:after="0"/>
        <w:rPr>
          <w:sz w:val="20"/>
        </w:rPr>
        <w:sectPr>
          <w:type w:val="continuous"/>
          <w:pgSz w:w="23250" w:h="15310" w:orient="landscape"/>
          <w:pgMar w:top="0" w:bottom="0" w:left="1880" w:right="1520"/>
        </w:sectPr>
      </w:pPr>
    </w:p>
    <w:p>
      <w:pPr>
        <w:pStyle w:val="BodyText"/>
        <w:spacing w:before="5"/>
        <w:rPr>
          <w:sz w:val="20"/>
        </w:rPr>
      </w:pPr>
    </w:p>
    <w:p>
      <w:pPr>
        <w:spacing w:line="217" w:lineRule="exact" w:before="1"/>
        <w:ind w:left="411" w:right="19" w:firstLine="0"/>
        <w:jc w:val="center"/>
        <w:rPr>
          <w:rFonts w:ascii="Tahoma"/>
          <w:sz w:val="18"/>
        </w:rPr>
      </w:pPr>
      <w:r>
        <w:rPr>
          <w:rFonts w:ascii="Tahoma"/>
          <w:sz w:val="18"/>
        </w:rPr>
        <w:t>Diputada Secretaria</w:t>
      </w:r>
    </w:p>
    <w:p>
      <w:pPr>
        <w:spacing w:line="217" w:lineRule="exact" w:before="0"/>
        <w:ind w:left="411" w:right="20" w:firstLine="0"/>
        <w:jc w:val="center"/>
        <w:rPr>
          <w:rFonts w:ascii="Tahoma" w:hAnsi="Tahoma"/>
          <w:b/>
          <w:sz w:val="18"/>
        </w:rPr>
      </w:pPr>
      <w:r>
        <w:rPr>
          <w:rFonts w:ascii="Tahoma" w:hAnsi="Tahoma"/>
          <w:b/>
          <w:sz w:val="18"/>
        </w:rPr>
        <w:t>MARÍA ESTHER LÓPEZ CHÁVEZ</w:t>
      </w:r>
    </w:p>
    <w:p>
      <w:pPr>
        <w:spacing w:before="58"/>
        <w:ind w:left="411" w:right="18" w:firstLine="0"/>
        <w:jc w:val="center"/>
        <w:rPr>
          <w:rFonts w:ascii="Tahoma" w:hAnsi="Tahoma"/>
          <w:sz w:val="12"/>
        </w:rPr>
      </w:pPr>
      <w:r>
        <w:rPr>
          <w:rFonts w:ascii="Tahoma" w:hAnsi="Tahoma"/>
          <w:sz w:val="12"/>
        </w:rPr>
        <w:t>(RÚBRICA)</w:t>
      </w:r>
    </w:p>
    <w:p>
      <w:pPr>
        <w:pStyle w:val="BodyText"/>
        <w:spacing w:before="6"/>
        <w:rPr>
          <w:rFonts w:ascii="Tahoma"/>
          <w:sz w:val="19"/>
        </w:rPr>
      </w:pPr>
      <w:r>
        <w:rPr/>
        <w:br w:type="column"/>
      </w:r>
      <w:r>
        <w:rPr>
          <w:rFonts w:ascii="Tahoma"/>
          <w:sz w:val="19"/>
        </w:rPr>
      </w:r>
    </w:p>
    <w:p>
      <w:pPr>
        <w:spacing w:line="217" w:lineRule="exact" w:before="0"/>
        <w:ind w:left="411" w:right="19" w:firstLine="0"/>
        <w:jc w:val="center"/>
        <w:rPr>
          <w:rFonts w:ascii="Tahoma"/>
          <w:sz w:val="18"/>
        </w:rPr>
      </w:pPr>
      <w:r>
        <w:rPr>
          <w:rFonts w:ascii="Tahoma"/>
          <w:sz w:val="18"/>
        </w:rPr>
        <w:t>Diputado Secretario</w:t>
      </w:r>
    </w:p>
    <w:p>
      <w:pPr>
        <w:spacing w:line="217" w:lineRule="exact" w:before="0"/>
        <w:ind w:left="411" w:right="20" w:firstLine="0"/>
        <w:jc w:val="center"/>
        <w:rPr>
          <w:rFonts w:ascii="Tahoma" w:hAnsi="Tahoma"/>
          <w:b/>
          <w:sz w:val="18"/>
        </w:rPr>
      </w:pPr>
      <w:r>
        <w:rPr>
          <w:rFonts w:ascii="Tahoma" w:hAnsi="Tahoma"/>
          <w:b/>
          <w:sz w:val="18"/>
        </w:rPr>
        <w:t>JORGE EDUARDO GONZÁLEZ ARANA</w:t>
      </w:r>
    </w:p>
    <w:p>
      <w:pPr>
        <w:spacing w:before="59"/>
        <w:ind w:left="411" w:right="18" w:firstLine="0"/>
        <w:jc w:val="center"/>
        <w:rPr>
          <w:rFonts w:ascii="Tahoma" w:hAnsi="Tahoma"/>
          <w:sz w:val="12"/>
        </w:rPr>
      </w:pPr>
      <w:r>
        <w:rPr>
          <w:rFonts w:ascii="Tahoma" w:hAnsi="Tahoma"/>
          <w:sz w:val="12"/>
        </w:rPr>
        <w:t>(RÚBRICA)</w:t>
      </w:r>
    </w:p>
    <w:p>
      <w:pPr>
        <w:pStyle w:val="BodyText"/>
        <w:rPr>
          <w:rFonts w:ascii="Tahoma"/>
          <w:sz w:val="22"/>
        </w:rPr>
      </w:pPr>
      <w:r>
        <w:rPr/>
        <w:br w:type="column"/>
      </w:r>
      <w:r>
        <w:rPr>
          <w:rFonts w:ascii="Tahoma"/>
          <w:sz w:val="22"/>
        </w:rPr>
      </w:r>
    </w:p>
    <w:p>
      <w:pPr>
        <w:pStyle w:val="BodyText"/>
        <w:rPr>
          <w:rFonts w:ascii="Tahoma"/>
          <w:sz w:val="22"/>
        </w:rPr>
      </w:pPr>
    </w:p>
    <w:p>
      <w:pPr>
        <w:pStyle w:val="BodyText"/>
        <w:rPr>
          <w:rFonts w:ascii="Tahoma"/>
          <w:sz w:val="22"/>
        </w:rPr>
      </w:pPr>
    </w:p>
    <w:p>
      <w:pPr>
        <w:pStyle w:val="Heading2"/>
        <w:spacing w:before="182"/>
        <w:ind w:left="415" w:right="2373"/>
      </w:pPr>
      <w:r>
        <w:rPr/>
        <w:t>ING. ENRIQUE ALFARO RAMÍREZ</w:t>
      </w:r>
    </w:p>
    <w:p>
      <w:pPr>
        <w:spacing w:before="23"/>
        <w:ind w:left="415" w:right="2375" w:firstLine="0"/>
        <w:jc w:val="center"/>
        <w:rPr>
          <w:rFonts w:ascii="Tahoma"/>
          <w:sz w:val="18"/>
        </w:rPr>
      </w:pPr>
      <w:r>
        <w:rPr>
          <w:rFonts w:ascii="Tahoma"/>
          <w:sz w:val="18"/>
        </w:rPr>
        <w:t>Gobernador Constitucional del Estado de Jalisco</w:t>
      </w:r>
    </w:p>
    <w:p>
      <w:pPr>
        <w:spacing w:before="83"/>
        <w:ind w:left="415" w:right="2372" w:firstLine="0"/>
        <w:jc w:val="center"/>
        <w:rPr>
          <w:rFonts w:ascii="Tahoma" w:hAnsi="Tahoma"/>
          <w:sz w:val="12"/>
        </w:rPr>
      </w:pPr>
      <w:r>
        <w:rPr>
          <w:rFonts w:ascii="Tahoma" w:hAnsi="Tahoma"/>
          <w:sz w:val="12"/>
        </w:rPr>
        <w:t>(RÚBRICA)</w:t>
      </w:r>
    </w:p>
    <w:p>
      <w:pPr>
        <w:pStyle w:val="BodyText"/>
        <w:rPr>
          <w:rFonts w:ascii="Tahoma"/>
          <w:sz w:val="14"/>
        </w:rPr>
      </w:pPr>
    </w:p>
    <w:p>
      <w:pPr>
        <w:pStyle w:val="Heading2"/>
        <w:spacing w:before="106"/>
        <w:ind w:left="415" w:right="2375"/>
      </w:pPr>
      <w:r>
        <w:rPr/>
        <w:t>MTRO. JUAN ENRIQUE IBARRA PEDROZA</w:t>
      </w:r>
    </w:p>
    <w:p>
      <w:pPr>
        <w:spacing w:before="23"/>
        <w:ind w:left="415" w:right="2374" w:firstLine="0"/>
        <w:jc w:val="center"/>
        <w:rPr>
          <w:rFonts w:ascii="Tahoma"/>
          <w:sz w:val="18"/>
        </w:rPr>
      </w:pPr>
      <w:r>
        <w:rPr>
          <w:rFonts w:ascii="Tahoma"/>
          <w:sz w:val="18"/>
        </w:rPr>
        <w:t>Secretario General de Gobierno</w:t>
      </w:r>
    </w:p>
    <w:p>
      <w:pPr>
        <w:spacing w:before="83"/>
        <w:ind w:left="415" w:right="2372" w:firstLine="0"/>
        <w:jc w:val="center"/>
        <w:rPr>
          <w:rFonts w:ascii="Tahoma" w:hAnsi="Tahoma"/>
          <w:sz w:val="12"/>
        </w:rPr>
      </w:pPr>
      <w:r>
        <w:rPr>
          <w:rFonts w:ascii="Tahoma" w:hAnsi="Tahoma"/>
          <w:sz w:val="12"/>
        </w:rPr>
        <w:t>(RÚBRICA)</w:t>
      </w:r>
    </w:p>
    <w:p>
      <w:pPr>
        <w:spacing w:after="0"/>
        <w:jc w:val="center"/>
        <w:rPr>
          <w:rFonts w:ascii="Tahoma" w:hAnsi="Tahoma"/>
          <w:sz w:val="12"/>
        </w:rPr>
        <w:sectPr>
          <w:type w:val="continuous"/>
          <w:pgSz w:w="23250" w:h="15310" w:orient="landscape"/>
          <w:pgMar w:top="0" w:bottom="0" w:left="1880" w:right="1520"/>
          <w:cols w:num="3" w:equalWidth="0">
            <w:col w:w="3276" w:space="654"/>
            <w:col w:w="3754" w:space="5538"/>
            <w:col w:w="6628"/>
          </w:cols>
        </w:sectPr>
      </w:pPr>
    </w:p>
    <w:p>
      <w:pPr>
        <w:pStyle w:val="BodyText"/>
        <w:ind w:left="15120"/>
        <w:rPr>
          <w:rFonts w:ascii="Tahoma"/>
          <w:sz w:val="20"/>
        </w:rPr>
      </w:pPr>
      <w:r>
        <w:rPr>
          <w:rFonts w:ascii="Tahoma"/>
          <w:sz w:val="20"/>
        </w:rPr>
        <w:drawing>
          <wp:inline distT="0" distB="0" distL="0" distR="0">
            <wp:extent cx="548541" cy="771525"/>
            <wp:effectExtent l="0" t="0" r="0" b="0"/>
            <wp:docPr id="29" name="image43.png"/>
            <wp:cNvGraphicFramePr>
              <a:graphicFrameLocks noChangeAspect="1"/>
            </wp:cNvGraphicFramePr>
            <a:graphic>
              <a:graphicData uri="http://schemas.openxmlformats.org/drawingml/2006/picture">
                <pic:pic>
                  <pic:nvPicPr>
                    <pic:cNvPr id="30" name="image43.png"/>
                    <pic:cNvPicPr/>
                  </pic:nvPicPr>
                  <pic:blipFill>
                    <a:blip r:embed="rId149" cstate="print"/>
                    <a:stretch>
                      <a:fillRect/>
                    </a:stretch>
                  </pic:blipFill>
                  <pic:spPr>
                    <a:xfrm>
                      <a:off x="0" y="0"/>
                      <a:ext cx="548541" cy="771525"/>
                    </a:xfrm>
                    <a:prstGeom prst="rect">
                      <a:avLst/>
                    </a:prstGeom>
                  </pic:spPr>
                </pic:pic>
              </a:graphicData>
            </a:graphic>
          </wp:inline>
        </w:drawing>
      </w:r>
      <w:r>
        <w:rPr>
          <w:rFonts w:ascii="Tahoma"/>
          <w:sz w:val="20"/>
        </w:rPr>
      </w:r>
    </w:p>
    <w:p>
      <w:pPr>
        <w:pStyle w:val="BodyText"/>
        <w:spacing w:before="2"/>
        <w:rPr>
          <w:rFonts w:ascii="Tahoma"/>
          <w:sz w:val="16"/>
        </w:rPr>
      </w:pPr>
      <w:r>
        <w:rPr/>
        <w:drawing>
          <wp:anchor distT="0" distB="0" distL="0" distR="0" allowOverlap="1" layoutInCell="1" locked="0" behindDoc="0" simplePos="0" relativeHeight="53">
            <wp:simplePos x="0" y="0"/>
            <wp:positionH relativeFrom="page">
              <wp:posOffset>9830117</wp:posOffset>
            </wp:positionH>
            <wp:positionV relativeFrom="paragraph">
              <wp:posOffset>152482</wp:posOffset>
            </wp:positionV>
            <wp:extent cx="228551" cy="135350"/>
            <wp:effectExtent l="0" t="0" r="0" b="0"/>
            <wp:wrapTopAndBottom/>
            <wp:docPr id="31" name="image44.png"/>
            <wp:cNvGraphicFramePr>
              <a:graphicFrameLocks noChangeAspect="1"/>
            </wp:cNvGraphicFramePr>
            <a:graphic>
              <a:graphicData uri="http://schemas.openxmlformats.org/drawingml/2006/picture">
                <pic:pic>
                  <pic:nvPicPr>
                    <pic:cNvPr id="32" name="image44.png"/>
                    <pic:cNvPicPr/>
                  </pic:nvPicPr>
                  <pic:blipFill>
                    <a:blip r:embed="rId150" cstate="print"/>
                    <a:stretch>
                      <a:fillRect/>
                    </a:stretch>
                  </pic:blipFill>
                  <pic:spPr>
                    <a:xfrm>
                      <a:off x="0" y="0"/>
                      <a:ext cx="228551" cy="135350"/>
                    </a:xfrm>
                    <a:prstGeom prst="rect">
                      <a:avLst/>
                    </a:prstGeom>
                  </pic:spPr>
                </pic:pic>
              </a:graphicData>
            </a:graphic>
          </wp:anchor>
        </w:drawing>
      </w:r>
      <w:r>
        <w:rPr/>
        <w:pict>
          <v:group style="position:absolute;margin-left:797.19989pt;margin-top:11.7301pt;width:67.1pt;height:11.3pt;mso-position-horizontal-relative:page;mso-position-vertical-relative:paragraph;z-index:-251602944;mso-wrap-distance-left:0;mso-wrap-distance-right:0" coordorigin="15944,235" coordsize="1342,226">
            <v:shape style="position:absolute;left:15944;top:240;width:169;height:215" coordorigin="15944,240" coordsize="169,215" path="m16111,240l15946,240,15944,242,15944,453,15946,455,16111,455,16113,453,16113,411,16111,409,16002,409,16002,371,16094,371,16097,369,16097,328,16094,326,16002,326,16002,287,16111,287,16113,284,16113,242,16111,240xe" filled="true" fillcolor="#7d868c" stroked="false">
              <v:path arrowok="t"/>
              <v:fill opacity="29491f" type="solid"/>
            </v:shape>
            <v:shape style="position:absolute;left:16133;top:234;width:196;height:226" coordorigin="16134,235" coordsize="196,226" path="m16189,386l16136,386,16134,389,16134,394,16138,408,16145,421,16154,432,16167,442,16182,450,16198,456,16216,459,16235,460,16255,459,16273,456,16289,450,16303,441,16314,431,16322,420,16324,415,16225,415,16216,413,16201,404,16196,399,16193,392,16192,388,16189,386xm16231,235l16212,236,16195,239,16180,245,16167,253,16156,264,16148,275,16144,288,16142,302,16142,317,16145,329,16157,347,16165,354,16183,362,16193,365,16214,371,16224,373,16243,375,16250,378,16262,385,16265,390,16265,402,16263,406,16252,413,16245,415,16324,415,16327,406,16329,392,16328,378,16326,367,16313,349,16306,343,16288,335,16278,332,16257,326,16247,324,16229,321,16221,319,16209,311,16206,306,16206,293,16209,289,16219,282,16226,280,16320,280,16315,271,16306,260,16294,251,16280,244,16265,239,16249,236,16231,235xm16320,280l16251,280,16261,286,16266,299,16268,302,16271,304,16322,304,16324,303,16326,301,16327,299,16326,297,16322,283,16320,280xe" filled="true" fillcolor="#7d868c" stroked="false">
              <v:path arrowok="t"/>
              <v:fill opacity="29491f" type="solid"/>
            </v:shape>
            <v:shape style="position:absolute;left:16348;top:240;width:197;height:215" coordorigin="16349,240" coordsize="197,215" path="m16476,288l16418,288,16418,453,16420,455,16473,455,16476,453,16476,288xm16542,240l16351,240,16349,242,16349,286,16351,288,16542,288,16545,286,16545,242,16542,240xe" filled="true" fillcolor="#7d868c" stroked="false">
              <v:path arrowok="t"/>
              <v:fill opacity="29491f" type="solid"/>
            </v:shape>
            <v:shape style="position:absolute;left:16554;top:240;width:239;height:215" coordorigin="16554,240" coordsize="239,215" path="m16699,240l16648,240,16645,242,16644,245,16555,447,16554,449,16554,451,16556,454,16558,455,16612,455,16614,453,16616,449,16629,417,16779,417,16759,372,16647,372,16673,306,16730,306,16704,245,16702,242,16699,240xm16779,417l16718,417,16731,450,16733,453,16735,455,16789,455,16791,454,16793,451,16793,449,16792,447,16779,417xm16730,306l16673,306,16700,372,16759,372,16730,306xe" filled="true" fillcolor="#7d868c" stroked="false">
              <v:path arrowok="t"/>
              <v:fill opacity="29491f" type="solid"/>
            </v:shape>
            <v:shape style="position:absolute;left:16812;top:240;width:211;height:216" coordorigin="16813,240" coordsize="211,216" path="m16902,240l16815,240,16813,242,16813,453,16815,455,16902,455,16929,453,16952,448,16973,439,16990,426,17005,410,17007,406,16871,406,16871,289,17007,289,17005,285,16990,269,16973,256,16952,247,16929,242,16902,240xm17007,289l16900,289,16914,290,16926,293,16937,298,16946,305,16954,314,16959,324,16963,335,16964,348,16963,360,16959,371,16954,381,16946,390,16937,397,16926,402,16914,405,16900,406,17007,406,17015,392,17021,371,17023,348,17021,324,17015,303,17007,289xe" filled="true" fillcolor="#7d868c" stroked="false">
              <v:path arrowok="t"/>
              <v:fill opacity="29491f" type="solid"/>
            </v:shape>
            <v:shape style="position:absolute;left:17047;top:234;width:238;height:226" coordorigin="17048,235" coordsize="238,226" path="m17166,235l17141,237,17118,243,17098,253,17080,266,17066,283,17056,302,17050,324,17048,348,17050,371,17056,393,17066,412,17080,429,17098,443,17118,453,17141,458,17166,460,17191,458,17214,453,17234,443,17252,429,17266,412,17268,410,17166,410,17154,409,17142,406,17132,400,17123,393,17116,383,17111,373,17108,361,17107,348,17108,334,17111,323,17116,312,17123,303,17132,295,17142,290,17154,286,17166,285,17268,285,17266,283,17252,266,17234,253,17214,243,17191,237,17166,235xm17268,285l17166,285,17179,286,17190,290,17200,295,17209,303,17217,312,17222,323,17225,334,17226,348,17225,361,17222,373,17217,383,17209,393,17200,400,17190,406,17179,409,17166,410,17268,410,17277,393,17283,371,17285,348,17283,324,17277,302,17268,285xe" filled="true" fillcolor="#7d868c" stroked="false">
              <v:path arrowok="t"/>
              <v:fill opacity="29491f" type="solid"/>
            </v:shape>
            <w10:wrap type="topAndBottom"/>
          </v:group>
        </w:pict>
      </w:r>
      <w:r>
        <w:rPr/>
        <w:drawing>
          <wp:anchor distT="0" distB="0" distL="0" distR="0" allowOverlap="1" layoutInCell="1" locked="0" behindDoc="0" simplePos="0" relativeHeight="55">
            <wp:simplePos x="0" y="0"/>
            <wp:positionH relativeFrom="page">
              <wp:posOffset>11043469</wp:posOffset>
            </wp:positionH>
            <wp:positionV relativeFrom="paragraph">
              <wp:posOffset>152474</wp:posOffset>
            </wp:positionV>
            <wp:extent cx="257351" cy="135350"/>
            <wp:effectExtent l="0" t="0" r="0" b="0"/>
            <wp:wrapTopAndBottom/>
            <wp:docPr id="33" name="image45.png"/>
            <wp:cNvGraphicFramePr>
              <a:graphicFrameLocks noChangeAspect="1"/>
            </wp:cNvGraphicFramePr>
            <a:graphic>
              <a:graphicData uri="http://schemas.openxmlformats.org/drawingml/2006/picture">
                <pic:pic>
                  <pic:nvPicPr>
                    <pic:cNvPr id="34" name="image45.png"/>
                    <pic:cNvPicPr/>
                  </pic:nvPicPr>
                  <pic:blipFill>
                    <a:blip r:embed="rId151" cstate="print"/>
                    <a:stretch>
                      <a:fillRect/>
                    </a:stretch>
                  </pic:blipFill>
                  <pic:spPr>
                    <a:xfrm>
                      <a:off x="0" y="0"/>
                      <a:ext cx="257351" cy="135350"/>
                    </a:xfrm>
                    <a:prstGeom prst="rect">
                      <a:avLst/>
                    </a:prstGeom>
                  </pic:spPr>
                </pic:pic>
              </a:graphicData>
            </a:graphic>
          </wp:anchor>
        </w:drawing>
      </w:r>
      <w:r>
        <w:rPr/>
        <w:pict>
          <v:group style="position:absolute;margin-left:894.689514pt;margin-top:11.7301pt;width:74.9pt;height:11.35pt;mso-position-horizontal-relative:page;mso-position-vertical-relative:paragraph;z-index:-251600896;mso-wrap-distance-left:0;mso-wrap-distance-right:0" coordorigin="17894,235" coordsize="1498,227">
            <v:shape style="position:absolute;left:17893;top:240;width:184;height:221" coordorigin="17894,240" coordsize="184,221" path="m17949,380l17896,380,17894,383,17894,388,17898,404,17903,418,17912,430,17922,441,17935,450,17949,456,17965,459,17983,461,18005,459,18024,455,18040,448,18053,437,18064,425,18071,411,17977,411,17969,409,17958,400,17954,394,17952,387,17951,382,17949,380xm18075,240l17929,240,17926,242,17926,286,17929,288,18019,288,18019,385,18016,394,18004,407,17996,411,18071,411,18072,409,18076,391,18078,371,18078,242,18075,240xe" filled="true" fillcolor="#7d868c" stroked="false">
              <v:path arrowok="t"/>
              <v:fill opacity="29491f" type="solid"/>
            </v:shape>
            <v:shape style="position:absolute;left:18094;top:240;width:239;height:215" coordorigin="18095,240" coordsize="239,215" path="m18240,240l18189,240,18186,242,18184,245,18096,447,18095,449,18095,451,18097,454,18099,455,18152,455,18155,453,18157,449,18170,417,18320,417,18300,372,18187,372,18214,306,18271,306,18244,245,18243,242,18240,240xm18320,417l18259,417,18272,450,18273,453,18276,455,18330,455,18331,454,18333,451,18333,449,18332,447,18320,417xm18271,306l18214,306,18241,372,18300,372,18271,306xe" filled="true" fillcolor="#7d868c" stroked="false">
              <v:path arrowok="t"/>
              <v:fill opacity="29491f" type="solid"/>
            </v:shape>
            <v:shape style="position:absolute;left:18353;top:240;width:167;height:215" coordorigin="18354,240" coordsize="167,215" path="m18409,240l18356,240,18354,242,18354,453,18356,455,18517,455,18520,453,18520,410,18517,408,18412,408,18412,242,18409,240xe" filled="true" fillcolor="#7d868c" stroked="false">
              <v:path arrowok="t"/>
              <v:fill opacity="29491f" type="solid"/>
            </v:shape>
            <v:shape style="position:absolute;left:18534;top:240;width:127;height:215" coordorigin="18534,240" coordsize="127,215" path="m18659,407l18537,407,18534,409,18534,453,18537,455,18659,455,18661,453,18661,409,18659,407xm18627,288l18569,288,18569,407,18627,407,18627,288xm18659,240l18537,240,18534,242,18534,286,18537,288,18659,288,18661,286,18661,242,18659,240xe" filled="true" fillcolor="#7d868c" stroked="false">
              <v:path arrowok="t"/>
              <v:fill opacity="29491f" type="solid"/>
            </v:shape>
            <v:shape style="position:absolute;left:18679;top:234;width:196;height:226" coordorigin="18679,235" coordsize="196,226" path="m18735,386l18682,386,18679,389,18680,394,18684,408,18691,421,18700,432,18713,442,18728,450,18744,456,18762,459,18781,460,18801,459,18819,456,18835,450,18849,441,18860,431,18868,420,18870,415,18771,415,18762,413,18747,404,18742,399,18739,392,18738,388,18735,386xm18777,235l18758,236,18741,239,18726,245,18713,253,18702,264,18694,275,18690,288,18688,302,18688,317,18691,329,18703,347,18711,354,18729,362,18739,365,18760,371,18770,373,18789,375,18796,378,18808,385,18811,390,18811,402,18809,406,18798,413,18791,415,18870,415,18873,406,18875,392,18874,378,18872,367,18859,349,18852,343,18834,335,18824,332,18803,326,18793,324,18775,321,18767,319,18755,311,18752,306,18752,293,18755,289,18765,282,18772,280,18866,280,18861,271,18852,260,18840,251,18826,244,18811,239,18795,236,18777,235xm18866,280l18797,280,18807,286,18812,299,18814,302,18817,304,18868,304,18870,303,18872,301,18873,299,18872,297,18868,283,18866,280xe" filled="true" fillcolor="#7d868c" stroked="false">
              <v:path arrowok="t"/>
              <v:fill opacity="29491f" type="solid"/>
            </v:shape>
            <v:shape style="position:absolute;left:18900;top:234;width:231;height:226" coordorigin="18900,235" coordsize="231,226" path="m19017,235l18992,237,18969,242,18949,252,18932,266,18918,282,18908,302,18902,323,18900,348,18902,372,18908,393,18918,413,18932,429,18949,443,18969,453,18992,458,19017,460,19039,459,19058,455,19076,448,19092,438,19105,425,19116,411,19117,409,19018,409,19005,408,18994,405,18984,400,18975,392,18968,383,18963,373,18960,361,18959,348,18960,334,18963,322,18968,312,18975,303,18984,295,18994,290,19005,287,19018,286,19117,286,19116,284,19105,270,19092,257,19076,247,19058,240,19038,236,19017,235xm19128,368l19073,368,19070,370,19069,374,19065,385,19059,394,19041,406,19030,409,19117,409,19124,394,19129,375,19130,370,19128,368xm19117,286l19030,286,19041,289,19059,301,19065,310,19069,321,19070,325,19073,327,19128,327,19130,325,19129,320,19124,301,19117,286xe" filled="true" fillcolor="#7d868c" stroked="false">
              <v:path arrowok="t"/>
              <v:fill opacity="29491f" type="solid"/>
            </v:shape>
            <v:shape style="position:absolute;left:19153;top:234;width:238;height:226" coordorigin="19154,235" coordsize="238,226" path="m19272,235l19247,237,19224,243,19204,253,19187,266,19172,283,19162,302,19156,324,19154,348,19156,371,19162,393,19172,412,19187,429,19204,443,19224,453,19247,458,19272,460,19297,458,19320,453,19340,443,19358,429,19373,412,19374,410,19272,410,19260,409,19248,406,19238,400,19229,393,19222,383,19217,373,19214,361,19213,348,19214,334,19217,323,19222,312,19229,303,19238,295,19248,290,19260,286,19272,285,19374,285,19373,283,19358,266,19340,253,19320,243,19297,237,19272,235xm19374,285l19272,285,19285,286,19296,290,19306,295,19315,303,19323,312,19328,323,19331,334,19332,348,19331,361,19328,373,19323,383,19315,393,19306,400,19296,406,19285,409,19272,410,19374,410,19383,393,19389,371,19391,348,19389,324,19383,302,19374,285xe" filled="true" fillcolor="#7d868c" stroked="false">
              <v:path arrowok="t"/>
              <v:fill opacity="29491f" type="solid"/>
            </v:shape>
            <w10:wrap type="topAndBottom"/>
          </v:group>
        </w:pict>
      </w:r>
    </w:p>
    <w:p>
      <w:pPr>
        <w:pStyle w:val="BodyText"/>
        <w:spacing w:before="8"/>
        <w:rPr>
          <w:rFonts w:ascii="Tahoma"/>
          <w:sz w:val="7"/>
        </w:rPr>
      </w:pPr>
    </w:p>
    <w:p>
      <w:pPr>
        <w:spacing w:line="176" w:lineRule="exact"/>
        <w:ind w:left="14036" w:right="0" w:firstLine="0"/>
        <w:rPr>
          <w:rFonts w:ascii="Tahoma"/>
          <w:sz w:val="13"/>
        </w:rPr>
      </w:pPr>
      <w:r>
        <w:rPr>
          <w:rFonts w:ascii="Tahoma"/>
          <w:position w:val="-2"/>
          <w:sz w:val="13"/>
        </w:rPr>
        <w:drawing>
          <wp:inline distT="0" distB="0" distL="0" distR="0">
            <wp:extent cx="64211" cy="84010"/>
            <wp:effectExtent l="0" t="0" r="0" b="0"/>
            <wp:docPr id="35" name="image46.png"/>
            <wp:cNvGraphicFramePr>
              <a:graphicFrameLocks noChangeAspect="1"/>
            </wp:cNvGraphicFramePr>
            <a:graphic>
              <a:graphicData uri="http://schemas.openxmlformats.org/drawingml/2006/picture">
                <pic:pic>
                  <pic:nvPicPr>
                    <pic:cNvPr id="36" name="image46.png"/>
                    <pic:cNvPicPr/>
                  </pic:nvPicPr>
                  <pic:blipFill>
                    <a:blip r:embed="rId152" cstate="print"/>
                    <a:stretch>
                      <a:fillRect/>
                    </a:stretch>
                  </pic:blipFill>
                  <pic:spPr>
                    <a:xfrm>
                      <a:off x="0" y="0"/>
                      <a:ext cx="64211" cy="84010"/>
                    </a:xfrm>
                    <a:prstGeom prst="rect">
                      <a:avLst/>
                    </a:prstGeom>
                  </pic:spPr>
                </pic:pic>
              </a:graphicData>
            </a:graphic>
          </wp:inline>
        </w:drawing>
      </w:r>
      <w:r>
        <w:rPr>
          <w:rFonts w:ascii="Tahoma"/>
          <w:position w:val="-2"/>
          <w:sz w:val="13"/>
        </w:rPr>
      </w:r>
      <w:r>
        <w:rPr>
          <w:rFonts w:ascii="Times New Roman"/>
          <w:spacing w:val="46"/>
          <w:position w:val="-2"/>
          <w:sz w:val="13"/>
        </w:rPr>
        <w:t> </w:t>
      </w:r>
      <w:r>
        <w:rPr>
          <w:rFonts w:ascii="Tahoma"/>
          <w:spacing w:val="46"/>
          <w:position w:val="-2"/>
          <w:sz w:val="13"/>
        </w:rPr>
        <w:pict>
          <v:group style="width:4.8pt;height:6.6pt;mso-position-horizontal-relative:char;mso-position-vertical-relative:line" coordorigin="0,0" coordsize="96,132">
            <v:shape style="position:absolute;left:0;top:0;width:96;height:132" coordorigin="0,0" coordsize="96,132" path="m94,0l1,0,0,1,0,130,1,131,94,131,95,130,95,118,94,117,16,117,16,73,86,73,87,73,87,60,86,59,16,59,16,14,94,14,95,14,95,1,94,0xe" filled="true" fillcolor="#7d868c" stroked="false">
              <v:path arrowok="t"/>
              <v:fill opacity="29491f" type="solid"/>
            </v:shape>
          </v:group>
        </w:pict>
      </w:r>
      <w:r>
        <w:rPr>
          <w:rFonts w:ascii="Tahoma"/>
          <w:spacing w:val="46"/>
          <w:position w:val="-2"/>
          <w:sz w:val="13"/>
        </w:rPr>
      </w:r>
      <w:r>
        <w:rPr>
          <w:rFonts w:ascii="Times New Roman"/>
          <w:spacing w:val="31"/>
          <w:position w:val="-2"/>
          <w:sz w:val="13"/>
        </w:rPr>
        <w:t> </w:t>
      </w:r>
      <w:r>
        <w:rPr>
          <w:rFonts w:ascii="Tahoma"/>
          <w:spacing w:val="31"/>
          <w:position w:val="-2"/>
          <w:sz w:val="13"/>
        </w:rPr>
        <w:drawing>
          <wp:inline distT="0" distB="0" distL="0" distR="0">
            <wp:extent cx="70000" cy="84010"/>
            <wp:effectExtent l="0" t="0" r="0" b="0"/>
            <wp:docPr id="37" name="image47.png"/>
            <wp:cNvGraphicFramePr>
              <a:graphicFrameLocks noChangeAspect="1"/>
            </wp:cNvGraphicFramePr>
            <a:graphic>
              <a:graphicData uri="http://schemas.openxmlformats.org/drawingml/2006/picture">
                <pic:pic>
                  <pic:nvPicPr>
                    <pic:cNvPr id="38" name="image47.png"/>
                    <pic:cNvPicPr/>
                  </pic:nvPicPr>
                  <pic:blipFill>
                    <a:blip r:embed="rId153" cstate="print"/>
                    <a:stretch>
                      <a:fillRect/>
                    </a:stretch>
                  </pic:blipFill>
                  <pic:spPr>
                    <a:xfrm>
                      <a:off x="0" y="0"/>
                      <a:ext cx="70000" cy="84010"/>
                    </a:xfrm>
                    <a:prstGeom prst="rect">
                      <a:avLst/>
                    </a:prstGeom>
                  </pic:spPr>
                </pic:pic>
              </a:graphicData>
            </a:graphic>
          </wp:inline>
        </w:drawing>
      </w:r>
      <w:r>
        <w:rPr>
          <w:rFonts w:ascii="Tahoma"/>
          <w:spacing w:val="31"/>
          <w:position w:val="-2"/>
          <w:sz w:val="13"/>
        </w:rPr>
      </w:r>
      <w:r>
        <w:rPr>
          <w:rFonts w:ascii="Times New Roman"/>
          <w:spacing w:val="37"/>
          <w:position w:val="-2"/>
          <w:sz w:val="13"/>
        </w:rPr>
        <w:t> </w:t>
      </w:r>
      <w:r>
        <w:rPr>
          <w:rFonts w:ascii="Tahoma"/>
          <w:spacing w:val="37"/>
          <w:position w:val="-2"/>
          <w:sz w:val="13"/>
        </w:rPr>
        <w:pict>
          <v:group style="width:3.3pt;height:6.6pt;mso-position-horizontal-relative:char;mso-position-vertical-relative:line" coordorigin="0,0" coordsize="66,132">
            <v:shape style="position:absolute;left:0;top:0;width:66;height:132" coordorigin="0,0" coordsize="66,132" path="m65,117l1,117,0,118,0,130,1,131,65,131,65,130,65,118,65,117xm41,14l24,14,24,117,41,117,41,14xm65,0l1,0,0,1,0,14,1,14,65,14,65,14,65,1,65,0xe" filled="true" fillcolor="#7d868c" stroked="false">
              <v:path arrowok="t"/>
              <v:fill opacity="29491f" type="solid"/>
            </v:shape>
          </v:group>
        </w:pict>
      </w:r>
      <w:r>
        <w:rPr>
          <w:rFonts w:ascii="Tahoma"/>
          <w:spacing w:val="37"/>
          <w:position w:val="-2"/>
          <w:sz w:val="13"/>
        </w:rPr>
      </w:r>
      <w:r>
        <w:rPr>
          <w:rFonts w:ascii="Times New Roman"/>
          <w:spacing w:val="14"/>
          <w:position w:val="-2"/>
          <w:sz w:val="17"/>
        </w:rPr>
        <w:t> </w:t>
      </w:r>
      <w:r>
        <w:rPr>
          <w:rFonts w:ascii="Tahoma"/>
          <w:spacing w:val="14"/>
          <w:position w:val="-3"/>
          <w:sz w:val="17"/>
        </w:rPr>
        <w:drawing>
          <wp:inline distT="0" distB="0" distL="0" distR="0">
            <wp:extent cx="90054" cy="111728"/>
            <wp:effectExtent l="0" t="0" r="0" b="0"/>
            <wp:docPr id="39" name="image48.png"/>
            <wp:cNvGraphicFramePr>
              <a:graphicFrameLocks noChangeAspect="1"/>
            </wp:cNvGraphicFramePr>
            <a:graphic>
              <a:graphicData uri="http://schemas.openxmlformats.org/drawingml/2006/picture">
                <pic:pic>
                  <pic:nvPicPr>
                    <pic:cNvPr id="40" name="image48.png"/>
                    <pic:cNvPicPr/>
                  </pic:nvPicPr>
                  <pic:blipFill>
                    <a:blip r:embed="rId154" cstate="print"/>
                    <a:stretch>
                      <a:fillRect/>
                    </a:stretch>
                  </pic:blipFill>
                  <pic:spPr>
                    <a:xfrm>
                      <a:off x="0" y="0"/>
                      <a:ext cx="90054" cy="111728"/>
                    </a:xfrm>
                    <a:prstGeom prst="rect">
                      <a:avLst/>
                    </a:prstGeom>
                  </pic:spPr>
                </pic:pic>
              </a:graphicData>
            </a:graphic>
          </wp:inline>
        </w:drawing>
      </w:r>
      <w:r>
        <w:rPr>
          <w:rFonts w:ascii="Tahoma"/>
          <w:spacing w:val="14"/>
          <w:position w:val="-3"/>
          <w:sz w:val="17"/>
        </w:rPr>
      </w:r>
      <w:r>
        <w:rPr>
          <w:rFonts w:ascii="Times New Roman"/>
          <w:spacing w:val="51"/>
          <w:position w:val="-3"/>
          <w:sz w:val="13"/>
        </w:rPr>
        <w:t> </w:t>
      </w:r>
      <w:r>
        <w:rPr>
          <w:rFonts w:ascii="Tahoma"/>
          <w:spacing w:val="51"/>
          <w:position w:val="-2"/>
          <w:sz w:val="13"/>
        </w:rPr>
        <w:drawing>
          <wp:inline distT="0" distB="0" distL="0" distR="0">
            <wp:extent cx="76326" cy="84010"/>
            <wp:effectExtent l="0" t="0" r="0" b="0"/>
            <wp:docPr id="41" name="image49.png"/>
            <wp:cNvGraphicFramePr>
              <a:graphicFrameLocks noChangeAspect="1"/>
            </wp:cNvGraphicFramePr>
            <a:graphic>
              <a:graphicData uri="http://schemas.openxmlformats.org/drawingml/2006/picture">
                <pic:pic>
                  <pic:nvPicPr>
                    <pic:cNvPr id="42" name="image49.png"/>
                    <pic:cNvPicPr/>
                  </pic:nvPicPr>
                  <pic:blipFill>
                    <a:blip r:embed="rId155" cstate="print"/>
                    <a:stretch>
                      <a:fillRect/>
                    </a:stretch>
                  </pic:blipFill>
                  <pic:spPr>
                    <a:xfrm>
                      <a:off x="0" y="0"/>
                      <a:ext cx="76326" cy="84010"/>
                    </a:xfrm>
                    <a:prstGeom prst="rect">
                      <a:avLst/>
                    </a:prstGeom>
                  </pic:spPr>
                </pic:pic>
              </a:graphicData>
            </a:graphic>
          </wp:inline>
        </w:drawing>
      </w:r>
      <w:r>
        <w:rPr>
          <w:rFonts w:ascii="Tahoma"/>
          <w:spacing w:val="51"/>
          <w:position w:val="-2"/>
          <w:sz w:val="13"/>
        </w:rPr>
      </w:r>
      <w:r>
        <w:rPr>
          <w:rFonts w:ascii="Times New Roman"/>
          <w:spacing w:val="42"/>
          <w:position w:val="-2"/>
          <w:sz w:val="13"/>
        </w:rPr>
        <w:t> </w:t>
      </w:r>
      <w:r>
        <w:rPr>
          <w:rFonts w:ascii="Tahoma"/>
          <w:spacing w:val="42"/>
          <w:position w:val="-2"/>
          <w:sz w:val="13"/>
        </w:rPr>
        <w:pict>
          <v:group style="width:3.3pt;height:6.6pt;mso-position-horizontal-relative:char;mso-position-vertical-relative:line" coordorigin="0,0" coordsize="66,132">
            <v:shape style="position:absolute;left:0;top:0;width:66;height:132" coordorigin="0,0" coordsize="66,132" path="m65,117l1,117,0,118,0,130,1,131,65,131,65,130,65,118,65,117xm41,14l24,14,24,117,41,117,41,14xm65,0l1,0,0,1,0,14,1,14,65,14,65,14,65,1,65,0xe" filled="true" fillcolor="#7d868c" stroked="false">
              <v:path arrowok="t"/>
              <v:fill opacity="29491f" type="solid"/>
            </v:shape>
          </v:group>
        </w:pict>
      </w:r>
      <w:r>
        <w:rPr>
          <w:rFonts w:ascii="Tahoma"/>
          <w:spacing w:val="42"/>
          <w:position w:val="-2"/>
          <w:sz w:val="13"/>
        </w:rPr>
      </w:r>
      <w:r>
        <w:rPr>
          <w:rFonts w:ascii="Times New Roman"/>
          <w:spacing w:val="24"/>
          <w:position w:val="-2"/>
          <w:sz w:val="13"/>
        </w:rPr>
        <w:t> </w:t>
      </w:r>
      <w:r>
        <w:rPr>
          <w:rFonts w:ascii="Tahoma"/>
          <w:spacing w:val="24"/>
          <w:position w:val="-3"/>
          <w:sz w:val="13"/>
        </w:rPr>
        <w:drawing>
          <wp:inline distT="0" distB="0" distL="0" distR="0">
            <wp:extent cx="86350" cy="87439"/>
            <wp:effectExtent l="0" t="0" r="0" b="0"/>
            <wp:docPr id="43" name="image50.png"/>
            <wp:cNvGraphicFramePr>
              <a:graphicFrameLocks noChangeAspect="1"/>
            </wp:cNvGraphicFramePr>
            <a:graphic>
              <a:graphicData uri="http://schemas.openxmlformats.org/drawingml/2006/picture">
                <pic:pic>
                  <pic:nvPicPr>
                    <pic:cNvPr id="44" name="image50.png"/>
                    <pic:cNvPicPr/>
                  </pic:nvPicPr>
                  <pic:blipFill>
                    <a:blip r:embed="rId156" cstate="print"/>
                    <a:stretch>
                      <a:fillRect/>
                    </a:stretch>
                  </pic:blipFill>
                  <pic:spPr>
                    <a:xfrm>
                      <a:off x="0" y="0"/>
                      <a:ext cx="86350" cy="87439"/>
                    </a:xfrm>
                    <a:prstGeom prst="rect">
                      <a:avLst/>
                    </a:prstGeom>
                  </pic:spPr>
                </pic:pic>
              </a:graphicData>
            </a:graphic>
          </wp:inline>
        </w:drawing>
      </w:r>
      <w:r>
        <w:rPr>
          <w:rFonts w:ascii="Tahoma"/>
          <w:spacing w:val="24"/>
          <w:position w:val="-3"/>
          <w:sz w:val="13"/>
        </w:rPr>
      </w:r>
      <w:r>
        <w:rPr>
          <w:rFonts w:ascii="Times New Roman"/>
          <w:spacing w:val="45"/>
          <w:position w:val="-3"/>
          <w:sz w:val="13"/>
        </w:rPr>
        <w:t> </w:t>
      </w:r>
      <w:r>
        <w:rPr>
          <w:rFonts w:ascii="Tahoma"/>
          <w:spacing w:val="45"/>
          <w:position w:val="-3"/>
          <w:sz w:val="13"/>
        </w:rPr>
        <w:drawing>
          <wp:inline distT="0" distB="0" distL="0" distR="0">
            <wp:extent cx="90335" cy="87439"/>
            <wp:effectExtent l="0" t="0" r="0" b="0"/>
            <wp:docPr id="45" name="image51.png"/>
            <wp:cNvGraphicFramePr>
              <a:graphicFrameLocks noChangeAspect="1"/>
            </wp:cNvGraphicFramePr>
            <a:graphic>
              <a:graphicData uri="http://schemas.openxmlformats.org/drawingml/2006/picture">
                <pic:pic>
                  <pic:nvPicPr>
                    <pic:cNvPr id="46" name="image51.png"/>
                    <pic:cNvPicPr/>
                  </pic:nvPicPr>
                  <pic:blipFill>
                    <a:blip r:embed="rId157" cstate="print"/>
                    <a:stretch>
                      <a:fillRect/>
                    </a:stretch>
                  </pic:blipFill>
                  <pic:spPr>
                    <a:xfrm>
                      <a:off x="0" y="0"/>
                      <a:ext cx="90335" cy="87439"/>
                    </a:xfrm>
                    <a:prstGeom prst="rect">
                      <a:avLst/>
                    </a:prstGeom>
                  </pic:spPr>
                </pic:pic>
              </a:graphicData>
            </a:graphic>
          </wp:inline>
        </w:drawing>
      </w:r>
      <w:r>
        <w:rPr>
          <w:rFonts w:ascii="Tahoma"/>
          <w:spacing w:val="45"/>
          <w:position w:val="-3"/>
          <w:sz w:val="13"/>
        </w:rPr>
      </w:r>
      <w:r>
        <w:rPr>
          <w:rFonts w:ascii="Times New Roman"/>
          <w:spacing w:val="151"/>
          <w:position w:val="-3"/>
          <w:sz w:val="13"/>
        </w:rPr>
        <w:t> </w:t>
      </w:r>
      <w:r>
        <w:rPr>
          <w:rFonts w:ascii="Tahoma"/>
          <w:spacing w:val="151"/>
          <w:position w:val="-3"/>
          <w:sz w:val="13"/>
        </w:rPr>
        <w:drawing>
          <wp:inline distT="0" distB="0" distL="0" distR="0">
            <wp:extent cx="90322" cy="87439"/>
            <wp:effectExtent l="0" t="0" r="0" b="0"/>
            <wp:docPr id="47" name="image52.png"/>
            <wp:cNvGraphicFramePr>
              <a:graphicFrameLocks noChangeAspect="1"/>
            </wp:cNvGraphicFramePr>
            <a:graphic>
              <a:graphicData uri="http://schemas.openxmlformats.org/drawingml/2006/picture">
                <pic:pic>
                  <pic:nvPicPr>
                    <pic:cNvPr id="48" name="image52.png"/>
                    <pic:cNvPicPr/>
                  </pic:nvPicPr>
                  <pic:blipFill>
                    <a:blip r:embed="rId158" cstate="print"/>
                    <a:stretch>
                      <a:fillRect/>
                    </a:stretch>
                  </pic:blipFill>
                  <pic:spPr>
                    <a:xfrm>
                      <a:off x="0" y="0"/>
                      <a:ext cx="90322" cy="87439"/>
                    </a:xfrm>
                    <a:prstGeom prst="rect">
                      <a:avLst/>
                    </a:prstGeom>
                  </pic:spPr>
                </pic:pic>
              </a:graphicData>
            </a:graphic>
          </wp:inline>
        </w:drawing>
      </w:r>
      <w:r>
        <w:rPr>
          <w:rFonts w:ascii="Tahoma"/>
          <w:spacing w:val="151"/>
          <w:position w:val="-3"/>
          <w:sz w:val="13"/>
        </w:rPr>
      </w:r>
      <w:r>
        <w:rPr>
          <w:rFonts w:ascii="Times New Roman"/>
          <w:spacing w:val="50"/>
          <w:position w:val="-3"/>
          <w:sz w:val="13"/>
        </w:rPr>
        <w:t> </w:t>
      </w:r>
      <w:r>
        <w:rPr>
          <w:rFonts w:ascii="Tahoma"/>
          <w:spacing w:val="50"/>
          <w:position w:val="-2"/>
          <w:sz w:val="13"/>
        </w:rPr>
        <w:pict>
          <v:group style="width:4.7pt;height:6.6pt;mso-position-horizontal-relative:char;mso-position-vertical-relative:line" coordorigin="0,0" coordsize="94,132">
            <v:shape style="position:absolute;left:0;top:0;width:94;height:132" coordorigin="0,0" coordsize="94,132" path="m92,0l1,0,0,1,0,130,1,131,16,131,16,130,16,77,84,77,85,76,85,63,84,62,16,62,16,14,92,14,93,14,93,1,92,0xe" filled="true" fillcolor="#7d868c" stroked="false">
              <v:path arrowok="t"/>
              <v:fill opacity="29491f" type="solid"/>
            </v:shape>
          </v:group>
        </w:pict>
      </w:r>
      <w:r>
        <w:rPr>
          <w:rFonts w:ascii="Tahoma"/>
          <w:spacing w:val="50"/>
          <w:position w:val="-2"/>
          <w:sz w:val="13"/>
        </w:rPr>
      </w:r>
      <w:r>
        <w:rPr>
          <w:rFonts w:ascii="Times New Roman"/>
          <w:spacing w:val="16"/>
          <w:position w:val="-2"/>
          <w:sz w:val="13"/>
        </w:rPr>
        <w:t> </w:t>
      </w:r>
      <w:r>
        <w:rPr>
          <w:rFonts w:ascii="Tahoma"/>
          <w:spacing w:val="16"/>
          <w:position w:val="-2"/>
          <w:sz w:val="13"/>
        </w:rPr>
        <w:pict>
          <v:group style="width:3.3pt;height:6.6pt;mso-position-horizontal-relative:char;mso-position-vertical-relative:line" coordorigin="0,0" coordsize="66,132">
            <v:shape style="position:absolute;left:0;top:0;width:66;height:132" coordorigin="0,0" coordsize="66,132" path="m65,117l1,117,0,118,0,130,1,131,65,131,65,130,65,118,65,117xm41,14l24,14,24,117,41,117,41,14xm65,0l1,0,0,1,0,14,1,14,65,14,65,14,65,1,65,0xe" filled="true" fillcolor="#7d868c" stroked="false">
              <v:path arrowok="t"/>
              <v:fill opacity="29491f" type="solid"/>
            </v:shape>
          </v:group>
        </w:pict>
      </w:r>
      <w:r>
        <w:rPr>
          <w:rFonts w:ascii="Tahoma"/>
          <w:spacing w:val="16"/>
          <w:position w:val="-2"/>
          <w:sz w:val="13"/>
        </w:rPr>
      </w:r>
      <w:r>
        <w:rPr>
          <w:rFonts w:ascii="Times New Roman"/>
          <w:spacing w:val="24"/>
          <w:position w:val="-2"/>
          <w:sz w:val="13"/>
        </w:rPr>
        <w:t> </w:t>
      </w:r>
      <w:r>
        <w:rPr>
          <w:rFonts w:ascii="Tahoma"/>
          <w:spacing w:val="24"/>
          <w:position w:val="-3"/>
          <w:sz w:val="13"/>
        </w:rPr>
        <w:drawing>
          <wp:inline distT="0" distB="0" distL="0" distR="0">
            <wp:extent cx="86350" cy="87439"/>
            <wp:effectExtent l="0" t="0" r="0" b="0"/>
            <wp:docPr id="49" name="image53.png"/>
            <wp:cNvGraphicFramePr>
              <a:graphicFrameLocks noChangeAspect="1"/>
            </wp:cNvGraphicFramePr>
            <a:graphic>
              <a:graphicData uri="http://schemas.openxmlformats.org/drawingml/2006/picture">
                <pic:pic>
                  <pic:nvPicPr>
                    <pic:cNvPr id="50" name="image53.png"/>
                    <pic:cNvPicPr/>
                  </pic:nvPicPr>
                  <pic:blipFill>
                    <a:blip r:embed="rId159" cstate="print"/>
                    <a:stretch>
                      <a:fillRect/>
                    </a:stretch>
                  </pic:blipFill>
                  <pic:spPr>
                    <a:xfrm>
                      <a:off x="0" y="0"/>
                      <a:ext cx="86350" cy="87439"/>
                    </a:xfrm>
                    <a:prstGeom prst="rect">
                      <a:avLst/>
                    </a:prstGeom>
                  </pic:spPr>
                </pic:pic>
              </a:graphicData>
            </a:graphic>
          </wp:inline>
        </w:drawing>
      </w:r>
      <w:r>
        <w:rPr>
          <w:rFonts w:ascii="Tahoma"/>
          <w:spacing w:val="24"/>
          <w:position w:val="-3"/>
          <w:sz w:val="13"/>
        </w:rPr>
      </w:r>
      <w:r>
        <w:rPr>
          <w:rFonts w:ascii="Times New Roman"/>
          <w:spacing w:val="42"/>
          <w:position w:val="-3"/>
          <w:sz w:val="13"/>
        </w:rPr>
        <w:t> </w:t>
      </w:r>
      <w:r>
        <w:rPr>
          <w:rFonts w:ascii="Tahoma"/>
          <w:spacing w:val="42"/>
          <w:position w:val="-2"/>
          <w:sz w:val="13"/>
        </w:rPr>
        <w:pict>
          <v:group style="width:13.6pt;height:6.6pt;mso-position-horizontal-relative:char;mso-position-vertical-relative:line" coordorigin="0,0" coordsize="272,132">
            <v:shape style="position:absolute;left:0;top:0;width:66;height:132" coordorigin="0,0" coordsize="66,132" path="m65,117l1,117,0,118,0,130,1,131,65,131,65,130,65,118,65,117xm41,14l24,14,24,117,41,117,41,14xm65,0l1,0,0,1,0,14,1,14,65,14,65,14,65,1,65,0xe" filled="true" fillcolor="#7d868c" stroked="false">
              <v:path arrowok="t"/>
              <v:fill opacity="29491f" type="solid"/>
            </v:shape>
            <v:shape style="position:absolute;left:134;top:0;width:137;height:132" type="#_x0000_t75" stroked="false">
              <v:imagedata r:id="rId160" o:title=""/>
            </v:shape>
          </v:group>
        </w:pict>
      </w:r>
      <w:r>
        <w:rPr>
          <w:rFonts w:ascii="Tahoma"/>
          <w:spacing w:val="42"/>
          <w:position w:val="-2"/>
          <w:sz w:val="13"/>
        </w:rPr>
      </w:r>
      <w:r>
        <w:rPr>
          <w:rFonts w:ascii="Times New Roman"/>
          <w:spacing w:val="21"/>
          <w:position w:val="-2"/>
          <w:sz w:val="13"/>
        </w:rPr>
        <w:t> </w:t>
      </w:r>
      <w:r>
        <w:rPr>
          <w:rFonts w:ascii="Tahoma"/>
          <w:spacing w:val="21"/>
          <w:position w:val="-2"/>
          <w:sz w:val="13"/>
        </w:rPr>
        <w:pict>
          <v:group style="width:4.55pt;height:6.6pt;mso-position-horizontal-relative:char;mso-position-vertical-relative:line" coordorigin="0,0" coordsize="91,132">
            <v:shape style="position:absolute;left:0;top:0;width:91;height:132" coordorigin="0,0" coordsize="91,132" path="m16,0l1,0,0,1,0,130,1,131,90,131,91,130,91,118,90,117,16,117,16,1,16,0xe" filled="true" fillcolor="#7d868c" stroked="false">
              <v:path arrowok="t"/>
              <v:fill opacity="29491f" type="solid"/>
            </v:shape>
          </v:group>
        </w:pict>
      </w:r>
      <w:r>
        <w:rPr>
          <w:rFonts w:ascii="Tahoma"/>
          <w:spacing w:val="21"/>
          <w:position w:val="-2"/>
          <w:sz w:val="13"/>
        </w:rPr>
      </w:r>
    </w:p>
    <w:p>
      <w:pPr>
        <w:pStyle w:val="BodyText"/>
        <w:rPr>
          <w:rFonts w:ascii="Tahoma"/>
          <w:sz w:val="20"/>
        </w:rPr>
      </w:pPr>
    </w:p>
    <w:p>
      <w:pPr>
        <w:pStyle w:val="BodyText"/>
        <w:rPr>
          <w:rFonts w:ascii="Tahoma"/>
          <w:sz w:val="20"/>
        </w:rPr>
      </w:pPr>
    </w:p>
    <w:p>
      <w:pPr>
        <w:pStyle w:val="BodyText"/>
        <w:spacing w:before="7"/>
        <w:rPr>
          <w:rFonts w:ascii="Tahoma"/>
          <w:sz w:val="10"/>
        </w:rPr>
      </w:pPr>
      <w:r>
        <w:rPr/>
        <w:drawing>
          <wp:anchor distT="0" distB="0" distL="0" distR="0" allowOverlap="1" layoutInCell="1" locked="0" behindDoc="0" simplePos="0" relativeHeight="64">
            <wp:simplePos x="0" y="0"/>
            <wp:positionH relativeFrom="page">
              <wp:posOffset>2864625</wp:posOffset>
            </wp:positionH>
            <wp:positionV relativeFrom="paragraph">
              <wp:posOffset>2103057</wp:posOffset>
            </wp:positionV>
            <wp:extent cx="1653178" cy="1714500"/>
            <wp:effectExtent l="0" t="0" r="0" b="0"/>
            <wp:wrapTopAndBottom/>
            <wp:docPr id="51" name="image55.png"/>
            <wp:cNvGraphicFramePr>
              <a:graphicFrameLocks noChangeAspect="1"/>
            </wp:cNvGraphicFramePr>
            <a:graphic>
              <a:graphicData uri="http://schemas.openxmlformats.org/drawingml/2006/picture">
                <pic:pic>
                  <pic:nvPicPr>
                    <pic:cNvPr id="52" name="image55.png"/>
                    <pic:cNvPicPr/>
                  </pic:nvPicPr>
                  <pic:blipFill>
                    <a:blip r:embed="rId161" cstate="print"/>
                    <a:stretch>
                      <a:fillRect/>
                    </a:stretch>
                  </pic:blipFill>
                  <pic:spPr>
                    <a:xfrm>
                      <a:off x="0" y="0"/>
                      <a:ext cx="1653178" cy="1714500"/>
                    </a:xfrm>
                    <a:prstGeom prst="rect">
                      <a:avLst/>
                    </a:prstGeom>
                  </pic:spPr>
                </pic:pic>
              </a:graphicData>
            </a:graphic>
          </wp:anchor>
        </w:drawing>
      </w:r>
      <w:r>
        <w:rPr/>
        <w:pict>
          <v:group style="position:absolute;margin-left:693.421997pt;margin-top:8.366666pt;width:356pt;height:489pt;mso-position-horizontal-relative:page;mso-position-vertical-relative:paragraph;z-index:-251591680;mso-wrap-distance-left:0;mso-wrap-distance-right:0" coordorigin="13868,167" coordsize="7120,9780">
            <v:shape style="position:absolute;left:13868;top:167;width:7120;height:9780" type="#_x0000_t75" stroked="false">
              <v:imagedata r:id="rId162" o:title=""/>
            </v:shape>
            <v:rect style="position:absolute;left:13960;top:266;width:6947;height:9585" filled="true" fillcolor="#ffffff" stroked="false">
              <v:fill opacity="52428f" type="solid"/>
            </v:rect>
            <v:shape style="position:absolute;left:14089;top:394;width:6687;height:9328" coordorigin="14089,395" coordsize="6687,9328" path="m14089,395l14089,9722,20776,9722,20776,941,20776,395,14089,395xe" filled="false" stroked="true" strokeweight="2.0110pt" strokecolor="#bcbec0">
              <v:path arrowok="t"/>
              <v:stroke dashstyle="solid"/>
            </v:shape>
            <v:shape style="position:absolute;left:14729;top:499;width:5420;height:373" type="#_x0000_t75" stroked="false">
              <v:imagedata r:id="rId163" o:title=""/>
            </v:shape>
            <v:shape style="position:absolute;left:14384;top:1103;width:6101;height:2772" type="#_x0000_t75" stroked="false">
              <v:imagedata r:id="rId164" o:title=""/>
            </v:shape>
            <v:rect style="position:absolute;left:14592;top:3182;width:31;height:8" filled="true" fillcolor="#000000" stroked="false">
              <v:fill type="solid"/>
            </v:rect>
            <v:rect style="position:absolute;left:14592;top:3346;width:31;height:8" filled="true" fillcolor="#000000" stroked="false">
              <v:fill type="solid"/>
            </v:rect>
            <v:rect style="position:absolute;left:14592;top:3509;width:31;height:8" filled="true" fillcolor="#000000" stroked="false">
              <v:fill type="solid"/>
            </v:rect>
            <v:rect style="position:absolute;left:14592;top:3673;width:31;height:8" filled="true" fillcolor="#000000" stroked="false">
              <v:fill type="solid"/>
            </v:rect>
            <v:shape style="position:absolute;left:14382;top:4095;width:6105;height:302" type="#_x0000_t75" stroked="false">
              <v:imagedata r:id="rId165" o:title=""/>
            </v:shape>
            <v:shape style="position:absolute;left:16343;top:4763;width:2179;height:141" type="#_x0000_t75" stroked="false">
              <v:imagedata r:id="rId166" o:title=""/>
            </v:shape>
            <v:shape style="position:absolute;left:15221;top:7469;width:4383;height:663" type="#_x0000_t75" stroked="false">
              <v:imagedata r:id="rId167" o:title=""/>
            </v:shape>
            <v:shape style="position:absolute;left:14749;top:8245;width:3769;height:268" type="#_x0000_t75" stroked="false">
              <v:imagedata r:id="rId168" o:title=""/>
            </v:shape>
            <v:shape style="position:absolute;left:18536;top:8247;width:1540;height:109" type="#_x0000_t75" stroked="false">
              <v:imagedata r:id="rId169" o:title=""/>
            </v:shape>
            <v:shape style="position:absolute;left:20095;top:8326;width:14;height:14" coordorigin="20095,8326" coordsize="14,14" path="m20104,8326l20100,8326,20098,8327,20096,8330,20095,8331,20095,8334,20096,8336,20098,8339,20100,8339,20104,8339,20105,8339,20108,8336,20108,8334,20108,8331,20108,8330,20105,8327,20104,8326xe" filled="true" fillcolor="#000000" stroked="false">
              <v:path arrowok="t"/>
              <v:fill type="solid"/>
            </v:shape>
            <v:shape style="position:absolute;left:14900;top:8640;width:5057;height:487" type="#_x0000_t75" stroked="false">
              <v:imagedata r:id="rId170" o:title=""/>
            </v:shape>
            <v:shape style="position:absolute;left:15894;top:9246;width:3082;height:268" type="#_x0000_t75" stroked="false">
              <v:imagedata r:id="rId171" o:title=""/>
            </v:shape>
            <v:shape style="position:absolute;left:14368;top:5102;width:1486;height:631" type="#_x0000_t75" stroked="false">
              <v:imagedata r:id="rId172" o:title=""/>
            </v:shape>
            <v:shape style="position:absolute;left:20074;top:5265;width:416;height:447" type="#_x0000_t75" stroked="false">
              <v:imagedata r:id="rId173" o:title=""/>
            </v:shape>
            <v:shape style="position:absolute;left:14380;top:5889;width:5359;height:659" type="#_x0000_t75" stroked="false">
              <v:imagedata r:id="rId174" o:title=""/>
            </v:shape>
            <v:shape style="position:absolute;left:19880;top:6079;width:609;height:447" type="#_x0000_t75" stroked="false">
              <v:imagedata r:id="rId175" o:title=""/>
            </v:shape>
            <v:shape style="position:absolute;left:14372;top:6711;width:2141;height:505" type="#_x0000_t75" stroked="false">
              <v:imagedata r:id="rId176" o:title=""/>
            </v:shape>
            <v:shape style="position:absolute;left:19880;top:6912;width:609;height:128" type="#_x0000_t75" stroked="false">
              <v:imagedata r:id="rId177" o:title=""/>
            </v:shape>
            <v:shape style="position:absolute;left:16536;top:7080;width:2305;height:136" type="#_x0000_t75" stroked="false">
              <v:imagedata r:id="rId178" o:title=""/>
            </v:shape>
            <w10:wrap type="topAndBottom"/>
          </v:group>
        </w:pict>
      </w:r>
    </w:p>
    <w:p>
      <w:pPr>
        <w:pStyle w:val="BodyText"/>
        <w:rPr>
          <w:rFonts w:ascii="Tahoma"/>
          <w:sz w:val="20"/>
        </w:rPr>
      </w:pPr>
    </w:p>
    <w:p>
      <w:pPr>
        <w:pStyle w:val="BodyText"/>
        <w:spacing w:before="4"/>
        <w:rPr>
          <w:rFonts w:ascii="Tahoma"/>
          <w:sz w:val="28"/>
        </w:rPr>
      </w:pPr>
      <w:r>
        <w:rPr/>
        <w:drawing>
          <wp:anchor distT="0" distB="0" distL="0" distR="0" allowOverlap="1" layoutInCell="1" locked="0" behindDoc="0" simplePos="0" relativeHeight="66">
            <wp:simplePos x="0" y="0"/>
            <wp:positionH relativeFrom="page">
              <wp:posOffset>10361774</wp:posOffset>
            </wp:positionH>
            <wp:positionV relativeFrom="paragraph">
              <wp:posOffset>242108</wp:posOffset>
            </wp:positionV>
            <wp:extent cx="539426" cy="471487"/>
            <wp:effectExtent l="0" t="0" r="0" b="0"/>
            <wp:wrapTopAndBottom/>
            <wp:docPr id="53" name="image73.png"/>
            <wp:cNvGraphicFramePr>
              <a:graphicFrameLocks noChangeAspect="1"/>
            </wp:cNvGraphicFramePr>
            <a:graphic>
              <a:graphicData uri="http://schemas.openxmlformats.org/drawingml/2006/picture">
                <pic:pic>
                  <pic:nvPicPr>
                    <pic:cNvPr id="54" name="image73.png"/>
                    <pic:cNvPicPr/>
                  </pic:nvPicPr>
                  <pic:blipFill>
                    <a:blip r:embed="rId179" cstate="print"/>
                    <a:stretch>
                      <a:fillRect/>
                    </a:stretch>
                  </pic:blipFill>
                  <pic:spPr>
                    <a:xfrm>
                      <a:off x="0" y="0"/>
                      <a:ext cx="539426" cy="471487"/>
                    </a:xfrm>
                    <a:prstGeom prst="rect">
                      <a:avLst/>
                    </a:prstGeom>
                  </pic:spPr>
                </pic:pic>
              </a:graphicData>
            </a:graphic>
          </wp:anchor>
        </w:drawing>
      </w:r>
      <w:r>
        <w:rPr/>
        <w:drawing>
          <wp:anchor distT="0" distB="0" distL="0" distR="0" allowOverlap="1" layoutInCell="1" locked="0" behindDoc="0" simplePos="0" relativeHeight="67">
            <wp:simplePos x="0" y="0"/>
            <wp:positionH relativeFrom="page">
              <wp:posOffset>10978628</wp:posOffset>
            </wp:positionH>
            <wp:positionV relativeFrom="paragraph">
              <wp:posOffset>427462</wp:posOffset>
            </wp:positionV>
            <wp:extent cx="746665" cy="195262"/>
            <wp:effectExtent l="0" t="0" r="0" b="0"/>
            <wp:wrapTopAndBottom/>
            <wp:docPr id="55" name="image74.png"/>
            <wp:cNvGraphicFramePr>
              <a:graphicFrameLocks noChangeAspect="1"/>
            </wp:cNvGraphicFramePr>
            <a:graphic>
              <a:graphicData uri="http://schemas.openxmlformats.org/drawingml/2006/picture">
                <pic:pic>
                  <pic:nvPicPr>
                    <pic:cNvPr id="56" name="image74.png"/>
                    <pic:cNvPicPr/>
                  </pic:nvPicPr>
                  <pic:blipFill>
                    <a:blip r:embed="rId180" cstate="print"/>
                    <a:stretch>
                      <a:fillRect/>
                    </a:stretch>
                  </pic:blipFill>
                  <pic:spPr>
                    <a:xfrm>
                      <a:off x="0" y="0"/>
                      <a:ext cx="746665" cy="195262"/>
                    </a:xfrm>
                    <a:prstGeom prst="rect">
                      <a:avLst/>
                    </a:prstGeom>
                  </pic:spPr>
                </pic:pic>
              </a:graphicData>
            </a:graphic>
          </wp:anchor>
        </w:drawing>
      </w:r>
      <w:r>
        <w:rPr/>
        <w:drawing>
          <wp:anchor distT="0" distB="0" distL="0" distR="0" allowOverlap="1" layoutInCell="1" locked="0" behindDoc="0" simplePos="0" relativeHeight="68">
            <wp:simplePos x="0" y="0"/>
            <wp:positionH relativeFrom="page">
              <wp:posOffset>10319812</wp:posOffset>
            </wp:positionH>
            <wp:positionV relativeFrom="paragraph">
              <wp:posOffset>878162</wp:posOffset>
            </wp:positionV>
            <wp:extent cx="1472384" cy="86868"/>
            <wp:effectExtent l="0" t="0" r="0" b="0"/>
            <wp:wrapTopAndBottom/>
            <wp:docPr id="57" name="image75.png"/>
            <wp:cNvGraphicFramePr>
              <a:graphicFrameLocks noChangeAspect="1"/>
            </wp:cNvGraphicFramePr>
            <a:graphic>
              <a:graphicData uri="http://schemas.openxmlformats.org/drawingml/2006/picture">
                <pic:pic>
                  <pic:nvPicPr>
                    <pic:cNvPr id="58" name="image75.png"/>
                    <pic:cNvPicPr/>
                  </pic:nvPicPr>
                  <pic:blipFill>
                    <a:blip r:embed="rId181" cstate="print"/>
                    <a:stretch>
                      <a:fillRect/>
                    </a:stretch>
                  </pic:blipFill>
                  <pic:spPr>
                    <a:xfrm>
                      <a:off x="0" y="0"/>
                      <a:ext cx="1472384" cy="86868"/>
                    </a:xfrm>
                    <a:prstGeom prst="rect">
                      <a:avLst/>
                    </a:prstGeom>
                  </pic:spPr>
                </pic:pic>
              </a:graphicData>
            </a:graphic>
          </wp:anchor>
        </w:drawing>
      </w:r>
    </w:p>
    <w:p>
      <w:pPr>
        <w:pStyle w:val="BodyText"/>
        <w:spacing w:before="10"/>
        <w:rPr>
          <w:rFonts w:ascii="Tahoma"/>
        </w:rPr>
      </w:pPr>
    </w:p>
    <w:p>
      <w:pPr>
        <w:spacing w:after="0"/>
        <w:rPr>
          <w:rFonts w:ascii="Tahoma"/>
        </w:rPr>
        <w:sectPr>
          <w:headerReference w:type="default" r:id="rId147"/>
          <w:footerReference w:type="default" r:id="rId148"/>
          <w:pgSz w:w="23250" w:h="15310" w:orient="landscape"/>
          <w:pgMar w:header="0" w:footer="0" w:top="540" w:bottom="280" w:left="1880" w:right="1520"/>
        </w:sectPr>
      </w:pPr>
    </w:p>
    <w:p>
      <w:pPr>
        <w:pStyle w:val="BodyText"/>
        <w:ind w:left="3794"/>
        <w:rPr>
          <w:rFonts w:ascii="Tahoma"/>
          <w:sz w:val="20"/>
        </w:rPr>
      </w:pPr>
      <w:r>
        <w:rPr/>
        <w:pict>
          <v:group style="position:absolute;margin-left:.571999pt;margin-top:503.186768pt;width:158.550pt;height:253.9pt;mso-position-horizontal-relative:page;mso-position-vertical-relative:page;z-index:-276337664" coordorigin="11,10064" coordsize="3171,5078">
            <v:shape style="position:absolute;left:11;top:10063;width:1106;height:834" coordorigin="11,10064" coordsize="1106,834" path="m135,10499l129,10487,11,10385,11,10491,30,10507,11,10520,11,10620,128,10534,134,10523,134,10511,135,10499m789,10389l698,10389,698,10476,789,10476,789,10389m789,10672l755,10665,726,10666,706,10670,698,10672,698,10897,722,10891,740,10889,759,10891,789,10897,789,10897,789,10889,789,10672m1117,10605l1117,10186,1110,10173,1099,10166,1061,10143,1037,10129,971,10101,902,10080,832,10068,760,10064,688,10068,617,10080,548,10101,482,10129,387,10186,349,10208,275,10241,200,10263,124,10274,46,10275,11,10271,11,10352,41,10355,114,10355,187,10347,259,10330,329,10306,393,10275,398,10273,465,10232,531,10194,601,10167,674,10150,749,10143,825,10147,899,10161,970,10186,1037,10221,1037,10605,962,10573,885,10552,804,10541,724,10540,643,10550,565,10570,490,10601,420,10642,347,10685,272,10718,195,10739,116,10750,37,10750,11,10747,11,10828,77,10832,157,10827,237,10812,315,10787,391,10752,394,10750,465,10708,528,10671,596,10644,666,10627,738,10619,810,10621,882,10633,951,10654,1017,10685,994,10704,962,10722,922,10735,872,10740,837,10740,837,10820,872,10820,976,10802,1049,10762,1093,10720,1111,10695,1115,10688,1117,10682,1117,10619,1117,10605e" filled="true" fillcolor="#e8e9ea" stroked="false">
              <v:path arrowok="t"/>
              <v:fill type="solid"/>
            </v:shape>
            <v:line style="position:absolute" from="612,10344" to="876,10344" stroked="true" strokeweight="4.545pt" strokecolor="#e8e9ea">
              <v:stroke dashstyle="solid"/>
            </v:line>
            <v:rect style="position:absolute;left:698;top:10211;width:91;height:87" filled="true" fillcolor="#e8e9ea" stroked="false">
              <v:fill type="solid"/>
            </v:rect>
            <v:shape style="position:absolute;left:11;top:10941;width:3171;height:4200" type="#_x0000_t75" stroked="false">
              <v:imagedata r:id="rId184" o:title=""/>
            </v:shape>
            <w10:wrap type="none"/>
          </v:group>
        </w:pict>
      </w:r>
      <w:r>
        <w:rPr>
          <w:rFonts w:ascii="Tahoma"/>
          <w:sz w:val="20"/>
        </w:rPr>
        <w:drawing>
          <wp:inline distT="0" distB="0" distL="0" distR="0">
            <wp:extent cx="498475" cy="700087"/>
            <wp:effectExtent l="0" t="0" r="0" b="0"/>
            <wp:docPr id="59" name="image77.png"/>
            <wp:cNvGraphicFramePr>
              <a:graphicFrameLocks noChangeAspect="1"/>
            </wp:cNvGraphicFramePr>
            <a:graphic>
              <a:graphicData uri="http://schemas.openxmlformats.org/drawingml/2006/picture">
                <pic:pic>
                  <pic:nvPicPr>
                    <pic:cNvPr id="60" name="image77.png"/>
                    <pic:cNvPicPr/>
                  </pic:nvPicPr>
                  <pic:blipFill>
                    <a:blip r:embed="rId185" cstate="print"/>
                    <a:stretch>
                      <a:fillRect/>
                    </a:stretch>
                  </pic:blipFill>
                  <pic:spPr>
                    <a:xfrm>
                      <a:off x="0" y="0"/>
                      <a:ext cx="498475" cy="700087"/>
                    </a:xfrm>
                    <a:prstGeom prst="rect">
                      <a:avLst/>
                    </a:prstGeom>
                  </pic:spPr>
                </pic:pic>
              </a:graphicData>
            </a:graphic>
          </wp:inline>
        </w:drawing>
      </w:r>
      <w:r>
        <w:rPr>
          <w:rFonts w:ascii="Tahoma"/>
          <w:sz w:val="20"/>
        </w:rPr>
      </w:r>
    </w:p>
    <w:p>
      <w:pPr>
        <w:pStyle w:val="BodyText"/>
        <w:rPr>
          <w:rFonts w:ascii="Tahoma"/>
        </w:rPr>
      </w:pPr>
      <w:r>
        <w:rPr/>
        <w:drawing>
          <wp:anchor distT="0" distB="0" distL="0" distR="0" allowOverlap="1" layoutInCell="1" locked="0" behindDoc="0" simplePos="0" relativeHeight="69">
            <wp:simplePos x="0" y="0"/>
            <wp:positionH relativeFrom="page">
              <wp:posOffset>2576400</wp:posOffset>
            </wp:positionH>
            <wp:positionV relativeFrom="paragraph">
              <wp:posOffset>139858</wp:posOffset>
            </wp:positionV>
            <wp:extent cx="2268842" cy="131159"/>
            <wp:effectExtent l="0" t="0" r="0" b="0"/>
            <wp:wrapTopAndBottom/>
            <wp:docPr id="61" name="image78.png"/>
            <wp:cNvGraphicFramePr>
              <a:graphicFrameLocks noChangeAspect="1"/>
            </wp:cNvGraphicFramePr>
            <a:graphic>
              <a:graphicData uri="http://schemas.openxmlformats.org/drawingml/2006/picture">
                <pic:pic>
                  <pic:nvPicPr>
                    <pic:cNvPr id="62" name="image78.png"/>
                    <pic:cNvPicPr/>
                  </pic:nvPicPr>
                  <pic:blipFill>
                    <a:blip r:embed="rId186" cstate="print"/>
                    <a:stretch>
                      <a:fillRect/>
                    </a:stretch>
                  </pic:blipFill>
                  <pic:spPr>
                    <a:xfrm>
                      <a:off x="0" y="0"/>
                      <a:ext cx="2268842" cy="131159"/>
                    </a:xfrm>
                    <a:prstGeom prst="rect">
                      <a:avLst/>
                    </a:prstGeom>
                  </pic:spPr>
                </pic:pic>
              </a:graphicData>
            </a:graphic>
          </wp:anchor>
        </w:drawing>
      </w:r>
    </w:p>
    <w:p>
      <w:pPr>
        <w:pStyle w:val="BodyText"/>
        <w:spacing w:before="7"/>
        <w:rPr>
          <w:rFonts w:ascii="Tahoma"/>
          <w:sz w:val="6"/>
        </w:rPr>
      </w:pPr>
    </w:p>
    <w:p>
      <w:pPr>
        <w:spacing w:line="159" w:lineRule="exact"/>
        <w:ind w:left="2812" w:right="0" w:firstLine="0"/>
        <w:rPr>
          <w:rFonts w:ascii="Tahoma"/>
          <w:sz w:val="11"/>
        </w:rPr>
      </w:pPr>
      <w:r>
        <w:rPr>
          <w:rFonts w:ascii="Tahoma"/>
          <w:position w:val="-2"/>
          <w:sz w:val="11"/>
        </w:rPr>
        <w:pict>
          <v:group style="width:4.55pt;height:5.95pt;mso-position-horizontal-relative:char;mso-position-vertical-relative:line" coordorigin="0,0" coordsize="91,119">
            <v:shape style="position:absolute;left:0;top:0;width:91;height:119" coordorigin="0,0" coordsize="91,119" path="m58,0l1,0,0,1,0,118,1,119,14,119,15,118,15,78,57,78,68,75,80,65,15,65,15,13,81,13,69,4,58,0xm81,13l52,13,60,15,73,25,76,31,76,47,73,53,60,63,52,65,80,65,86,60,91,51,91,27,87,18,81,13xe" filled="true" fillcolor="#d0d3d4" stroked="false">
              <v:path arrowok="t"/>
              <v:fill type="solid"/>
            </v:shape>
          </v:group>
        </w:pict>
      </w:r>
      <w:r>
        <w:rPr>
          <w:rFonts w:ascii="Tahoma"/>
          <w:position w:val="-2"/>
          <w:sz w:val="11"/>
        </w:rPr>
      </w:r>
      <w:r>
        <w:rPr>
          <w:rFonts w:ascii="Times New Roman"/>
          <w:spacing w:val="20"/>
          <w:position w:val="-2"/>
          <w:sz w:val="11"/>
        </w:rPr>
        <w:t> </w:t>
      </w:r>
      <w:r>
        <w:rPr>
          <w:rFonts w:ascii="Tahoma"/>
          <w:spacing w:val="20"/>
          <w:position w:val="-2"/>
          <w:sz w:val="11"/>
        </w:rPr>
        <w:pict>
          <v:group style="width:4.350pt;height:5.95pt;mso-position-horizontal-relative:char;mso-position-vertical-relative:line" coordorigin="0,0" coordsize="87,119">
            <v:shape style="position:absolute;left:0;top:0;width:87;height:119" coordorigin="0,0" coordsize="87,119" path="m85,0l1,0,0,1,0,118,1,119,85,119,86,118,86,106,85,106,15,106,15,67,78,67,79,66,79,54,78,53,15,53,15,13,85,13,86,12,86,1,85,0xe" filled="true" fillcolor="#d0d3d4" stroked="false">
              <v:path arrowok="t"/>
              <v:fill type="solid"/>
            </v:shape>
          </v:group>
        </w:pict>
      </w:r>
      <w:r>
        <w:rPr>
          <w:rFonts w:ascii="Tahoma"/>
          <w:spacing w:val="20"/>
          <w:position w:val="-2"/>
          <w:sz w:val="11"/>
        </w:rPr>
      </w:r>
      <w:r>
        <w:rPr>
          <w:rFonts w:ascii="Times New Roman"/>
          <w:spacing w:val="24"/>
          <w:position w:val="-2"/>
          <w:sz w:val="15"/>
        </w:rPr>
        <w:t> </w:t>
      </w:r>
      <w:r>
        <w:rPr>
          <w:rFonts w:ascii="Tahoma"/>
          <w:spacing w:val="24"/>
          <w:position w:val="-2"/>
          <w:sz w:val="15"/>
        </w:rPr>
        <w:pict>
          <v:group style="width:21pt;height:7.95pt;mso-position-horizontal-relative:char;mso-position-vertical-relative:line" coordorigin="0,0" coordsize="420,159">
            <v:shape style="position:absolute;left:0;top:37;width:99;height:119" coordorigin="0,37" coordsize="99,119" path="m62,37l1,37,0,38,0,155,1,156,14,156,15,155,15,112,62,112,61,110,71,108,79,104,84,99,15,99,15,50,85,50,73,41,62,37xm62,112l43,112,82,156,82,156,98,156,98,156,99,155,99,154,98,154,62,112xm85,50l56,50,63,52,76,61,79,67,79,82,75,88,63,97,55,99,84,99,91,92,94,84,94,63,89,54,85,50xe" filled="true" fillcolor="#d0d3d4" stroked="false">
              <v:path arrowok="t"/>
              <v:fill type="solid"/>
            </v:shape>
            <v:shape style="position:absolute;left:163;top:37;width:60;height:119" coordorigin="163,37" coordsize="60,119" path="m222,143l164,143,163,144,163,155,164,156,222,156,222,155,222,144,222,143xm200,50l185,50,185,143,200,143,200,50xm222,37l164,37,163,38,163,50,164,50,222,50,222,50,222,38,222,37xe" filled="true" fillcolor="#d0d3d4" stroked="false">
              <v:path arrowok="t"/>
              <v:fill type="solid"/>
            </v:shape>
            <v:shape style="position:absolute;left:291;top:0;width:128;height:159" type="#_x0000_t75" stroked="false">
              <v:imagedata r:id="rId187" o:title=""/>
            </v:shape>
          </v:group>
        </w:pict>
      </w:r>
      <w:r>
        <w:rPr>
          <w:rFonts w:ascii="Tahoma"/>
          <w:spacing w:val="24"/>
          <w:position w:val="-2"/>
          <w:sz w:val="15"/>
        </w:rPr>
      </w:r>
      <w:r>
        <w:rPr>
          <w:rFonts w:ascii="Times New Roman"/>
          <w:spacing w:val="35"/>
          <w:position w:val="-2"/>
          <w:sz w:val="12"/>
        </w:rPr>
        <w:t> </w:t>
      </w:r>
      <w:r>
        <w:rPr>
          <w:rFonts w:ascii="Tahoma"/>
          <w:spacing w:val="35"/>
          <w:position w:val="-2"/>
          <w:sz w:val="12"/>
        </w:rPr>
        <w:pict>
          <v:group style="width:21.4pt;height:6.2pt;mso-position-horizontal-relative:char;mso-position-vertical-relative:line" coordorigin="0,0" coordsize="428,124">
            <v:shape style="position:absolute;left:0;top:2;width:108;height:119" type="#_x0000_t75" stroked="false">
              <v:imagedata r:id="rId188" o:title=""/>
            </v:shape>
            <v:shape style="position:absolute;left:177;top:2;width:60;height:119" coordorigin="177,2" coordsize="60,119" path="m236,108l178,108,177,109,177,121,178,121,236,121,237,121,237,109,236,108xm214,15l199,15,199,108,214,108,214,15xm236,2l178,2,177,3,177,15,178,15,236,15,237,15,237,3,236,2xe" filled="true" fillcolor="#d0d3d4" stroked="false">
              <v:path arrowok="t"/>
              <v:fill type="solid"/>
            </v:shape>
            <v:shape style="position:absolute;left:305;top:0;width:123;height:124" type="#_x0000_t75" stroked="false">
              <v:imagedata r:id="rId189" o:title=""/>
            </v:shape>
          </v:group>
        </w:pict>
      </w:r>
      <w:r>
        <w:rPr>
          <w:rFonts w:ascii="Tahoma"/>
          <w:spacing w:val="35"/>
          <w:position w:val="-2"/>
          <w:sz w:val="12"/>
        </w:rPr>
      </w:r>
      <w:r>
        <w:rPr>
          <w:rFonts w:ascii="Times New Roman"/>
          <w:spacing w:val="24"/>
          <w:position w:val="-2"/>
          <w:sz w:val="12"/>
        </w:rPr>
        <w:t> </w:t>
      </w:r>
      <w:r>
        <w:rPr>
          <w:rFonts w:ascii="Tahoma"/>
          <w:spacing w:val="24"/>
          <w:position w:val="-2"/>
          <w:sz w:val="12"/>
        </w:rPr>
        <w:drawing>
          <wp:inline distT="0" distB="0" distL="0" distR="0">
            <wp:extent cx="81863" cy="79248"/>
            <wp:effectExtent l="0" t="0" r="0" b="0"/>
            <wp:docPr id="63" name="image82.png"/>
            <wp:cNvGraphicFramePr>
              <a:graphicFrameLocks noChangeAspect="1"/>
            </wp:cNvGraphicFramePr>
            <a:graphic>
              <a:graphicData uri="http://schemas.openxmlformats.org/drawingml/2006/picture">
                <pic:pic>
                  <pic:nvPicPr>
                    <pic:cNvPr id="64" name="image82.png"/>
                    <pic:cNvPicPr/>
                  </pic:nvPicPr>
                  <pic:blipFill>
                    <a:blip r:embed="rId190" cstate="print"/>
                    <a:stretch>
                      <a:fillRect/>
                    </a:stretch>
                  </pic:blipFill>
                  <pic:spPr>
                    <a:xfrm>
                      <a:off x="0" y="0"/>
                      <a:ext cx="81863" cy="79248"/>
                    </a:xfrm>
                    <a:prstGeom prst="rect">
                      <a:avLst/>
                    </a:prstGeom>
                  </pic:spPr>
                </pic:pic>
              </a:graphicData>
            </a:graphic>
          </wp:inline>
        </w:drawing>
      </w:r>
      <w:r>
        <w:rPr>
          <w:rFonts w:ascii="Tahoma"/>
          <w:spacing w:val="24"/>
          <w:position w:val="-2"/>
          <w:sz w:val="12"/>
        </w:rPr>
      </w:r>
      <w:r>
        <w:rPr>
          <w:rFonts w:ascii="Times New Roman"/>
          <w:spacing w:val="137"/>
          <w:position w:val="-2"/>
          <w:sz w:val="12"/>
        </w:rPr>
        <w:t> </w:t>
      </w:r>
      <w:r>
        <w:rPr>
          <w:rFonts w:ascii="Tahoma"/>
          <w:spacing w:val="137"/>
          <w:position w:val="-2"/>
          <w:sz w:val="12"/>
        </w:rPr>
        <w:drawing>
          <wp:inline distT="0" distB="0" distL="0" distR="0">
            <wp:extent cx="81863" cy="79248"/>
            <wp:effectExtent l="0" t="0" r="0" b="0"/>
            <wp:docPr id="65" name="image83.png"/>
            <wp:cNvGraphicFramePr>
              <a:graphicFrameLocks noChangeAspect="1"/>
            </wp:cNvGraphicFramePr>
            <a:graphic>
              <a:graphicData uri="http://schemas.openxmlformats.org/drawingml/2006/picture">
                <pic:pic>
                  <pic:nvPicPr>
                    <pic:cNvPr id="66" name="image83.png"/>
                    <pic:cNvPicPr/>
                  </pic:nvPicPr>
                  <pic:blipFill>
                    <a:blip r:embed="rId191" cstate="print"/>
                    <a:stretch>
                      <a:fillRect/>
                    </a:stretch>
                  </pic:blipFill>
                  <pic:spPr>
                    <a:xfrm>
                      <a:off x="0" y="0"/>
                      <a:ext cx="81863" cy="79248"/>
                    </a:xfrm>
                    <a:prstGeom prst="rect">
                      <a:avLst/>
                    </a:prstGeom>
                  </pic:spPr>
                </pic:pic>
              </a:graphicData>
            </a:graphic>
          </wp:inline>
        </w:drawing>
      </w:r>
      <w:r>
        <w:rPr>
          <w:rFonts w:ascii="Tahoma"/>
          <w:spacing w:val="137"/>
          <w:position w:val="-2"/>
          <w:sz w:val="12"/>
        </w:rPr>
      </w:r>
      <w:r>
        <w:rPr>
          <w:rFonts w:ascii="Times New Roman"/>
          <w:spacing w:val="45"/>
          <w:position w:val="-2"/>
          <w:sz w:val="12"/>
        </w:rPr>
        <w:t> </w:t>
      </w:r>
      <w:r>
        <w:rPr>
          <w:rFonts w:ascii="Tahoma"/>
          <w:spacing w:val="45"/>
          <w:position w:val="-2"/>
          <w:sz w:val="12"/>
        </w:rPr>
        <w:pict>
          <v:group style="width:35.75pt;height:6.2pt;mso-position-horizontal-relative:char;mso-position-vertical-relative:line" coordorigin="0,0" coordsize="715,124">
            <v:shape style="position:absolute;left:0;top:2;width:85;height:119" coordorigin="0,2" coordsize="85,119" path="m84,2l1,2,0,3,0,121,1,121,14,121,15,121,15,72,76,72,77,71,77,59,76,59,15,59,15,15,84,15,84,15,84,3,84,2xe" filled="true" fillcolor="#d0d3d4" stroked="false">
              <v:path arrowok="t"/>
              <v:fill type="solid"/>
            </v:shape>
            <v:shape style="position:absolute;left:148;top:2;width:60;height:119" coordorigin="149,2" coordsize="60,119" path="m208,108l150,108,149,109,149,121,150,121,208,121,208,121,208,109,208,108xm186,15l171,15,171,108,186,108,186,15xm208,2l150,2,149,3,149,15,150,15,208,15,208,15,208,3,208,2xe" filled="true" fillcolor="#d0d3d4" stroked="false">
              <v:path arrowok="t"/>
              <v:fill type="solid"/>
            </v:shape>
            <v:shape style="position:absolute;left:277;top:0;width:123;height:124" type="#_x0000_t75" stroked="false">
              <v:imagedata r:id="rId192" o:title=""/>
            </v:shape>
            <v:shape style="position:absolute;left:468;top:2;width:60;height:119" coordorigin="468,2" coordsize="60,119" path="m527,108l469,108,468,109,468,121,469,121,527,121,528,121,528,109,527,108xm506,15l490,15,490,108,506,108,506,15xm527,2l469,2,468,3,468,15,469,15,527,15,528,15,528,3,527,2xe" filled="true" fillcolor="#d0d3d4" stroked="false">
              <v:path arrowok="t"/>
              <v:fill type="solid"/>
            </v:shape>
            <v:shape style="position:absolute;left:590;top:2;width:124;height:119" type="#_x0000_t75" stroked="false">
              <v:imagedata r:id="rId193" o:title=""/>
            </v:shape>
          </v:group>
        </w:pict>
      </w:r>
      <w:r>
        <w:rPr>
          <w:rFonts w:ascii="Tahoma"/>
          <w:spacing w:val="45"/>
          <w:position w:val="-2"/>
          <w:sz w:val="12"/>
        </w:rPr>
      </w:r>
      <w:r>
        <w:rPr>
          <w:rFonts w:ascii="Times New Roman"/>
          <w:spacing w:val="26"/>
          <w:position w:val="-2"/>
          <w:sz w:val="11"/>
        </w:rPr>
        <w:t> </w:t>
      </w:r>
      <w:r>
        <w:rPr>
          <w:rFonts w:ascii="Tahoma"/>
          <w:spacing w:val="26"/>
          <w:position w:val="-2"/>
          <w:sz w:val="11"/>
        </w:rPr>
        <w:pict>
          <v:group style="width:4.150pt;height:5.95pt;mso-position-horizontal-relative:char;mso-position-vertical-relative:line" coordorigin="0,0" coordsize="83,119">
            <v:shape style="position:absolute;left:0;top:0;width:83;height:119" coordorigin="0,0" coordsize="83,119" path="m14,0l1,0,0,1,0,118,1,119,82,119,82,118,82,107,82,106,15,106,15,1,14,0xe" filled="true" fillcolor="#d0d3d4" stroked="false">
              <v:path arrowok="t"/>
              <v:fill type="solid"/>
            </v:shape>
          </v:group>
        </w:pict>
      </w:r>
      <w:r>
        <w:rPr>
          <w:rFonts w:ascii="Tahoma"/>
          <w:spacing w:val="26"/>
          <w:position w:val="-2"/>
          <w:sz w:val="11"/>
        </w:rPr>
      </w:r>
    </w:p>
    <w:p>
      <w:pPr>
        <w:pStyle w:val="BodyText"/>
        <w:spacing w:before="8"/>
        <w:rPr>
          <w:rFonts w:ascii="Tahoma"/>
          <w:sz w:val="9"/>
        </w:rPr>
      </w:pPr>
    </w:p>
    <w:p>
      <w:pPr>
        <w:tabs>
          <w:tab w:pos="613" w:val="left" w:leader="none"/>
          <w:tab w:pos="1251" w:val="left" w:leader="none"/>
          <w:tab w:pos="1933" w:val="left" w:leader="none"/>
          <w:tab w:pos="2576" w:val="left" w:leader="none"/>
          <w:tab w:pos="3197" w:val="left" w:leader="none"/>
          <w:tab w:pos="3719" w:val="left" w:leader="none"/>
        </w:tabs>
        <w:spacing w:before="11"/>
        <w:ind w:left="0" w:right="50" w:firstLine="0"/>
        <w:jc w:val="center"/>
        <w:rPr>
          <w:rFonts w:ascii="Tahoma"/>
          <w:b/>
          <w:sz w:val="36"/>
        </w:rPr>
      </w:pPr>
      <w:r>
        <w:rPr>
          <w:rFonts w:ascii="Tahoma"/>
          <w:b/>
          <w:w w:val="105"/>
          <w:sz w:val="36"/>
        </w:rPr>
        <w:t>S</w:t>
        <w:tab/>
        <w:t>U</w:t>
        <w:tab/>
        <w:t>M</w:t>
        <w:tab/>
        <w:t>A</w:t>
        <w:tab/>
        <w:t>R</w:t>
        <w:tab/>
        <w:t>I</w:t>
        <w:tab/>
        <w:t>O</w:t>
      </w:r>
    </w:p>
    <w:p>
      <w:pPr>
        <w:pStyle w:val="Heading2"/>
        <w:spacing w:line="242" w:lineRule="auto" w:before="79"/>
        <w:ind w:left="2498" w:right="2546"/>
      </w:pPr>
      <w:r>
        <w:rPr>
          <w:w w:val="105"/>
        </w:rPr>
        <w:t>MARTES</w:t>
      </w:r>
      <w:r>
        <w:rPr>
          <w:spacing w:val="-26"/>
          <w:w w:val="105"/>
        </w:rPr>
        <w:t> </w:t>
      </w:r>
      <w:r>
        <w:rPr>
          <w:w w:val="105"/>
        </w:rPr>
        <w:t>24</w:t>
      </w:r>
      <w:r>
        <w:rPr>
          <w:spacing w:val="-25"/>
          <w:w w:val="105"/>
        </w:rPr>
        <w:t> </w:t>
      </w:r>
      <w:r>
        <w:rPr>
          <w:w w:val="105"/>
        </w:rPr>
        <w:t>DE</w:t>
      </w:r>
      <w:r>
        <w:rPr>
          <w:spacing w:val="-25"/>
          <w:w w:val="105"/>
        </w:rPr>
        <w:t> </w:t>
      </w:r>
      <w:r>
        <w:rPr>
          <w:w w:val="105"/>
        </w:rPr>
        <w:t>DICIEMBRE</w:t>
      </w:r>
      <w:r>
        <w:rPr>
          <w:spacing w:val="-25"/>
          <w:w w:val="105"/>
        </w:rPr>
        <w:t> </w:t>
      </w:r>
      <w:r>
        <w:rPr>
          <w:w w:val="105"/>
        </w:rPr>
        <w:t>DE</w:t>
      </w:r>
      <w:r>
        <w:rPr>
          <w:spacing w:val="-25"/>
          <w:w w:val="105"/>
        </w:rPr>
        <w:t> </w:t>
      </w:r>
      <w:r>
        <w:rPr>
          <w:spacing w:val="-4"/>
          <w:w w:val="105"/>
        </w:rPr>
        <w:t>2019 </w:t>
      </w:r>
      <w:r>
        <w:rPr>
          <w:w w:val="105"/>
        </w:rPr>
        <w:t>NÚMERO </w:t>
      </w:r>
      <w:r>
        <w:rPr>
          <w:spacing w:val="-5"/>
          <w:w w:val="105"/>
        </w:rPr>
        <w:t>39. </w:t>
      </w:r>
      <w:r>
        <w:rPr>
          <w:w w:val="105"/>
        </w:rPr>
        <w:t>SECCIÓN</w:t>
      </w:r>
      <w:r>
        <w:rPr>
          <w:spacing w:val="-18"/>
          <w:w w:val="105"/>
        </w:rPr>
        <w:t> </w:t>
      </w:r>
      <w:r>
        <w:rPr>
          <w:spacing w:val="-4"/>
          <w:w w:val="105"/>
        </w:rPr>
        <w:t>XLVI</w:t>
      </w:r>
    </w:p>
    <w:p>
      <w:pPr>
        <w:spacing w:before="1"/>
        <w:ind w:left="0" w:right="50" w:firstLine="0"/>
        <w:jc w:val="center"/>
        <w:rPr>
          <w:rFonts w:ascii="Tahoma"/>
          <w:b/>
          <w:sz w:val="18"/>
        </w:rPr>
      </w:pPr>
      <w:r>
        <w:rPr>
          <w:rFonts w:ascii="Tahoma"/>
          <w:b/>
          <w:w w:val="115"/>
          <w:sz w:val="18"/>
        </w:rPr>
        <w:t>TOMO CCCXCVI</w:t>
      </w:r>
    </w:p>
    <w:p>
      <w:pPr>
        <w:pStyle w:val="BodyText"/>
        <w:rPr>
          <w:rFonts w:ascii="Tahoma"/>
          <w:b/>
          <w:sz w:val="22"/>
        </w:rPr>
      </w:pPr>
    </w:p>
    <w:p>
      <w:pPr>
        <w:pStyle w:val="BodyText"/>
        <w:spacing w:before="9"/>
        <w:rPr>
          <w:rFonts w:ascii="Tahoma"/>
          <w:b/>
          <w:sz w:val="17"/>
        </w:rPr>
      </w:pPr>
    </w:p>
    <w:p>
      <w:pPr>
        <w:pStyle w:val="Heading3"/>
        <w:ind w:left="2262"/>
      </w:pPr>
      <w:r>
        <w:rPr>
          <w:w w:val="115"/>
        </w:rPr>
        <w:t>DECRETO 27693/LXII/19</w:t>
      </w:r>
    </w:p>
    <w:p>
      <w:pPr>
        <w:spacing w:line="249" w:lineRule="auto" w:before="120"/>
        <w:ind w:left="2262" w:right="1691" w:firstLine="0"/>
        <w:jc w:val="left"/>
        <w:rPr>
          <w:sz w:val="16"/>
        </w:rPr>
      </w:pPr>
      <w:r>
        <w:rPr>
          <w:spacing w:val="-3"/>
          <w:w w:val="108"/>
          <w:sz w:val="16"/>
        </w:rPr>
        <w:t>L</w:t>
      </w:r>
      <w:r>
        <w:rPr>
          <w:spacing w:val="-4"/>
          <w:w w:val="109"/>
          <w:sz w:val="16"/>
        </w:rPr>
        <w:t>e</w:t>
      </w:r>
      <w:r>
        <w:rPr>
          <w:w w:val="124"/>
          <w:sz w:val="16"/>
        </w:rPr>
        <w:t>y</w:t>
      </w:r>
      <w:r>
        <w:rPr>
          <w:spacing w:val="-17"/>
          <w:sz w:val="16"/>
        </w:rPr>
        <w:t> </w:t>
      </w:r>
      <w:r>
        <w:rPr>
          <w:spacing w:val="-3"/>
          <w:w w:val="118"/>
          <w:sz w:val="16"/>
        </w:rPr>
        <w:t>d</w:t>
      </w:r>
      <w:r>
        <w:rPr>
          <w:w w:val="118"/>
          <w:sz w:val="16"/>
        </w:rPr>
        <w:t>e</w:t>
      </w:r>
      <w:r>
        <w:rPr>
          <w:spacing w:val="-18"/>
          <w:sz w:val="16"/>
        </w:rPr>
        <w:t> </w:t>
      </w:r>
      <w:r>
        <w:rPr>
          <w:spacing w:val="-3"/>
          <w:w w:val="130"/>
          <w:sz w:val="16"/>
        </w:rPr>
        <w:t>Ing</w:t>
      </w:r>
      <w:r>
        <w:rPr>
          <w:spacing w:val="-5"/>
          <w:w w:val="130"/>
          <w:sz w:val="16"/>
        </w:rPr>
        <w:t>r</w:t>
      </w:r>
      <w:r>
        <w:rPr>
          <w:spacing w:val="-3"/>
          <w:w w:val="110"/>
          <w:sz w:val="16"/>
        </w:rPr>
        <w:t>eso</w:t>
      </w:r>
      <w:r>
        <w:rPr>
          <w:w w:val="110"/>
          <w:sz w:val="16"/>
        </w:rPr>
        <w:t>s</w:t>
      </w:r>
      <w:r>
        <w:rPr>
          <w:spacing w:val="-17"/>
          <w:sz w:val="16"/>
        </w:rPr>
        <w:t> </w:t>
      </w:r>
      <w:r>
        <w:rPr>
          <w:spacing w:val="-3"/>
          <w:w w:val="118"/>
          <w:sz w:val="16"/>
        </w:rPr>
        <w:t>d</w:t>
      </w:r>
      <w:r>
        <w:rPr>
          <w:w w:val="118"/>
          <w:sz w:val="16"/>
        </w:rPr>
        <w:t>e</w:t>
      </w:r>
      <w:r>
        <w:rPr>
          <w:spacing w:val="-18"/>
          <w:sz w:val="16"/>
        </w:rPr>
        <w:t> </w:t>
      </w:r>
      <w:r>
        <w:rPr>
          <w:smallCaps/>
          <w:spacing w:val="-3"/>
          <w:w w:val="105"/>
          <w:sz w:val="16"/>
        </w:rPr>
        <w:t>Tlajomulc</w:t>
      </w:r>
      <w:r>
        <w:rPr>
          <w:smallCaps/>
          <w:w w:val="105"/>
          <w:sz w:val="16"/>
        </w:rPr>
        <w:t>o</w:t>
      </w:r>
      <w:r>
        <w:rPr>
          <w:smallCaps w:val="0"/>
          <w:spacing w:val="-16"/>
          <w:sz w:val="16"/>
        </w:rPr>
        <w:t> </w:t>
      </w:r>
      <w:r>
        <w:rPr>
          <w:smallCaps w:val="0"/>
          <w:spacing w:val="-3"/>
          <w:w w:val="118"/>
          <w:sz w:val="16"/>
        </w:rPr>
        <w:t>d</w:t>
      </w:r>
      <w:r>
        <w:rPr>
          <w:smallCaps w:val="0"/>
          <w:w w:val="118"/>
          <w:sz w:val="16"/>
        </w:rPr>
        <w:t>e</w:t>
      </w:r>
      <w:r>
        <w:rPr>
          <w:smallCaps w:val="0"/>
          <w:spacing w:val="-18"/>
          <w:sz w:val="16"/>
        </w:rPr>
        <w:t> </w:t>
      </w:r>
      <w:r>
        <w:rPr>
          <w:smallCaps/>
          <w:spacing w:val="-3"/>
          <w:w w:val="112"/>
          <w:sz w:val="16"/>
        </w:rPr>
        <w:t>Zúñiga</w:t>
      </w:r>
      <w:r>
        <w:rPr>
          <w:smallCaps/>
          <w:w w:val="112"/>
          <w:sz w:val="16"/>
        </w:rPr>
        <w:t>,</w:t>
      </w:r>
      <w:r>
        <w:rPr>
          <w:smallCaps w:val="0"/>
          <w:spacing w:val="-15"/>
          <w:sz w:val="16"/>
        </w:rPr>
        <w:t> </w:t>
      </w:r>
      <w:r>
        <w:rPr>
          <w:smallCaps w:val="0"/>
          <w:spacing w:val="-3"/>
          <w:w w:val="119"/>
          <w:sz w:val="16"/>
        </w:rPr>
        <w:t>eje</w:t>
      </w:r>
      <w:r>
        <w:rPr>
          <w:smallCaps w:val="0"/>
          <w:spacing w:val="-5"/>
          <w:w w:val="119"/>
          <w:sz w:val="16"/>
        </w:rPr>
        <w:t>r</w:t>
      </w:r>
      <w:r>
        <w:rPr>
          <w:smallCaps w:val="0"/>
          <w:spacing w:val="-3"/>
          <w:w w:val="118"/>
          <w:sz w:val="16"/>
        </w:rPr>
        <w:t>cicio </w:t>
      </w:r>
      <w:r>
        <w:rPr>
          <w:smallCaps w:val="0"/>
          <w:w w:val="114"/>
          <w:sz w:val="16"/>
        </w:rPr>
        <w:t>202</w:t>
      </w:r>
      <w:r>
        <w:rPr>
          <w:smallCaps w:val="0"/>
          <w:spacing w:val="-5"/>
          <w:w w:val="114"/>
          <w:sz w:val="16"/>
        </w:rPr>
        <w:t>0</w:t>
      </w:r>
      <w:r>
        <w:rPr>
          <w:smallCaps w:val="0"/>
          <w:w w:val="68"/>
          <w:sz w:val="16"/>
        </w:rPr>
        <w:t>.</w:t>
      </w:r>
    </w:p>
    <w:p>
      <w:pPr>
        <w:spacing w:before="104"/>
        <w:ind w:left="0" w:right="2096" w:firstLine="0"/>
        <w:jc w:val="right"/>
        <w:rPr>
          <w:rFonts w:ascii="Century Gothic" w:hAnsi="Century Gothic"/>
          <w:b/>
          <w:sz w:val="16"/>
        </w:rPr>
      </w:pPr>
      <w:r>
        <w:rPr>
          <w:rFonts w:ascii="Century Gothic" w:hAnsi="Century Gothic"/>
          <w:b/>
          <w:spacing w:val="-3"/>
          <w:w w:val="119"/>
          <w:sz w:val="16"/>
        </w:rPr>
        <w:t>P</w:t>
      </w:r>
      <w:r>
        <w:rPr>
          <w:rFonts w:ascii="Century Gothic" w:hAnsi="Century Gothic"/>
          <w:b/>
          <w:smallCaps/>
          <w:spacing w:val="-1"/>
          <w:w w:val="120"/>
          <w:sz w:val="16"/>
        </w:rPr>
        <w:t>á</w:t>
      </w:r>
      <w:r>
        <w:rPr>
          <w:rFonts w:ascii="Century Gothic" w:hAnsi="Century Gothic"/>
          <w:b/>
          <w:smallCaps w:val="0"/>
          <w:w w:val="94"/>
          <w:sz w:val="16"/>
        </w:rPr>
        <w:t>g.</w:t>
      </w:r>
      <w:r>
        <w:rPr>
          <w:rFonts w:ascii="Century Gothic" w:hAnsi="Century Gothic"/>
          <w:b/>
          <w:smallCaps w:val="0"/>
          <w:spacing w:val="-4"/>
          <w:sz w:val="16"/>
        </w:rPr>
        <w:t> </w:t>
      </w:r>
      <w:r>
        <w:rPr>
          <w:rFonts w:ascii="Century Gothic" w:hAnsi="Century Gothic"/>
          <w:b/>
          <w:smallCaps w:val="0"/>
          <w:w w:val="106"/>
          <w:sz w:val="16"/>
        </w:rPr>
        <w:t>3</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1"/>
        <w:rPr>
          <w:rFonts w:ascii="Century Gothic"/>
          <w:b/>
          <w:sz w:val="24"/>
        </w:rPr>
      </w:pPr>
      <w:r>
        <w:rPr/>
        <w:drawing>
          <wp:anchor distT="0" distB="0" distL="0" distR="0" allowOverlap="1" layoutInCell="1" locked="0" behindDoc="0" simplePos="0" relativeHeight="76">
            <wp:simplePos x="0" y="0"/>
            <wp:positionH relativeFrom="page">
              <wp:posOffset>2995558</wp:posOffset>
            </wp:positionH>
            <wp:positionV relativeFrom="paragraph">
              <wp:posOffset>219030</wp:posOffset>
            </wp:positionV>
            <wp:extent cx="577701" cy="504825"/>
            <wp:effectExtent l="0" t="0" r="0" b="0"/>
            <wp:wrapTopAndBottom/>
            <wp:docPr id="67" name="image86.png"/>
            <wp:cNvGraphicFramePr>
              <a:graphicFrameLocks noChangeAspect="1"/>
            </wp:cNvGraphicFramePr>
            <a:graphic>
              <a:graphicData uri="http://schemas.openxmlformats.org/drawingml/2006/picture">
                <pic:pic>
                  <pic:nvPicPr>
                    <pic:cNvPr id="68" name="image86.png"/>
                    <pic:cNvPicPr/>
                  </pic:nvPicPr>
                  <pic:blipFill>
                    <a:blip r:embed="rId194" cstate="print"/>
                    <a:stretch>
                      <a:fillRect/>
                    </a:stretch>
                  </pic:blipFill>
                  <pic:spPr>
                    <a:xfrm>
                      <a:off x="0" y="0"/>
                      <a:ext cx="577701" cy="504825"/>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3656519</wp:posOffset>
            </wp:positionH>
            <wp:positionV relativeFrom="paragraph">
              <wp:posOffset>400133</wp:posOffset>
            </wp:positionV>
            <wp:extent cx="749389" cy="208883"/>
            <wp:effectExtent l="0" t="0" r="0" b="0"/>
            <wp:wrapTopAndBottom/>
            <wp:docPr id="69" name="image87.png"/>
            <wp:cNvGraphicFramePr>
              <a:graphicFrameLocks noChangeAspect="1"/>
            </wp:cNvGraphicFramePr>
            <a:graphic>
              <a:graphicData uri="http://schemas.openxmlformats.org/drawingml/2006/picture">
                <pic:pic>
                  <pic:nvPicPr>
                    <pic:cNvPr id="70" name="image87.png"/>
                    <pic:cNvPicPr/>
                  </pic:nvPicPr>
                  <pic:blipFill>
                    <a:blip r:embed="rId195" cstate="print"/>
                    <a:stretch>
                      <a:fillRect/>
                    </a:stretch>
                  </pic:blipFill>
                  <pic:spPr>
                    <a:xfrm>
                      <a:off x="0" y="0"/>
                      <a:ext cx="749389" cy="208883"/>
                    </a:xfrm>
                    <a:prstGeom prst="rect">
                      <a:avLst/>
                    </a:prstGeom>
                  </pic:spPr>
                </pic:pic>
              </a:graphicData>
            </a:graphic>
          </wp:anchor>
        </w:drawing>
      </w:r>
      <w:r>
        <w:rPr/>
        <w:drawing>
          <wp:anchor distT="0" distB="0" distL="0" distR="0" allowOverlap="1" layoutInCell="1" locked="0" behindDoc="0" simplePos="0" relativeHeight="78">
            <wp:simplePos x="0" y="0"/>
            <wp:positionH relativeFrom="page">
              <wp:posOffset>2628206</wp:posOffset>
            </wp:positionH>
            <wp:positionV relativeFrom="paragraph">
              <wp:posOffset>841503</wp:posOffset>
            </wp:positionV>
            <wp:extent cx="2124662" cy="135350"/>
            <wp:effectExtent l="0" t="0" r="0" b="0"/>
            <wp:wrapTopAndBottom/>
            <wp:docPr id="71" name="image88.png"/>
            <wp:cNvGraphicFramePr>
              <a:graphicFrameLocks noChangeAspect="1"/>
            </wp:cNvGraphicFramePr>
            <a:graphic>
              <a:graphicData uri="http://schemas.openxmlformats.org/drawingml/2006/picture">
                <pic:pic>
                  <pic:nvPicPr>
                    <pic:cNvPr id="72" name="image88.png"/>
                    <pic:cNvPicPr/>
                  </pic:nvPicPr>
                  <pic:blipFill>
                    <a:blip r:embed="rId196" cstate="print"/>
                    <a:stretch>
                      <a:fillRect/>
                    </a:stretch>
                  </pic:blipFill>
                  <pic:spPr>
                    <a:xfrm>
                      <a:off x="0" y="0"/>
                      <a:ext cx="2124662" cy="135350"/>
                    </a:xfrm>
                    <a:prstGeom prst="rect">
                      <a:avLst/>
                    </a:prstGeom>
                  </pic:spPr>
                </pic:pic>
              </a:graphicData>
            </a:graphic>
          </wp:anchor>
        </w:drawing>
      </w:r>
    </w:p>
    <w:p>
      <w:pPr>
        <w:pStyle w:val="BodyText"/>
        <w:spacing w:before="6"/>
        <w:rPr>
          <w:rFonts w:ascii="Century Gothic"/>
          <w:b/>
          <w:sz w:val="9"/>
        </w:rPr>
      </w:pPr>
    </w:p>
    <w:sectPr>
      <w:headerReference w:type="default" r:id="rId182"/>
      <w:footerReference w:type="default" r:id="rId183"/>
      <w:pgSz w:w="11630" w:h="15310"/>
      <w:pgMar w:header="0" w:footer="0" w:top="740" w:bottom="0" w:left="1640" w:right="1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entury Gothic">
    <w:altName w:val="Century Gothic"/>
    <w:charset w:val="0"/>
    <w:family w:val="swiss"/>
    <w:pitch w:val="variable"/>
  </w:font>
  <w:font w:name="Verdana">
    <w:altName w:val="Verdana"/>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156601pt;margin-top:729.421814pt;width:274.8pt;height:10.55pt;mso-position-horizontal-relative:page;mso-position-vertical-relative:page;z-index:-276414464" type="#_x0000_t202" filled="false" stroked="false">
          <v:textbox inset="0,0,0,0">
            <w:txbxContent>
              <w:p>
                <w:pPr>
                  <w:spacing w:before="16"/>
                  <w:ind w:left="20" w:right="0" w:firstLine="0"/>
                  <w:jc w:val="left"/>
                  <w:rPr>
                    <w:rFonts w:ascii="Tahoma" w:hAnsi="Tahoma"/>
                    <w:b/>
                    <w:sz w:val="14"/>
                  </w:rPr>
                </w:pPr>
                <w:r>
                  <w:rPr>
                    <w:rFonts w:ascii="Tahoma" w:hAnsi="Tahoma"/>
                    <w:b/>
                    <w:w w:val="105"/>
                    <w:sz w:val="14"/>
                  </w:rPr>
                  <w:t>LEY</w:t>
                </w:r>
                <w:r>
                  <w:rPr>
                    <w:rFonts w:ascii="Tahoma" w:hAnsi="Tahoma"/>
                    <w:b/>
                    <w:spacing w:val="-4"/>
                    <w:sz w:val="14"/>
                  </w:rPr>
                  <w:t> </w:t>
                </w:r>
                <w:r>
                  <w:rPr>
                    <w:rFonts w:ascii="Tahoma" w:hAnsi="Tahoma"/>
                    <w:b/>
                    <w:w w:val="105"/>
                    <w:sz w:val="14"/>
                  </w:rPr>
                  <w:t>DE</w:t>
                </w:r>
                <w:r>
                  <w:rPr>
                    <w:rFonts w:ascii="Tahoma" w:hAnsi="Tahoma"/>
                    <w:b/>
                    <w:spacing w:val="-4"/>
                    <w:sz w:val="14"/>
                  </w:rPr>
                  <w:t> </w:t>
                </w:r>
                <w:r>
                  <w:rPr>
                    <w:rFonts w:ascii="Tahoma" w:hAnsi="Tahoma"/>
                    <w:b/>
                    <w:w w:val="106"/>
                    <w:sz w:val="14"/>
                  </w:rPr>
                  <w:t>INGRESOS</w:t>
                </w:r>
                <w:r>
                  <w:rPr>
                    <w:rFonts w:ascii="Tahoma" w:hAnsi="Tahoma"/>
                    <w:b/>
                    <w:spacing w:val="-4"/>
                    <w:sz w:val="14"/>
                  </w:rPr>
                  <w:t> </w:t>
                </w:r>
                <w:r>
                  <w:rPr>
                    <w:rFonts w:ascii="Tahoma" w:hAnsi="Tahoma"/>
                    <w:b/>
                    <w:w w:val="100"/>
                    <w:sz w:val="14"/>
                  </w:rPr>
                  <w:t>2020</w:t>
                </w:r>
                <w:r>
                  <w:rPr>
                    <w:rFonts w:ascii="Tahoma" w:hAnsi="Tahoma"/>
                    <w:b/>
                    <w:spacing w:val="-4"/>
                    <w:sz w:val="14"/>
                  </w:rPr>
                  <w:t> </w:t>
                </w:r>
                <w:r>
                  <w:rPr>
                    <w:rFonts w:ascii="Tahoma" w:hAnsi="Tahoma"/>
                    <w:b/>
                    <w:w w:val="72"/>
                    <w:sz w:val="14"/>
                  </w:rPr>
                  <w:t>/</w:t>
                </w:r>
                <w:r>
                  <w:rPr>
                    <w:rFonts w:ascii="Tahoma" w:hAnsi="Tahoma"/>
                    <w:b/>
                    <w:spacing w:val="-4"/>
                    <w:sz w:val="14"/>
                  </w:rPr>
                  <w:t> </w:t>
                </w:r>
                <w:r>
                  <w:rPr>
                    <w:rFonts w:ascii="Tahoma" w:hAnsi="Tahoma"/>
                    <w:b/>
                    <w:smallCaps/>
                    <w:w w:val="106"/>
                    <w:sz w:val="14"/>
                  </w:rPr>
                  <w:t>Tlajomulco</w:t>
                </w:r>
                <w:r>
                  <w:rPr>
                    <w:rFonts w:ascii="Tahoma" w:hAnsi="Tahoma"/>
                    <w:b/>
                    <w:smallCaps w:val="0"/>
                    <w:spacing w:val="-6"/>
                    <w:sz w:val="14"/>
                  </w:rPr>
                  <w:t> </w:t>
                </w:r>
                <w:r>
                  <w:rPr>
                    <w:rFonts w:ascii="Tahoma" w:hAnsi="Tahoma"/>
                    <w:b/>
                    <w:smallCaps w:val="0"/>
                    <w:w w:val="107"/>
                    <w:sz w:val="14"/>
                  </w:rPr>
                  <w:t>de</w:t>
                </w:r>
                <w:r>
                  <w:rPr>
                    <w:rFonts w:ascii="Tahoma" w:hAnsi="Tahoma"/>
                    <w:b/>
                    <w:smallCaps w:val="0"/>
                    <w:spacing w:val="-5"/>
                    <w:sz w:val="14"/>
                  </w:rPr>
                  <w:t> </w:t>
                </w:r>
                <w:r>
                  <w:rPr>
                    <w:rFonts w:ascii="Tahoma" w:hAnsi="Tahoma"/>
                    <w:b/>
                    <w:smallCaps w:val="0"/>
                    <w:w w:val="107"/>
                    <w:sz w:val="14"/>
                  </w:rPr>
                  <w:t>Z</w:t>
                </w:r>
                <w:r>
                  <w:rPr>
                    <w:rFonts w:ascii="Tahoma" w:hAnsi="Tahoma"/>
                    <w:b/>
                    <w:smallCaps w:val="0"/>
                    <w:spacing w:val="-1"/>
                    <w:w w:val="107"/>
                    <w:sz w:val="14"/>
                  </w:rPr>
                  <w:t>ú</w:t>
                </w:r>
                <w:r>
                  <w:rPr>
                    <w:rFonts w:ascii="Tahoma" w:hAnsi="Tahoma"/>
                    <w:b/>
                    <w:smallCaps w:val="0"/>
                    <w:w w:val="112"/>
                    <w:sz w:val="14"/>
                  </w:rPr>
                  <w:t>ñ</w:t>
                </w:r>
                <w:r>
                  <w:rPr>
                    <w:rFonts w:ascii="Tahoma" w:hAnsi="Tahoma"/>
                    <w:b/>
                    <w:smallCaps w:val="0"/>
                    <w:spacing w:val="-1"/>
                    <w:w w:val="112"/>
                    <w:sz w:val="14"/>
                  </w:rPr>
                  <w:t>i</w:t>
                </w:r>
                <w:r>
                  <w:rPr>
                    <w:rFonts w:ascii="Tahoma" w:hAnsi="Tahoma"/>
                    <w:b/>
                    <w:smallCaps/>
                    <w:w w:val="118"/>
                    <w:sz w:val="14"/>
                  </w:rPr>
                  <w:t>ga</w:t>
                </w:r>
                <w:r>
                  <w:rPr>
                    <w:rFonts w:ascii="Tahoma" w:hAnsi="Tahoma"/>
                    <w:b/>
                    <w:smallCaps w:val="0"/>
                    <w:spacing w:val="-4"/>
                    <w:sz w:val="14"/>
                  </w:rPr>
                  <w:t> </w:t>
                </w:r>
                <w:r>
                  <w:rPr>
                    <w:rFonts w:ascii="Tahoma" w:hAnsi="Tahoma"/>
                    <w:b/>
                    <w:smallCaps w:val="0"/>
                    <w:w w:val="72"/>
                    <w:sz w:val="14"/>
                  </w:rPr>
                  <w:t>/</w:t>
                </w:r>
                <w:r>
                  <w:rPr>
                    <w:rFonts w:ascii="Tahoma" w:hAnsi="Tahoma"/>
                    <w:b/>
                    <w:smallCaps w:val="0"/>
                    <w:spacing w:val="-4"/>
                    <w:sz w:val="14"/>
                  </w:rPr>
                  <w:t> </w:t>
                </w:r>
                <w:r>
                  <w:rPr>
                    <w:rFonts w:ascii="Tahoma" w:hAnsi="Tahoma"/>
                    <w:b/>
                    <w:smallCaps w:val="0"/>
                    <w:w w:val="104"/>
                    <w:sz w:val="14"/>
                  </w:rPr>
                  <w:t>N</w:t>
                </w:r>
                <w:r>
                  <w:rPr>
                    <w:rFonts w:ascii="Tahoma" w:hAnsi="Tahoma"/>
                    <w:b/>
                    <w:smallCaps w:val="0"/>
                    <w:spacing w:val="-2"/>
                    <w:w w:val="104"/>
                    <w:sz w:val="14"/>
                  </w:rPr>
                  <w:t>ú</w:t>
                </w:r>
                <w:r>
                  <w:rPr>
                    <w:rFonts w:ascii="Tahoma" w:hAnsi="Tahoma"/>
                    <w:b/>
                    <w:smallCaps w:val="0"/>
                    <w:spacing w:val="-2"/>
                    <w:w w:val="112"/>
                    <w:sz w:val="14"/>
                  </w:rPr>
                  <w:t>m</w:t>
                </w:r>
                <w:r>
                  <w:rPr>
                    <w:rFonts w:ascii="Tahoma" w:hAnsi="Tahoma"/>
                    <w:b/>
                    <w:smallCaps w:val="0"/>
                    <w:w w:val="108"/>
                    <w:sz w:val="14"/>
                  </w:rPr>
                  <w:t>e</w:t>
                </w:r>
                <w:r>
                  <w:rPr>
                    <w:rFonts w:ascii="Tahoma" w:hAnsi="Tahoma"/>
                    <w:b/>
                    <w:smallCaps w:val="0"/>
                    <w:spacing w:val="-3"/>
                    <w:w w:val="108"/>
                    <w:sz w:val="14"/>
                  </w:rPr>
                  <w:t>r</w:t>
                </w:r>
                <w:r>
                  <w:rPr>
                    <w:rFonts w:ascii="Tahoma" w:hAnsi="Tahoma"/>
                    <w:b/>
                    <w:smallCaps w:val="0"/>
                    <w:w w:val="101"/>
                    <w:sz w:val="14"/>
                  </w:rPr>
                  <w:t>o</w:t>
                </w:r>
                <w:r>
                  <w:rPr>
                    <w:rFonts w:ascii="Tahoma" w:hAnsi="Tahoma"/>
                    <w:b/>
                    <w:smallCaps w:val="0"/>
                    <w:spacing w:val="-7"/>
                    <w:sz w:val="14"/>
                  </w:rPr>
                  <w:t> </w:t>
                </w:r>
                <w:r>
                  <w:rPr>
                    <w:rFonts w:ascii="Tahoma" w:hAnsi="Tahoma"/>
                    <w:b/>
                    <w:smallCaps w:val="0"/>
                    <w:w w:val="98"/>
                    <w:sz w:val="14"/>
                  </w:rPr>
                  <w:t>3</w:t>
                </w:r>
                <w:r>
                  <w:rPr>
                    <w:rFonts w:ascii="Tahoma" w:hAnsi="Tahoma"/>
                    <w:b/>
                    <w:smallCaps w:val="0"/>
                    <w:spacing w:val="-11"/>
                    <w:w w:val="98"/>
                    <w:sz w:val="14"/>
                  </w:rPr>
                  <w:t>9</w:t>
                </w:r>
                <w:r>
                  <w:rPr>
                    <w:rFonts w:ascii="Tahoma" w:hAnsi="Tahoma"/>
                    <w:b/>
                    <w:smallCaps w:val="0"/>
                    <w:w w:val="73"/>
                    <w:sz w:val="14"/>
                  </w:rPr>
                  <w:t>.</w:t>
                </w:r>
                <w:r>
                  <w:rPr>
                    <w:rFonts w:ascii="Tahoma" w:hAnsi="Tahoma"/>
                    <w:b/>
                    <w:smallCaps w:val="0"/>
                    <w:spacing w:val="-6"/>
                    <w:sz w:val="14"/>
                  </w:rPr>
                  <w:t> </w:t>
                </w:r>
                <w:r>
                  <w:rPr>
                    <w:rFonts w:ascii="Tahoma" w:hAnsi="Tahoma"/>
                    <w:b/>
                    <w:smallCaps w:val="0"/>
                    <w:w w:val="110"/>
                    <w:sz w:val="14"/>
                  </w:rPr>
                  <w:t>Secc</w:t>
                </w:r>
                <w:r>
                  <w:rPr>
                    <w:rFonts w:ascii="Tahoma" w:hAnsi="Tahoma"/>
                    <w:b/>
                    <w:smallCaps w:val="0"/>
                    <w:spacing w:val="-2"/>
                    <w:w w:val="110"/>
                    <w:sz w:val="14"/>
                  </w:rPr>
                  <w:t>i</w:t>
                </w:r>
                <w:r>
                  <w:rPr>
                    <w:rFonts w:ascii="Tahoma" w:hAnsi="Tahoma"/>
                    <w:b/>
                    <w:smallCaps w:val="0"/>
                    <w:w w:val="109"/>
                    <w:sz w:val="14"/>
                  </w:rPr>
                  <w:t>ón</w:t>
                </w:r>
                <w:r>
                  <w:rPr>
                    <w:rFonts w:ascii="Tahoma" w:hAnsi="Tahoma"/>
                    <w:b/>
                    <w:smallCaps w:val="0"/>
                    <w:spacing w:val="-6"/>
                    <w:sz w:val="14"/>
                  </w:rPr>
                  <w:t> </w:t>
                </w:r>
                <w:r>
                  <w:rPr>
                    <w:rFonts w:ascii="Tahoma" w:hAnsi="Tahoma"/>
                    <w:b/>
                    <w:smallCaps w:val="0"/>
                    <w:w w:val="104"/>
                    <w:sz w:val="14"/>
                  </w:rPr>
                  <w:t>X</w:t>
                </w:r>
                <w:r>
                  <w:rPr>
                    <w:rFonts w:ascii="Tahoma" w:hAnsi="Tahoma"/>
                    <w:b/>
                    <w:smallCaps w:val="0"/>
                    <w:spacing w:val="-13"/>
                    <w:w w:val="104"/>
                    <w:sz w:val="14"/>
                  </w:rPr>
                  <w:t>L</w:t>
                </w:r>
                <w:r>
                  <w:rPr>
                    <w:rFonts w:ascii="Tahoma" w:hAnsi="Tahoma"/>
                    <w:b/>
                    <w:smallCaps w:val="0"/>
                    <w:w w:val="108"/>
                    <w:sz w:val="14"/>
                  </w:rPr>
                  <w:t>VI</w:t>
                </w:r>
              </w:p>
            </w:txbxContent>
          </v:textbox>
          <w10:wrap type="none"/>
        </v:shape>
      </w:pict>
    </w:r>
    <w:r>
      <w:rPr/>
      <w:pict>
        <v:shape style="position:absolute;margin-left:734.261597pt;margin-top:729.421814pt;width:274.8pt;height:10.55pt;mso-position-horizontal-relative:page;mso-position-vertical-relative:page;z-index:-276413440" type="#_x0000_t202" filled="false" stroked="false">
          <v:textbox inset="0,0,0,0">
            <w:txbxContent>
              <w:p>
                <w:pPr>
                  <w:spacing w:before="16"/>
                  <w:ind w:left="20" w:right="0" w:firstLine="0"/>
                  <w:jc w:val="left"/>
                  <w:rPr>
                    <w:rFonts w:ascii="Tahoma" w:hAnsi="Tahoma"/>
                    <w:b/>
                    <w:sz w:val="14"/>
                  </w:rPr>
                </w:pPr>
                <w:r>
                  <w:rPr>
                    <w:rFonts w:ascii="Tahoma" w:hAnsi="Tahoma"/>
                    <w:b/>
                    <w:w w:val="105"/>
                    <w:sz w:val="14"/>
                  </w:rPr>
                  <w:t>LEY</w:t>
                </w:r>
                <w:r>
                  <w:rPr>
                    <w:rFonts w:ascii="Tahoma" w:hAnsi="Tahoma"/>
                    <w:b/>
                    <w:spacing w:val="-4"/>
                    <w:sz w:val="14"/>
                  </w:rPr>
                  <w:t> </w:t>
                </w:r>
                <w:r>
                  <w:rPr>
                    <w:rFonts w:ascii="Tahoma" w:hAnsi="Tahoma"/>
                    <w:b/>
                    <w:w w:val="105"/>
                    <w:sz w:val="14"/>
                  </w:rPr>
                  <w:t>DE</w:t>
                </w:r>
                <w:r>
                  <w:rPr>
                    <w:rFonts w:ascii="Tahoma" w:hAnsi="Tahoma"/>
                    <w:b/>
                    <w:spacing w:val="-4"/>
                    <w:sz w:val="14"/>
                  </w:rPr>
                  <w:t> </w:t>
                </w:r>
                <w:r>
                  <w:rPr>
                    <w:rFonts w:ascii="Tahoma" w:hAnsi="Tahoma"/>
                    <w:b/>
                    <w:w w:val="106"/>
                    <w:sz w:val="14"/>
                  </w:rPr>
                  <w:t>INGRESOS</w:t>
                </w:r>
                <w:r>
                  <w:rPr>
                    <w:rFonts w:ascii="Tahoma" w:hAnsi="Tahoma"/>
                    <w:b/>
                    <w:spacing w:val="-4"/>
                    <w:sz w:val="14"/>
                  </w:rPr>
                  <w:t> </w:t>
                </w:r>
                <w:r>
                  <w:rPr>
                    <w:rFonts w:ascii="Tahoma" w:hAnsi="Tahoma"/>
                    <w:b/>
                    <w:w w:val="100"/>
                    <w:sz w:val="14"/>
                  </w:rPr>
                  <w:t>2020</w:t>
                </w:r>
                <w:r>
                  <w:rPr>
                    <w:rFonts w:ascii="Tahoma" w:hAnsi="Tahoma"/>
                    <w:b/>
                    <w:spacing w:val="-4"/>
                    <w:sz w:val="14"/>
                  </w:rPr>
                  <w:t> </w:t>
                </w:r>
                <w:r>
                  <w:rPr>
                    <w:rFonts w:ascii="Tahoma" w:hAnsi="Tahoma"/>
                    <w:b/>
                    <w:w w:val="72"/>
                    <w:sz w:val="14"/>
                  </w:rPr>
                  <w:t>/</w:t>
                </w:r>
                <w:r>
                  <w:rPr>
                    <w:rFonts w:ascii="Tahoma" w:hAnsi="Tahoma"/>
                    <w:b/>
                    <w:spacing w:val="-4"/>
                    <w:sz w:val="14"/>
                  </w:rPr>
                  <w:t> </w:t>
                </w:r>
                <w:r>
                  <w:rPr>
                    <w:rFonts w:ascii="Tahoma" w:hAnsi="Tahoma"/>
                    <w:b/>
                    <w:smallCaps/>
                    <w:w w:val="106"/>
                    <w:sz w:val="14"/>
                  </w:rPr>
                  <w:t>Tlajomulco</w:t>
                </w:r>
                <w:r>
                  <w:rPr>
                    <w:rFonts w:ascii="Tahoma" w:hAnsi="Tahoma"/>
                    <w:b/>
                    <w:smallCaps w:val="0"/>
                    <w:spacing w:val="-6"/>
                    <w:sz w:val="14"/>
                  </w:rPr>
                  <w:t> </w:t>
                </w:r>
                <w:r>
                  <w:rPr>
                    <w:rFonts w:ascii="Tahoma" w:hAnsi="Tahoma"/>
                    <w:b/>
                    <w:smallCaps w:val="0"/>
                    <w:w w:val="107"/>
                    <w:sz w:val="14"/>
                  </w:rPr>
                  <w:t>de</w:t>
                </w:r>
                <w:r>
                  <w:rPr>
                    <w:rFonts w:ascii="Tahoma" w:hAnsi="Tahoma"/>
                    <w:b/>
                    <w:smallCaps w:val="0"/>
                    <w:spacing w:val="-5"/>
                    <w:sz w:val="14"/>
                  </w:rPr>
                  <w:t> </w:t>
                </w:r>
                <w:r>
                  <w:rPr>
                    <w:rFonts w:ascii="Tahoma" w:hAnsi="Tahoma"/>
                    <w:b/>
                    <w:smallCaps w:val="0"/>
                    <w:w w:val="107"/>
                    <w:sz w:val="14"/>
                  </w:rPr>
                  <w:t>Z</w:t>
                </w:r>
                <w:r>
                  <w:rPr>
                    <w:rFonts w:ascii="Tahoma" w:hAnsi="Tahoma"/>
                    <w:b/>
                    <w:smallCaps w:val="0"/>
                    <w:spacing w:val="-1"/>
                    <w:w w:val="107"/>
                    <w:sz w:val="14"/>
                  </w:rPr>
                  <w:t>ú</w:t>
                </w:r>
                <w:r>
                  <w:rPr>
                    <w:rFonts w:ascii="Tahoma" w:hAnsi="Tahoma"/>
                    <w:b/>
                    <w:smallCaps w:val="0"/>
                    <w:w w:val="112"/>
                    <w:sz w:val="14"/>
                  </w:rPr>
                  <w:t>ñ</w:t>
                </w:r>
                <w:r>
                  <w:rPr>
                    <w:rFonts w:ascii="Tahoma" w:hAnsi="Tahoma"/>
                    <w:b/>
                    <w:smallCaps w:val="0"/>
                    <w:spacing w:val="-1"/>
                    <w:w w:val="112"/>
                    <w:sz w:val="14"/>
                  </w:rPr>
                  <w:t>i</w:t>
                </w:r>
                <w:r>
                  <w:rPr>
                    <w:rFonts w:ascii="Tahoma" w:hAnsi="Tahoma"/>
                    <w:b/>
                    <w:smallCaps/>
                    <w:w w:val="118"/>
                    <w:sz w:val="14"/>
                  </w:rPr>
                  <w:t>ga</w:t>
                </w:r>
                <w:r>
                  <w:rPr>
                    <w:rFonts w:ascii="Tahoma" w:hAnsi="Tahoma"/>
                    <w:b/>
                    <w:smallCaps w:val="0"/>
                    <w:spacing w:val="-4"/>
                    <w:sz w:val="14"/>
                  </w:rPr>
                  <w:t> </w:t>
                </w:r>
                <w:r>
                  <w:rPr>
                    <w:rFonts w:ascii="Tahoma" w:hAnsi="Tahoma"/>
                    <w:b/>
                    <w:smallCaps w:val="0"/>
                    <w:w w:val="72"/>
                    <w:sz w:val="14"/>
                  </w:rPr>
                  <w:t>/</w:t>
                </w:r>
                <w:r>
                  <w:rPr>
                    <w:rFonts w:ascii="Tahoma" w:hAnsi="Tahoma"/>
                    <w:b/>
                    <w:smallCaps w:val="0"/>
                    <w:spacing w:val="-4"/>
                    <w:sz w:val="14"/>
                  </w:rPr>
                  <w:t> </w:t>
                </w:r>
                <w:r>
                  <w:rPr>
                    <w:rFonts w:ascii="Tahoma" w:hAnsi="Tahoma"/>
                    <w:b/>
                    <w:smallCaps w:val="0"/>
                    <w:w w:val="104"/>
                    <w:sz w:val="14"/>
                  </w:rPr>
                  <w:t>N</w:t>
                </w:r>
                <w:r>
                  <w:rPr>
                    <w:rFonts w:ascii="Tahoma" w:hAnsi="Tahoma"/>
                    <w:b/>
                    <w:smallCaps w:val="0"/>
                    <w:spacing w:val="-2"/>
                    <w:w w:val="104"/>
                    <w:sz w:val="14"/>
                  </w:rPr>
                  <w:t>ú</w:t>
                </w:r>
                <w:r>
                  <w:rPr>
                    <w:rFonts w:ascii="Tahoma" w:hAnsi="Tahoma"/>
                    <w:b/>
                    <w:smallCaps w:val="0"/>
                    <w:spacing w:val="-2"/>
                    <w:w w:val="112"/>
                    <w:sz w:val="14"/>
                  </w:rPr>
                  <w:t>m</w:t>
                </w:r>
                <w:r>
                  <w:rPr>
                    <w:rFonts w:ascii="Tahoma" w:hAnsi="Tahoma"/>
                    <w:b/>
                    <w:smallCaps w:val="0"/>
                    <w:w w:val="108"/>
                    <w:sz w:val="14"/>
                  </w:rPr>
                  <w:t>e</w:t>
                </w:r>
                <w:r>
                  <w:rPr>
                    <w:rFonts w:ascii="Tahoma" w:hAnsi="Tahoma"/>
                    <w:b/>
                    <w:smallCaps w:val="0"/>
                    <w:spacing w:val="-3"/>
                    <w:w w:val="108"/>
                    <w:sz w:val="14"/>
                  </w:rPr>
                  <w:t>r</w:t>
                </w:r>
                <w:r>
                  <w:rPr>
                    <w:rFonts w:ascii="Tahoma" w:hAnsi="Tahoma"/>
                    <w:b/>
                    <w:smallCaps w:val="0"/>
                    <w:w w:val="101"/>
                    <w:sz w:val="14"/>
                  </w:rPr>
                  <w:t>o</w:t>
                </w:r>
                <w:r>
                  <w:rPr>
                    <w:rFonts w:ascii="Tahoma" w:hAnsi="Tahoma"/>
                    <w:b/>
                    <w:smallCaps w:val="0"/>
                    <w:spacing w:val="-7"/>
                    <w:sz w:val="14"/>
                  </w:rPr>
                  <w:t> </w:t>
                </w:r>
                <w:r>
                  <w:rPr>
                    <w:rFonts w:ascii="Tahoma" w:hAnsi="Tahoma"/>
                    <w:b/>
                    <w:smallCaps w:val="0"/>
                    <w:w w:val="98"/>
                    <w:sz w:val="14"/>
                  </w:rPr>
                  <w:t>3</w:t>
                </w:r>
                <w:r>
                  <w:rPr>
                    <w:rFonts w:ascii="Tahoma" w:hAnsi="Tahoma"/>
                    <w:b/>
                    <w:smallCaps w:val="0"/>
                    <w:spacing w:val="-11"/>
                    <w:w w:val="98"/>
                    <w:sz w:val="14"/>
                  </w:rPr>
                  <w:t>9</w:t>
                </w:r>
                <w:r>
                  <w:rPr>
                    <w:rFonts w:ascii="Tahoma" w:hAnsi="Tahoma"/>
                    <w:b/>
                    <w:smallCaps w:val="0"/>
                    <w:w w:val="73"/>
                    <w:sz w:val="14"/>
                  </w:rPr>
                  <w:t>.</w:t>
                </w:r>
                <w:r>
                  <w:rPr>
                    <w:rFonts w:ascii="Tahoma" w:hAnsi="Tahoma"/>
                    <w:b/>
                    <w:smallCaps w:val="0"/>
                    <w:spacing w:val="-6"/>
                    <w:sz w:val="14"/>
                  </w:rPr>
                  <w:t> </w:t>
                </w:r>
                <w:r>
                  <w:rPr>
                    <w:rFonts w:ascii="Tahoma" w:hAnsi="Tahoma"/>
                    <w:b/>
                    <w:smallCaps w:val="0"/>
                    <w:w w:val="110"/>
                    <w:sz w:val="14"/>
                  </w:rPr>
                  <w:t>Secc</w:t>
                </w:r>
                <w:r>
                  <w:rPr>
                    <w:rFonts w:ascii="Tahoma" w:hAnsi="Tahoma"/>
                    <w:b/>
                    <w:smallCaps w:val="0"/>
                    <w:spacing w:val="-2"/>
                    <w:w w:val="110"/>
                    <w:sz w:val="14"/>
                  </w:rPr>
                  <w:t>i</w:t>
                </w:r>
                <w:r>
                  <w:rPr>
                    <w:rFonts w:ascii="Tahoma" w:hAnsi="Tahoma"/>
                    <w:b/>
                    <w:smallCaps w:val="0"/>
                    <w:w w:val="109"/>
                    <w:sz w:val="14"/>
                  </w:rPr>
                  <w:t>ón</w:t>
                </w:r>
                <w:r>
                  <w:rPr>
                    <w:rFonts w:ascii="Tahoma" w:hAnsi="Tahoma"/>
                    <w:b/>
                    <w:smallCaps w:val="0"/>
                    <w:spacing w:val="-6"/>
                    <w:sz w:val="14"/>
                  </w:rPr>
                  <w:t> </w:t>
                </w:r>
                <w:r>
                  <w:rPr>
                    <w:rFonts w:ascii="Tahoma" w:hAnsi="Tahoma"/>
                    <w:b/>
                    <w:smallCaps w:val="0"/>
                    <w:w w:val="104"/>
                    <w:sz w:val="14"/>
                  </w:rPr>
                  <w:t>X</w:t>
                </w:r>
                <w:r>
                  <w:rPr>
                    <w:rFonts w:ascii="Tahoma" w:hAnsi="Tahoma"/>
                    <w:b/>
                    <w:smallCaps w:val="0"/>
                    <w:spacing w:val="-13"/>
                    <w:w w:val="104"/>
                    <w:sz w:val="14"/>
                  </w:rPr>
                  <w:t>L</w:t>
                </w:r>
                <w:r>
                  <w:rPr>
                    <w:rFonts w:ascii="Tahoma" w:hAnsi="Tahoma"/>
                    <w:b/>
                    <w:smallCaps w:val="0"/>
                    <w:w w:val="108"/>
                    <w:sz w:val="14"/>
                  </w:rPr>
                  <w:t>VI</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41856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41753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8.75pt;height:12pt;mso-position-horizontal-relative:page;mso-position-vertical-relative:page;z-index:-276416512" type="#_x0000_t202" filled="false" stroked="false">
          <v:textbox inset="0,0,0,0">
            <w:txbxContent>
              <w:p>
                <w:pPr>
                  <w:spacing w:line="214" w:lineRule="exact" w:before="0"/>
                  <w:ind w:left="20" w:right="0" w:firstLine="0"/>
                  <w:jc w:val="left"/>
                  <w:rPr>
                    <w:sz w:val="20"/>
                  </w:rPr>
                </w:pPr>
                <w:r>
                  <w:rPr>
                    <w:w w:val="121"/>
                    <w:sz w:val="20"/>
                  </w:rPr>
                  <w:t>4</w:t>
                </w:r>
              </w:p>
            </w:txbxContent>
          </v:textbox>
          <w10:wrap type="none"/>
        </v:shape>
      </w:pict>
    </w:r>
    <w:r>
      <w:rPr/>
      <w:pict>
        <v:shape style="position:absolute;margin-left:1072.933594pt;margin-top:85.962502pt;width:8.2pt;height:12pt;mso-position-horizontal-relative:page;mso-position-vertical-relative:page;z-index:-276415488" type="#_x0000_t202" filled="false" stroked="false">
          <v:textbox inset="0,0,0,0">
            <w:txbxContent>
              <w:p>
                <w:pPr>
                  <w:spacing w:line="214" w:lineRule="exact" w:before="0"/>
                  <w:ind w:left="20" w:right="0" w:firstLine="0"/>
                  <w:jc w:val="left"/>
                  <w:rPr>
                    <w:sz w:val="20"/>
                  </w:rPr>
                </w:pPr>
                <w:r>
                  <w:rPr>
                    <w:w w:val="110"/>
                    <w:sz w:val="20"/>
                  </w:rPr>
                  <w:t>5</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7964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7862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3.75pt;height:12pt;mso-position-horizontal-relative:page;mso-position-vertical-relative:page;z-index:-276377600" type="#_x0000_t202" filled="false" stroked="false">
          <v:textbox inset="0,0,0,0">
            <w:txbxContent>
              <w:p>
                <w:pPr>
                  <w:spacing w:line="214" w:lineRule="exact" w:before="0"/>
                  <w:ind w:left="20" w:right="0" w:firstLine="0"/>
                  <w:jc w:val="left"/>
                  <w:rPr>
                    <w:sz w:val="20"/>
                  </w:rPr>
                </w:pPr>
                <w:r>
                  <w:rPr>
                    <w:w w:val="105"/>
                    <w:sz w:val="20"/>
                  </w:rPr>
                  <w:t>22</w:t>
                </w:r>
              </w:p>
            </w:txbxContent>
          </v:textbox>
          <w10:wrap type="none"/>
        </v:shape>
      </w:pict>
    </w:r>
    <w:r>
      <w:rPr/>
      <w:pict>
        <v:shape style="position:absolute;margin-left:1067.353638pt;margin-top:85.962502pt;width:13.75pt;height:12pt;mso-position-horizontal-relative:page;mso-position-vertical-relative:page;z-index:-276376576" type="#_x0000_t202" filled="false" stroked="false">
          <v:textbox inset="0,0,0,0">
            <w:txbxContent>
              <w:p>
                <w:pPr>
                  <w:spacing w:line="214" w:lineRule="exact" w:before="0"/>
                  <w:ind w:left="20" w:right="0" w:firstLine="0"/>
                  <w:jc w:val="left"/>
                  <w:rPr>
                    <w:sz w:val="20"/>
                  </w:rPr>
                </w:pPr>
                <w:r>
                  <w:rPr>
                    <w:w w:val="105"/>
                    <w:sz w:val="20"/>
                  </w:rPr>
                  <w:t>23</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7555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7452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6pt;height:12pt;mso-position-horizontal-relative:page;mso-position-vertical-relative:page;z-index:-276373504" type="#_x0000_t202" filled="false" stroked="false">
          <v:textbox inset="0,0,0,0">
            <w:txbxContent>
              <w:p>
                <w:pPr>
                  <w:spacing w:line="214" w:lineRule="exact" w:before="0"/>
                  <w:ind w:left="20" w:right="0" w:firstLine="0"/>
                  <w:jc w:val="left"/>
                  <w:rPr>
                    <w:sz w:val="20"/>
                  </w:rPr>
                </w:pPr>
                <w:r>
                  <w:rPr>
                    <w:w w:val="115"/>
                    <w:sz w:val="20"/>
                  </w:rPr>
                  <w:t>24</w:t>
                </w:r>
              </w:p>
            </w:txbxContent>
          </v:textbox>
          <w10:wrap type="none"/>
        </v:shape>
      </w:pict>
    </w:r>
    <w:r>
      <w:rPr/>
      <w:pict>
        <v:shape style="position:absolute;margin-left:1067.073608pt;margin-top:85.962502pt;width:14.05pt;height:12pt;mso-position-horizontal-relative:page;mso-position-vertical-relative:page;z-index:-276372480" type="#_x0000_t202" filled="false" stroked="false">
          <v:textbox inset="0,0,0,0">
            <w:txbxContent>
              <w:p>
                <w:pPr>
                  <w:spacing w:line="214" w:lineRule="exact" w:before="0"/>
                  <w:ind w:left="20" w:right="0" w:firstLine="0"/>
                  <w:jc w:val="left"/>
                  <w:rPr>
                    <w:sz w:val="20"/>
                  </w:rPr>
                </w:pPr>
                <w:r>
                  <w:rPr>
                    <w:w w:val="110"/>
                    <w:sz w:val="20"/>
                  </w:rPr>
                  <w:t>25</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7145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7043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35pt;height:12pt;mso-position-horizontal-relative:page;mso-position-vertical-relative:page;z-index:-276369408" type="#_x0000_t202" filled="false" stroked="false">
          <v:textbox inset="0,0,0,0">
            <w:txbxContent>
              <w:p>
                <w:pPr>
                  <w:spacing w:line="214" w:lineRule="exact" w:before="0"/>
                  <w:ind w:left="20" w:right="0" w:firstLine="0"/>
                  <w:jc w:val="left"/>
                  <w:rPr>
                    <w:sz w:val="20"/>
                  </w:rPr>
                </w:pPr>
                <w:r>
                  <w:rPr>
                    <w:w w:val="110"/>
                    <w:sz w:val="20"/>
                  </w:rPr>
                  <w:t>26</w:t>
                </w:r>
              </w:p>
            </w:txbxContent>
          </v:textbox>
          <w10:wrap type="none"/>
        </v:shape>
      </w:pict>
    </w:r>
    <w:r>
      <w:rPr/>
      <w:pict>
        <v:shape style="position:absolute;margin-left:1067.933594pt;margin-top:85.962502pt;width:13.2pt;height:12pt;mso-position-horizontal-relative:page;mso-position-vertical-relative:page;z-index:-276368384" type="#_x0000_t202" filled="false" stroked="false">
          <v:textbox inset="0,0,0,0">
            <w:txbxContent>
              <w:p>
                <w:pPr>
                  <w:spacing w:line="214" w:lineRule="exact" w:before="0"/>
                  <w:ind w:left="20" w:right="0" w:firstLine="0"/>
                  <w:jc w:val="left"/>
                  <w:rPr>
                    <w:sz w:val="20"/>
                  </w:rPr>
                </w:pPr>
                <w:r>
                  <w:rPr>
                    <w:sz w:val="20"/>
                  </w:rPr>
                  <w:t>27</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6736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6633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4.45pt;height:12pt;mso-position-horizontal-relative:page;mso-position-vertical-relative:page;z-index:-276365312" type="#_x0000_t202" filled="false" stroked="false">
          <v:textbox inset="0,0,0,0">
            <w:txbxContent>
              <w:p>
                <w:pPr>
                  <w:spacing w:line="214" w:lineRule="exact" w:before="0"/>
                  <w:ind w:left="20" w:right="0" w:firstLine="0"/>
                  <w:jc w:val="left"/>
                  <w:rPr>
                    <w:sz w:val="20"/>
                  </w:rPr>
                </w:pPr>
                <w:r>
                  <w:rPr>
                    <w:w w:val="110"/>
                    <w:sz w:val="20"/>
                  </w:rPr>
                  <w:t>28</w:t>
                </w:r>
              </w:p>
            </w:txbxContent>
          </v:textbox>
          <w10:wrap type="none"/>
        </v:shape>
      </w:pict>
    </w:r>
    <w:r>
      <w:rPr/>
      <w:pict>
        <v:shape style="position:absolute;margin-left:1066.753662pt;margin-top:85.962502pt;width:14.35pt;height:12pt;mso-position-horizontal-relative:page;mso-position-vertical-relative:page;z-index:-276364288" type="#_x0000_t202" filled="false" stroked="false">
          <v:textbox inset="0,0,0,0">
            <w:txbxContent>
              <w:p>
                <w:pPr>
                  <w:spacing w:line="214" w:lineRule="exact" w:before="0"/>
                  <w:ind w:left="20" w:right="0" w:firstLine="0"/>
                  <w:jc w:val="left"/>
                  <w:rPr>
                    <w:sz w:val="20"/>
                  </w:rPr>
                </w:pPr>
                <w:r>
                  <w:rPr>
                    <w:w w:val="110"/>
                    <w:sz w:val="20"/>
                  </w:rPr>
                  <w:t>29</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6326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6224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8pt;height:12pt;mso-position-horizontal-relative:page;mso-position-vertical-relative:page;z-index:-276361216" type="#_x0000_t202" filled="false" stroked="false">
          <v:textbox inset="0,0,0,0">
            <w:txbxContent>
              <w:p>
                <w:pPr>
                  <w:spacing w:line="214" w:lineRule="exact" w:before="0"/>
                  <w:ind w:left="20" w:right="0" w:firstLine="0"/>
                  <w:jc w:val="left"/>
                  <w:rPr>
                    <w:sz w:val="20"/>
                  </w:rPr>
                </w:pPr>
                <w:r>
                  <w:rPr>
                    <w:w w:val="115"/>
                    <w:sz w:val="20"/>
                  </w:rPr>
                  <w:t>30</w:t>
                </w:r>
              </w:p>
            </w:txbxContent>
          </v:textbox>
          <w10:wrap type="none"/>
        </v:shape>
      </w:pict>
    </w:r>
    <w:r>
      <w:rPr/>
      <w:pict>
        <v:shape style="position:absolute;margin-left:1069.463623pt;margin-top:85.962502pt;width:11.65pt;height:12pt;mso-position-horizontal-relative:page;mso-position-vertical-relative:page;z-index:-276360192" type="#_x0000_t202" filled="false" stroked="false">
          <v:textbox inset="0,0,0,0">
            <w:txbxContent>
              <w:p>
                <w:pPr>
                  <w:spacing w:line="214" w:lineRule="exact" w:before="0"/>
                  <w:ind w:left="20" w:right="0" w:firstLine="0"/>
                  <w:jc w:val="left"/>
                  <w:rPr>
                    <w:sz w:val="20"/>
                  </w:rPr>
                </w:pPr>
                <w:r>
                  <w:rPr>
                    <w:w w:val="90"/>
                    <w:sz w:val="20"/>
                  </w:rPr>
                  <w:t>31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5916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5814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3.75pt;height:12pt;mso-position-horizontal-relative:page;mso-position-vertical-relative:page;z-index:-276357120" type="#_x0000_t202" filled="false" stroked="false">
          <v:textbox inset="0,0,0,0">
            <w:txbxContent>
              <w:p>
                <w:pPr>
                  <w:spacing w:line="214" w:lineRule="exact" w:before="0"/>
                  <w:ind w:left="20" w:right="0" w:firstLine="0"/>
                  <w:jc w:val="left"/>
                  <w:rPr>
                    <w:sz w:val="20"/>
                  </w:rPr>
                </w:pPr>
                <w:r>
                  <w:rPr>
                    <w:w w:val="105"/>
                    <w:sz w:val="20"/>
                  </w:rPr>
                  <w:t>32</w:t>
                </w:r>
              </w:p>
            </w:txbxContent>
          </v:textbox>
          <w10:wrap type="none"/>
        </v:shape>
      </w:pict>
    </w:r>
    <w:r>
      <w:rPr/>
      <w:pict>
        <v:shape style="position:absolute;margin-left:1067.333618pt;margin-top:85.962502pt;width:13.8pt;height:12pt;mso-position-horizontal-relative:page;mso-position-vertical-relative:page;z-index:-276356096" type="#_x0000_t202" filled="false" stroked="false">
          <v:textbox inset="0,0,0,0">
            <w:txbxContent>
              <w:p>
                <w:pPr>
                  <w:spacing w:line="214" w:lineRule="exact" w:before="0"/>
                  <w:ind w:left="20" w:right="0" w:firstLine="0"/>
                  <w:jc w:val="left"/>
                  <w:rPr>
                    <w:sz w:val="20"/>
                  </w:rPr>
                </w:pPr>
                <w:r>
                  <w:rPr>
                    <w:w w:val="105"/>
                    <w:sz w:val="20"/>
                  </w:rPr>
                  <w:t>33</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5507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5404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65pt;height:12pt;mso-position-horizontal-relative:page;mso-position-vertical-relative:page;z-index:-276353024" type="#_x0000_t202" filled="false" stroked="false">
          <v:textbox inset="0,0,0,0">
            <w:txbxContent>
              <w:p>
                <w:pPr>
                  <w:spacing w:line="214" w:lineRule="exact" w:before="0"/>
                  <w:ind w:left="20" w:right="0" w:firstLine="0"/>
                  <w:jc w:val="left"/>
                  <w:rPr>
                    <w:sz w:val="20"/>
                  </w:rPr>
                </w:pPr>
                <w:r>
                  <w:rPr>
                    <w:w w:val="115"/>
                    <w:sz w:val="20"/>
                  </w:rPr>
                  <w:t>34</w:t>
                </w:r>
              </w:p>
            </w:txbxContent>
          </v:textbox>
          <w10:wrap type="none"/>
        </v:shape>
      </w:pict>
    </w:r>
    <w:r>
      <w:rPr/>
      <w:pict>
        <v:shape style="position:absolute;margin-left:1067.053589pt;margin-top:85.962502pt;width:14.05pt;height:12pt;mso-position-horizontal-relative:page;mso-position-vertical-relative:page;z-index:-276352000" type="#_x0000_t202" filled="false" stroked="false">
          <v:textbox inset="0,0,0,0">
            <w:txbxContent>
              <w:p>
                <w:pPr>
                  <w:spacing w:line="214" w:lineRule="exact" w:before="0"/>
                  <w:ind w:left="20" w:right="0" w:firstLine="0"/>
                  <w:jc w:val="left"/>
                  <w:rPr>
                    <w:sz w:val="20"/>
                  </w:rPr>
                </w:pPr>
                <w:r>
                  <w:rPr>
                    <w:w w:val="110"/>
                    <w:sz w:val="20"/>
                  </w:rPr>
                  <w:t>35</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5097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4995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4pt;height:12pt;mso-position-horizontal-relative:page;mso-position-vertical-relative:page;z-index:-276348928" type="#_x0000_t202" filled="false" stroked="false">
          <v:textbox inset="0,0,0,0">
            <w:txbxContent>
              <w:p>
                <w:pPr>
                  <w:spacing w:line="214" w:lineRule="exact" w:before="0"/>
                  <w:ind w:left="20" w:right="0" w:firstLine="0"/>
                  <w:jc w:val="left"/>
                  <w:rPr>
                    <w:sz w:val="20"/>
                  </w:rPr>
                </w:pPr>
                <w:r>
                  <w:rPr>
                    <w:w w:val="110"/>
                    <w:sz w:val="20"/>
                  </w:rPr>
                  <w:t>36</w:t>
                </w:r>
              </w:p>
            </w:txbxContent>
          </v:textbox>
          <w10:wrap type="none"/>
        </v:shape>
      </w:pict>
    </w:r>
    <w:r>
      <w:rPr/>
      <w:pict>
        <v:shape style="position:absolute;margin-left:1067.913574pt;margin-top:85.962502pt;width:13.2pt;height:12pt;mso-position-horizontal-relative:page;mso-position-vertical-relative:page;z-index:-276347904" type="#_x0000_t202" filled="false" stroked="false">
          <v:textbox inset="0,0,0,0">
            <w:txbxContent>
              <w:p>
                <w:pPr>
                  <w:spacing w:line="214" w:lineRule="exact" w:before="0"/>
                  <w:ind w:left="20" w:right="0" w:firstLine="0"/>
                  <w:jc w:val="left"/>
                  <w:rPr>
                    <w:sz w:val="20"/>
                  </w:rPr>
                </w:pPr>
                <w:r>
                  <w:rPr>
                    <w:sz w:val="20"/>
                  </w:rPr>
                  <w:t>37</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4688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4585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5pt;height:12pt;mso-position-horizontal-relative:page;mso-position-vertical-relative:page;z-index:-276344832" type="#_x0000_t202" filled="false" stroked="false">
          <v:textbox inset="0,0,0,0">
            <w:txbxContent>
              <w:p>
                <w:pPr>
                  <w:spacing w:line="214" w:lineRule="exact" w:before="0"/>
                  <w:ind w:left="20" w:right="0" w:firstLine="0"/>
                  <w:jc w:val="left"/>
                  <w:rPr>
                    <w:sz w:val="20"/>
                  </w:rPr>
                </w:pPr>
                <w:r>
                  <w:rPr>
                    <w:w w:val="110"/>
                    <w:sz w:val="20"/>
                  </w:rPr>
                  <w:t>38</w:t>
                </w:r>
              </w:p>
            </w:txbxContent>
          </v:textbox>
          <w10:wrap type="none"/>
        </v:shape>
      </w:pict>
    </w:r>
    <w:r>
      <w:rPr/>
      <w:pict>
        <v:shape style="position:absolute;margin-left:1066.733643pt;margin-top:85.962502pt;width:14.4pt;height:12pt;mso-position-horizontal-relative:page;mso-position-vertical-relative:page;z-index:-276343808" type="#_x0000_t202" filled="false" stroked="false">
          <v:textbox inset="0,0,0,0">
            <w:txbxContent>
              <w:p>
                <w:pPr>
                  <w:spacing w:line="214" w:lineRule="exact" w:before="0"/>
                  <w:ind w:left="20" w:right="0" w:firstLine="0"/>
                  <w:jc w:val="left"/>
                  <w:rPr>
                    <w:sz w:val="20"/>
                  </w:rPr>
                </w:pPr>
                <w:r>
                  <w:rPr>
                    <w:w w:val="110"/>
                    <w:sz w:val="20"/>
                  </w:rPr>
                  <w:t>39</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4278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4176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65pt;height:12pt;mso-position-horizontal-relative:page;mso-position-vertical-relative:page;z-index:-276340736" type="#_x0000_t202" filled="false" stroked="false">
          <v:textbox inset="0,0,0,0">
            <w:txbxContent>
              <w:p>
                <w:pPr>
                  <w:spacing w:line="214" w:lineRule="exact" w:before="0"/>
                  <w:ind w:left="20" w:right="0" w:firstLine="0"/>
                  <w:jc w:val="left"/>
                  <w:rPr>
                    <w:sz w:val="20"/>
                  </w:rPr>
                </w:pPr>
                <w:r>
                  <w:rPr>
                    <w:w w:val="125"/>
                    <w:sz w:val="20"/>
                  </w:rPr>
                  <w:t>40</w:t>
                </w:r>
              </w:p>
            </w:txbxContent>
          </v:textbox>
          <w10:wrap type="none"/>
        </v:shape>
      </w:pict>
    </w:r>
    <w:r>
      <w:rPr/>
      <w:pict>
        <v:shape style="position:absolute;margin-left:1068.793579pt;margin-top:85.962502pt;width:12.15pt;height:12pt;mso-position-horizontal-relative:page;mso-position-vertical-relative:page;z-index:-276339712" type="#_x0000_t202" filled="false" stroked="false">
          <v:textbox inset="0,0,0,0">
            <w:txbxContent>
              <w:p>
                <w:pPr>
                  <w:spacing w:line="214" w:lineRule="exact" w:before="0"/>
                  <w:ind w:left="20" w:right="0" w:firstLine="0"/>
                  <w:jc w:val="left"/>
                  <w:rPr>
                    <w:sz w:val="20"/>
                  </w:rPr>
                </w:pPr>
                <w:r>
                  <w:rPr>
                    <w:sz w:val="20"/>
                  </w:rPr>
                  <w:t>41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41241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41139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8.5pt;height:12pt;mso-position-horizontal-relative:page;mso-position-vertical-relative:page;z-index:-276410368" type="#_x0000_t202" filled="false" stroked="false">
          <v:textbox inset="0,0,0,0">
            <w:txbxContent>
              <w:p>
                <w:pPr>
                  <w:spacing w:line="214" w:lineRule="exact" w:before="0"/>
                  <w:ind w:left="20" w:right="0" w:firstLine="0"/>
                  <w:jc w:val="left"/>
                  <w:rPr>
                    <w:sz w:val="20"/>
                  </w:rPr>
                </w:pPr>
                <w:r>
                  <w:rPr>
                    <w:w w:val="116"/>
                    <w:sz w:val="20"/>
                  </w:rPr>
                  <w:t>6</w:t>
                </w:r>
              </w:p>
            </w:txbxContent>
          </v:textbox>
          <w10:wrap type="none"/>
        </v:shape>
      </w:pict>
    </w:r>
    <w:r>
      <w:rPr/>
      <w:pict>
        <v:shape style="position:absolute;margin-left:1073.793579pt;margin-top:85.962502pt;width:7.3pt;height:12pt;mso-position-horizontal-relative:page;mso-position-vertical-relative:page;z-index:-276409344" type="#_x0000_t202" filled="false" stroked="false">
          <v:textbox inset="0,0,0,0">
            <w:txbxContent>
              <w:p>
                <w:pPr>
                  <w:spacing w:line="214" w:lineRule="exact" w:before="0"/>
                  <w:ind w:left="20" w:right="0" w:firstLine="0"/>
                  <w:jc w:val="left"/>
                  <w:rPr>
                    <w:sz w:val="20"/>
                  </w:rPr>
                </w:pPr>
                <w:r>
                  <w:rPr>
                    <w:w w:val="95"/>
                    <w:sz w:val="20"/>
                  </w:rPr>
                  <w:t>7</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3868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3766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6pt;height:12pt;mso-position-horizontal-relative:page;mso-position-vertical-relative:page;z-index:-276336640" type="#_x0000_t202" filled="false" stroked="false">
          <v:textbox inset="0,0,0,0">
            <w:txbxContent>
              <w:p>
                <w:pPr>
                  <w:spacing w:line="214" w:lineRule="exact" w:before="0"/>
                  <w:ind w:left="20" w:right="0" w:firstLine="0"/>
                  <w:jc w:val="left"/>
                  <w:rPr>
                    <w:sz w:val="20"/>
                  </w:rPr>
                </w:pPr>
                <w:r>
                  <w:rPr>
                    <w:w w:val="115"/>
                    <w:sz w:val="20"/>
                  </w:rPr>
                  <w:t>42</w:t>
                </w:r>
              </w:p>
            </w:txbxContent>
          </v:textbox>
          <w10:wrap type="none"/>
        </v:shape>
      </w:pict>
    </w:r>
    <w:r>
      <w:rPr/>
      <w:pict>
        <v:shape style="position:absolute;margin-left:1066.473633pt;margin-top:85.962502pt;width:14.65pt;height:12pt;mso-position-horizontal-relative:page;mso-position-vertical-relative:page;z-index:-276335616" type="#_x0000_t202" filled="false" stroked="false">
          <v:textbox inset="0,0,0,0">
            <w:txbxContent>
              <w:p>
                <w:pPr>
                  <w:spacing w:line="214" w:lineRule="exact" w:before="0"/>
                  <w:ind w:left="20" w:right="0" w:firstLine="0"/>
                  <w:jc w:val="left"/>
                  <w:rPr>
                    <w:sz w:val="20"/>
                  </w:rPr>
                </w:pPr>
                <w:r>
                  <w:rPr>
                    <w:w w:val="115"/>
                    <w:sz w:val="20"/>
                  </w:rPr>
                  <w:t>43</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3459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3356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5pt;height:12pt;mso-position-horizontal-relative:page;mso-position-vertical-relative:page;z-index:-276332544" type="#_x0000_t202" filled="false" stroked="false">
          <v:textbox inset="0,0,0,0">
            <w:txbxContent>
              <w:p>
                <w:pPr>
                  <w:spacing w:line="214" w:lineRule="exact" w:before="0"/>
                  <w:ind w:left="20" w:right="0" w:firstLine="0"/>
                  <w:jc w:val="left"/>
                  <w:rPr>
                    <w:sz w:val="20"/>
                  </w:rPr>
                </w:pPr>
                <w:r>
                  <w:rPr>
                    <w:w w:val="120"/>
                    <w:sz w:val="20"/>
                  </w:rPr>
                  <w:t>44</w:t>
                </w:r>
              </w:p>
            </w:txbxContent>
          </v:textbox>
          <w10:wrap type="none"/>
        </v:shape>
      </w:pict>
    </w:r>
    <w:r>
      <w:rPr/>
      <w:pict>
        <v:shape style="position:absolute;margin-left:1066.193604pt;margin-top:85.962502pt;width:14.9pt;height:12pt;mso-position-horizontal-relative:page;mso-position-vertical-relative:page;z-index:-276331520" type="#_x0000_t202" filled="false" stroked="false">
          <v:textbox inset="0,0,0,0">
            <w:txbxContent>
              <w:p>
                <w:pPr>
                  <w:spacing w:line="214" w:lineRule="exact" w:before="0"/>
                  <w:ind w:left="20" w:right="0" w:firstLine="0"/>
                  <w:jc w:val="left"/>
                  <w:rPr>
                    <w:sz w:val="20"/>
                  </w:rPr>
                </w:pPr>
                <w:r>
                  <w:rPr>
                    <w:w w:val="115"/>
                    <w:sz w:val="20"/>
                  </w:rPr>
                  <w:t>45</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3049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2947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25pt;height:12pt;mso-position-horizontal-relative:page;mso-position-vertical-relative:page;z-index:-276328448" type="#_x0000_t202" filled="false" stroked="false">
          <v:textbox inset="0,0,0,0">
            <w:txbxContent>
              <w:p>
                <w:pPr>
                  <w:spacing w:line="214" w:lineRule="exact" w:before="0"/>
                  <w:ind w:left="20" w:right="0" w:firstLine="0"/>
                  <w:jc w:val="left"/>
                  <w:rPr>
                    <w:sz w:val="20"/>
                  </w:rPr>
                </w:pPr>
                <w:r>
                  <w:rPr>
                    <w:w w:val="120"/>
                    <w:sz w:val="20"/>
                  </w:rPr>
                  <w:t>46</w:t>
                </w:r>
              </w:p>
            </w:txbxContent>
          </v:textbox>
          <w10:wrap type="none"/>
        </v:shape>
      </w:pict>
    </w:r>
    <w:r>
      <w:rPr/>
      <w:pict>
        <v:shape style="position:absolute;margin-left:1067.053589pt;margin-top:85.962502pt;width:14.05pt;height:12pt;mso-position-horizontal-relative:page;mso-position-vertical-relative:page;z-index:-276327424" type="#_x0000_t202" filled="false" stroked="false">
          <v:textbox inset="0,0,0,0">
            <w:txbxContent>
              <w:p>
                <w:pPr>
                  <w:spacing w:line="214" w:lineRule="exact" w:before="0"/>
                  <w:ind w:left="20" w:right="0" w:firstLine="0"/>
                  <w:jc w:val="left"/>
                  <w:rPr>
                    <w:sz w:val="20"/>
                  </w:rPr>
                </w:pPr>
                <w:r>
                  <w:rPr>
                    <w:w w:val="110"/>
                    <w:sz w:val="20"/>
                  </w:rPr>
                  <w:t>47</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2640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2537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35pt;height:12pt;mso-position-horizontal-relative:page;mso-position-vertical-relative:page;z-index:-276324352" type="#_x0000_t202" filled="false" stroked="false">
          <v:textbox inset="0,0,0,0">
            <w:txbxContent>
              <w:p>
                <w:pPr>
                  <w:spacing w:line="214" w:lineRule="exact" w:before="0"/>
                  <w:ind w:left="20" w:right="0" w:firstLine="0"/>
                  <w:jc w:val="left"/>
                  <w:rPr>
                    <w:sz w:val="20"/>
                  </w:rPr>
                </w:pPr>
                <w:r>
                  <w:rPr>
                    <w:w w:val="120"/>
                    <w:sz w:val="20"/>
                  </w:rPr>
                  <w:t>48</w:t>
                </w:r>
              </w:p>
            </w:txbxContent>
          </v:textbox>
          <w10:wrap type="none"/>
        </v:shape>
      </w:pict>
    </w:r>
    <w:r>
      <w:rPr/>
      <w:pict>
        <v:shape style="position:absolute;margin-left:1066.063599pt;margin-top:85.962502pt;width:14.85pt;height:12pt;mso-position-horizontal-relative:page;mso-position-vertical-relative:page;z-index:-276323328" type="#_x0000_t202" filled="false" stroked="false">
          <v:textbox inset="0,0,0,0">
            <w:txbxContent>
              <w:p>
                <w:pPr>
                  <w:spacing w:line="214" w:lineRule="exact" w:before="0"/>
                  <w:ind w:left="20" w:right="0" w:firstLine="0"/>
                  <w:jc w:val="left"/>
                  <w:rPr>
                    <w:sz w:val="20"/>
                  </w:rPr>
                </w:pPr>
                <w:r>
                  <w:rPr>
                    <w:w w:val="120"/>
                    <w:sz w:val="20"/>
                  </w:rPr>
                  <w:t>49</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2230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2128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05pt;height:12pt;mso-position-horizontal-relative:page;mso-position-vertical-relative:page;z-index:-276320256" type="#_x0000_t202" filled="false" stroked="false">
          <v:textbox inset="0,0,0,0">
            <w:txbxContent>
              <w:p>
                <w:pPr>
                  <w:spacing w:line="214" w:lineRule="exact" w:before="0"/>
                  <w:ind w:left="20" w:right="0" w:firstLine="0"/>
                  <w:jc w:val="left"/>
                  <w:rPr>
                    <w:sz w:val="20"/>
                  </w:rPr>
                </w:pPr>
                <w:r>
                  <w:rPr>
                    <w:w w:val="115"/>
                    <w:sz w:val="20"/>
                  </w:rPr>
                  <w:t>50</w:t>
                </w:r>
              </w:p>
            </w:txbxContent>
          </v:textbox>
          <w10:wrap type="none"/>
        </v:shape>
      </w:pict>
    </w:r>
    <w:r>
      <w:rPr/>
      <w:pict>
        <v:shape style="position:absolute;margin-left:1069.183594pt;margin-top:85.962502pt;width:11.95pt;height:12pt;mso-position-horizontal-relative:page;mso-position-vertical-relative:page;z-index:-276319232" type="#_x0000_t202" filled="false" stroked="false">
          <v:textbox inset="0,0,0,0">
            <w:txbxContent>
              <w:p>
                <w:pPr>
                  <w:spacing w:line="214" w:lineRule="exact" w:before="0"/>
                  <w:ind w:left="20" w:right="0" w:firstLine="0"/>
                  <w:jc w:val="left"/>
                  <w:rPr>
                    <w:sz w:val="20"/>
                  </w:rPr>
                </w:pPr>
                <w:r>
                  <w:rPr>
                    <w:w w:val="95"/>
                    <w:sz w:val="20"/>
                  </w:rPr>
                  <w:t>51</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1820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1718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05pt;height:12pt;mso-position-horizontal-relative:page;mso-position-vertical-relative:page;z-index:-276316160" type="#_x0000_t202" filled="false" stroked="false">
          <v:textbox inset="0,0,0,0">
            <w:txbxContent>
              <w:p>
                <w:pPr>
                  <w:spacing w:line="214" w:lineRule="exact" w:before="0"/>
                  <w:ind w:left="20" w:right="0" w:firstLine="0"/>
                  <w:jc w:val="left"/>
                  <w:rPr>
                    <w:sz w:val="20"/>
                  </w:rPr>
                </w:pPr>
                <w:r>
                  <w:rPr>
                    <w:w w:val="110"/>
                    <w:sz w:val="20"/>
                  </w:rPr>
                  <w:t>52</w:t>
                </w:r>
              </w:p>
            </w:txbxContent>
          </v:textbox>
          <w10:wrap type="none"/>
        </v:shape>
      </w:pict>
    </w:r>
    <w:r>
      <w:rPr/>
      <w:pict>
        <v:shape style="position:absolute;margin-left:1067.053589pt;margin-top:85.962502pt;width:14.05pt;height:12pt;mso-position-horizontal-relative:page;mso-position-vertical-relative:page;z-index:-276315136" type="#_x0000_t202" filled="false" stroked="false">
          <v:textbox inset="0,0,0,0">
            <w:txbxContent>
              <w:p>
                <w:pPr>
                  <w:spacing w:line="214" w:lineRule="exact" w:before="0"/>
                  <w:ind w:left="20" w:right="0" w:firstLine="0"/>
                  <w:jc w:val="left"/>
                  <w:rPr>
                    <w:sz w:val="20"/>
                  </w:rPr>
                </w:pPr>
                <w:r>
                  <w:rPr>
                    <w:w w:val="110"/>
                    <w:sz w:val="20"/>
                  </w:rPr>
                  <w:t>53</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1411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1308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4.9pt;height:12pt;mso-position-horizontal-relative:page;mso-position-vertical-relative:page;z-index:-276312064" type="#_x0000_t202" filled="false" stroked="false">
          <v:textbox inset="0,0,0,0">
            <w:txbxContent>
              <w:p>
                <w:pPr>
                  <w:spacing w:line="214" w:lineRule="exact" w:before="0"/>
                  <w:ind w:left="20" w:right="0" w:firstLine="0"/>
                  <w:jc w:val="left"/>
                  <w:rPr>
                    <w:sz w:val="20"/>
                  </w:rPr>
                </w:pPr>
                <w:r>
                  <w:rPr>
                    <w:w w:val="115"/>
                    <w:sz w:val="20"/>
                  </w:rPr>
                  <w:t>54</w:t>
                </w:r>
              </w:p>
            </w:txbxContent>
          </v:textbox>
          <w10:wrap type="none"/>
        </v:shape>
      </w:pict>
    </w:r>
    <w:r>
      <w:rPr/>
      <w:pict>
        <v:shape style="position:absolute;margin-left:1066.773682pt;margin-top:85.962502pt;width:14.35pt;height:12pt;mso-position-horizontal-relative:page;mso-position-vertical-relative:page;z-index:-276311040" type="#_x0000_t202" filled="false" stroked="false">
          <v:textbox inset="0,0,0,0">
            <w:txbxContent>
              <w:p>
                <w:pPr>
                  <w:spacing w:line="214" w:lineRule="exact" w:before="0"/>
                  <w:ind w:left="20" w:right="0" w:firstLine="0"/>
                  <w:jc w:val="left"/>
                  <w:rPr>
                    <w:sz w:val="20"/>
                  </w:rPr>
                </w:pPr>
                <w:r>
                  <w:rPr>
                    <w:w w:val="110"/>
                    <w:sz w:val="20"/>
                  </w:rPr>
                  <w:t>55</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1001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0899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503pt;margin-top:85.962502pt;width:14.65pt;height:12pt;mso-position-horizontal-relative:page;mso-position-vertical-relative:page;z-index:-276307968" type="#_x0000_t202" filled="false" stroked="false">
          <v:textbox inset="0,0,0,0">
            <w:txbxContent>
              <w:p>
                <w:pPr>
                  <w:spacing w:line="214" w:lineRule="exact" w:before="0"/>
                  <w:ind w:left="20" w:right="0" w:firstLine="0"/>
                  <w:jc w:val="left"/>
                  <w:rPr>
                    <w:sz w:val="20"/>
                  </w:rPr>
                </w:pPr>
                <w:r>
                  <w:rPr>
                    <w:w w:val="115"/>
                    <w:sz w:val="20"/>
                  </w:rPr>
                  <w:t>56</w:t>
                </w:r>
              </w:p>
            </w:txbxContent>
          </v:textbox>
          <w10:wrap type="none"/>
        </v:shape>
      </w:pict>
    </w:r>
    <w:r>
      <w:rPr/>
      <w:pict>
        <v:shape style="position:absolute;margin-left:1067.633545pt;margin-top:85.962502pt;width:13.5pt;height:12pt;mso-position-horizontal-relative:page;mso-position-vertical-relative:page;z-index:-276306944" type="#_x0000_t202" filled="false" stroked="false">
          <v:textbox inset="0,0,0,0">
            <w:txbxContent>
              <w:p>
                <w:pPr>
                  <w:spacing w:line="214" w:lineRule="exact" w:before="0"/>
                  <w:ind w:left="20" w:right="0" w:firstLine="0"/>
                  <w:jc w:val="left"/>
                  <w:rPr>
                    <w:sz w:val="20"/>
                  </w:rPr>
                </w:pPr>
                <w:r>
                  <w:rPr>
                    <w:w w:val="105"/>
                    <w:sz w:val="20"/>
                  </w:rPr>
                  <w:t>57</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0592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0489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75pt;height:12pt;mso-position-horizontal-relative:page;mso-position-vertical-relative:page;z-index:-276303872" type="#_x0000_t202" filled="false" stroked="false">
          <v:textbox inset="0,0,0,0">
            <w:txbxContent>
              <w:p>
                <w:pPr>
                  <w:spacing w:line="214" w:lineRule="exact" w:before="0"/>
                  <w:ind w:left="20" w:right="0" w:firstLine="0"/>
                  <w:jc w:val="left"/>
                  <w:rPr>
                    <w:sz w:val="20"/>
                  </w:rPr>
                </w:pPr>
                <w:r>
                  <w:rPr>
                    <w:w w:val="115"/>
                    <w:sz w:val="20"/>
                  </w:rPr>
                  <w:t>58</w:t>
                </w:r>
              </w:p>
            </w:txbxContent>
          </v:textbox>
          <w10:wrap type="none"/>
        </v:shape>
      </w:pict>
    </w:r>
    <w:r>
      <w:rPr/>
      <w:pict>
        <v:shape style="position:absolute;margin-left:1066.453613pt;margin-top:85.962502pt;width:14.65pt;height:12pt;mso-position-horizontal-relative:page;mso-position-vertical-relative:page;z-index:-276302848" type="#_x0000_t202" filled="false" stroked="false">
          <v:textbox inset="0,0,0,0">
            <w:txbxContent>
              <w:p>
                <w:pPr>
                  <w:spacing w:line="214" w:lineRule="exact" w:before="0"/>
                  <w:ind w:left="20" w:right="0" w:firstLine="0"/>
                  <w:jc w:val="left"/>
                  <w:rPr>
                    <w:sz w:val="20"/>
                  </w:rPr>
                </w:pPr>
                <w:r>
                  <w:rPr>
                    <w:w w:val="115"/>
                    <w:sz w:val="20"/>
                  </w:rPr>
                  <w:t>59</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0182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0080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4pt;height:12pt;mso-position-horizontal-relative:page;mso-position-vertical-relative:page;z-index:-276299776" type="#_x0000_t202" filled="false" stroked="false">
          <v:textbox inset="0,0,0,0">
            <w:txbxContent>
              <w:p>
                <w:pPr>
                  <w:spacing w:line="214" w:lineRule="exact" w:before="0"/>
                  <w:ind w:left="20" w:right="0" w:firstLine="0"/>
                  <w:jc w:val="left"/>
                  <w:rPr>
                    <w:sz w:val="20"/>
                  </w:rPr>
                </w:pPr>
                <w:r>
                  <w:rPr>
                    <w:w w:val="120"/>
                    <w:sz w:val="20"/>
                  </w:rPr>
                  <w:t>60</w:t>
                </w:r>
              </w:p>
            </w:txbxContent>
          </v:textbox>
          <w10:wrap type="none"/>
        </v:shape>
      </w:pict>
    </w:r>
    <w:r>
      <w:rPr/>
      <w:pict>
        <v:shape style="position:absolute;margin-left:1068.863647pt;margin-top:85.962502pt;width:12.25pt;height:12pt;mso-position-horizontal-relative:page;mso-position-vertical-relative:page;z-index:-276298752" type="#_x0000_t202" filled="false" stroked="false">
          <v:textbox inset="0,0,0,0">
            <w:txbxContent>
              <w:p>
                <w:pPr>
                  <w:spacing w:line="214" w:lineRule="exact" w:before="0"/>
                  <w:ind w:left="20" w:right="0" w:firstLine="0"/>
                  <w:jc w:val="left"/>
                  <w:rPr>
                    <w:sz w:val="20"/>
                  </w:rPr>
                </w:pPr>
                <w:r>
                  <w:rPr>
                    <w:w w:val="95"/>
                    <w:sz w:val="20"/>
                  </w:rPr>
                  <w:t>61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40832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40729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8.6pt;height:12pt;mso-position-horizontal-relative:page;mso-position-vertical-relative:page;z-index:-276406272" type="#_x0000_t202" filled="false" stroked="false">
          <v:textbox inset="0,0,0,0">
            <w:txbxContent>
              <w:p>
                <w:pPr>
                  <w:spacing w:line="214" w:lineRule="exact" w:before="0"/>
                  <w:ind w:left="20" w:right="0" w:firstLine="0"/>
                  <w:jc w:val="left"/>
                  <w:rPr>
                    <w:sz w:val="20"/>
                  </w:rPr>
                </w:pPr>
                <w:r>
                  <w:rPr>
                    <w:w w:val="118"/>
                    <w:sz w:val="20"/>
                  </w:rPr>
                  <w:t>8</w:t>
                </w:r>
              </w:p>
            </w:txbxContent>
          </v:textbox>
          <w10:wrap type="none"/>
        </v:shape>
      </w:pict>
    </w:r>
    <w:r>
      <w:rPr/>
      <w:pict>
        <v:shape style="position:absolute;margin-left:1072.613647pt;margin-top:85.962502pt;width:8.5pt;height:12pt;mso-position-horizontal-relative:page;mso-position-vertical-relative:page;z-index:-276405248" type="#_x0000_t202" filled="false" stroked="false">
          <v:textbox inset="0,0,0,0">
            <w:txbxContent>
              <w:p>
                <w:pPr>
                  <w:spacing w:line="214" w:lineRule="exact" w:before="0"/>
                  <w:ind w:left="20" w:right="0" w:firstLine="0"/>
                  <w:jc w:val="left"/>
                  <w:rPr>
                    <w:sz w:val="20"/>
                  </w:rPr>
                </w:pPr>
                <w:r>
                  <w:rPr>
                    <w:w w:val="116"/>
                    <w:sz w:val="20"/>
                  </w:rPr>
                  <w:t>9</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9772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9670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35pt;height:12pt;mso-position-horizontal-relative:page;mso-position-vertical-relative:page;z-index:-276295680" type="#_x0000_t202" filled="false" stroked="false">
          <v:textbox inset="0,0,0,0">
            <w:txbxContent>
              <w:p>
                <w:pPr>
                  <w:spacing w:line="214" w:lineRule="exact" w:before="0"/>
                  <w:ind w:left="20" w:right="0" w:firstLine="0"/>
                  <w:jc w:val="left"/>
                  <w:rPr>
                    <w:sz w:val="20"/>
                  </w:rPr>
                </w:pPr>
                <w:r>
                  <w:rPr>
                    <w:w w:val="110"/>
                    <w:sz w:val="20"/>
                  </w:rPr>
                  <w:t>62</w:t>
                </w:r>
              </w:p>
            </w:txbxContent>
          </v:textbox>
          <w10:wrap type="none"/>
        </v:shape>
      </w:pict>
    </w:r>
    <w:r>
      <w:rPr/>
      <w:pict>
        <v:shape style="position:absolute;margin-left:1066.733643pt;margin-top:85.962502pt;width:14.4pt;height:12pt;mso-position-horizontal-relative:page;mso-position-vertical-relative:page;z-index:-276294656" type="#_x0000_t202" filled="false" stroked="false">
          <v:textbox inset="0,0,0,0">
            <w:txbxContent>
              <w:p>
                <w:pPr>
                  <w:spacing w:line="214" w:lineRule="exact" w:before="0"/>
                  <w:ind w:left="20" w:right="0" w:firstLine="0"/>
                  <w:jc w:val="left"/>
                  <w:rPr>
                    <w:sz w:val="20"/>
                  </w:rPr>
                </w:pPr>
                <w:r>
                  <w:rPr>
                    <w:w w:val="110"/>
                    <w:sz w:val="20"/>
                  </w:rPr>
                  <w:t>63</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9363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9260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25pt;height:12pt;mso-position-horizontal-relative:page;mso-position-vertical-relative:page;z-index:-276291584" type="#_x0000_t202" filled="false" stroked="false">
          <v:textbox inset="0,0,0,0">
            <w:txbxContent>
              <w:p>
                <w:pPr>
                  <w:spacing w:line="214" w:lineRule="exact" w:before="0"/>
                  <w:ind w:left="20" w:right="0" w:firstLine="0"/>
                  <w:jc w:val="left"/>
                  <w:rPr>
                    <w:sz w:val="20"/>
                  </w:rPr>
                </w:pPr>
                <w:r>
                  <w:rPr>
                    <w:w w:val="120"/>
                    <w:sz w:val="20"/>
                  </w:rPr>
                  <w:t>64</w:t>
                </w:r>
              </w:p>
            </w:txbxContent>
          </v:textbox>
          <w10:wrap type="none"/>
        </v:shape>
      </w:pict>
    </w:r>
    <w:r>
      <w:rPr/>
      <w:pict>
        <v:shape style="position:absolute;margin-left:1066.453613pt;margin-top:85.962502pt;width:14.65pt;height:12pt;mso-position-horizontal-relative:page;mso-position-vertical-relative:page;z-index:-276290560" type="#_x0000_t202" filled="false" stroked="false">
          <v:textbox inset="0,0,0,0">
            <w:txbxContent>
              <w:p>
                <w:pPr>
                  <w:spacing w:line="214" w:lineRule="exact" w:before="0"/>
                  <w:ind w:left="20" w:right="0" w:firstLine="0"/>
                  <w:jc w:val="left"/>
                  <w:rPr>
                    <w:sz w:val="20"/>
                  </w:rPr>
                </w:pPr>
                <w:r>
                  <w:rPr>
                    <w:w w:val="115"/>
                    <w:sz w:val="20"/>
                  </w:rPr>
                  <w:t>65</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8953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8851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pt;height:12pt;mso-position-horizontal-relative:page;mso-position-vertical-relative:page;z-index:-276287488" type="#_x0000_t202" filled="false" stroked="false">
          <v:textbox inset="0,0,0,0">
            <w:txbxContent>
              <w:p>
                <w:pPr>
                  <w:spacing w:line="214" w:lineRule="exact" w:before="0"/>
                  <w:ind w:left="20" w:right="0" w:firstLine="0"/>
                  <w:jc w:val="left"/>
                  <w:rPr>
                    <w:sz w:val="20"/>
                  </w:rPr>
                </w:pPr>
                <w:r>
                  <w:rPr>
                    <w:w w:val="115"/>
                    <w:sz w:val="20"/>
                  </w:rPr>
                  <w:t>66</w:t>
                </w:r>
              </w:p>
            </w:txbxContent>
          </v:textbox>
          <w10:wrap type="none"/>
        </v:shape>
      </w:pict>
    </w:r>
    <w:r>
      <w:rPr/>
      <w:pict>
        <v:shape style="position:absolute;margin-left:1067.313599pt;margin-top:85.962502pt;width:13.8pt;height:12pt;mso-position-horizontal-relative:page;mso-position-vertical-relative:page;z-index:-276286464" type="#_x0000_t202" filled="false" stroked="false">
          <v:textbox inset="0,0,0,0">
            <w:txbxContent>
              <w:p>
                <w:pPr>
                  <w:spacing w:line="214" w:lineRule="exact" w:before="0"/>
                  <w:ind w:left="20" w:right="0" w:firstLine="0"/>
                  <w:jc w:val="left"/>
                  <w:rPr>
                    <w:sz w:val="20"/>
                  </w:rPr>
                </w:pPr>
                <w:r>
                  <w:rPr>
                    <w:w w:val="105"/>
                    <w:sz w:val="20"/>
                  </w:rPr>
                  <w:t>67</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8544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8441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503pt;margin-top:85.962502pt;width:15.1pt;height:12pt;mso-position-horizontal-relative:page;mso-position-vertical-relative:page;z-index:-276283392" type="#_x0000_t202" filled="false" stroked="false">
          <v:textbox inset="0,0,0,0">
            <w:txbxContent>
              <w:p>
                <w:pPr>
                  <w:spacing w:line="214" w:lineRule="exact" w:before="0"/>
                  <w:ind w:left="20" w:right="0" w:firstLine="0"/>
                  <w:jc w:val="left"/>
                  <w:rPr>
                    <w:sz w:val="20"/>
                  </w:rPr>
                </w:pPr>
                <w:r>
                  <w:rPr>
                    <w:w w:val="115"/>
                    <w:sz w:val="20"/>
                  </w:rPr>
                  <w:t>68</w:t>
                </w:r>
              </w:p>
            </w:txbxContent>
          </v:textbox>
          <w10:wrap type="none"/>
        </v:shape>
      </w:pict>
    </w:r>
    <w:r>
      <w:rPr/>
      <w:pict>
        <v:shape style="position:absolute;margin-left:1066.263550pt;margin-top:85.962502pt;width:14.7pt;height:12pt;mso-position-horizontal-relative:page;mso-position-vertical-relative:page;z-index:-276282368" type="#_x0000_t202" filled="false" stroked="false">
          <v:textbox inset="0,0,0,0">
            <w:txbxContent>
              <w:p>
                <w:pPr>
                  <w:spacing w:line="214" w:lineRule="exact" w:before="0"/>
                  <w:ind w:left="20" w:right="0" w:firstLine="0"/>
                  <w:jc w:val="left"/>
                  <w:rPr>
                    <w:sz w:val="20"/>
                  </w:rPr>
                </w:pPr>
                <w:r>
                  <w:rPr>
                    <w:w w:val="115"/>
                    <w:sz w:val="20"/>
                  </w:rPr>
                  <w:t>69</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8134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8032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4.2pt;height:12pt;mso-position-horizontal-relative:page;mso-position-vertical-relative:page;z-index:-276279296" type="#_x0000_t202" filled="false" stroked="false">
          <v:textbox inset="0,0,0,0">
            <w:txbxContent>
              <w:p>
                <w:pPr>
                  <w:spacing w:line="214" w:lineRule="exact" w:before="0"/>
                  <w:ind w:left="20" w:right="0" w:firstLine="0"/>
                  <w:jc w:val="left"/>
                  <w:rPr>
                    <w:sz w:val="20"/>
                  </w:rPr>
                </w:pPr>
                <w:r>
                  <w:rPr>
                    <w:w w:val="110"/>
                    <w:sz w:val="20"/>
                  </w:rPr>
                  <w:t>70</w:t>
                </w:r>
              </w:p>
            </w:txbxContent>
          </v:textbox>
          <w10:wrap type="none"/>
        </v:shape>
      </w:pict>
    </w:r>
    <w:r>
      <w:rPr/>
      <w:pict>
        <v:shape style="position:absolute;margin-left:1069.643677pt;margin-top:85.962502pt;width:11.85pt;height:12pt;mso-position-horizontal-relative:page;mso-position-vertical-relative:page;z-index:-276278272" type="#_x0000_t202" filled="false" stroked="false">
          <v:textbox inset="0,0,0,0">
            <w:txbxContent>
              <w:p>
                <w:pPr>
                  <w:spacing w:line="214" w:lineRule="exact" w:before="0"/>
                  <w:ind w:left="20" w:right="0" w:firstLine="0"/>
                  <w:jc w:val="left"/>
                  <w:rPr>
                    <w:sz w:val="20"/>
                  </w:rPr>
                </w:pPr>
                <w:r>
                  <w:rPr>
                    <w:w w:val="85"/>
                    <w:sz w:val="20"/>
                  </w:rPr>
                  <w:t>71</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7724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7622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3.2pt;height:12pt;mso-position-horizontal-relative:page;mso-position-vertical-relative:page;z-index:-276275200" type="#_x0000_t202" filled="false" stroked="false">
          <v:textbox inset="0,0,0,0">
            <w:txbxContent>
              <w:p>
                <w:pPr>
                  <w:spacing w:line="214" w:lineRule="exact" w:before="0"/>
                  <w:ind w:left="20" w:right="0" w:firstLine="0"/>
                  <w:jc w:val="left"/>
                  <w:rPr>
                    <w:sz w:val="20"/>
                  </w:rPr>
                </w:pPr>
                <w:r>
                  <w:rPr>
                    <w:sz w:val="20"/>
                  </w:rPr>
                  <w:t>72</w:t>
                </w:r>
              </w:p>
            </w:txbxContent>
          </v:textbox>
          <w10:wrap type="none"/>
        </v:shape>
      </w:pict>
    </w:r>
    <w:r>
      <w:rPr/>
      <w:pict>
        <v:shape style="position:absolute;margin-left:1067.913574pt;margin-top:85.962502pt;width:13.2pt;height:12pt;mso-position-horizontal-relative:page;mso-position-vertical-relative:page;z-index:-276274176" type="#_x0000_t202" filled="false" stroked="false">
          <v:textbox inset="0,0,0,0">
            <w:txbxContent>
              <w:p>
                <w:pPr>
                  <w:spacing w:line="214" w:lineRule="exact" w:before="0"/>
                  <w:ind w:left="20" w:right="0" w:firstLine="0"/>
                  <w:jc w:val="left"/>
                  <w:rPr>
                    <w:sz w:val="20"/>
                  </w:rPr>
                </w:pPr>
                <w:r>
                  <w:rPr>
                    <w:sz w:val="20"/>
                  </w:rPr>
                  <w:t>73</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7315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7212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503pt;margin-top:85.962502pt;width:13.3pt;height:12pt;mso-position-horizontal-relative:page;mso-position-vertical-relative:page;z-index:-276271104" type="#_x0000_t202" filled="false" stroked="false">
          <v:textbox inset="0,0,0,0">
            <w:txbxContent>
              <w:p>
                <w:pPr>
                  <w:spacing w:line="214" w:lineRule="exact" w:before="0"/>
                  <w:ind w:left="20" w:right="0" w:firstLine="0"/>
                  <w:jc w:val="left"/>
                  <w:rPr>
                    <w:sz w:val="20"/>
                  </w:rPr>
                </w:pPr>
                <w:r>
                  <w:rPr>
                    <w:w w:val="110"/>
                    <w:sz w:val="20"/>
                  </w:rPr>
                  <w:t>74</w:t>
                </w:r>
              </w:p>
            </w:txbxContent>
          </v:textbox>
          <w10:wrap type="none"/>
        </v:shape>
      </w:pict>
    </w:r>
    <w:r>
      <w:rPr/>
      <w:pict>
        <v:shape style="position:absolute;margin-left:1067.633545pt;margin-top:85.962502pt;width:13.5pt;height:12pt;mso-position-horizontal-relative:page;mso-position-vertical-relative:page;z-index:-276270080" type="#_x0000_t202" filled="false" stroked="false">
          <v:textbox inset="0,0,0,0">
            <w:txbxContent>
              <w:p>
                <w:pPr>
                  <w:spacing w:line="214" w:lineRule="exact" w:before="0"/>
                  <w:ind w:left="20" w:right="0" w:firstLine="0"/>
                  <w:jc w:val="left"/>
                  <w:rPr>
                    <w:sz w:val="20"/>
                  </w:rPr>
                </w:pPr>
                <w:r>
                  <w:rPr>
                    <w:w w:val="105"/>
                    <w:sz w:val="20"/>
                  </w:rPr>
                  <w:t>75</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6905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6803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2.8pt;height:12pt;mso-position-horizontal-relative:page;mso-position-vertical-relative:page;z-index:-276267008" type="#_x0000_t202" filled="false" stroked="false">
          <v:textbox inset="0,0,0,0">
            <w:txbxContent>
              <w:p>
                <w:pPr>
                  <w:spacing w:line="214" w:lineRule="exact" w:before="0"/>
                  <w:ind w:left="20" w:right="0" w:firstLine="0"/>
                  <w:jc w:val="left"/>
                  <w:rPr>
                    <w:sz w:val="20"/>
                  </w:rPr>
                </w:pPr>
                <w:r>
                  <w:rPr>
                    <w:w w:val="105"/>
                    <w:sz w:val="20"/>
                  </w:rPr>
                  <w:t>76</w:t>
                </w:r>
              </w:p>
            </w:txbxContent>
          </v:textbox>
          <w10:wrap type="none"/>
        </v:shape>
      </w:pict>
    </w:r>
    <w:r>
      <w:rPr/>
      <w:pict>
        <v:shape style="position:absolute;margin-left:1068.343628pt;margin-top:85.962502pt;width:12.9pt;height:12pt;mso-position-horizontal-relative:page;mso-position-vertical-relative:page;z-index:-276265984" type="#_x0000_t202" filled="false" stroked="false">
          <v:textbox inset="0,0,0,0">
            <w:txbxContent>
              <w:p>
                <w:pPr>
                  <w:spacing w:line="214" w:lineRule="exact" w:before="0"/>
                  <w:ind w:left="20" w:right="0" w:firstLine="0"/>
                  <w:jc w:val="left"/>
                  <w:rPr>
                    <w:sz w:val="20"/>
                  </w:rPr>
                </w:pPr>
                <w:r>
                  <w:rPr>
                    <w:sz w:val="20"/>
                  </w:rPr>
                  <w:t>77</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6496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6393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3.9pt;height:12pt;mso-position-horizontal-relative:page;mso-position-vertical-relative:page;z-index:-276262912" type="#_x0000_t202" filled="false" stroked="false">
          <v:textbox inset="0,0,0,0">
            <w:txbxContent>
              <w:p>
                <w:pPr>
                  <w:spacing w:line="214" w:lineRule="exact" w:before="0"/>
                  <w:ind w:left="20" w:right="0" w:firstLine="0"/>
                  <w:jc w:val="left"/>
                  <w:rPr>
                    <w:sz w:val="20"/>
                  </w:rPr>
                </w:pPr>
                <w:r>
                  <w:rPr>
                    <w:w w:val="105"/>
                    <w:sz w:val="20"/>
                  </w:rPr>
                  <w:t>78</w:t>
                </w:r>
              </w:p>
            </w:txbxContent>
          </v:textbox>
          <w10:wrap type="none"/>
        </v:shape>
      </w:pict>
    </w:r>
    <w:r>
      <w:rPr/>
      <w:pict>
        <v:shape style="position:absolute;margin-left:1067.313599pt;margin-top:85.962502pt;width:13.8pt;height:12pt;mso-position-horizontal-relative:page;mso-position-vertical-relative:page;z-index:-276261888" type="#_x0000_t202" filled="false" stroked="false">
          <v:textbox inset="0,0,0,0">
            <w:txbxContent>
              <w:p>
                <w:pPr>
                  <w:spacing w:line="214" w:lineRule="exact" w:before="0"/>
                  <w:ind w:left="20" w:right="0" w:firstLine="0"/>
                  <w:jc w:val="left"/>
                  <w:rPr>
                    <w:sz w:val="20"/>
                  </w:rPr>
                </w:pPr>
                <w:r>
                  <w:rPr>
                    <w:w w:val="105"/>
                    <w:sz w:val="20"/>
                  </w:rPr>
                  <w:t>79</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6086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5984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5.5pt;height:12pt;mso-position-horizontal-relative:page;mso-position-vertical-relative:page;z-index:-276258816" type="#_x0000_t202" filled="false" stroked="false">
          <v:textbox inset="0,0,0,0">
            <w:txbxContent>
              <w:p>
                <w:pPr>
                  <w:spacing w:line="214" w:lineRule="exact" w:before="0"/>
                  <w:ind w:left="20" w:right="0" w:firstLine="0"/>
                  <w:jc w:val="left"/>
                  <w:rPr>
                    <w:sz w:val="20"/>
                  </w:rPr>
                </w:pPr>
                <w:r>
                  <w:rPr>
                    <w:w w:val="120"/>
                    <w:sz w:val="20"/>
                  </w:rPr>
                  <w:t>80</w:t>
                </w:r>
              </w:p>
            </w:txbxContent>
          </v:textbox>
          <w10:wrap type="none"/>
        </v:shape>
      </w:pict>
    </w:r>
    <w:r>
      <w:rPr/>
      <w:pict>
        <v:shape style="position:absolute;margin-left:1068.763672pt;margin-top:85.962502pt;width:12.35pt;height:12pt;mso-position-horizontal-relative:page;mso-position-vertical-relative:page;z-index:-276257792" type="#_x0000_t202" filled="false" stroked="false">
          <v:textbox inset="0,0,0,0">
            <w:txbxContent>
              <w:p>
                <w:pPr>
                  <w:spacing w:line="214" w:lineRule="exact" w:before="0"/>
                  <w:ind w:left="20" w:right="0" w:firstLine="0"/>
                  <w:jc w:val="left"/>
                  <w:rPr>
                    <w:sz w:val="20"/>
                  </w:rPr>
                </w:pPr>
                <w:r>
                  <w:rPr>
                    <w:w w:val="95"/>
                    <w:sz w:val="20"/>
                  </w:rPr>
                  <w:t>81</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40422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40320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503pt;margin-top:85.962502pt;width:12.65pt;height:12pt;mso-position-horizontal-relative:page;mso-position-vertical-relative:page;z-index:-276402176" type="#_x0000_t202" filled="false" stroked="false">
          <v:textbox inset="0,0,0,0">
            <w:txbxContent>
              <w:p>
                <w:pPr>
                  <w:spacing w:line="214" w:lineRule="exact" w:before="0"/>
                  <w:ind w:left="20" w:right="0" w:firstLine="0"/>
                  <w:jc w:val="left"/>
                  <w:rPr>
                    <w:sz w:val="20"/>
                  </w:rPr>
                </w:pPr>
                <w:r>
                  <w:rPr>
                    <w:sz w:val="20"/>
                  </w:rPr>
                  <w:t>10</w:t>
                </w:r>
              </w:p>
            </w:txbxContent>
          </v:textbox>
          <w10:wrap type="none"/>
        </v:shape>
      </w:pict>
    </w:r>
    <w:r>
      <w:rPr/>
      <w:pict>
        <v:shape style="position:absolute;margin-left:1071.593506pt;margin-top:85.962502pt;width:9.5pt;height:12pt;mso-position-horizontal-relative:page;mso-position-vertical-relative:page;z-index:-276401152" type="#_x0000_t202" filled="false" stroked="false">
          <v:textbox inset="0,0,0,0">
            <w:txbxContent>
              <w:p>
                <w:pPr>
                  <w:spacing w:line="214" w:lineRule="exact" w:before="0"/>
                  <w:ind w:left="20" w:right="0" w:firstLine="0"/>
                  <w:jc w:val="left"/>
                  <w:rPr>
                    <w:sz w:val="20"/>
                  </w:rPr>
                </w:pPr>
                <w:r>
                  <w:rPr>
                    <w:w w:val="70"/>
                    <w:sz w:val="20"/>
                  </w:rPr>
                  <w:t>11</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5676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5574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4.45pt;height:12pt;mso-position-horizontal-relative:page;mso-position-vertical-relative:page;z-index:-276254720" type="#_x0000_t202" filled="false" stroked="false">
          <v:textbox inset="0,0,0,0">
            <w:txbxContent>
              <w:p>
                <w:pPr>
                  <w:spacing w:line="214" w:lineRule="exact" w:before="0"/>
                  <w:ind w:left="20" w:right="0" w:firstLine="0"/>
                  <w:jc w:val="left"/>
                  <w:rPr>
                    <w:sz w:val="20"/>
                  </w:rPr>
                </w:pPr>
                <w:r>
                  <w:rPr>
                    <w:w w:val="110"/>
                    <w:sz w:val="20"/>
                  </w:rPr>
                  <w:t>82</w:t>
                </w:r>
              </w:p>
            </w:txbxContent>
          </v:textbox>
          <w10:wrap type="none"/>
        </v:shape>
      </w:pict>
    </w:r>
    <w:r>
      <w:rPr/>
      <w:pict>
        <v:shape style="position:absolute;margin-left:1066.633667pt;margin-top:85.962502pt;width:14.5pt;height:12pt;mso-position-horizontal-relative:page;mso-position-vertical-relative:page;z-index:-276253696" type="#_x0000_t202" filled="false" stroked="false">
          <v:textbox inset="0,0,0,0">
            <w:txbxContent>
              <w:p>
                <w:pPr>
                  <w:spacing w:line="214" w:lineRule="exact" w:before="0"/>
                  <w:ind w:left="20" w:right="0" w:firstLine="0"/>
                  <w:jc w:val="left"/>
                  <w:rPr>
                    <w:sz w:val="20"/>
                  </w:rPr>
                </w:pPr>
                <w:r>
                  <w:rPr>
                    <w:w w:val="110"/>
                    <w:sz w:val="20"/>
                  </w:rPr>
                  <w:t>83</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5267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5164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8pt;margin-top:85.962502pt;width:15.35pt;height:12pt;mso-position-horizontal-relative:page;mso-position-vertical-relative:page;z-index:-276250624" type="#_x0000_t202" filled="false" stroked="false">
          <v:textbox inset="0,0,0,0">
            <w:txbxContent>
              <w:p>
                <w:pPr>
                  <w:spacing w:line="214" w:lineRule="exact" w:before="0"/>
                  <w:ind w:left="20" w:right="0" w:firstLine="0"/>
                  <w:jc w:val="left"/>
                  <w:rPr>
                    <w:sz w:val="20"/>
                  </w:rPr>
                </w:pPr>
                <w:r>
                  <w:rPr>
                    <w:w w:val="120"/>
                    <w:sz w:val="20"/>
                  </w:rPr>
                  <w:t>84</w:t>
                </w:r>
              </w:p>
            </w:txbxContent>
          </v:textbox>
          <w10:wrap type="none"/>
        </v:shape>
      </w:pict>
    </w:r>
    <w:r>
      <w:rPr/>
      <w:pict>
        <v:shape style="position:absolute;margin-left:1066.35376pt;margin-top:85.962502pt;width:14.75pt;height:12pt;mso-position-horizontal-relative:page;mso-position-vertical-relative:page;z-index:-276249600" type="#_x0000_t202" filled="false" stroked="false">
          <v:textbox inset="0,0,0,0">
            <w:txbxContent>
              <w:p>
                <w:pPr>
                  <w:spacing w:line="214" w:lineRule="exact" w:before="0"/>
                  <w:ind w:left="20" w:right="0" w:firstLine="0"/>
                  <w:jc w:val="left"/>
                  <w:rPr>
                    <w:sz w:val="20"/>
                  </w:rPr>
                </w:pPr>
                <w:r>
                  <w:rPr>
                    <w:w w:val="115"/>
                    <w:sz w:val="20"/>
                  </w:rPr>
                  <w:t>85</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4857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4755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1pt;height:12pt;mso-position-horizontal-relative:page;mso-position-vertical-relative:page;z-index:-276246528" type="#_x0000_t202" filled="false" stroked="false">
          <v:textbox inset="0,0,0,0">
            <w:txbxContent>
              <w:p>
                <w:pPr>
                  <w:spacing w:line="214" w:lineRule="exact" w:before="0"/>
                  <w:ind w:left="20" w:right="0" w:firstLine="0"/>
                  <w:jc w:val="left"/>
                  <w:rPr>
                    <w:sz w:val="20"/>
                  </w:rPr>
                </w:pPr>
                <w:r>
                  <w:rPr>
                    <w:w w:val="115"/>
                    <w:sz w:val="20"/>
                  </w:rPr>
                  <w:t>86</w:t>
                </w:r>
              </w:p>
            </w:txbxContent>
          </v:textbox>
          <w10:wrap type="none"/>
        </v:shape>
      </w:pict>
    </w:r>
    <w:r>
      <w:rPr/>
      <w:pict>
        <v:shape style="position:absolute;margin-left:1067.213623pt;margin-top:85.962502pt;width:13.9pt;height:12pt;mso-position-horizontal-relative:page;mso-position-vertical-relative:page;z-index:-276245504" type="#_x0000_t202" filled="false" stroked="false">
          <v:textbox inset="0,0,0,0">
            <w:txbxContent>
              <w:p>
                <w:pPr>
                  <w:spacing w:line="214" w:lineRule="exact" w:before="0"/>
                  <w:ind w:left="20" w:right="0" w:firstLine="0"/>
                  <w:jc w:val="left"/>
                  <w:rPr>
                    <w:sz w:val="20"/>
                  </w:rPr>
                </w:pPr>
                <w:r>
                  <w:rPr>
                    <w:w w:val="105"/>
                    <w:sz w:val="20"/>
                  </w:rPr>
                  <w:t>87</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4448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4345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5.2pt;height:12pt;mso-position-horizontal-relative:page;mso-position-vertical-relative:page;z-index:-276242432" type="#_x0000_t202" filled="false" stroked="false">
          <v:textbox inset="0,0,0,0">
            <w:txbxContent>
              <w:p>
                <w:pPr>
                  <w:spacing w:line="214" w:lineRule="exact" w:before="0"/>
                  <w:ind w:left="20" w:right="0" w:firstLine="0"/>
                  <w:jc w:val="left"/>
                  <w:rPr>
                    <w:sz w:val="20"/>
                  </w:rPr>
                </w:pPr>
                <w:r>
                  <w:rPr>
                    <w:w w:val="120"/>
                    <w:sz w:val="20"/>
                  </w:rPr>
                  <w:t>88</w:t>
                </w:r>
              </w:p>
            </w:txbxContent>
          </v:textbox>
          <w10:wrap type="none"/>
        </v:shape>
      </w:pict>
    </w:r>
    <w:r>
      <w:rPr/>
      <w:pict>
        <v:shape style="position:absolute;margin-left:1066.033691pt;margin-top:85.962502pt;width:15.1pt;height:12pt;mso-position-horizontal-relative:page;mso-position-vertical-relative:page;z-index:-276241408" type="#_x0000_t202" filled="false" stroked="false">
          <v:textbox inset="0,0,0,0">
            <w:txbxContent>
              <w:p>
                <w:pPr>
                  <w:spacing w:line="214" w:lineRule="exact" w:before="0"/>
                  <w:ind w:left="20" w:right="0" w:firstLine="0"/>
                  <w:jc w:val="left"/>
                  <w:rPr>
                    <w:sz w:val="20"/>
                  </w:rPr>
                </w:pPr>
                <w:r>
                  <w:rPr>
                    <w:w w:val="115"/>
                    <w:sz w:val="20"/>
                  </w:rPr>
                  <w:t>89</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4038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3936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4pt;height:12pt;mso-position-horizontal-relative:page;mso-position-vertical-relative:page;z-index:-276238336" type="#_x0000_t202" filled="false" stroked="false">
          <v:textbox inset="0,0,0,0">
            <w:txbxContent>
              <w:p>
                <w:pPr>
                  <w:spacing w:line="214" w:lineRule="exact" w:before="0"/>
                  <w:ind w:left="20" w:right="0" w:firstLine="0"/>
                  <w:jc w:val="left"/>
                  <w:rPr>
                    <w:sz w:val="20"/>
                  </w:rPr>
                </w:pPr>
                <w:r>
                  <w:rPr>
                    <w:w w:val="120"/>
                    <w:sz w:val="20"/>
                  </w:rPr>
                  <w:t>90</w:t>
                </w:r>
              </w:p>
            </w:txbxContent>
          </v:textbox>
          <w10:wrap type="none"/>
        </v:shape>
      </w:pict>
    </w:r>
    <w:r>
      <w:rPr/>
      <w:pict>
        <v:shape style="position:absolute;margin-left:1068.863647pt;margin-top:85.962502pt;width:12.25pt;height:12pt;mso-position-horizontal-relative:page;mso-position-vertical-relative:page;z-index:-276237312" type="#_x0000_t202" filled="false" stroked="false">
          <v:textbox inset="0,0,0,0">
            <w:txbxContent>
              <w:p>
                <w:pPr>
                  <w:spacing w:line="214" w:lineRule="exact" w:before="0"/>
                  <w:ind w:left="20" w:right="0" w:firstLine="0"/>
                  <w:jc w:val="left"/>
                  <w:rPr>
                    <w:sz w:val="20"/>
                  </w:rPr>
                </w:pPr>
                <w:r>
                  <w:rPr>
                    <w:w w:val="95"/>
                    <w:sz w:val="20"/>
                  </w:rPr>
                  <w:t>91</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3628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3526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35pt;height:12pt;mso-position-horizontal-relative:page;mso-position-vertical-relative:page;z-index:-276234240" type="#_x0000_t202" filled="false" stroked="false">
          <v:textbox inset="0,0,0,0">
            <w:txbxContent>
              <w:p>
                <w:pPr>
                  <w:spacing w:line="214" w:lineRule="exact" w:before="0"/>
                  <w:ind w:left="20" w:right="0" w:firstLine="0"/>
                  <w:jc w:val="left"/>
                  <w:rPr>
                    <w:sz w:val="20"/>
                  </w:rPr>
                </w:pPr>
                <w:r>
                  <w:rPr>
                    <w:w w:val="110"/>
                    <w:sz w:val="20"/>
                  </w:rPr>
                  <w:t>92</w:t>
                </w:r>
              </w:p>
            </w:txbxContent>
          </v:textbox>
          <w10:wrap type="none"/>
        </v:shape>
      </w:pict>
    </w:r>
    <w:r>
      <w:rPr/>
      <w:pict>
        <v:shape style="position:absolute;margin-left:1066.733643pt;margin-top:85.962502pt;width:14.4pt;height:12pt;mso-position-horizontal-relative:page;mso-position-vertical-relative:page;z-index:-276233216" type="#_x0000_t202" filled="false" stroked="false">
          <v:textbox inset="0,0,0,0">
            <w:txbxContent>
              <w:p>
                <w:pPr>
                  <w:spacing w:line="214" w:lineRule="exact" w:before="0"/>
                  <w:ind w:left="20" w:right="0" w:firstLine="0"/>
                  <w:jc w:val="left"/>
                  <w:rPr>
                    <w:sz w:val="20"/>
                  </w:rPr>
                </w:pPr>
                <w:r>
                  <w:rPr>
                    <w:w w:val="110"/>
                    <w:sz w:val="20"/>
                  </w:rPr>
                  <w:t>93</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3219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3116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pt;height:12pt;mso-position-horizontal-relative:page;mso-position-vertical-relative:page;z-index:-276230144" type="#_x0000_t202" filled="false" stroked="false">
          <v:textbox inset="0,0,0,0">
            <w:txbxContent>
              <w:p>
                <w:pPr>
                  <w:spacing w:line="214" w:lineRule="exact" w:before="0"/>
                  <w:ind w:left="20" w:right="0" w:firstLine="0"/>
                  <w:jc w:val="left"/>
                  <w:rPr>
                    <w:sz w:val="20"/>
                  </w:rPr>
                </w:pPr>
                <w:r>
                  <w:rPr>
                    <w:w w:val="120"/>
                    <w:sz w:val="20"/>
                  </w:rPr>
                  <w:t>94</w:t>
                </w:r>
              </w:p>
            </w:txbxContent>
          </v:textbox>
          <w10:wrap type="none"/>
        </v:shape>
      </w:pict>
    </w:r>
    <w:r>
      <w:rPr/>
      <w:pict>
        <v:shape style="position:absolute;margin-left:1066.453613pt;margin-top:85.962502pt;width:14.65pt;height:12pt;mso-position-horizontal-relative:page;mso-position-vertical-relative:page;z-index:-276229120" type="#_x0000_t202" filled="false" stroked="false">
          <v:textbox inset="0,0,0,0">
            <w:txbxContent>
              <w:p>
                <w:pPr>
                  <w:spacing w:line="214" w:lineRule="exact" w:before="0"/>
                  <w:ind w:left="20" w:right="0" w:firstLine="0"/>
                  <w:jc w:val="left"/>
                  <w:rPr>
                    <w:sz w:val="20"/>
                  </w:rPr>
                </w:pPr>
                <w:r>
                  <w:rPr>
                    <w:w w:val="115"/>
                    <w:sz w:val="20"/>
                  </w:rPr>
                  <w:t>95</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2809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2707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pt;height:12pt;mso-position-horizontal-relative:page;mso-position-vertical-relative:page;z-index:-276226048" type="#_x0000_t202" filled="false" stroked="false">
          <v:textbox inset="0,0,0,0">
            <w:txbxContent>
              <w:p>
                <w:pPr>
                  <w:spacing w:line="214" w:lineRule="exact" w:before="0"/>
                  <w:ind w:left="20" w:right="0" w:firstLine="0"/>
                  <w:jc w:val="left"/>
                  <w:rPr>
                    <w:sz w:val="20"/>
                  </w:rPr>
                </w:pPr>
                <w:r>
                  <w:rPr>
                    <w:w w:val="115"/>
                    <w:sz w:val="20"/>
                  </w:rPr>
                  <w:t>96</w:t>
                </w:r>
              </w:p>
            </w:txbxContent>
          </v:textbox>
          <w10:wrap type="none"/>
        </v:shape>
      </w:pict>
    </w:r>
    <w:r>
      <w:rPr/>
      <w:pict>
        <v:shape style="position:absolute;margin-left:1067.313599pt;margin-top:85.962502pt;width:13.8pt;height:12pt;mso-position-horizontal-relative:page;mso-position-vertical-relative:page;z-index:-276225024" type="#_x0000_t202" filled="false" stroked="false">
          <v:textbox inset="0,0,0,0">
            <w:txbxContent>
              <w:p>
                <w:pPr>
                  <w:spacing w:line="214" w:lineRule="exact" w:before="0"/>
                  <w:ind w:left="20" w:right="0" w:firstLine="0"/>
                  <w:jc w:val="left"/>
                  <w:rPr>
                    <w:sz w:val="20"/>
                  </w:rPr>
                </w:pPr>
                <w:r>
                  <w:rPr>
                    <w:w w:val="105"/>
                    <w:sz w:val="20"/>
                  </w:rPr>
                  <w:t>97</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2400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2297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5.1pt;height:12pt;mso-position-horizontal-relative:page;mso-position-vertical-relative:page;z-index:-276221952" type="#_x0000_t202" filled="false" stroked="false">
          <v:textbox inset="0,0,0,0">
            <w:txbxContent>
              <w:p>
                <w:pPr>
                  <w:spacing w:line="214" w:lineRule="exact" w:before="0"/>
                  <w:ind w:left="20" w:right="0" w:firstLine="0"/>
                  <w:jc w:val="left"/>
                  <w:rPr>
                    <w:sz w:val="20"/>
                  </w:rPr>
                </w:pPr>
                <w:r>
                  <w:rPr>
                    <w:w w:val="115"/>
                    <w:sz w:val="20"/>
                  </w:rPr>
                  <w:t>98</w:t>
                </w:r>
              </w:p>
            </w:txbxContent>
          </v:textbox>
          <w10:wrap type="none"/>
        </v:shape>
      </w:pict>
    </w:r>
    <w:r>
      <w:rPr/>
      <w:pict>
        <v:shape style="position:absolute;margin-left:1066.133667pt;margin-top:85.962502pt;width:15pt;height:12pt;mso-position-horizontal-relative:page;mso-position-vertical-relative:page;z-index:-276220928" type="#_x0000_t202" filled="false" stroked="false">
          <v:textbox inset="0,0,0,0">
            <w:txbxContent>
              <w:p>
                <w:pPr>
                  <w:spacing w:line="214" w:lineRule="exact" w:before="0"/>
                  <w:ind w:left="20" w:right="0" w:firstLine="0"/>
                  <w:jc w:val="left"/>
                  <w:rPr>
                    <w:sz w:val="20"/>
                  </w:rPr>
                </w:pPr>
                <w:r>
                  <w:rPr>
                    <w:w w:val="115"/>
                    <w:sz w:val="20"/>
                  </w:rPr>
                  <w:t>99</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1990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1888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55pt;height:12pt;mso-position-horizontal-relative:page;mso-position-vertical-relative:page;z-index:-276217856" type="#_x0000_t202" filled="false" stroked="false">
          <v:textbox inset="0,0,0,0">
            <w:txbxContent>
              <w:p>
                <w:pPr>
                  <w:spacing w:line="214" w:lineRule="exact" w:before="0"/>
                  <w:ind w:left="20" w:right="0" w:firstLine="0"/>
                  <w:jc w:val="left"/>
                  <w:rPr>
                    <w:sz w:val="20"/>
                  </w:rPr>
                </w:pPr>
                <w:r>
                  <w:rPr>
                    <w:w w:val="105"/>
                    <w:sz w:val="20"/>
                  </w:rPr>
                  <w:t>100</w:t>
                </w:r>
              </w:p>
            </w:txbxContent>
          </v:textbox>
          <w10:wrap type="none"/>
        </v:shape>
      </w:pict>
    </w:r>
    <w:r>
      <w:rPr/>
      <w:pict>
        <v:shape style="position:absolute;margin-left:1064.703613pt;margin-top:85.962502pt;width:16.4pt;height:12pt;mso-position-horizontal-relative:page;mso-position-vertical-relative:page;z-index:-276216832" type="#_x0000_t202" filled="false" stroked="false">
          <v:textbox inset="0,0,0,0">
            <w:txbxContent>
              <w:p>
                <w:pPr>
                  <w:spacing w:line="214" w:lineRule="exact" w:before="0"/>
                  <w:ind w:left="20" w:right="0" w:firstLine="0"/>
                  <w:jc w:val="left"/>
                  <w:rPr>
                    <w:sz w:val="20"/>
                  </w:rPr>
                </w:pPr>
                <w:r>
                  <w:rPr>
                    <w:w w:val="90"/>
                    <w:sz w:val="20"/>
                  </w:rPr>
                  <w:t>101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40012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9910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1.65pt;height:12pt;mso-position-horizontal-relative:page;mso-position-vertical-relative:page;z-index:-276398080" type="#_x0000_t202" filled="false" stroked="false">
          <v:textbox inset="0,0,0,0">
            <w:txbxContent>
              <w:p>
                <w:pPr>
                  <w:spacing w:line="214" w:lineRule="exact" w:before="0"/>
                  <w:ind w:left="20" w:right="0" w:firstLine="0"/>
                  <w:jc w:val="left"/>
                  <w:rPr>
                    <w:sz w:val="20"/>
                  </w:rPr>
                </w:pPr>
                <w:r>
                  <w:rPr>
                    <w:w w:val="90"/>
                    <w:sz w:val="20"/>
                  </w:rPr>
                  <w:t>12</w:t>
                </w:r>
              </w:p>
            </w:txbxContent>
          </v:textbox>
          <w10:wrap type="none"/>
        </v:shape>
      </w:pict>
    </w:r>
    <w:r>
      <w:rPr/>
      <w:pict>
        <v:shape style="position:absolute;margin-left:1069.463623pt;margin-top:85.962502pt;width:11.65pt;height:12pt;mso-position-horizontal-relative:page;mso-position-vertical-relative:page;z-index:-276397056" type="#_x0000_t202" filled="false" stroked="false">
          <v:textbox inset="0,0,0,0">
            <w:txbxContent>
              <w:p>
                <w:pPr>
                  <w:spacing w:line="214" w:lineRule="exact" w:before="0"/>
                  <w:ind w:left="20" w:right="0" w:firstLine="0"/>
                  <w:jc w:val="left"/>
                  <w:rPr>
                    <w:sz w:val="20"/>
                  </w:rPr>
                </w:pPr>
                <w:r>
                  <w:rPr>
                    <w:w w:val="90"/>
                    <w:sz w:val="20"/>
                  </w:rPr>
                  <w:t>13</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1580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1478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5pt;height:12pt;mso-position-horizontal-relative:page;mso-position-vertical-relative:page;z-index:-276213760" type="#_x0000_t202" filled="false" stroked="false">
          <v:textbox inset="0,0,0,0">
            <w:txbxContent>
              <w:p>
                <w:pPr>
                  <w:spacing w:line="214" w:lineRule="exact" w:before="0"/>
                  <w:ind w:left="20" w:right="0" w:firstLine="0"/>
                  <w:jc w:val="left"/>
                  <w:rPr>
                    <w:sz w:val="20"/>
                  </w:rPr>
                </w:pPr>
                <w:r>
                  <w:rPr>
                    <w:sz w:val="20"/>
                  </w:rPr>
                  <w:t>102</w:t>
                </w:r>
              </w:p>
            </w:txbxContent>
          </v:textbox>
          <w10:wrap type="none"/>
        </v:shape>
      </w:pict>
    </w:r>
    <w:r>
      <w:rPr/>
      <w:pict>
        <v:shape style="position:absolute;margin-left:1062.573608pt;margin-top:85.962502pt;width:18.55pt;height:12pt;mso-position-horizontal-relative:page;mso-position-vertical-relative:page;z-index:-276212736" type="#_x0000_t202" filled="false" stroked="false">
          <v:textbox inset="0,0,0,0">
            <w:txbxContent>
              <w:p>
                <w:pPr>
                  <w:spacing w:line="214" w:lineRule="exact" w:before="0"/>
                  <w:ind w:left="20" w:right="0" w:firstLine="0"/>
                  <w:jc w:val="left"/>
                  <w:rPr>
                    <w:sz w:val="20"/>
                  </w:rPr>
                </w:pPr>
                <w:r>
                  <w:rPr>
                    <w:sz w:val="20"/>
                  </w:rPr>
                  <w:t>103</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1171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1068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9.4pt;height:12pt;mso-position-horizontal-relative:page;mso-position-vertical-relative:page;z-index:-276209664" type="#_x0000_t202" filled="false" stroked="false">
          <v:textbox inset="0,0,0,0">
            <w:txbxContent>
              <w:p>
                <w:pPr>
                  <w:spacing w:line="214" w:lineRule="exact" w:before="0"/>
                  <w:ind w:left="20" w:right="0" w:firstLine="0"/>
                  <w:jc w:val="left"/>
                  <w:rPr>
                    <w:sz w:val="20"/>
                  </w:rPr>
                </w:pPr>
                <w:r>
                  <w:rPr>
                    <w:w w:val="105"/>
                    <w:sz w:val="20"/>
                  </w:rPr>
                  <w:t>104</w:t>
                </w:r>
              </w:p>
            </w:txbxContent>
          </v:textbox>
          <w10:wrap type="none"/>
        </v:shape>
      </w:pict>
    </w:r>
    <w:r>
      <w:rPr/>
      <w:pict>
        <v:shape style="position:absolute;margin-left:1062.293701pt;margin-top:85.962502pt;width:18.8pt;height:12pt;mso-position-horizontal-relative:page;mso-position-vertical-relative:page;z-index:-276208640" type="#_x0000_t202" filled="false" stroked="false">
          <v:textbox inset="0,0,0,0">
            <w:txbxContent>
              <w:p>
                <w:pPr>
                  <w:spacing w:line="214" w:lineRule="exact" w:before="0"/>
                  <w:ind w:left="20" w:right="0" w:firstLine="0"/>
                  <w:jc w:val="left"/>
                  <w:rPr>
                    <w:sz w:val="20"/>
                  </w:rPr>
                </w:pPr>
                <w:r>
                  <w:rPr>
                    <w:sz w:val="20"/>
                  </w:rPr>
                  <w:t>105</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0761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0659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150pt;height:12pt;mso-position-horizontal-relative:page;mso-position-vertical-relative:page;z-index:-276205568" type="#_x0000_t202" filled="false" stroked="false">
          <v:textbox inset="0,0,0,0">
            <w:txbxContent>
              <w:p>
                <w:pPr>
                  <w:spacing w:line="214" w:lineRule="exact" w:before="0"/>
                  <w:ind w:left="20" w:right="0" w:firstLine="0"/>
                  <w:jc w:val="left"/>
                  <w:rPr>
                    <w:sz w:val="20"/>
                  </w:rPr>
                </w:pPr>
                <w:r>
                  <w:rPr>
                    <w:w w:val="105"/>
                    <w:sz w:val="20"/>
                  </w:rPr>
                  <w:t>106</w:t>
                </w:r>
              </w:p>
            </w:txbxContent>
          </v:textbox>
          <w10:wrap type="none"/>
        </v:shape>
      </w:pict>
    </w:r>
    <w:r>
      <w:rPr/>
      <w:pict>
        <v:shape style="position:absolute;margin-left:1063.153564pt;margin-top:85.962502pt;width:17.95pt;height:12pt;mso-position-horizontal-relative:page;mso-position-vertical-relative:page;z-index:-276204544" type="#_x0000_t202" filled="false" stroked="false">
          <v:textbox inset="0,0,0,0">
            <w:txbxContent>
              <w:p>
                <w:pPr>
                  <w:spacing w:line="214" w:lineRule="exact" w:before="0"/>
                  <w:ind w:left="20" w:right="0" w:firstLine="0"/>
                  <w:jc w:val="left"/>
                  <w:rPr>
                    <w:sz w:val="20"/>
                  </w:rPr>
                </w:pPr>
                <w:r>
                  <w:rPr>
                    <w:w w:val="95"/>
                    <w:sz w:val="20"/>
                  </w:rPr>
                  <w:t>107</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20352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20249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25pt;height:12pt;mso-position-horizontal-relative:page;mso-position-vertical-relative:page;z-index:-276201472" type="#_x0000_t202" filled="false" stroked="false">
          <v:textbox inset="0,0,0,0">
            <w:txbxContent>
              <w:p>
                <w:pPr>
                  <w:spacing w:line="214" w:lineRule="exact" w:before="0"/>
                  <w:ind w:left="20" w:right="0" w:firstLine="0"/>
                  <w:jc w:val="left"/>
                  <w:rPr>
                    <w:sz w:val="20"/>
                  </w:rPr>
                </w:pPr>
                <w:r>
                  <w:rPr>
                    <w:w w:val="105"/>
                    <w:sz w:val="20"/>
                  </w:rPr>
                  <w:t>108</w:t>
                </w:r>
              </w:p>
            </w:txbxContent>
          </v:textbox>
          <w10:wrap type="none"/>
        </v:shape>
      </w:pict>
    </w:r>
    <w:r>
      <w:rPr/>
      <w:pict>
        <v:shape style="position:absolute;margin-left:1061.973633pt;margin-top:85.962502pt;width:19.150pt;height:12pt;mso-position-horizontal-relative:page;mso-position-vertical-relative:page;z-index:-276200448" type="#_x0000_t202" filled="false" stroked="false">
          <v:textbox inset="0,0,0,0">
            <w:txbxContent>
              <w:p>
                <w:pPr>
                  <w:spacing w:line="214" w:lineRule="exact" w:before="0"/>
                  <w:ind w:left="20" w:right="0" w:firstLine="0"/>
                  <w:jc w:val="left"/>
                  <w:rPr>
                    <w:sz w:val="20"/>
                  </w:rPr>
                </w:pPr>
                <w:r>
                  <w:rPr>
                    <w:w w:val="105"/>
                    <w:sz w:val="20"/>
                  </w:rPr>
                  <w:t>109</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9942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9840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503pt;margin-top:85.962502pt;width:16.4pt;height:12pt;mso-position-horizontal-relative:page;mso-position-vertical-relative:page;z-index:-276197376" type="#_x0000_t202" filled="false" stroked="false">
          <v:textbox inset="0,0,0,0">
            <w:txbxContent>
              <w:p>
                <w:pPr>
                  <w:spacing w:line="214" w:lineRule="exact" w:before="0"/>
                  <w:ind w:left="20" w:right="0" w:firstLine="0"/>
                  <w:jc w:val="left"/>
                  <w:rPr>
                    <w:sz w:val="20"/>
                  </w:rPr>
                </w:pPr>
                <w:r>
                  <w:rPr>
                    <w:w w:val="90"/>
                    <w:sz w:val="20"/>
                  </w:rPr>
                  <w:t>110</w:t>
                </w:r>
              </w:p>
            </w:txbxContent>
          </v:textbox>
          <w10:wrap type="none"/>
        </v:shape>
      </w:pict>
    </w:r>
    <w:r>
      <w:rPr/>
      <w:pict>
        <v:shape style="position:absolute;margin-left:1067.843506pt;margin-top:85.962502pt;width:13.25pt;height:12pt;mso-position-horizontal-relative:page;mso-position-vertical-relative:page;z-index:-276196352" type="#_x0000_t202" filled="false" stroked="false">
          <v:textbox inset="0,0,0,0">
            <w:txbxContent>
              <w:p>
                <w:pPr>
                  <w:spacing w:line="214" w:lineRule="exact" w:before="0"/>
                  <w:ind w:left="20" w:right="0" w:firstLine="0"/>
                  <w:jc w:val="left"/>
                  <w:rPr>
                    <w:sz w:val="20"/>
                  </w:rPr>
                </w:pPr>
                <w:r>
                  <w:rPr>
                    <w:w w:val="70"/>
                    <w:sz w:val="20"/>
                  </w:rPr>
                  <w:t>111</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9532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9430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5.4pt;height:12pt;mso-position-horizontal-relative:page;mso-position-vertical-relative:page;z-index:-276193280" type="#_x0000_t202" filled="false" stroked="false">
          <v:textbox inset="0,0,0,0">
            <w:txbxContent>
              <w:p>
                <w:pPr>
                  <w:spacing w:line="214" w:lineRule="exact" w:before="0"/>
                  <w:ind w:left="20" w:right="0" w:firstLine="0"/>
                  <w:jc w:val="left"/>
                  <w:rPr>
                    <w:sz w:val="20"/>
                  </w:rPr>
                </w:pPr>
                <w:r>
                  <w:rPr>
                    <w:w w:val="80"/>
                    <w:sz w:val="20"/>
                  </w:rPr>
                  <w:t>112</w:t>
                </w:r>
              </w:p>
            </w:txbxContent>
          </v:textbox>
          <w10:wrap type="none"/>
        </v:shape>
      </w:pict>
    </w:r>
    <w:r>
      <w:rPr/>
      <w:pict>
        <v:shape style="position:absolute;margin-left:1065.713623pt;margin-top:85.962502pt;width:15.4pt;height:12pt;mso-position-horizontal-relative:page;mso-position-vertical-relative:page;z-index:-276192256" type="#_x0000_t202" filled="false" stroked="false">
          <v:textbox inset="0,0,0,0">
            <w:txbxContent>
              <w:p>
                <w:pPr>
                  <w:spacing w:line="214" w:lineRule="exact" w:before="0"/>
                  <w:ind w:left="20" w:right="0" w:firstLine="0"/>
                  <w:jc w:val="left"/>
                  <w:rPr>
                    <w:sz w:val="20"/>
                  </w:rPr>
                </w:pPr>
                <w:r>
                  <w:rPr>
                    <w:w w:val="80"/>
                    <w:sz w:val="20"/>
                  </w:rPr>
                  <w:t>113</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9123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9020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6.25pt;height:12pt;mso-position-horizontal-relative:page;mso-position-vertical-relative:page;z-index:-276189184" type="#_x0000_t202" filled="false" stroked="false">
          <v:textbox inset="0,0,0,0">
            <w:txbxContent>
              <w:p>
                <w:pPr>
                  <w:spacing w:line="214" w:lineRule="exact" w:before="0"/>
                  <w:ind w:left="20" w:right="0" w:firstLine="0"/>
                  <w:jc w:val="left"/>
                  <w:rPr>
                    <w:sz w:val="20"/>
                  </w:rPr>
                </w:pPr>
                <w:r>
                  <w:rPr>
                    <w:w w:val="85"/>
                    <w:sz w:val="20"/>
                  </w:rPr>
                  <w:t>114</w:t>
                </w:r>
              </w:p>
            </w:txbxContent>
          </v:textbox>
          <w10:wrap type="none"/>
        </v:shape>
      </w:pict>
    </w:r>
    <w:r>
      <w:rPr/>
      <w:pict>
        <v:shape style="position:absolute;margin-left:1065.433594pt;margin-top:85.962502pt;width:15.7pt;height:12pt;mso-position-horizontal-relative:page;mso-position-vertical-relative:page;z-index:-276188160" type="#_x0000_t202" filled="false" stroked="false">
          <v:textbox inset="0,0,0,0">
            <w:txbxContent>
              <w:p>
                <w:pPr>
                  <w:spacing w:line="214" w:lineRule="exact" w:before="0"/>
                  <w:ind w:left="20" w:right="0" w:firstLine="0"/>
                  <w:jc w:val="left"/>
                  <w:rPr>
                    <w:sz w:val="20"/>
                  </w:rPr>
                </w:pPr>
                <w:r>
                  <w:rPr>
                    <w:w w:val="85"/>
                    <w:sz w:val="20"/>
                  </w:rPr>
                  <w:t>115</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8713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8611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6pt;height:12pt;mso-position-horizontal-relative:page;mso-position-vertical-relative:page;z-index:-276185088" type="#_x0000_t202" filled="false" stroked="false">
          <v:textbox inset="0,0,0,0">
            <w:txbxContent>
              <w:p>
                <w:pPr>
                  <w:spacing w:line="214" w:lineRule="exact" w:before="0"/>
                  <w:ind w:left="20" w:right="0" w:firstLine="0"/>
                  <w:jc w:val="left"/>
                  <w:rPr>
                    <w:sz w:val="20"/>
                  </w:rPr>
                </w:pPr>
                <w:r>
                  <w:rPr>
                    <w:w w:val="85"/>
                    <w:sz w:val="20"/>
                  </w:rPr>
                  <w:t>116</w:t>
                </w:r>
              </w:p>
            </w:txbxContent>
          </v:textbox>
          <w10:wrap type="none"/>
        </v:shape>
      </w:pict>
    </w:r>
    <w:r>
      <w:rPr/>
      <w:pict>
        <v:shape style="position:absolute;margin-left:1066.293579pt;margin-top:85.962502pt;width:14.8pt;height:12pt;mso-position-horizontal-relative:page;mso-position-vertical-relative:page;z-index:-276184064" type="#_x0000_t202" filled="false" stroked="false">
          <v:textbox inset="0,0,0,0">
            <w:txbxContent>
              <w:p>
                <w:pPr>
                  <w:spacing w:line="214" w:lineRule="exact" w:before="0"/>
                  <w:ind w:left="20" w:right="0" w:firstLine="0"/>
                  <w:jc w:val="left"/>
                  <w:rPr>
                    <w:sz w:val="20"/>
                  </w:rPr>
                </w:pPr>
                <w:r>
                  <w:rPr>
                    <w:w w:val="80"/>
                    <w:sz w:val="20"/>
                  </w:rPr>
                  <w:t>117</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8304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8201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6.1pt;height:12pt;mso-position-horizontal-relative:page;mso-position-vertical-relative:page;z-index:-276180992" type="#_x0000_t202" filled="false" stroked="false">
          <v:textbox inset="0,0,0,0">
            <w:txbxContent>
              <w:p>
                <w:pPr>
                  <w:spacing w:line="214" w:lineRule="exact" w:before="0"/>
                  <w:ind w:left="20" w:right="0" w:firstLine="0"/>
                  <w:jc w:val="left"/>
                  <w:rPr>
                    <w:sz w:val="20"/>
                  </w:rPr>
                </w:pPr>
                <w:r>
                  <w:rPr>
                    <w:w w:val="85"/>
                    <w:sz w:val="20"/>
                  </w:rPr>
                  <w:t>118</w:t>
                </w:r>
              </w:p>
            </w:txbxContent>
          </v:textbox>
          <w10:wrap type="none"/>
        </v:shape>
      </w:pict>
    </w:r>
    <w:r>
      <w:rPr/>
      <w:pict>
        <v:shape style="position:absolute;margin-left:1065.113647pt;margin-top:85.962502pt;width:16pt;height:12pt;mso-position-horizontal-relative:page;mso-position-vertical-relative:page;z-index:-276179968" type="#_x0000_t202" filled="false" stroked="false">
          <v:textbox inset="0,0,0,0">
            <w:txbxContent>
              <w:p>
                <w:pPr>
                  <w:spacing w:line="214" w:lineRule="exact" w:before="0"/>
                  <w:ind w:left="20" w:right="0" w:firstLine="0"/>
                  <w:jc w:val="left"/>
                  <w:rPr>
                    <w:sz w:val="20"/>
                  </w:rPr>
                </w:pPr>
                <w:r>
                  <w:rPr>
                    <w:w w:val="85"/>
                    <w:sz w:val="20"/>
                  </w:rPr>
                  <w:t>119</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7894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7792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5pt;height:12pt;mso-position-horizontal-relative:page;mso-position-vertical-relative:page;z-index:-276176896" type="#_x0000_t202" filled="false" stroked="false">
          <v:textbox inset="0,0,0,0">
            <w:txbxContent>
              <w:p>
                <w:pPr>
                  <w:spacing w:line="214" w:lineRule="exact" w:before="0"/>
                  <w:ind w:left="20" w:right="0" w:firstLine="0"/>
                  <w:jc w:val="left"/>
                  <w:rPr>
                    <w:sz w:val="20"/>
                  </w:rPr>
                </w:pPr>
                <w:r>
                  <w:rPr>
                    <w:sz w:val="20"/>
                  </w:rPr>
                  <w:t>120</w:t>
                </w:r>
              </w:p>
            </w:txbxContent>
          </v:textbox>
          <w10:wrap type="none"/>
        </v:shape>
      </w:pict>
    </w:r>
    <w:r>
      <w:rPr/>
      <w:pict>
        <v:shape style="position:absolute;margin-left:1065.733643pt;margin-top:85.962502pt;width:15.4pt;height:12pt;mso-position-horizontal-relative:page;mso-position-vertical-relative:page;z-index:-276175872" type="#_x0000_t202" filled="false" stroked="false">
          <v:textbox inset="0,0,0,0">
            <w:txbxContent>
              <w:p>
                <w:pPr>
                  <w:spacing w:line="214" w:lineRule="exact" w:before="0"/>
                  <w:ind w:left="20" w:right="0" w:firstLine="0"/>
                  <w:jc w:val="left"/>
                  <w:rPr>
                    <w:sz w:val="20"/>
                  </w:rPr>
                </w:pPr>
                <w:r>
                  <w:rPr>
                    <w:w w:val="80"/>
                    <w:sz w:val="20"/>
                  </w:rPr>
                  <w:t>121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9603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9500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2.5pt;height:12pt;mso-position-horizontal-relative:page;mso-position-vertical-relative:page;z-index:-276393984" type="#_x0000_t202" filled="false" stroked="false">
          <v:textbox inset="0,0,0,0">
            <w:txbxContent>
              <w:p>
                <w:pPr>
                  <w:spacing w:line="214" w:lineRule="exact" w:before="0"/>
                  <w:ind w:left="20" w:right="0" w:firstLine="0"/>
                  <w:jc w:val="left"/>
                  <w:rPr>
                    <w:sz w:val="20"/>
                  </w:rPr>
                </w:pPr>
                <w:r>
                  <w:rPr>
                    <w:sz w:val="20"/>
                  </w:rPr>
                  <w:t>14</w:t>
                </w:r>
              </w:p>
            </w:txbxContent>
          </v:textbox>
          <w10:wrap type="none"/>
        </v:shape>
      </w:pict>
    </w:r>
    <w:r>
      <w:rPr/>
      <w:pict>
        <v:shape style="position:absolute;margin-left:1069.183594pt;margin-top:85.962502pt;width:11.95pt;height:12pt;mso-position-horizontal-relative:page;mso-position-vertical-relative:page;z-index:-276392960" type="#_x0000_t202" filled="false" stroked="false">
          <v:textbox inset="0,0,0,0">
            <w:txbxContent>
              <w:p>
                <w:pPr>
                  <w:spacing w:line="214" w:lineRule="exact" w:before="0"/>
                  <w:ind w:left="20" w:right="0" w:firstLine="0"/>
                  <w:jc w:val="left"/>
                  <w:rPr>
                    <w:sz w:val="20"/>
                  </w:rPr>
                </w:pPr>
                <w:r>
                  <w:rPr>
                    <w:w w:val="95"/>
                    <w:sz w:val="20"/>
                  </w:rPr>
                  <w:t>15</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7484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7382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7.5pt;height:12pt;mso-position-horizontal-relative:page;mso-position-vertical-relative:page;z-index:-276172800" type="#_x0000_t202" filled="false" stroked="false">
          <v:textbox inset="0,0,0,0">
            <w:txbxContent>
              <w:p>
                <w:pPr>
                  <w:spacing w:line="214" w:lineRule="exact" w:before="0"/>
                  <w:ind w:left="20" w:right="0" w:firstLine="0"/>
                  <w:jc w:val="left"/>
                  <w:rPr>
                    <w:sz w:val="20"/>
                  </w:rPr>
                </w:pPr>
                <w:r>
                  <w:rPr>
                    <w:w w:val="95"/>
                    <w:sz w:val="20"/>
                  </w:rPr>
                  <w:t>122</w:t>
                </w:r>
              </w:p>
            </w:txbxContent>
          </v:textbox>
          <w10:wrap type="none"/>
        </v:shape>
      </w:pict>
    </w:r>
    <w:r>
      <w:rPr/>
      <w:pict>
        <v:shape style="position:absolute;margin-left:1063.603638pt;margin-top:85.962502pt;width:17.5pt;height:12pt;mso-position-horizontal-relative:page;mso-position-vertical-relative:page;z-index:-276171776" type="#_x0000_t202" filled="false" stroked="false">
          <v:textbox inset="0,0,0,0">
            <w:txbxContent>
              <w:p>
                <w:pPr>
                  <w:spacing w:line="214" w:lineRule="exact" w:before="0"/>
                  <w:ind w:left="20" w:right="0" w:firstLine="0"/>
                  <w:jc w:val="left"/>
                  <w:rPr>
                    <w:sz w:val="20"/>
                  </w:rPr>
                </w:pPr>
                <w:r>
                  <w:rPr>
                    <w:w w:val="95"/>
                    <w:sz w:val="20"/>
                  </w:rPr>
                  <w:t>123</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7075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6972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350pt;height:12pt;mso-position-horizontal-relative:page;mso-position-vertical-relative:page;z-index:-276168704" type="#_x0000_t202" filled="false" stroked="false">
          <v:textbox inset="0,0,0,0">
            <w:txbxContent>
              <w:p>
                <w:pPr>
                  <w:spacing w:line="214" w:lineRule="exact" w:before="0"/>
                  <w:ind w:left="20" w:right="0" w:firstLine="0"/>
                  <w:jc w:val="left"/>
                  <w:rPr>
                    <w:sz w:val="20"/>
                  </w:rPr>
                </w:pPr>
                <w:r>
                  <w:rPr>
                    <w:sz w:val="20"/>
                  </w:rPr>
                  <w:t>124</w:t>
                </w:r>
              </w:p>
            </w:txbxContent>
          </v:textbox>
          <w10:wrap type="none"/>
        </v:shape>
      </w:pict>
    </w:r>
    <w:r>
      <w:rPr/>
      <w:pict>
        <v:shape style="position:absolute;margin-left:1063.323608pt;margin-top:85.962502pt;width:17.8pt;height:12pt;mso-position-horizontal-relative:page;mso-position-vertical-relative:page;z-index:-276167680" type="#_x0000_t202" filled="false" stroked="false">
          <v:textbox inset="0,0,0,0">
            <w:txbxContent>
              <w:p>
                <w:pPr>
                  <w:spacing w:line="214" w:lineRule="exact" w:before="0"/>
                  <w:ind w:left="20" w:right="0" w:firstLine="0"/>
                  <w:jc w:val="left"/>
                  <w:rPr>
                    <w:sz w:val="20"/>
                  </w:rPr>
                </w:pPr>
                <w:r>
                  <w:rPr>
                    <w:w w:val="95"/>
                    <w:sz w:val="20"/>
                  </w:rPr>
                  <w:t>125</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6665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6563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1pt;height:12pt;mso-position-horizontal-relative:page;mso-position-vertical-relative:page;z-index:-276164608" type="#_x0000_t202" filled="false" stroked="false">
          <v:textbox inset="0,0,0,0">
            <w:txbxContent>
              <w:p>
                <w:pPr>
                  <w:spacing w:line="214" w:lineRule="exact" w:before="0"/>
                  <w:ind w:left="20" w:right="0" w:firstLine="0"/>
                  <w:jc w:val="left"/>
                  <w:rPr>
                    <w:sz w:val="20"/>
                  </w:rPr>
                </w:pPr>
                <w:r>
                  <w:rPr>
                    <w:sz w:val="20"/>
                  </w:rPr>
                  <w:t>126</w:t>
                </w:r>
              </w:p>
            </w:txbxContent>
          </v:textbox>
          <w10:wrap type="none"/>
        </v:shape>
      </w:pict>
    </w:r>
    <w:r>
      <w:rPr/>
      <w:pict>
        <v:shape style="position:absolute;margin-left:1064.183594pt;margin-top:85.962502pt;width:16.95pt;height:12pt;mso-position-horizontal-relative:page;mso-position-vertical-relative:page;z-index:-276163584" type="#_x0000_t202" filled="false" stroked="false">
          <v:textbox inset="0,0,0,0">
            <w:txbxContent>
              <w:p>
                <w:pPr>
                  <w:spacing w:line="214" w:lineRule="exact" w:before="0"/>
                  <w:ind w:left="20" w:right="0" w:firstLine="0"/>
                  <w:jc w:val="left"/>
                  <w:rPr>
                    <w:sz w:val="20"/>
                  </w:rPr>
                </w:pPr>
                <w:r>
                  <w:rPr>
                    <w:w w:val="90"/>
                    <w:sz w:val="20"/>
                  </w:rPr>
                  <w:t>127</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6256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6153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8.2pt;height:12pt;mso-position-horizontal-relative:page;mso-position-vertical-relative:page;z-index:-276160512" type="#_x0000_t202" filled="false" stroked="false">
          <v:textbox inset="0,0,0,0">
            <w:txbxContent>
              <w:p>
                <w:pPr>
                  <w:spacing w:line="214" w:lineRule="exact" w:before="0"/>
                  <w:ind w:left="20" w:right="0" w:firstLine="0"/>
                  <w:jc w:val="left"/>
                  <w:rPr>
                    <w:sz w:val="20"/>
                  </w:rPr>
                </w:pPr>
                <w:r>
                  <w:rPr>
                    <w:sz w:val="20"/>
                  </w:rPr>
                  <w:t>128</w:t>
                </w:r>
              </w:p>
            </w:txbxContent>
          </v:textbox>
          <w10:wrap type="none"/>
        </v:shape>
      </w:pict>
    </w:r>
    <w:r>
      <w:rPr/>
      <w:pict>
        <v:shape style="position:absolute;margin-left:1063.003662pt;margin-top:85.962502pt;width:18.1pt;height:12pt;mso-position-horizontal-relative:page;mso-position-vertical-relative:page;z-index:-276159488" type="#_x0000_t202" filled="false" stroked="false">
          <v:textbox inset="0,0,0,0">
            <w:txbxContent>
              <w:p>
                <w:pPr>
                  <w:spacing w:line="214" w:lineRule="exact" w:before="0"/>
                  <w:ind w:left="20" w:right="0" w:firstLine="0"/>
                  <w:jc w:val="left"/>
                  <w:rPr>
                    <w:sz w:val="20"/>
                  </w:rPr>
                </w:pPr>
                <w:r>
                  <w:rPr>
                    <w:sz w:val="20"/>
                  </w:rPr>
                  <w:t>129</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5846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5744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55pt;height:12pt;mso-position-horizontal-relative:page;mso-position-vertical-relative:page;z-index:-276156416" type="#_x0000_t202" filled="false" stroked="false">
          <v:textbox inset="0,0,0,0">
            <w:txbxContent>
              <w:p>
                <w:pPr>
                  <w:spacing w:line="214" w:lineRule="exact" w:before="0"/>
                  <w:ind w:left="20" w:right="0" w:firstLine="0"/>
                  <w:jc w:val="left"/>
                  <w:rPr>
                    <w:sz w:val="20"/>
                  </w:rPr>
                </w:pPr>
                <w:r>
                  <w:rPr>
                    <w:sz w:val="20"/>
                  </w:rPr>
                  <w:t>130</w:t>
                </w:r>
              </w:p>
            </w:txbxContent>
          </v:textbox>
          <w10:wrap type="none"/>
        </v:shape>
      </w:pict>
    </w:r>
    <w:r>
      <w:rPr/>
      <w:pict>
        <v:shape style="position:absolute;margin-left:1065.713623pt;margin-top:85.962502pt;width:15.4pt;height:12pt;mso-position-horizontal-relative:page;mso-position-vertical-relative:page;z-index:-276155392" type="#_x0000_t202" filled="false" stroked="false">
          <v:textbox inset="0,0,0,0">
            <w:txbxContent>
              <w:p>
                <w:pPr>
                  <w:spacing w:line="214" w:lineRule="exact" w:before="0"/>
                  <w:ind w:left="20" w:right="0" w:firstLine="0"/>
                  <w:jc w:val="left"/>
                  <w:rPr>
                    <w:sz w:val="20"/>
                  </w:rPr>
                </w:pPr>
                <w:r>
                  <w:rPr>
                    <w:w w:val="80"/>
                    <w:sz w:val="20"/>
                  </w:rPr>
                  <w:t>131</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5436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5334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7.5pt;height:12pt;mso-position-horizontal-relative:page;mso-position-vertical-relative:page;z-index:-276152320" type="#_x0000_t202" filled="false" stroked="false">
          <v:textbox inset="0,0,0,0">
            <w:txbxContent>
              <w:p>
                <w:pPr>
                  <w:spacing w:line="214" w:lineRule="exact" w:before="0"/>
                  <w:ind w:left="20" w:right="0" w:firstLine="0"/>
                  <w:jc w:val="left"/>
                  <w:rPr>
                    <w:sz w:val="20"/>
                  </w:rPr>
                </w:pPr>
                <w:r>
                  <w:rPr>
                    <w:w w:val="95"/>
                    <w:sz w:val="20"/>
                  </w:rPr>
                  <w:t>132</w:t>
                </w:r>
              </w:p>
            </w:txbxContent>
          </v:textbox>
          <w10:wrap type="none"/>
        </v:shape>
      </w:pict>
    </w:r>
    <w:r>
      <w:rPr/>
      <w:pict>
        <v:shape style="position:absolute;margin-left:1063.583618pt;margin-top:85.962502pt;width:17.55pt;height:12pt;mso-position-horizontal-relative:page;mso-position-vertical-relative:page;z-index:-276151296" type="#_x0000_t202" filled="false" stroked="false">
          <v:textbox inset="0,0,0,0">
            <w:txbxContent>
              <w:p>
                <w:pPr>
                  <w:spacing w:line="214" w:lineRule="exact" w:before="0"/>
                  <w:ind w:left="20" w:right="0" w:firstLine="0"/>
                  <w:jc w:val="left"/>
                  <w:rPr>
                    <w:sz w:val="20"/>
                  </w:rPr>
                </w:pPr>
                <w:r>
                  <w:rPr>
                    <w:w w:val="95"/>
                    <w:sz w:val="20"/>
                  </w:rPr>
                  <w:t>133</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5027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4924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4pt;height:12pt;mso-position-horizontal-relative:page;mso-position-vertical-relative:page;z-index:-276148224" type="#_x0000_t202" filled="false" stroked="false">
          <v:textbox inset="0,0,0,0">
            <w:txbxContent>
              <w:p>
                <w:pPr>
                  <w:spacing w:line="214" w:lineRule="exact" w:before="0"/>
                  <w:ind w:left="20" w:right="0" w:firstLine="0"/>
                  <w:jc w:val="left"/>
                  <w:rPr>
                    <w:sz w:val="20"/>
                  </w:rPr>
                </w:pPr>
                <w:r>
                  <w:rPr>
                    <w:sz w:val="20"/>
                  </w:rPr>
                  <w:t>134</w:t>
                </w:r>
              </w:p>
            </w:txbxContent>
          </v:textbox>
          <w10:wrap type="none"/>
        </v:shape>
      </w:pict>
    </w:r>
    <w:r>
      <w:rPr/>
      <w:pict>
        <v:shape style="position:absolute;margin-left:1063.303589pt;margin-top:85.962502pt;width:17.8pt;height:12pt;mso-position-horizontal-relative:page;mso-position-vertical-relative:page;z-index:-276147200" type="#_x0000_t202" filled="false" stroked="false">
          <v:textbox inset="0,0,0,0">
            <w:txbxContent>
              <w:p>
                <w:pPr>
                  <w:spacing w:line="214" w:lineRule="exact" w:before="0"/>
                  <w:ind w:left="20" w:right="0" w:firstLine="0"/>
                  <w:jc w:val="left"/>
                  <w:rPr>
                    <w:sz w:val="20"/>
                  </w:rPr>
                </w:pPr>
                <w:r>
                  <w:rPr>
                    <w:w w:val="95"/>
                    <w:sz w:val="20"/>
                  </w:rPr>
                  <w:t>135</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4617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4515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150pt;height:12pt;mso-position-horizontal-relative:page;mso-position-vertical-relative:page;z-index:-276144128" type="#_x0000_t202" filled="false" stroked="false">
          <v:textbox inset="0,0,0,0">
            <w:txbxContent>
              <w:p>
                <w:pPr>
                  <w:spacing w:line="214" w:lineRule="exact" w:before="0"/>
                  <w:ind w:left="20" w:right="0" w:firstLine="0"/>
                  <w:jc w:val="left"/>
                  <w:rPr>
                    <w:sz w:val="20"/>
                  </w:rPr>
                </w:pPr>
                <w:r>
                  <w:rPr>
                    <w:sz w:val="20"/>
                  </w:rPr>
                  <w:t>136</w:t>
                </w:r>
              </w:p>
            </w:txbxContent>
          </v:textbox>
          <w10:wrap type="none"/>
        </v:shape>
      </w:pict>
    </w:r>
    <w:r>
      <w:rPr/>
      <w:pict>
        <v:shape style="position:absolute;margin-left:1064.163574pt;margin-top:85.962502pt;width:16.95pt;height:12pt;mso-position-horizontal-relative:page;mso-position-vertical-relative:page;z-index:-276143104" type="#_x0000_t202" filled="false" stroked="false">
          <v:textbox inset="0,0,0,0">
            <w:txbxContent>
              <w:p>
                <w:pPr>
                  <w:spacing w:line="214" w:lineRule="exact" w:before="0"/>
                  <w:ind w:left="20" w:right="0" w:firstLine="0"/>
                  <w:jc w:val="left"/>
                  <w:rPr>
                    <w:sz w:val="20"/>
                  </w:rPr>
                </w:pPr>
                <w:r>
                  <w:rPr>
                    <w:w w:val="90"/>
                    <w:sz w:val="20"/>
                  </w:rPr>
                  <w:t>137</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4208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4105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25pt;height:12pt;mso-position-horizontal-relative:page;mso-position-vertical-relative:page;z-index:-276140032" type="#_x0000_t202" filled="false" stroked="false">
          <v:textbox inset="0,0,0,0">
            <w:txbxContent>
              <w:p>
                <w:pPr>
                  <w:spacing w:line="214" w:lineRule="exact" w:before="0"/>
                  <w:ind w:left="20" w:right="0" w:firstLine="0"/>
                  <w:jc w:val="left"/>
                  <w:rPr>
                    <w:sz w:val="20"/>
                  </w:rPr>
                </w:pPr>
                <w:r>
                  <w:rPr>
                    <w:sz w:val="20"/>
                  </w:rPr>
                  <w:t>138</w:t>
                </w:r>
              </w:p>
            </w:txbxContent>
          </v:textbox>
          <w10:wrap type="none"/>
        </v:shape>
      </w:pict>
    </w:r>
    <w:r>
      <w:rPr/>
      <w:pict>
        <v:shape style="position:absolute;margin-left:1062.983643pt;margin-top:85.962502pt;width:18.150pt;height:12pt;mso-position-horizontal-relative:page;mso-position-vertical-relative:page;z-index:-276139008" type="#_x0000_t202" filled="false" stroked="false">
          <v:textbox inset="0,0,0,0">
            <w:txbxContent>
              <w:p>
                <w:pPr>
                  <w:spacing w:line="214" w:lineRule="exact" w:before="0"/>
                  <w:ind w:left="20" w:right="0" w:firstLine="0"/>
                  <w:jc w:val="left"/>
                  <w:rPr>
                    <w:sz w:val="20"/>
                  </w:rPr>
                </w:pPr>
                <w:r>
                  <w:rPr>
                    <w:sz w:val="20"/>
                  </w:rPr>
                  <w:t>139</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3798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3696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4pt;height:12pt;mso-position-horizontal-relative:page;mso-position-vertical-relative:page;z-index:-276135936" type="#_x0000_t202" filled="false" stroked="false">
          <v:textbox inset="0,0,0,0">
            <w:txbxContent>
              <w:p>
                <w:pPr>
                  <w:spacing w:line="214" w:lineRule="exact" w:before="0"/>
                  <w:ind w:left="20" w:right="0" w:firstLine="0"/>
                  <w:jc w:val="left"/>
                  <w:rPr>
                    <w:sz w:val="20"/>
                  </w:rPr>
                </w:pPr>
                <w:r>
                  <w:rPr>
                    <w:w w:val="105"/>
                    <w:sz w:val="20"/>
                  </w:rPr>
                  <w:t>140</w:t>
                </w:r>
              </w:p>
            </w:txbxContent>
          </v:textbox>
          <w10:wrap type="none"/>
        </v:shape>
      </w:pict>
    </w:r>
    <w:r>
      <w:rPr/>
      <w:pict>
        <v:shape style="position:absolute;margin-left:1065.043579pt;margin-top:85.962502pt;width:15.9pt;height:12pt;mso-position-horizontal-relative:page;mso-position-vertical-relative:page;z-index:-276134912" type="#_x0000_t202" filled="false" stroked="false">
          <v:textbox inset="0,0,0,0">
            <w:txbxContent>
              <w:p>
                <w:pPr>
                  <w:spacing w:line="214" w:lineRule="exact" w:before="0"/>
                  <w:ind w:left="20" w:right="0" w:firstLine="0"/>
                  <w:jc w:val="left"/>
                  <w:rPr>
                    <w:sz w:val="20"/>
                  </w:rPr>
                </w:pPr>
                <w:r>
                  <w:rPr>
                    <w:w w:val="85"/>
                    <w:sz w:val="20"/>
                  </w:rPr>
                  <w:t>141</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9193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9091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2.25pt;height:12pt;mso-position-horizontal-relative:page;mso-position-vertical-relative:page;z-index:-276389888" type="#_x0000_t202" filled="false" stroked="false">
          <v:textbox inset="0,0,0,0">
            <w:txbxContent>
              <w:p>
                <w:pPr>
                  <w:spacing w:line="214" w:lineRule="exact" w:before="0"/>
                  <w:ind w:left="20" w:right="0" w:firstLine="0"/>
                  <w:jc w:val="left"/>
                  <w:rPr>
                    <w:sz w:val="20"/>
                  </w:rPr>
                </w:pPr>
                <w:r>
                  <w:rPr>
                    <w:w w:val="95"/>
                    <w:sz w:val="20"/>
                  </w:rPr>
                  <w:t>16</w:t>
                </w:r>
              </w:p>
            </w:txbxContent>
          </v:textbox>
          <w10:wrap type="none"/>
        </v:shape>
      </w:pict>
    </w:r>
    <w:r>
      <w:rPr/>
      <w:pict>
        <v:shape style="position:absolute;margin-left:1070.043579pt;margin-top:85.962502pt;width:11.05pt;height:12pt;mso-position-horizontal-relative:page;mso-position-vertical-relative:page;z-index:-276388864" type="#_x0000_t202" filled="false" stroked="false">
          <v:textbox inset="0,0,0,0">
            <w:txbxContent>
              <w:p>
                <w:pPr>
                  <w:spacing w:line="214" w:lineRule="exact" w:before="0"/>
                  <w:ind w:left="20" w:right="0" w:firstLine="0"/>
                  <w:jc w:val="left"/>
                  <w:rPr>
                    <w:sz w:val="20"/>
                  </w:rPr>
                </w:pPr>
                <w:r>
                  <w:rPr>
                    <w:w w:val="85"/>
                    <w:sz w:val="20"/>
                  </w:rPr>
                  <w:t>17</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3388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3286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350pt;height:12pt;mso-position-horizontal-relative:page;mso-position-vertical-relative:page;z-index:-276131840" type="#_x0000_t202" filled="false" stroked="false">
          <v:textbox inset="0,0,0,0">
            <w:txbxContent>
              <w:p>
                <w:pPr>
                  <w:spacing w:line="214" w:lineRule="exact" w:before="0"/>
                  <w:ind w:left="20" w:right="0" w:firstLine="0"/>
                  <w:jc w:val="left"/>
                  <w:rPr>
                    <w:sz w:val="20"/>
                  </w:rPr>
                </w:pPr>
                <w:r>
                  <w:rPr>
                    <w:sz w:val="20"/>
                  </w:rPr>
                  <w:t>142</w:t>
                </w:r>
              </w:p>
            </w:txbxContent>
          </v:textbox>
          <w10:wrap type="none"/>
        </v:shape>
      </w:pict>
    </w:r>
    <w:r>
      <w:rPr/>
      <w:pict>
        <v:shape style="position:absolute;margin-left:1062.723633pt;margin-top:85.962502pt;width:18.4pt;height:12pt;mso-position-horizontal-relative:page;mso-position-vertical-relative:page;z-index:-276130816" type="#_x0000_t202" filled="false" stroked="false">
          <v:textbox inset="0,0,0,0">
            <w:txbxContent>
              <w:p>
                <w:pPr>
                  <w:spacing w:line="214" w:lineRule="exact" w:before="0"/>
                  <w:ind w:left="20" w:right="0" w:firstLine="0"/>
                  <w:jc w:val="left"/>
                  <w:rPr>
                    <w:sz w:val="20"/>
                  </w:rPr>
                </w:pPr>
                <w:r>
                  <w:rPr>
                    <w:sz w:val="20"/>
                  </w:rPr>
                  <w:t>143</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2979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2876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25pt;height:12pt;mso-position-horizontal-relative:page;mso-position-vertical-relative:page;z-index:-276127744" type="#_x0000_t202" filled="false" stroked="false">
          <v:textbox inset="0,0,0,0">
            <w:txbxContent>
              <w:p>
                <w:pPr>
                  <w:spacing w:line="214" w:lineRule="exact" w:before="0"/>
                  <w:ind w:left="20" w:right="0" w:firstLine="0"/>
                  <w:jc w:val="left"/>
                  <w:rPr>
                    <w:sz w:val="20"/>
                  </w:rPr>
                </w:pPr>
                <w:r>
                  <w:rPr>
                    <w:w w:val="105"/>
                    <w:sz w:val="20"/>
                  </w:rPr>
                  <w:t>144</w:t>
                </w:r>
              </w:p>
            </w:txbxContent>
          </v:textbox>
          <w10:wrap type="none"/>
        </v:shape>
      </w:pict>
    </w:r>
    <w:r>
      <w:rPr/>
      <w:pict>
        <v:shape style="position:absolute;margin-left:1062.443604pt;margin-top:85.962502pt;width:18.650pt;height:12pt;mso-position-horizontal-relative:page;mso-position-vertical-relative:page;z-index:-276126720" type="#_x0000_t202" filled="false" stroked="false">
          <v:textbox inset="0,0,0,0">
            <w:txbxContent>
              <w:p>
                <w:pPr>
                  <w:spacing w:line="214" w:lineRule="exact" w:before="0"/>
                  <w:ind w:left="20" w:right="0" w:firstLine="0"/>
                  <w:jc w:val="left"/>
                  <w:rPr>
                    <w:sz w:val="20"/>
                  </w:rPr>
                </w:pPr>
                <w:r>
                  <w:rPr>
                    <w:sz w:val="20"/>
                  </w:rPr>
                  <w:t>145</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2569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2467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pt;height:12pt;mso-position-horizontal-relative:page;mso-position-vertical-relative:page;z-index:-276123648" type="#_x0000_t202" filled="false" stroked="false">
          <v:textbox inset="0,0,0,0">
            <w:txbxContent>
              <w:p>
                <w:pPr>
                  <w:spacing w:line="214" w:lineRule="exact" w:before="0"/>
                  <w:ind w:left="20" w:right="0" w:firstLine="0"/>
                  <w:jc w:val="left"/>
                  <w:rPr>
                    <w:sz w:val="20"/>
                  </w:rPr>
                </w:pPr>
                <w:r>
                  <w:rPr>
                    <w:sz w:val="20"/>
                  </w:rPr>
                  <w:t>146</w:t>
                </w:r>
              </w:p>
            </w:txbxContent>
          </v:textbox>
          <w10:wrap type="none"/>
        </v:shape>
      </w:pict>
    </w:r>
    <w:r>
      <w:rPr/>
      <w:pict>
        <v:shape style="position:absolute;margin-left:1063.303589pt;margin-top:85.962502pt;width:17.8pt;height:12pt;mso-position-horizontal-relative:page;mso-position-vertical-relative:page;z-index:-276122624" type="#_x0000_t202" filled="false" stroked="false">
          <v:textbox inset="0,0,0,0">
            <w:txbxContent>
              <w:p>
                <w:pPr>
                  <w:spacing w:line="214" w:lineRule="exact" w:before="0"/>
                  <w:ind w:left="20" w:right="0" w:firstLine="0"/>
                  <w:jc w:val="left"/>
                  <w:rPr>
                    <w:sz w:val="20"/>
                  </w:rPr>
                </w:pPr>
                <w:r>
                  <w:rPr>
                    <w:w w:val="95"/>
                    <w:sz w:val="20"/>
                  </w:rPr>
                  <w:t>147</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2160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2057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1pt;height:12pt;mso-position-horizontal-relative:page;mso-position-vertical-relative:page;z-index:-276119552" type="#_x0000_t202" filled="false" stroked="false">
          <v:textbox inset="0,0,0,0">
            <w:txbxContent>
              <w:p>
                <w:pPr>
                  <w:spacing w:line="214" w:lineRule="exact" w:before="0"/>
                  <w:ind w:left="20" w:right="0" w:firstLine="0"/>
                  <w:jc w:val="left"/>
                  <w:rPr>
                    <w:sz w:val="20"/>
                  </w:rPr>
                </w:pPr>
                <w:r>
                  <w:rPr>
                    <w:sz w:val="20"/>
                  </w:rPr>
                  <w:t>148</w:t>
                </w:r>
              </w:p>
            </w:txbxContent>
          </v:textbox>
          <w10:wrap type="none"/>
        </v:shape>
      </w:pict>
    </w:r>
    <w:r>
      <w:rPr/>
      <w:pict>
        <v:shape style="position:absolute;margin-left:1062.313599pt;margin-top:85.962502pt;width:18.6pt;height:12pt;mso-position-horizontal-relative:page;mso-position-vertical-relative:page;z-index:-276118528" type="#_x0000_t202" filled="false" stroked="false">
          <v:textbox inset="0,0,0,0">
            <w:txbxContent>
              <w:p>
                <w:pPr>
                  <w:spacing w:line="214" w:lineRule="exact" w:before="0"/>
                  <w:ind w:left="20" w:right="0" w:firstLine="0"/>
                  <w:jc w:val="left"/>
                  <w:rPr>
                    <w:sz w:val="20"/>
                  </w:rPr>
                </w:pPr>
                <w:r>
                  <w:rPr>
                    <w:sz w:val="20"/>
                  </w:rPr>
                  <w:t>149</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1750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1648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8pt;height:12pt;mso-position-horizontal-relative:page;mso-position-vertical-relative:page;z-index:-276115456" type="#_x0000_t202" filled="false" stroked="false">
          <v:textbox inset="0,0,0,0">
            <w:txbxContent>
              <w:p>
                <w:pPr>
                  <w:spacing w:line="214" w:lineRule="exact" w:before="0"/>
                  <w:ind w:left="20" w:right="0" w:firstLine="0"/>
                  <w:jc w:val="left"/>
                  <w:rPr>
                    <w:sz w:val="20"/>
                  </w:rPr>
                </w:pPr>
                <w:r>
                  <w:rPr>
                    <w:sz w:val="20"/>
                  </w:rPr>
                  <w:t>150</w:t>
                </w:r>
              </w:p>
            </w:txbxContent>
          </v:textbox>
          <w10:wrap type="none"/>
        </v:shape>
      </w:pict>
    </w:r>
    <w:r>
      <w:rPr/>
      <w:pict>
        <v:shape style="position:absolute;margin-left:1065.433594pt;margin-top:85.962502pt;width:15.7pt;height:12pt;mso-position-horizontal-relative:page;mso-position-vertical-relative:page;z-index:-276114432" type="#_x0000_t202" filled="false" stroked="false">
          <v:textbox inset="0,0,0,0">
            <w:txbxContent>
              <w:p>
                <w:pPr>
                  <w:spacing w:line="214" w:lineRule="exact" w:before="0"/>
                  <w:ind w:left="20" w:right="0" w:firstLine="0"/>
                  <w:jc w:val="left"/>
                  <w:rPr>
                    <w:sz w:val="20"/>
                  </w:rPr>
                </w:pPr>
                <w:r>
                  <w:rPr>
                    <w:w w:val="85"/>
                    <w:sz w:val="20"/>
                  </w:rPr>
                  <w:t>151</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1340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1238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7.8pt;height:12pt;mso-position-horizontal-relative:page;mso-position-vertical-relative:page;z-index:-276111360" type="#_x0000_t202" filled="false" stroked="false">
          <v:textbox inset="0,0,0,0">
            <w:txbxContent>
              <w:p>
                <w:pPr>
                  <w:spacing w:line="214" w:lineRule="exact" w:before="0"/>
                  <w:ind w:left="20" w:right="0" w:firstLine="0"/>
                  <w:jc w:val="left"/>
                  <w:rPr>
                    <w:sz w:val="20"/>
                  </w:rPr>
                </w:pPr>
                <w:r>
                  <w:rPr>
                    <w:w w:val="95"/>
                    <w:sz w:val="20"/>
                  </w:rPr>
                  <w:t>152</w:t>
                </w:r>
              </w:p>
            </w:txbxContent>
          </v:textbox>
          <w10:wrap type="none"/>
        </v:shape>
      </w:pict>
    </w:r>
    <w:r>
      <w:rPr/>
      <w:pict>
        <v:shape style="position:absolute;margin-left:1063.303589pt;margin-top:85.962502pt;width:17.8pt;height:12pt;mso-position-horizontal-relative:page;mso-position-vertical-relative:page;z-index:-276110336" type="#_x0000_t202" filled="false" stroked="false">
          <v:textbox inset="0,0,0,0">
            <w:txbxContent>
              <w:p>
                <w:pPr>
                  <w:spacing w:line="214" w:lineRule="exact" w:before="0"/>
                  <w:ind w:left="20" w:right="0" w:firstLine="0"/>
                  <w:jc w:val="left"/>
                  <w:rPr>
                    <w:sz w:val="20"/>
                  </w:rPr>
                </w:pPr>
                <w:r>
                  <w:rPr>
                    <w:w w:val="95"/>
                    <w:sz w:val="20"/>
                  </w:rPr>
                  <w:t>153</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0931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0828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8.650pt;height:12pt;mso-position-horizontal-relative:page;mso-position-vertical-relative:page;z-index:-276107264" type="#_x0000_t202" filled="false" stroked="false">
          <v:textbox inset="0,0,0,0">
            <w:txbxContent>
              <w:p>
                <w:pPr>
                  <w:spacing w:line="214" w:lineRule="exact" w:before="0"/>
                  <w:ind w:left="20" w:right="0" w:firstLine="0"/>
                  <w:jc w:val="left"/>
                  <w:rPr>
                    <w:sz w:val="20"/>
                  </w:rPr>
                </w:pPr>
                <w:r>
                  <w:rPr>
                    <w:sz w:val="20"/>
                  </w:rPr>
                  <w:t>154</w:t>
                </w:r>
              </w:p>
            </w:txbxContent>
          </v:textbox>
          <w10:wrap type="none"/>
        </v:shape>
      </w:pict>
    </w:r>
    <w:r>
      <w:rPr/>
      <w:pict>
        <v:shape style="position:absolute;margin-left:1063.023682pt;margin-top:85.962502pt;width:18.1pt;height:12pt;mso-position-horizontal-relative:page;mso-position-vertical-relative:page;z-index:-276106240" type="#_x0000_t202" filled="false" stroked="false">
          <v:textbox inset="0,0,0,0">
            <w:txbxContent>
              <w:p>
                <w:pPr>
                  <w:spacing w:line="214" w:lineRule="exact" w:before="0"/>
                  <w:ind w:left="20" w:right="0" w:firstLine="0"/>
                  <w:jc w:val="left"/>
                  <w:rPr>
                    <w:sz w:val="20"/>
                  </w:rPr>
                </w:pPr>
                <w:r>
                  <w:rPr>
                    <w:sz w:val="20"/>
                  </w:rPr>
                  <w:t>155</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0521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0419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503pt;margin-top:85.962502pt;width:18.4pt;height:12pt;mso-position-horizontal-relative:page;mso-position-vertical-relative:page;z-index:-276103168" type="#_x0000_t202" filled="false" stroked="false">
          <v:textbox inset="0,0,0,0">
            <w:txbxContent>
              <w:p>
                <w:pPr>
                  <w:spacing w:line="214" w:lineRule="exact" w:before="0"/>
                  <w:ind w:left="20" w:right="0" w:firstLine="0"/>
                  <w:jc w:val="left"/>
                  <w:rPr>
                    <w:sz w:val="20"/>
                  </w:rPr>
                </w:pPr>
                <w:r>
                  <w:rPr>
                    <w:sz w:val="20"/>
                  </w:rPr>
                  <w:t>156</w:t>
                </w:r>
              </w:p>
            </w:txbxContent>
          </v:textbox>
          <w10:wrap type="none"/>
        </v:shape>
      </w:pict>
    </w:r>
    <w:r>
      <w:rPr/>
      <w:pict>
        <v:shape style="position:absolute;margin-left:1063.883545pt;margin-top:85.962502pt;width:17.25pt;height:12pt;mso-position-horizontal-relative:page;mso-position-vertical-relative:page;z-index:-276102144" type="#_x0000_t202" filled="false" stroked="false">
          <v:textbox inset="0,0,0,0">
            <w:txbxContent>
              <w:p>
                <w:pPr>
                  <w:spacing w:line="214" w:lineRule="exact" w:before="0"/>
                  <w:ind w:left="20" w:right="0" w:firstLine="0"/>
                  <w:jc w:val="left"/>
                  <w:rPr>
                    <w:sz w:val="20"/>
                  </w:rPr>
                </w:pPr>
                <w:r>
                  <w:rPr>
                    <w:w w:val="95"/>
                    <w:sz w:val="20"/>
                  </w:rPr>
                  <w:t>157</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10112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10009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5pt;height:12pt;mso-position-horizontal-relative:page;mso-position-vertical-relative:page;z-index:-276099072" type="#_x0000_t202" filled="false" stroked="false">
          <v:textbox inset="0,0,0,0">
            <w:txbxContent>
              <w:p>
                <w:pPr>
                  <w:spacing w:line="214" w:lineRule="exact" w:before="0"/>
                  <w:ind w:left="20" w:right="0" w:firstLine="0"/>
                  <w:jc w:val="left"/>
                  <w:rPr>
                    <w:sz w:val="20"/>
                  </w:rPr>
                </w:pPr>
                <w:r>
                  <w:rPr>
                    <w:sz w:val="20"/>
                  </w:rPr>
                  <w:t>158</w:t>
                </w:r>
              </w:p>
            </w:txbxContent>
          </v:textbox>
          <w10:wrap type="none"/>
        </v:shape>
      </w:pict>
    </w:r>
    <w:r>
      <w:rPr/>
      <w:pict>
        <v:shape style="position:absolute;margin-left:1062.703613pt;margin-top:85.962502pt;width:18.4pt;height:12pt;mso-position-horizontal-relative:page;mso-position-vertical-relative:page;z-index:-276098048" type="#_x0000_t202" filled="false" stroked="false">
          <v:textbox inset="0,0,0,0">
            <w:txbxContent>
              <w:p>
                <w:pPr>
                  <w:spacing w:line="214" w:lineRule="exact" w:before="0"/>
                  <w:ind w:left="20" w:right="0" w:firstLine="0"/>
                  <w:jc w:val="left"/>
                  <w:rPr>
                    <w:sz w:val="20"/>
                  </w:rPr>
                </w:pPr>
                <w:r>
                  <w:rPr>
                    <w:sz w:val="20"/>
                  </w:rPr>
                  <w:t>159</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9702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9600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150pt;height:12pt;mso-position-horizontal-relative:page;mso-position-vertical-relative:page;z-index:-276094976" type="#_x0000_t202" filled="false" stroked="false">
          <v:textbox inset="0,0,0,0">
            <w:txbxContent>
              <w:p>
                <w:pPr>
                  <w:spacing w:line="214" w:lineRule="exact" w:before="0"/>
                  <w:ind w:left="20" w:right="0" w:firstLine="0"/>
                  <w:jc w:val="left"/>
                  <w:rPr>
                    <w:sz w:val="20"/>
                  </w:rPr>
                </w:pPr>
                <w:r>
                  <w:rPr>
                    <w:w w:val="105"/>
                    <w:sz w:val="20"/>
                  </w:rPr>
                  <w:t>160</w:t>
                </w:r>
              </w:p>
            </w:txbxContent>
          </v:textbox>
          <w10:wrap type="none"/>
        </v:shape>
      </w:pict>
    </w:r>
    <w:r>
      <w:rPr/>
      <w:pict>
        <v:shape style="position:absolute;margin-left:1065.113647pt;margin-top:85.962502pt;width:16pt;height:12pt;mso-position-horizontal-relative:page;mso-position-vertical-relative:page;z-index:-276093952" type="#_x0000_t202" filled="false" stroked="false">
          <v:textbox inset="0,0,0,0">
            <w:txbxContent>
              <w:p>
                <w:pPr>
                  <w:spacing w:line="214" w:lineRule="exact" w:before="0"/>
                  <w:ind w:left="20" w:right="0" w:firstLine="0"/>
                  <w:jc w:val="left"/>
                  <w:rPr>
                    <w:sz w:val="20"/>
                  </w:rPr>
                </w:pPr>
                <w:r>
                  <w:rPr>
                    <w:w w:val="85"/>
                    <w:sz w:val="20"/>
                  </w:rPr>
                  <w:t>161</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8784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8681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2.35pt;height:12pt;mso-position-horizontal-relative:page;mso-position-vertical-relative:page;z-index:-276385792" type="#_x0000_t202" filled="false" stroked="false">
          <v:textbox inset="0,0,0,0">
            <w:txbxContent>
              <w:p>
                <w:pPr>
                  <w:spacing w:line="214" w:lineRule="exact" w:before="0"/>
                  <w:ind w:left="20" w:right="0" w:firstLine="0"/>
                  <w:jc w:val="left"/>
                  <w:rPr>
                    <w:sz w:val="20"/>
                  </w:rPr>
                </w:pPr>
                <w:r>
                  <w:rPr>
                    <w:w w:val="95"/>
                    <w:sz w:val="20"/>
                  </w:rPr>
                  <w:t>18</w:t>
                </w:r>
              </w:p>
            </w:txbxContent>
          </v:textbox>
          <w10:wrap type="none"/>
        </v:shape>
      </w:pict>
    </w:r>
    <w:r>
      <w:rPr/>
      <w:pict>
        <v:shape style="position:absolute;margin-left:1068.863647pt;margin-top:85.962502pt;width:12.25pt;height:12pt;mso-position-horizontal-relative:page;mso-position-vertical-relative:page;z-index:-276384768" type="#_x0000_t202" filled="false" stroked="false">
          <v:textbox inset="0,0,0,0">
            <w:txbxContent>
              <w:p>
                <w:pPr>
                  <w:spacing w:line="214" w:lineRule="exact" w:before="0"/>
                  <w:ind w:left="20" w:right="0" w:firstLine="0"/>
                  <w:jc w:val="left"/>
                  <w:rPr>
                    <w:sz w:val="20"/>
                  </w:rPr>
                </w:pPr>
                <w:r>
                  <w:rPr>
                    <w:w w:val="95"/>
                    <w:sz w:val="20"/>
                  </w:rPr>
                  <w:t>19</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9292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9190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1pt;height:12pt;mso-position-horizontal-relative:page;mso-position-vertical-relative:page;z-index:-276090880" type="#_x0000_t202" filled="false" stroked="false">
          <v:textbox inset="0,0,0,0">
            <w:txbxContent>
              <w:p>
                <w:pPr>
                  <w:spacing w:line="214" w:lineRule="exact" w:before="0"/>
                  <w:ind w:left="20" w:right="0" w:firstLine="0"/>
                  <w:jc w:val="left"/>
                  <w:rPr>
                    <w:sz w:val="20"/>
                  </w:rPr>
                </w:pPr>
                <w:r>
                  <w:rPr>
                    <w:sz w:val="20"/>
                  </w:rPr>
                  <w:t>162</w:t>
                </w:r>
              </w:p>
            </w:txbxContent>
          </v:textbox>
          <w10:wrap type="none"/>
        </v:shape>
      </w:pict>
    </w:r>
    <w:r>
      <w:rPr/>
      <w:pict>
        <v:shape style="position:absolute;margin-left:1062.983643pt;margin-top:85.962502pt;width:18.150pt;height:12pt;mso-position-horizontal-relative:page;mso-position-vertical-relative:page;z-index:-276089856" type="#_x0000_t202" filled="false" stroked="false">
          <v:textbox inset="0,0,0,0">
            <w:txbxContent>
              <w:p>
                <w:pPr>
                  <w:spacing w:line="214" w:lineRule="exact" w:before="0"/>
                  <w:ind w:left="20" w:right="0" w:firstLine="0"/>
                  <w:jc w:val="left"/>
                  <w:rPr>
                    <w:sz w:val="20"/>
                  </w:rPr>
                </w:pPr>
                <w:r>
                  <w:rPr>
                    <w:sz w:val="20"/>
                  </w:rPr>
                  <w:t>163</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8883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8780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pt;height:12pt;mso-position-horizontal-relative:page;mso-position-vertical-relative:page;z-index:-276086784" type="#_x0000_t202" filled="false" stroked="false">
          <v:textbox inset="0,0,0,0">
            <w:txbxContent>
              <w:p>
                <w:pPr>
                  <w:spacing w:line="214" w:lineRule="exact" w:before="0"/>
                  <w:ind w:left="20" w:right="0" w:firstLine="0"/>
                  <w:jc w:val="left"/>
                  <w:rPr>
                    <w:sz w:val="20"/>
                  </w:rPr>
                </w:pPr>
                <w:r>
                  <w:rPr>
                    <w:sz w:val="20"/>
                  </w:rPr>
                  <w:t>164</w:t>
                </w:r>
              </w:p>
            </w:txbxContent>
          </v:textbox>
          <w10:wrap type="none"/>
        </v:shape>
      </w:pict>
    </w:r>
    <w:r>
      <w:rPr/>
      <w:pict>
        <v:shape style="position:absolute;margin-left:1062.703613pt;margin-top:85.962502pt;width:18.4pt;height:12pt;mso-position-horizontal-relative:page;mso-position-vertical-relative:page;z-index:-276085760" type="#_x0000_t202" filled="false" stroked="false">
          <v:textbox inset="0,0,0,0">
            <w:txbxContent>
              <w:p>
                <w:pPr>
                  <w:spacing w:line="214" w:lineRule="exact" w:before="0"/>
                  <w:ind w:left="20" w:right="0" w:firstLine="0"/>
                  <w:jc w:val="left"/>
                  <w:rPr>
                    <w:sz w:val="20"/>
                  </w:rPr>
                </w:pPr>
                <w:r>
                  <w:rPr>
                    <w:sz w:val="20"/>
                  </w:rPr>
                  <w:t>165</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8473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8371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75pt;height:12pt;mso-position-horizontal-relative:page;mso-position-vertical-relative:page;z-index:-276082688" type="#_x0000_t202" filled="false" stroked="false">
          <v:textbox inset="0,0,0,0">
            <w:txbxContent>
              <w:p>
                <w:pPr>
                  <w:spacing w:line="214" w:lineRule="exact" w:before="0"/>
                  <w:ind w:left="20" w:right="0" w:firstLine="0"/>
                  <w:jc w:val="left"/>
                  <w:rPr>
                    <w:sz w:val="20"/>
                  </w:rPr>
                </w:pPr>
                <w:r>
                  <w:rPr>
                    <w:sz w:val="20"/>
                  </w:rPr>
                  <w:t>166</w:t>
                </w:r>
              </w:p>
            </w:txbxContent>
          </v:textbox>
          <w10:wrap type="none"/>
        </v:shape>
      </w:pict>
    </w:r>
    <w:r>
      <w:rPr/>
      <w:pict>
        <v:shape style="position:absolute;margin-left:1063.563599pt;margin-top:85.962502pt;width:17.55pt;height:12pt;mso-position-horizontal-relative:page;mso-position-vertical-relative:page;z-index:-276081664" type="#_x0000_t202" filled="false" stroked="false">
          <v:textbox inset="0,0,0,0">
            <w:txbxContent>
              <w:p>
                <w:pPr>
                  <w:spacing w:line="214" w:lineRule="exact" w:before="0"/>
                  <w:ind w:left="20" w:right="0" w:firstLine="0"/>
                  <w:jc w:val="left"/>
                  <w:rPr>
                    <w:sz w:val="20"/>
                  </w:rPr>
                </w:pPr>
                <w:r>
                  <w:rPr>
                    <w:w w:val="95"/>
                    <w:sz w:val="20"/>
                  </w:rPr>
                  <w:t>167</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8064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7961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503pt;margin-top:85.962502pt;width:18.850pt;height:12pt;mso-position-horizontal-relative:page;mso-position-vertical-relative:page;z-index:-276078592" type="#_x0000_t202" filled="false" stroked="false">
          <v:textbox inset="0,0,0,0">
            <w:txbxContent>
              <w:p>
                <w:pPr>
                  <w:spacing w:line="214" w:lineRule="exact" w:before="0"/>
                  <w:ind w:left="20" w:right="0" w:firstLine="0"/>
                  <w:jc w:val="left"/>
                  <w:rPr>
                    <w:sz w:val="20"/>
                  </w:rPr>
                </w:pPr>
                <w:r>
                  <w:rPr>
                    <w:sz w:val="20"/>
                  </w:rPr>
                  <w:t>168</w:t>
                </w:r>
              </w:p>
            </w:txbxContent>
          </v:textbox>
          <w10:wrap type="none"/>
        </v:shape>
      </w:pict>
    </w:r>
    <w:r>
      <w:rPr/>
      <w:pict>
        <v:shape style="position:absolute;margin-left:1062.513550pt;margin-top:85.962502pt;width:18.45pt;height:12pt;mso-position-horizontal-relative:page;mso-position-vertical-relative:page;z-index:-276077568" type="#_x0000_t202" filled="false" stroked="false">
          <v:textbox inset="0,0,0,0">
            <w:txbxContent>
              <w:p>
                <w:pPr>
                  <w:spacing w:line="214" w:lineRule="exact" w:before="0"/>
                  <w:ind w:left="20" w:right="0" w:firstLine="0"/>
                  <w:jc w:val="left"/>
                  <w:rPr>
                    <w:sz w:val="20"/>
                  </w:rPr>
                </w:pPr>
                <w:r>
                  <w:rPr>
                    <w:sz w:val="20"/>
                  </w:rPr>
                  <w:t>169</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7654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7552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7.95pt;height:12pt;mso-position-horizontal-relative:page;mso-position-vertical-relative:page;z-index:-276074496" type="#_x0000_t202" filled="false" stroked="false">
          <v:textbox inset="0,0,0,0">
            <w:txbxContent>
              <w:p>
                <w:pPr>
                  <w:spacing w:line="214" w:lineRule="exact" w:before="0"/>
                  <w:ind w:left="20" w:right="0" w:firstLine="0"/>
                  <w:jc w:val="left"/>
                  <w:rPr>
                    <w:sz w:val="20"/>
                  </w:rPr>
                </w:pPr>
                <w:r>
                  <w:rPr>
                    <w:w w:val="95"/>
                    <w:sz w:val="20"/>
                  </w:rPr>
                  <w:t>170</w:t>
                </w:r>
              </w:p>
            </w:txbxContent>
          </v:textbox>
          <w10:wrap type="none"/>
        </v:shape>
      </w:pict>
    </w:r>
    <w:r>
      <w:rPr/>
      <w:pict>
        <v:shape style="position:absolute;margin-left:1065.893677pt;margin-top:85.962502pt;width:15.2pt;height:12pt;mso-position-horizontal-relative:page;mso-position-vertical-relative:page;z-index:-276073472" type="#_x0000_t202" filled="false" stroked="false">
          <v:textbox inset="0,0,0,0">
            <w:txbxContent>
              <w:p>
                <w:pPr>
                  <w:spacing w:line="214" w:lineRule="exact" w:before="0"/>
                  <w:ind w:left="20" w:right="0" w:firstLine="0"/>
                  <w:jc w:val="left"/>
                  <w:rPr>
                    <w:sz w:val="20"/>
                  </w:rPr>
                </w:pPr>
                <w:r>
                  <w:rPr>
                    <w:w w:val="80"/>
                    <w:sz w:val="20"/>
                  </w:rPr>
                  <w:t>171</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7244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7142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6.95pt;height:12pt;mso-position-horizontal-relative:page;mso-position-vertical-relative:page;z-index:-276070400" type="#_x0000_t202" filled="false" stroked="false">
          <v:textbox inset="0,0,0,0">
            <w:txbxContent>
              <w:p>
                <w:pPr>
                  <w:spacing w:line="214" w:lineRule="exact" w:before="0"/>
                  <w:ind w:left="20" w:right="0" w:firstLine="0"/>
                  <w:jc w:val="left"/>
                  <w:rPr>
                    <w:sz w:val="20"/>
                  </w:rPr>
                </w:pPr>
                <w:r>
                  <w:rPr>
                    <w:w w:val="90"/>
                    <w:sz w:val="20"/>
                  </w:rPr>
                  <w:t>172</w:t>
                </w:r>
              </w:p>
            </w:txbxContent>
          </v:textbox>
          <w10:wrap type="none"/>
        </v:shape>
      </w:pict>
    </w:r>
    <w:r>
      <w:rPr/>
      <w:pict>
        <v:shape style="position:absolute;margin-left:1064.163574pt;margin-top:85.962502pt;width:16.95pt;height:12pt;mso-position-horizontal-relative:page;mso-position-vertical-relative:page;z-index:-276069376" type="#_x0000_t202" filled="false" stroked="false">
          <v:textbox inset="0,0,0,0">
            <w:txbxContent>
              <w:p>
                <w:pPr>
                  <w:spacing w:line="214" w:lineRule="exact" w:before="0"/>
                  <w:ind w:left="20" w:right="0" w:firstLine="0"/>
                  <w:jc w:val="left"/>
                  <w:rPr>
                    <w:sz w:val="20"/>
                  </w:rPr>
                </w:pPr>
                <w:r>
                  <w:rPr>
                    <w:w w:val="90"/>
                    <w:sz w:val="20"/>
                  </w:rPr>
                  <w:t>173</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6835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6732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503pt;margin-top:85.962502pt;width:17.05pt;height:12pt;mso-position-horizontal-relative:page;mso-position-vertical-relative:page;z-index:-276066304" type="#_x0000_t202" filled="false" stroked="false">
          <v:textbox inset="0,0,0,0">
            <w:txbxContent>
              <w:p>
                <w:pPr>
                  <w:spacing w:line="214" w:lineRule="exact" w:before="0"/>
                  <w:ind w:left="20" w:right="0" w:firstLine="0"/>
                  <w:jc w:val="left"/>
                  <w:rPr>
                    <w:sz w:val="20"/>
                  </w:rPr>
                </w:pPr>
                <w:r>
                  <w:rPr>
                    <w:w w:val="95"/>
                    <w:sz w:val="20"/>
                  </w:rPr>
                  <w:t>174</w:t>
                </w:r>
              </w:p>
            </w:txbxContent>
          </v:textbox>
          <w10:wrap type="none"/>
        </v:shape>
      </w:pict>
    </w:r>
    <w:r>
      <w:rPr/>
      <w:pict>
        <v:shape style="position:absolute;margin-left:1063.883545pt;margin-top:85.962502pt;width:17.25pt;height:12pt;mso-position-horizontal-relative:page;mso-position-vertical-relative:page;z-index:-276065280" type="#_x0000_t202" filled="false" stroked="false">
          <v:textbox inset="0,0,0,0">
            <w:txbxContent>
              <w:p>
                <w:pPr>
                  <w:spacing w:line="214" w:lineRule="exact" w:before="0"/>
                  <w:ind w:left="20" w:right="0" w:firstLine="0"/>
                  <w:jc w:val="left"/>
                  <w:rPr>
                    <w:sz w:val="20"/>
                  </w:rPr>
                </w:pPr>
                <w:r>
                  <w:rPr>
                    <w:w w:val="95"/>
                    <w:sz w:val="20"/>
                  </w:rPr>
                  <w:t>175</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6425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6323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6.55pt;height:12pt;mso-position-horizontal-relative:page;mso-position-vertical-relative:page;z-index:-276062208" type="#_x0000_t202" filled="false" stroked="false">
          <v:textbox inset="0,0,0,0">
            <w:txbxContent>
              <w:p>
                <w:pPr>
                  <w:spacing w:line="214" w:lineRule="exact" w:before="0"/>
                  <w:ind w:left="20" w:right="0" w:firstLine="0"/>
                  <w:jc w:val="left"/>
                  <w:rPr>
                    <w:sz w:val="20"/>
                  </w:rPr>
                </w:pPr>
                <w:r>
                  <w:rPr>
                    <w:spacing w:val="-7"/>
                    <w:w w:val="95"/>
                    <w:sz w:val="20"/>
                  </w:rPr>
                  <w:t>176</w:t>
                </w:r>
              </w:p>
            </w:txbxContent>
          </v:textbox>
          <w10:wrap type="none"/>
        </v:shape>
      </w:pict>
    </w:r>
    <w:r>
      <w:rPr/>
      <w:pict>
        <v:shape style="position:absolute;margin-left:1064.593628pt;margin-top:85.962502pt;width:16.5pt;height:12pt;mso-position-horizontal-relative:page;mso-position-vertical-relative:page;z-index:-276061184" type="#_x0000_t202" filled="false" stroked="false">
          <v:textbox inset="0,0,0,0">
            <w:txbxContent>
              <w:p>
                <w:pPr>
                  <w:spacing w:line="214" w:lineRule="exact" w:before="0"/>
                  <w:ind w:left="20" w:right="0" w:firstLine="0"/>
                  <w:jc w:val="left"/>
                  <w:rPr>
                    <w:sz w:val="20"/>
                  </w:rPr>
                </w:pPr>
                <w:r>
                  <w:rPr>
                    <w:w w:val="90"/>
                    <w:sz w:val="20"/>
                  </w:rPr>
                  <w:t>177</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6016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5913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7.650pt;height:12pt;mso-position-horizontal-relative:page;mso-position-vertical-relative:page;z-index:-276058112" type="#_x0000_t202" filled="false" stroked="false">
          <v:textbox inset="0,0,0,0">
            <w:txbxContent>
              <w:p>
                <w:pPr>
                  <w:spacing w:line="214" w:lineRule="exact" w:before="0"/>
                  <w:ind w:left="20" w:right="0" w:firstLine="0"/>
                  <w:jc w:val="left"/>
                  <w:rPr>
                    <w:sz w:val="20"/>
                  </w:rPr>
                </w:pPr>
                <w:r>
                  <w:rPr>
                    <w:w w:val="95"/>
                    <w:sz w:val="20"/>
                  </w:rPr>
                  <w:t>178</w:t>
                </w:r>
              </w:p>
            </w:txbxContent>
          </v:textbox>
          <w10:wrap type="none"/>
        </v:shape>
      </w:pict>
    </w:r>
    <w:r>
      <w:rPr/>
      <w:pict>
        <v:shape style="position:absolute;margin-left:1063.563599pt;margin-top:85.962502pt;width:17.55pt;height:12pt;mso-position-horizontal-relative:page;mso-position-vertical-relative:page;z-index:-276057088" type="#_x0000_t202" filled="false" stroked="false">
          <v:textbox inset="0,0,0,0">
            <w:txbxContent>
              <w:p>
                <w:pPr>
                  <w:spacing w:line="214" w:lineRule="exact" w:before="0"/>
                  <w:ind w:left="20" w:right="0" w:firstLine="0"/>
                  <w:jc w:val="left"/>
                  <w:rPr>
                    <w:sz w:val="20"/>
                  </w:rPr>
                </w:pPr>
                <w:r>
                  <w:rPr>
                    <w:w w:val="95"/>
                    <w:sz w:val="20"/>
                  </w:rPr>
                  <w:t>179</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5606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5504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9.25pt;height:12pt;mso-position-horizontal-relative:page;mso-position-vertical-relative:page;z-index:-276054016" type="#_x0000_t202" filled="false" stroked="false">
          <v:textbox inset="0,0,0,0">
            <w:txbxContent>
              <w:p>
                <w:pPr>
                  <w:spacing w:line="214" w:lineRule="exact" w:before="0"/>
                  <w:ind w:left="20" w:right="0" w:firstLine="0"/>
                  <w:jc w:val="left"/>
                  <w:rPr>
                    <w:sz w:val="20"/>
                  </w:rPr>
                </w:pPr>
                <w:r>
                  <w:rPr>
                    <w:w w:val="105"/>
                    <w:sz w:val="20"/>
                  </w:rPr>
                  <w:t>180</w:t>
                </w:r>
              </w:p>
            </w:txbxContent>
          </v:textbox>
          <w10:wrap type="none"/>
        </v:shape>
      </w:pict>
    </w:r>
    <w:r>
      <w:rPr/>
      <w:pict>
        <v:shape style="position:absolute;margin-left:1065.013672pt;margin-top:85.962502pt;width:16.1pt;height:12pt;mso-position-horizontal-relative:page;mso-position-vertical-relative:page;z-index:-276052992" type="#_x0000_t202" filled="false" stroked="false">
          <v:textbox inset="0,0,0,0">
            <w:txbxContent>
              <w:p>
                <w:pPr>
                  <w:spacing w:line="214" w:lineRule="exact" w:before="0"/>
                  <w:ind w:left="20" w:right="0" w:firstLine="0"/>
                  <w:jc w:val="left"/>
                  <w:rPr>
                    <w:sz w:val="20"/>
                  </w:rPr>
                </w:pPr>
                <w:r>
                  <w:rPr>
                    <w:w w:val="85"/>
                    <w:sz w:val="20"/>
                  </w:rPr>
                  <w:t>181</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38374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38272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4.75pt;height:12pt;mso-position-horizontal-relative:page;mso-position-vertical-relative:page;z-index:-276381696" type="#_x0000_t202" filled="false" stroked="false">
          <v:textbox inset="0,0,0,0">
            <w:txbxContent>
              <w:p>
                <w:pPr>
                  <w:spacing w:line="214" w:lineRule="exact" w:before="0"/>
                  <w:ind w:left="20" w:right="0" w:firstLine="0"/>
                  <w:jc w:val="left"/>
                  <w:rPr>
                    <w:sz w:val="20"/>
                  </w:rPr>
                </w:pPr>
                <w:r>
                  <w:rPr>
                    <w:w w:val="115"/>
                    <w:sz w:val="20"/>
                  </w:rPr>
                  <w:t>20</w:t>
                </w:r>
              </w:p>
            </w:txbxContent>
          </v:textbox>
          <w10:wrap type="none"/>
        </v:shape>
      </w:pict>
    </w:r>
    <w:r>
      <w:rPr/>
      <w:pict>
        <v:shape style="position:absolute;margin-left:1069.483643pt;margin-top:85.962502pt;width:11.65pt;height:12pt;mso-position-horizontal-relative:page;mso-position-vertical-relative:page;z-index:-276380672" type="#_x0000_t202" filled="false" stroked="false">
          <v:textbox inset="0,0,0,0">
            <w:txbxContent>
              <w:p>
                <w:pPr>
                  <w:spacing w:line="214" w:lineRule="exact" w:before="0"/>
                  <w:ind w:left="20" w:right="0" w:firstLine="0"/>
                  <w:jc w:val="left"/>
                  <w:rPr>
                    <w:sz w:val="20"/>
                  </w:rPr>
                </w:pPr>
                <w:r>
                  <w:rPr>
                    <w:w w:val="90"/>
                    <w:sz w:val="20"/>
                  </w:rPr>
                  <w:t>21</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5196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5094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8.2pt;height:12pt;mso-position-horizontal-relative:page;mso-position-vertical-relative:page;z-index:-276049920" type="#_x0000_t202" filled="false" stroked="false">
          <v:textbox inset="0,0,0,0">
            <w:txbxContent>
              <w:p>
                <w:pPr>
                  <w:spacing w:line="214" w:lineRule="exact" w:before="0"/>
                  <w:ind w:left="20" w:right="0" w:firstLine="0"/>
                  <w:jc w:val="left"/>
                  <w:rPr>
                    <w:sz w:val="20"/>
                  </w:rPr>
                </w:pPr>
                <w:r>
                  <w:rPr>
                    <w:sz w:val="20"/>
                  </w:rPr>
                  <w:t>182</w:t>
                </w:r>
              </w:p>
            </w:txbxContent>
          </v:textbox>
          <w10:wrap type="none"/>
        </v:shape>
      </w:pict>
    </w:r>
    <w:r>
      <w:rPr/>
      <w:pict>
        <v:shape style="position:absolute;margin-left:1062.883667pt;margin-top:85.962502pt;width:18.25pt;height:12pt;mso-position-horizontal-relative:page;mso-position-vertical-relative:page;z-index:-276048896" type="#_x0000_t202" filled="false" stroked="false">
          <v:textbox inset="0,0,0,0">
            <w:txbxContent>
              <w:p>
                <w:pPr>
                  <w:spacing w:line="214" w:lineRule="exact" w:before="0"/>
                  <w:ind w:left="20" w:right="0" w:firstLine="0"/>
                  <w:jc w:val="left"/>
                  <w:rPr>
                    <w:sz w:val="20"/>
                  </w:rPr>
                </w:pPr>
                <w:r>
                  <w:rPr>
                    <w:sz w:val="20"/>
                  </w:rPr>
                  <w:t>183</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4787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4684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8pt;margin-top:85.962502pt;width:19.1pt;height:12pt;mso-position-horizontal-relative:page;mso-position-vertical-relative:page;z-index:-276045824" type="#_x0000_t202" filled="false" stroked="false">
          <v:textbox inset="0,0,0,0">
            <w:txbxContent>
              <w:p>
                <w:pPr>
                  <w:spacing w:line="214" w:lineRule="exact" w:before="0"/>
                  <w:ind w:left="20" w:right="0" w:firstLine="0"/>
                  <w:jc w:val="left"/>
                  <w:rPr>
                    <w:sz w:val="20"/>
                  </w:rPr>
                </w:pPr>
                <w:r>
                  <w:rPr>
                    <w:sz w:val="20"/>
                  </w:rPr>
                  <w:t>184</w:t>
                </w:r>
              </w:p>
            </w:txbxContent>
          </v:textbox>
          <w10:wrap type="none"/>
        </v:shape>
      </w:pict>
    </w:r>
    <w:r>
      <w:rPr/>
      <w:pict>
        <v:shape style="position:absolute;margin-left:1062.60376pt;margin-top:85.962502pt;width:18.5pt;height:12pt;mso-position-horizontal-relative:page;mso-position-vertical-relative:page;z-index:-276044800" type="#_x0000_t202" filled="false" stroked="false">
          <v:textbox inset="0,0,0,0">
            <w:txbxContent>
              <w:p>
                <w:pPr>
                  <w:spacing w:line="214" w:lineRule="exact" w:before="0"/>
                  <w:ind w:left="20" w:right="0" w:firstLine="0"/>
                  <w:jc w:val="left"/>
                  <w:rPr>
                    <w:sz w:val="20"/>
                  </w:rPr>
                </w:pPr>
                <w:r>
                  <w:rPr>
                    <w:sz w:val="20"/>
                  </w:rPr>
                  <w:t>185</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4377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4275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850pt;height:12pt;mso-position-horizontal-relative:page;mso-position-vertical-relative:page;z-index:-276041728" type="#_x0000_t202" filled="false" stroked="false">
          <v:textbox inset="0,0,0,0">
            <w:txbxContent>
              <w:p>
                <w:pPr>
                  <w:spacing w:line="214" w:lineRule="exact" w:before="0"/>
                  <w:ind w:left="20" w:right="0" w:firstLine="0"/>
                  <w:jc w:val="left"/>
                  <w:rPr>
                    <w:sz w:val="20"/>
                  </w:rPr>
                </w:pPr>
                <w:r>
                  <w:rPr>
                    <w:sz w:val="20"/>
                  </w:rPr>
                  <w:t>186</w:t>
                </w:r>
              </w:p>
            </w:txbxContent>
          </v:textbox>
          <w10:wrap type="none"/>
        </v:shape>
      </w:pict>
    </w:r>
    <w:r>
      <w:rPr/>
      <w:pict>
        <v:shape style="position:absolute;margin-left:1063.463623pt;margin-top:85.962502pt;width:17.650pt;height:12pt;mso-position-horizontal-relative:page;mso-position-vertical-relative:page;z-index:-276040704" type="#_x0000_t202" filled="false" stroked="false">
          <v:textbox inset="0,0,0,0">
            <w:txbxContent>
              <w:p>
                <w:pPr>
                  <w:spacing w:line="214" w:lineRule="exact" w:before="0"/>
                  <w:ind w:left="20" w:right="0" w:firstLine="0"/>
                  <w:jc w:val="left"/>
                  <w:rPr>
                    <w:sz w:val="20"/>
                  </w:rPr>
                </w:pPr>
                <w:r>
                  <w:rPr>
                    <w:w w:val="95"/>
                    <w:sz w:val="20"/>
                  </w:rPr>
                  <w:t>187</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3968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3865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8.95pt;height:12pt;mso-position-horizontal-relative:page;mso-position-vertical-relative:page;z-index:-276037632" type="#_x0000_t202" filled="false" stroked="false">
          <v:textbox inset="0,0,0,0">
            <w:txbxContent>
              <w:p>
                <w:pPr>
                  <w:spacing w:line="214" w:lineRule="exact" w:before="0"/>
                  <w:ind w:left="20" w:right="0" w:firstLine="0"/>
                  <w:jc w:val="left"/>
                  <w:rPr>
                    <w:sz w:val="20"/>
                  </w:rPr>
                </w:pPr>
                <w:r>
                  <w:rPr>
                    <w:sz w:val="20"/>
                  </w:rPr>
                  <w:t>188</w:t>
                </w:r>
              </w:p>
            </w:txbxContent>
          </v:textbox>
          <w10:wrap type="none"/>
        </v:shape>
      </w:pict>
    </w:r>
    <w:r>
      <w:rPr/>
      <w:pict>
        <v:shape style="position:absolute;margin-left:1062.283691pt;margin-top:85.962502pt;width:18.850pt;height:12pt;mso-position-horizontal-relative:page;mso-position-vertical-relative:page;z-index:-276036608" type="#_x0000_t202" filled="false" stroked="false">
          <v:textbox inset="0,0,0,0">
            <w:txbxContent>
              <w:p>
                <w:pPr>
                  <w:spacing w:line="214" w:lineRule="exact" w:before="0"/>
                  <w:ind w:left="20" w:right="0" w:firstLine="0"/>
                  <w:jc w:val="left"/>
                  <w:rPr>
                    <w:sz w:val="20"/>
                  </w:rPr>
                </w:pPr>
                <w:r>
                  <w:rPr>
                    <w:sz w:val="20"/>
                  </w:rPr>
                  <w:t>189</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3558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3456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9.150pt;height:12pt;mso-position-horizontal-relative:page;mso-position-vertical-relative:page;z-index:-276033536" type="#_x0000_t202" filled="false" stroked="false">
          <v:textbox inset="0,0,0,0">
            <w:txbxContent>
              <w:p>
                <w:pPr>
                  <w:spacing w:line="214" w:lineRule="exact" w:before="0"/>
                  <w:ind w:left="20" w:right="0" w:firstLine="0"/>
                  <w:jc w:val="left"/>
                  <w:rPr>
                    <w:sz w:val="20"/>
                  </w:rPr>
                </w:pPr>
                <w:r>
                  <w:rPr>
                    <w:w w:val="105"/>
                    <w:sz w:val="20"/>
                  </w:rPr>
                  <w:t>190</w:t>
                </w:r>
              </w:p>
            </w:txbxContent>
          </v:textbox>
          <w10:wrap type="none"/>
        </v:shape>
      </w:pict>
    </w:r>
    <w:r>
      <w:rPr/>
      <w:pict>
        <v:shape style="position:absolute;margin-left:1065.113647pt;margin-top:85.962502pt;width:16pt;height:12pt;mso-position-horizontal-relative:page;mso-position-vertical-relative:page;z-index:-276032512" type="#_x0000_t202" filled="false" stroked="false">
          <v:textbox inset="0,0,0,0">
            <w:txbxContent>
              <w:p>
                <w:pPr>
                  <w:spacing w:line="214" w:lineRule="exact" w:before="0"/>
                  <w:ind w:left="20" w:right="0" w:firstLine="0"/>
                  <w:jc w:val="left"/>
                  <w:rPr>
                    <w:sz w:val="20"/>
                  </w:rPr>
                </w:pPr>
                <w:r>
                  <w:rPr>
                    <w:w w:val="85"/>
                    <w:sz w:val="20"/>
                  </w:rPr>
                  <w:t>191</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3148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3046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1pt;height:12pt;mso-position-horizontal-relative:page;mso-position-vertical-relative:page;z-index:-276029440" type="#_x0000_t202" filled="false" stroked="false">
          <v:textbox inset="0,0,0,0">
            <w:txbxContent>
              <w:p>
                <w:pPr>
                  <w:spacing w:line="214" w:lineRule="exact" w:before="0"/>
                  <w:ind w:left="20" w:right="0" w:firstLine="0"/>
                  <w:jc w:val="left"/>
                  <w:rPr>
                    <w:sz w:val="20"/>
                  </w:rPr>
                </w:pPr>
                <w:r>
                  <w:rPr>
                    <w:sz w:val="20"/>
                  </w:rPr>
                  <w:t>192</w:t>
                </w:r>
              </w:p>
            </w:txbxContent>
          </v:textbox>
          <w10:wrap type="none"/>
        </v:shape>
      </w:pict>
    </w:r>
    <w:r>
      <w:rPr/>
      <w:pict>
        <v:shape style="position:absolute;margin-left:1062.983643pt;margin-top:85.962502pt;width:18.150pt;height:12pt;mso-position-horizontal-relative:page;mso-position-vertical-relative:page;z-index:-276028416" type="#_x0000_t202" filled="false" stroked="false">
          <v:textbox inset="0,0,0,0">
            <w:txbxContent>
              <w:p>
                <w:pPr>
                  <w:spacing w:line="214" w:lineRule="exact" w:before="0"/>
                  <w:ind w:left="20" w:right="0" w:firstLine="0"/>
                  <w:jc w:val="left"/>
                  <w:rPr>
                    <w:sz w:val="20"/>
                  </w:rPr>
                </w:pPr>
                <w:r>
                  <w:rPr>
                    <w:sz w:val="20"/>
                  </w:rPr>
                  <w:t>193</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2739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26368"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75pt;height:12pt;mso-position-horizontal-relative:page;mso-position-vertical-relative:page;z-index:-276025344" type="#_x0000_t202" filled="false" stroked="false">
          <v:textbox inset="0,0,0,0">
            <w:txbxContent>
              <w:p>
                <w:pPr>
                  <w:spacing w:line="214" w:lineRule="exact" w:before="0"/>
                  <w:ind w:left="20" w:right="0" w:firstLine="0"/>
                  <w:jc w:val="left"/>
                  <w:rPr>
                    <w:sz w:val="20"/>
                  </w:rPr>
                </w:pPr>
                <w:r>
                  <w:rPr>
                    <w:sz w:val="20"/>
                  </w:rPr>
                  <w:t>194</w:t>
                </w:r>
              </w:p>
            </w:txbxContent>
          </v:textbox>
          <w10:wrap type="none"/>
        </v:shape>
      </w:pict>
    </w:r>
    <w:r>
      <w:rPr/>
      <w:pict>
        <v:shape style="position:absolute;margin-left:1062.703613pt;margin-top:85.962502pt;width:18.4pt;height:12pt;mso-position-horizontal-relative:page;mso-position-vertical-relative:page;z-index:-276024320" type="#_x0000_t202" filled="false" stroked="false">
          <v:textbox inset="0,0,0,0">
            <w:txbxContent>
              <w:p>
                <w:pPr>
                  <w:spacing w:line="214" w:lineRule="exact" w:before="0"/>
                  <w:ind w:left="20" w:right="0" w:firstLine="0"/>
                  <w:jc w:val="left"/>
                  <w:rPr>
                    <w:sz w:val="20"/>
                  </w:rPr>
                </w:pPr>
                <w:r>
                  <w:rPr>
                    <w:sz w:val="20"/>
                  </w:rPr>
                  <w:t>195</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2329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22272"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18.75pt;height:12pt;mso-position-horizontal-relative:page;mso-position-vertical-relative:page;z-index:-276021248" type="#_x0000_t202" filled="false" stroked="false">
          <v:textbox inset="0,0,0,0">
            <w:txbxContent>
              <w:p>
                <w:pPr>
                  <w:spacing w:line="214" w:lineRule="exact" w:before="0"/>
                  <w:ind w:left="20" w:right="0" w:firstLine="0"/>
                  <w:jc w:val="left"/>
                  <w:rPr>
                    <w:sz w:val="20"/>
                  </w:rPr>
                </w:pPr>
                <w:r>
                  <w:rPr>
                    <w:sz w:val="20"/>
                  </w:rPr>
                  <w:t>196</w:t>
                </w:r>
              </w:p>
            </w:txbxContent>
          </v:textbox>
          <w10:wrap type="none"/>
        </v:shape>
      </w:pict>
    </w:r>
    <w:r>
      <w:rPr/>
      <w:pict>
        <v:shape style="position:absolute;margin-left:1063.563599pt;margin-top:85.962502pt;width:17.55pt;height:12pt;mso-position-horizontal-relative:page;mso-position-vertical-relative:page;z-index:-276020224" type="#_x0000_t202" filled="false" stroked="false">
          <v:textbox inset="0,0,0,0">
            <w:txbxContent>
              <w:p>
                <w:pPr>
                  <w:spacing w:line="214" w:lineRule="exact" w:before="0"/>
                  <w:ind w:left="20" w:right="0" w:firstLine="0"/>
                  <w:jc w:val="left"/>
                  <w:rPr>
                    <w:sz w:val="20"/>
                  </w:rPr>
                </w:pPr>
                <w:r>
                  <w:rPr>
                    <w:w w:val="95"/>
                    <w:sz w:val="20"/>
                  </w:rPr>
                  <w:t>197</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1920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18176"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701pt;margin-top:85.962502pt;width:18.850pt;height:12pt;mso-position-horizontal-relative:page;mso-position-vertical-relative:page;z-index:-276017152" type="#_x0000_t202" filled="false" stroked="false">
          <v:textbox inset="0,0,0,0">
            <w:txbxContent>
              <w:p>
                <w:pPr>
                  <w:spacing w:line="214" w:lineRule="exact" w:before="0"/>
                  <w:ind w:left="20" w:right="0" w:firstLine="0"/>
                  <w:jc w:val="left"/>
                  <w:rPr>
                    <w:sz w:val="20"/>
                  </w:rPr>
                </w:pPr>
                <w:r>
                  <w:rPr>
                    <w:sz w:val="20"/>
                  </w:rPr>
                  <w:t>198</w:t>
                </w:r>
              </w:p>
            </w:txbxContent>
          </v:textbox>
          <w10:wrap type="none"/>
        </v:shape>
      </w:pict>
    </w:r>
    <w:r>
      <w:rPr/>
      <w:pict>
        <v:shape style="position:absolute;margin-left:1062.383667pt;margin-top:85.962502pt;width:18.75pt;height:12pt;mso-position-horizontal-relative:page;mso-position-vertical-relative:page;z-index:-276016128" type="#_x0000_t202" filled="false" stroked="false">
          <v:textbox inset="0,0,0,0">
            <w:txbxContent>
              <w:p>
                <w:pPr>
                  <w:spacing w:line="214" w:lineRule="exact" w:before="0"/>
                  <w:ind w:left="20" w:right="0" w:firstLine="0"/>
                  <w:jc w:val="left"/>
                  <w:rPr>
                    <w:sz w:val="20"/>
                  </w:rPr>
                </w:pPr>
                <w:r>
                  <w:rPr>
                    <w:sz w:val="20"/>
                  </w:rPr>
                  <w:t>199</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639801pt;margin-top:43.033554pt;width:189.85pt;height:29.45pt;mso-position-horizontal-relative:page;mso-position-vertical-relative:page;z-index:-276015104"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776.741821pt;margin-top:43.033554pt;width:189.85pt;height:29.45pt;mso-position-horizontal-relative:page;mso-position-vertical-relative:page;z-index:-276014080" type="#_x0000_t202" filled="false" stroked="false">
          <v:textbox inset="0,0,0,0">
            <w:txbxContent>
              <w:p>
                <w:pPr>
                  <w:spacing w:line="301" w:lineRule="exact" w:before="0"/>
                  <w:ind w:left="1" w:right="1" w:firstLine="0"/>
                  <w:jc w:val="center"/>
                  <w:rPr>
                    <w:rFonts w:ascii="Verdana"/>
                    <w:b/>
                    <w:sz w:val="29"/>
                  </w:rPr>
                </w:pPr>
                <w:r>
                  <w:rPr>
                    <w:rFonts w:ascii="Verdana"/>
                    <w:b/>
                    <w:color w:val="EDAA00"/>
                    <w:sz w:val="29"/>
                  </w:rPr>
                  <w:t>EL ESTADO DE</w:t>
                </w:r>
                <w:r>
                  <w:rPr>
                    <w:rFonts w:ascii="Verdana"/>
                    <w:b/>
                    <w:color w:val="EDAA00"/>
                    <w:spacing w:val="-70"/>
                    <w:sz w:val="29"/>
                  </w:rPr>
                  <w:t> </w:t>
                </w:r>
                <w:r>
                  <w:rPr>
                    <w:rFonts w:ascii="Verdana"/>
                    <w:b/>
                    <w:color w:val="EDAA00"/>
                    <w:sz w:val="29"/>
                  </w:rPr>
                  <w:t>JALISCO</w:t>
                </w:r>
              </w:p>
              <w:p>
                <w:pPr>
                  <w:spacing w:before="56"/>
                  <w:ind w:left="1" w:right="53" w:firstLine="0"/>
                  <w:jc w:val="center"/>
                  <w:rPr>
                    <w:sz w:val="18"/>
                  </w:rPr>
                </w:pPr>
                <w:r>
                  <w:rPr>
                    <w:color w:val="EDAA00"/>
                    <w:w w:val="110"/>
                    <w:sz w:val="18"/>
                  </w:rPr>
                  <w:t>P E R </w:t>
                </w:r>
                <w:r>
                  <w:rPr>
                    <w:color w:val="EDAA00"/>
                    <w:w w:val="135"/>
                    <w:sz w:val="18"/>
                  </w:rPr>
                  <w:t>I </w:t>
                </w:r>
                <w:r>
                  <w:rPr>
                    <w:color w:val="EDAA00"/>
                    <w:w w:val="115"/>
                    <w:sz w:val="18"/>
                  </w:rPr>
                  <w:t>Ó D I C O O </w:t>
                </w:r>
                <w:r>
                  <w:rPr>
                    <w:color w:val="EDAA00"/>
                    <w:w w:val="110"/>
                    <w:sz w:val="18"/>
                  </w:rPr>
                  <w:t>F </w:t>
                </w:r>
                <w:r>
                  <w:rPr>
                    <w:color w:val="EDAA00"/>
                    <w:w w:val="135"/>
                    <w:sz w:val="18"/>
                  </w:rPr>
                  <w:t>I </w:t>
                </w:r>
                <w:r>
                  <w:rPr>
                    <w:color w:val="EDAA00"/>
                    <w:w w:val="115"/>
                    <w:sz w:val="18"/>
                  </w:rPr>
                  <w:t>C I A L</w:t>
                </w:r>
              </w:p>
            </w:txbxContent>
          </v:textbox>
          <w10:wrap type="none"/>
        </v:shape>
      </w:pict>
    </w:r>
    <w:r>
      <w:rPr/>
      <w:pict>
        <v:shape style="position:absolute;margin-left:81.113602pt;margin-top:85.962502pt;width:21.65pt;height:12pt;mso-position-horizontal-relative:page;mso-position-vertical-relative:page;z-index:-276013056" type="#_x0000_t202" filled="false" stroked="false">
          <v:textbox inset="0,0,0,0">
            <w:txbxContent>
              <w:p>
                <w:pPr>
                  <w:spacing w:line="214" w:lineRule="exact" w:before="0"/>
                  <w:ind w:left="20" w:right="0" w:firstLine="0"/>
                  <w:jc w:val="left"/>
                  <w:rPr>
                    <w:sz w:val="20"/>
                  </w:rPr>
                </w:pPr>
                <w:r>
                  <w:rPr>
                    <w:w w:val="120"/>
                    <w:sz w:val="20"/>
                  </w:rPr>
                  <w:t>200</w:t>
                </w:r>
              </w:p>
            </w:txbxContent>
          </v:textbox>
          <w10:wrap type="none"/>
        </v:shape>
      </w:pict>
    </w:r>
    <w:r>
      <w:rPr/>
      <w:pict>
        <v:shape style="position:absolute;margin-left:1062.593628pt;margin-top:85.962502pt;width:18.5pt;height:12pt;mso-position-horizontal-relative:page;mso-position-vertical-relative:page;z-index:-276012032" type="#_x0000_t202" filled="false" stroked="false">
          <v:textbox inset="0,0,0,0">
            <w:txbxContent>
              <w:p>
                <w:pPr>
                  <w:spacing w:line="214" w:lineRule="exact" w:before="0"/>
                  <w:ind w:left="20" w:right="0" w:firstLine="0"/>
                  <w:jc w:val="left"/>
                  <w:rPr>
                    <w:sz w:val="20"/>
                  </w:rPr>
                </w:pPr>
                <w:r>
                  <w:rPr>
                    <w:sz w:val="20"/>
                  </w:rPr>
                  <w:t>201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9">
    <w:multiLevelType w:val="hybridMultilevel"/>
    <w:lvl w:ilvl="0">
      <w:start w:val="1"/>
      <w:numFmt w:val="upperRoman"/>
      <w:lvlText w:val="%1."/>
      <w:lvlJc w:val="left"/>
      <w:pPr>
        <w:ind w:left="150" w:hanging="135"/>
        <w:jc w:val="left"/>
      </w:pPr>
      <w:rPr>
        <w:rFonts w:hint="default" w:ascii="Arial" w:hAnsi="Arial" w:eastAsia="Arial" w:cs="Arial"/>
        <w:w w:val="102"/>
        <w:sz w:val="15"/>
        <w:szCs w:val="15"/>
        <w:lang w:val="es-ES" w:eastAsia="es-ES" w:bidi="es-ES"/>
      </w:rPr>
    </w:lvl>
    <w:lvl w:ilvl="1">
      <w:start w:val="0"/>
      <w:numFmt w:val="bullet"/>
      <w:lvlText w:val="•"/>
      <w:lvlJc w:val="left"/>
      <w:pPr>
        <w:ind w:left="919" w:hanging="135"/>
      </w:pPr>
      <w:rPr>
        <w:rFonts w:hint="default"/>
        <w:lang w:val="es-ES" w:eastAsia="es-ES" w:bidi="es-ES"/>
      </w:rPr>
    </w:lvl>
    <w:lvl w:ilvl="2">
      <w:start w:val="0"/>
      <w:numFmt w:val="bullet"/>
      <w:lvlText w:val="•"/>
      <w:lvlJc w:val="left"/>
      <w:pPr>
        <w:ind w:left="1678" w:hanging="135"/>
      </w:pPr>
      <w:rPr>
        <w:rFonts w:hint="default"/>
        <w:lang w:val="es-ES" w:eastAsia="es-ES" w:bidi="es-ES"/>
      </w:rPr>
    </w:lvl>
    <w:lvl w:ilvl="3">
      <w:start w:val="0"/>
      <w:numFmt w:val="bullet"/>
      <w:lvlText w:val="•"/>
      <w:lvlJc w:val="left"/>
      <w:pPr>
        <w:ind w:left="2437" w:hanging="135"/>
      </w:pPr>
      <w:rPr>
        <w:rFonts w:hint="default"/>
        <w:lang w:val="es-ES" w:eastAsia="es-ES" w:bidi="es-ES"/>
      </w:rPr>
    </w:lvl>
    <w:lvl w:ilvl="4">
      <w:start w:val="0"/>
      <w:numFmt w:val="bullet"/>
      <w:lvlText w:val="•"/>
      <w:lvlJc w:val="left"/>
      <w:pPr>
        <w:ind w:left="3196" w:hanging="135"/>
      </w:pPr>
      <w:rPr>
        <w:rFonts w:hint="default"/>
        <w:lang w:val="es-ES" w:eastAsia="es-ES" w:bidi="es-ES"/>
      </w:rPr>
    </w:lvl>
    <w:lvl w:ilvl="5">
      <w:start w:val="0"/>
      <w:numFmt w:val="bullet"/>
      <w:lvlText w:val="•"/>
      <w:lvlJc w:val="left"/>
      <w:pPr>
        <w:ind w:left="3955" w:hanging="135"/>
      </w:pPr>
      <w:rPr>
        <w:rFonts w:hint="default"/>
        <w:lang w:val="es-ES" w:eastAsia="es-ES" w:bidi="es-ES"/>
      </w:rPr>
    </w:lvl>
    <w:lvl w:ilvl="6">
      <w:start w:val="0"/>
      <w:numFmt w:val="bullet"/>
      <w:lvlText w:val="•"/>
      <w:lvlJc w:val="left"/>
      <w:pPr>
        <w:ind w:left="4714" w:hanging="135"/>
      </w:pPr>
      <w:rPr>
        <w:rFonts w:hint="default"/>
        <w:lang w:val="es-ES" w:eastAsia="es-ES" w:bidi="es-ES"/>
      </w:rPr>
    </w:lvl>
    <w:lvl w:ilvl="7">
      <w:start w:val="0"/>
      <w:numFmt w:val="bullet"/>
      <w:lvlText w:val="•"/>
      <w:lvlJc w:val="left"/>
      <w:pPr>
        <w:ind w:left="5473" w:hanging="135"/>
      </w:pPr>
      <w:rPr>
        <w:rFonts w:hint="default"/>
        <w:lang w:val="es-ES" w:eastAsia="es-ES" w:bidi="es-ES"/>
      </w:rPr>
    </w:lvl>
    <w:lvl w:ilvl="8">
      <w:start w:val="0"/>
      <w:numFmt w:val="bullet"/>
      <w:lvlText w:val="•"/>
      <w:lvlJc w:val="left"/>
      <w:pPr>
        <w:ind w:left="6233" w:hanging="135"/>
      </w:pPr>
      <w:rPr>
        <w:rFonts w:hint="default"/>
        <w:lang w:val="es-ES" w:eastAsia="es-ES" w:bidi="es-ES"/>
      </w:rPr>
    </w:lvl>
  </w:abstractNum>
  <w:abstractNum w:abstractNumId="260">
    <w:multiLevelType w:val="hybridMultilevel"/>
    <w:lvl w:ilvl="0">
      <w:start w:val="1"/>
      <w:numFmt w:val="upperRoman"/>
      <w:lvlText w:val="%1."/>
      <w:lvlJc w:val="left"/>
      <w:pPr>
        <w:ind w:left="732" w:hanging="185"/>
        <w:jc w:val="right"/>
      </w:pPr>
      <w:rPr>
        <w:rFonts w:hint="default" w:ascii="Arial" w:hAnsi="Arial" w:eastAsia="Arial" w:cs="Arial"/>
        <w:w w:val="102"/>
        <w:sz w:val="15"/>
        <w:szCs w:val="15"/>
        <w:lang w:val="es-ES" w:eastAsia="es-ES" w:bidi="es-ES"/>
      </w:rPr>
    </w:lvl>
    <w:lvl w:ilvl="1">
      <w:start w:val="0"/>
      <w:numFmt w:val="bullet"/>
      <w:lvlText w:val="•"/>
      <w:lvlJc w:val="left"/>
      <w:pPr>
        <w:ind w:left="1213" w:hanging="185"/>
      </w:pPr>
      <w:rPr>
        <w:rFonts w:hint="default"/>
        <w:lang w:val="es-ES" w:eastAsia="es-ES" w:bidi="es-ES"/>
      </w:rPr>
    </w:lvl>
    <w:lvl w:ilvl="2">
      <w:start w:val="0"/>
      <w:numFmt w:val="bullet"/>
      <w:lvlText w:val="•"/>
      <w:lvlJc w:val="left"/>
      <w:pPr>
        <w:ind w:left="1686" w:hanging="185"/>
      </w:pPr>
      <w:rPr>
        <w:rFonts w:hint="default"/>
        <w:lang w:val="es-ES" w:eastAsia="es-ES" w:bidi="es-ES"/>
      </w:rPr>
    </w:lvl>
    <w:lvl w:ilvl="3">
      <w:start w:val="0"/>
      <w:numFmt w:val="bullet"/>
      <w:lvlText w:val="•"/>
      <w:lvlJc w:val="left"/>
      <w:pPr>
        <w:ind w:left="2159" w:hanging="185"/>
      </w:pPr>
      <w:rPr>
        <w:rFonts w:hint="default"/>
        <w:lang w:val="es-ES" w:eastAsia="es-ES" w:bidi="es-ES"/>
      </w:rPr>
    </w:lvl>
    <w:lvl w:ilvl="4">
      <w:start w:val="0"/>
      <w:numFmt w:val="bullet"/>
      <w:lvlText w:val="•"/>
      <w:lvlJc w:val="left"/>
      <w:pPr>
        <w:ind w:left="2633" w:hanging="185"/>
      </w:pPr>
      <w:rPr>
        <w:rFonts w:hint="default"/>
        <w:lang w:val="es-ES" w:eastAsia="es-ES" w:bidi="es-ES"/>
      </w:rPr>
    </w:lvl>
    <w:lvl w:ilvl="5">
      <w:start w:val="0"/>
      <w:numFmt w:val="bullet"/>
      <w:lvlText w:val="•"/>
      <w:lvlJc w:val="left"/>
      <w:pPr>
        <w:ind w:left="3106" w:hanging="185"/>
      </w:pPr>
      <w:rPr>
        <w:rFonts w:hint="default"/>
        <w:lang w:val="es-ES" w:eastAsia="es-ES" w:bidi="es-ES"/>
      </w:rPr>
    </w:lvl>
    <w:lvl w:ilvl="6">
      <w:start w:val="0"/>
      <w:numFmt w:val="bullet"/>
      <w:lvlText w:val="•"/>
      <w:lvlJc w:val="left"/>
      <w:pPr>
        <w:ind w:left="3579" w:hanging="185"/>
      </w:pPr>
      <w:rPr>
        <w:rFonts w:hint="default"/>
        <w:lang w:val="es-ES" w:eastAsia="es-ES" w:bidi="es-ES"/>
      </w:rPr>
    </w:lvl>
    <w:lvl w:ilvl="7">
      <w:start w:val="0"/>
      <w:numFmt w:val="bullet"/>
      <w:lvlText w:val="•"/>
      <w:lvlJc w:val="left"/>
      <w:pPr>
        <w:ind w:left="4052" w:hanging="185"/>
      </w:pPr>
      <w:rPr>
        <w:rFonts w:hint="default"/>
        <w:lang w:val="es-ES" w:eastAsia="es-ES" w:bidi="es-ES"/>
      </w:rPr>
    </w:lvl>
    <w:lvl w:ilvl="8">
      <w:start w:val="0"/>
      <w:numFmt w:val="bullet"/>
      <w:lvlText w:val="•"/>
      <w:lvlJc w:val="left"/>
      <w:pPr>
        <w:ind w:left="4526" w:hanging="185"/>
      </w:pPr>
      <w:rPr>
        <w:rFonts w:hint="default"/>
        <w:lang w:val="es-ES" w:eastAsia="es-ES" w:bidi="es-ES"/>
      </w:rPr>
    </w:lvl>
  </w:abstractNum>
  <w:abstractNum w:abstractNumId="240">
    <w:multiLevelType w:val="hybridMultilevel"/>
    <w:lvl w:ilvl="0">
      <w:start w:val="1"/>
      <w:numFmt w:val="upperRoman"/>
      <w:lvlText w:val="%1."/>
      <w:lvlJc w:val="left"/>
      <w:pPr>
        <w:ind w:left="151" w:hanging="160"/>
        <w:jc w:val="left"/>
      </w:pPr>
      <w:rPr>
        <w:rFonts w:hint="default" w:ascii="Arial" w:hAnsi="Arial" w:eastAsia="Arial" w:cs="Arial"/>
        <w:w w:val="102"/>
        <w:sz w:val="15"/>
        <w:szCs w:val="15"/>
        <w:lang w:val="es-ES" w:eastAsia="es-ES" w:bidi="es-ES"/>
      </w:rPr>
    </w:lvl>
    <w:lvl w:ilvl="1">
      <w:start w:val="0"/>
      <w:numFmt w:val="bullet"/>
      <w:lvlText w:val="•"/>
      <w:lvlJc w:val="left"/>
      <w:pPr>
        <w:ind w:left="966" w:hanging="160"/>
      </w:pPr>
      <w:rPr>
        <w:rFonts w:hint="default"/>
        <w:lang w:val="es-ES" w:eastAsia="es-ES" w:bidi="es-ES"/>
      </w:rPr>
    </w:lvl>
    <w:lvl w:ilvl="2">
      <w:start w:val="0"/>
      <w:numFmt w:val="bullet"/>
      <w:lvlText w:val="•"/>
      <w:lvlJc w:val="left"/>
      <w:pPr>
        <w:ind w:left="1772" w:hanging="160"/>
      </w:pPr>
      <w:rPr>
        <w:rFonts w:hint="default"/>
        <w:lang w:val="es-ES" w:eastAsia="es-ES" w:bidi="es-ES"/>
      </w:rPr>
    </w:lvl>
    <w:lvl w:ilvl="3">
      <w:start w:val="0"/>
      <w:numFmt w:val="bullet"/>
      <w:lvlText w:val="•"/>
      <w:lvlJc w:val="left"/>
      <w:pPr>
        <w:ind w:left="2578" w:hanging="160"/>
      </w:pPr>
      <w:rPr>
        <w:rFonts w:hint="default"/>
        <w:lang w:val="es-ES" w:eastAsia="es-ES" w:bidi="es-ES"/>
      </w:rPr>
    </w:lvl>
    <w:lvl w:ilvl="4">
      <w:start w:val="0"/>
      <w:numFmt w:val="bullet"/>
      <w:lvlText w:val="•"/>
      <w:lvlJc w:val="left"/>
      <w:pPr>
        <w:ind w:left="3384" w:hanging="160"/>
      </w:pPr>
      <w:rPr>
        <w:rFonts w:hint="default"/>
        <w:lang w:val="es-ES" w:eastAsia="es-ES" w:bidi="es-ES"/>
      </w:rPr>
    </w:lvl>
    <w:lvl w:ilvl="5">
      <w:start w:val="0"/>
      <w:numFmt w:val="bullet"/>
      <w:lvlText w:val="•"/>
      <w:lvlJc w:val="left"/>
      <w:pPr>
        <w:ind w:left="4190" w:hanging="160"/>
      </w:pPr>
      <w:rPr>
        <w:rFonts w:hint="default"/>
        <w:lang w:val="es-ES" w:eastAsia="es-ES" w:bidi="es-ES"/>
      </w:rPr>
    </w:lvl>
    <w:lvl w:ilvl="6">
      <w:start w:val="0"/>
      <w:numFmt w:val="bullet"/>
      <w:lvlText w:val="•"/>
      <w:lvlJc w:val="left"/>
      <w:pPr>
        <w:ind w:left="4997" w:hanging="160"/>
      </w:pPr>
      <w:rPr>
        <w:rFonts w:hint="default"/>
        <w:lang w:val="es-ES" w:eastAsia="es-ES" w:bidi="es-ES"/>
      </w:rPr>
    </w:lvl>
    <w:lvl w:ilvl="7">
      <w:start w:val="0"/>
      <w:numFmt w:val="bullet"/>
      <w:lvlText w:val="•"/>
      <w:lvlJc w:val="left"/>
      <w:pPr>
        <w:ind w:left="5803" w:hanging="160"/>
      </w:pPr>
      <w:rPr>
        <w:rFonts w:hint="default"/>
        <w:lang w:val="es-ES" w:eastAsia="es-ES" w:bidi="es-ES"/>
      </w:rPr>
    </w:lvl>
    <w:lvl w:ilvl="8">
      <w:start w:val="0"/>
      <w:numFmt w:val="bullet"/>
      <w:lvlText w:val="•"/>
      <w:lvlJc w:val="left"/>
      <w:pPr>
        <w:ind w:left="6609" w:hanging="160"/>
      </w:pPr>
      <w:rPr>
        <w:rFonts w:hint="default"/>
        <w:lang w:val="es-ES" w:eastAsia="es-ES" w:bidi="es-ES"/>
      </w:rPr>
    </w:lvl>
  </w:abstractNum>
  <w:abstractNum w:abstractNumId="239">
    <w:multiLevelType w:val="hybridMultilevel"/>
    <w:lvl w:ilvl="0">
      <w:start w:val="1"/>
      <w:numFmt w:val="lowerLetter"/>
      <w:lvlText w:val="%1)"/>
      <w:lvlJc w:val="left"/>
      <w:pPr>
        <w:ind w:left="1142" w:hanging="594"/>
        <w:jc w:val="left"/>
      </w:pPr>
      <w:rPr>
        <w:rFonts w:hint="default" w:ascii="Arial" w:hAnsi="Arial" w:eastAsia="Arial" w:cs="Arial"/>
        <w:w w:val="102"/>
        <w:sz w:val="15"/>
        <w:szCs w:val="15"/>
        <w:lang w:val="es-ES" w:eastAsia="es-ES" w:bidi="es-ES"/>
      </w:rPr>
    </w:lvl>
    <w:lvl w:ilvl="1">
      <w:start w:val="0"/>
      <w:numFmt w:val="bullet"/>
      <w:lvlText w:val="•"/>
      <w:lvlJc w:val="left"/>
      <w:pPr>
        <w:ind w:left="1848" w:hanging="594"/>
      </w:pPr>
      <w:rPr>
        <w:rFonts w:hint="default"/>
        <w:lang w:val="es-ES" w:eastAsia="es-ES" w:bidi="es-ES"/>
      </w:rPr>
    </w:lvl>
    <w:lvl w:ilvl="2">
      <w:start w:val="0"/>
      <w:numFmt w:val="bullet"/>
      <w:lvlText w:val="•"/>
      <w:lvlJc w:val="left"/>
      <w:pPr>
        <w:ind w:left="2556" w:hanging="594"/>
      </w:pPr>
      <w:rPr>
        <w:rFonts w:hint="default"/>
        <w:lang w:val="es-ES" w:eastAsia="es-ES" w:bidi="es-ES"/>
      </w:rPr>
    </w:lvl>
    <w:lvl w:ilvl="3">
      <w:start w:val="0"/>
      <w:numFmt w:val="bullet"/>
      <w:lvlText w:val="•"/>
      <w:lvlJc w:val="left"/>
      <w:pPr>
        <w:ind w:left="3264" w:hanging="594"/>
      </w:pPr>
      <w:rPr>
        <w:rFonts w:hint="default"/>
        <w:lang w:val="es-ES" w:eastAsia="es-ES" w:bidi="es-ES"/>
      </w:rPr>
    </w:lvl>
    <w:lvl w:ilvl="4">
      <w:start w:val="0"/>
      <w:numFmt w:val="bullet"/>
      <w:lvlText w:val="•"/>
      <w:lvlJc w:val="left"/>
      <w:pPr>
        <w:ind w:left="3972" w:hanging="594"/>
      </w:pPr>
      <w:rPr>
        <w:rFonts w:hint="default"/>
        <w:lang w:val="es-ES" w:eastAsia="es-ES" w:bidi="es-ES"/>
      </w:rPr>
    </w:lvl>
    <w:lvl w:ilvl="5">
      <w:start w:val="0"/>
      <w:numFmt w:val="bullet"/>
      <w:lvlText w:val="•"/>
      <w:lvlJc w:val="left"/>
      <w:pPr>
        <w:ind w:left="4681" w:hanging="594"/>
      </w:pPr>
      <w:rPr>
        <w:rFonts w:hint="default"/>
        <w:lang w:val="es-ES" w:eastAsia="es-ES" w:bidi="es-ES"/>
      </w:rPr>
    </w:lvl>
    <w:lvl w:ilvl="6">
      <w:start w:val="0"/>
      <w:numFmt w:val="bullet"/>
      <w:lvlText w:val="•"/>
      <w:lvlJc w:val="left"/>
      <w:pPr>
        <w:ind w:left="5389" w:hanging="594"/>
      </w:pPr>
      <w:rPr>
        <w:rFonts w:hint="default"/>
        <w:lang w:val="es-ES" w:eastAsia="es-ES" w:bidi="es-ES"/>
      </w:rPr>
    </w:lvl>
    <w:lvl w:ilvl="7">
      <w:start w:val="0"/>
      <w:numFmt w:val="bullet"/>
      <w:lvlText w:val="•"/>
      <w:lvlJc w:val="left"/>
      <w:pPr>
        <w:ind w:left="6097" w:hanging="594"/>
      </w:pPr>
      <w:rPr>
        <w:rFonts w:hint="default"/>
        <w:lang w:val="es-ES" w:eastAsia="es-ES" w:bidi="es-ES"/>
      </w:rPr>
    </w:lvl>
    <w:lvl w:ilvl="8">
      <w:start w:val="0"/>
      <w:numFmt w:val="bullet"/>
      <w:lvlText w:val="•"/>
      <w:lvlJc w:val="left"/>
      <w:pPr>
        <w:ind w:left="6805" w:hanging="594"/>
      </w:pPr>
      <w:rPr>
        <w:rFonts w:hint="default"/>
        <w:lang w:val="es-ES" w:eastAsia="es-ES" w:bidi="es-ES"/>
      </w:rPr>
    </w:lvl>
  </w:abstractNum>
  <w:abstractNum w:abstractNumId="225">
    <w:multiLevelType w:val="hybridMultilevel"/>
    <w:lvl w:ilvl="0">
      <w:start w:val="4"/>
      <w:numFmt w:val="decimal"/>
      <w:lvlText w:val="%1"/>
      <w:lvlJc w:val="left"/>
      <w:pPr>
        <w:ind w:left="2607" w:hanging="129"/>
        <w:jc w:val="left"/>
      </w:pPr>
      <w:rPr>
        <w:rFonts w:hint="default" w:ascii="Arial" w:hAnsi="Arial" w:eastAsia="Arial" w:cs="Arial"/>
        <w:w w:val="102"/>
        <w:sz w:val="15"/>
        <w:szCs w:val="15"/>
        <w:lang w:val="es-ES" w:eastAsia="es-ES" w:bidi="es-ES"/>
      </w:rPr>
    </w:lvl>
    <w:lvl w:ilvl="1">
      <w:start w:val="0"/>
      <w:numFmt w:val="bullet"/>
      <w:lvlText w:val="•"/>
      <w:lvlJc w:val="left"/>
      <w:pPr>
        <w:ind w:left="2887" w:hanging="129"/>
      </w:pPr>
      <w:rPr>
        <w:rFonts w:hint="default"/>
        <w:lang w:val="es-ES" w:eastAsia="es-ES" w:bidi="es-ES"/>
      </w:rPr>
    </w:lvl>
    <w:lvl w:ilvl="2">
      <w:start w:val="0"/>
      <w:numFmt w:val="bullet"/>
      <w:lvlText w:val="•"/>
      <w:lvlJc w:val="left"/>
      <w:pPr>
        <w:ind w:left="3174" w:hanging="129"/>
      </w:pPr>
      <w:rPr>
        <w:rFonts w:hint="default"/>
        <w:lang w:val="es-ES" w:eastAsia="es-ES" w:bidi="es-ES"/>
      </w:rPr>
    </w:lvl>
    <w:lvl w:ilvl="3">
      <w:start w:val="0"/>
      <w:numFmt w:val="bullet"/>
      <w:lvlText w:val="•"/>
      <w:lvlJc w:val="left"/>
      <w:pPr>
        <w:ind w:left="3461" w:hanging="129"/>
      </w:pPr>
      <w:rPr>
        <w:rFonts w:hint="default"/>
        <w:lang w:val="es-ES" w:eastAsia="es-ES" w:bidi="es-ES"/>
      </w:rPr>
    </w:lvl>
    <w:lvl w:ilvl="4">
      <w:start w:val="0"/>
      <w:numFmt w:val="bullet"/>
      <w:lvlText w:val="•"/>
      <w:lvlJc w:val="left"/>
      <w:pPr>
        <w:ind w:left="3749" w:hanging="129"/>
      </w:pPr>
      <w:rPr>
        <w:rFonts w:hint="default"/>
        <w:lang w:val="es-ES" w:eastAsia="es-ES" w:bidi="es-ES"/>
      </w:rPr>
    </w:lvl>
    <w:lvl w:ilvl="5">
      <w:start w:val="0"/>
      <w:numFmt w:val="bullet"/>
      <w:lvlText w:val="•"/>
      <w:lvlJc w:val="left"/>
      <w:pPr>
        <w:ind w:left="4036" w:hanging="129"/>
      </w:pPr>
      <w:rPr>
        <w:rFonts w:hint="default"/>
        <w:lang w:val="es-ES" w:eastAsia="es-ES" w:bidi="es-ES"/>
      </w:rPr>
    </w:lvl>
    <w:lvl w:ilvl="6">
      <w:start w:val="0"/>
      <w:numFmt w:val="bullet"/>
      <w:lvlText w:val="•"/>
      <w:lvlJc w:val="left"/>
      <w:pPr>
        <w:ind w:left="4323" w:hanging="129"/>
      </w:pPr>
      <w:rPr>
        <w:rFonts w:hint="default"/>
        <w:lang w:val="es-ES" w:eastAsia="es-ES" w:bidi="es-ES"/>
      </w:rPr>
    </w:lvl>
    <w:lvl w:ilvl="7">
      <w:start w:val="0"/>
      <w:numFmt w:val="bullet"/>
      <w:lvlText w:val="•"/>
      <w:lvlJc w:val="left"/>
      <w:pPr>
        <w:ind w:left="4610" w:hanging="129"/>
      </w:pPr>
      <w:rPr>
        <w:rFonts w:hint="default"/>
        <w:lang w:val="es-ES" w:eastAsia="es-ES" w:bidi="es-ES"/>
      </w:rPr>
    </w:lvl>
    <w:lvl w:ilvl="8">
      <w:start w:val="0"/>
      <w:numFmt w:val="bullet"/>
      <w:lvlText w:val="•"/>
      <w:lvlJc w:val="left"/>
      <w:pPr>
        <w:ind w:left="4898" w:hanging="129"/>
      </w:pPr>
      <w:rPr>
        <w:rFonts w:hint="default"/>
        <w:lang w:val="es-ES" w:eastAsia="es-ES" w:bidi="es-ES"/>
      </w:rPr>
    </w:lvl>
  </w:abstractNum>
  <w:abstractNum w:abstractNumId="222">
    <w:multiLevelType w:val="hybridMultilevel"/>
    <w:lvl w:ilvl="0">
      <w:start w:val="1"/>
      <w:numFmt w:val="lowerLetter"/>
      <w:lvlText w:val="%1)"/>
      <w:lvlJc w:val="left"/>
      <w:pPr>
        <w:ind w:left="150" w:hanging="201"/>
        <w:jc w:val="left"/>
      </w:pPr>
      <w:rPr>
        <w:rFonts w:hint="default" w:ascii="Arial" w:hAnsi="Arial" w:eastAsia="Arial" w:cs="Arial"/>
        <w:w w:val="102"/>
        <w:sz w:val="15"/>
        <w:szCs w:val="15"/>
        <w:lang w:val="es-ES" w:eastAsia="es-ES" w:bidi="es-ES"/>
      </w:rPr>
    </w:lvl>
    <w:lvl w:ilvl="1">
      <w:start w:val="0"/>
      <w:numFmt w:val="bullet"/>
      <w:lvlText w:val="•"/>
      <w:lvlJc w:val="left"/>
      <w:pPr>
        <w:ind w:left="691" w:hanging="201"/>
      </w:pPr>
      <w:rPr>
        <w:rFonts w:hint="default"/>
        <w:lang w:val="es-ES" w:eastAsia="es-ES" w:bidi="es-ES"/>
      </w:rPr>
    </w:lvl>
    <w:lvl w:ilvl="2">
      <w:start w:val="0"/>
      <w:numFmt w:val="bullet"/>
      <w:lvlText w:val="•"/>
      <w:lvlJc w:val="left"/>
      <w:pPr>
        <w:ind w:left="1222" w:hanging="201"/>
      </w:pPr>
      <w:rPr>
        <w:rFonts w:hint="default"/>
        <w:lang w:val="es-ES" w:eastAsia="es-ES" w:bidi="es-ES"/>
      </w:rPr>
    </w:lvl>
    <w:lvl w:ilvl="3">
      <w:start w:val="0"/>
      <w:numFmt w:val="bullet"/>
      <w:lvlText w:val="•"/>
      <w:lvlJc w:val="left"/>
      <w:pPr>
        <w:ind w:left="1753" w:hanging="201"/>
      </w:pPr>
      <w:rPr>
        <w:rFonts w:hint="default"/>
        <w:lang w:val="es-ES" w:eastAsia="es-ES" w:bidi="es-ES"/>
      </w:rPr>
    </w:lvl>
    <w:lvl w:ilvl="4">
      <w:start w:val="0"/>
      <w:numFmt w:val="bullet"/>
      <w:lvlText w:val="•"/>
      <w:lvlJc w:val="left"/>
      <w:pPr>
        <w:ind w:left="2285" w:hanging="201"/>
      </w:pPr>
      <w:rPr>
        <w:rFonts w:hint="default"/>
        <w:lang w:val="es-ES" w:eastAsia="es-ES" w:bidi="es-ES"/>
      </w:rPr>
    </w:lvl>
    <w:lvl w:ilvl="5">
      <w:start w:val="0"/>
      <w:numFmt w:val="bullet"/>
      <w:lvlText w:val="•"/>
      <w:lvlJc w:val="left"/>
      <w:pPr>
        <w:ind w:left="2816" w:hanging="201"/>
      </w:pPr>
      <w:rPr>
        <w:rFonts w:hint="default"/>
        <w:lang w:val="es-ES" w:eastAsia="es-ES" w:bidi="es-ES"/>
      </w:rPr>
    </w:lvl>
    <w:lvl w:ilvl="6">
      <w:start w:val="0"/>
      <w:numFmt w:val="bullet"/>
      <w:lvlText w:val="•"/>
      <w:lvlJc w:val="left"/>
      <w:pPr>
        <w:ind w:left="3347" w:hanging="201"/>
      </w:pPr>
      <w:rPr>
        <w:rFonts w:hint="default"/>
        <w:lang w:val="es-ES" w:eastAsia="es-ES" w:bidi="es-ES"/>
      </w:rPr>
    </w:lvl>
    <w:lvl w:ilvl="7">
      <w:start w:val="0"/>
      <w:numFmt w:val="bullet"/>
      <w:lvlText w:val="•"/>
      <w:lvlJc w:val="left"/>
      <w:pPr>
        <w:ind w:left="3878" w:hanging="201"/>
      </w:pPr>
      <w:rPr>
        <w:rFonts w:hint="default"/>
        <w:lang w:val="es-ES" w:eastAsia="es-ES" w:bidi="es-ES"/>
      </w:rPr>
    </w:lvl>
    <w:lvl w:ilvl="8">
      <w:start w:val="0"/>
      <w:numFmt w:val="bullet"/>
      <w:lvlText w:val="•"/>
      <w:lvlJc w:val="left"/>
      <w:pPr>
        <w:ind w:left="4410" w:hanging="201"/>
      </w:pPr>
      <w:rPr>
        <w:rFonts w:hint="default"/>
        <w:lang w:val="es-ES" w:eastAsia="es-ES" w:bidi="es-ES"/>
      </w:rPr>
    </w:lvl>
  </w:abstractNum>
  <w:abstractNum w:abstractNumId="207">
    <w:multiLevelType w:val="hybridMultilevel"/>
    <w:lvl w:ilvl="0">
      <w:start w:val="1"/>
      <w:numFmt w:val="lowerLetter"/>
      <w:lvlText w:val="%1)"/>
      <w:lvlJc w:val="left"/>
      <w:pPr>
        <w:ind w:left="150" w:hanging="194"/>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698" w:hanging="194"/>
      </w:pPr>
      <w:rPr>
        <w:rFonts w:hint="default"/>
        <w:lang w:val="es-ES" w:eastAsia="es-ES" w:bidi="es-ES"/>
      </w:rPr>
    </w:lvl>
    <w:lvl w:ilvl="2">
      <w:start w:val="0"/>
      <w:numFmt w:val="bullet"/>
      <w:lvlText w:val="•"/>
      <w:lvlJc w:val="left"/>
      <w:pPr>
        <w:ind w:left="1237" w:hanging="194"/>
      </w:pPr>
      <w:rPr>
        <w:rFonts w:hint="default"/>
        <w:lang w:val="es-ES" w:eastAsia="es-ES" w:bidi="es-ES"/>
      </w:rPr>
    </w:lvl>
    <w:lvl w:ilvl="3">
      <w:start w:val="0"/>
      <w:numFmt w:val="bullet"/>
      <w:lvlText w:val="•"/>
      <w:lvlJc w:val="left"/>
      <w:pPr>
        <w:ind w:left="1776" w:hanging="194"/>
      </w:pPr>
      <w:rPr>
        <w:rFonts w:hint="default"/>
        <w:lang w:val="es-ES" w:eastAsia="es-ES" w:bidi="es-ES"/>
      </w:rPr>
    </w:lvl>
    <w:lvl w:ilvl="4">
      <w:start w:val="0"/>
      <w:numFmt w:val="bullet"/>
      <w:lvlText w:val="•"/>
      <w:lvlJc w:val="left"/>
      <w:pPr>
        <w:ind w:left="2315" w:hanging="194"/>
      </w:pPr>
      <w:rPr>
        <w:rFonts w:hint="default"/>
        <w:lang w:val="es-ES" w:eastAsia="es-ES" w:bidi="es-ES"/>
      </w:rPr>
    </w:lvl>
    <w:lvl w:ilvl="5">
      <w:start w:val="0"/>
      <w:numFmt w:val="bullet"/>
      <w:lvlText w:val="•"/>
      <w:lvlJc w:val="left"/>
      <w:pPr>
        <w:ind w:left="2854" w:hanging="194"/>
      </w:pPr>
      <w:rPr>
        <w:rFonts w:hint="default"/>
        <w:lang w:val="es-ES" w:eastAsia="es-ES" w:bidi="es-ES"/>
      </w:rPr>
    </w:lvl>
    <w:lvl w:ilvl="6">
      <w:start w:val="0"/>
      <w:numFmt w:val="bullet"/>
      <w:lvlText w:val="•"/>
      <w:lvlJc w:val="left"/>
      <w:pPr>
        <w:ind w:left="3392" w:hanging="194"/>
      </w:pPr>
      <w:rPr>
        <w:rFonts w:hint="default"/>
        <w:lang w:val="es-ES" w:eastAsia="es-ES" w:bidi="es-ES"/>
      </w:rPr>
    </w:lvl>
    <w:lvl w:ilvl="7">
      <w:start w:val="0"/>
      <w:numFmt w:val="bullet"/>
      <w:lvlText w:val="•"/>
      <w:lvlJc w:val="left"/>
      <w:pPr>
        <w:ind w:left="3931" w:hanging="194"/>
      </w:pPr>
      <w:rPr>
        <w:rFonts w:hint="default"/>
        <w:lang w:val="es-ES" w:eastAsia="es-ES" w:bidi="es-ES"/>
      </w:rPr>
    </w:lvl>
    <w:lvl w:ilvl="8">
      <w:start w:val="0"/>
      <w:numFmt w:val="bullet"/>
      <w:lvlText w:val="•"/>
      <w:lvlJc w:val="left"/>
      <w:pPr>
        <w:ind w:left="4470" w:hanging="194"/>
      </w:pPr>
      <w:rPr>
        <w:rFonts w:hint="default"/>
        <w:lang w:val="es-ES" w:eastAsia="es-ES" w:bidi="es-ES"/>
      </w:rPr>
    </w:lvl>
  </w:abstractNum>
  <w:abstractNum w:abstractNumId="117">
    <w:multiLevelType w:val="hybridMultilevel"/>
    <w:lvl w:ilvl="0">
      <w:start w:val="1"/>
      <w:numFmt w:val="upperRoman"/>
      <w:lvlText w:val="%1."/>
      <w:lvlJc w:val="left"/>
      <w:pPr>
        <w:ind w:left="674" w:hanging="127"/>
        <w:jc w:val="left"/>
      </w:pPr>
      <w:rPr>
        <w:rFonts w:hint="default" w:ascii="Arial" w:hAnsi="Arial" w:eastAsia="Arial" w:cs="Arial"/>
        <w:w w:val="102"/>
        <w:sz w:val="15"/>
        <w:szCs w:val="15"/>
        <w:lang w:val="es-ES" w:eastAsia="es-ES" w:bidi="es-ES"/>
      </w:rPr>
    </w:lvl>
    <w:lvl w:ilvl="1">
      <w:start w:val="0"/>
      <w:numFmt w:val="bullet"/>
      <w:lvlText w:val="•"/>
      <w:lvlJc w:val="left"/>
      <w:pPr>
        <w:ind w:left="1186" w:hanging="127"/>
      </w:pPr>
      <w:rPr>
        <w:rFonts w:hint="default"/>
        <w:lang w:val="es-ES" w:eastAsia="es-ES" w:bidi="es-ES"/>
      </w:rPr>
    </w:lvl>
    <w:lvl w:ilvl="2">
      <w:start w:val="0"/>
      <w:numFmt w:val="bullet"/>
      <w:lvlText w:val="•"/>
      <w:lvlJc w:val="left"/>
      <w:pPr>
        <w:ind w:left="1693" w:hanging="127"/>
      </w:pPr>
      <w:rPr>
        <w:rFonts w:hint="default"/>
        <w:lang w:val="es-ES" w:eastAsia="es-ES" w:bidi="es-ES"/>
      </w:rPr>
    </w:lvl>
    <w:lvl w:ilvl="3">
      <w:start w:val="0"/>
      <w:numFmt w:val="bullet"/>
      <w:lvlText w:val="•"/>
      <w:lvlJc w:val="left"/>
      <w:pPr>
        <w:ind w:left="2199" w:hanging="127"/>
      </w:pPr>
      <w:rPr>
        <w:rFonts w:hint="default"/>
        <w:lang w:val="es-ES" w:eastAsia="es-ES" w:bidi="es-ES"/>
      </w:rPr>
    </w:lvl>
    <w:lvl w:ilvl="4">
      <w:start w:val="0"/>
      <w:numFmt w:val="bullet"/>
      <w:lvlText w:val="•"/>
      <w:lvlJc w:val="left"/>
      <w:pPr>
        <w:ind w:left="2706" w:hanging="127"/>
      </w:pPr>
      <w:rPr>
        <w:rFonts w:hint="default"/>
        <w:lang w:val="es-ES" w:eastAsia="es-ES" w:bidi="es-ES"/>
      </w:rPr>
    </w:lvl>
    <w:lvl w:ilvl="5">
      <w:start w:val="0"/>
      <w:numFmt w:val="bullet"/>
      <w:lvlText w:val="•"/>
      <w:lvlJc w:val="left"/>
      <w:pPr>
        <w:ind w:left="3212" w:hanging="127"/>
      </w:pPr>
      <w:rPr>
        <w:rFonts w:hint="default"/>
        <w:lang w:val="es-ES" w:eastAsia="es-ES" w:bidi="es-ES"/>
      </w:rPr>
    </w:lvl>
    <w:lvl w:ilvl="6">
      <w:start w:val="0"/>
      <w:numFmt w:val="bullet"/>
      <w:lvlText w:val="•"/>
      <w:lvlJc w:val="left"/>
      <w:pPr>
        <w:ind w:left="3719" w:hanging="127"/>
      </w:pPr>
      <w:rPr>
        <w:rFonts w:hint="default"/>
        <w:lang w:val="es-ES" w:eastAsia="es-ES" w:bidi="es-ES"/>
      </w:rPr>
    </w:lvl>
    <w:lvl w:ilvl="7">
      <w:start w:val="0"/>
      <w:numFmt w:val="bullet"/>
      <w:lvlText w:val="•"/>
      <w:lvlJc w:val="left"/>
      <w:pPr>
        <w:ind w:left="4225" w:hanging="127"/>
      </w:pPr>
      <w:rPr>
        <w:rFonts w:hint="default"/>
        <w:lang w:val="es-ES" w:eastAsia="es-ES" w:bidi="es-ES"/>
      </w:rPr>
    </w:lvl>
    <w:lvl w:ilvl="8">
      <w:start w:val="0"/>
      <w:numFmt w:val="bullet"/>
      <w:lvlText w:val="•"/>
      <w:lvlJc w:val="left"/>
      <w:pPr>
        <w:ind w:left="4732" w:hanging="127"/>
      </w:pPr>
      <w:rPr>
        <w:rFonts w:hint="default"/>
        <w:lang w:val="es-ES" w:eastAsia="es-ES" w:bidi="es-ES"/>
      </w:rPr>
    </w:lvl>
  </w:abstractNum>
  <w:abstractNum w:abstractNumId="307">
    <w:multiLevelType w:val="hybridMultilevel"/>
    <w:lvl w:ilvl="0">
      <w:start w:val="1"/>
      <w:numFmt w:val="upperRoman"/>
      <w:lvlText w:val="%1."/>
      <w:lvlJc w:val="left"/>
      <w:pPr>
        <w:ind w:left="150" w:hanging="146"/>
        <w:jc w:val="left"/>
      </w:pPr>
      <w:rPr>
        <w:rFonts w:hint="default" w:ascii="Arial" w:hAnsi="Arial" w:eastAsia="Arial" w:cs="Arial"/>
        <w:w w:val="102"/>
        <w:sz w:val="15"/>
        <w:szCs w:val="15"/>
        <w:lang w:val="es-ES" w:eastAsia="es-ES" w:bidi="es-ES"/>
      </w:rPr>
    </w:lvl>
    <w:lvl w:ilvl="1">
      <w:start w:val="0"/>
      <w:numFmt w:val="bullet"/>
      <w:lvlText w:val="•"/>
      <w:lvlJc w:val="left"/>
      <w:pPr>
        <w:ind w:left="919" w:hanging="146"/>
      </w:pPr>
      <w:rPr>
        <w:rFonts w:hint="default"/>
        <w:lang w:val="es-ES" w:eastAsia="es-ES" w:bidi="es-ES"/>
      </w:rPr>
    </w:lvl>
    <w:lvl w:ilvl="2">
      <w:start w:val="0"/>
      <w:numFmt w:val="bullet"/>
      <w:lvlText w:val="•"/>
      <w:lvlJc w:val="left"/>
      <w:pPr>
        <w:ind w:left="1678" w:hanging="146"/>
      </w:pPr>
      <w:rPr>
        <w:rFonts w:hint="default"/>
        <w:lang w:val="es-ES" w:eastAsia="es-ES" w:bidi="es-ES"/>
      </w:rPr>
    </w:lvl>
    <w:lvl w:ilvl="3">
      <w:start w:val="0"/>
      <w:numFmt w:val="bullet"/>
      <w:lvlText w:val="•"/>
      <w:lvlJc w:val="left"/>
      <w:pPr>
        <w:ind w:left="2437" w:hanging="146"/>
      </w:pPr>
      <w:rPr>
        <w:rFonts w:hint="default"/>
        <w:lang w:val="es-ES" w:eastAsia="es-ES" w:bidi="es-ES"/>
      </w:rPr>
    </w:lvl>
    <w:lvl w:ilvl="4">
      <w:start w:val="0"/>
      <w:numFmt w:val="bullet"/>
      <w:lvlText w:val="•"/>
      <w:lvlJc w:val="left"/>
      <w:pPr>
        <w:ind w:left="3196" w:hanging="146"/>
      </w:pPr>
      <w:rPr>
        <w:rFonts w:hint="default"/>
        <w:lang w:val="es-ES" w:eastAsia="es-ES" w:bidi="es-ES"/>
      </w:rPr>
    </w:lvl>
    <w:lvl w:ilvl="5">
      <w:start w:val="0"/>
      <w:numFmt w:val="bullet"/>
      <w:lvlText w:val="•"/>
      <w:lvlJc w:val="left"/>
      <w:pPr>
        <w:ind w:left="3955" w:hanging="146"/>
      </w:pPr>
      <w:rPr>
        <w:rFonts w:hint="default"/>
        <w:lang w:val="es-ES" w:eastAsia="es-ES" w:bidi="es-ES"/>
      </w:rPr>
    </w:lvl>
    <w:lvl w:ilvl="6">
      <w:start w:val="0"/>
      <w:numFmt w:val="bullet"/>
      <w:lvlText w:val="•"/>
      <w:lvlJc w:val="left"/>
      <w:pPr>
        <w:ind w:left="4715" w:hanging="146"/>
      </w:pPr>
      <w:rPr>
        <w:rFonts w:hint="default"/>
        <w:lang w:val="es-ES" w:eastAsia="es-ES" w:bidi="es-ES"/>
      </w:rPr>
    </w:lvl>
    <w:lvl w:ilvl="7">
      <w:start w:val="0"/>
      <w:numFmt w:val="bullet"/>
      <w:lvlText w:val="•"/>
      <w:lvlJc w:val="left"/>
      <w:pPr>
        <w:ind w:left="5474" w:hanging="146"/>
      </w:pPr>
      <w:rPr>
        <w:rFonts w:hint="default"/>
        <w:lang w:val="es-ES" w:eastAsia="es-ES" w:bidi="es-ES"/>
      </w:rPr>
    </w:lvl>
    <w:lvl w:ilvl="8">
      <w:start w:val="0"/>
      <w:numFmt w:val="bullet"/>
      <w:lvlText w:val="•"/>
      <w:lvlJc w:val="left"/>
      <w:pPr>
        <w:ind w:left="6233" w:hanging="146"/>
      </w:pPr>
      <w:rPr>
        <w:rFonts w:hint="default"/>
        <w:lang w:val="es-ES" w:eastAsia="es-ES" w:bidi="es-ES"/>
      </w:rPr>
    </w:lvl>
  </w:abstractNum>
  <w:abstractNum w:abstractNumId="306">
    <w:multiLevelType w:val="hybridMultilevel"/>
    <w:lvl w:ilvl="0">
      <w:start w:val="1"/>
      <w:numFmt w:val="upperRoman"/>
      <w:lvlText w:val="%1."/>
      <w:lvlJc w:val="left"/>
      <w:pPr>
        <w:ind w:left="668" w:hanging="121"/>
        <w:jc w:val="left"/>
      </w:pPr>
      <w:rPr>
        <w:rFonts w:hint="default" w:ascii="Arial" w:hAnsi="Arial" w:eastAsia="Arial" w:cs="Arial"/>
        <w:w w:val="102"/>
        <w:sz w:val="15"/>
        <w:szCs w:val="15"/>
        <w:lang w:val="es-ES" w:eastAsia="es-ES" w:bidi="es-ES"/>
      </w:rPr>
    </w:lvl>
    <w:lvl w:ilvl="1">
      <w:start w:val="0"/>
      <w:numFmt w:val="bullet"/>
      <w:lvlText w:val="•"/>
      <w:lvlJc w:val="left"/>
      <w:pPr>
        <w:ind w:left="1369" w:hanging="121"/>
      </w:pPr>
      <w:rPr>
        <w:rFonts w:hint="default"/>
        <w:lang w:val="es-ES" w:eastAsia="es-ES" w:bidi="es-ES"/>
      </w:rPr>
    </w:lvl>
    <w:lvl w:ilvl="2">
      <w:start w:val="0"/>
      <w:numFmt w:val="bullet"/>
      <w:lvlText w:val="•"/>
      <w:lvlJc w:val="left"/>
      <w:pPr>
        <w:ind w:left="2078" w:hanging="121"/>
      </w:pPr>
      <w:rPr>
        <w:rFonts w:hint="default"/>
        <w:lang w:val="es-ES" w:eastAsia="es-ES" w:bidi="es-ES"/>
      </w:rPr>
    </w:lvl>
    <w:lvl w:ilvl="3">
      <w:start w:val="0"/>
      <w:numFmt w:val="bullet"/>
      <w:lvlText w:val="•"/>
      <w:lvlJc w:val="left"/>
      <w:pPr>
        <w:ind w:left="2787" w:hanging="121"/>
      </w:pPr>
      <w:rPr>
        <w:rFonts w:hint="default"/>
        <w:lang w:val="es-ES" w:eastAsia="es-ES" w:bidi="es-ES"/>
      </w:rPr>
    </w:lvl>
    <w:lvl w:ilvl="4">
      <w:start w:val="0"/>
      <w:numFmt w:val="bullet"/>
      <w:lvlText w:val="•"/>
      <w:lvlJc w:val="left"/>
      <w:pPr>
        <w:ind w:left="3496" w:hanging="121"/>
      </w:pPr>
      <w:rPr>
        <w:rFonts w:hint="default"/>
        <w:lang w:val="es-ES" w:eastAsia="es-ES" w:bidi="es-ES"/>
      </w:rPr>
    </w:lvl>
    <w:lvl w:ilvl="5">
      <w:start w:val="0"/>
      <w:numFmt w:val="bullet"/>
      <w:lvlText w:val="•"/>
      <w:lvlJc w:val="left"/>
      <w:pPr>
        <w:ind w:left="4205" w:hanging="121"/>
      </w:pPr>
      <w:rPr>
        <w:rFonts w:hint="default"/>
        <w:lang w:val="es-ES" w:eastAsia="es-ES" w:bidi="es-ES"/>
      </w:rPr>
    </w:lvl>
    <w:lvl w:ilvl="6">
      <w:start w:val="0"/>
      <w:numFmt w:val="bullet"/>
      <w:lvlText w:val="•"/>
      <w:lvlJc w:val="left"/>
      <w:pPr>
        <w:ind w:left="4914" w:hanging="121"/>
      </w:pPr>
      <w:rPr>
        <w:rFonts w:hint="default"/>
        <w:lang w:val="es-ES" w:eastAsia="es-ES" w:bidi="es-ES"/>
      </w:rPr>
    </w:lvl>
    <w:lvl w:ilvl="7">
      <w:start w:val="0"/>
      <w:numFmt w:val="bullet"/>
      <w:lvlText w:val="•"/>
      <w:lvlJc w:val="left"/>
      <w:pPr>
        <w:ind w:left="5623" w:hanging="121"/>
      </w:pPr>
      <w:rPr>
        <w:rFonts w:hint="default"/>
        <w:lang w:val="es-ES" w:eastAsia="es-ES" w:bidi="es-ES"/>
      </w:rPr>
    </w:lvl>
    <w:lvl w:ilvl="8">
      <w:start w:val="0"/>
      <w:numFmt w:val="bullet"/>
      <w:lvlText w:val="•"/>
      <w:lvlJc w:val="left"/>
      <w:pPr>
        <w:ind w:left="6333" w:hanging="121"/>
      </w:pPr>
      <w:rPr>
        <w:rFonts w:hint="default"/>
        <w:lang w:val="es-ES" w:eastAsia="es-ES" w:bidi="es-ES"/>
      </w:rPr>
    </w:lvl>
  </w:abstractNum>
  <w:abstractNum w:abstractNumId="305">
    <w:multiLevelType w:val="hybridMultilevel"/>
    <w:lvl w:ilvl="0">
      <w:start w:val="1"/>
      <w:numFmt w:val="upperRoman"/>
      <w:lvlText w:val="%1."/>
      <w:lvlJc w:val="left"/>
      <w:pPr>
        <w:ind w:left="677" w:hanging="129"/>
        <w:jc w:val="left"/>
      </w:pPr>
      <w:rPr>
        <w:rFonts w:hint="default" w:ascii="Arial" w:hAnsi="Arial" w:eastAsia="Arial" w:cs="Arial"/>
        <w:w w:val="102"/>
        <w:sz w:val="15"/>
        <w:szCs w:val="15"/>
        <w:lang w:val="es-ES" w:eastAsia="es-ES" w:bidi="es-ES"/>
      </w:rPr>
    </w:lvl>
    <w:lvl w:ilvl="1">
      <w:start w:val="0"/>
      <w:numFmt w:val="bullet"/>
      <w:lvlText w:val="•"/>
      <w:lvlJc w:val="left"/>
      <w:pPr>
        <w:ind w:left="1387" w:hanging="129"/>
      </w:pPr>
      <w:rPr>
        <w:rFonts w:hint="default"/>
        <w:lang w:val="es-ES" w:eastAsia="es-ES" w:bidi="es-ES"/>
      </w:rPr>
    </w:lvl>
    <w:lvl w:ilvl="2">
      <w:start w:val="0"/>
      <w:numFmt w:val="bullet"/>
      <w:lvlText w:val="•"/>
      <w:lvlJc w:val="left"/>
      <w:pPr>
        <w:ind w:left="2094" w:hanging="129"/>
      </w:pPr>
      <w:rPr>
        <w:rFonts w:hint="default"/>
        <w:lang w:val="es-ES" w:eastAsia="es-ES" w:bidi="es-ES"/>
      </w:rPr>
    </w:lvl>
    <w:lvl w:ilvl="3">
      <w:start w:val="0"/>
      <w:numFmt w:val="bullet"/>
      <w:lvlText w:val="•"/>
      <w:lvlJc w:val="left"/>
      <w:pPr>
        <w:ind w:left="2801" w:hanging="129"/>
      </w:pPr>
      <w:rPr>
        <w:rFonts w:hint="default"/>
        <w:lang w:val="es-ES" w:eastAsia="es-ES" w:bidi="es-ES"/>
      </w:rPr>
    </w:lvl>
    <w:lvl w:ilvl="4">
      <w:start w:val="0"/>
      <w:numFmt w:val="bullet"/>
      <w:lvlText w:val="•"/>
      <w:lvlJc w:val="left"/>
      <w:pPr>
        <w:ind w:left="3508" w:hanging="129"/>
      </w:pPr>
      <w:rPr>
        <w:rFonts w:hint="default"/>
        <w:lang w:val="es-ES" w:eastAsia="es-ES" w:bidi="es-ES"/>
      </w:rPr>
    </w:lvl>
    <w:lvl w:ilvl="5">
      <w:start w:val="0"/>
      <w:numFmt w:val="bullet"/>
      <w:lvlText w:val="•"/>
      <w:lvlJc w:val="left"/>
      <w:pPr>
        <w:ind w:left="4215" w:hanging="129"/>
      </w:pPr>
      <w:rPr>
        <w:rFonts w:hint="default"/>
        <w:lang w:val="es-ES" w:eastAsia="es-ES" w:bidi="es-ES"/>
      </w:rPr>
    </w:lvl>
    <w:lvl w:ilvl="6">
      <w:start w:val="0"/>
      <w:numFmt w:val="bullet"/>
      <w:lvlText w:val="•"/>
      <w:lvlJc w:val="left"/>
      <w:pPr>
        <w:ind w:left="4922" w:hanging="129"/>
      </w:pPr>
      <w:rPr>
        <w:rFonts w:hint="default"/>
        <w:lang w:val="es-ES" w:eastAsia="es-ES" w:bidi="es-ES"/>
      </w:rPr>
    </w:lvl>
    <w:lvl w:ilvl="7">
      <w:start w:val="0"/>
      <w:numFmt w:val="bullet"/>
      <w:lvlText w:val="•"/>
      <w:lvlJc w:val="left"/>
      <w:pPr>
        <w:ind w:left="5629" w:hanging="129"/>
      </w:pPr>
      <w:rPr>
        <w:rFonts w:hint="default"/>
        <w:lang w:val="es-ES" w:eastAsia="es-ES" w:bidi="es-ES"/>
      </w:rPr>
    </w:lvl>
    <w:lvl w:ilvl="8">
      <w:start w:val="0"/>
      <w:numFmt w:val="bullet"/>
      <w:lvlText w:val="•"/>
      <w:lvlJc w:val="left"/>
      <w:pPr>
        <w:ind w:left="6337" w:hanging="129"/>
      </w:pPr>
      <w:rPr>
        <w:rFonts w:hint="default"/>
        <w:lang w:val="es-ES" w:eastAsia="es-ES" w:bidi="es-ES"/>
      </w:rPr>
    </w:lvl>
  </w:abstractNum>
  <w:abstractNum w:abstractNumId="304">
    <w:multiLevelType w:val="hybridMultilevel"/>
    <w:lvl w:ilvl="0">
      <w:start w:val="1"/>
      <w:numFmt w:val="upperRoman"/>
      <w:lvlText w:val="%1."/>
      <w:lvlJc w:val="left"/>
      <w:pPr>
        <w:ind w:left="151" w:hanging="133"/>
        <w:jc w:val="left"/>
      </w:pPr>
      <w:rPr>
        <w:rFonts w:hint="default" w:ascii="Arial" w:hAnsi="Arial" w:eastAsia="Arial" w:cs="Arial"/>
        <w:w w:val="102"/>
        <w:sz w:val="15"/>
        <w:szCs w:val="15"/>
        <w:lang w:val="es-ES" w:eastAsia="es-ES" w:bidi="es-ES"/>
      </w:rPr>
    </w:lvl>
    <w:lvl w:ilvl="1">
      <w:start w:val="0"/>
      <w:numFmt w:val="bullet"/>
      <w:lvlText w:val="•"/>
      <w:lvlJc w:val="left"/>
      <w:pPr>
        <w:ind w:left="966" w:hanging="133"/>
      </w:pPr>
      <w:rPr>
        <w:rFonts w:hint="default"/>
        <w:lang w:val="es-ES" w:eastAsia="es-ES" w:bidi="es-ES"/>
      </w:rPr>
    </w:lvl>
    <w:lvl w:ilvl="2">
      <w:start w:val="0"/>
      <w:numFmt w:val="bullet"/>
      <w:lvlText w:val="•"/>
      <w:lvlJc w:val="left"/>
      <w:pPr>
        <w:ind w:left="1772" w:hanging="133"/>
      </w:pPr>
      <w:rPr>
        <w:rFonts w:hint="default"/>
        <w:lang w:val="es-ES" w:eastAsia="es-ES" w:bidi="es-ES"/>
      </w:rPr>
    </w:lvl>
    <w:lvl w:ilvl="3">
      <w:start w:val="0"/>
      <w:numFmt w:val="bullet"/>
      <w:lvlText w:val="•"/>
      <w:lvlJc w:val="left"/>
      <w:pPr>
        <w:ind w:left="2578" w:hanging="133"/>
      </w:pPr>
      <w:rPr>
        <w:rFonts w:hint="default"/>
        <w:lang w:val="es-ES" w:eastAsia="es-ES" w:bidi="es-ES"/>
      </w:rPr>
    </w:lvl>
    <w:lvl w:ilvl="4">
      <w:start w:val="0"/>
      <w:numFmt w:val="bullet"/>
      <w:lvlText w:val="•"/>
      <w:lvlJc w:val="left"/>
      <w:pPr>
        <w:ind w:left="3384" w:hanging="133"/>
      </w:pPr>
      <w:rPr>
        <w:rFonts w:hint="default"/>
        <w:lang w:val="es-ES" w:eastAsia="es-ES" w:bidi="es-ES"/>
      </w:rPr>
    </w:lvl>
    <w:lvl w:ilvl="5">
      <w:start w:val="0"/>
      <w:numFmt w:val="bullet"/>
      <w:lvlText w:val="•"/>
      <w:lvlJc w:val="left"/>
      <w:pPr>
        <w:ind w:left="4190" w:hanging="133"/>
      </w:pPr>
      <w:rPr>
        <w:rFonts w:hint="default"/>
        <w:lang w:val="es-ES" w:eastAsia="es-ES" w:bidi="es-ES"/>
      </w:rPr>
    </w:lvl>
    <w:lvl w:ilvl="6">
      <w:start w:val="0"/>
      <w:numFmt w:val="bullet"/>
      <w:lvlText w:val="•"/>
      <w:lvlJc w:val="left"/>
      <w:pPr>
        <w:ind w:left="4997" w:hanging="133"/>
      </w:pPr>
      <w:rPr>
        <w:rFonts w:hint="default"/>
        <w:lang w:val="es-ES" w:eastAsia="es-ES" w:bidi="es-ES"/>
      </w:rPr>
    </w:lvl>
    <w:lvl w:ilvl="7">
      <w:start w:val="0"/>
      <w:numFmt w:val="bullet"/>
      <w:lvlText w:val="•"/>
      <w:lvlJc w:val="left"/>
      <w:pPr>
        <w:ind w:left="5803" w:hanging="133"/>
      </w:pPr>
      <w:rPr>
        <w:rFonts w:hint="default"/>
        <w:lang w:val="es-ES" w:eastAsia="es-ES" w:bidi="es-ES"/>
      </w:rPr>
    </w:lvl>
    <w:lvl w:ilvl="8">
      <w:start w:val="0"/>
      <w:numFmt w:val="bullet"/>
      <w:lvlText w:val="•"/>
      <w:lvlJc w:val="left"/>
      <w:pPr>
        <w:ind w:left="6609" w:hanging="133"/>
      </w:pPr>
      <w:rPr>
        <w:rFonts w:hint="default"/>
        <w:lang w:val="es-ES" w:eastAsia="es-ES" w:bidi="es-ES"/>
      </w:rPr>
    </w:lvl>
  </w:abstractNum>
  <w:abstractNum w:abstractNumId="303">
    <w:multiLevelType w:val="hybridMultilevel"/>
    <w:lvl w:ilvl="0">
      <w:start w:val="1"/>
      <w:numFmt w:val="upperRoman"/>
      <w:lvlText w:val="%1."/>
      <w:lvlJc w:val="left"/>
      <w:pPr>
        <w:ind w:left="151" w:hanging="131"/>
        <w:jc w:val="left"/>
      </w:pPr>
      <w:rPr>
        <w:rFonts w:hint="default" w:ascii="Arial" w:hAnsi="Arial" w:eastAsia="Arial" w:cs="Arial"/>
        <w:w w:val="102"/>
        <w:sz w:val="15"/>
        <w:szCs w:val="15"/>
        <w:lang w:val="es-ES" w:eastAsia="es-ES" w:bidi="es-ES"/>
      </w:rPr>
    </w:lvl>
    <w:lvl w:ilvl="1">
      <w:start w:val="0"/>
      <w:numFmt w:val="bullet"/>
      <w:lvlText w:val="•"/>
      <w:lvlJc w:val="left"/>
      <w:pPr>
        <w:ind w:left="966" w:hanging="131"/>
      </w:pPr>
      <w:rPr>
        <w:rFonts w:hint="default"/>
        <w:lang w:val="es-ES" w:eastAsia="es-ES" w:bidi="es-ES"/>
      </w:rPr>
    </w:lvl>
    <w:lvl w:ilvl="2">
      <w:start w:val="0"/>
      <w:numFmt w:val="bullet"/>
      <w:lvlText w:val="•"/>
      <w:lvlJc w:val="left"/>
      <w:pPr>
        <w:ind w:left="1772" w:hanging="131"/>
      </w:pPr>
      <w:rPr>
        <w:rFonts w:hint="default"/>
        <w:lang w:val="es-ES" w:eastAsia="es-ES" w:bidi="es-ES"/>
      </w:rPr>
    </w:lvl>
    <w:lvl w:ilvl="3">
      <w:start w:val="0"/>
      <w:numFmt w:val="bullet"/>
      <w:lvlText w:val="•"/>
      <w:lvlJc w:val="left"/>
      <w:pPr>
        <w:ind w:left="2578" w:hanging="131"/>
      </w:pPr>
      <w:rPr>
        <w:rFonts w:hint="default"/>
        <w:lang w:val="es-ES" w:eastAsia="es-ES" w:bidi="es-ES"/>
      </w:rPr>
    </w:lvl>
    <w:lvl w:ilvl="4">
      <w:start w:val="0"/>
      <w:numFmt w:val="bullet"/>
      <w:lvlText w:val="•"/>
      <w:lvlJc w:val="left"/>
      <w:pPr>
        <w:ind w:left="3384" w:hanging="131"/>
      </w:pPr>
      <w:rPr>
        <w:rFonts w:hint="default"/>
        <w:lang w:val="es-ES" w:eastAsia="es-ES" w:bidi="es-ES"/>
      </w:rPr>
    </w:lvl>
    <w:lvl w:ilvl="5">
      <w:start w:val="0"/>
      <w:numFmt w:val="bullet"/>
      <w:lvlText w:val="•"/>
      <w:lvlJc w:val="left"/>
      <w:pPr>
        <w:ind w:left="4190" w:hanging="131"/>
      </w:pPr>
      <w:rPr>
        <w:rFonts w:hint="default"/>
        <w:lang w:val="es-ES" w:eastAsia="es-ES" w:bidi="es-ES"/>
      </w:rPr>
    </w:lvl>
    <w:lvl w:ilvl="6">
      <w:start w:val="0"/>
      <w:numFmt w:val="bullet"/>
      <w:lvlText w:val="•"/>
      <w:lvlJc w:val="left"/>
      <w:pPr>
        <w:ind w:left="4996" w:hanging="131"/>
      </w:pPr>
      <w:rPr>
        <w:rFonts w:hint="default"/>
        <w:lang w:val="es-ES" w:eastAsia="es-ES" w:bidi="es-ES"/>
      </w:rPr>
    </w:lvl>
    <w:lvl w:ilvl="7">
      <w:start w:val="0"/>
      <w:numFmt w:val="bullet"/>
      <w:lvlText w:val="•"/>
      <w:lvlJc w:val="left"/>
      <w:pPr>
        <w:ind w:left="5802" w:hanging="131"/>
      </w:pPr>
      <w:rPr>
        <w:rFonts w:hint="default"/>
        <w:lang w:val="es-ES" w:eastAsia="es-ES" w:bidi="es-ES"/>
      </w:rPr>
    </w:lvl>
    <w:lvl w:ilvl="8">
      <w:start w:val="0"/>
      <w:numFmt w:val="bullet"/>
      <w:lvlText w:val="•"/>
      <w:lvlJc w:val="left"/>
      <w:pPr>
        <w:ind w:left="6608" w:hanging="131"/>
      </w:pPr>
      <w:rPr>
        <w:rFonts w:hint="default"/>
        <w:lang w:val="es-ES" w:eastAsia="es-ES" w:bidi="es-ES"/>
      </w:rPr>
    </w:lvl>
  </w:abstractNum>
  <w:abstractNum w:abstractNumId="302">
    <w:multiLevelType w:val="hybridMultilevel"/>
    <w:lvl w:ilvl="0">
      <w:start w:val="1"/>
      <w:numFmt w:val="upperRoman"/>
      <w:lvlText w:val="%1."/>
      <w:lvlJc w:val="left"/>
      <w:pPr>
        <w:ind w:left="150" w:hanging="180"/>
        <w:jc w:val="left"/>
      </w:pPr>
      <w:rPr>
        <w:rFonts w:hint="default" w:ascii="Arial" w:hAnsi="Arial" w:eastAsia="Arial" w:cs="Arial"/>
        <w:w w:val="102"/>
        <w:sz w:val="15"/>
        <w:szCs w:val="15"/>
        <w:lang w:val="es-ES" w:eastAsia="es-ES" w:bidi="es-ES"/>
      </w:rPr>
    </w:lvl>
    <w:lvl w:ilvl="1">
      <w:start w:val="0"/>
      <w:numFmt w:val="bullet"/>
      <w:lvlText w:val="•"/>
      <w:lvlJc w:val="left"/>
      <w:pPr>
        <w:ind w:left="966" w:hanging="180"/>
      </w:pPr>
      <w:rPr>
        <w:rFonts w:hint="default"/>
        <w:lang w:val="es-ES" w:eastAsia="es-ES" w:bidi="es-ES"/>
      </w:rPr>
    </w:lvl>
    <w:lvl w:ilvl="2">
      <w:start w:val="0"/>
      <w:numFmt w:val="bullet"/>
      <w:lvlText w:val="•"/>
      <w:lvlJc w:val="left"/>
      <w:pPr>
        <w:ind w:left="1772" w:hanging="180"/>
      </w:pPr>
      <w:rPr>
        <w:rFonts w:hint="default"/>
        <w:lang w:val="es-ES" w:eastAsia="es-ES" w:bidi="es-ES"/>
      </w:rPr>
    </w:lvl>
    <w:lvl w:ilvl="3">
      <w:start w:val="0"/>
      <w:numFmt w:val="bullet"/>
      <w:lvlText w:val="•"/>
      <w:lvlJc w:val="left"/>
      <w:pPr>
        <w:ind w:left="2578" w:hanging="180"/>
      </w:pPr>
      <w:rPr>
        <w:rFonts w:hint="default"/>
        <w:lang w:val="es-ES" w:eastAsia="es-ES" w:bidi="es-ES"/>
      </w:rPr>
    </w:lvl>
    <w:lvl w:ilvl="4">
      <w:start w:val="0"/>
      <w:numFmt w:val="bullet"/>
      <w:lvlText w:val="•"/>
      <w:lvlJc w:val="left"/>
      <w:pPr>
        <w:ind w:left="3384" w:hanging="180"/>
      </w:pPr>
      <w:rPr>
        <w:rFonts w:hint="default"/>
        <w:lang w:val="es-ES" w:eastAsia="es-ES" w:bidi="es-ES"/>
      </w:rPr>
    </w:lvl>
    <w:lvl w:ilvl="5">
      <w:start w:val="0"/>
      <w:numFmt w:val="bullet"/>
      <w:lvlText w:val="•"/>
      <w:lvlJc w:val="left"/>
      <w:pPr>
        <w:ind w:left="4190" w:hanging="180"/>
      </w:pPr>
      <w:rPr>
        <w:rFonts w:hint="default"/>
        <w:lang w:val="es-ES" w:eastAsia="es-ES" w:bidi="es-ES"/>
      </w:rPr>
    </w:lvl>
    <w:lvl w:ilvl="6">
      <w:start w:val="0"/>
      <w:numFmt w:val="bullet"/>
      <w:lvlText w:val="•"/>
      <w:lvlJc w:val="left"/>
      <w:pPr>
        <w:ind w:left="4996" w:hanging="180"/>
      </w:pPr>
      <w:rPr>
        <w:rFonts w:hint="default"/>
        <w:lang w:val="es-ES" w:eastAsia="es-ES" w:bidi="es-ES"/>
      </w:rPr>
    </w:lvl>
    <w:lvl w:ilvl="7">
      <w:start w:val="0"/>
      <w:numFmt w:val="bullet"/>
      <w:lvlText w:val="•"/>
      <w:lvlJc w:val="left"/>
      <w:pPr>
        <w:ind w:left="5802" w:hanging="180"/>
      </w:pPr>
      <w:rPr>
        <w:rFonts w:hint="default"/>
        <w:lang w:val="es-ES" w:eastAsia="es-ES" w:bidi="es-ES"/>
      </w:rPr>
    </w:lvl>
    <w:lvl w:ilvl="8">
      <w:start w:val="0"/>
      <w:numFmt w:val="bullet"/>
      <w:lvlText w:val="•"/>
      <w:lvlJc w:val="left"/>
      <w:pPr>
        <w:ind w:left="6609" w:hanging="180"/>
      </w:pPr>
      <w:rPr>
        <w:rFonts w:hint="default"/>
        <w:lang w:val="es-ES" w:eastAsia="es-ES" w:bidi="es-ES"/>
      </w:rPr>
    </w:lvl>
  </w:abstractNum>
  <w:abstractNum w:abstractNumId="301">
    <w:multiLevelType w:val="hybridMultilevel"/>
    <w:lvl w:ilvl="0">
      <w:start w:val="1"/>
      <w:numFmt w:val="upperRoman"/>
      <w:lvlText w:val="%1."/>
      <w:lvlJc w:val="left"/>
      <w:pPr>
        <w:ind w:left="677" w:hanging="129"/>
        <w:jc w:val="left"/>
      </w:pPr>
      <w:rPr>
        <w:rFonts w:hint="default" w:ascii="Arial" w:hAnsi="Arial" w:eastAsia="Arial" w:cs="Arial"/>
        <w:w w:val="102"/>
        <w:sz w:val="15"/>
        <w:szCs w:val="15"/>
        <w:lang w:val="es-ES" w:eastAsia="es-ES" w:bidi="es-ES"/>
      </w:rPr>
    </w:lvl>
    <w:lvl w:ilvl="1">
      <w:start w:val="0"/>
      <w:numFmt w:val="bullet"/>
      <w:lvlText w:val="•"/>
      <w:lvlJc w:val="left"/>
      <w:pPr>
        <w:ind w:left="1434" w:hanging="129"/>
      </w:pPr>
      <w:rPr>
        <w:rFonts w:hint="default"/>
        <w:lang w:val="es-ES" w:eastAsia="es-ES" w:bidi="es-ES"/>
      </w:rPr>
    </w:lvl>
    <w:lvl w:ilvl="2">
      <w:start w:val="0"/>
      <w:numFmt w:val="bullet"/>
      <w:lvlText w:val="•"/>
      <w:lvlJc w:val="left"/>
      <w:pPr>
        <w:ind w:left="2188" w:hanging="129"/>
      </w:pPr>
      <w:rPr>
        <w:rFonts w:hint="default"/>
        <w:lang w:val="es-ES" w:eastAsia="es-ES" w:bidi="es-ES"/>
      </w:rPr>
    </w:lvl>
    <w:lvl w:ilvl="3">
      <w:start w:val="0"/>
      <w:numFmt w:val="bullet"/>
      <w:lvlText w:val="•"/>
      <w:lvlJc w:val="left"/>
      <w:pPr>
        <w:ind w:left="2942" w:hanging="129"/>
      </w:pPr>
      <w:rPr>
        <w:rFonts w:hint="default"/>
        <w:lang w:val="es-ES" w:eastAsia="es-ES" w:bidi="es-ES"/>
      </w:rPr>
    </w:lvl>
    <w:lvl w:ilvl="4">
      <w:start w:val="0"/>
      <w:numFmt w:val="bullet"/>
      <w:lvlText w:val="•"/>
      <w:lvlJc w:val="left"/>
      <w:pPr>
        <w:ind w:left="3696" w:hanging="129"/>
      </w:pPr>
      <w:rPr>
        <w:rFonts w:hint="default"/>
        <w:lang w:val="es-ES" w:eastAsia="es-ES" w:bidi="es-ES"/>
      </w:rPr>
    </w:lvl>
    <w:lvl w:ilvl="5">
      <w:start w:val="0"/>
      <w:numFmt w:val="bullet"/>
      <w:lvlText w:val="•"/>
      <w:lvlJc w:val="left"/>
      <w:pPr>
        <w:ind w:left="4450" w:hanging="129"/>
      </w:pPr>
      <w:rPr>
        <w:rFonts w:hint="default"/>
        <w:lang w:val="es-ES" w:eastAsia="es-ES" w:bidi="es-ES"/>
      </w:rPr>
    </w:lvl>
    <w:lvl w:ilvl="6">
      <w:start w:val="0"/>
      <w:numFmt w:val="bullet"/>
      <w:lvlText w:val="•"/>
      <w:lvlJc w:val="left"/>
      <w:pPr>
        <w:ind w:left="5204" w:hanging="129"/>
      </w:pPr>
      <w:rPr>
        <w:rFonts w:hint="default"/>
        <w:lang w:val="es-ES" w:eastAsia="es-ES" w:bidi="es-ES"/>
      </w:rPr>
    </w:lvl>
    <w:lvl w:ilvl="7">
      <w:start w:val="0"/>
      <w:numFmt w:val="bullet"/>
      <w:lvlText w:val="•"/>
      <w:lvlJc w:val="left"/>
      <w:pPr>
        <w:ind w:left="5958" w:hanging="129"/>
      </w:pPr>
      <w:rPr>
        <w:rFonts w:hint="default"/>
        <w:lang w:val="es-ES" w:eastAsia="es-ES" w:bidi="es-ES"/>
      </w:rPr>
    </w:lvl>
    <w:lvl w:ilvl="8">
      <w:start w:val="0"/>
      <w:numFmt w:val="bullet"/>
      <w:lvlText w:val="•"/>
      <w:lvlJc w:val="left"/>
      <w:pPr>
        <w:ind w:left="6713" w:hanging="129"/>
      </w:pPr>
      <w:rPr>
        <w:rFonts w:hint="default"/>
        <w:lang w:val="es-ES" w:eastAsia="es-ES" w:bidi="es-ES"/>
      </w:rPr>
    </w:lvl>
  </w:abstractNum>
  <w:abstractNum w:abstractNumId="300">
    <w:multiLevelType w:val="hybridMultilevel"/>
    <w:lvl w:ilvl="0">
      <w:start w:val="1"/>
      <w:numFmt w:val="lowerLetter"/>
      <w:lvlText w:val="%1)"/>
      <w:lvlJc w:val="left"/>
      <w:pPr>
        <w:ind w:left="845" w:hanging="253"/>
        <w:jc w:val="left"/>
      </w:pPr>
      <w:rPr>
        <w:rFonts w:hint="default" w:ascii="Arial" w:hAnsi="Arial" w:eastAsia="Arial" w:cs="Arial"/>
        <w:w w:val="102"/>
        <w:sz w:val="15"/>
        <w:szCs w:val="15"/>
        <w:lang w:val="es-ES" w:eastAsia="es-ES" w:bidi="es-ES"/>
      </w:rPr>
    </w:lvl>
    <w:lvl w:ilvl="1">
      <w:start w:val="0"/>
      <w:numFmt w:val="bullet"/>
      <w:lvlText w:val="•"/>
      <w:lvlJc w:val="left"/>
      <w:pPr>
        <w:ind w:left="1531" w:hanging="253"/>
      </w:pPr>
      <w:rPr>
        <w:rFonts w:hint="default"/>
        <w:lang w:val="es-ES" w:eastAsia="es-ES" w:bidi="es-ES"/>
      </w:rPr>
    </w:lvl>
    <w:lvl w:ilvl="2">
      <w:start w:val="0"/>
      <w:numFmt w:val="bullet"/>
      <w:lvlText w:val="•"/>
      <w:lvlJc w:val="left"/>
      <w:pPr>
        <w:ind w:left="2222" w:hanging="253"/>
      </w:pPr>
      <w:rPr>
        <w:rFonts w:hint="default"/>
        <w:lang w:val="es-ES" w:eastAsia="es-ES" w:bidi="es-ES"/>
      </w:rPr>
    </w:lvl>
    <w:lvl w:ilvl="3">
      <w:start w:val="0"/>
      <w:numFmt w:val="bullet"/>
      <w:lvlText w:val="•"/>
      <w:lvlJc w:val="left"/>
      <w:pPr>
        <w:ind w:left="2913" w:hanging="253"/>
      </w:pPr>
      <w:rPr>
        <w:rFonts w:hint="default"/>
        <w:lang w:val="es-ES" w:eastAsia="es-ES" w:bidi="es-ES"/>
      </w:rPr>
    </w:lvl>
    <w:lvl w:ilvl="4">
      <w:start w:val="0"/>
      <w:numFmt w:val="bullet"/>
      <w:lvlText w:val="•"/>
      <w:lvlJc w:val="left"/>
      <w:pPr>
        <w:ind w:left="3604" w:hanging="253"/>
      </w:pPr>
      <w:rPr>
        <w:rFonts w:hint="default"/>
        <w:lang w:val="es-ES" w:eastAsia="es-ES" w:bidi="es-ES"/>
      </w:rPr>
    </w:lvl>
    <w:lvl w:ilvl="5">
      <w:start w:val="0"/>
      <w:numFmt w:val="bullet"/>
      <w:lvlText w:val="•"/>
      <w:lvlJc w:val="left"/>
      <w:pPr>
        <w:ind w:left="4295" w:hanging="253"/>
      </w:pPr>
      <w:rPr>
        <w:rFonts w:hint="default"/>
        <w:lang w:val="es-ES" w:eastAsia="es-ES" w:bidi="es-ES"/>
      </w:rPr>
    </w:lvl>
    <w:lvl w:ilvl="6">
      <w:start w:val="0"/>
      <w:numFmt w:val="bullet"/>
      <w:lvlText w:val="•"/>
      <w:lvlJc w:val="left"/>
      <w:pPr>
        <w:ind w:left="4987" w:hanging="253"/>
      </w:pPr>
      <w:rPr>
        <w:rFonts w:hint="default"/>
        <w:lang w:val="es-ES" w:eastAsia="es-ES" w:bidi="es-ES"/>
      </w:rPr>
    </w:lvl>
    <w:lvl w:ilvl="7">
      <w:start w:val="0"/>
      <w:numFmt w:val="bullet"/>
      <w:lvlText w:val="•"/>
      <w:lvlJc w:val="left"/>
      <w:pPr>
        <w:ind w:left="5678" w:hanging="253"/>
      </w:pPr>
      <w:rPr>
        <w:rFonts w:hint="default"/>
        <w:lang w:val="es-ES" w:eastAsia="es-ES" w:bidi="es-ES"/>
      </w:rPr>
    </w:lvl>
    <w:lvl w:ilvl="8">
      <w:start w:val="0"/>
      <w:numFmt w:val="bullet"/>
      <w:lvlText w:val="•"/>
      <w:lvlJc w:val="left"/>
      <w:pPr>
        <w:ind w:left="6369" w:hanging="253"/>
      </w:pPr>
      <w:rPr>
        <w:rFonts w:hint="default"/>
        <w:lang w:val="es-ES" w:eastAsia="es-ES" w:bidi="es-ES"/>
      </w:rPr>
    </w:lvl>
  </w:abstractNum>
  <w:abstractNum w:abstractNumId="299">
    <w:multiLevelType w:val="hybridMultilevel"/>
    <w:lvl w:ilvl="0">
      <w:start w:val="1"/>
      <w:numFmt w:val="lowerLetter"/>
      <w:lvlText w:val="%1)"/>
      <w:lvlJc w:val="left"/>
      <w:pPr>
        <w:ind w:left="845" w:hanging="253"/>
        <w:jc w:val="left"/>
      </w:pPr>
      <w:rPr>
        <w:rFonts w:hint="default" w:ascii="Arial" w:hAnsi="Arial" w:eastAsia="Arial" w:cs="Arial"/>
        <w:w w:val="102"/>
        <w:sz w:val="15"/>
        <w:szCs w:val="15"/>
        <w:lang w:val="es-ES" w:eastAsia="es-ES" w:bidi="es-ES"/>
      </w:rPr>
    </w:lvl>
    <w:lvl w:ilvl="1">
      <w:start w:val="0"/>
      <w:numFmt w:val="bullet"/>
      <w:lvlText w:val="•"/>
      <w:lvlJc w:val="left"/>
      <w:pPr>
        <w:ind w:left="1531" w:hanging="253"/>
      </w:pPr>
      <w:rPr>
        <w:rFonts w:hint="default"/>
        <w:lang w:val="es-ES" w:eastAsia="es-ES" w:bidi="es-ES"/>
      </w:rPr>
    </w:lvl>
    <w:lvl w:ilvl="2">
      <w:start w:val="0"/>
      <w:numFmt w:val="bullet"/>
      <w:lvlText w:val="•"/>
      <w:lvlJc w:val="left"/>
      <w:pPr>
        <w:ind w:left="2222" w:hanging="253"/>
      </w:pPr>
      <w:rPr>
        <w:rFonts w:hint="default"/>
        <w:lang w:val="es-ES" w:eastAsia="es-ES" w:bidi="es-ES"/>
      </w:rPr>
    </w:lvl>
    <w:lvl w:ilvl="3">
      <w:start w:val="0"/>
      <w:numFmt w:val="bullet"/>
      <w:lvlText w:val="•"/>
      <w:lvlJc w:val="left"/>
      <w:pPr>
        <w:ind w:left="2913" w:hanging="253"/>
      </w:pPr>
      <w:rPr>
        <w:rFonts w:hint="default"/>
        <w:lang w:val="es-ES" w:eastAsia="es-ES" w:bidi="es-ES"/>
      </w:rPr>
    </w:lvl>
    <w:lvl w:ilvl="4">
      <w:start w:val="0"/>
      <w:numFmt w:val="bullet"/>
      <w:lvlText w:val="•"/>
      <w:lvlJc w:val="left"/>
      <w:pPr>
        <w:ind w:left="3604" w:hanging="253"/>
      </w:pPr>
      <w:rPr>
        <w:rFonts w:hint="default"/>
        <w:lang w:val="es-ES" w:eastAsia="es-ES" w:bidi="es-ES"/>
      </w:rPr>
    </w:lvl>
    <w:lvl w:ilvl="5">
      <w:start w:val="0"/>
      <w:numFmt w:val="bullet"/>
      <w:lvlText w:val="•"/>
      <w:lvlJc w:val="left"/>
      <w:pPr>
        <w:ind w:left="4295" w:hanging="253"/>
      </w:pPr>
      <w:rPr>
        <w:rFonts w:hint="default"/>
        <w:lang w:val="es-ES" w:eastAsia="es-ES" w:bidi="es-ES"/>
      </w:rPr>
    </w:lvl>
    <w:lvl w:ilvl="6">
      <w:start w:val="0"/>
      <w:numFmt w:val="bullet"/>
      <w:lvlText w:val="•"/>
      <w:lvlJc w:val="left"/>
      <w:pPr>
        <w:ind w:left="4987" w:hanging="253"/>
      </w:pPr>
      <w:rPr>
        <w:rFonts w:hint="default"/>
        <w:lang w:val="es-ES" w:eastAsia="es-ES" w:bidi="es-ES"/>
      </w:rPr>
    </w:lvl>
    <w:lvl w:ilvl="7">
      <w:start w:val="0"/>
      <w:numFmt w:val="bullet"/>
      <w:lvlText w:val="•"/>
      <w:lvlJc w:val="left"/>
      <w:pPr>
        <w:ind w:left="5678" w:hanging="253"/>
      </w:pPr>
      <w:rPr>
        <w:rFonts w:hint="default"/>
        <w:lang w:val="es-ES" w:eastAsia="es-ES" w:bidi="es-ES"/>
      </w:rPr>
    </w:lvl>
    <w:lvl w:ilvl="8">
      <w:start w:val="0"/>
      <w:numFmt w:val="bullet"/>
      <w:lvlText w:val="•"/>
      <w:lvlJc w:val="left"/>
      <w:pPr>
        <w:ind w:left="6369" w:hanging="253"/>
      </w:pPr>
      <w:rPr>
        <w:rFonts w:hint="default"/>
        <w:lang w:val="es-ES" w:eastAsia="es-ES" w:bidi="es-ES"/>
      </w:rPr>
    </w:lvl>
  </w:abstractNum>
  <w:abstractNum w:abstractNumId="298">
    <w:multiLevelType w:val="hybridMultilevel"/>
    <w:lvl w:ilvl="0">
      <w:start w:val="1"/>
      <w:numFmt w:val="lowerLetter"/>
      <w:lvlText w:val="%1)"/>
      <w:lvlJc w:val="left"/>
      <w:pPr>
        <w:ind w:left="845" w:hanging="252"/>
        <w:jc w:val="left"/>
      </w:pPr>
      <w:rPr>
        <w:rFonts w:hint="default" w:ascii="Arial" w:hAnsi="Arial" w:eastAsia="Arial" w:cs="Arial"/>
        <w:w w:val="102"/>
        <w:sz w:val="15"/>
        <w:szCs w:val="15"/>
        <w:lang w:val="es-ES" w:eastAsia="es-ES" w:bidi="es-ES"/>
      </w:rPr>
    </w:lvl>
    <w:lvl w:ilvl="1">
      <w:start w:val="0"/>
      <w:numFmt w:val="bullet"/>
      <w:lvlText w:val="•"/>
      <w:lvlJc w:val="left"/>
      <w:pPr>
        <w:ind w:left="1531" w:hanging="252"/>
      </w:pPr>
      <w:rPr>
        <w:rFonts w:hint="default"/>
        <w:lang w:val="es-ES" w:eastAsia="es-ES" w:bidi="es-ES"/>
      </w:rPr>
    </w:lvl>
    <w:lvl w:ilvl="2">
      <w:start w:val="0"/>
      <w:numFmt w:val="bullet"/>
      <w:lvlText w:val="•"/>
      <w:lvlJc w:val="left"/>
      <w:pPr>
        <w:ind w:left="2222" w:hanging="252"/>
      </w:pPr>
      <w:rPr>
        <w:rFonts w:hint="default"/>
        <w:lang w:val="es-ES" w:eastAsia="es-ES" w:bidi="es-ES"/>
      </w:rPr>
    </w:lvl>
    <w:lvl w:ilvl="3">
      <w:start w:val="0"/>
      <w:numFmt w:val="bullet"/>
      <w:lvlText w:val="•"/>
      <w:lvlJc w:val="left"/>
      <w:pPr>
        <w:ind w:left="2913" w:hanging="252"/>
      </w:pPr>
      <w:rPr>
        <w:rFonts w:hint="default"/>
        <w:lang w:val="es-ES" w:eastAsia="es-ES" w:bidi="es-ES"/>
      </w:rPr>
    </w:lvl>
    <w:lvl w:ilvl="4">
      <w:start w:val="0"/>
      <w:numFmt w:val="bullet"/>
      <w:lvlText w:val="•"/>
      <w:lvlJc w:val="left"/>
      <w:pPr>
        <w:ind w:left="3604" w:hanging="252"/>
      </w:pPr>
      <w:rPr>
        <w:rFonts w:hint="default"/>
        <w:lang w:val="es-ES" w:eastAsia="es-ES" w:bidi="es-ES"/>
      </w:rPr>
    </w:lvl>
    <w:lvl w:ilvl="5">
      <w:start w:val="0"/>
      <w:numFmt w:val="bullet"/>
      <w:lvlText w:val="•"/>
      <w:lvlJc w:val="left"/>
      <w:pPr>
        <w:ind w:left="4295" w:hanging="252"/>
      </w:pPr>
      <w:rPr>
        <w:rFonts w:hint="default"/>
        <w:lang w:val="es-ES" w:eastAsia="es-ES" w:bidi="es-ES"/>
      </w:rPr>
    </w:lvl>
    <w:lvl w:ilvl="6">
      <w:start w:val="0"/>
      <w:numFmt w:val="bullet"/>
      <w:lvlText w:val="•"/>
      <w:lvlJc w:val="left"/>
      <w:pPr>
        <w:ind w:left="4987" w:hanging="252"/>
      </w:pPr>
      <w:rPr>
        <w:rFonts w:hint="default"/>
        <w:lang w:val="es-ES" w:eastAsia="es-ES" w:bidi="es-ES"/>
      </w:rPr>
    </w:lvl>
    <w:lvl w:ilvl="7">
      <w:start w:val="0"/>
      <w:numFmt w:val="bullet"/>
      <w:lvlText w:val="•"/>
      <w:lvlJc w:val="left"/>
      <w:pPr>
        <w:ind w:left="5678" w:hanging="252"/>
      </w:pPr>
      <w:rPr>
        <w:rFonts w:hint="default"/>
        <w:lang w:val="es-ES" w:eastAsia="es-ES" w:bidi="es-ES"/>
      </w:rPr>
    </w:lvl>
    <w:lvl w:ilvl="8">
      <w:start w:val="0"/>
      <w:numFmt w:val="bullet"/>
      <w:lvlText w:val="•"/>
      <w:lvlJc w:val="left"/>
      <w:pPr>
        <w:ind w:left="6369" w:hanging="252"/>
      </w:pPr>
      <w:rPr>
        <w:rFonts w:hint="default"/>
        <w:lang w:val="es-ES" w:eastAsia="es-ES" w:bidi="es-ES"/>
      </w:rPr>
    </w:lvl>
  </w:abstractNum>
  <w:abstractNum w:abstractNumId="297">
    <w:multiLevelType w:val="hybridMultilevel"/>
    <w:lvl w:ilvl="0">
      <w:start w:val="1"/>
      <w:numFmt w:val="lowerLetter"/>
      <w:lvlText w:val="%1)"/>
      <w:lvlJc w:val="left"/>
      <w:pPr>
        <w:ind w:left="845" w:hanging="244"/>
        <w:jc w:val="left"/>
      </w:pPr>
      <w:rPr>
        <w:rFonts w:hint="default" w:ascii="Arial" w:hAnsi="Arial" w:eastAsia="Arial" w:cs="Arial"/>
        <w:w w:val="102"/>
        <w:sz w:val="15"/>
        <w:szCs w:val="15"/>
        <w:lang w:val="es-ES" w:eastAsia="es-ES" w:bidi="es-ES"/>
      </w:rPr>
    </w:lvl>
    <w:lvl w:ilvl="1">
      <w:start w:val="0"/>
      <w:numFmt w:val="bullet"/>
      <w:lvlText w:val="•"/>
      <w:lvlJc w:val="left"/>
      <w:pPr>
        <w:ind w:left="1531" w:hanging="244"/>
      </w:pPr>
      <w:rPr>
        <w:rFonts w:hint="default"/>
        <w:lang w:val="es-ES" w:eastAsia="es-ES" w:bidi="es-ES"/>
      </w:rPr>
    </w:lvl>
    <w:lvl w:ilvl="2">
      <w:start w:val="0"/>
      <w:numFmt w:val="bullet"/>
      <w:lvlText w:val="•"/>
      <w:lvlJc w:val="left"/>
      <w:pPr>
        <w:ind w:left="2222" w:hanging="244"/>
      </w:pPr>
      <w:rPr>
        <w:rFonts w:hint="default"/>
        <w:lang w:val="es-ES" w:eastAsia="es-ES" w:bidi="es-ES"/>
      </w:rPr>
    </w:lvl>
    <w:lvl w:ilvl="3">
      <w:start w:val="0"/>
      <w:numFmt w:val="bullet"/>
      <w:lvlText w:val="•"/>
      <w:lvlJc w:val="left"/>
      <w:pPr>
        <w:ind w:left="2913" w:hanging="244"/>
      </w:pPr>
      <w:rPr>
        <w:rFonts w:hint="default"/>
        <w:lang w:val="es-ES" w:eastAsia="es-ES" w:bidi="es-ES"/>
      </w:rPr>
    </w:lvl>
    <w:lvl w:ilvl="4">
      <w:start w:val="0"/>
      <w:numFmt w:val="bullet"/>
      <w:lvlText w:val="•"/>
      <w:lvlJc w:val="left"/>
      <w:pPr>
        <w:ind w:left="3604" w:hanging="244"/>
      </w:pPr>
      <w:rPr>
        <w:rFonts w:hint="default"/>
        <w:lang w:val="es-ES" w:eastAsia="es-ES" w:bidi="es-ES"/>
      </w:rPr>
    </w:lvl>
    <w:lvl w:ilvl="5">
      <w:start w:val="0"/>
      <w:numFmt w:val="bullet"/>
      <w:lvlText w:val="•"/>
      <w:lvlJc w:val="left"/>
      <w:pPr>
        <w:ind w:left="4295" w:hanging="244"/>
      </w:pPr>
      <w:rPr>
        <w:rFonts w:hint="default"/>
        <w:lang w:val="es-ES" w:eastAsia="es-ES" w:bidi="es-ES"/>
      </w:rPr>
    </w:lvl>
    <w:lvl w:ilvl="6">
      <w:start w:val="0"/>
      <w:numFmt w:val="bullet"/>
      <w:lvlText w:val="•"/>
      <w:lvlJc w:val="left"/>
      <w:pPr>
        <w:ind w:left="4987" w:hanging="244"/>
      </w:pPr>
      <w:rPr>
        <w:rFonts w:hint="default"/>
        <w:lang w:val="es-ES" w:eastAsia="es-ES" w:bidi="es-ES"/>
      </w:rPr>
    </w:lvl>
    <w:lvl w:ilvl="7">
      <w:start w:val="0"/>
      <w:numFmt w:val="bullet"/>
      <w:lvlText w:val="•"/>
      <w:lvlJc w:val="left"/>
      <w:pPr>
        <w:ind w:left="5678" w:hanging="244"/>
      </w:pPr>
      <w:rPr>
        <w:rFonts w:hint="default"/>
        <w:lang w:val="es-ES" w:eastAsia="es-ES" w:bidi="es-ES"/>
      </w:rPr>
    </w:lvl>
    <w:lvl w:ilvl="8">
      <w:start w:val="0"/>
      <w:numFmt w:val="bullet"/>
      <w:lvlText w:val="•"/>
      <w:lvlJc w:val="left"/>
      <w:pPr>
        <w:ind w:left="6369" w:hanging="244"/>
      </w:pPr>
      <w:rPr>
        <w:rFonts w:hint="default"/>
        <w:lang w:val="es-ES" w:eastAsia="es-ES" w:bidi="es-ES"/>
      </w:rPr>
    </w:lvl>
  </w:abstractNum>
  <w:abstractNum w:abstractNumId="296">
    <w:multiLevelType w:val="hybridMultilevel"/>
    <w:lvl w:ilvl="0">
      <w:start w:val="1"/>
      <w:numFmt w:val="lowerLetter"/>
      <w:lvlText w:val="%1)"/>
      <w:lvlJc w:val="left"/>
      <w:pPr>
        <w:ind w:left="548" w:hanging="200"/>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1261" w:hanging="200"/>
      </w:pPr>
      <w:rPr>
        <w:rFonts w:hint="default"/>
        <w:lang w:val="es-ES" w:eastAsia="es-ES" w:bidi="es-ES"/>
      </w:rPr>
    </w:lvl>
    <w:lvl w:ilvl="2">
      <w:start w:val="0"/>
      <w:numFmt w:val="bullet"/>
      <w:lvlText w:val="•"/>
      <w:lvlJc w:val="left"/>
      <w:pPr>
        <w:ind w:left="1982" w:hanging="200"/>
      </w:pPr>
      <w:rPr>
        <w:rFonts w:hint="default"/>
        <w:lang w:val="es-ES" w:eastAsia="es-ES" w:bidi="es-ES"/>
      </w:rPr>
    </w:lvl>
    <w:lvl w:ilvl="3">
      <w:start w:val="0"/>
      <w:numFmt w:val="bullet"/>
      <w:lvlText w:val="•"/>
      <w:lvlJc w:val="left"/>
      <w:pPr>
        <w:ind w:left="2703" w:hanging="200"/>
      </w:pPr>
      <w:rPr>
        <w:rFonts w:hint="default"/>
        <w:lang w:val="es-ES" w:eastAsia="es-ES" w:bidi="es-ES"/>
      </w:rPr>
    </w:lvl>
    <w:lvl w:ilvl="4">
      <w:start w:val="0"/>
      <w:numFmt w:val="bullet"/>
      <w:lvlText w:val="•"/>
      <w:lvlJc w:val="left"/>
      <w:pPr>
        <w:ind w:left="3424" w:hanging="200"/>
      </w:pPr>
      <w:rPr>
        <w:rFonts w:hint="default"/>
        <w:lang w:val="es-ES" w:eastAsia="es-ES" w:bidi="es-ES"/>
      </w:rPr>
    </w:lvl>
    <w:lvl w:ilvl="5">
      <w:start w:val="0"/>
      <w:numFmt w:val="bullet"/>
      <w:lvlText w:val="•"/>
      <w:lvlJc w:val="left"/>
      <w:pPr>
        <w:ind w:left="4145" w:hanging="200"/>
      </w:pPr>
      <w:rPr>
        <w:rFonts w:hint="default"/>
        <w:lang w:val="es-ES" w:eastAsia="es-ES" w:bidi="es-ES"/>
      </w:rPr>
    </w:lvl>
    <w:lvl w:ilvl="6">
      <w:start w:val="0"/>
      <w:numFmt w:val="bullet"/>
      <w:lvlText w:val="•"/>
      <w:lvlJc w:val="left"/>
      <w:pPr>
        <w:ind w:left="4867" w:hanging="200"/>
      </w:pPr>
      <w:rPr>
        <w:rFonts w:hint="default"/>
        <w:lang w:val="es-ES" w:eastAsia="es-ES" w:bidi="es-ES"/>
      </w:rPr>
    </w:lvl>
    <w:lvl w:ilvl="7">
      <w:start w:val="0"/>
      <w:numFmt w:val="bullet"/>
      <w:lvlText w:val="•"/>
      <w:lvlJc w:val="left"/>
      <w:pPr>
        <w:ind w:left="5588" w:hanging="200"/>
      </w:pPr>
      <w:rPr>
        <w:rFonts w:hint="default"/>
        <w:lang w:val="es-ES" w:eastAsia="es-ES" w:bidi="es-ES"/>
      </w:rPr>
    </w:lvl>
    <w:lvl w:ilvl="8">
      <w:start w:val="0"/>
      <w:numFmt w:val="bullet"/>
      <w:lvlText w:val="•"/>
      <w:lvlJc w:val="left"/>
      <w:pPr>
        <w:ind w:left="6309" w:hanging="200"/>
      </w:pPr>
      <w:rPr>
        <w:rFonts w:hint="default"/>
        <w:lang w:val="es-ES" w:eastAsia="es-ES" w:bidi="es-ES"/>
      </w:rPr>
    </w:lvl>
  </w:abstractNum>
  <w:abstractNum w:abstractNumId="295">
    <w:multiLevelType w:val="hybridMultilevel"/>
    <w:lvl w:ilvl="0">
      <w:start w:val="1"/>
      <w:numFmt w:val="upperRoman"/>
      <w:lvlText w:val="%1."/>
      <w:lvlJc w:val="left"/>
      <w:pPr>
        <w:ind w:left="150" w:hanging="130"/>
        <w:jc w:val="left"/>
      </w:pPr>
      <w:rPr>
        <w:rFonts w:hint="default" w:ascii="Arial" w:hAnsi="Arial" w:eastAsia="Arial" w:cs="Arial"/>
        <w:w w:val="102"/>
        <w:sz w:val="15"/>
        <w:szCs w:val="15"/>
        <w:lang w:val="es-ES" w:eastAsia="es-ES" w:bidi="es-ES"/>
      </w:rPr>
    </w:lvl>
    <w:lvl w:ilvl="1">
      <w:start w:val="0"/>
      <w:numFmt w:val="bullet"/>
      <w:lvlText w:val="•"/>
      <w:lvlJc w:val="left"/>
      <w:pPr>
        <w:ind w:left="919" w:hanging="130"/>
      </w:pPr>
      <w:rPr>
        <w:rFonts w:hint="default"/>
        <w:lang w:val="es-ES" w:eastAsia="es-ES" w:bidi="es-ES"/>
      </w:rPr>
    </w:lvl>
    <w:lvl w:ilvl="2">
      <w:start w:val="0"/>
      <w:numFmt w:val="bullet"/>
      <w:lvlText w:val="•"/>
      <w:lvlJc w:val="left"/>
      <w:pPr>
        <w:ind w:left="1678" w:hanging="130"/>
      </w:pPr>
      <w:rPr>
        <w:rFonts w:hint="default"/>
        <w:lang w:val="es-ES" w:eastAsia="es-ES" w:bidi="es-ES"/>
      </w:rPr>
    </w:lvl>
    <w:lvl w:ilvl="3">
      <w:start w:val="0"/>
      <w:numFmt w:val="bullet"/>
      <w:lvlText w:val="•"/>
      <w:lvlJc w:val="left"/>
      <w:pPr>
        <w:ind w:left="2437" w:hanging="130"/>
      </w:pPr>
      <w:rPr>
        <w:rFonts w:hint="default"/>
        <w:lang w:val="es-ES" w:eastAsia="es-ES" w:bidi="es-ES"/>
      </w:rPr>
    </w:lvl>
    <w:lvl w:ilvl="4">
      <w:start w:val="0"/>
      <w:numFmt w:val="bullet"/>
      <w:lvlText w:val="•"/>
      <w:lvlJc w:val="left"/>
      <w:pPr>
        <w:ind w:left="3196" w:hanging="130"/>
      </w:pPr>
      <w:rPr>
        <w:rFonts w:hint="default"/>
        <w:lang w:val="es-ES" w:eastAsia="es-ES" w:bidi="es-ES"/>
      </w:rPr>
    </w:lvl>
    <w:lvl w:ilvl="5">
      <w:start w:val="0"/>
      <w:numFmt w:val="bullet"/>
      <w:lvlText w:val="•"/>
      <w:lvlJc w:val="left"/>
      <w:pPr>
        <w:ind w:left="3955" w:hanging="130"/>
      </w:pPr>
      <w:rPr>
        <w:rFonts w:hint="default"/>
        <w:lang w:val="es-ES" w:eastAsia="es-ES" w:bidi="es-ES"/>
      </w:rPr>
    </w:lvl>
    <w:lvl w:ilvl="6">
      <w:start w:val="0"/>
      <w:numFmt w:val="bullet"/>
      <w:lvlText w:val="•"/>
      <w:lvlJc w:val="left"/>
      <w:pPr>
        <w:ind w:left="4715" w:hanging="130"/>
      </w:pPr>
      <w:rPr>
        <w:rFonts w:hint="default"/>
        <w:lang w:val="es-ES" w:eastAsia="es-ES" w:bidi="es-ES"/>
      </w:rPr>
    </w:lvl>
    <w:lvl w:ilvl="7">
      <w:start w:val="0"/>
      <w:numFmt w:val="bullet"/>
      <w:lvlText w:val="•"/>
      <w:lvlJc w:val="left"/>
      <w:pPr>
        <w:ind w:left="5474" w:hanging="130"/>
      </w:pPr>
      <w:rPr>
        <w:rFonts w:hint="default"/>
        <w:lang w:val="es-ES" w:eastAsia="es-ES" w:bidi="es-ES"/>
      </w:rPr>
    </w:lvl>
    <w:lvl w:ilvl="8">
      <w:start w:val="0"/>
      <w:numFmt w:val="bullet"/>
      <w:lvlText w:val="•"/>
      <w:lvlJc w:val="left"/>
      <w:pPr>
        <w:ind w:left="6233" w:hanging="130"/>
      </w:pPr>
      <w:rPr>
        <w:rFonts w:hint="default"/>
        <w:lang w:val="es-ES" w:eastAsia="es-ES" w:bidi="es-ES"/>
      </w:rPr>
    </w:lvl>
  </w:abstractNum>
  <w:abstractNum w:abstractNumId="294">
    <w:multiLevelType w:val="hybridMultilevel"/>
    <w:lvl w:ilvl="0">
      <w:start w:val="6"/>
      <w:numFmt w:val="upperRoman"/>
      <w:lvlText w:val="%1."/>
      <w:lvlJc w:val="left"/>
      <w:pPr>
        <w:ind w:left="151" w:hanging="285"/>
        <w:jc w:val="left"/>
      </w:pPr>
      <w:rPr>
        <w:rFonts w:hint="default" w:ascii="Arial" w:hAnsi="Arial" w:eastAsia="Arial" w:cs="Arial"/>
        <w:w w:val="102"/>
        <w:sz w:val="15"/>
        <w:szCs w:val="15"/>
        <w:lang w:val="es-ES" w:eastAsia="es-ES" w:bidi="es-ES"/>
      </w:rPr>
    </w:lvl>
    <w:lvl w:ilvl="1">
      <w:start w:val="0"/>
      <w:numFmt w:val="bullet"/>
      <w:lvlText w:val="•"/>
      <w:lvlJc w:val="left"/>
      <w:pPr>
        <w:ind w:left="966" w:hanging="285"/>
      </w:pPr>
      <w:rPr>
        <w:rFonts w:hint="default"/>
        <w:lang w:val="es-ES" w:eastAsia="es-ES" w:bidi="es-ES"/>
      </w:rPr>
    </w:lvl>
    <w:lvl w:ilvl="2">
      <w:start w:val="0"/>
      <w:numFmt w:val="bullet"/>
      <w:lvlText w:val="•"/>
      <w:lvlJc w:val="left"/>
      <w:pPr>
        <w:ind w:left="1772" w:hanging="285"/>
      </w:pPr>
      <w:rPr>
        <w:rFonts w:hint="default"/>
        <w:lang w:val="es-ES" w:eastAsia="es-ES" w:bidi="es-ES"/>
      </w:rPr>
    </w:lvl>
    <w:lvl w:ilvl="3">
      <w:start w:val="0"/>
      <w:numFmt w:val="bullet"/>
      <w:lvlText w:val="•"/>
      <w:lvlJc w:val="left"/>
      <w:pPr>
        <w:ind w:left="2578" w:hanging="285"/>
      </w:pPr>
      <w:rPr>
        <w:rFonts w:hint="default"/>
        <w:lang w:val="es-ES" w:eastAsia="es-ES" w:bidi="es-ES"/>
      </w:rPr>
    </w:lvl>
    <w:lvl w:ilvl="4">
      <w:start w:val="0"/>
      <w:numFmt w:val="bullet"/>
      <w:lvlText w:val="•"/>
      <w:lvlJc w:val="left"/>
      <w:pPr>
        <w:ind w:left="3384" w:hanging="285"/>
      </w:pPr>
      <w:rPr>
        <w:rFonts w:hint="default"/>
        <w:lang w:val="es-ES" w:eastAsia="es-ES" w:bidi="es-ES"/>
      </w:rPr>
    </w:lvl>
    <w:lvl w:ilvl="5">
      <w:start w:val="0"/>
      <w:numFmt w:val="bullet"/>
      <w:lvlText w:val="•"/>
      <w:lvlJc w:val="left"/>
      <w:pPr>
        <w:ind w:left="4190" w:hanging="285"/>
      </w:pPr>
      <w:rPr>
        <w:rFonts w:hint="default"/>
        <w:lang w:val="es-ES" w:eastAsia="es-ES" w:bidi="es-ES"/>
      </w:rPr>
    </w:lvl>
    <w:lvl w:ilvl="6">
      <w:start w:val="0"/>
      <w:numFmt w:val="bullet"/>
      <w:lvlText w:val="•"/>
      <w:lvlJc w:val="left"/>
      <w:pPr>
        <w:ind w:left="4997" w:hanging="285"/>
      </w:pPr>
      <w:rPr>
        <w:rFonts w:hint="default"/>
        <w:lang w:val="es-ES" w:eastAsia="es-ES" w:bidi="es-ES"/>
      </w:rPr>
    </w:lvl>
    <w:lvl w:ilvl="7">
      <w:start w:val="0"/>
      <w:numFmt w:val="bullet"/>
      <w:lvlText w:val="•"/>
      <w:lvlJc w:val="left"/>
      <w:pPr>
        <w:ind w:left="5803" w:hanging="285"/>
      </w:pPr>
      <w:rPr>
        <w:rFonts w:hint="default"/>
        <w:lang w:val="es-ES" w:eastAsia="es-ES" w:bidi="es-ES"/>
      </w:rPr>
    </w:lvl>
    <w:lvl w:ilvl="8">
      <w:start w:val="0"/>
      <w:numFmt w:val="bullet"/>
      <w:lvlText w:val="•"/>
      <w:lvlJc w:val="left"/>
      <w:pPr>
        <w:ind w:left="6609" w:hanging="285"/>
      </w:pPr>
      <w:rPr>
        <w:rFonts w:hint="default"/>
        <w:lang w:val="es-ES" w:eastAsia="es-ES" w:bidi="es-ES"/>
      </w:rPr>
    </w:lvl>
  </w:abstractNum>
  <w:abstractNum w:abstractNumId="293">
    <w:multiLevelType w:val="hybridMultilevel"/>
    <w:lvl w:ilvl="0">
      <w:start w:val="1"/>
      <w:numFmt w:val="upperRoman"/>
      <w:lvlText w:val="%1."/>
      <w:lvlJc w:val="left"/>
      <w:pPr>
        <w:ind w:left="151" w:hanging="210"/>
        <w:jc w:val="left"/>
      </w:pPr>
      <w:rPr>
        <w:rFonts w:hint="default" w:ascii="Arial" w:hAnsi="Arial" w:eastAsia="Arial" w:cs="Arial"/>
        <w:w w:val="102"/>
        <w:sz w:val="15"/>
        <w:szCs w:val="15"/>
        <w:lang w:val="es-ES" w:eastAsia="es-ES" w:bidi="es-ES"/>
      </w:rPr>
    </w:lvl>
    <w:lvl w:ilvl="1">
      <w:start w:val="0"/>
      <w:numFmt w:val="bullet"/>
      <w:lvlText w:val="•"/>
      <w:lvlJc w:val="left"/>
      <w:pPr>
        <w:ind w:left="919" w:hanging="210"/>
      </w:pPr>
      <w:rPr>
        <w:rFonts w:hint="default"/>
        <w:lang w:val="es-ES" w:eastAsia="es-ES" w:bidi="es-ES"/>
      </w:rPr>
    </w:lvl>
    <w:lvl w:ilvl="2">
      <w:start w:val="0"/>
      <w:numFmt w:val="bullet"/>
      <w:lvlText w:val="•"/>
      <w:lvlJc w:val="left"/>
      <w:pPr>
        <w:ind w:left="1678" w:hanging="210"/>
      </w:pPr>
      <w:rPr>
        <w:rFonts w:hint="default"/>
        <w:lang w:val="es-ES" w:eastAsia="es-ES" w:bidi="es-ES"/>
      </w:rPr>
    </w:lvl>
    <w:lvl w:ilvl="3">
      <w:start w:val="0"/>
      <w:numFmt w:val="bullet"/>
      <w:lvlText w:val="•"/>
      <w:lvlJc w:val="left"/>
      <w:pPr>
        <w:ind w:left="2437" w:hanging="210"/>
      </w:pPr>
      <w:rPr>
        <w:rFonts w:hint="default"/>
        <w:lang w:val="es-ES" w:eastAsia="es-ES" w:bidi="es-ES"/>
      </w:rPr>
    </w:lvl>
    <w:lvl w:ilvl="4">
      <w:start w:val="0"/>
      <w:numFmt w:val="bullet"/>
      <w:lvlText w:val="•"/>
      <w:lvlJc w:val="left"/>
      <w:pPr>
        <w:ind w:left="3196" w:hanging="210"/>
      </w:pPr>
      <w:rPr>
        <w:rFonts w:hint="default"/>
        <w:lang w:val="es-ES" w:eastAsia="es-ES" w:bidi="es-ES"/>
      </w:rPr>
    </w:lvl>
    <w:lvl w:ilvl="5">
      <w:start w:val="0"/>
      <w:numFmt w:val="bullet"/>
      <w:lvlText w:val="•"/>
      <w:lvlJc w:val="left"/>
      <w:pPr>
        <w:ind w:left="3955" w:hanging="210"/>
      </w:pPr>
      <w:rPr>
        <w:rFonts w:hint="default"/>
        <w:lang w:val="es-ES" w:eastAsia="es-ES" w:bidi="es-ES"/>
      </w:rPr>
    </w:lvl>
    <w:lvl w:ilvl="6">
      <w:start w:val="0"/>
      <w:numFmt w:val="bullet"/>
      <w:lvlText w:val="•"/>
      <w:lvlJc w:val="left"/>
      <w:pPr>
        <w:ind w:left="4715" w:hanging="210"/>
      </w:pPr>
      <w:rPr>
        <w:rFonts w:hint="default"/>
        <w:lang w:val="es-ES" w:eastAsia="es-ES" w:bidi="es-ES"/>
      </w:rPr>
    </w:lvl>
    <w:lvl w:ilvl="7">
      <w:start w:val="0"/>
      <w:numFmt w:val="bullet"/>
      <w:lvlText w:val="•"/>
      <w:lvlJc w:val="left"/>
      <w:pPr>
        <w:ind w:left="5474" w:hanging="210"/>
      </w:pPr>
      <w:rPr>
        <w:rFonts w:hint="default"/>
        <w:lang w:val="es-ES" w:eastAsia="es-ES" w:bidi="es-ES"/>
      </w:rPr>
    </w:lvl>
    <w:lvl w:ilvl="8">
      <w:start w:val="0"/>
      <w:numFmt w:val="bullet"/>
      <w:lvlText w:val="•"/>
      <w:lvlJc w:val="left"/>
      <w:pPr>
        <w:ind w:left="6233" w:hanging="210"/>
      </w:pPr>
      <w:rPr>
        <w:rFonts w:hint="default"/>
        <w:lang w:val="es-ES" w:eastAsia="es-ES" w:bidi="es-ES"/>
      </w:rPr>
    </w:lvl>
  </w:abstractNum>
  <w:abstractNum w:abstractNumId="292">
    <w:multiLevelType w:val="hybridMultilevel"/>
    <w:lvl w:ilvl="0">
      <w:start w:val="1"/>
      <w:numFmt w:val="upperRoman"/>
      <w:lvlText w:val="%1."/>
      <w:lvlJc w:val="left"/>
      <w:pPr>
        <w:ind w:left="151" w:hanging="185"/>
        <w:jc w:val="left"/>
      </w:pPr>
      <w:rPr>
        <w:rFonts w:hint="default" w:ascii="Arial" w:hAnsi="Arial" w:eastAsia="Arial" w:cs="Arial"/>
        <w:w w:val="102"/>
        <w:sz w:val="15"/>
        <w:szCs w:val="15"/>
        <w:lang w:val="es-ES" w:eastAsia="es-ES" w:bidi="es-ES"/>
      </w:rPr>
    </w:lvl>
    <w:lvl w:ilvl="1">
      <w:start w:val="0"/>
      <w:numFmt w:val="bullet"/>
      <w:lvlText w:val="•"/>
      <w:lvlJc w:val="left"/>
      <w:pPr>
        <w:ind w:left="966" w:hanging="185"/>
      </w:pPr>
      <w:rPr>
        <w:rFonts w:hint="default"/>
        <w:lang w:val="es-ES" w:eastAsia="es-ES" w:bidi="es-ES"/>
      </w:rPr>
    </w:lvl>
    <w:lvl w:ilvl="2">
      <w:start w:val="0"/>
      <w:numFmt w:val="bullet"/>
      <w:lvlText w:val="•"/>
      <w:lvlJc w:val="left"/>
      <w:pPr>
        <w:ind w:left="1772" w:hanging="185"/>
      </w:pPr>
      <w:rPr>
        <w:rFonts w:hint="default"/>
        <w:lang w:val="es-ES" w:eastAsia="es-ES" w:bidi="es-ES"/>
      </w:rPr>
    </w:lvl>
    <w:lvl w:ilvl="3">
      <w:start w:val="0"/>
      <w:numFmt w:val="bullet"/>
      <w:lvlText w:val="•"/>
      <w:lvlJc w:val="left"/>
      <w:pPr>
        <w:ind w:left="2578" w:hanging="185"/>
      </w:pPr>
      <w:rPr>
        <w:rFonts w:hint="default"/>
        <w:lang w:val="es-ES" w:eastAsia="es-ES" w:bidi="es-ES"/>
      </w:rPr>
    </w:lvl>
    <w:lvl w:ilvl="4">
      <w:start w:val="0"/>
      <w:numFmt w:val="bullet"/>
      <w:lvlText w:val="•"/>
      <w:lvlJc w:val="left"/>
      <w:pPr>
        <w:ind w:left="3384" w:hanging="185"/>
      </w:pPr>
      <w:rPr>
        <w:rFonts w:hint="default"/>
        <w:lang w:val="es-ES" w:eastAsia="es-ES" w:bidi="es-ES"/>
      </w:rPr>
    </w:lvl>
    <w:lvl w:ilvl="5">
      <w:start w:val="0"/>
      <w:numFmt w:val="bullet"/>
      <w:lvlText w:val="•"/>
      <w:lvlJc w:val="left"/>
      <w:pPr>
        <w:ind w:left="4190" w:hanging="185"/>
      </w:pPr>
      <w:rPr>
        <w:rFonts w:hint="default"/>
        <w:lang w:val="es-ES" w:eastAsia="es-ES" w:bidi="es-ES"/>
      </w:rPr>
    </w:lvl>
    <w:lvl w:ilvl="6">
      <w:start w:val="0"/>
      <w:numFmt w:val="bullet"/>
      <w:lvlText w:val="•"/>
      <w:lvlJc w:val="left"/>
      <w:pPr>
        <w:ind w:left="4997" w:hanging="185"/>
      </w:pPr>
      <w:rPr>
        <w:rFonts w:hint="default"/>
        <w:lang w:val="es-ES" w:eastAsia="es-ES" w:bidi="es-ES"/>
      </w:rPr>
    </w:lvl>
    <w:lvl w:ilvl="7">
      <w:start w:val="0"/>
      <w:numFmt w:val="bullet"/>
      <w:lvlText w:val="•"/>
      <w:lvlJc w:val="left"/>
      <w:pPr>
        <w:ind w:left="5803" w:hanging="185"/>
      </w:pPr>
      <w:rPr>
        <w:rFonts w:hint="default"/>
        <w:lang w:val="es-ES" w:eastAsia="es-ES" w:bidi="es-ES"/>
      </w:rPr>
    </w:lvl>
    <w:lvl w:ilvl="8">
      <w:start w:val="0"/>
      <w:numFmt w:val="bullet"/>
      <w:lvlText w:val="•"/>
      <w:lvlJc w:val="left"/>
      <w:pPr>
        <w:ind w:left="6609" w:hanging="185"/>
      </w:pPr>
      <w:rPr>
        <w:rFonts w:hint="default"/>
        <w:lang w:val="es-ES" w:eastAsia="es-ES" w:bidi="es-ES"/>
      </w:rPr>
    </w:lvl>
  </w:abstractNum>
  <w:abstractNum w:abstractNumId="291">
    <w:multiLevelType w:val="hybridMultilevel"/>
    <w:lvl w:ilvl="0">
      <w:start w:val="3"/>
      <w:numFmt w:val="upperRoman"/>
      <w:lvlText w:val="%1."/>
      <w:lvlJc w:val="left"/>
      <w:pPr>
        <w:ind w:left="151" w:hanging="228"/>
        <w:jc w:val="left"/>
      </w:pPr>
      <w:rPr>
        <w:rFonts w:hint="default" w:ascii="Arial" w:hAnsi="Arial" w:eastAsia="Arial" w:cs="Arial"/>
        <w:w w:val="102"/>
        <w:sz w:val="15"/>
        <w:szCs w:val="15"/>
        <w:lang w:val="es-ES" w:eastAsia="es-ES" w:bidi="es-ES"/>
      </w:rPr>
    </w:lvl>
    <w:lvl w:ilvl="1">
      <w:start w:val="0"/>
      <w:numFmt w:val="bullet"/>
      <w:lvlText w:val="•"/>
      <w:lvlJc w:val="left"/>
      <w:pPr>
        <w:ind w:left="966" w:hanging="228"/>
      </w:pPr>
      <w:rPr>
        <w:rFonts w:hint="default"/>
        <w:lang w:val="es-ES" w:eastAsia="es-ES" w:bidi="es-ES"/>
      </w:rPr>
    </w:lvl>
    <w:lvl w:ilvl="2">
      <w:start w:val="0"/>
      <w:numFmt w:val="bullet"/>
      <w:lvlText w:val="•"/>
      <w:lvlJc w:val="left"/>
      <w:pPr>
        <w:ind w:left="1772" w:hanging="228"/>
      </w:pPr>
      <w:rPr>
        <w:rFonts w:hint="default"/>
        <w:lang w:val="es-ES" w:eastAsia="es-ES" w:bidi="es-ES"/>
      </w:rPr>
    </w:lvl>
    <w:lvl w:ilvl="3">
      <w:start w:val="0"/>
      <w:numFmt w:val="bullet"/>
      <w:lvlText w:val="•"/>
      <w:lvlJc w:val="left"/>
      <w:pPr>
        <w:ind w:left="2578" w:hanging="228"/>
      </w:pPr>
      <w:rPr>
        <w:rFonts w:hint="default"/>
        <w:lang w:val="es-ES" w:eastAsia="es-ES" w:bidi="es-ES"/>
      </w:rPr>
    </w:lvl>
    <w:lvl w:ilvl="4">
      <w:start w:val="0"/>
      <w:numFmt w:val="bullet"/>
      <w:lvlText w:val="•"/>
      <w:lvlJc w:val="left"/>
      <w:pPr>
        <w:ind w:left="3384" w:hanging="228"/>
      </w:pPr>
      <w:rPr>
        <w:rFonts w:hint="default"/>
        <w:lang w:val="es-ES" w:eastAsia="es-ES" w:bidi="es-ES"/>
      </w:rPr>
    </w:lvl>
    <w:lvl w:ilvl="5">
      <w:start w:val="0"/>
      <w:numFmt w:val="bullet"/>
      <w:lvlText w:val="•"/>
      <w:lvlJc w:val="left"/>
      <w:pPr>
        <w:ind w:left="4190" w:hanging="228"/>
      </w:pPr>
      <w:rPr>
        <w:rFonts w:hint="default"/>
        <w:lang w:val="es-ES" w:eastAsia="es-ES" w:bidi="es-ES"/>
      </w:rPr>
    </w:lvl>
    <w:lvl w:ilvl="6">
      <w:start w:val="0"/>
      <w:numFmt w:val="bullet"/>
      <w:lvlText w:val="•"/>
      <w:lvlJc w:val="left"/>
      <w:pPr>
        <w:ind w:left="4997" w:hanging="228"/>
      </w:pPr>
      <w:rPr>
        <w:rFonts w:hint="default"/>
        <w:lang w:val="es-ES" w:eastAsia="es-ES" w:bidi="es-ES"/>
      </w:rPr>
    </w:lvl>
    <w:lvl w:ilvl="7">
      <w:start w:val="0"/>
      <w:numFmt w:val="bullet"/>
      <w:lvlText w:val="•"/>
      <w:lvlJc w:val="left"/>
      <w:pPr>
        <w:ind w:left="5803" w:hanging="228"/>
      </w:pPr>
      <w:rPr>
        <w:rFonts w:hint="default"/>
        <w:lang w:val="es-ES" w:eastAsia="es-ES" w:bidi="es-ES"/>
      </w:rPr>
    </w:lvl>
    <w:lvl w:ilvl="8">
      <w:start w:val="0"/>
      <w:numFmt w:val="bullet"/>
      <w:lvlText w:val="•"/>
      <w:lvlJc w:val="left"/>
      <w:pPr>
        <w:ind w:left="6609" w:hanging="228"/>
      </w:pPr>
      <w:rPr>
        <w:rFonts w:hint="default"/>
        <w:lang w:val="es-ES" w:eastAsia="es-ES" w:bidi="es-ES"/>
      </w:rPr>
    </w:lvl>
  </w:abstractNum>
  <w:abstractNum w:abstractNumId="290">
    <w:multiLevelType w:val="hybridMultilevel"/>
    <w:lvl w:ilvl="0">
      <w:start w:val="1"/>
      <w:numFmt w:val="upperRoman"/>
      <w:lvlText w:val="%1."/>
      <w:lvlJc w:val="left"/>
      <w:pPr>
        <w:ind w:left="151" w:hanging="129"/>
        <w:jc w:val="left"/>
      </w:pPr>
      <w:rPr>
        <w:rFonts w:hint="default" w:ascii="Arial" w:hAnsi="Arial" w:eastAsia="Arial" w:cs="Arial"/>
        <w:w w:val="102"/>
        <w:sz w:val="15"/>
        <w:szCs w:val="15"/>
        <w:lang w:val="es-ES" w:eastAsia="es-ES" w:bidi="es-ES"/>
      </w:rPr>
    </w:lvl>
    <w:lvl w:ilvl="1">
      <w:start w:val="0"/>
      <w:numFmt w:val="bullet"/>
      <w:lvlText w:val="•"/>
      <w:lvlJc w:val="left"/>
      <w:pPr>
        <w:ind w:left="966" w:hanging="129"/>
      </w:pPr>
      <w:rPr>
        <w:rFonts w:hint="default"/>
        <w:lang w:val="es-ES" w:eastAsia="es-ES" w:bidi="es-ES"/>
      </w:rPr>
    </w:lvl>
    <w:lvl w:ilvl="2">
      <w:start w:val="0"/>
      <w:numFmt w:val="bullet"/>
      <w:lvlText w:val="•"/>
      <w:lvlJc w:val="left"/>
      <w:pPr>
        <w:ind w:left="1772" w:hanging="129"/>
      </w:pPr>
      <w:rPr>
        <w:rFonts w:hint="default"/>
        <w:lang w:val="es-ES" w:eastAsia="es-ES" w:bidi="es-ES"/>
      </w:rPr>
    </w:lvl>
    <w:lvl w:ilvl="3">
      <w:start w:val="0"/>
      <w:numFmt w:val="bullet"/>
      <w:lvlText w:val="•"/>
      <w:lvlJc w:val="left"/>
      <w:pPr>
        <w:ind w:left="2578" w:hanging="129"/>
      </w:pPr>
      <w:rPr>
        <w:rFonts w:hint="default"/>
        <w:lang w:val="es-ES" w:eastAsia="es-ES" w:bidi="es-ES"/>
      </w:rPr>
    </w:lvl>
    <w:lvl w:ilvl="4">
      <w:start w:val="0"/>
      <w:numFmt w:val="bullet"/>
      <w:lvlText w:val="•"/>
      <w:lvlJc w:val="left"/>
      <w:pPr>
        <w:ind w:left="3384" w:hanging="129"/>
      </w:pPr>
      <w:rPr>
        <w:rFonts w:hint="default"/>
        <w:lang w:val="es-ES" w:eastAsia="es-ES" w:bidi="es-ES"/>
      </w:rPr>
    </w:lvl>
    <w:lvl w:ilvl="5">
      <w:start w:val="0"/>
      <w:numFmt w:val="bullet"/>
      <w:lvlText w:val="•"/>
      <w:lvlJc w:val="left"/>
      <w:pPr>
        <w:ind w:left="4190" w:hanging="129"/>
      </w:pPr>
      <w:rPr>
        <w:rFonts w:hint="default"/>
        <w:lang w:val="es-ES" w:eastAsia="es-ES" w:bidi="es-ES"/>
      </w:rPr>
    </w:lvl>
    <w:lvl w:ilvl="6">
      <w:start w:val="0"/>
      <w:numFmt w:val="bullet"/>
      <w:lvlText w:val="•"/>
      <w:lvlJc w:val="left"/>
      <w:pPr>
        <w:ind w:left="4996" w:hanging="129"/>
      </w:pPr>
      <w:rPr>
        <w:rFonts w:hint="default"/>
        <w:lang w:val="es-ES" w:eastAsia="es-ES" w:bidi="es-ES"/>
      </w:rPr>
    </w:lvl>
    <w:lvl w:ilvl="7">
      <w:start w:val="0"/>
      <w:numFmt w:val="bullet"/>
      <w:lvlText w:val="•"/>
      <w:lvlJc w:val="left"/>
      <w:pPr>
        <w:ind w:left="5803" w:hanging="129"/>
      </w:pPr>
      <w:rPr>
        <w:rFonts w:hint="default"/>
        <w:lang w:val="es-ES" w:eastAsia="es-ES" w:bidi="es-ES"/>
      </w:rPr>
    </w:lvl>
    <w:lvl w:ilvl="8">
      <w:start w:val="0"/>
      <w:numFmt w:val="bullet"/>
      <w:lvlText w:val="•"/>
      <w:lvlJc w:val="left"/>
      <w:pPr>
        <w:ind w:left="6609" w:hanging="129"/>
      </w:pPr>
      <w:rPr>
        <w:rFonts w:hint="default"/>
        <w:lang w:val="es-ES" w:eastAsia="es-ES" w:bidi="es-ES"/>
      </w:rPr>
    </w:lvl>
  </w:abstractNum>
  <w:abstractNum w:abstractNumId="288">
    <w:multiLevelType w:val="hybridMultilevel"/>
    <w:lvl w:ilvl="0">
      <w:start w:val="6"/>
      <w:numFmt w:val="upperRoman"/>
      <w:lvlText w:val="%1."/>
      <w:lvlJc w:val="left"/>
      <w:pPr>
        <w:ind w:left="150" w:hanging="237"/>
        <w:jc w:val="left"/>
      </w:pPr>
      <w:rPr>
        <w:rFonts w:hint="default" w:ascii="Arial" w:hAnsi="Arial" w:eastAsia="Arial" w:cs="Arial"/>
        <w:w w:val="102"/>
        <w:sz w:val="15"/>
        <w:szCs w:val="15"/>
        <w:lang w:val="es-ES" w:eastAsia="es-ES" w:bidi="es-ES"/>
      </w:rPr>
    </w:lvl>
    <w:lvl w:ilvl="1">
      <w:start w:val="0"/>
      <w:numFmt w:val="bullet"/>
      <w:lvlText w:val="•"/>
      <w:lvlJc w:val="left"/>
      <w:pPr>
        <w:ind w:left="3240" w:hanging="237"/>
      </w:pPr>
      <w:rPr>
        <w:rFonts w:hint="default"/>
        <w:lang w:val="es-ES" w:eastAsia="es-ES" w:bidi="es-ES"/>
      </w:rPr>
    </w:lvl>
    <w:lvl w:ilvl="2">
      <w:start w:val="0"/>
      <w:numFmt w:val="bullet"/>
      <w:lvlText w:val="•"/>
      <w:lvlJc w:val="left"/>
      <w:pPr>
        <w:ind w:left="3793" w:hanging="237"/>
      </w:pPr>
      <w:rPr>
        <w:rFonts w:hint="default"/>
        <w:lang w:val="es-ES" w:eastAsia="es-ES" w:bidi="es-ES"/>
      </w:rPr>
    </w:lvl>
    <w:lvl w:ilvl="3">
      <w:start w:val="0"/>
      <w:numFmt w:val="bullet"/>
      <w:lvlText w:val="•"/>
      <w:lvlJc w:val="left"/>
      <w:pPr>
        <w:ind w:left="4347" w:hanging="237"/>
      </w:pPr>
      <w:rPr>
        <w:rFonts w:hint="default"/>
        <w:lang w:val="es-ES" w:eastAsia="es-ES" w:bidi="es-ES"/>
      </w:rPr>
    </w:lvl>
    <w:lvl w:ilvl="4">
      <w:start w:val="0"/>
      <w:numFmt w:val="bullet"/>
      <w:lvlText w:val="•"/>
      <w:lvlJc w:val="left"/>
      <w:pPr>
        <w:ind w:left="4900" w:hanging="237"/>
      </w:pPr>
      <w:rPr>
        <w:rFonts w:hint="default"/>
        <w:lang w:val="es-ES" w:eastAsia="es-ES" w:bidi="es-ES"/>
      </w:rPr>
    </w:lvl>
    <w:lvl w:ilvl="5">
      <w:start w:val="0"/>
      <w:numFmt w:val="bullet"/>
      <w:lvlText w:val="•"/>
      <w:lvlJc w:val="left"/>
      <w:pPr>
        <w:ind w:left="5454" w:hanging="237"/>
      </w:pPr>
      <w:rPr>
        <w:rFonts w:hint="default"/>
        <w:lang w:val="es-ES" w:eastAsia="es-ES" w:bidi="es-ES"/>
      </w:rPr>
    </w:lvl>
    <w:lvl w:ilvl="6">
      <w:start w:val="0"/>
      <w:numFmt w:val="bullet"/>
      <w:lvlText w:val="•"/>
      <w:lvlJc w:val="left"/>
      <w:pPr>
        <w:ind w:left="6007" w:hanging="237"/>
      </w:pPr>
      <w:rPr>
        <w:rFonts w:hint="default"/>
        <w:lang w:val="es-ES" w:eastAsia="es-ES" w:bidi="es-ES"/>
      </w:rPr>
    </w:lvl>
    <w:lvl w:ilvl="7">
      <w:start w:val="0"/>
      <w:numFmt w:val="bullet"/>
      <w:lvlText w:val="•"/>
      <w:lvlJc w:val="left"/>
      <w:pPr>
        <w:ind w:left="6561" w:hanging="237"/>
      </w:pPr>
      <w:rPr>
        <w:rFonts w:hint="default"/>
        <w:lang w:val="es-ES" w:eastAsia="es-ES" w:bidi="es-ES"/>
      </w:rPr>
    </w:lvl>
    <w:lvl w:ilvl="8">
      <w:start w:val="0"/>
      <w:numFmt w:val="bullet"/>
      <w:lvlText w:val="•"/>
      <w:lvlJc w:val="left"/>
      <w:pPr>
        <w:ind w:left="7114" w:hanging="237"/>
      </w:pPr>
      <w:rPr>
        <w:rFonts w:hint="default"/>
        <w:lang w:val="es-ES" w:eastAsia="es-ES" w:bidi="es-ES"/>
      </w:rPr>
    </w:lvl>
  </w:abstractNum>
  <w:abstractNum w:abstractNumId="287">
    <w:multiLevelType w:val="hybridMultilevel"/>
    <w:lvl w:ilvl="0">
      <w:start w:val="1"/>
      <w:numFmt w:val="lowerLetter"/>
      <w:lvlText w:val="%1)"/>
      <w:lvlJc w:val="left"/>
      <w:pPr>
        <w:ind w:left="646" w:hanging="496"/>
        <w:jc w:val="left"/>
      </w:pPr>
      <w:rPr>
        <w:rFonts w:hint="default" w:ascii="Arial" w:hAnsi="Arial" w:eastAsia="Arial" w:cs="Arial"/>
        <w:w w:val="102"/>
        <w:sz w:val="15"/>
        <w:szCs w:val="15"/>
        <w:lang w:val="es-ES" w:eastAsia="es-ES" w:bidi="es-ES"/>
      </w:rPr>
    </w:lvl>
    <w:lvl w:ilvl="1">
      <w:start w:val="0"/>
      <w:numFmt w:val="bullet"/>
      <w:lvlText w:val="•"/>
      <w:lvlJc w:val="left"/>
      <w:pPr>
        <w:ind w:left="1123" w:hanging="496"/>
      </w:pPr>
      <w:rPr>
        <w:rFonts w:hint="default"/>
        <w:lang w:val="es-ES" w:eastAsia="es-ES" w:bidi="es-ES"/>
      </w:rPr>
    </w:lvl>
    <w:lvl w:ilvl="2">
      <w:start w:val="0"/>
      <w:numFmt w:val="bullet"/>
      <w:lvlText w:val="•"/>
      <w:lvlJc w:val="left"/>
      <w:pPr>
        <w:ind w:left="1606" w:hanging="496"/>
      </w:pPr>
      <w:rPr>
        <w:rFonts w:hint="default"/>
        <w:lang w:val="es-ES" w:eastAsia="es-ES" w:bidi="es-ES"/>
      </w:rPr>
    </w:lvl>
    <w:lvl w:ilvl="3">
      <w:start w:val="0"/>
      <w:numFmt w:val="bullet"/>
      <w:lvlText w:val="•"/>
      <w:lvlJc w:val="left"/>
      <w:pPr>
        <w:ind w:left="2089" w:hanging="496"/>
      </w:pPr>
      <w:rPr>
        <w:rFonts w:hint="default"/>
        <w:lang w:val="es-ES" w:eastAsia="es-ES" w:bidi="es-ES"/>
      </w:rPr>
    </w:lvl>
    <w:lvl w:ilvl="4">
      <w:start w:val="0"/>
      <w:numFmt w:val="bullet"/>
      <w:lvlText w:val="•"/>
      <w:lvlJc w:val="left"/>
      <w:pPr>
        <w:ind w:left="2572" w:hanging="496"/>
      </w:pPr>
      <w:rPr>
        <w:rFonts w:hint="default"/>
        <w:lang w:val="es-ES" w:eastAsia="es-ES" w:bidi="es-ES"/>
      </w:rPr>
    </w:lvl>
    <w:lvl w:ilvl="5">
      <w:start w:val="0"/>
      <w:numFmt w:val="bullet"/>
      <w:lvlText w:val="•"/>
      <w:lvlJc w:val="left"/>
      <w:pPr>
        <w:ind w:left="3056" w:hanging="496"/>
      </w:pPr>
      <w:rPr>
        <w:rFonts w:hint="default"/>
        <w:lang w:val="es-ES" w:eastAsia="es-ES" w:bidi="es-ES"/>
      </w:rPr>
    </w:lvl>
    <w:lvl w:ilvl="6">
      <w:start w:val="0"/>
      <w:numFmt w:val="bullet"/>
      <w:lvlText w:val="•"/>
      <w:lvlJc w:val="left"/>
      <w:pPr>
        <w:ind w:left="3539" w:hanging="496"/>
      </w:pPr>
      <w:rPr>
        <w:rFonts w:hint="default"/>
        <w:lang w:val="es-ES" w:eastAsia="es-ES" w:bidi="es-ES"/>
      </w:rPr>
    </w:lvl>
    <w:lvl w:ilvl="7">
      <w:start w:val="0"/>
      <w:numFmt w:val="bullet"/>
      <w:lvlText w:val="•"/>
      <w:lvlJc w:val="left"/>
      <w:pPr>
        <w:ind w:left="4022" w:hanging="496"/>
      </w:pPr>
      <w:rPr>
        <w:rFonts w:hint="default"/>
        <w:lang w:val="es-ES" w:eastAsia="es-ES" w:bidi="es-ES"/>
      </w:rPr>
    </w:lvl>
    <w:lvl w:ilvl="8">
      <w:start w:val="0"/>
      <w:numFmt w:val="bullet"/>
      <w:lvlText w:val="•"/>
      <w:lvlJc w:val="left"/>
      <w:pPr>
        <w:ind w:left="4505" w:hanging="496"/>
      </w:pPr>
      <w:rPr>
        <w:rFonts w:hint="default"/>
        <w:lang w:val="es-ES" w:eastAsia="es-ES" w:bidi="es-ES"/>
      </w:rPr>
    </w:lvl>
  </w:abstractNum>
  <w:abstractNum w:abstractNumId="286">
    <w:multiLevelType w:val="hybridMultilevel"/>
    <w:lvl w:ilvl="0">
      <w:start w:val="1"/>
      <w:numFmt w:val="lowerLetter"/>
      <w:lvlText w:val="%1)"/>
      <w:lvlJc w:val="left"/>
      <w:pPr>
        <w:ind w:left="150" w:hanging="496"/>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6"/>
      </w:pPr>
      <w:rPr>
        <w:rFonts w:hint="default"/>
        <w:lang w:val="es-ES" w:eastAsia="es-ES" w:bidi="es-ES"/>
      </w:rPr>
    </w:lvl>
    <w:lvl w:ilvl="2">
      <w:start w:val="0"/>
      <w:numFmt w:val="bullet"/>
      <w:lvlText w:val="•"/>
      <w:lvlJc w:val="left"/>
      <w:pPr>
        <w:ind w:left="1772" w:hanging="496"/>
      </w:pPr>
      <w:rPr>
        <w:rFonts w:hint="default"/>
        <w:lang w:val="es-ES" w:eastAsia="es-ES" w:bidi="es-ES"/>
      </w:rPr>
    </w:lvl>
    <w:lvl w:ilvl="3">
      <w:start w:val="0"/>
      <w:numFmt w:val="bullet"/>
      <w:lvlText w:val="•"/>
      <w:lvlJc w:val="left"/>
      <w:pPr>
        <w:ind w:left="2578" w:hanging="496"/>
      </w:pPr>
      <w:rPr>
        <w:rFonts w:hint="default"/>
        <w:lang w:val="es-ES" w:eastAsia="es-ES" w:bidi="es-ES"/>
      </w:rPr>
    </w:lvl>
    <w:lvl w:ilvl="4">
      <w:start w:val="0"/>
      <w:numFmt w:val="bullet"/>
      <w:lvlText w:val="•"/>
      <w:lvlJc w:val="left"/>
      <w:pPr>
        <w:ind w:left="3384" w:hanging="496"/>
      </w:pPr>
      <w:rPr>
        <w:rFonts w:hint="default"/>
        <w:lang w:val="es-ES" w:eastAsia="es-ES" w:bidi="es-ES"/>
      </w:rPr>
    </w:lvl>
    <w:lvl w:ilvl="5">
      <w:start w:val="0"/>
      <w:numFmt w:val="bullet"/>
      <w:lvlText w:val="•"/>
      <w:lvlJc w:val="left"/>
      <w:pPr>
        <w:ind w:left="4190" w:hanging="496"/>
      </w:pPr>
      <w:rPr>
        <w:rFonts w:hint="default"/>
        <w:lang w:val="es-ES" w:eastAsia="es-ES" w:bidi="es-ES"/>
      </w:rPr>
    </w:lvl>
    <w:lvl w:ilvl="6">
      <w:start w:val="0"/>
      <w:numFmt w:val="bullet"/>
      <w:lvlText w:val="•"/>
      <w:lvlJc w:val="left"/>
      <w:pPr>
        <w:ind w:left="4997" w:hanging="496"/>
      </w:pPr>
      <w:rPr>
        <w:rFonts w:hint="default"/>
        <w:lang w:val="es-ES" w:eastAsia="es-ES" w:bidi="es-ES"/>
      </w:rPr>
    </w:lvl>
    <w:lvl w:ilvl="7">
      <w:start w:val="0"/>
      <w:numFmt w:val="bullet"/>
      <w:lvlText w:val="•"/>
      <w:lvlJc w:val="left"/>
      <w:pPr>
        <w:ind w:left="5803" w:hanging="496"/>
      </w:pPr>
      <w:rPr>
        <w:rFonts w:hint="default"/>
        <w:lang w:val="es-ES" w:eastAsia="es-ES" w:bidi="es-ES"/>
      </w:rPr>
    </w:lvl>
    <w:lvl w:ilvl="8">
      <w:start w:val="0"/>
      <w:numFmt w:val="bullet"/>
      <w:lvlText w:val="•"/>
      <w:lvlJc w:val="left"/>
      <w:pPr>
        <w:ind w:left="6609" w:hanging="496"/>
      </w:pPr>
      <w:rPr>
        <w:rFonts w:hint="default"/>
        <w:lang w:val="es-ES" w:eastAsia="es-ES" w:bidi="es-ES"/>
      </w:rPr>
    </w:lvl>
  </w:abstractNum>
  <w:abstractNum w:abstractNumId="285">
    <w:multiLevelType w:val="hybridMultilevel"/>
    <w:lvl w:ilvl="0">
      <w:start w:val="1"/>
      <w:numFmt w:val="lowerLetter"/>
      <w:lvlText w:val="%1)"/>
      <w:lvlJc w:val="left"/>
      <w:pPr>
        <w:ind w:left="150" w:hanging="496"/>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6"/>
      </w:pPr>
      <w:rPr>
        <w:rFonts w:hint="default"/>
        <w:lang w:val="es-ES" w:eastAsia="es-ES" w:bidi="es-ES"/>
      </w:rPr>
    </w:lvl>
    <w:lvl w:ilvl="2">
      <w:start w:val="0"/>
      <w:numFmt w:val="bullet"/>
      <w:lvlText w:val="•"/>
      <w:lvlJc w:val="left"/>
      <w:pPr>
        <w:ind w:left="1772" w:hanging="496"/>
      </w:pPr>
      <w:rPr>
        <w:rFonts w:hint="default"/>
        <w:lang w:val="es-ES" w:eastAsia="es-ES" w:bidi="es-ES"/>
      </w:rPr>
    </w:lvl>
    <w:lvl w:ilvl="3">
      <w:start w:val="0"/>
      <w:numFmt w:val="bullet"/>
      <w:lvlText w:val="•"/>
      <w:lvlJc w:val="left"/>
      <w:pPr>
        <w:ind w:left="2578" w:hanging="496"/>
      </w:pPr>
      <w:rPr>
        <w:rFonts w:hint="default"/>
        <w:lang w:val="es-ES" w:eastAsia="es-ES" w:bidi="es-ES"/>
      </w:rPr>
    </w:lvl>
    <w:lvl w:ilvl="4">
      <w:start w:val="0"/>
      <w:numFmt w:val="bullet"/>
      <w:lvlText w:val="•"/>
      <w:lvlJc w:val="left"/>
      <w:pPr>
        <w:ind w:left="3384" w:hanging="496"/>
      </w:pPr>
      <w:rPr>
        <w:rFonts w:hint="default"/>
        <w:lang w:val="es-ES" w:eastAsia="es-ES" w:bidi="es-ES"/>
      </w:rPr>
    </w:lvl>
    <w:lvl w:ilvl="5">
      <w:start w:val="0"/>
      <w:numFmt w:val="bullet"/>
      <w:lvlText w:val="•"/>
      <w:lvlJc w:val="left"/>
      <w:pPr>
        <w:ind w:left="4190" w:hanging="496"/>
      </w:pPr>
      <w:rPr>
        <w:rFonts w:hint="default"/>
        <w:lang w:val="es-ES" w:eastAsia="es-ES" w:bidi="es-ES"/>
      </w:rPr>
    </w:lvl>
    <w:lvl w:ilvl="6">
      <w:start w:val="0"/>
      <w:numFmt w:val="bullet"/>
      <w:lvlText w:val="•"/>
      <w:lvlJc w:val="left"/>
      <w:pPr>
        <w:ind w:left="4997" w:hanging="496"/>
      </w:pPr>
      <w:rPr>
        <w:rFonts w:hint="default"/>
        <w:lang w:val="es-ES" w:eastAsia="es-ES" w:bidi="es-ES"/>
      </w:rPr>
    </w:lvl>
    <w:lvl w:ilvl="7">
      <w:start w:val="0"/>
      <w:numFmt w:val="bullet"/>
      <w:lvlText w:val="•"/>
      <w:lvlJc w:val="left"/>
      <w:pPr>
        <w:ind w:left="5803" w:hanging="496"/>
      </w:pPr>
      <w:rPr>
        <w:rFonts w:hint="default"/>
        <w:lang w:val="es-ES" w:eastAsia="es-ES" w:bidi="es-ES"/>
      </w:rPr>
    </w:lvl>
    <w:lvl w:ilvl="8">
      <w:start w:val="0"/>
      <w:numFmt w:val="bullet"/>
      <w:lvlText w:val="•"/>
      <w:lvlJc w:val="left"/>
      <w:pPr>
        <w:ind w:left="6609" w:hanging="496"/>
      </w:pPr>
      <w:rPr>
        <w:rFonts w:hint="default"/>
        <w:lang w:val="es-ES" w:eastAsia="es-ES" w:bidi="es-ES"/>
      </w:rPr>
    </w:lvl>
  </w:abstractNum>
  <w:abstractNum w:abstractNumId="284">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691" w:hanging="496"/>
      </w:pPr>
      <w:rPr>
        <w:rFonts w:hint="default"/>
        <w:lang w:val="es-ES" w:eastAsia="es-ES" w:bidi="es-ES"/>
      </w:rPr>
    </w:lvl>
    <w:lvl w:ilvl="2">
      <w:start w:val="0"/>
      <w:numFmt w:val="bullet"/>
      <w:lvlText w:val="•"/>
      <w:lvlJc w:val="left"/>
      <w:pPr>
        <w:ind w:left="1222" w:hanging="496"/>
      </w:pPr>
      <w:rPr>
        <w:rFonts w:hint="default"/>
        <w:lang w:val="es-ES" w:eastAsia="es-ES" w:bidi="es-ES"/>
      </w:rPr>
    </w:lvl>
    <w:lvl w:ilvl="3">
      <w:start w:val="0"/>
      <w:numFmt w:val="bullet"/>
      <w:lvlText w:val="•"/>
      <w:lvlJc w:val="left"/>
      <w:pPr>
        <w:ind w:left="1754" w:hanging="496"/>
      </w:pPr>
      <w:rPr>
        <w:rFonts w:hint="default"/>
        <w:lang w:val="es-ES" w:eastAsia="es-ES" w:bidi="es-ES"/>
      </w:rPr>
    </w:lvl>
    <w:lvl w:ilvl="4">
      <w:start w:val="0"/>
      <w:numFmt w:val="bullet"/>
      <w:lvlText w:val="•"/>
      <w:lvlJc w:val="left"/>
      <w:pPr>
        <w:ind w:left="2285" w:hanging="496"/>
      </w:pPr>
      <w:rPr>
        <w:rFonts w:hint="default"/>
        <w:lang w:val="es-ES" w:eastAsia="es-ES" w:bidi="es-ES"/>
      </w:rPr>
    </w:lvl>
    <w:lvl w:ilvl="5">
      <w:start w:val="0"/>
      <w:numFmt w:val="bullet"/>
      <w:lvlText w:val="•"/>
      <w:lvlJc w:val="left"/>
      <w:pPr>
        <w:ind w:left="2816" w:hanging="496"/>
      </w:pPr>
      <w:rPr>
        <w:rFonts w:hint="default"/>
        <w:lang w:val="es-ES" w:eastAsia="es-ES" w:bidi="es-ES"/>
      </w:rPr>
    </w:lvl>
    <w:lvl w:ilvl="6">
      <w:start w:val="0"/>
      <w:numFmt w:val="bullet"/>
      <w:lvlText w:val="•"/>
      <w:lvlJc w:val="left"/>
      <w:pPr>
        <w:ind w:left="3348" w:hanging="496"/>
      </w:pPr>
      <w:rPr>
        <w:rFonts w:hint="default"/>
        <w:lang w:val="es-ES" w:eastAsia="es-ES" w:bidi="es-ES"/>
      </w:rPr>
    </w:lvl>
    <w:lvl w:ilvl="7">
      <w:start w:val="0"/>
      <w:numFmt w:val="bullet"/>
      <w:lvlText w:val="•"/>
      <w:lvlJc w:val="left"/>
      <w:pPr>
        <w:ind w:left="3879" w:hanging="496"/>
      </w:pPr>
      <w:rPr>
        <w:rFonts w:hint="default"/>
        <w:lang w:val="es-ES" w:eastAsia="es-ES" w:bidi="es-ES"/>
      </w:rPr>
    </w:lvl>
    <w:lvl w:ilvl="8">
      <w:start w:val="0"/>
      <w:numFmt w:val="bullet"/>
      <w:lvlText w:val="•"/>
      <w:lvlJc w:val="left"/>
      <w:pPr>
        <w:ind w:left="4410" w:hanging="496"/>
      </w:pPr>
      <w:rPr>
        <w:rFonts w:hint="default"/>
        <w:lang w:val="es-ES" w:eastAsia="es-ES" w:bidi="es-ES"/>
      </w:rPr>
    </w:lvl>
  </w:abstractNum>
  <w:abstractNum w:abstractNumId="283">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691" w:hanging="496"/>
      </w:pPr>
      <w:rPr>
        <w:rFonts w:hint="default"/>
        <w:lang w:val="es-ES" w:eastAsia="es-ES" w:bidi="es-ES"/>
      </w:rPr>
    </w:lvl>
    <w:lvl w:ilvl="2">
      <w:start w:val="0"/>
      <w:numFmt w:val="bullet"/>
      <w:lvlText w:val="•"/>
      <w:lvlJc w:val="left"/>
      <w:pPr>
        <w:ind w:left="1222" w:hanging="496"/>
      </w:pPr>
      <w:rPr>
        <w:rFonts w:hint="default"/>
        <w:lang w:val="es-ES" w:eastAsia="es-ES" w:bidi="es-ES"/>
      </w:rPr>
    </w:lvl>
    <w:lvl w:ilvl="3">
      <w:start w:val="0"/>
      <w:numFmt w:val="bullet"/>
      <w:lvlText w:val="•"/>
      <w:lvlJc w:val="left"/>
      <w:pPr>
        <w:ind w:left="1754" w:hanging="496"/>
      </w:pPr>
      <w:rPr>
        <w:rFonts w:hint="default"/>
        <w:lang w:val="es-ES" w:eastAsia="es-ES" w:bidi="es-ES"/>
      </w:rPr>
    </w:lvl>
    <w:lvl w:ilvl="4">
      <w:start w:val="0"/>
      <w:numFmt w:val="bullet"/>
      <w:lvlText w:val="•"/>
      <w:lvlJc w:val="left"/>
      <w:pPr>
        <w:ind w:left="2285" w:hanging="496"/>
      </w:pPr>
      <w:rPr>
        <w:rFonts w:hint="default"/>
        <w:lang w:val="es-ES" w:eastAsia="es-ES" w:bidi="es-ES"/>
      </w:rPr>
    </w:lvl>
    <w:lvl w:ilvl="5">
      <w:start w:val="0"/>
      <w:numFmt w:val="bullet"/>
      <w:lvlText w:val="•"/>
      <w:lvlJc w:val="left"/>
      <w:pPr>
        <w:ind w:left="2816" w:hanging="496"/>
      </w:pPr>
      <w:rPr>
        <w:rFonts w:hint="default"/>
        <w:lang w:val="es-ES" w:eastAsia="es-ES" w:bidi="es-ES"/>
      </w:rPr>
    </w:lvl>
    <w:lvl w:ilvl="6">
      <w:start w:val="0"/>
      <w:numFmt w:val="bullet"/>
      <w:lvlText w:val="•"/>
      <w:lvlJc w:val="left"/>
      <w:pPr>
        <w:ind w:left="3348" w:hanging="496"/>
      </w:pPr>
      <w:rPr>
        <w:rFonts w:hint="default"/>
        <w:lang w:val="es-ES" w:eastAsia="es-ES" w:bidi="es-ES"/>
      </w:rPr>
    </w:lvl>
    <w:lvl w:ilvl="7">
      <w:start w:val="0"/>
      <w:numFmt w:val="bullet"/>
      <w:lvlText w:val="•"/>
      <w:lvlJc w:val="left"/>
      <w:pPr>
        <w:ind w:left="3879" w:hanging="496"/>
      </w:pPr>
      <w:rPr>
        <w:rFonts w:hint="default"/>
        <w:lang w:val="es-ES" w:eastAsia="es-ES" w:bidi="es-ES"/>
      </w:rPr>
    </w:lvl>
    <w:lvl w:ilvl="8">
      <w:start w:val="0"/>
      <w:numFmt w:val="bullet"/>
      <w:lvlText w:val="•"/>
      <w:lvlJc w:val="left"/>
      <w:pPr>
        <w:ind w:left="4410" w:hanging="496"/>
      </w:pPr>
      <w:rPr>
        <w:rFonts w:hint="default"/>
        <w:lang w:val="es-ES" w:eastAsia="es-ES" w:bidi="es-ES"/>
      </w:rPr>
    </w:lvl>
  </w:abstractNum>
  <w:abstractNum w:abstractNumId="282">
    <w:multiLevelType w:val="hybridMultilevel"/>
    <w:lvl w:ilvl="0">
      <w:start w:val="1"/>
      <w:numFmt w:val="lowerLetter"/>
      <w:lvlText w:val="%1)"/>
      <w:lvlJc w:val="left"/>
      <w:pPr>
        <w:ind w:left="150" w:hanging="496"/>
        <w:jc w:val="left"/>
      </w:pPr>
      <w:rPr>
        <w:rFonts w:hint="default" w:ascii="Arial" w:hAnsi="Arial" w:eastAsia="Arial" w:cs="Arial"/>
        <w:w w:val="102"/>
        <w:sz w:val="15"/>
        <w:szCs w:val="15"/>
        <w:lang w:val="es-ES" w:eastAsia="es-ES" w:bidi="es-ES"/>
      </w:rPr>
    </w:lvl>
    <w:lvl w:ilvl="1">
      <w:start w:val="0"/>
      <w:numFmt w:val="bullet"/>
      <w:lvlText w:val="•"/>
      <w:lvlJc w:val="left"/>
      <w:pPr>
        <w:ind w:left="691" w:hanging="496"/>
      </w:pPr>
      <w:rPr>
        <w:rFonts w:hint="default"/>
        <w:lang w:val="es-ES" w:eastAsia="es-ES" w:bidi="es-ES"/>
      </w:rPr>
    </w:lvl>
    <w:lvl w:ilvl="2">
      <w:start w:val="0"/>
      <w:numFmt w:val="bullet"/>
      <w:lvlText w:val="•"/>
      <w:lvlJc w:val="left"/>
      <w:pPr>
        <w:ind w:left="1222" w:hanging="496"/>
      </w:pPr>
      <w:rPr>
        <w:rFonts w:hint="default"/>
        <w:lang w:val="es-ES" w:eastAsia="es-ES" w:bidi="es-ES"/>
      </w:rPr>
    </w:lvl>
    <w:lvl w:ilvl="3">
      <w:start w:val="0"/>
      <w:numFmt w:val="bullet"/>
      <w:lvlText w:val="•"/>
      <w:lvlJc w:val="left"/>
      <w:pPr>
        <w:ind w:left="1754" w:hanging="496"/>
      </w:pPr>
      <w:rPr>
        <w:rFonts w:hint="default"/>
        <w:lang w:val="es-ES" w:eastAsia="es-ES" w:bidi="es-ES"/>
      </w:rPr>
    </w:lvl>
    <w:lvl w:ilvl="4">
      <w:start w:val="0"/>
      <w:numFmt w:val="bullet"/>
      <w:lvlText w:val="•"/>
      <w:lvlJc w:val="left"/>
      <w:pPr>
        <w:ind w:left="2285" w:hanging="496"/>
      </w:pPr>
      <w:rPr>
        <w:rFonts w:hint="default"/>
        <w:lang w:val="es-ES" w:eastAsia="es-ES" w:bidi="es-ES"/>
      </w:rPr>
    </w:lvl>
    <w:lvl w:ilvl="5">
      <w:start w:val="0"/>
      <w:numFmt w:val="bullet"/>
      <w:lvlText w:val="•"/>
      <w:lvlJc w:val="left"/>
      <w:pPr>
        <w:ind w:left="2816" w:hanging="496"/>
      </w:pPr>
      <w:rPr>
        <w:rFonts w:hint="default"/>
        <w:lang w:val="es-ES" w:eastAsia="es-ES" w:bidi="es-ES"/>
      </w:rPr>
    </w:lvl>
    <w:lvl w:ilvl="6">
      <w:start w:val="0"/>
      <w:numFmt w:val="bullet"/>
      <w:lvlText w:val="•"/>
      <w:lvlJc w:val="left"/>
      <w:pPr>
        <w:ind w:left="3348" w:hanging="496"/>
      </w:pPr>
      <w:rPr>
        <w:rFonts w:hint="default"/>
        <w:lang w:val="es-ES" w:eastAsia="es-ES" w:bidi="es-ES"/>
      </w:rPr>
    </w:lvl>
    <w:lvl w:ilvl="7">
      <w:start w:val="0"/>
      <w:numFmt w:val="bullet"/>
      <w:lvlText w:val="•"/>
      <w:lvlJc w:val="left"/>
      <w:pPr>
        <w:ind w:left="3879" w:hanging="496"/>
      </w:pPr>
      <w:rPr>
        <w:rFonts w:hint="default"/>
        <w:lang w:val="es-ES" w:eastAsia="es-ES" w:bidi="es-ES"/>
      </w:rPr>
    </w:lvl>
    <w:lvl w:ilvl="8">
      <w:start w:val="0"/>
      <w:numFmt w:val="bullet"/>
      <w:lvlText w:val="•"/>
      <w:lvlJc w:val="left"/>
      <w:pPr>
        <w:ind w:left="4410" w:hanging="496"/>
      </w:pPr>
      <w:rPr>
        <w:rFonts w:hint="default"/>
        <w:lang w:val="es-ES" w:eastAsia="es-ES" w:bidi="es-ES"/>
      </w:rPr>
    </w:lvl>
  </w:abstractNum>
  <w:abstractNum w:abstractNumId="281">
    <w:multiLevelType w:val="hybridMultilevel"/>
    <w:lvl w:ilvl="0">
      <w:start w:val="1"/>
      <w:numFmt w:val="lowerLetter"/>
      <w:lvlText w:val="%1)"/>
      <w:lvlJc w:val="left"/>
      <w:pPr>
        <w:ind w:left="646" w:hanging="496"/>
        <w:jc w:val="left"/>
      </w:pPr>
      <w:rPr>
        <w:rFonts w:hint="default" w:ascii="Arial" w:hAnsi="Arial" w:eastAsia="Arial" w:cs="Arial"/>
        <w:w w:val="102"/>
        <w:sz w:val="15"/>
        <w:szCs w:val="15"/>
        <w:lang w:val="es-ES" w:eastAsia="es-ES" w:bidi="es-ES"/>
      </w:rPr>
    </w:lvl>
    <w:lvl w:ilvl="1">
      <w:start w:val="0"/>
      <w:numFmt w:val="bullet"/>
      <w:lvlText w:val="•"/>
      <w:lvlJc w:val="left"/>
      <w:pPr>
        <w:ind w:left="1123" w:hanging="496"/>
      </w:pPr>
      <w:rPr>
        <w:rFonts w:hint="default"/>
        <w:lang w:val="es-ES" w:eastAsia="es-ES" w:bidi="es-ES"/>
      </w:rPr>
    </w:lvl>
    <w:lvl w:ilvl="2">
      <w:start w:val="0"/>
      <w:numFmt w:val="bullet"/>
      <w:lvlText w:val="•"/>
      <w:lvlJc w:val="left"/>
      <w:pPr>
        <w:ind w:left="1606" w:hanging="496"/>
      </w:pPr>
      <w:rPr>
        <w:rFonts w:hint="default"/>
        <w:lang w:val="es-ES" w:eastAsia="es-ES" w:bidi="es-ES"/>
      </w:rPr>
    </w:lvl>
    <w:lvl w:ilvl="3">
      <w:start w:val="0"/>
      <w:numFmt w:val="bullet"/>
      <w:lvlText w:val="•"/>
      <w:lvlJc w:val="left"/>
      <w:pPr>
        <w:ind w:left="2090" w:hanging="496"/>
      </w:pPr>
      <w:rPr>
        <w:rFonts w:hint="default"/>
        <w:lang w:val="es-ES" w:eastAsia="es-ES" w:bidi="es-ES"/>
      </w:rPr>
    </w:lvl>
    <w:lvl w:ilvl="4">
      <w:start w:val="0"/>
      <w:numFmt w:val="bullet"/>
      <w:lvlText w:val="•"/>
      <w:lvlJc w:val="left"/>
      <w:pPr>
        <w:ind w:left="2573" w:hanging="496"/>
      </w:pPr>
      <w:rPr>
        <w:rFonts w:hint="default"/>
        <w:lang w:val="es-ES" w:eastAsia="es-ES" w:bidi="es-ES"/>
      </w:rPr>
    </w:lvl>
    <w:lvl w:ilvl="5">
      <w:start w:val="0"/>
      <w:numFmt w:val="bullet"/>
      <w:lvlText w:val="•"/>
      <w:lvlJc w:val="left"/>
      <w:pPr>
        <w:ind w:left="3056" w:hanging="496"/>
      </w:pPr>
      <w:rPr>
        <w:rFonts w:hint="default"/>
        <w:lang w:val="es-ES" w:eastAsia="es-ES" w:bidi="es-ES"/>
      </w:rPr>
    </w:lvl>
    <w:lvl w:ilvl="6">
      <w:start w:val="0"/>
      <w:numFmt w:val="bullet"/>
      <w:lvlText w:val="•"/>
      <w:lvlJc w:val="left"/>
      <w:pPr>
        <w:ind w:left="3540" w:hanging="496"/>
      </w:pPr>
      <w:rPr>
        <w:rFonts w:hint="default"/>
        <w:lang w:val="es-ES" w:eastAsia="es-ES" w:bidi="es-ES"/>
      </w:rPr>
    </w:lvl>
    <w:lvl w:ilvl="7">
      <w:start w:val="0"/>
      <w:numFmt w:val="bullet"/>
      <w:lvlText w:val="•"/>
      <w:lvlJc w:val="left"/>
      <w:pPr>
        <w:ind w:left="4023" w:hanging="496"/>
      </w:pPr>
      <w:rPr>
        <w:rFonts w:hint="default"/>
        <w:lang w:val="es-ES" w:eastAsia="es-ES" w:bidi="es-ES"/>
      </w:rPr>
    </w:lvl>
    <w:lvl w:ilvl="8">
      <w:start w:val="0"/>
      <w:numFmt w:val="bullet"/>
      <w:lvlText w:val="•"/>
      <w:lvlJc w:val="left"/>
      <w:pPr>
        <w:ind w:left="4506" w:hanging="496"/>
      </w:pPr>
      <w:rPr>
        <w:rFonts w:hint="default"/>
        <w:lang w:val="es-ES" w:eastAsia="es-ES" w:bidi="es-ES"/>
      </w:rPr>
    </w:lvl>
  </w:abstractNum>
  <w:abstractNum w:abstractNumId="280">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6"/>
      </w:pPr>
      <w:rPr>
        <w:rFonts w:hint="default"/>
        <w:lang w:val="es-ES" w:eastAsia="es-ES" w:bidi="es-ES"/>
      </w:rPr>
    </w:lvl>
    <w:lvl w:ilvl="2">
      <w:start w:val="0"/>
      <w:numFmt w:val="bullet"/>
      <w:lvlText w:val="•"/>
      <w:lvlJc w:val="left"/>
      <w:pPr>
        <w:ind w:left="1772" w:hanging="496"/>
      </w:pPr>
      <w:rPr>
        <w:rFonts w:hint="default"/>
        <w:lang w:val="es-ES" w:eastAsia="es-ES" w:bidi="es-ES"/>
      </w:rPr>
    </w:lvl>
    <w:lvl w:ilvl="3">
      <w:start w:val="0"/>
      <w:numFmt w:val="bullet"/>
      <w:lvlText w:val="•"/>
      <w:lvlJc w:val="left"/>
      <w:pPr>
        <w:ind w:left="2578" w:hanging="496"/>
      </w:pPr>
      <w:rPr>
        <w:rFonts w:hint="default"/>
        <w:lang w:val="es-ES" w:eastAsia="es-ES" w:bidi="es-ES"/>
      </w:rPr>
    </w:lvl>
    <w:lvl w:ilvl="4">
      <w:start w:val="0"/>
      <w:numFmt w:val="bullet"/>
      <w:lvlText w:val="•"/>
      <w:lvlJc w:val="left"/>
      <w:pPr>
        <w:ind w:left="3384" w:hanging="496"/>
      </w:pPr>
      <w:rPr>
        <w:rFonts w:hint="default"/>
        <w:lang w:val="es-ES" w:eastAsia="es-ES" w:bidi="es-ES"/>
      </w:rPr>
    </w:lvl>
    <w:lvl w:ilvl="5">
      <w:start w:val="0"/>
      <w:numFmt w:val="bullet"/>
      <w:lvlText w:val="•"/>
      <w:lvlJc w:val="left"/>
      <w:pPr>
        <w:ind w:left="4190" w:hanging="496"/>
      </w:pPr>
      <w:rPr>
        <w:rFonts w:hint="default"/>
        <w:lang w:val="es-ES" w:eastAsia="es-ES" w:bidi="es-ES"/>
      </w:rPr>
    </w:lvl>
    <w:lvl w:ilvl="6">
      <w:start w:val="0"/>
      <w:numFmt w:val="bullet"/>
      <w:lvlText w:val="•"/>
      <w:lvlJc w:val="left"/>
      <w:pPr>
        <w:ind w:left="4997" w:hanging="496"/>
      </w:pPr>
      <w:rPr>
        <w:rFonts w:hint="default"/>
        <w:lang w:val="es-ES" w:eastAsia="es-ES" w:bidi="es-ES"/>
      </w:rPr>
    </w:lvl>
    <w:lvl w:ilvl="7">
      <w:start w:val="0"/>
      <w:numFmt w:val="bullet"/>
      <w:lvlText w:val="•"/>
      <w:lvlJc w:val="left"/>
      <w:pPr>
        <w:ind w:left="5803" w:hanging="496"/>
      </w:pPr>
      <w:rPr>
        <w:rFonts w:hint="default"/>
        <w:lang w:val="es-ES" w:eastAsia="es-ES" w:bidi="es-ES"/>
      </w:rPr>
    </w:lvl>
    <w:lvl w:ilvl="8">
      <w:start w:val="0"/>
      <w:numFmt w:val="bullet"/>
      <w:lvlText w:val="•"/>
      <w:lvlJc w:val="left"/>
      <w:pPr>
        <w:ind w:left="6609" w:hanging="496"/>
      </w:pPr>
      <w:rPr>
        <w:rFonts w:hint="default"/>
        <w:lang w:val="es-ES" w:eastAsia="es-ES" w:bidi="es-ES"/>
      </w:rPr>
    </w:lvl>
  </w:abstractNum>
  <w:abstractNum w:abstractNumId="279">
    <w:multiLevelType w:val="hybridMultilevel"/>
    <w:lvl w:ilvl="0">
      <w:start w:val="1"/>
      <w:numFmt w:val="lowerLetter"/>
      <w:lvlText w:val="%1)"/>
      <w:lvlJc w:val="left"/>
      <w:pPr>
        <w:ind w:left="150" w:hanging="496"/>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6"/>
      </w:pPr>
      <w:rPr>
        <w:rFonts w:hint="default"/>
        <w:lang w:val="es-ES" w:eastAsia="es-ES" w:bidi="es-ES"/>
      </w:rPr>
    </w:lvl>
    <w:lvl w:ilvl="2">
      <w:start w:val="0"/>
      <w:numFmt w:val="bullet"/>
      <w:lvlText w:val="•"/>
      <w:lvlJc w:val="left"/>
      <w:pPr>
        <w:ind w:left="1772" w:hanging="496"/>
      </w:pPr>
      <w:rPr>
        <w:rFonts w:hint="default"/>
        <w:lang w:val="es-ES" w:eastAsia="es-ES" w:bidi="es-ES"/>
      </w:rPr>
    </w:lvl>
    <w:lvl w:ilvl="3">
      <w:start w:val="0"/>
      <w:numFmt w:val="bullet"/>
      <w:lvlText w:val="•"/>
      <w:lvlJc w:val="left"/>
      <w:pPr>
        <w:ind w:left="2578" w:hanging="496"/>
      </w:pPr>
      <w:rPr>
        <w:rFonts w:hint="default"/>
        <w:lang w:val="es-ES" w:eastAsia="es-ES" w:bidi="es-ES"/>
      </w:rPr>
    </w:lvl>
    <w:lvl w:ilvl="4">
      <w:start w:val="0"/>
      <w:numFmt w:val="bullet"/>
      <w:lvlText w:val="•"/>
      <w:lvlJc w:val="left"/>
      <w:pPr>
        <w:ind w:left="3384" w:hanging="496"/>
      </w:pPr>
      <w:rPr>
        <w:rFonts w:hint="default"/>
        <w:lang w:val="es-ES" w:eastAsia="es-ES" w:bidi="es-ES"/>
      </w:rPr>
    </w:lvl>
    <w:lvl w:ilvl="5">
      <w:start w:val="0"/>
      <w:numFmt w:val="bullet"/>
      <w:lvlText w:val="•"/>
      <w:lvlJc w:val="left"/>
      <w:pPr>
        <w:ind w:left="4190" w:hanging="496"/>
      </w:pPr>
      <w:rPr>
        <w:rFonts w:hint="default"/>
        <w:lang w:val="es-ES" w:eastAsia="es-ES" w:bidi="es-ES"/>
      </w:rPr>
    </w:lvl>
    <w:lvl w:ilvl="6">
      <w:start w:val="0"/>
      <w:numFmt w:val="bullet"/>
      <w:lvlText w:val="•"/>
      <w:lvlJc w:val="left"/>
      <w:pPr>
        <w:ind w:left="4997" w:hanging="496"/>
      </w:pPr>
      <w:rPr>
        <w:rFonts w:hint="default"/>
        <w:lang w:val="es-ES" w:eastAsia="es-ES" w:bidi="es-ES"/>
      </w:rPr>
    </w:lvl>
    <w:lvl w:ilvl="7">
      <w:start w:val="0"/>
      <w:numFmt w:val="bullet"/>
      <w:lvlText w:val="•"/>
      <w:lvlJc w:val="left"/>
      <w:pPr>
        <w:ind w:left="5803" w:hanging="496"/>
      </w:pPr>
      <w:rPr>
        <w:rFonts w:hint="default"/>
        <w:lang w:val="es-ES" w:eastAsia="es-ES" w:bidi="es-ES"/>
      </w:rPr>
    </w:lvl>
    <w:lvl w:ilvl="8">
      <w:start w:val="0"/>
      <w:numFmt w:val="bullet"/>
      <w:lvlText w:val="•"/>
      <w:lvlJc w:val="left"/>
      <w:pPr>
        <w:ind w:left="6609" w:hanging="496"/>
      </w:pPr>
      <w:rPr>
        <w:rFonts w:hint="default"/>
        <w:lang w:val="es-ES" w:eastAsia="es-ES" w:bidi="es-ES"/>
      </w:rPr>
    </w:lvl>
  </w:abstractNum>
  <w:abstractNum w:abstractNumId="278">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6"/>
      </w:pPr>
      <w:rPr>
        <w:rFonts w:hint="default"/>
        <w:lang w:val="es-ES" w:eastAsia="es-ES" w:bidi="es-ES"/>
      </w:rPr>
    </w:lvl>
    <w:lvl w:ilvl="2">
      <w:start w:val="0"/>
      <w:numFmt w:val="bullet"/>
      <w:lvlText w:val="•"/>
      <w:lvlJc w:val="left"/>
      <w:pPr>
        <w:ind w:left="1772" w:hanging="496"/>
      </w:pPr>
      <w:rPr>
        <w:rFonts w:hint="default"/>
        <w:lang w:val="es-ES" w:eastAsia="es-ES" w:bidi="es-ES"/>
      </w:rPr>
    </w:lvl>
    <w:lvl w:ilvl="3">
      <w:start w:val="0"/>
      <w:numFmt w:val="bullet"/>
      <w:lvlText w:val="•"/>
      <w:lvlJc w:val="left"/>
      <w:pPr>
        <w:ind w:left="2578" w:hanging="496"/>
      </w:pPr>
      <w:rPr>
        <w:rFonts w:hint="default"/>
        <w:lang w:val="es-ES" w:eastAsia="es-ES" w:bidi="es-ES"/>
      </w:rPr>
    </w:lvl>
    <w:lvl w:ilvl="4">
      <w:start w:val="0"/>
      <w:numFmt w:val="bullet"/>
      <w:lvlText w:val="•"/>
      <w:lvlJc w:val="left"/>
      <w:pPr>
        <w:ind w:left="3384" w:hanging="496"/>
      </w:pPr>
      <w:rPr>
        <w:rFonts w:hint="default"/>
        <w:lang w:val="es-ES" w:eastAsia="es-ES" w:bidi="es-ES"/>
      </w:rPr>
    </w:lvl>
    <w:lvl w:ilvl="5">
      <w:start w:val="0"/>
      <w:numFmt w:val="bullet"/>
      <w:lvlText w:val="•"/>
      <w:lvlJc w:val="left"/>
      <w:pPr>
        <w:ind w:left="4190" w:hanging="496"/>
      </w:pPr>
      <w:rPr>
        <w:rFonts w:hint="default"/>
        <w:lang w:val="es-ES" w:eastAsia="es-ES" w:bidi="es-ES"/>
      </w:rPr>
    </w:lvl>
    <w:lvl w:ilvl="6">
      <w:start w:val="0"/>
      <w:numFmt w:val="bullet"/>
      <w:lvlText w:val="•"/>
      <w:lvlJc w:val="left"/>
      <w:pPr>
        <w:ind w:left="4997" w:hanging="496"/>
      </w:pPr>
      <w:rPr>
        <w:rFonts w:hint="default"/>
        <w:lang w:val="es-ES" w:eastAsia="es-ES" w:bidi="es-ES"/>
      </w:rPr>
    </w:lvl>
    <w:lvl w:ilvl="7">
      <w:start w:val="0"/>
      <w:numFmt w:val="bullet"/>
      <w:lvlText w:val="•"/>
      <w:lvlJc w:val="left"/>
      <w:pPr>
        <w:ind w:left="5803" w:hanging="496"/>
      </w:pPr>
      <w:rPr>
        <w:rFonts w:hint="default"/>
        <w:lang w:val="es-ES" w:eastAsia="es-ES" w:bidi="es-ES"/>
      </w:rPr>
    </w:lvl>
    <w:lvl w:ilvl="8">
      <w:start w:val="0"/>
      <w:numFmt w:val="bullet"/>
      <w:lvlText w:val="•"/>
      <w:lvlJc w:val="left"/>
      <w:pPr>
        <w:ind w:left="6609" w:hanging="496"/>
      </w:pPr>
      <w:rPr>
        <w:rFonts w:hint="default"/>
        <w:lang w:val="es-ES" w:eastAsia="es-ES" w:bidi="es-ES"/>
      </w:rPr>
    </w:lvl>
  </w:abstractNum>
  <w:abstractNum w:abstractNumId="277">
    <w:multiLevelType w:val="hybridMultilevel"/>
    <w:lvl w:ilvl="0">
      <w:start w:val="1"/>
      <w:numFmt w:val="lowerLetter"/>
      <w:lvlText w:val="%1)"/>
      <w:lvlJc w:val="left"/>
      <w:pPr>
        <w:ind w:left="150" w:hanging="496"/>
        <w:jc w:val="left"/>
      </w:pPr>
      <w:rPr>
        <w:rFonts w:hint="default" w:ascii="Arial" w:hAnsi="Arial" w:eastAsia="Arial" w:cs="Arial"/>
        <w:w w:val="102"/>
        <w:sz w:val="15"/>
        <w:szCs w:val="15"/>
        <w:lang w:val="es-ES" w:eastAsia="es-ES" w:bidi="es-ES"/>
      </w:rPr>
    </w:lvl>
    <w:lvl w:ilvl="1">
      <w:start w:val="0"/>
      <w:numFmt w:val="bullet"/>
      <w:lvlText w:val="•"/>
      <w:lvlJc w:val="left"/>
      <w:pPr>
        <w:ind w:left="691" w:hanging="496"/>
      </w:pPr>
      <w:rPr>
        <w:rFonts w:hint="default"/>
        <w:lang w:val="es-ES" w:eastAsia="es-ES" w:bidi="es-ES"/>
      </w:rPr>
    </w:lvl>
    <w:lvl w:ilvl="2">
      <w:start w:val="0"/>
      <w:numFmt w:val="bullet"/>
      <w:lvlText w:val="•"/>
      <w:lvlJc w:val="left"/>
      <w:pPr>
        <w:ind w:left="1222" w:hanging="496"/>
      </w:pPr>
      <w:rPr>
        <w:rFonts w:hint="default"/>
        <w:lang w:val="es-ES" w:eastAsia="es-ES" w:bidi="es-ES"/>
      </w:rPr>
    </w:lvl>
    <w:lvl w:ilvl="3">
      <w:start w:val="0"/>
      <w:numFmt w:val="bullet"/>
      <w:lvlText w:val="•"/>
      <w:lvlJc w:val="left"/>
      <w:pPr>
        <w:ind w:left="1753" w:hanging="496"/>
      </w:pPr>
      <w:rPr>
        <w:rFonts w:hint="default"/>
        <w:lang w:val="es-ES" w:eastAsia="es-ES" w:bidi="es-ES"/>
      </w:rPr>
    </w:lvl>
    <w:lvl w:ilvl="4">
      <w:start w:val="0"/>
      <w:numFmt w:val="bullet"/>
      <w:lvlText w:val="•"/>
      <w:lvlJc w:val="left"/>
      <w:pPr>
        <w:ind w:left="2285" w:hanging="496"/>
      </w:pPr>
      <w:rPr>
        <w:rFonts w:hint="default"/>
        <w:lang w:val="es-ES" w:eastAsia="es-ES" w:bidi="es-ES"/>
      </w:rPr>
    </w:lvl>
    <w:lvl w:ilvl="5">
      <w:start w:val="0"/>
      <w:numFmt w:val="bullet"/>
      <w:lvlText w:val="•"/>
      <w:lvlJc w:val="left"/>
      <w:pPr>
        <w:ind w:left="2816" w:hanging="496"/>
      </w:pPr>
      <w:rPr>
        <w:rFonts w:hint="default"/>
        <w:lang w:val="es-ES" w:eastAsia="es-ES" w:bidi="es-ES"/>
      </w:rPr>
    </w:lvl>
    <w:lvl w:ilvl="6">
      <w:start w:val="0"/>
      <w:numFmt w:val="bullet"/>
      <w:lvlText w:val="•"/>
      <w:lvlJc w:val="left"/>
      <w:pPr>
        <w:ind w:left="3347" w:hanging="496"/>
      </w:pPr>
      <w:rPr>
        <w:rFonts w:hint="default"/>
        <w:lang w:val="es-ES" w:eastAsia="es-ES" w:bidi="es-ES"/>
      </w:rPr>
    </w:lvl>
    <w:lvl w:ilvl="7">
      <w:start w:val="0"/>
      <w:numFmt w:val="bullet"/>
      <w:lvlText w:val="•"/>
      <w:lvlJc w:val="left"/>
      <w:pPr>
        <w:ind w:left="3878" w:hanging="496"/>
      </w:pPr>
      <w:rPr>
        <w:rFonts w:hint="default"/>
        <w:lang w:val="es-ES" w:eastAsia="es-ES" w:bidi="es-ES"/>
      </w:rPr>
    </w:lvl>
    <w:lvl w:ilvl="8">
      <w:start w:val="0"/>
      <w:numFmt w:val="bullet"/>
      <w:lvlText w:val="•"/>
      <w:lvlJc w:val="left"/>
      <w:pPr>
        <w:ind w:left="4410" w:hanging="496"/>
      </w:pPr>
      <w:rPr>
        <w:rFonts w:hint="default"/>
        <w:lang w:val="es-ES" w:eastAsia="es-ES" w:bidi="es-ES"/>
      </w:rPr>
    </w:lvl>
  </w:abstractNum>
  <w:abstractNum w:abstractNumId="276">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691" w:hanging="496"/>
      </w:pPr>
      <w:rPr>
        <w:rFonts w:hint="default"/>
        <w:lang w:val="es-ES" w:eastAsia="es-ES" w:bidi="es-ES"/>
      </w:rPr>
    </w:lvl>
    <w:lvl w:ilvl="2">
      <w:start w:val="0"/>
      <w:numFmt w:val="bullet"/>
      <w:lvlText w:val="•"/>
      <w:lvlJc w:val="left"/>
      <w:pPr>
        <w:ind w:left="1222" w:hanging="496"/>
      </w:pPr>
      <w:rPr>
        <w:rFonts w:hint="default"/>
        <w:lang w:val="es-ES" w:eastAsia="es-ES" w:bidi="es-ES"/>
      </w:rPr>
    </w:lvl>
    <w:lvl w:ilvl="3">
      <w:start w:val="0"/>
      <w:numFmt w:val="bullet"/>
      <w:lvlText w:val="•"/>
      <w:lvlJc w:val="left"/>
      <w:pPr>
        <w:ind w:left="1753" w:hanging="496"/>
      </w:pPr>
      <w:rPr>
        <w:rFonts w:hint="default"/>
        <w:lang w:val="es-ES" w:eastAsia="es-ES" w:bidi="es-ES"/>
      </w:rPr>
    </w:lvl>
    <w:lvl w:ilvl="4">
      <w:start w:val="0"/>
      <w:numFmt w:val="bullet"/>
      <w:lvlText w:val="•"/>
      <w:lvlJc w:val="left"/>
      <w:pPr>
        <w:ind w:left="2285" w:hanging="496"/>
      </w:pPr>
      <w:rPr>
        <w:rFonts w:hint="default"/>
        <w:lang w:val="es-ES" w:eastAsia="es-ES" w:bidi="es-ES"/>
      </w:rPr>
    </w:lvl>
    <w:lvl w:ilvl="5">
      <w:start w:val="0"/>
      <w:numFmt w:val="bullet"/>
      <w:lvlText w:val="•"/>
      <w:lvlJc w:val="left"/>
      <w:pPr>
        <w:ind w:left="2816" w:hanging="496"/>
      </w:pPr>
      <w:rPr>
        <w:rFonts w:hint="default"/>
        <w:lang w:val="es-ES" w:eastAsia="es-ES" w:bidi="es-ES"/>
      </w:rPr>
    </w:lvl>
    <w:lvl w:ilvl="6">
      <w:start w:val="0"/>
      <w:numFmt w:val="bullet"/>
      <w:lvlText w:val="•"/>
      <w:lvlJc w:val="left"/>
      <w:pPr>
        <w:ind w:left="3347" w:hanging="496"/>
      </w:pPr>
      <w:rPr>
        <w:rFonts w:hint="default"/>
        <w:lang w:val="es-ES" w:eastAsia="es-ES" w:bidi="es-ES"/>
      </w:rPr>
    </w:lvl>
    <w:lvl w:ilvl="7">
      <w:start w:val="0"/>
      <w:numFmt w:val="bullet"/>
      <w:lvlText w:val="•"/>
      <w:lvlJc w:val="left"/>
      <w:pPr>
        <w:ind w:left="3878" w:hanging="496"/>
      </w:pPr>
      <w:rPr>
        <w:rFonts w:hint="default"/>
        <w:lang w:val="es-ES" w:eastAsia="es-ES" w:bidi="es-ES"/>
      </w:rPr>
    </w:lvl>
    <w:lvl w:ilvl="8">
      <w:start w:val="0"/>
      <w:numFmt w:val="bullet"/>
      <w:lvlText w:val="•"/>
      <w:lvlJc w:val="left"/>
      <w:pPr>
        <w:ind w:left="4410" w:hanging="496"/>
      </w:pPr>
      <w:rPr>
        <w:rFonts w:hint="default"/>
        <w:lang w:val="es-ES" w:eastAsia="es-ES" w:bidi="es-ES"/>
      </w:rPr>
    </w:lvl>
  </w:abstractNum>
  <w:abstractNum w:abstractNumId="275">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691" w:hanging="496"/>
      </w:pPr>
      <w:rPr>
        <w:rFonts w:hint="default"/>
        <w:lang w:val="es-ES" w:eastAsia="es-ES" w:bidi="es-ES"/>
      </w:rPr>
    </w:lvl>
    <w:lvl w:ilvl="2">
      <w:start w:val="0"/>
      <w:numFmt w:val="bullet"/>
      <w:lvlText w:val="•"/>
      <w:lvlJc w:val="left"/>
      <w:pPr>
        <w:ind w:left="1222" w:hanging="496"/>
      </w:pPr>
      <w:rPr>
        <w:rFonts w:hint="default"/>
        <w:lang w:val="es-ES" w:eastAsia="es-ES" w:bidi="es-ES"/>
      </w:rPr>
    </w:lvl>
    <w:lvl w:ilvl="3">
      <w:start w:val="0"/>
      <w:numFmt w:val="bullet"/>
      <w:lvlText w:val="•"/>
      <w:lvlJc w:val="left"/>
      <w:pPr>
        <w:ind w:left="1753" w:hanging="496"/>
      </w:pPr>
      <w:rPr>
        <w:rFonts w:hint="default"/>
        <w:lang w:val="es-ES" w:eastAsia="es-ES" w:bidi="es-ES"/>
      </w:rPr>
    </w:lvl>
    <w:lvl w:ilvl="4">
      <w:start w:val="0"/>
      <w:numFmt w:val="bullet"/>
      <w:lvlText w:val="•"/>
      <w:lvlJc w:val="left"/>
      <w:pPr>
        <w:ind w:left="2285" w:hanging="496"/>
      </w:pPr>
      <w:rPr>
        <w:rFonts w:hint="default"/>
        <w:lang w:val="es-ES" w:eastAsia="es-ES" w:bidi="es-ES"/>
      </w:rPr>
    </w:lvl>
    <w:lvl w:ilvl="5">
      <w:start w:val="0"/>
      <w:numFmt w:val="bullet"/>
      <w:lvlText w:val="•"/>
      <w:lvlJc w:val="left"/>
      <w:pPr>
        <w:ind w:left="2816" w:hanging="496"/>
      </w:pPr>
      <w:rPr>
        <w:rFonts w:hint="default"/>
        <w:lang w:val="es-ES" w:eastAsia="es-ES" w:bidi="es-ES"/>
      </w:rPr>
    </w:lvl>
    <w:lvl w:ilvl="6">
      <w:start w:val="0"/>
      <w:numFmt w:val="bullet"/>
      <w:lvlText w:val="•"/>
      <w:lvlJc w:val="left"/>
      <w:pPr>
        <w:ind w:left="3347" w:hanging="496"/>
      </w:pPr>
      <w:rPr>
        <w:rFonts w:hint="default"/>
        <w:lang w:val="es-ES" w:eastAsia="es-ES" w:bidi="es-ES"/>
      </w:rPr>
    </w:lvl>
    <w:lvl w:ilvl="7">
      <w:start w:val="0"/>
      <w:numFmt w:val="bullet"/>
      <w:lvlText w:val="•"/>
      <w:lvlJc w:val="left"/>
      <w:pPr>
        <w:ind w:left="3878" w:hanging="496"/>
      </w:pPr>
      <w:rPr>
        <w:rFonts w:hint="default"/>
        <w:lang w:val="es-ES" w:eastAsia="es-ES" w:bidi="es-ES"/>
      </w:rPr>
    </w:lvl>
    <w:lvl w:ilvl="8">
      <w:start w:val="0"/>
      <w:numFmt w:val="bullet"/>
      <w:lvlText w:val="•"/>
      <w:lvlJc w:val="left"/>
      <w:pPr>
        <w:ind w:left="4410" w:hanging="496"/>
      </w:pPr>
      <w:rPr>
        <w:rFonts w:hint="default"/>
        <w:lang w:val="es-ES" w:eastAsia="es-ES" w:bidi="es-ES"/>
      </w:rPr>
    </w:lvl>
  </w:abstractNum>
  <w:abstractNum w:abstractNumId="274">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6"/>
      </w:pPr>
      <w:rPr>
        <w:rFonts w:hint="default"/>
        <w:lang w:val="es-ES" w:eastAsia="es-ES" w:bidi="es-ES"/>
      </w:rPr>
    </w:lvl>
    <w:lvl w:ilvl="2">
      <w:start w:val="0"/>
      <w:numFmt w:val="bullet"/>
      <w:lvlText w:val="•"/>
      <w:lvlJc w:val="left"/>
      <w:pPr>
        <w:ind w:left="1772" w:hanging="496"/>
      </w:pPr>
      <w:rPr>
        <w:rFonts w:hint="default"/>
        <w:lang w:val="es-ES" w:eastAsia="es-ES" w:bidi="es-ES"/>
      </w:rPr>
    </w:lvl>
    <w:lvl w:ilvl="3">
      <w:start w:val="0"/>
      <w:numFmt w:val="bullet"/>
      <w:lvlText w:val="•"/>
      <w:lvlJc w:val="left"/>
      <w:pPr>
        <w:ind w:left="2578" w:hanging="496"/>
      </w:pPr>
      <w:rPr>
        <w:rFonts w:hint="default"/>
        <w:lang w:val="es-ES" w:eastAsia="es-ES" w:bidi="es-ES"/>
      </w:rPr>
    </w:lvl>
    <w:lvl w:ilvl="4">
      <w:start w:val="0"/>
      <w:numFmt w:val="bullet"/>
      <w:lvlText w:val="•"/>
      <w:lvlJc w:val="left"/>
      <w:pPr>
        <w:ind w:left="3384" w:hanging="496"/>
      </w:pPr>
      <w:rPr>
        <w:rFonts w:hint="default"/>
        <w:lang w:val="es-ES" w:eastAsia="es-ES" w:bidi="es-ES"/>
      </w:rPr>
    </w:lvl>
    <w:lvl w:ilvl="5">
      <w:start w:val="0"/>
      <w:numFmt w:val="bullet"/>
      <w:lvlText w:val="•"/>
      <w:lvlJc w:val="left"/>
      <w:pPr>
        <w:ind w:left="4191" w:hanging="496"/>
      </w:pPr>
      <w:rPr>
        <w:rFonts w:hint="default"/>
        <w:lang w:val="es-ES" w:eastAsia="es-ES" w:bidi="es-ES"/>
      </w:rPr>
    </w:lvl>
    <w:lvl w:ilvl="6">
      <w:start w:val="0"/>
      <w:numFmt w:val="bullet"/>
      <w:lvlText w:val="•"/>
      <w:lvlJc w:val="left"/>
      <w:pPr>
        <w:ind w:left="4997" w:hanging="496"/>
      </w:pPr>
      <w:rPr>
        <w:rFonts w:hint="default"/>
        <w:lang w:val="es-ES" w:eastAsia="es-ES" w:bidi="es-ES"/>
      </w:rPr>
    </w:lvl>
    <w:lvl w:ilvl="7">
      <w:start w:val="0"/>
      <w:numFmt w:val="bullet"/>
      <w:lvlText w:val="•"/>
      <w:lvlJc w:val="left"/>
      <w:pPr>
        <w:ind w:left="5803" w:hanging="496"/>
      </w:pPr>
      <w:rPr>
        <w:rFonts w:hint="default"/>
        <w:lang w:val="es-ES" w:eastAsia="es-ES" w:bidi="es-ES"/>
      </w:rPr>
    </w:lvl>
    <w:lvl w:ilvl="8">
      <w:start w:val="0"/>
      <w:numFmt w:val="bullet"/>
      <w:lvlText w:val="•"/>
      <w:lvlJc w:val="left"/>
      <w:pPr>
        <w:ind w:left="6609" w:hanging="496"/>
      </w:pPr>
      <w:rPr>
        <w:rFonts w:hint="default"/>
        <w:lang w:val="es-ES" w:eastAsia="es-ES" w:bidi="es-ES"/>
      </w:rPr>
    </w:lvl>
  </w:abstractNum>
  <w:abstractNum w:abstractNumId="273">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6"/>
      </w:pPr>
      <w:rPr>
        <w:rFonts w:hint="default"/>
        <w:lang w:val="es-ES" w:eastAsia="es-ES" w:bidi="es-ES"/>
      </w:rPr>
    </w:lvl>
    <w:lvl w:ilvl="2">
      <w:start w:val="0"/>
      <w:numFmt w:val="bullet"/>
      <w:lvlText w:val="•"/>
      <w:lvlJc w:val="left"/>
      <w:pPr>
        <w:ind w:left="1772" w:hanging="496"/>
      </w:pPr>
      <w:rPr>
        <w:rFonts w:hint="default"/>
        <w:lang w:val="es-ES" w:eastAsia="es-ES" w:bidi="es-ES"/>
      </w:rPr>
    </w:lvl>
    <w:lvl w:ilvl="3">
      <w:start w:val="0"/>
      <w:numFmt w:val="bullet"/>
      <w:lvlText w:val="•"/>
      <w:lvlJc w:val="left"/>
      <w:pPr>
        <w:ind w:left="2578" w:hanging="496"/>
      </w:pPr>
      <w:rPr>
        <w:rFonts w:hint="default"/>
        <w:lang w:val="es-ES" w:eastAsia="es-ES" w:bidi="es-ES"/>
      </w:rPr>
    </w:lvl>
    <w:lvl w:ilvl="4">
      <w:start w:val="0"/>
      <w:numFmt w:val="bullet"/>
      <w:lvlText w:val="•"/>
      <w:lvlJc w:val="left"/>
      <w:pPr>
        <w:ind w:left="3384" w:hanging="496"/>
      </w:pPr>
      <w:rPr>
        <w:rFonts w:hint="default"/>
        <w:lang w:val="es-ES" w:eastAsia="es-ES" w:bidi="es-ES"/>
      </w:rPr>
    </w:lvl>
    <w:lvl w:ilvl="5">
      <w:start w:val="0"/>
      <w:numFmt w:val="bullet"/>
      <w:lvlText w:val="•"/>
      <w:lvlJc w:val="left"/>
      <w:pPr>
        <w:ind w:left="4191" w:hanging="496"/>
      </w:pPr>
      <w:rPr>
        <w:rFonts w:hint="default"/>
        <w:lang w:val="es-ES" w:eastAsia="es-ES" w:bidi="es-ES"/>
      </w:rPr>
    </w:lvl>
    <w:lvl w:ilvl="6">
      <w:start w:val="0"/>
      <w:numFmt w:val="bullet"/>
      <w:lvlText w:val="•"/>
      <w:lvlJc w:val="left"/>
      <w:pPr>
        <w:ind w:left="4997" w:hanging="496"/>
      </w:pPr>
      <w:rPr>
        <w:rFonts w:hint="default"/>
        <w:lang w:val="es-ES" w:eastAsia="es-ES" w:bidi="es-ES"/>
      </w:rPr>
    </w:lvl>
    <w:lvl w:ilvl="7">
      <w:start w:val="0"/>
      <w:numFmt w:val="bullet"/>
      <w:lvlText w:val="•"/>
      <w:lvlJc w:val="left"/>
      <w:pPr>
        <w:ind w:left="5803" w:hanging="496"/>
      </w:pPr>
      <w:rPr>
        <w:rFonts w:hint="default"/>
        <w:lang w:val="es-ES" w:eastAsia="es-ES" w:bidi="es-ES"/>
      </w:rPr>
    </w:lvl>
    <w:lvl w:ilvl="8">
      <w:start w:val="0"/>
      <w:numFmt w:val="bullet"/>
      <w:lvlText w:val="•"/>
      <w:lvlJc w:val="left"/>
      <w:pPr>
        <w:ind w:left="6609" w:hanging="496"/>
      </w:pPr>
      <w:rPr>
        <w:rFonts w:hint="default"/>
        <w:lang w:val="es-ES" w:eastAsia="es-ES" w:bidi="es-ES"/>
      </w:rPr>
    </w:lvl>
  </w:abstractNum>
  <w:abstractNum w:abstractNumId="272">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6"/>
      </w:pPr>
      <w:rPr>
        <w:rFonts w:hint="default"/>
        <w:lang w:val="es-ES" w:eastAsia="es-ES" w:bidi="es-ES"/>
      </w:rPr>
    </w:lvl>
    <w:lvl w:ilvl="2">
      <w:start w:val="0"/>
      <w:numFmt w:val="bullet"/>
      <w:lvlText w:val="•"/>
      <w:lvlJc w:val="left"/>
      <w:pPr>
        <w:ind w:left="1772" w:hanging="496"/>
      </w:pPr>
      <w:rPr>
        <w:rFonts w:hint="default"/>
        <w:lang w:val="es-ES" w:eastAsia="es-ES" w:bidi="es-ES"/>
      </w:rPr>
    </w:lvl>
    <w:lvl w:ilvl="3">
      <w:start w:val="0"/>
      <w:numFmt w:val="bullet"/>
      <w:lvlText w:val="•"/>
      <w:lvlJc w:val="left"/>
      <w:pPr>
        <w:ind w:left="2578" w:hanging="496"/>
      </w:pPr>
      <w:rPr>
        <w:rFonts w:hint="default"/>
        <w:lang w:val="es-ES" w:eastAsia="es-ES" w:bidi="es-ES"/>
      </w:rPr>
    </w:lvl>
    <w:lvl w:ilvl="4">
      <w:start w:val="0"/>
      <w:numFmt w:val="bullet"/>
      <w:lvlText w:val="•"/>
      <w:lvlJc w:val="left"/>
      <w:pPr>
        <w:ind w:left="3384" w:hanging="496"/>
      </w:pPr>
      <w:rPr>
        <w:rFonts w:hint="default"/>
        <w:lang w:val="es-ES" w:eastAsia="es-ES" w:bidi="es-ES"/>
      </w:rPr>
    </w:lvl>
    <w:lvl w:ilvl="5">
      <w:start w:val="0"/>
      <w:numFmt w:val="bullet"/>
      <w:lvlText w:val="•"/>
      <w:lvlJc w:val="left"/>
      <w:pPr>
        <w:ind w:left="4191" w:hanging="496"/>
      </w:pPr>
      <w:rPr>
        <w:rFonts w:hint="default"/>
        <w:lang w:val="es-ES" w:eastAsia="es-ES" w:bidi="es-ES"/>
      </w:rPr>
    </w:lvl>
    <w:lvl w:ilvl="6">
      <w:start w:val="0"/>
      <w:numFmt w:val="bullet"/>
      <w:lvlText w:val="•"/>
      <w:lvlJc w:val="left"/>
      <w:pPr>
        <w:ind w:left="4997" w:hanging="496"/>
      </w:pPr>
      <w:rPr>
        <w:rFonts w:hint="default"/>
        <w:lang w:val="es-ES" w:eastAsia="es-ES" w:bidi="es-ES"/>
      </w:rPr>
    </w:lvl>
    <w:lvl w:ilvl="7">
      <w:start w:val="0"/>
      <w:numFmt w:val="bullet"/>
      <w:lvlText w:val="•"/>
      <w:lvlJc w:val="left"/>
      <w:pPr>
        <w:ind w:left="5803" w:hanging="496"/>
      </w:pPr>
      <w:rPr>
        <w:rFonts w:hint="default"/>
        <w:lang w:val="es-ES" w:eastAsia="es-ES" w:bidi="es-ES"/>
      </w:rPr>
    </w:lvl>
    <w:lvl w:ilvl="8">
      <w:start w:val="0"/>
      <w:numFmt w:val="bullet"/>
      <w:lvlText w:val="•"/>
      <w:lvlJc w:val="left"/>
      <w:pPr>
        <w:ind w:left="6609" w:hanging="496"/>
      </w:pPr>
      <w:rPr>
        <w:rFonts w:hint="default"/>
        <w:lang w:val="es-ES" w:eastAsia="es-ES" w:bidi="es-ES"/>
      </w:rPr>
    </w:lvl>
  </w:abstractNum>
  <w:abstractNum w:abstractNumId="271">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691" w:hanging="496"/>
      </w:pPr>
      <w:rPr>
        <w:rFonts w:hint="default"/>
        <w:lang w:val="es-ES" w:eastAsia="es-ES" w:bidi="es-ES"/>
      </w:rPr>
    </w:lvl>
    <w:lvl w:ilvl="2">
      <w:start w:val="0"/>
      <w:numFmt w:val="bullet"/>
      <w:lvlText w:val="•"/>
      <w:lvlJc w:val="left"/>
      <w:pPr>
        <w:ind w:left="1222" w:hanging="496"/>
      </w:pPr>
      <w:rPr>
        <w:rFonts w:hint="default"/>
        <w:lang w:val="es-ES" w:eastAsia="es-ES" w:bidi="es-ES"/>
      </w:rPr>
    </w:lvl>
    <w:lvl w:ilvl="3">
      <w:start w:val="0"/>
      <w:numFmt w:val="bullet"/>
      <w:lvlText w:val="•"/>
      <w:lvlJc w:val="left"/>
      <w:pPr>
        <w:ind w:left="1753" w:hanging="496"/>
      </w:pPr>
      <w:rPr>
        <w:rFonts w:hint="default"/>
        <w:lang w:val="es-ES" w:eastAsia="es-ES" w:bidi="es-ES"/>
      </w:rPr>
    </w:lvl>
    <w:lvl w:ilvl="4">
      <w:start w:val="0"/>
      <w:numFmt w:val="bullet"/>
      <w:lvlText w:val="•"/>
      <w:lvlJc w:val="left"/>
      <w:pPr>
        <w:ind w:left="2285" w:hanging="496"/>
      </w:pPr>
      <w:rPr>
        <w:rFonts w:hint="default"/>
        <w:lang w:val="es-ES" w:eastAsia="es-ES" w:bidi="es-ES"/>
      </w:rPr>
    </w:lvl>
    <w:lvl w:ilvl="5">
      <w:start w:val="0"/>
      <w:numFmt w:val="bullet"/>
      <w:lvlText w:val="•"/>
      <w:lvlJc w:val="left"/>
      <w:pPr>
        <w:ind w:left="2816" w:hanging="496"/>
      </w:pPr>
      <w:rPr>
        <w:rFonts w:hint="default"/>
        <w:lang w:val="es-ES" w:eastAsia="es-ES" w:bidi="es-ES"/>
      </w:rPr>
    </w:lvl>
    <w:lvl w:ilvl="6">
      <w:start w:val="0"/>
      <w:numFmt w:val="bullet"/>
      <w:lvlText w:val="•"/>
      <w:lvlJc w:val="left"/>
      <w:pPr>
        <w:ind w:left="3347" w:hanging="496"/>
      </w:pPr>
      <w:rPr>
        <w:rFonts w:hint="default"/>
        <w:lang w:val="es-ES" w:eastAsia="es-ES" w:bidi="es-ES"/>
      </w:rPr>
    </w:lvl>
    <w:lvl w:ilvl="7">
      <w:start w:val="0"/>
      <w:numFmt w:val="bullet"/>
      <w:lvlText w:val="•"/>
      <w:lvlJc w:val="left"/>
      <w:pPr>
        <w:ind w:left="3879" w:hanging="496"/>
      </w:pPr>
      <w:rPr>
        <w:rFonts w:hint="default"/>
        <w:lang w:val="es-ES" w:eastAsia="es-ES" w:bidi="es-ES"/>
      </w:rPr>
    </w:lvl>
    <w:lvl w:ilvl="8">
      <w:start w:val="0"/>
      <w:numFmt w:val="bullet"/>
      <w:lvlText w:val="•"/>
      <w:lvlJc w:val="left"/>
      <w:pPr>
        <w:ind w:left="4410" w:hanging="496"/>
      </w:pPr>
      <w:rPr>
        <w:rFonts w:hint="default"/>
        <w:lang w:val="es-ES" w:eastAsia="es-ES" w:bidi="es-ES"/>
      </w:rPr>
    </w:lvl>
  </w:abstractNum>
  <w:abstractNum w:abstractNumId="270">
    <w:multiLevelType w:val="hybridMultilevel"/>
    <w:lvl w:ilvl="0">
      <w:start w:val="1"/>
      <w:numFmt w:val="lowerLetter"/>
      <w:lvlText w:val="%1)"/>
      <w:lvlJc w:val="left"/>
      <w:pPr>
        <w:ind w:left="151" w:hanging="496"/>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6"/>
      </w:pPr>
      <w:rPr>
        <w:rFonts w:hint="default"/>
        <w:lang w:val="es-ES" w:eastAsia="es-ES" w:bidi="es-ES"/>
      </w:rPr>
    </w:lvl>
    <w:lvl w:ilvl="2">
      <w:start w:val="0"/>
      <w:numFmt w:val="bullet"/>
      <w:lvlText w:val="•"/>
      <w:lvlJc w:val="left"/>
      <w:pPr>
        <w:ind w:left="1772" w:hanging="496"/>
      </w:pPr>
      <w:rPr>
        <w:rFonts w:hint="default"/>
        <w:lang w:val="es-ES" w:eastAsia="es-ES" w:bidi="es-ES"/>
      </w:rPr>
    </w:lvl>
    <w:lvl w:ilvl="3">
      <w:start w:val="0"/>
      <w:numFmt w:val="bullet"/>
      <w:lvlText w:val="•"/>
      <w:lvlJc w:val="left"/>
      <w:pPr>
        <w:ind w:left="2578" w:hanging="496"/>
      </w:pPr>
      <w:rPr>
        <w:rFonts w:hint="default"/>
        <w:lang w:val="es-ES" w:eastAsia="es-ES" w:bidi="es-ES"/>
      </w:rPr>
    </w:lvl>
    <w:lvl w:ilvl="4">
      <w:start w:val="0"/>
      <w:numFmt w:val="bullet"/>
      <w:lvlText w:val="•"/>
      <w:lvlJc w:val="left"/>
      <w:pPr>
        <w:ind w:left="3384" w:hanging="496"/>
      </w:pPr>
      <w:rPr>
        <w:rFonts w:hint="default"/>
        <w:lang w:val="es-ES" w:eastAsia="es-ES" w:bidi="es-ES"/>
      </w:rPr>
    </w:lvl>
    <w:lvl w:ilvl="5">
      <w:start w:val="0"/>
      <w:numFmt w:val="bullet"/>
      <w:lvlText w:val="•"/>
      <w:lvlJc w:val="left"/>
      <w:pPr>
        <w:ind w:left="4190" w:hanging="496"/>
      </w:pPr>
      <w:rPr>
        <w:rFonts w:hint="default"/>
        <w:lang w:val="es-ES" w:eastAsia="es-ES" w:bidi="es-ES"/>
      </w:rPr>
    </w:lvl>
    <w:lvl w:ilvl="6">
      <w:start w:val="0"/>
      <w:numFmt w:val="bullet"/>
      <w:lvlText w:val="•"/>
      <w:lvlJc w:val="left"/>
      <w:pPr>
        <w:ind w:left="4997" w:hanging="496"/>
      </w:pPr>
      <w:rPr>
        <w:rFonts w:hint="default"/>
        <w:lang w:val="es-ES" w:eastAsia="es-ES" w:bidi="es-ES"/>
      </w:rPr>
    </w:lvl>
    <w:lvl w:ilvl="7">
      <w:start w:val="0"/>
      <w:numFmt w:val="bullet"/>
      <w:lvlText w:val="•"/>
      <w:lvlJc w:val="left"/>
      <w:pPr>
        <w:ind w:left="5803" w:hanging="496"/>
      </w:pPr>
      <w:rPr>
        <w:rFonts w:hint="default"/>
        <w:lang w:val="es-ES" w:eastAsia="es-ES" w:bidi="es-ES"/>
      </w:rPr>
    </w:lvl>
    <w:lvl w:ilvl="8">
      <w:start w:val="0"/>
      <w:numFmt w:val="bullet"/>
      <w:lvlText w:val="•"/>
      <w:lvlJc w:val="left"/>
      <w:pPr>
        <w:ind w:left="6609" w:hanging="496"/>
      </w:pPr>
      <w:rPr>
        <w:rFonts w:hint="default"/>
        <w:lang w:val="es-ES" w:eastAsia="es-ES" w:bidi="es-ES"/>
      </w:rPr>
    </w:lvl>
  </w:abstractNum>
  <w:abstractNum w:abstractNumId="269">
    <w:multiLevelType w:val="hybridMultilevel"/>
    <w:lvl w:ilvl="0">
      <w:start w:val="1"/>
      <w:numFmt w:val="upperRoman"/>
      <w:lvlText w:val="%1."/>
      <w:lvlJc w:val="left"/>
      <w:pPr>
        <w:ind w:left="151" w:hanging="159"/>
        <w:jc w:val="left"/>
      </w:pPr>
      <w:rPr>
        <w:rFonts w:hint="default" w:ascii="Arial" w:hAnsi="Arial" w:eastAsia="Arial" w:cs="Arial"/>
        <w:w w:val="102"/>
        <w:sz w:val="15"/>
        <w:szCs w:val="15"/>
        <w:lang w:val="es-ES" w:eastAsia="es-ES" w:bidi="es-ES"/>
      </w:rPr>
    </w:lvl>
    <w:lvl w:ilvl="1">
      <w:start w:val="1"/>
      <w:numFmt w:val="decimal"/>
      <w:lvlText w:val="%2."/>
      <w:lvlJc w:val="left"/>
      <w:pPr>
        <w:ind w:left="150" w:hanging="186"/>
        <w:jc w:val="left"/>
      </w:pPr>
      <w:rPr>
        <w:rFonts w:hint="default" w:ascii="Arial" w:hAnsi="Arial" w:eastAsia="Arial" w:cs="Arial"/>
        <w:w w:val="102"/>
        <w:sz w:val="15"/>
        <w:szCs w:val="15"/>
        <w:lang w:val="es-ES" w:eastAsia="es-ES" w:bidi="es-ES"/>
      </w:rPr>
    </w:lvl>
    <w:lvl w:ilvl="2">
      <w:start w:val="0"/>
      <w:numFmt w:val="bullet"/>
      <w:lvlText w:val="•"/>
      <w:lvlJc w:val="left"/>
      <w:pPr>
        <w:ind w:left="-1102" w:hanging="186"/>
      </w:pPr>
      <w:rPr>
        <w:rFonts w:hint="default"/>
        <w:lang w:val="es-ES" w:eastAsia="es-ES" w:bidi="es-ES"/>
      </w:rPr>
    </w:lvl>
    <w:lvl w:ilvl="3">
      <w:start w:val="0"/>
      <w:numFmt w:val="bullet"/>
      <w:lvlText w:val="•"/>
      <w:lvlJc w:val="left"/>
      <w:pPr>
        <w:ind w:left="-1733" w:hanging="186"/>
      </w:pPr>
      <w:rPr>
        <w:rFonts w:hint="default"/>
        <w:lang w:val="es-ES" w:eastAsia="es-ES" w:bidi="es-ES"/>
      </w:rPr>
    </w:lvl>
    <w:lvl w:ilvl="4">
      <w:start w:val="0"/>
      <w:numFmt w:val="bullet"/>
      <w:lvlText w:val="•"/>
      <w:lvlJc w:val="left"/>
      <w:pPr>
        <w:ind w:left="-2364" w:hanging="186"/>
      </w:pPr>
      <w:rPr>
        <w:rFonts w:hint="default"/>
        <w:lang w:val="es-ES" w:eastAsia="es-ES" w:bidi="es-ES"/>
      </w:rPr>
    </w:lvl>
    <w:lvl w:ilvl="5">
      <w:start w:val="0"/>
      <w:numFmt w:val="bullet"/>
      <w:lvlText w:val="•"/>
      <w:lvlJc w:val="left"/>
      <w:pPr>
        <w:ind w:left="-2995" w:hanging="186"/>
      </w:pPr>
      <w:rPr>
        <w:rFonts w:hint="default"/>
        <w:lang w:val="es-ES" w:eastAsia="es-ES" w:bidi="es-ES"/>
      </w:rPr>
    </w:lvl>
    <w:lvl w:ilvl="6">
      <w:start w:val="0"/>
      <w:numFmt w:val="bullet"/>
      <w:lvlText w:val="•"/>
      <w:lvlJc w:val="left"/>
      <w:pPr>
        <w:ind w:left="-3626" w:hanging="186"/>
      </w:pPr>
      <w:rPr>
        <w:rFonts w:hint="default"/>
        <w:lang w:val="es-ES" w:eastAsia="es-ES" w:bidi="es-ES"/>
      </w:rPr>
    </w:lvl>
    <w:lvl w:ilvl="7">
      <w:start w:val="0"/>
      <w:numFmt w:val="bullet"/>
      <w:lvlText w:val="•"/>
      <w:lvlJc w:val="left"/>
      <w:pPr>
        <w:ind w:left="-4257" w:hanging="186"/>
      </w:pPr>
      <w:rPr>
        <w:rFonts w:hint="default"/>
        <w:lang w:val="es-ES" w:eastAsia="es-ES" w:bidi="es-ES"/>
      </w:rPr>
    </w:lvl>
    <w:lvl w:ilvl="8">
      <w:start w:val="0"/>
      <w:numFmt w:val="bullet"/>
      <w:lvlText w:val="•"/>
      <w:lvlJc w:val="left"/>
      <w:pPr>
        <w:ind w:left="-4888" w:hanging="186"/>
      </w:pPr>
      <w:rPr>
        <w:rFonts w:hint="default"/>
        <w:lang w:val="es-ES" w:eastAsia="es-ES" w:bidi="es-ES"/>
      </w:rPr>
    </w:lvl>
  </w:abstractNum>
  <w:abstractNum w:abstractNumId="268">
    <w:multiLevelType w:val="hybridMultilevel"/>
    <w:lvl w:ilvl="0">
      <w:start w:val="1"/>
      <w:numFmt w:val="upperRoman"/>
      <w:lvlText w:val="%1."/>
      <w:lvlJc w:val="left"/>
      <w:pPr>
        <w:ind w:left="151" w:hanging="168"/>
        <w:jc w:val="left"/>
      </w:pPr>
      <w:rPr>
        <w:rFonts w:hint="default" w:ascii="Arial" w:hAnsi="Arial" w:eastAsia="Arial" w:cs="Arial"/>
        <w:w w:val="102"/>
        <w:sz w:val="15"/>
        <w:szCs w:val="15"/>
        <w:lang w:val="es-ES" w:eastAsia="es-ES" w:bidi="es-ES"/>
      </w:rPr>
    </w:lvl>
    <w:lvl w:ilvl="1">
      <w:start w:val="0"/>
      <w:numFmt w:val="bullet"/>
      <w:lvlText w:val="•"/>
      <w:lvlJc w:val="left"/>
      <w:pPr>
        <w:ind w:left="966" w:hanging="168"/>
      </w:pPr>
      <w:rPr>
        <w:rFonts w:hint="default"/>
        <w:lang w:val="es-ES" w:eastAsia="es-ES" w:bidi="es-ES"/>
      </w:rPr>
    </w:lvl>
    <w:lvl w:ilvl="2">
      <w:start w:val="0"/>
      <w:numFmt w:val="bullet"/>
      <w:lvlText w:val="•"/>
      <w:lvlJc w:val="left"/>
      <w:pPr>
        <w:ind w:left="1772" w:hanging="168"/>
      </w:pPr>
      <w:rPr>
        <w:rFonts w:hint="default"/>
        <w:lang w:val="es-ES" w:eastAsia="es-ES" w:bidi="es-ES"/>
      </w:rPr>
    </w:lvl>
    <w:lvl w:ilvl="3">
      <w:start w:val="0"/>
      <w:numFmt w:val="bullet"/>
      <w:lvlText w:val="•"/>
      <w:lvlJc w:val="left"/>
      <w:pPr>
        <w:ind w:left="2578" w:hanging="168"/>
      </w:pPr>
      <w:rPr>
        <w:rFonts w:hint="default"/>
        <w:lang w:val="es-ES" w:eastAsia="es-ES" w:bidi="es-ES"/>
      </w:rPr>
    </w:lvl>
    <w:lvl w:ilvl="4">
      <w:start w:val="0"/>
      <w:numFmt w:val="bullet"/>
      <w:lvlText w:val="•"/>
      <w:lvlJc w:val="left"/>
      <w:pPr>
        <w:ind w:left="3384" w:hanging="168"/>
      </w:pPr>
      <w:rPr>
        <w:rFonts w:hint="default"/>
        <w:lang w:val="es-ES" w:eastAsia="es-ES" w:bidi="es-ES"/>
      </w:rPr>
    </w:lvl>
    <w:lvl w:ilvl="5">
      <w:start w:val="0"/>
      <w:numFmt w:val="bullet"/>
      <w:lvlText w:val="•"/>
      <w:lvlJc w:val="left"/>
      <w:pPr>
        <w:ind w:left="4190" w:hanging="168"/>
      </w:pPr>
      <w:rPr>
        <w:rFonts w:hint="default"/>
        <w:lang w:val="es-ES" w:eastAsia="es-ES" w:bidi="es-ES"/>
      </w:rPr>
    </w:lvl>
    <w:lvl w:ilvl="6">
      <w:start w:val="0"/>
      <w:numFmt w:val="bullet"/>
      <w:lvlText w:val="•"/>
      <w:lvlJc w:val="left"/>
      <w:pPr>
        <w:ind w:left="4997" w:hanging="168"/>
      </w:pPr>
      <w:rPr>
        <w:rFonts w:hint="default"/>
        <w:lang w:val="es-ES" w:eastAsia="es-ES" w:bidi="es-ES"/>
      </w:rPr>
    </w:lvl>
    <w:lvl w:ilvl="7">
      <w:start w:val="0"/>
      <w:numFmt w:val="bullet"/>
      <w:lvlText w:val="•"/>
      <w:lvlJc w:val="left"/>
      <w:pPr>
        <w:ind w:left="5803" w:hanging="168"/>
      </w:pPr>
      <w:rPr>
        <w:rFonts w:hint="default"/>
        <w:lang w:val="es-ES" w:eastAsia="es-ES" w:bidi="es-ES"/>
      </w:rPr>
    </w:lvl>
    <w:lvl w:ilvl="8">
      <w:start w:val="0"/>
      <w:numFmt w:val="bullet"/>
      <w:lvlText w:val="•"/>
      <w:lvlJc w:val="left"/>
      <w:pPr>
        <w:ind w:left="6609" w:hanging="168"/>
      </w:pPr>
      <w:rPr>
        <w:rFonts w:hint="default"/>
        <w:lang w:val="es-ES" w:eastAsia="es-ES" w:bidi="es-ES"/>
      </w:rPr>
    </w:lvl>
  </w:abstractNum>
  <w:abstractNum w:abstractNumId="267">
    <w:multiLevelType w:val="hybridMultilevel"/>
    <w:lvl w:ilvl="0">
      <w:start w:val="1"/>
      <w:numFmt w:val="lowerLetter"/>
      <w:lvlText w:val="%1)"/>
      <w:lvlJc w:val="left"/>
      <w:pPr>
        <w:ind w:left="150" w:hanging="229"/>
        <w:jc w:val="left"/>
      </w:pPr>
      <w:rPr>
        <w:rFonts w:hint="default" w:ascii="Arial" w:hAnsi="Arial" w:eastAsia="Arial" w:cs="Arial"/>
        <w:w w:val="102"/>
        <w:sz w:val="15"/>
        <w:szCs w:val="15"/>
        <w:lang w:val="es-ES" w:eastAsia="es-ES" w:bidi="es-ES"/>
      </w:rPr>
    </w:lvl>
    <w:lvl w:ilvl="1">
      <w:start w:val="0"/>
      <w:numFmt w:val="bullet"/>
      <w:lvlText w:val="•"/>
      <w:lvlJc w:val="left"/>
      <w:pPr>
        <w:ind w:left="691" w:hanging="229"/>
      </w:pPr>
      <w:rPr>
        <w:rFonts w:hint="default"/>
        <w:lang w:val="es-ES" w:eastAsia="es-ES" w:bidi="es-ES"/>
      </w:rPr>
    </w:lvl>
    <w:lvl w:ilvl="2">
      <w:start w:val="0"/>
      <w:numFmt w:val="bullet"/>
      <w:lvlText w:val="•"/>
      <w:lvlJc w:val="left"/>
      <w:pPr>
        <w:ind w:left="1222" w:hanging="229"/>
      </w:pPr>
      <w:rPr>
        <w:rFonts w:hint="default"/>
        <w:lang w:val="es-ES" w:eastAsia="es-ES" w:bidi="es-ES"/>
      </w:rPr>
    </w:lvl>
    <w:lvl w:ilvl="3">
      <w:start w:val="0"/>
      <w:numFmt w:val="bullet"/>
      <w:lvlText w:val="•"/>
      <w:lvlJc w:val="left"/>
      <w:pPr>
        <w:ind w:left="1753" w:hanging="229"/>
      </w:pPr>
      <w:rPr>
        <w:rFonts w:hint="default"/>
        <w:lang w:val="es-ES" w:eastAsia="es-ES" w:bidi="es-ES"/>
      </w:rPr>
    </w:lvl>
    <w:lvl w:ilvl="4">
      <w:start w:val="0"/>
      <w:numFmt w:val="bullet"/>
      <w:lvlText w:val="•"/>
      <w:lvlJc w:val="left"/>
      <w:pPr>
        <w:ind w:left="2285" w:hanging="229"/>
      </w:pPr>
      <w:rPr>
        <w:rFonts w:hint="default"/>
        <w:lang w:val="es-ES" w:eastAsia="es-ES" w:bidi="es-ES"/>
      </w:rPr>
    </w:lvl>
    <w:lvl w:ilvl="5">
      <w:start w:val="0"/>
      <w:numFmt w:val="bullet"/>
      <w:lvlText w:val="•"/>
      <w:lvlJc w:val="left"/>
      <w:pPr>
        <w:ind w:left="2816" w:hanging="229"/>
      </w:pPr>
      <w:rPr>
        <w:rFonts w:hint="default"/>
        <w:lang w:val="es-ES" w:eastAsia="es-ES" w:bidi="es-ES"/>
      </w:rPr>
    </w:lvl>
    <w:lvl w:ilvl="6">
      <w:start w:val="0"/>
      <w:numFmt w:val="bullet"/>
      <w:lvlText w:val="•"/>
      <w:lvlJc w:val="left"/>
      <w:pPr>
        <w:ind w:left="3347" w:hanging="229"/>
      </w:pPr>
      <w:rPr>
        <w:rFonts w:hint="default"/>
        <w:lang w:val="es-ES" w:eastAsia="es-ES" w:bidi="es-ES"/>
      </w:rPr>
    </w:lvl>
    <w:lvl w:ilvl="7">
      <w:start w:val="0"/>
      <w:numFmt w:val="bullet"/>
      <w:lvlText w:val="•"/>
      <w:lvlJc w:val="left"/>
      <w:pPr>
        <w:ind w:left="3879" w:hanging="229"/>
      </w:pPr>
      <w:rPr>
        <w:rFonts w:hint="default"/>
        <w:lang w:val="es-ES" w:eastAsia="es-ES" w:bidi="es-ES"/>
      </w:rPr>
    </w:lvl>
    <w:lvl w:ilvl="8">
      <w:start w:val="0"/>
      <w:numFmt w:val="bullet"/>
      <w:lvlText w:val="•"/>
      <w:lvlJc w:val="left"/>
      <w:pPr>
        <w:ind w:left="4410" w:hanging="229"/>
      </w:pPr>
      <w:rPr>
        <w:rFonts w:hint="default"/>
        <w:lang w:val="es-ES" w:eastAsia="es-ES" w:bidi="es-ES"/>
      </w:rPr>
    </w:lvl>
  </w:abstractNum>
  <w:abstractNum w:abstractNumId="266">
    <w:multiLevelType w:val="hybridMultilevel"/>
    <w:lvl w:ilvl="0">
      <w:start w:val="1"/>
      <w:numFmt w:val="lowerLetter"/>
      <w:lvlText w:val="%1)"/>
      <w:lvlJc w:val="left"/>
      <w:pPr>
        <w:ind w:left="151" w:hanging="186"/>
        <w:jc w:val="left"/>
      </w:pPr>
      <w:rPr>
        <w:rFonts w:hint="default" w:ascii="Arial" w:hAnsi="Arial" w:eastAsia="Arial" w:cs="Arial"/>
        <w:w w:val="102"/>
        <w:sz w:val="15"/>
        <w:szCs w:val="15"/>
        <w:lang w:val="es-ES" w:eastAsia="es-ES" w:bidi="es-ES"/>
      </w:rPr>
    </w:lvl>
    <w:lvl w:ilvl="1">
      <w:start w:val="0"/>
      <w:numFmt w:val="bullet"/>
      <w:lvlText w:val="•"/>
      <w:lvlJc w:val="left"/>
      <w:pPr>
        <w:ind w:left="966" w:hanging="186"/>
      </w:pPr>
      <w:rPr>
        <w:rFonts w:hint="default"/>
        <w:lang w:val="es-ES" w:eastAsia="es-ES" w:bidi="es-ES"/>
      </w:rPr>
    </w:lvl>
    <w:lvl w:ilvl="2">
      <w:start w:val="0"/>
      <w:numFmt w:val="bullet"/>
      <w:lvlText w:val="•"/>
      <w:lvlJc w:val="left"/>
      <w:pPr>
        <w:ind w:left="1772" w:hanging="186"/>
      </w:pPr>
      <w:rPr>
        <w:rFonts w:hint="default"/>
        <w:lang w:val="es-ES" w:eastAsia="es-ES" w:bidi="es-ES"/>
      </w:rPr>
    </w:lvl>
    <w:lvl w:ilvl="3">
      <w:start w:val="0"/>
      <w:numFmt w:val="bullet"/>
      <w:lvlText w:val="•"/>
      <w:lvlJc w:val="left"/>
      <w:pPr>
        <w:ind w:left="2578" w:hanging="186"/>
      </w:pPr>
      <w:rPr>
        <w:rFonts w:hint="default"/>
        <w:lang w:val="es-ES" w:eastAsia="es-ES" w:bidi="es-ES"/>
      </w:rPr>
    </w:lvl>
    <w:lvl w:ilvl="4">
      <w:start w:val="0"/>
      <w:numFmt w:val="bullet"/>
      <w:lvlText w:val="•"/>
      <w:lvlJc w:val="left"/>
      <w:pPr>
        <w:ind w:left="3384" w:hanging="186"/>
      </w:pPr>
      <w:rPr>
        <w:rFonts w:hint="default"/>
        <w:lang w:val="es-ES" w:eastAsia="es-ES" w:bidi="es-ES"/>
      </w:rPr>
    </w:lvl>
    <w:lvl w:ilvl="5">
      <w:start w:val="0"/>
      <w:numFmt w:val="bullet"/>
      <w:lvlText w:val="•"/>
      <w:lvlJc w:val="left"/>
      <w:pPr>
        <w:ind w:left="4191" w:hanging="186"/>
      </w:pPr>
      <w:rPr>
        <w:rFonts w:hint="default"/>
        <w:lang w:val="es-ES" w:eastAsia="es-ES" w:bidi="es-ES"/>
      </w:rPr>
    </w:lvl>
    <w:lvl w:ilvl="6">
      <w:start w:val="0"/>
      <w:numFmt w:val="bullet"/>
      <w:lvlText w:val="•"/>
      <w:lvlJc w:val="left"/>
      <w:pPr>
        <w:ind w:left="4997" w:hanging="186"/>
      </w:pPr>
      <w:rPr>
        <w:rFonts w:hint="default"/>
        <w:lang w:val="es-ES" w:eastAsia="es-ES" w:bidi="es-ES"/>
      </w:rPr>
    </w:lvl>
    <w:lvl w:ilvl="7">
      <w:start w:val="0"/>
      <w:numFmt w:val="bullet"/>
      <w:lvlText w:val="•"/>
      <w:lvlJc w:val="left"/>
      <w:pPr>
        <w:ind w:left="5803" w:hanging="186"/>
      </w:pPr>
      <w:rPr>
        <w:rFonts w:hint="default"/>
        <w:lang w:val="es-ES" w:eastAsia="es-ES" w:bidi="es-ES"/>
      </w:rPr>
    </w:lvl>
    <w:lvl w:ilvl="8">
      <w:start w:val="0"/>
      <w:numFmt w:val="bullet"/>
      <w:lvlText w:val="•"/>
      <w:lvlJc w:val="left"/>
      <w:pPr>
        <w:ind w:left="6609" w:hanging="186"/>
      </w:pPr>
      <w:rPr>
        <w:rFonts w:hint="default"/>
        <w:lang w:val="es-ES" w:eastAsia="es-ES" w:bidi="es-ES"/>
      </w:rPr>
    </w:lvl>
  </w:abstractNum>
  <w:abstractNum w:abstractNumId="265">
    <w:multiLevelType w:val="hybridMultilevel"/>
    <w:lvl w:ilvl="0">
      <w:start w:val="4"/>
      <w:numFmt w:val="lowerLetter"/>
      <w:lvlText w:val="%1)"/>
      <w:lvlJc w:val="left"/>
      <w:pPr>
        <w:ind w:left="151" w:hanging="194"/>
        <w:jc w:val="left"/>
      </w:pPr>
      <w:rPr>
        <w:rFonts w:hint="default" w:ascii="Arial" w:hAnsi="Arial" w:eastAsia="Arial" w:cs="Arial"/>
        <w:w w:val="102"/>
        <w:sz w:val="15"/>
        <w:szCs w:val="15"/>
        <w:lang w:val="es-ES" w:eastAsia="es-ES" w:bidi="es-ES"/>
      </w:rPr>
    </w:lvl>
    <w:lvl w:ilvl="1">
      <w:start w:val="0"/>
      <w:numFmt w:val="bullet"/>
      <w:lvlText w:val="•"/>
      <w:lvlJc w:val="left"/>
      <w:pPr>
        <w:ind w:left="966" w:hanging="194"/>
      </w:pPr>
      <w:rPr>
        <w:rFonts w:hint="default"/>
        <w:lang w:val="es-ES" w:eastAsia="es-ES" w:bidi="es-ES"/>
      </w:rPr>
    </w:lvl>
    <w:lvl w:ilvl="2">
      <w:start w:val="0"/>
      <w:numFmt w:val="bullet"/>
      <w:lvlText w:val="•"/>
      <w:lvlJc w:val="left"/>
      <w:pPr>
        <w:ind w:left="1772" w:hanging="194"/>
      </w:pPr>
      <w:rPr>
        <w:rFonts w:hint="default"/>
        <w:lang w:val="es-ES" w:eastAsia="es-ES" w:bidi="es-ES"/>
      </w:rPr>
    </w:lvl>
    <w:lvl w:ilvl="3">
      <w:start w:val="0"/>
      <w:numFmt w:val="bullet"/>
      <w:lvlText w:val="•"/>
      <w:lvlJc w:val="left"/>
      <w:pPr>
        <w:ind w:left="2578" w:hanging="194"/>
      </w:pPr>
      <w:rPr>
        <w:rFonts w:hint="default"/>
        <w:lang w:val="es-ES" w:eastAsia="es-ES" w:bidi="es-ES"/>
      </w:rPr>
    </w:lvl>
    <w:lvl w:ilvl="4">
      <w:start w:val="0"/>
      <w:numFmt w:val="bullet"/>
      <w:lvlText w:val="•"/>
      <w:lvlJc w:val="left"/>
      <w:pPr>
        <w:ind w:left="3384" w:hanging="194"/>
      </w:pPr>
      <w:rPr>
        <w:rFonts w:hint="default"/>
        <w:lang w:val="es-ES" w:eastAsia="es-ES" w:bidi="es-ES"/>
      </w:rPr>
    </w:lvl>
    <w:lvl w:ilvl="5">
      <w:start w:val="0"/>
      <w:numFmt w:val="bullet"/>
      <w:lvlText w:val="•"/>
      <w:lvlJc w:val="left"/>
      <w:pPr>
        <w:ind w:left="4191" w:hanging="194"/>
      </w:pPr>
      <w:rPr>
        <w:rFonts w:hint="default"/>
        <w:lang w:val="es-ES" w:eastAsia="es-ES" w:bidi="es-ES"/>
      </w:rPr>
    </w:lvl>
    <w:lvl w:ilvl="6">
      <w:start w:val="0"/>
      <w:numFmt w:val="bullet"/>
      <w:lvlText w:val="•"/>
      <w:lvlJc w:val="left"/>
      <w:pPr>
        <w:ind w:left="4997" w:hanging="194"/>
      </w:pPr>
      <w:rPr>
        <w:rFonts w:hint="default"/>
        <w:lang w:val="es-ES" w:eastAsia="es-ES" w:bidi="es-ES"/>
      </w:rPr>
    </w:lvl>
    <w:lvl w:ilvl="7">
      <w:start w:val="0"/>
      <w:numFmt w:val="bullet"/>
      <w:lvlText w:val="•"/>
      <w:lvlJc w:val="left"/>
      <w:pPr>
        <w:ind w:left="5803" w:hanging="194"/>
      </w:pPr>
      <w:rPr>
        <w:rFonts w:hint="default"/>
        <w:lang w:val="es-ES" w:eastAsia="es-ES" w:bidi="es-ES"/>
      </w:rPr>
    </w:lvl>
    <w:lvl w:ilvl="8">
      <w:start w:val="0"/>
      <w:numFmt w:val="bullet"/>
      <w:lvlText w:val="•"/>
      <w:lvlJc w:val="left"/>
      <w:pPr>
        <w:ind w:left="6609" w:hanging="194"/>
      </w:pPr>
      <w:rPr>
        <w:rFonts w:hint="default"/>
        <w:lang w:val="es-ES" w:eastAsia="es-ES" w:bidi="es-ES"/>
      </w:rPr>
    </w:lvl>
  </w:abstractNum>
  <w:abstractNum w:abstractNumId="264">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95" w:hanging="180"/>
      </w:pPr>
      <w:rPr>
        <w:rFonts w:hint="default"/>
        <w:lang w:val="es-ES" w:eastAsia="es-ES" w:bidi="es-ES"/>
      </w:rPr>
    </w:lvl>
    <w:lvl w:ilvl="2">
      <w:start w:val="0"/>
      <w:numFmt w:val="bullet"/>
      <w:lvlText w:val="•"/>
      <w:lvlJc w:val="left"/>
      <w:pPr>
        <w:ind w:left="1670" w:hanging="180"/>
      </w:pPr>
      <w:rPr>
        <w:rFonts w:hint="default"/>
        <w:lang w:val="es-ES" w:eastAsia="es-ES" w:bidi="es-ES"/>
      </w:rPr>
    </w:lvl>
    <w:lvl w:ilvl="3">
      <w:start w:val="0"/>
      <w:numFmt w:val="bullet"/>
      <w:lvlText w:val="•"/>
      <w:lvlJc w:val="left"/>
      <w:pPr>
        <w:ind w:left="2146" w:hanging="180"/>
      </w:pPr>
      <w:rPr>
        <w:rFonts w:hint="default"/>
        <w:lang w:val="es-ES" w:eastAsia="es-ES" w:bidi="es-ES"/>
      </w:rPr>
    </w:lvl>
    <w:lvl w:ilvl="4">
      <w:start w:val="0"/>
      <w:numFmt w:val="bullet"/>
      <w:lvlText w:val="•"/>
      <w:lvlJc w:val="left"/>
      <w:pPr>
        <w:ind w:left="2621" w:hanging="180"/>
      </w:pPr>
      <w:rPr>
        <w:rFonts w:hint="default"/>
        <w:lang w:val="es-ES" w:eastAsia="es-ES" w:bidi="es-ES"/>
      </w:rPr>
    </w:lvl>
    <w:lvl w:ilvl="5">
      <w:start w:val="0"/>
      <w:numFmt w:val="bullet"/>
      <w:lvlText w:val="•"/>
      <w:lvlJc w:val="left"/>
      <w:pPr>
        <w:ind w:left="3096" w:hanging="180"/>
      </w:pPr>
      <w:rPr>
        <w:rFonts w:hint="default"/>
        <w:lang w:val="es-ES" w:eastAsia="es-ES" w:bidi="es-ES"/>
      </w:rPr>
    </w:lvl>
    <w:lvl w:ilvl="6">
      <w:start w:val="0"/>
      <w:numFmt w:val="bullet"/>
      <w:lvlText w:val="•"/>
      <w:lvlJc w:val="left"/>
      <w:pPr>
        <w:ind w:left="3572" w:hanging="180"/>
      </w:pPr>
      <w:rPr>
        <w:rFonts w:hint="default"/>
        <w:lang w:val="es-ES" w:eastAsia="es-ES" w:bidi="es-ES"/>
      </w:rPr>
    </w:lvl>
    <w:lvl w:ilvl="7">
      <w:start w:val="0"/>
      <w:numFmt w:val="bullet"/>
      <w:lvlText w:val="•"/>
      <w:lvlJc w:val="left"/>
      <w:pPr>
        <w:ind w:left="4047" w:hanging="180"/>
      </w:pPr>
      <w:rPr>
        <w:rFonts w:hint="default"/>
        <w:lang w:val="es-ES" w:eastAsia="es-ES" w:bidi="es-ES"/>
      </w:rPr>
    </w:lvl>
    <w:lvl w:ilvl="8">
      <w:start w:val="0"/>
      <w:numFmt w:val="bullet"/>
      <w:lvlText w:val="•"/>
      <w:lvlJc w:val="left"/>
      <w:pPr>
        <w:ind w:left="4522" w:hanging="180"/>
      </w:pPr>
      <w:rPr>
        <w:rFonts w:hint="default"/>
        <w:lang w:val="es-ES" w:eastAsia="es-ES" w:bidi="es-ES"/>
      </w:rPr>
    </w:lvl>
  </w:abstractNum>
  <w:abstractNum w:abstractNumId="263">
    <w:multiLevelType w:val="hybridMultilevel"/>
    <w:lvl w:ilvl="0">
      <w:start w:val="1"/>
      <w:numFmt w:val="lowerLetter"/>
      <w:lvlText w:val="%1)"/>
      <w:lvlJc w:val="left"/>
      <w:pPr>
        <w:ind w:left="726" w:hanging="179"/>
        <w:jc w:val="left"/>
      </w:pPr>
      <w:rPr>
        <w:rFonts w:hint="default" w:ascii="Arial" w:hAnsi="Arial" w:eastAsia="Arial" w:cs="Arial"/>
        <w:w w:val="102"/>
        <w:sz w:val="15"/>
        <w:szCs w:val="15"/>
        <w:lang w:val="es-ES" w:eastAsia="es-ES" w:bidi="es-ES"/>
      </w:rPr>
    </w:lvl>
    <w:lvl w:ilvl="1">
      <w:start w:val="0"/>
      <w:numFmt w:val="bullet"/>
      <w:lvlText w:val="•"/>
      <w:lvlJc w:val="left"/>
      <w:pPr>
        <w:ind w:left="1195" w:hanging="179"/>
      </w:pPr>
      <w:rPr>
        <w:rFonts w:hint="default"/>
        <w:lang w:val="es-ES" w:eastAsia="es-ES" w:bidi="es-ES"/>
      </w:rPr>
    </w:lvl>
    <w:lvl w:ilvl="2">
      <w:start w:val="0"/>
      <w:numFmt w:val="bullet"/>
      <w:lvlText w:val="•"/>
      <w:lvlJc w:val="left"/>
      <w:pPr>
        <w:ind w:left="1670" w:hanging="179"/>
      </w:pPr>
      <w:rPr>
        <w:rFonts w:hint="default"/>
        <w:lang w:val="es-ES" w:eastAsia="es-ES" w:bidi="es-ES"/>
      </w:rPr>
    </w:lvl>
    <w:lvl w:ilvl="3">
      <w:start w:val="0"/>
      <w:numFmt w:val="bullet"/>
      <w:lvlText w:val="•"/>
      <w:lvlJc w:val="left"/>
      <w:pPr>
        <w:ind w:left="2146" w:hanging="179"/>
      </w:pPr>
      <w:rPr>
        <w:rFonts w:hint="default"/>
        <w:lang w:val="es-ES" w:eastAsia="es-ES" w:bidi="es-ES"/>
      </w:rPr>
    </w:lvl>
    <w:lvl w:ilvl="4">
      <w:start w:val="0"/>
      <w:numFmt w:val="bullet"/>
      <w:lvlText w:val="•"/>
      <w:lvlJc w:val="left"/>
      <w:pPr>
        <w:ind w:left="2621" w:hanging="179"/>
      </w:pPr>
      <w:rPr>
        <w:rFonts w:hint="default"/>
        <w:lang w:val="es-ES" w:eastAsia="es-ES" w:bidi="es-ES"/>
      </w:rPr>
    </w:lvl>
    <w:lvl w:ilvl="5">
      <w:start w:val="0"/>
      <w:numFmt w:val="bullet"/>
      <w:lvlText w:val="•"/>
      <w:lvlJc w:val="left"/>
      <w:pPr>
        <w:ind w:left="3096" w:hanging="179"/>
      </w:pPr>
      <w:rPr>
        <w:rFonts w:hint="default"/>
        <w:lang w:val="es-ES" w:eastAsia="es-ES" w:bidi="es-ES"/>
      </w:rPr>
    </w:lvl>
    <w:lvl w:ilvl="6">
      <w:start w:val="0"/>
      <w:numFmt w:val="bullet"/>
      <w:lvlText w:val="•"/>
      <w:lvlJc w:val="left"/>
      <w:pPr>
        <w:ind w:left="3572" w:hanging="179"/>
      </w:pPr>
      <w:rPr>
        <w:rFonts w:hint="default"/>
        <w:lang w:val="es-ES" w:eastAsia="es-ES" w:bidi="es-ES"/>
      </w:rPr>
    </w:lvl>
    <w:lvl w:ilvl="7">
      <w:start w:val="0"/>
      <w:numFmt w:val="bullet"/>
      <w:lvlText w:val="•"/>
      <w:lvlJc w:val="left"/>
      <w:pPr>
        <w:ind w:left="4047" w:hanging="179"/>
      </w:pPr>
      <w:rPr>
        <w:rFonts w:hint="default"/>
        <w:lang w:val="es-ES" w:eastAsia="es-ES" w:bidi="es-ES"/>
      </w:rPr>
    </w:lvl>
    <w:lvl w:ilvl="8">
      <w:start w:val="0"/>
      <w:numFmt w:val="bullet"/>
      <w:lvlText w:val="•"/>
      <w:lvlJc w:val="left"/>
      <w:pPr>
        <w:ind w:left="4522" w:hanging="179"/>
      </w:pPr>
      <w:rPr>
        <w:rFonts w:hint="default"/>
        <w:lang w:val="es-ES" w:eastAsia="es-ES" w:bidi="es-ES"/>
      </w:rPr>
    </w:lvl>
  </w:abstractNum>
  <w:abstractNum w:abstractNumId="262">
    <w:multiLevelType w:val="hybridMultilevel"/>
    <w:lvl w:ilvl="0">
      <w:start w:val="1"/>
      <w:numFmt w:val="upperRoman"/>
      <w:lvlText w:val="%1."/>
      <w:lvlJc w:val="left"/>
      <w:pPr>
        <w:ind w:left="151" w:hanging="138"/>
        <w:jc w:val="left"/>
      </w:pPr>
      <w:rPr>
        <w:rFonts w:hint="default" w:ascii="Arial" w:hAnsi="Arial" w:eastAsia="Arial" w:cs="Arial"/>
        <w:w w:val="102"/>
        <w:sz w:val="15"/>
        <w:szCs w:val="15"/>
        <w:lang w:val="es-ES" w:eastAsia="es-ES" w:bidi="es-ES"/>
      </w:rPr>
    </w:lvl>
    <w:lvl w:ilvl="1">
      <w:start w:val="0"/>
      <w:numFmt w:val="bullet"/>
      <w:lvlText w:val="•"/>
      <w:lvlJc w:val="left"/>
      <w:pPr>
        <w:ind w:left="691" w:hanging="138"/>
      </w:pPr>
      <w:rPr>
        <w:rFonts w:hint="default"/>
        <w:lang w:val="es-ES" w:eastAsia="es-ES" w:bidi="es-ES"/>
      </w:rPr>
    </w:lvl>
    <w:lvl w:ilvl="2">
      <w:start w:val="0"/>
      <w:numFmt w:val="bullet"/>
      <w:lvlText w:val="•"/>
      <w:lvlJc w:val="left"/>
      <w:pPr>
        <w:ind w:left="1222" w:hanging="138"/>
      </w:pPr>
      <w:rPr>
        <w:rFonts w:hint="default"/>
        <w:lang w:val="es-ES" w:eastAsia="es-ES" w:bidi="es-ES"/>
      </w:rPr>
    </w:lvl>
    <w:lvl w:ilvl="3">
      <w:start w:val="0"/>
      <w:numFmt w:val="bullet"/>
      <w:lvlText w:val="•"/>
      <w:lvlJc w:val="left"/>
      <w:pPr>
        <w:ind w:left="1754" w:hanging="138"/>
      </w:pPr>
      <w:rPr>
        <w:rFonts w:hint="default"/>
        <w:lang w:val="es-ES" w:eastAsia="es-ES" w:bidi="es-ES"/>
      </w:rPr>
    </w:lvl>
    <w:lvl w:ilvl="4">
      <w:start w:val="0"/>
      <w:numFmt w:val="bullet"/>
      <w:lvlText w:val="•"/>
      <w:lvlJc w:val="left"/>
      <w:pPr>
        <w:ind w:left="2285" w:hanging="138"/>
      </w:pPr>
      <w:rPr>
        <w:rFonts w:hint="default"/>
        <w:lang w:val="es-ES" w:eastAsia="es-ES" w:bidi="es-ES"/>
      </w:rPr>
    </w:lvl>
    <w:lvl w:ilvl="5">
      <w:start w:val="0"/>
      <w:numFmt w:val="bullet"/>
      <w:lvlText w:val="•"/>
      <w:lvlJc w:val="left"/>
      <w:pPr>
        <w:ind w:left="2816" w:hanging="138"/>
      </w:pPr>
      <w:rPr>
        <w:rFonts w:hint="default"/>
        <w:lang w:val="es-ES" w:eastAsia="es-ES" w:bidi="es-ES"/>
      </w:rPr>
    </w:lvl>
    <w:lvl w:ilvl="6">
      <w:start w:val="0"/>
      <w:numFmt w:val="bullet"/>
      <w:lvlText w:val="•"/>
      <w:lvlJc w:val="left"/>
      <w:pPr>
        <w:ind w:left="3348" w:hanging="138"/>
      </w:pPr>
      <w:rPr>
        <w:rFonts w:hint="default"/>
        <w:lang w:val="es-ES" w:eastAsia="es-ES" w:bidi="es-ES"/>
      </w:rPr>
    </w:lvl>
    <w:lvl w:ilvl="7">
      <w:start w:val="0"/>
      <w:numFmt w:val="bullet"/>
      <w:lvlText w:val="•"/>
      <w:lvlJc w:val="left"/>
      <w:pPr>
        <w:ind w:left="3879" w:hanging="138"/>
      </w:pPr>
      <w:rPr>
        <w:rFonts w:hint="default"/>
        <w:lang w:val="es-ES" w:eastAsia="es-ES" w:bidi="es-ES"/>
      </w:rPr>
    </w:lvl>
    <w:lvl w:ilvl="8">
      <w:start w:val="0"/>
      <w:numFmt w:val="bullet"/>
      <w:lvlText w:val="•"/>
      <w:lvlJc w:val="left"/>
      <w:pPr>
        <w:ind w:left="4410" w:hanging="138"/>
      </w:pPr>
      <w:rPr>
        <w:rFonts w:hint="default"/>
        <w:lang w:val="es-ES" w:eastAsia="es-ES" w:bidi="es-ES"/>
      </w:rPr>
    </w:lvl>
  </w:abstractNum>
  <w:abstractNum w:abstractNumId="261">
    <w:multiLevelType w:val="hybridMultilevel"/>
    <w:lvl w:ilvl="0">
      <w:start w:val="1"/>
      <w:numFmt w:val="lowerLetter"/>
      <w:lvlText w:val="%1)"/>
      <w:lvlJc w:val="left"/>
      <w:pPr>
        <w:ind w:left="151" w:hanging="239"/>
        <w:jc w:val="left"/>
      </w:pPr>
      <w:rPr>
        <w:rFonts w:hint="default" w:ascii="Arial" w:hAnsi="Arial" w:eastAsia="Arial" w:cs="Arial"/>
        <w:w w:val="102"/>
        <w:sz w:val="15"/>
        <w:szCs w:val="15"/>
        <w:lang w:val="es-ES" w:eastAsia="es-ES" w:bidi="es-ES"/>
      </w:rPr>
    </w:lvl>
    <w:lvl w:ilvl="1">
      <w:start w:val="0"/>
      <w:numFmt w:val="bullet"/>
      <w:lvlText w:val="•"/>
      <w:lvlJc w:val="left"/>
      <w:pPr>
        <w:ind w:left="966" w:hanging="239"/>
      </w:pPr>
      <w:rPr>
        <w:rFonts w:hint="default"/>
        <w:lang w:val="es-ES" w:eastAsia="es-ES" w:bidi="es-ES"/>
      </w:rPr>
    </w:lvl>
    <w:lvl w:ilvl="2">
      <w:start w:val="0"/>
      <w:numFmt w:val="bullet"/>
      <w:lvlText w:val="•"/>
      <w:lvlJc w:val="left"/>
      <w:pPr>
        <w:ind w:left="1772" w:hanging="239"/>
      </w:pPr>
      <w:rPr>
        <w:rFonts w:hint="default"/>
        <w:lang w:val="es-ES" w:eastAsia="es-ES" w:bidi="es-ES"/>
      </w:rPr>
    </w:lvl>
    <w:lvl w:ilvl="3">
      <w:start w:val="0"/>
      <w:numFmt w:val="bullet"/>
      <w:lvlText w:val="•"/>
      <w:lvlJc w:val="left"/>
      <w:pPr>
        <w:ind w:left="2578" w:hanging="239"/>
      </w:pPr>
      <w:rPr>
        <w:rFonts w:hint="default"/>
        <w:lang w:val="es-ES" w:eastAsia="es-ES" w:bidi="es-ES"/>
      </w:rPr>
    </w:lvl>
    <w:lvl w:ilvl="4">
      <w:start w:val="0"/>
      <w:numFmt w:val="bullet"/>
      <w:lvlText w:val="•"/>
      <w:lvlJc w:val="left"/>
      <w:pPr>
        <w:ind w:left="3384" w:hanging="239"/>
      </w:pPr>
      <w:rPr>
        <w:rFonts w:hint="default"/>
        <w:lang w:val="es-ES" w:eastAsia="es-ES" w:bidi="es-ES"/>
      </w:rPr>
    </w:lvl>
    <w:lvl w:ilvl="5">
      <w:start w:val="0"/>
      <w:numFmt w:val="bullet"/>
      <w:lvlText w:val="•"/>
      <w:lvlJc w:val="left"/>
      <w:pPr>
        <w:ind w:left="4190" w:hanging="239"/>
      </w:pPr>
      <w:rPr>
        <w:rFonts w:hint="default"/>
        <w:lang w:val="es-ES" w:eastAsia="es-ES" w:bidi="es-ES"/>
      </w:rPr>
    </w:lvl>
    <w:lvl w:ilvl="6">
      <w:start w:val="0"/>
      <w:numFmt w:val="bullet"/>
      <w:lvlText w:val="•"/>
      <w:lvlJc w:val="left"/>
      <w:pPr>
        <w:ind w:left="4997" w:hanging="239"/>
      </w:pPr>
      <w:rPr>
        <w:rFonts w:hint="default"/>
        <w:lang w:val="es-ES" w:eastAsia="es-ES" w:bidi="es-ES"/>
      </w:rPr>
    </w:lvl>
    <w:lvl w:ilvl="7">
      <w:start w:val="0"/>
      <w:numFmt w:val="bullet"/>
      <w:lvlText w:val="•"/>
      <w:lvlJc w:val="left"/>
      <w:pPr>
        <w:ind w:left="5803" w:hanging="239"/>
      </w:pPr>
      <w:rPr>
        <w:rFonts w:hint="default"/>
        <w:lang w:val="es-ES" w:eastAsia="es-ES" w:bidi="es-ES"/>
      </w:rPr>
    </w:lvl>
    <w:lvl w:ilvl="8">
      <w:start w:val="0"/>
      <w:numFmt w:val="bullet"/>
      <w:lvlText w:val="•"/>
      <w:lvlJc w:val="left"/>
      <w:pPr>
        <w:ind w:left="6609" w:hanging="239"/>
      </w:pPr>
      <w:rPr>
        <w:rFonts w:hint="default"/>
        <w:lang w:val="es-ES" w:eastAsia="es-ES" w:bidi="es-ES"/>
      </w:rPr>
    </w:lvl>
  </w:abstractNum>
  <w:abstractNum w:abstractNumId="259">
    <w:multiLevelType w:val="hybridMultilevel"/>
    <w:lvl w:ilvl="0">
      <w:start w:val="15"/>
      <w:numFmt w:val="upperRoman"/>
      <w:lvlText w:val="%1."/>
      <w:lvlJc w:val="left"/>
      <w:pPr>
        <w:ind w:left="1098" w:hanging="505"/>
        <w:jc w:val="left"/>
      </w:pPr>
      <w:rPr>
        <w:rFonts w:hint="default" w:ascii="Arial" w:hAnsi="Arial" w:eastAsia="Arial" w:cs="Arial"/>
        <w:w w:val="102"/>
        <w:sz w:val="15"/>
        <w:szCs w:val="15"/>
        <w:lang w:val="es-ES" w:eastAsia="es-ES" w:bidi="es-ES"/>
      </w:rPr>
    </w:lvl>
    <w:lvl w:ilvl="1">
      <w:start w:val="0"/>
      <w:numFmt w:val="bullet"/>
      <w:lvlText w:val="•"/>
      <w:lvlJc w:val="left"/>
      <w:pPr>
        <w:ind w:left="1812" w:hanging="505"/>
      </w:pPr>
      <w:rPr>
        <w:rFonts w:hint="default"/>
        <w:lang w:val="es-ES" w:eastAsia="es-ES" w:bidi="es-ES"/>
      </w:rPr>
    </w:lvl>
    <w:lvl w:ilvl="2">
      <w:start w:val="0"/>
      <w:numFmt w:val="bullet"/>
      <w:lvlText w:val="•"/>
      <w:lvlJc w:val="left"/>
      <w:pPr>
        <w:ind w:left="2524" w:hanging="505"/>
      </w:pPr>
      <w:rPr>
        <w:rFonts w:hint="default"/>
        <w:lang w:val="es-ES" w:eastAsia="es-ES" w:bidi="es-ES"/>
      </w:rPr>
    </w:lvl>
    <w:lvl w:ilvl="3">
      <w:start w:val="0"/>
      <w:numFmt w:val="bullet"/>
      <w:lvlText w:val="•"/>
      <w:lvlJc w:val="left"/>
      <w:pPr>
        <w:ind w:left="3236" w:hanging="505"/>
      </w:pPr>
      <w:rPr>
        <w:rFonts w:hint="default"/>
        <w:lang w:val="es-ES" w:eastAsia="es-ES" w:bidi="es-ES"/>
      </w:rPr>
    </w:lvl>
    <w:lvl w:ilvl="4">
      <w:start w:val="0"/>
      <w:numFmt w:val="bullet"/>
      <w:lvlText w:val="•"/>
      <w:lvlJc w:val="left"/>
      <w:pPr>
        <w:ind w:left="3948" w:hanging="505"/>
      </w:pPr>
      <w:rPr>
        <w:rFonts w:hint="default"/>
        <w:lang w:val="es-ES" w:eastAsia="es-ES" w:bidi="es-ES"/>
      </w:rPr>
    </w:lvl>
    <w:lvl w:ilvl="5">
      <w:start w:val="0"/>
      <w:numFmt w:val="bullet"/>
      <w:lvlText w:val="•"/>
      <w:lvlJc w:val="left"/>
      <w:pPr>
        <w:ind w:left="4661" w:hanging="505"/>
      </w:pPr>
      <w:rPr>
        <w:rFonts w:hint="default"/>
        <w:lang w:val="es-ES" w:eastAsia="es-ES" w:bidi="es-ES"/>
      </w:rPr>
    </w:lvl>
    <w:lvl w:ilvl="6">
      <w:start w:val="0"/>
      <w:numFmt w:val="bullet"/>
      <w:lvlText w:val="•"/>
      <w:lvlJc w:val="left"/>
      <w:pPr>
        <w:ind w:left="5373" w:hanging="505"/>
      </w:pPr>
      <w:rPr>
        <w:rFonts w:hint="default"/>
        <w:lang w:val="es-ES" w:eastAsia="es-ES" w:bidi="es-ES"/>
      </w:rPr>
    </w:lvl>
    <w:lvl w:ilvl="7">
      <w:start w:val="0"/>
      <w:numFmt w:val="bullet"/>
      <w:lvlText w:val="•"/>
      <w:lvlJc w:val="left"/>
      <w:pPr>
        <w:ind w:left="6085" w:hanging="505"/>
      </w:pPr>
      <w:rPr>
        <w:rFonts w:hint="default"/>
        <w:lang w:val="es-ES" w:eastAsia="es-ES" w:bidi="es-ES"/>
      </w:rPr>
    </w:lvl>
    <w:lvl w:ilvl="8">
      <w:start w:val="0"/>
      <w:numFmt w:val="bullet"/>
      <w:lvlText w:val="•"/>
      <w:lvlJc w:val="left"/>
      <w:pPr>
        <w:ind w:left="6797" w:hanging="505"/>
      </w:pPr>
      <w:rPr>
        <w:rFonts w:hint="default"/>
        <w:lang w:val="es-ES" w:eastAsia="es-ES" w:bidi="es-ES"/>
      </w:rPr>
    </w:lvl>
  </w:abstractNum>
  <w:abstractNum w:abstractNumId="258">
    <w:multiLevelType w:val="hybridMultilevel"/>
    <w:lvl w:ilvl="0">
      <w:start w:val="6"/>
      <w:numFmt w:val="upperRoman"/>
      <w:lvlText w:val="%1."/>
      <w:lvlJc w:val="left"/>
      <w:pPr>
        <w:ind w:left="1098" w:hanging="505"/>
        <w:jc w:val="left"/>
      </w:pPr>
      <w:rPr>
        <w:rFonts w:hint="default" w:ascii="Arial" w:hAnsi="Arial" w:eastAsia="Arial" w:cs="Arial"/>
        <w:w w:val="102"/>
        <w:sz w:val="15"/>
        <w:szCs w:val="15"/>
        <w:lang w:val="es-ES" w:eastAsia="es-ES" w:bidi="es-ES"/>
      </w:rPr>
    </w:lvl>
    <w:lvl w:ilvl="1">
      <w:start w:val="0"/>
      <w:numFmt w:val="bullet"/>
      <w:lvlText w:val="•"/>
      <w:lvlJc w:val="left"/>
      <w:pPr>
        <w:ind w:left="1537" w:hanging="505"/>
      </w:pPr>
      <w:rPr>
        <w:rFonts w:hint="default"/>
        <w:lang w:val="es-ES" w:eastAsia="es-ES" w:bidi="es-ES"/>
      </w:rPr>
    </w:lvl>
    <w:lvl w:ilvl="2">
      <w:start w:val="0"/>
      <w:numFmt w:val="bullet"/>
      <w:lvlText w:val="•"/>
      <w:lvlJc w:val="left"/>
      <w:pPr>
        <w:ind w:left="1974" w:hanging="505"/>
      </w:pPr>
      <w:rPr>
        <w:rFonts w:hint="default"/>
        <w:lang w:val="es-ES" w:eastAsia="es-ES" w:bidi="es-ES"/>
      </w:rPr>
    </w:lvl>
    <w:lvl w:ilvl="3">
      <w:start w:val="0"/>
      <w:numFmt w:val="bullet"/>
      <w:lvlText w:val="•"/>
      <w:lvlJc w:val="left"/>
      <w:pPr>
        <w:ind w:left="2411" w:hanging="505"/>
      </w:pPr>
      <w:rPr>
        <w:rFonts w:hint="default"/>
        <w:lang w:val="es-ES" w:eastAsia="es-ES" w:bidi="es-ES"/>
      </w:rPr>
    </w:lvl>
    <w:lvl w:ilvl="4">
      <w:start w:val="0"/>
      <w:numFmt w:val="bullet"/>
      <w:lvlText w:val="•"/>
      <w:lvlJc w:val="left"/>
      <w:pPr>
        <w:ind w:left="2849" w:hanging="505"/>
      </w:pPr>
      <w:rPr>
        <w:rFonts w:hint="default"/>
        <w:lang w:val="es-ES" w:eastAsia="es-ES" w:bidi="es-ES"/>
      </w:rPr>
    </w:lvl>
    <w:lvl w:ilvl="5">
      <w:start w:val="0"/>
      <w:numFmt w:val="bullet"/>
      <w:lvlText w:val="•"/>
      <w:lvlJc w:val="left"/>
      <w:pPr>
        <w:ind w:left="3286" w:hanging="505"/>
      </w:pPr>
      <w:rPr>
        <w:rFonts w:hint="default"/>
        <w:lang w:val="es-ES" w:eastAsia="es-ES" w:bidi="es-ES"/>
      </w:rPr>
    </w:lvl>
    <w:lvl w:ilvl="6">
      <w:start w:val="0"/>
      <w:numFmt w:val="bullet"/>
      <w:lvlText w:val="•"/>
      <w:lvlJc w:val="left"/>
      <w:pPr>
        <w:ind w:left="3723" w:hanging="505"/>
      </w:pPr>
      <w:rPr>
        <w:rFonts w:hint="default"/>
        <w:lang w:val="es-ES" w:eastAsia="es-ES" w:bidi="es-ES"/>
      </w:rPr>
    </w:lvl>
    <w:lvl w:ilvl="7">
      <w:start w:val="0"/>
      <w:numFmt w:val="bullet"/>
      <w:lvlText w:val="•"/>
      <w:lvlJc w:val="left"/>
      <w:pPr>
        <w:ind w:left="4160" w:hanging="505"/>
      </w:pPr>
      <w:rPr>
        <w:rFonts w:hint="default"/>
        <w:lang w:val="es-ES" w:eastAsia="es-ES" w:bidi="es-ES"/>
      </w:rPr>
    </w:lvl>
    <w:lvl w:ilvl="8">
      <w:start w:val="0"/>
      <w:numFmt w:val="bullet"/>
      <w:lvlText w:val="•"/>
      <w:lvlJc w:val="left"/>
      <w:pPr>
        <w:ind w:left="4598" w:hanging="505"/>
      </w:pPr>
      <w:rPr>
        <w:rFonts w:hint="default"/>
        <w:lang w:val="es-ES" w:eastAsia="es-ES" w:bidi="es-ES"/>
      </w:rPr>
    </w:lvl>
  </w:abstractNum>
  <w:abstractNum w:abstractNumId="257">
    <w:multiLevelType w:val="hybridMultilevel"/>
    <w:lvl w:ilvl="0">
      <w:start w:val="1"/>
      <w:numFmt w:val="upperRoman"/>
      <w:lvlText w:val="%1."/>
      <w:lvlJc w:val="left"/>
      <w:pPr>
        <w:ind w:left="151" w:hanging="147"/>
        <w:jc w:val="left"/>
      </w:pPr>
      <w:rPr>
        <w:rFonts w:hint="default" w:ascii="Arial" w:hAnsi="Arial" w:eastAsia="Arial" w:cs="Arial"/>
        <w:w w:val="102"/>
        <w:sz w:val="15"/>
        <w:szCs w:val="15"/>
        <w:lang w:val="es-ES" w:eastAsia="es-ES" w:bidi="es-ES"/>
      </w:rPr>
    </w:lvl>
    <w:lvl w:ilvl="1">
      <w:start w:val="0"/>
      <w:numFmt w:val="bullet"/>
      <w:lvlText w:val="•"/>
      <w:lvlJc w:val="left"/>
      <w:pPr>
        <w:ind w:left="691" w:hanging="147"/>
      </w:pPr>
      <w:rPr>
        <w:rFonts w:hint="default"/>
        <w:lang w:val="es-ES" w:eastAsia="es-ES" w:bidi="es-ES"/>
      </w:rPr>
    </w:lvl>
    <w:lvl w:ilvl="2">
      <w:start w:val="0"/>
      <w:numFmt w:val="bullet"/>
      <w:lvlText w:val="•"/>
      <w:lvlJc w:val="left"/>
      <w:pPr>
        <w:ind w:left="1222" w:hanging="147"/>
      </w:pPr>
      <w:rPr>
        <w:rFonts w:hint="default"/>
        <w:lang w:val="es-ES" w:eastAsia="es-ES" w:bidi="es-ES"/>
      </w:rPr>
    </w:lvl>
    <w:lvl w:ilvl="3">
      <w:start w:val="0"/>
      <w:numFmt w:val="bullet"/>
      <w:lvlText w:val="•"/>
      <w:lvlJc w:val="left"/>
      <w:pPr>
        <w:ind w:left="1753" w:hanging="147"/>
      </w:pPr>
      <w:rPr>
        <w:rFonts w:hint="default"/>
        <w:lang w:val="es-ES" w:eastAsia="es-ES" w:bidi="es-ES"/>
      </w:rPr>
    </w:lvl>
    <w:lvl w:ilvl="4">
      <w:start w:val="0"/>
      <w:numFmt w:val="bullet"/>
      <w:lvlText w:val="•"/>
      <w:lvlJc w:val="left"/>
      <w:pPr>
        <w:ind w:left="2285" w:hanging="147"/>
      </w:pPr>
      <w:rPr>
        <w:rFonts w:hint="default"/>
        <w:lang w:val="es-ES" w:eastAsia="es-ES" w:bidi="es-ES"/>
      </w:rPr>
    </w:lvl>
    <w:lvl w:ilvl="5">
      <w:start w:val="0"/>
      <w:numFmt w:val="bullet"/>
      <w:lvlText w:val="•"/>
      <w:lvlJc w:val="left"/>
      <w:pPr>
        <w:ind w:left="2816" w:hanging="147"/>
      </w:pPr>
      <w:rPr>
        <w:rFonts w:hint="default"/>
        <w:lang w:val="es-ES" w:eastAsia="es-ES" w:bidi="es-ES"/>
      </w:rPr>
    </w:lvl>
    <w:lvl w:ilvl="6">
      <w:start w:val="0"/>
      <w:numFmt w:val="bullet"/>
      <w:lvlText w:val="•"/>
      <w:lvlJc w:val="left"/>
      <w:pPr>
        <w:ind w:left="3347" w:hanging="147"/>
      </w:pPr>
      <w:rPr>
        <w:rFonts w:hint="default"/>
        <w:lang w:val="es-ES" w:eastAsia="es-ES" w:bidi="es-ES"/>
      </w:rPr>
    </w:lvl>
    <w:lvl w:ilvl="7">
      <w:start w:val="0"/>
      <w:numFmt w:val="bullet"/>
      <w:lvlText w:val="•"/>
      <w:lvlJc w:val="left"/>
      <w:pPr>
        <w:ind w:left="3879" w:hanging="147"/>
      </w:pPr>
      <w:rPr>
        <w:rFonts w:hint="default"/>
        <w:lang w:val="es-ES" w:eastAsia="es-ES" w:bidi="es-ES"/>
      </w:rPr>
    </w:lvl>
    <w:lvl w:ilvl="8">
      <w:start w:val="0"/>
      <w:numFmt w:val="bullet"/>
      <w:lvlText w:val="•"/>
      <w:lvlJc w:val="left"/>
      <w:pPr>
        <w:ind w:left="4410" w:hanging="147"/>
      </w:pPr>
      <w:rPr>
        <w:rFonts w:hint="default"/>
        <w:lang w:val="es-ES" w:eastAsia="es-ES" w:bidi="es-ES"/>
      </w:rPr>
    </w:lvl>
  </w:abstractNum>
  <w:abstractNum w:abstractNumId="256">
    <w:multiLevelType w:val="hybridMultilevel"/>
    <w:lvl w:ilvl="0">
      <w:start w:val="16"/>
      <w:numFmt w:val="upperRoman"/>
      <w:lvlText w:val="%1."/>
      <w:lvlJc w:val="left"/>
      <w:pPr>
        <w:ind w:left="151" w:hanging="334"/>
        <w:jc w:val="left"/>
      </w:pPr>
      <w:rPr>
        <w:rFonts w:hint="default" w:ascii="Arial" w:hAnsi="Arial" w:eastAsia="Arial" w:cs="Arial"/>
        <w:w w:val="102"/>
        <w:sz w:val="15"/>
        <w:szCs w:val="15"/>
        <w:lang w:val="es-ES" w:eastAsia="es-ES" w:bidi="es-ES"/>
      </w:rPr>
    </w:lvl>
    <w:lvl w:ilvl="1">
      <w:start w:val="0"/>
      <w:numFmt w:val="bullet"/>
      <w:lvlText w:val="•"/>
      <w:lvlJc w:val="left"/>
      <w:pPr>
        <w:ind w:left="966" w:hanging="334"/>
      </w:pPr>
      <w:rPr>
        <w:rFonts w:hint="default"/>
        <w:lang w:val="es-ES" w:eastAsia="es-ES" w:bidi="es-ES"/>
      </w:rPr>
    </w:lvl>
    <w:lvl w:ilvl="2">
      <w:start w:val="0"/>
      <w:numFmt w:val="bullet"/>
      <w:lvlText w:val="•"/>
      <w:lvlJc w:val="left"/>
      <w:pPr>
        <w:ind w:left="1772" w:hanging="334"/>
      </w:pPr>
      <w:rPr>
        <w:rFonts w:hint="default"/>
        <w:lang w:val="es-ES" w:eastAsia="es-ES" w:bidi="es-ES"/>
      </w:rPr>
    </w:lvl>
    <w:lvl w:ilvl="3">
      <w:start w:val="0"/>
      <w:numFmt w:val="bullet"/>
      <w:lvlText w:val="•"/>
      <w:lvlJc w:val="left"/>
      <w:pPr>
        <w:ind w:left="2578" w:hanging="334"/>
      </w:pPr>
      <w:rPr>
        <w:rFonts w:hint="default"/>
        <w:lang w:val="es-ES" w:eastAsia="es-ES" w:bidi="es-ES"/>
      </w:rPr>
    </w:lvl>
    <w:lvl w:ilvl="4">
      <w:start w:val="0"/>
      <w:numFmt w:val="bullet"/>
      <w:lvlText w:val="•"/>
      <w:lvlJc w:val="left"/>
      <w:pPr>
        <w:ind w:left="3384" w:hanging="334"/>
      </w:pPr>
      <w:rPr>
        <w:rFonts w:hint="default"/>
        <w:lang w:val="es-ES" w:eastAsia="es-ES" w:bidi="es-ES"/>
      </w:rPr>
    </w:lvl>
    <w:lvl w:ilvl="5">
      <w:start w:val="0"/>
      <w:numFmt w:val="bullet"/>
      <w:lvlText w:val="•"/>
      <w:lvlJc w:val="left"/>
      <w:pPr>
        <w:ind w:left="4191" w:hanging="334"/>
      </w:pPr>
      <w:rPr>
        <w:rFonts w:hint="default"/>
        <w:lang w:val="es-ES" w:eastAsia="es-ES" w:bidi="es-ES"/>
      </w:rPr>
    </w:lvl>
    <w:lvl w:ilvl="6">
      <w:start w:val="0"/>
      <w:numFmt w:val="bullet"/>
      <w:lvlText w:val="•"/>
      <w:lvlJc w:val="left"/>
      <w:pPr>
        <w:ind w:left="4997" w:hanging="334"/>
      </w:pPr>
      <w:rPr>
        <w:rFonts w:hint="default"/>
        <w:lang w:val="es-ES" w:eastAsia="es-ES" w:bidi="es-ES"/>
      </w:rPr>
    </w:lvl>
    <w:lvl w:ilvl="7">
      <w:start w:val="0"/>
      <w:numFmt w:val="bullet"/>
      <w:lvlText w:val="•"/>
      <w:lvlJc w:val="left"/>
      <w:pPr>
        <w:ind w:left="5803" w:hanging="334"/>
      </w:pPr>
      <w:rPr>
        <w:rFonts w:hint="default"/>
        <w:lang w:val="es-ES" w:eastAsia="es-ES" w:bidi="es-ES"/>
      </w:rPr>
    </w:lvl>
    <w:lvl w:ilvl="8">
      <w:start w:val="0"/>
      <w:numFmt w:val="bullet"/>
      <w:lvlText w:val="•"/>
      <w:lvlJc w:val="left"/>
      <w:pPr>
        <w:ind w:left="6609" w:hanging="334"/>
      </w:pPr>
      <w:rPr>
        <w:rFonts w:hint="default"/>
        <w:lang w:val="es-ES" w:eastAsia="es-ES" w:bidi="es-ES"/>
      </w:rPr>
    </w:lvl>
  </w:abstractNum>
  <w:abstractNum w:abstractNumId="255">
    <w:multiLevelType w:val="hybridMultilevel"/>
    <w:lvl w:ilvl="0">
      <w:start w:val="5"/>
      <w:numFmt w:val="upperRoman"/>
      <w:lvlText w:val="%1."/>
      <w:lvlJc w:val="left"/>
      <w:pPr>
        <w:ind w:left="722" w:hanging="174"/>
        <w:jc w:val="right"/>
      </w:pPr>
      <w:rPr>
        <w:rFonts w:hint="default" w:ascii="Arial" w:hAnsi="Arial" w:eastAsia="Arial" w:cs="Arial"/>
        <w:spacing w:val="-15"/>
        <w:w w:val="102"/>
        <w:sz w:val="15"/>
        <w:szCs w:val="15"/>
        <w:lang w:val="es-ES" w:eastAsia="es-ES" w:bidi="es-ES"/>
      </w:rPr>
    </w:lvl>
    <w:lvl w:ilvl="1">
      <w:start w:val="1"/>
      <w:numFmt w:val="lowerLetter"/>
      <w:lvlText w:val="%2)"/>
      <w:lvlJc w:val="left"/>
      <w:pPr>
        <w:ind w:left="907" w:hanging="253"/>
        <w:jc w:val="right"/>
      </w:pPr>
      <w:rPr>
        <w:rFonts w:hint="default" w:ascii="Arial" w:hAnsi="Arial" w:eastAsia="Arial" w:cs="Arial"/>
        <w:w w:val="102"/>
        <w:sz w:val="15"/>
        <w:szCs w:val="15"/>
        <w:lang w:val="es-ES" w:eastAsia="es-ES" w:bidi="es-ES"/>
      </w:rPr>
    </w:lvl>
    <w:lvl w:ilvl="2">
      <w:start w:val="0"/>
      <w:numFmt w:val="bullet"/>
      <w:lvlText w:val="•"/>
      <w:lvlJc w:val="left"/>
      <w:pPr>
        <w:ind w:left="67" w:hanging="253"/>
      </w:pPr>
      <w:rPr>
        <w:rFonts w:hint="default"/>
        <w:lang w:val="es-ES" w:eastAsia="es-ES" w:bidi="es-ES"/>
      </w:rPr>
    </w:lvl>
    <w:lvl w:ilvl="3">
      <w:start w:val="0"/>
      <w:numFmt w:val="bullet"/>
      <w:lvlText w:val="•"/>
      <w:lvlJc w:val="left"/>
      <w:pPr>
        <w:ind w:left="-765" w:hanging="253"/>
      </w:pPr>
      <w:rPr>
        <w:rFonts w:hint="default"/>
        <w:lang w:val="es-ES" w:eastAsia="es-ES" w:bidi="es-ES"/>
      </w:rPr>
    </w:lvl>
    <w:lvl w:ilvl="4">
      <w:start w:val="0"/>
      <w:numFmt w:val="bullet"/>
      <w:lvlText w:val="•"/>
      <w:lvlJc w:val="left"/>
      <w:pPr>
        <w:ind w:left="-1598" w:hanging="253"/>
      </w:pPr>
      <w:rPr>
        <w:rFonts w:hint="default"/>
        <w:lang w:val="es-ES" w:eastAsia="es-ES" w:bidi="es-ES"/>
      </w:rPr>
    </w:lvl>
    <w:lvl w:ilvl="5">
      <w:start w:val="0"/>
      <w:numFmt w:val="bullet"/>
      <w:lvlText w:val="•"/>
      <w:lvlJc w:val="left"/>
      <w:pPr>
        <w:ind w:left="-2430" w:hanging="253"/>
      </w:pPr>
      <w:rPr>
        <w:rFonts w:hint="default"/>
        <w:lang w:val="es-ES" w:eastAsia="es-ES" w:bidi="es-ES"/>
      </w:rPr>
    </w:lvl>
    <w:lvl w:ilvl="6">
      <w:start w:val="0"/>
      <w:numFmt w:val="bullet"/>
      <w:lvlText w:val="•"/>
      <w:lvlJc w:val="left"/>
      <w:pPr>
        <w:ind w:left="-3263" w:hanging="253"/>
      </w:pPr>
      <w:rPr>
        <w:rFonts w:hint="default"/>
        <w:lang w:val="es-ES" w:eastAsia="es-ES" w:bidi="es-ES"/>
      </w:rPr>
    </w:lvl>
    <w:lvl w:ilvl="7">
      <w:start w:val="0"/>
      <w:numFmt w:val="bullet"/>
      <w:lvlText w:val="•"/>
      <w:lvlJc w:val="left"/>
      <w:pPr>
        <w:ind w:left="-4095" w:hanging="253"/>
      </w:pPr>
      <w:rPr>
        <w:rFonts w:hint="default"/>
        <w:lang w:val="es-ES" w:eastAsia="es-ES" w:bidi="es-ES"/>
      </w:rPr>
    </w:lvl>
    <w:lvl w:ilvl="8">
      <w:start w:val="0"/>
      <w:numFmt w:val="bullet"/>
      <w:lvlText w:val="•"/>
      <w:lvlJc w:val="left"/>
      <w:pPr>
        <w:ind w:left="-4928" w:hanging="253"/>
      </w:pPr>
      <w:rPr>
        <w:rFonts w:hint="default"/>
        <w:lang w:val="es-ES" w:eastAsia="es-ES" w:bidi="es-ES"/>
      </w:rPr>
    </w:lvl>
  </w:abstractNum>
  <w:abstractNum w:abstractNumId="254">
    <w:multiLevelType w:val="hybridMultilevel"/>
    <w:lvl w:ilvl="0">
      <w:start w:val="10"/>
      <w:numFmt w:val="upperRoman"/>
      <w:lvlText w:val="%1."/>
      <w:lvlJc w:val="left"/>
      <w:pPr>
        <w:ind w:left="150" w:hanging="201"/>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966" w:hanging="201"/>
      </w:pPr>
      <w:rPr>
        <w:rFonts w:hint="default"/>
        <w:lang w:val="es-ES" w:eastAsia="es-ES" w:bidi="es-ES"/>
      </w:rPr>
    </w:lvl>
    <w:lvl w:ilvl="2">
      <w:start w:val="0"/>
      <w:numFmt w:val="bullet"/>
      <w:lvlText w:val="•"/>
      <w:lvlJc w:val="left"/>
      <w:pPr>
        <w:ind w:left="1772" w:hanging="201"/>
      </w:pPr>
      <w:rPr>
        <w:rFonts w:hint="default"/>
        <w:lang w:val="es-ES" w:eastAsia="es-ES" w:bidi="es-ES"/>
      </w:rPr>
    </w:lvl>
    <w:lvl w:ilvl="3">
      <w:start w:val="0"/>
      <w:numFmt w:val="bullet"/>
      <w:lvlText w:val="•"/>
      <w:lvlJc w:val="left"/>
      <w:pPr>
        <w:ind w:left="2578" w:hanging="201"/>
      </w:pPr>
      <w:rPr>
        <w:rFonts w:hint="default"/>
        <w:lang w:val="es-ES" w:eastAsia="es-ES" w:bidi="es-ES"/>
      </w:rPr>
    </w:lvl>
    <w:lvl w:ilvl="4">
      <w:start w:val="0"/>
      <w:numFmt w:val="bullet"/>
      <w:lvlText w:val="•"/>
      <w:lvlJc w:val="left"/>
      <w:pPr>
        <w:ind w:left="3384" w:hanging="201"/>
      </w:pPr>
      <w:rPr>
        <w:rFonts w:hint="default"/>
        <w:lang w:val="es-ES" w:eastAsia="es-ES" w:bidi="es-ES"/>
      </w:rPr>
    </w:lvl>
    <w:lvl w:ilvl="5">
      <w:start w:val="0"/>
      <w:numFmt w:val="bullet"/>
      <w:lvlText w:val="•"/>
      <w:lvlJc w:val="left"/>
      <w:pPr>
        <w:ind w:left="4190" w:hanging="201"/>
      </w:pPr>
      <w:rPr>
        <w:rFonts w:hint="default"/>
        <w:lang w:val="es-ES" w:eastAsia="es-ES" w:bidi="es-ES"/>
      </w:rPr>
    </w:lvl>
    <w:lvl w:ilvl="6">
      <w:start w:val="0"/>
      <w:numFmt w:val="bullet"/>
      <w:lvlText w:val="•"/>
      <w:lvlJc w:val="left"/>
      <w:pPr>
        <w:ind w:left="4997" w:hanging="201"/>
      </w:pPr>
      <w:rPr>
        <w:rFonts w:hint="default"/>
        <w:lang w:val="es-ES" w:eastAsia="es-ES" w:bidi="es-ES"/>
      </w:rPr>
    </w:lvl>
    <w:lvl w:ilvl="7">
      <w:start w:val="0"/>
      <w:numFmt w:val="bullet"/>
      <w:lvlText w:val="•"/>
      <w:lvlJc w:val="left"/>
      <w:pPr>
        <w:ind w:left="5803" w:hanging="201"/>
      </w:pPr>
      <w:rPr>
        <w:rFonts w:hint="default"/>
        <w:lang w:val="es-ES" w:eastAsia="es-ES" w:bidi="es-ES"/>
      </w:rPr>
    </w:lvl>
    <w:lvl w:ilvl="8">
      <w:start w:val="0"/>
      <w:numFmt w:val="bullet"/>
      <w:lvlText w:val="•"/>
      <w:lvlJc w:val="left"/>
      <w:pPr>
        <w:ind w:left="6609" w:hanging="201"/>
      </w:pPr>
      <w:rPr>
        <w:rFonts w:hint="default"/>
        <w:lang w:val="es-ES" w:eastAsia="es-ES" w:bidi="es-ES"/>
      </w:rPr>
    </w:lvl>
  </w:abstractNum>
  <w:abstractNum w:abstractNumId="253">
    <w:multiLevelType w:val="hybridMultilevel"/>
    <w:lvl w:ilvl="0">
      <w:start w:val="6"/>
      <w:numFmt w:val="decimal"/>
      <w:lvlText w:val="%1"/>
      <w:lvlJc w:val="left"/>
      <w:pPr>
        <w:ind w:left="2606" w:hanging="129"/>
        <w:jc w:val="left"/>
      </w:pPr>
      <w:rPr>
        <w:rFonts w:hint="default" w:ascii="Arial" w:hAnsi="Arial" w:eastAsia="Arial" w:cs="Arial"/>
        <w:w w:val="102"/>
        <w:sz w:val="15"/>
        <w:szCs w:val="15"/>
        <w:lang w:val="es-ES" w:eastAsia="es-ES" w:bidi="es-ES"/>
      </w:rPr>
    </w:lvl>
    <w:lvl w:ilvl="1">
      <w:start w:val="0"/>
      <w:numFmt w:val="bullet"/>
      <w:lvlText w:val="•"/>
      <w:lvlJc w:val="left"/>
      <w:pPr>
        <w:ind w:left="2887" w:hanging="129"/>
      </w:pPr>
      <w:rPr>
        <w:rFonts w:hint="default"/>
        <w:lang w:val="es-ES" w:eastAsia="es-ES" w:bidi="es-ES"/>
      </w:rPr>
    </w:lvl>
    <w:lvl w:ilvl="2">
      <w:start w:val="0"/>
      <w:numFmt w:val="bullet"/>
      <w:lvlText w:val="•"/>
      <w:lvlJc w:val="left"/>
      <w:pPr>
        <w:ind w:left="3174" w:hanging="129"/>
      </w:pPr>
      <w:rPr>
        <w:rFonts w:hint="default"/>
        <w:lang w:val="es-ES" w:eastAsia="es-ES" w:bidi="es-ES"/>
      </w:rPr>
    </w:lvl>
    <w:lvl w:ilvl="3">
      <w:start w:val="0"/>
      <w:numFmt w:val="bullet"/>
      <w:lvlText w:val="•"/>
      <w:lvlJc w:val="left"/>
      <w:pPr>
        <w:ind w:left="3461" w:hanging="129"/>
      </w:pPr>
      <w:rPr>
        <w:rFonts w:hint="default"/>
        <w:lang w:val="es-ES" w:eastAsia="es-ES" w:bidi="es-ES"/>
      </w:rPr>
    </w:lvl>
    <w:lvl w:ilvl="4">
      <w:start w:val="0"/>
      <w:numFmt w:val="bullet"/>
      <w:lvlText w:val="•"/>
      <w:lvlJc w:val="left"/>
      <w:pPr>
        <w:ind w:left="3749" w:hanging="129"/>
      </w:pPr>
      <w:rPr>
        <w:rFonts w:hint="default"/>
        <w:lang w:val="es-ES" w:eastAsia="es-ES" w:bidi="es-ES"/>
      </w:rPr>
    </w:lvl>
    <w:lvl w:ilvl="5">
      <w:start w:val="0"/>
      <w:numFmt w:val="bullet"/>
      <w:lvlText w:val="•"/>
      <w:lvlJc w:val="left"/>
      <w:pPr>
        <w:ind w:left="4036" w:hanging="129"/>
      </w:pPr>
      <w:rPr>
        <w:rFonts w:hint="default"/>
        <w:lang w:val="es-ES" w:eastAsia="es-ES" w:bidi="es-ES"/>
      </w:rPr>
    </w:lvl>
    <w:lvl w:ilvl="6">
      <w:start w:val="0"/>
      <w:numFmt w:val="bullet"/>
      <w:lvlText w:val="•"/>
      <w:lvlJc w:val="left"/>
      <w:pPr>
        <w:ind w:left="4323" w:hanging="129"/>
      </w:pPr>
      <w:rPr>
        <w:rFonts w:hint="default"/>
        <w:lang w:val="es-ES" w:eastAsia="es-ES" w:bidi="es-ES"/>
      </w:rPr>
    </w:lvl>
    <w:lvl w:ilvl="7">
      <w:start w:val="0"/>
      <w:numFmt w:val="bullet"/>
      <w:lvlText w:val="•"/>
      <w:lvlJc w:val="left"/>
      <w:pPr>
        <w:ind w:left="4610" w:hanging="129"/>
      </w:pPr>
      <w:rPr>
        <w:rFonts w:hint="default"/>
        <w:lang w:val="es-ES" w:eastAsia="es-ES" w:bidi="es-ES"/>
      </w:rPr>
    </w:lvl>
    <w:lvl w:ilvl="8">
      <w:start w:val="0"/>
      <w:numFmt w:val="bullet"/>
      <w:lvlText w:val="•"/>
      <w:lvlJc w:val="left"/>
      <w:pPr>
        <w:ind w:left="4897" w:hanging="129"/>
      </w:pPr>
      <w:rPr>
        <w:rFonts w:hint="default"/>
        <w:lang w:val="es-ES" w:eastAsia="es-ES" w:bidi="es-ES"/>
      </w:rPr>
    </w:lvl>
  </w:abstractNum>
  <w:abstractNum w:abstractNumId="252">
    <w:multiLevelType w:val="hybridMultilevel"/>
    <w:lvl w:ilvl="0">
      <w:start w:val="1"/>
      <w:numFmt w:val="upperRoman"/>
      <w:lvlText w:val="%1."/>
      <w:lvlJc w:val="left"/>
      <w:pPr>
        <w:ind w:left="150" w:hanging="196"/>
        <w:jc w:val="left"/>
      </w:pPr>
      <w:rPr>
        <w:rFonts w:hint="default" w:ascii="Arial" w:hAnsi="Arial" w:eastAsia="Arial" w:cs="Arial"/>
        <w:w w:val="102"/>
        <w:sz w:val="15"/>
        <w:szCs w:val="15"/>
        <w:lang w:val="es-ES" w:eastAsia="es-ES" w:bidi="es-ES"/>
      </w:rPr>
    </w:lvl>
    <w:lvl w:ilvl="1">
      <w:start w:val="0"/>
      <w:numFmt w:val="bullet"/>
      <w:lvlText w:val="•"/>
      <w:lvlJc w:val="left"/>
      <w:pPr>
        <w:ind w:left="691" w:hanging="196"/>
      </w:pPr>
      <w:rPr>
        <w:rFonts w:hint="default"/>
        <w:lang w:val="es-ES" w:eastAsia="es-ES" w:bidi="es-ES"/>
      </w:rPr>
    </w:lvl>
    <w:lvl w:ilvl="2">
      <w:start w:val="0"/>
      <w:numFmt w:val="bullet"/>
      <w:lvlText w:val="•"/>
      <w:lvlJc w:val="left"/>
      <w:pPr>
        <w:ind w:left="1222" w:hanging="196"/>
      </w:pPr>
      <w:rPr>
        <w:rFonts w:hint="default"/>
        <w:lang w:val="es-ES" w:eastAsia="es-ES" w:bidi="es-ES"/>
      </w:rPr>
    </w:lvl>
    <w:lvl w:ilvl="3">
      <w:start w:val="0"/>
      <w:numFmt w:val="bullet"/>
      <w:lvlText w:val="•"/>
      <w:lvlJc w:val="left"/>
      <w:pPr>
        <w:ind w:left="1753" w:hanging="196"/>
      </w:pPr>
      <w:rPr>
        <w:rFonts w:hint="default"/>
        <w:lang w:val="es-ES" w:eastAsia="es-ES" w:bidi="es-ES"/>
      </w:rPr>
    </w:lvl>
    <w:lvl w:ilvl="4">
      <w:start w:val="0"/>
      <w:numFmt w:val="bullet"/>
      <w:lvlText w:val="•"/>
      <w:lvlJc w:val="left"/>
      <w:pPr>
        <w:ind w:left="2285" w:hanging="196"/>
      </w:pPr>
      <w:rPr>
        <w:rFonts w:hint="default"/>
        <w:lang w:val="es-ES" w:eastAsia="es-ES" w:bidi="es-ES"/>
      </w:rPr>
    </w:lvl>
    <w:lvl w:ilvl="5">
      <w:start w:val="0"/>
      <w:numFmt w:val="bullet"/>
      <w:lvlText w:val="•"/>
      <w:lvlJc w:val="left"/>
      <w:pPr>
        <w:ind w:left="2816" w:hanging="196"/>
      </w:pPr>
      <w:rPr>
        <w:rFonts w:hint="default"/>
        <w:lang w:val="es-ES" w:eastAsia="es-ES" w:bidi="es-ES"/>
      </w:rPr>
    </w:lvl>
    <w:lvl w:ilvl="6">
      <w:start w:val="0"/>
      <w:numFmt w:val="bullet"/>
      <w:lvlText w:val="•"/>
      <w:lvlJc w:val="left"/>
      <w:pPr>
        <w:ind w:left="3347" w:hanging="196"/>
      </w:pPr>
      <w:rPr>
        <w:rFonts w:hint="default"/>
        <w:lang w:val="es-ES" w:eastAsia="es-ES" w:bidi="es-ES"/>
      </w:rPr>
    </w:lvl>
    <w:lvl w:ilvl="7">
      <w:start w:val="0"/>
      <w:numFmt w:val="bullet"/>
      <w:lvlText w:val="•"/>
      <w:lvlJc w:val="left"/>
      <w:pPr>
        <w:ind w:left="3878" w:hanging="196"/>
      </w:pPr>
      <w:rPr>
        <w:rFonts w:hint="default"/>
        <w:lang w:val="es-ES" w:eastAsia="es-ES" w:bidi="es-ES"/>
      </w:rPr>
    </w:lvl>
    <w:lvl w:ilvl="8">
      <w:start w:val="0"/>
      <w:numFmt w:val="bullet"/>
      <w:lvlText w:val="•"/>
      <w:lvlJc w:val="left"/>
      <w:pPr>
        <w:ind w:left="4409" w:hanging="196"/>
      </w:pPr>
      <w:rPr>
        <w:rFonts w:hint="default"/>
        <w:lang w:val="es-ES" w:eastAsia="es-ES" w:bidi="es-ES"/>
      </w:rPr>
    </w:lvl>
  </w:abstractNum>
  <w:abstractNum w:abstractNumId="251">
    <w:multiLevelType w:val="hybridMultilevel"/>
    <w:lvl w:ilvl="0">
      <w:start w:val="16"/>
      <w:numFmt w:val="upperRoman"/>
      <w:lvlText w:val="%1."/>
      <w:lvlJc w:val="left"/>
      <w:pPr>
        <w:ind w:left="151" w:hanging="337"/>
        <w:jc w:val="left"/>
      </w:pPr>
      <w:rPr>
        <w:rFonts w:hint="default" w:ascii="Arial" w:hAnsi="Arial" w:eastAsia="Arial" w:cs="Arial"/>
        <w:w w:val="102"/>
        <w:sz w:val="15"/>
        <w:szCs w:val="15"/>
        <w:lang w:val="es-ES" w:eastAsia="es-ES" w:bidi="es-ES"/>
      </w:rPr>
    </w:lvl>
    <w:lvl w:ilvl="1">
      <w:start w:val="0"/>
      <w:numFmt w:val="bullet"/>
      <w:lvlText w:val="•"/>
      <w:lvlJc w:val="left"/>
      <w:pPr>
        <w:ind w:left="966" w:hanging="337"/>
      </w:pPr>
      <w:rPr>
        <w:rFonts w:hint="default"/>
        <w:lang w:val="es-ES" w:eastAsia="es-ES" w:bidi="es-ES"/>
      </w:rPr>
    </w:lvl>
    <w:lvl w:ilvl="2">
      <w:start w:val="0"/>
      <w:numFmt w:val="bullet"/>
      <w:lvlText w:val="•"/>
      <w:lvlJc w:val="left"/>
      <w:pPr>
        <w:ind w:left="1772" w:hanging="337"/>
      </w:pPr>
      <w:rPr>
        <w:rFonts w:hint="default"/>
        <w:lang w:val="es-ES" w:eastAsia="es-ES" w:bidi="es-ES"/>
      </w:rPr>
    </w:lvl>
    <w:lvl w:ilvl="3">
      <w:start w:val="0"/>
      <w:numFmt w:val="bullet"/>
      <w:lvlText w:val="•"/>
      <w:lvlJc w:val="left"/>
      <w:pPr>
        <w:ind w:left="2578" w:hanging="337"/>
      </w:pPr>
      <w:rPr>
        <w:rFonts w:hint="default"/>
        <w:lang w:val="es-ES" w:eastAsia="es-ES" w:bidi="es-ES"/>
      </w:rPr>
    </w:lvl>
    <w:lvl w:ilvl="4">
      <w:start w:val="0"/>
      <w:numFmt w:val="bullet"/>
      <w:lvlText w:val="•"/>
      <w:lvlJc w:val="left"/>
      <w:pPr>
        <w:ind w:left="3384" w:hanging="337"/>
      </w:pPr>
      <w:rPr>
        <w:rFonts w:hint="default"/>
        <w:lang w:val="es-ES" w:eastAsia="es-ES" w:bidi="es-ES"/>
      </w:rPr>
    </w:lvl>
    <w:lvl w:ilvl="5">
      <w:start w:val="0"/>
      <w:numFmt w:val="bullet"/>
      <w:lvlText w:val="•"/>
      <w:lvlJc w:val="left"/>
      <w:pPr>
        <w:ind w:left="4191" w:hanging="337"/>
      </w:pPr>
      <w:rPr>
        <w:rFonts w:hint="default"/>
        <w:lang w:val="es-ES" w:eastAsia="es-ES" w:bidi="es-ES"/>
      </w:rPr>
    </w:lvl>
    <w:lvl w:ilvl="6">
      <w:start w:val="0"/>
      <w:numFmt w:val="bullet"/>
      <w:lvlText w:val="•"/>
      <w:lvlJc w:val="left"/>
      <w:pPr>
        <w:ind w:left="4997" w:hanging="337"/>
      </w:pPr>
      <w:rPr>
        <w:rFonts w:hint="default"/>
        <w:lang w:val="es-ES" w:eastAsia="es-ES" w:bidi="es-ES"/>
      </w:rPr>
    </w:lvl>
    <w:lvl w:ilvl="7">
      <w:start w:val="0"/>
      <w:numFmt w:val="bullet"/>
      <w:lvlText w:val="•"/>
      <w:lvlJc w:val="left"/>
      <w:pPr>
        <w:ind w:left="5803" w:hanging="337"/>
      </w:pPr>
      <w:rPr>
        <w:rFonts w:hint="default"/>
        <w:lang w:val="es-ES" w:eastAsia="es-ES" w:bidi="es-ES"/>
      </w:rPr>
    </w:lvl>
    <w:lvl w:ilvl="8">
      <w:start w:val="0"/>
      <w:numFmt w:val="bullet"/>
      <w:lvlText w:val="•"/>
      <w:lvlJc w:val="left"/>
      <w:pPr>
        <w:ind w:left="6609" w:hanging="337"/>
      </w:pPr>
      <w:rPr>
        <w:rFonts w:hint="default"/>
        <w:lang w:val="es-ES" w:eastAsia="es-ES" w:bidi="es-ES"/>
      </w:rPr>
    </w:lvl>
  </w:abstractNum>
  <w:abstractNum w:abstractNumId="250">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80"/>
      </w:pPr>
      <w:rPr>
        <w:rFonts w:hint="default"/>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1" w:hanging="180"/>
      </w:pPr>
      <w:rPr>
        <w:rFonts w:hint="default"/>
        <w:lang w:val="es-ES" w:eastAsia="es-ES" w:bidi="es-ES"/>
      </w:rPr>
    </w:lvl>
    <w:lvl w:ilvl="6">
      <w:start w:val="0"/>
      <w:numFmt w:val="bullet"/>
      <w:lvlText w:val="•"/>
      <w:lvlJc w:val="left"/>
      <w:pPr>
        <w:ind w:left="5221"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249">
    <w:multiLevelType w:val="hybridMultilevel"/>
    <w:lvl w:ilvl="0">
      <w:start w:val="9"/>
      <w:numFmt w:val="upperRoman"/>
      <w:lvlText w:val="%1."/>
      <w:lvlJc w:val="left"/>
      <w:pPr>
        <w:ind w:left="151" w:hanging="237"/>
        <w:jc w:val="right"/>
      </w:pPr>
      <w:rPr>
        <w:rFonts w:hint="default" w:ascii="Arial" w:hAnsi="Arial" w:eastAsia="Arial" w:cs="Arial"/>
        <w:spacing w:val="-1"/>
        <w:w w:val="102"/>
        <w:sz w:val="15"/>
        <w:szCs w:val="15"/>
        <w:lang w:val="es-ES" w:eastAsia="es-ES" w:bidi="es-ES"/>
      </w:rPr>
    </w:lvl>
    <w:lvl w:ilvl="1">
      <w:start w:val="6"/>
      <w:numFmt w:val="upperRoman"/>
      <w:lvlText w:val="%2."/>
      <w:lvlJc w:val="left"/>
      <w:pPr>
        <w:ind w:left="151" w:hanging="233"/>
        <w:jc w:val="left"/>
      </w:pPr>
      <w:rPr>
        <w:rFonts w:hint="default" w:ascii="Arial" w:hAnsi="Arial" w:eastAsia="Arial" w:cs="Arial"/>
        <w:w w:val="102"/>
        <w:sz w:val="15"/>
        <w:szCs w:val="15"/>
        <w:lang w:val="es-ES" w:eastAsia="es-ES" w:bidi="es-ES"/>
      </w:rPr>
    </w:lvl>
    <w:lvl w:ilvl="2">
      <w:start w:val="0"/>
      <w:numFmt w:val="bullet"/>
      <w:lvlText w:val="•"/>
      <w:lvlJc w:val="left"/>
      <w:pPr>
        <w:ind w:left="-1102" w:hanging="233"/>
      </w:pPr>
      <w:rPr>
        <w:rFonts w:hint="default"/>
        <w:lang w:val="es-ES" w:eastAsia="es-ES" w:bidi="es-ES"/>
      </w:rPr>
    </w:lvl>
    <w:lvl w:ilvl="3">
      <w:start w:val="0"/>
      <w:numFmt w:val="bullet"/>
      <w:lvlText w:val="•"/>
      <w:lvlJc w:val="left"/>
      <w:pPr>
        <w:ind w:left="-1733" w:hanging="233"/>
      </w:pPr>
      <w:rPr>
        <w:rFonts w:hint="default"/>
        <w:lang w:val="es-ES" w:eastAsia="es-ES" w:bidi="es-ES"/>
      </w:rPr>
    </w:lvl>
    <w:lvl w:ilvl="4">
      <w:start w:val="0"/>
      <w:numFmt w:val="bullet"/>
      <w:lvlText w:val="•"/>
      <w:lvlJc w:val="left"/>
      <w:pPr>
        <w:ind w:left="-2364" w:hanging="233"/>
      </w:pPr>
      <w:rPr>
        <w:rFonts w:hint="default"/>
        <w:lang w:val="es-ES" w:eastAsia="es-ES" w:bidi="es-ES"/>
      </w:rPr>
    </w:lvl>
    <w:lvl w:ilvl="5">
      <w:start w:val="0"/>
      <w:numFmt w:val="bullet"/>
      <w:lvlText w:val="•"/>
      <w:lvlJc w:val="left"/>
      <w:pPr>
        <w:ind w:left="-2995" w:hanging="233"/>
      </w:pPr>
      <w:rPr>
        <w:rFonts w:hint="default"/>
        <w:lang w:val="es-ES" w:eastAsia="es-ES" w:bidi="es-ES"/>
      </w:rPr>
    </w:lvl>
    <w:lvl w:ilvl="6">
      <w:start w:val="0"/>
      <w:numFmt w:val="bullet"/>
      <w:lvlText w:val="•"/>
      <w:lvlJc w:val="left"/>
      <w:pPr>
        <w:ind w:left="-3626" w:hanging="233"/>
      </w:pPr>
      <w:rPr>
        <w:rFonts w:hint="default"/>
        <w:lang w:val="es-ES" w:eastAsia="es-ES" w:bidi="es-ES"/>
      </w:rPr>
    </w:lvl>
    <w:lvl w:ilvl="7">
      <w:start w:val="0"/>
      <w:numFmt w:val="bullet"/>
      <w:lvlText w:val="•"/>
      <w:lvlJc w:val="left"/>
      <w:pPr>
        <w:ind w:left="-4257" w:hanging="233"/>
      </w:pPr>
      <w:rPr>
        <w:rFonts w:hint="default"/>
        <w:lang w:val="es-ES" w:eastAsia="es-ES" w:bidi="es-ES"/>
      </w:rPr>
    </w:lvl>
    <w:lvl w:ilvl="8">
      <w:start w:val="0"/>
      <w:numFmt w:val="bullet"/>
      <w:lvlText w:val="•"/>
      <w:lvlJc w:val="left"/>
      <w:pPr>
        <w:ind w:left="-4888" w:hanging="233"/>
      </w:pPr>
      <w:rPr>
        <w:rFonts w:hint="default"/>
        <w:lang w:val="es-ES" w:eastAsia="es-ES" w:bidi="es-ES"/>
      </w:rPr>
    </w:lvl>
  </w:abstractNum>
  <w:abstractNum w:abstractNumId="248">
    <w:multiLevelType w:val="hybridMultilevel"/>
    <w:lvl w:ilvl="0">
      <w:start w:val="4"/>
      <w:numFmt w:val="decimal"/>
      <w:lvlText w:val="%1"/>
      <w:lvlJc w:val="left"/>
      <w:pPr>
        <w:ind w:left="2607" w:hanging="129"/>
        <w:jc w:val="left"/>
      </w:pPr>
      <w:rPr>
        <w:rFonts w:hint="default" w:ascii="Arial" w:hAnsi="Arial" w:eastAsia="Arial" w:cs="Arial"/>
        <w:w w:val="102"/>
        <w:sz w:val="15"/>
        <w:szCs w:val="15"/>
        <w:lang w:val="es-ES" w:eastAsia="es-ES" w:bidi="es-ES"/>
      </w:rPr>
    </w:lvl>
    <w:lvl w:ilvl="1">
      <w:start w:val="0"/>
      <w:numFmt w:val="bullet"/>
      <w:lvlText w:val="•"/>
      <w:lvlJc w:val="left"/>
      <w:pPr>
        <w:ind w:left="2887" w:hanging="129"/>
      </w:pPr>
      <w:rPr>
        <w:rFonts w:hint="default"/>
        <w:lang w:val="es-ES" w:eastAsia="es-ES" w:bidi="es-ES"/>
      </w:rPr>
    </w:lvl>
    <w:lvl w:ilvl="2">
      <w:start w:val="0"/>
      <w:numFmt w:val="bullet"/>
      <w:lvlText w:val="•"/>
      <w:lvlJc w:val="left"/>
      <w:pPr>
        <w:ind w:left="3174" w:hanging="129"/>
      </w:pPr>
      <w:rPr>
        <w:rFonts w:hint="default"/>
        <w:lang w:val="es-ES" w:eastAsia="es-ES" w:bidi="es-ES"/>
      </w:rPr>
    </w:lvl>
    <w:lvl w:ilvl="3">
      <w:start w:val="0"/>
      <w:numFmt w:val="bullet"/>
      <w:lvlText w:val="•"/>
      <w:lvlJc w:val="left"/>
      <w:pPr>
        <w:ind w:left="3461" w:hanging="129"/>
      </w:pPr>
      <w:rPr>
        <w:rFonts w:hint="default"/>
        <w:lang w:val="es-ES" w:eastAsia="es-ES" w:bidi="es-ES"/>
      </w:rPr>
    </w:lvl>
    <w:lvl w:ilvl="4">
      <w:start w:val="0"/>
      <w:numFmt w:val="bullet"/>
      <w:lvlText w:val="•"/>
      <w:lvlJc w:val="left"/>
      <w:pPr>
        <w:ind w:left="3749" w:hanging="129"/>
      </w:pPr>
      <w:rPr>
        <w:rFonts w:hint="default"/>
        <w:lang w:val="es-ES" w:eastAsia="es-ES" w:bidi="es-ES"/>
      </w:rPr>
    </w:lvl>
    <w:lvl w:ilvl="5">
      <w:start w:val="0"/>
      <w:numFmt w:val="bullet"/>
      <w:lvlText w:val="•"/>
      <w:lvlJc w:val="left"/>
      <w:pPr>
        <w:ind w:left="4036" w:hanging="129"/>
      </w:pPr>
      <w:rPr>
        <w:rFonts w:hint="default"/>
        <w:lang w:val="es-ES" w:eastAsia="es-ES" w:bidi="es-ES"/>
      </w:rPr>
    </w:lvl>
    <w:lvl w:ilvl="6">
      <w:start w:val="0"/>
      <w:numFmt w:val="bullet"/>
      <w:lvlText w:val="•"/>
      <w:lvlJc w:val="left"/>
      <w:pPr>
        <w:ind w:left="4323" w:hanging="129"/>
      </w:pPr>
      <w:rPr>
        <w:rFonts w:hint="default"/>
        <w:lang w:val="es-ES" w:eastAsia="es-ES" w:bidi="es-ES"/>
      </w:rPr>
    </w:lvl>
    <w:lvl w:ilvl="7">
      <w:start w:val="0"/>
      <w:numFmt w:val="bullet"/>
      <w:lvlText w:val="•"/>
      <w:lvlJc w:val="left"/>
      <w:pPr>
        <w:ind w:left="4611" w:hanging="129"/>
      </w:pPr>
      <w:rPr>
        <w:rFonts w:hint="default"/>
        <w:lang w:val="es-ES" w:eastAsia="es-ES" w:bidi="es-ES"/>
      </w:rPr>
    </w:lvl>
    <w:lvl w:ilvl="8">
      <w:start w:val="0"/>
      <w:numFmt w:val="bullet"/>
      <w:lvlText w:val="•"/>
      <w:lvlJc w:val="left"/>
      <w:pPr>
        <w:ind w:left="4898" w:hanging="129"/>
      </w:pPr>
      <w:rPr>
        <w:rFonts w:hint="default"/>
        <w:lang w:val="es-ES" w:eastAsia="es-ES" w:bidi="es-ES"/>
      </w:rPr>
    </w:lvl>
  </w:abstractNum>
  <w:abstractNum w:abstractNumId="247">
    <w:multiLevelType w:val="hybridMultilevel"/>
    <w:lvl w:ilvl="0">
      <w:start w:val="1"/>
      <w:numFmt w:val="lowerLetter"/>
      <w:lvlText w:val="%1)"/>
      <w:lvlJc w:val="left"/>
      <w:pPr>
        <w:ind w:left="151" w:hanging="188"/>
        <w:jc w:val="left"/>
      </w:pPr>
      <w:rPr>
        <w:rFonts w:hint="default" w:ascii="Arial" w:hAnsi="Arial" w:eastAsia="Arial" w:cs="Arial"/>
        <w:w w:val="102"/>
        <w:sz w:val="15"/>
        <w:szCs w:val="15"/>
        <w:lang w:val="es-ES" w:eastAsia="es-ES" w:bidi="es-ES"/>
      </w:rPr>
    </w:lvl>
    <w:lvl w:ilvl="1">
      <w:start w:val="0"/>
      <w:numFmt w:val="bullet"/>
      <w:lvlText w:val="•"/>
      <w:lvlJc w:val="left"/>
      <w:pPr>
        <w:ind w:left="691" w:hanging="188"/>
      </w:pPr>
      <w:rPr>
        <w:rFonts w:hint="default"/>
        <w:lang w:val="es-ES" w:eastAsia="es-ES" w:bidi="es-ES"/>
      </w:rPr>
    </w:lvl>
    <w:lvl w:ilvl="2">
      <w:start w:val="0"/>
      <w:numFmt w:val="bullet"/>
      <w:lvlText w:val="•"/>
      <w:lvlJc w:val="left"/>
      <w:pPr>
        <w:ind w:left="1222" w:hanging="188"/>
      </w:pPr>
      <w:rPr>
        <w:rFonts w:hint="default"/>
        <w:lang w:val="es-ES" w:eastAsia="es-ES" w:bidi="es-ES"/>
      </w:rPr>
    </w:lvl>
    <w:lvl w:ilvl="3">
      <w:start w:val="0"/>
      <w:numFmt w:val="bullet"/>
      <w:lvlText w:val="•"/>
      <w:lvlJc w:val="left"/>
      <w:pPr>
        <w:ind w:left="1753" w:hanging="188"/>
      </w:pPr>
      <w:rPr>
        <w:rFonts w:hint="default"/>
        <w:lang w:val="es-ES" w:eastAsia="es-ES" w:bidi="es-ES"/>
      </w:rPr>
    </w:lvl>
    <w:lvl w:ilvl="4">
      <w:start w:val="0"/>
      <w:numFmt w:val="bullet"/>
      <w:lvlText w:val="•"/>
      <w:lvlJc w:val="left"/>
      <w:pPr>
        <w:ind w:left="2285" w:hanging="188"/>
      </w:pPr>
      <w:rPr>
        <w:rFonts w:hint="default"/>
        <w:lang w:val="es-ES" w:eastAsia="es-ES" w:bidi="es-ES"/>
      </w:rPr>
    </w:lvl>
    <w:lvl w:ilvl="5">
      <w:start w:val="0"/>
      <w:numFmt w:val="bullet"/>
      <w:lvlText w:val="•"/>
      <w:lvlJc w:val="left"/>
      <w:pPr>
        <w:ind w:left="2816" w:hanging="188"/>
      </w:pPr>
      <w:rPr>
        <w:rFonts w:hint="default"/>
        <w:lang w:val="es-ES" w:eastAsia="es-ES" w:bidi="es-ES"/>
      </w:rPr>
    </w:lvl>
    <w:lvl w:ilvl="6">
      <w:start w:val="0"/>
      <w:numFmt w:val="bullet"/>
      <w:lvlText w:val="•"/>
      <w:lvlJc w:val="left"/>
      <w:pPr>
        <w:ind w:left="3347" w:hanging="188"/>
      </w:pPr>
      <w:rPr>
        <w:rFonts w:hint="default"/>
        <w:lang w:val="es-ES" w:eastAsia="es-ES" w:bidi="es-ES"/>
      </w:rPr>
    </w:lvl>
    <w:lvl w:ilvl="7">
      <w:start w:val="0"/>
      <w:numFmt w:val="bullet"/>
      <w:lvlText w:val="•"/>
      <w:lvlJc w:val="left"/>
      <w:pPr>
        <w:ind w:left="3879" w:hanging="188"/>
      </w:pPr>
      <w:rPr>
        <w:rFonts w:hint="default"/>
        <w:lang w:val="es-ES" w:eastAsia="es-ES" w:bidi="es-ES"/>
      </w:rPr>
    </w:lvl>
    <w:lvl w:ilvl="8">
      <w:start w:val="0"/>
      <w:numFmt w:val="bullet"/>
      <w:lvlText w:val="•"/>
      <w:lvlJc w:val="left"/>
      <w:pPr>
        <w:ind w:left="4410" w:hanging="188"/>
      </w:pPr>
      <w:rPr>
        <w:rFonts w:hint="default"/>
        <w:lang w:val="es-ES" w:eastAsia="es-ES" w:bidi="es-ES"/>
      </w:rPr>
    </w:lvl>
  </w:abstractNum>
  <w:abstractNum w:abstractNumId="246">
    <w:multiLevelType w:val="hybridMultilevel"/>
    <w:lvl w:ilvl="0">
      <w:start w:val="1"/>
      <w:numFmt w:val="upperRoman"/>
      <w:lvlText w:val="%1."/>
      <w:lvlJc w:val="left"/>
      <w:pPr>
        <w:ind w:left="151" w:hanging="140"/>
        <w:jc w:val="left"/>
      </w:pPr>
      <w:rPr>
        <w:rFonts w:hint="default" w:ascii="Arial" w:hAnsi="Arial" w:eastAsia="Arial" w:cs="Arial"/>
        <w:w w:val="102"/>
        <w:sz w:val="15"/>
        <w:szCs w:val="15"/>
        <w:lang w:val="es-ES" w:eastAsia="es-ES" w:bidi="es-ES"/>
      </w:rPr>
    </w:lvl>
    <w:lvl w:ilvl="1">
      <w:start w:val="0"/>
      <w:numFmt w:val="bullet"/>
      <w:lvlText w:val="•"/>
      <w:lvlJc w:val="left"/>
      <w:pPr>
        <w:ind w:left="691" w:hanging="140"/>
      </w:pPr>
      <w:rPr>
        <w:rFonts w:hint="default"/>
        <w:lang w:val="es-ES" w:eastAsia="es-ES" w:bidi="es-ES"/>
      </w:rPr>
    </w:lvl>
    <w:lvl w:ilvl="2">
      <w:start w:val="0"/>
      <w:numFmt w:val="bullet"/>
      <w:lvlText w:val="•"/>
      <w:lvlJc w:val="left"/>
      <w:pPr>
        <w:ind w:left="1222" w:hanging="140"/>
      </w:pPr>
      <w:rPr>
        <w:rFonts w:hint="default"/>
        <w:lang w:val="es-ES" w:eastAsia="es-ES" w:bidi="es-ES"/>
      </w:rPr>
    </w:lvl>
    <w:lvl w:ilvl="3">
      <w:start w:val="0"/>
      <w:numFmt w:val="bullet"/>
      <w:lvlText w:val="•"/>
      <w:lvlJc w:val="left"/>
      <w:pPr>
        <w:ind w:left="1753" w:hanging="140"/>
      </w:pPr>
      <w:rPr>
        <w:rFonts w:hint="default"/>
        <w:lang w:val="es-ES" w:eastAsia="es-ES" w:bidi="es-ES"/>
      </w:rPr>
    </w:lvl>
    <w:lvl w:ilvl="4">
      <w:start w:val="0"/>
      <w:numFmt w:val="bullet"/>
      <w:lvlText w:val="•"/>
      <w:lvlJc w:val="left"/>
      <w:pPr>
        <w:ind w:left="2285" w:hanging="140"/>
      </w:pPr>
      <w:rPr>
        <w:rFonts w:hint="default"/>
        <w:lang w:val="es-ES" w:eastAsia="es-ES" w:bidi="es-ES"/>
      </w:rPr>
    </w:lvl>
    <w:lvl w:ilvl="5">
      <w:start w:val="0"/>
      <w:numFmt w:val="bullet"/>
      <w:lvlText w:val="•"/>
      <w:lvlJc w:val="left"/>
      <w:pPr>
        <w:ind w:left="2816" w:hanging="140"/>
      </w:pPr>
      <w:rPr>
        <w:rFonts w:hint="default"/>
        <w:lang w:val="es-ES" w:eastAsia="es-ES" w:bidi="es-ES"/>
      </w:rPr>
    </w:lvl>
    <w:lvl w:ilvl="6">
      <w:start w:val="0"/>
      <w:numFmt w:val="bullet"/>
      <w:lvlText w:val="•"/>
      <w:lvlJc w:val="left"/>
      <w:pPr>
        <w:ind w:left="3347" w:hanging="140"/>
      </w:pPr>
      <w:rPr>
        <w:rFonts w:hint="default"/>
        <w:lang w:val="es-ES" w:eastAsia="es-ES" w:bidi="es-ES"/>
      </w:rPr>
    </w:lvl>
    <w:lvl w:ilvl="7">
      <w:start w:val="0"/>
      <w:numFmt w:val="bullet"/>
      <w:lvlText w:val="•"/>
      <w:lvlJc w:val="left"/>
      <w:pPr>
        <w:ind w:left="3879" w:hanging="140"/>
      </w:pPr>
      <w:rPr>
        <w:rFonts w:hint="default"/>
        <w:lang w:val="es-ES" w:eastAsia="es-ES" w:bidi="es-ES"/>
      </w:rPr>
    </w:lvl>
    <w:lvl w:ilvl="8">
      <w:start w:val="0"/>
      <w:numFmt w:val="bullet"/>
      <w:lvlText w:val="•"/>
      <w:lvlJc w:val="left"/>
      <w:pPr>
        <w:ind w:left="4410" w:hanging="140"/>
      </w:pPr>
      <w:rPr>
        <w:rFonts w:hint="default"/>
        <w:lang w:val="es-ES" w:eastAsia="es-ES" w:bidi="es-ES"/>
      </w:rPr>
    </w:lvl>
  </w:abstractNum>
  <w:abstractNum w:abstractNumId="245">
    <w:multiLevelType w:val="hybridMultilevel"/>
    <w:lvl w:ilvl="0">
      <w:start w:val="1"/>
      <w:numFmt w:val="lowerLetter"/>
      <w:lvlText w:val="%1)"/>
      <w:lvlJc w:val="left"/>
      <w:pPr>
        <w:ind w:left="151" w:hanging="184"/>
        <w:jc w:val="left"/>
      </w:pPr>
      <w:rPr>
        <w:rFonts w:hint="default" w:ascii="Arial" w:hAnsi="Arial" w:eastAsia="Arial" w:cs="Arial"/>
        <w:w w:val="102"/>
        <w:sz w:val="15"/>
        <w:szCs w:val="15"/>
        <w:lang w:val="es-ES" w:eastAsia="es-ES" w:bidi="es-ES"/>
      </w:rPr>
    </w:lvl>
    <w:lvl w:ilvl="1">
      <w:start w:val="0"/>
      <w:numFmt w:val="bullet"/>
      <w:lvlText w:val="•"/>
      <w:lvlJc w:val="left"/>
      <w:pPr>
        <w:ind w:left="966" w:hanging="184"/>
      </w:pPr>
      <w:rPr>
        <w:rFonts w:hint="default"/>
        <w:lang w:val="es-ES" w:eastAsia="es-ES" w:bidi="es-ES"/>
      </w:rPr>
    </w:lvl>
    <w:lvl w:ilvl="2">
      <w:start w:val="0"/>
      <w:numFmt w:val="bullet"/>
      <w:lvlText w:val="•"/>
      <w:lvlJc w:val="left"/>
      <w:pPr>
        <w:ind w:left="1772" w:hanging="184"/>
      </w:pPr>
      <w:rPr>
        <w:rFonts w:hint="default"/>
        <w:lang w:val="es-ES" w:eastAsia="es-ES" w:bidi="es-ES"/>
      </w:rPr>
    </w:lvl>
    <w:lvl w:ilvl="3">
      <w:start w:val="0"/>
      <w:numFmt w:val="bullet"/>
      <w:lvlText w:val="•"/>
      <w:lvlJc w:val="left"/>
      <w:pPr>
        <w:ind w:left="2578" w:hanging="184"/>
      </w:pPr>
      <w:rPr>
        <w:rFonts w:hint="default"/>
        <w:lang w:val="es-ES" w:eastAsia="es-ES" w:bidi="es-ES"/>
      </w:rPr>
    </w:lvl>
    <w:lvl w:ilvl="4">
      <w:start w:val="0"/>
      <w:numFmt w:val="bullet"/>
      <w:lvlText w:val="•"/>
      <w:lvlJc w:val="left"/>
      <w:pPr>
        <w:ind w:left="3384" w:hanging="184"/>
      </w:pPr>
      <w:rPr>
        <w:rFonts w:hint="default"/>
        <w:lang w:val="es-ES" w:eastAsia="es-ES" w:bidi="es-ES"/>
      </w:rPr>
    </w:lvl>
    <w:lvl w:ilvl="5">
      <w:start w:val="0"/>
      <w:numFmt w:val="bullet"/>
      <w:lvlText w:val="•"/>
      <w:lvlJc w:val="left"/>
      <w:pPr>
        <w:ind w:left="4190" w:hanging="184"/>
      </w:pPr>
      <w:rPr>
        <w:rFonts w:hint="default"/>
        <w:lang w:val="es-ES" w:eastAsia="es-ES" w:bidi="es-ES"/>
      </w:rPr>
    </w:lvl>
    <w:lvl w:ilvl="6">
      <w:start w:val="0"/>
      <w:numFmt w:val="bullet"/>
      <w:lvlText w:val="•"/>
      <w:lvlJc w:val="left"/>
      <w:pPr>
        <w:ind w:left="4997" w:hanging="184"/>
      </w:pPr>
      <w:rPr>
        <w:rFonts w:hint="default"/>
        <w:lang w:val="es-ES" w:eastAsia="es-ES" w:bidi="es-ES"/>
      </w:rPr>
    </w:lvl>
    <w:lvl w:ilvl="7">
      <w:start w:val="0"/>
      <w:numFmt w:val="bullet"/>
      <w:lvlText w:val="•"/>
      <w:lvlJc w:val="left"/>
      <w:pPr>
        <w:ind w:left="5803" w:hanging="184"/>
      </w:pPr>
      <w:rPr>
        <w:rFonts w:hint="default"/>
        <w:lang w:val="es-ES" w:eastAsia="es-ES" w:bidi="es-ES"/>
      </w:rPr>
    </w:lvl>
    <w:lvl w:ilvl="8">
      <w:start w:val="0"/>
      <w:numFmt w:val="bullet"/>
      <w:lvlText w:val="•"/>
      <w:lvlJc w:val="left"/>
      <w:pPr>
        <w:ind w:left="6609" w:hanging="184"/>
      </w:pPr>
      <w:rPr>
        <w:rFonts w:hint="default"/>
        <w:lang w:val="es-ES" w:eastAsia="es-ES" w:bidi="es-ES"/>
      </w:rPr>
    </w:lvl>
  </w:abstractNum>
  <w:abstractNum w:abstractNumId="244">
    <w:multiLevelType w:val="hybridMultilevel"/>
    <w:lvl w:ilvl="0">
      <w:start w:val="1"/>
      <w:numFmt w:val="lowerLetter"/>
      <w:lvlText w:val="%1)"/>
      <w:lvlJc w:val="left"/>
      <w:pPr>
        <w:ind w:left="151" w:hanging="177"/>
        <w:jc w:val="left"/>
      </w:pPr>
      <w:rPr>
        <w:rFonts w:hint="default" w:ascii="Arial" w:hAnsi="Arial" w:eastAsia="Arial" w:cs="Arial"/>
        <w:w w:val="102"/>
        <w:sz w:val="15"/>
        <w:szCs w:val="15"/>
        <w:lang w:val="es-ES" w:eastAsia="es-ES" w:bidi="es-ES"/>
      </w:rPr>
    </w:lvl>
    <w:lvl w:ilvl="1">
      <w:start w:val="0"/>
      <w:numFmt w:val="bullet"/>
      <w:lvlText w:val="•"/>
      <w:lvlJc w:val="left"/>
      <w:pPr>
        <w:ind w:left="966" w:hanging="177"/>
      </w:pPr>
      <w:rPr>
        <w:rFonts w:hint="default"/>
        <w:lang w:val="es-ES" w:eastAsia="es-ES" w:bidi="es-ES"/>
      </w:rPr>
    </w:lvl>
    <w:lvl w:ilvl="2">
      <w:start w:val="0"/>
      <w:numFmt w:val="bullet"/>
      <w:lvlText w:val="•"/>
      <w:lvlJc w:val="left"/>
      <w:pPr>
        <w:ind w:left="1772" w:hanging="177"/>
      </w:pPr>
      <w:rPr>
        <w:rFonts w:hint="default"/>
        <w:lang w:val="es-ES" w:eastAsia="es-ES" w:bidi="es-ES"/>
      </w:rPr>
    </w:lvl>
    <w:lvl w:ilvl="3">
      <w:start w:val="0"/>
      <w:numFmt w:val="bullet"/>
      <w:lvlText w:val="•"/>
      <w:lvlJc w:val="left"/>
      <w:pPr>
        <w:ind w:left="2578" w:hanging="177"/>
      </w:pPr>
      <w:rPr>
        <w:rFonts w:hint="default"/>
        <w:lang w:val="es-ES" w:eastAsia="es-ES" w:bidi="es-ES"/>
      </w:rPr>
    </w:lvl>
    <w:lvl w:ilvl="4">
      <w:start w:val="0"/>
      <w:numFmt w:val="bullet"/>
      <w:lvlText w:val="•"/>
      <w:lvlJc w:val="left"/>
      <w:pPr>
        <w:ind w:left="3384" w:hanging="177"/>
      </w:pPr>
      <w:rPr>
        <w:rFonts w:hint="default"/>
        <w:lang w:val="es-ES" w:eastAsia="es-ES" w:bidi="es-ES"/>
      </w:rPr>
    </w:lvl>
    <w:lvl w:ilvl="5">
      <w:start w:val="0"/>
      <w:numFmt w:val="bullet"/>
      <w:lvlText w:val="•"/>
      <w:lvlJc w:val="left"/>
      <w:pPr>
        <w:ind w:left="4190" w:hanging="177"/>
      </w:pPr>
      <w:rPr>
        <w:rFonts w:hint="default"/>
        <w:lang w:val="es-ES" w:eastAsia="es-ES" w:bidi="es-ES"/>
      </w:rPr>
    </w:lvl>
    <w:lvl w:ilvl="6">
      <w:start w:val="0"/>
      <w:numFmt w:val="bullet"/>
      <w:lvlText w:val="•"/>
      <w:lvlJc w:val="left"/>
      <w:pPr>
        <w:ind w:left="4997" w:hanging="177"/>
      </w:pPr>
      <w:rPr>
        <w:rFonts w:hint="default"/>
        <w:lang w:val="es-ES" w:eastAsia="es-ES" w:bidi="es-ES"/>
      </w:rPr>
    </w:lvl>
    <w:lvl w:ilvl="7">
      <w:start w:val="0"/>
      <w:numFmt w:val="bullet"/>
      <w:lvlText w:val="•"/>
      <w:lvlJc w:val="left"/>
      <w:pPr>
        <w:ind w:left="5803" w:hanging="177"/>
      </w:pPr>
      <w:rPr>
        <w:rFonts w:hint="default"/>
        <w:lang w:val="es-ES" w:eastAsia="es-ES" w:bidi="es-ES"/>
      </w:rPr>
    </w:lvl>
    <w:lvl w:ilvl="8">
      <w:start w:val="0"/>
      <w:numFmt w:val="bullet"/>
      <w:lvlText w:val="•"/>
      <w:lvlJc w:val="left"/>
      <w:pPr>
        <w:ind w:left="6609" w:hanging="177"/>
      </w:pPr>
      <w:rPr>
        <w:rFonts w:hint="default"/>
        <w:lang w:val="es-ES" w:eastAsia="es-ES" w:bidi="es-ES"/>
      </w:rPr>
    </w:lvl>
  </w:abstractNum>
  <w:abstractNum w:abstractNumId="243">
    <w:multiLevelType w:val="hybridMultilevel"/>
    <w:lvl w:ilvl="0">
      <w:start w:val="1"/>
      <w:numFmt w:val="upperRoman"/>
      <w:lvlText w:val="%1."/>
      <w:lvlJc w:val="left"/>
      <w:pPr>
        <w:ind w:left="151" w:hanging="181"/>
        <w:jc w:val="left"/>
      </w:pPr>
      <w:rPr>
        <w:rFonts w:hint="default" w:ascii="Arial" w:hAnsi="Arial" w:eastAsia="Arial" w:cs="Arial"/>
        <w:w w:val="102"/>
        <w:sz w:val="15"/>
        <w:szCs w:val="15"/>
        <w:lang w:val="es-ES" w:eastAsia="es-ES" w:bidi="es-ES"/>
      </w:rPr>
    </w:lvl>
    <w:lvl w:ilvl="1">
      <w:start w:val="0"/>
      <w:numFmt w:val="bullet"/>
      <w:lvlText w:val="•"/>
      <w:lvlJc w:val="left"/>
      <w:pPr>
        <w:ind w:left="966" w:hanging="181"/>
      </w:pPr>
      <w:rPr>
        <w:rFonts w:hint="default"/>
        <w:lang w:val="es-ES" w:eastAsia="es-ES" w:bidi="es-ES"/>
      </w:rPr>
    </w:lvl>
    <w:lvl w:ilvl="2">
      <w:start w:val="0"/>
      <w:numFmt w:val="bullet"/>
      <w:lvlText w:val="•"/>
      <w:lvlJc w:val="left"/>
      <w:pPr>
        <w:ind w:left="1772" w:hanging="181"/>
      </w:pPr>
      <w:rPr>
        <w:rFonts w:hint="default"/>
        <w:lang w:val="es-ES" w:eastAsia="es-ES" w:bidi="es-ES"/>
      </w:rPr>
    </w:lvl>
    <w:lvl w:ilvl="3">
      <w:start w:val="0"/>
      <w:numFmt w:val="bullet"/>
      <w:lvlText w:val="•"/>
      <w:lvlJc w:val="left"/>
      <w:pPr>
        <w:ind w:left="2578" w:hanging="181"/>
      </w:pPr>
      <w:rPr>
        <w:rFonts w:hint="default"/>
        <w:lang w:val="es-ES" w:eastAsia="es-ES" w:bidi="es-ES"/>
      </w:rPr>
    </w:lvl>
    <w:lvl w:ilvl="4">
      <w:start w:val="0"/>
      <w:numFmt w:val="bullet"/>
      <w:lvlText w:val="•"/>
      <w:lvlJc w:val="left"/>
      <w:pPr>
        <w:ind w:left="3384" w:hanging="181"/>
      </w:pPr>
      <w:rPr>
        <w:rFonts w:hint="default"/>
        <w:lang w:val="es-ES" w:eastAsia="es-ES" w:bidi="es-ES"/>
      </w:rPr>
    </w:lvl>
    <w:lvl w:ilvl="5">
      <w:start w:val="0"/>
      <w:numFmt w:val="bullet"/>
      <w:lvlText w:val="•"/>
      <w:lvlJc w:val="left"/>
      <w:pPr>
        <w:ind w:left="4190" w:hanging="181"/>
      </w:pPr>
      <w:rPr>
        <w:rFonts w:hint="default"/>
        <w:lang w:val="es-ES" w:eastAsia="es-ES" w:bidi="es-ES"/>
      </w:rPr>
    </w:lvl>
    <w:lvl w:ilvl="6">
      <w:start w:val="0"/>
      <w:numFmt w:val="bullet"/>
      <w:lvlText w:val="•"/>
      <w:lvlJc w:val="left"/>
      <w:pPr>
        <w:ind w:left="4997" w:hanging="181"/>
      </w:pPr>
      <w:rPr>
        <w:rFonts w:hint="default"/>
        <w:lang w:val="es-ES" w:eastAsia="es-ES" w:bidi="es-ES"/>
      </w:rPr>
    </w:lvl>
    <w:lvl w:ilvl="7">
      <w:start w:val="0"/>
      <w:numFmt w:val="bullet"/>
      <w:lvlText w:val="•"/>
      <w:lvlJc w:val="left"/>
      <w:pPr>
        <w:ind w:left="5803" w:hanging="181"/>
      </w:pPr>
      <w:rPr>
        <w:rFonts w:hint="default"/>
        <w:lang w:val="es-ES" w:eastAsia="es-ES" w:bidi="es-ES"/>
      </w:rPr>
    </w:lvl>
    <w:lvl w:ilvl="8">
      <w:start w:val="0"/>
      <w:numFmt w:val="bullet"/>
      <w:lvlText w:val="•"/>
      <w:lvlJc w:val="left"/>
      <w:pPr>
        <w:ind w:left="6609" w:hanging="181"/>
      </w:pPr>
      <w:rPr>
        <w:rFonts w:hint="default"/>
        <w:lang w:val="es-ES" w:eastAsia="es-ES" w:bidi="es-ES"/>
      </w:rPr>
    </w:lvl>
  </w:abstractNum>
  <w:abstractNum w:abstractNumId="242">
    <w:multiLevelType w:val="hybridMultilevel"/>
    <w:lvl w:ilvl="0">
      <w:start w:val="1"/>
      <w:numFmt w:val="lowerLetter"/>
      <w:lvlText w:val="%1)"/>
      <w:lvlJc w:val="left"/>
      <w:pPr>
        <w:ind w:left="151" w:hanging="200"/>
        <w:jc w:val="left"/>
      </w:pPr>
      <w:rPr>
        <w:rFonts w:hint="default" w:ascii="Arial" w:hAnsi="Arial" w:eastAsia="Arial" w:cs="Arial"/>
        <w:w w:val="102"/>
        <w:sz w:val="15"/>
        <w:szCs w:val="15"/>
        <w:lang w:val="es-ES" w:eastAsia="es-ES" w:bidi="es-ES"/>
      </w:rPr>
    </w:lvl>
    <w:lvl w:ilvl="1">
      <w:start w:val="0"/>
      <w:numFmt w:val="bullet"/>
      <w:lvlText w:val="•"/>
      <w:lvlJc w:val="left"/>
      <w:pPr>
        <w:ind w:left="691" w:hanging="200"/>
      </w:pPr>
      <w:rPr>
        <w:rFonts w:hint="default"/>
        <w:lang w:val="es-ES" w:eastAsia="es-ES" w:bidi="es-ES"/>
      </w:rPr>
    </w:lvl>
    <w:lvl w:ilvl="2">
      <w:start w:val="0"/>
      <w:numFmt w:val="bullet"/>
      <w:lvlText w:val="•"/>
      <w:lvlJc w:val="left"/>
      <w:pPr>
        <w:ind w:left="1222" w:hanging="200"/>
      </w:pPr>
      <w:rPr>
        <w:rFonts w:hint="default"/>
        <w:lang w:val="es-ES" w:eastAsia="es-ES" w:bidi="es-ES"/>
      </w:rPr>
    </w:lvl>
    <w:lvl w:ilvl="3">
      <w:start w:val="0"/>
      <w:numFmt w:val="bullet"/>
      <w:lvlText w:val="•"/>
      <w:lvlJc w:val="left"/>
      <w:pPr>
        <w:ind w:left="1754" w:hanging="200"/>
      </w:pPr>
      <w:rPr>
        <w:rFonts w:hint="default"/>
        <w:lang w:val="es-ES" w:eastAsia="es-ES" w:bidi="es-ES"/>
      </w:rPr>
    </w:lvl>
    <w:lvl w:ilvl="4">
      <w:start w:val="0"/>
      <w:numFmt w:val="bullet"/>
      <w:lvlText w:val="•"/>
      <w:lvlJc w:val="left"/>
      <w:pPr>
        <w:ind w:left="2285" w:hanging="200"/>
      </w:pPr>
      <w:rPr>
        <w:rFonts w:hint="default"/>
        <w:lang w:val="es-ES" w:eastAsia="es-ES" w:bidi="es-ES"/>
      </w:rPr>
    </w:lvl>
    <w:lvl w:ilvl="5">
      <w:start w:val="0"/>
      <w:numFmt w:val="bullet"/>
      <w:lvlText w:val="•"/>
      <w:lvlJc w:val="left"/>
      <w:pPr>
        <w:ind w:left="2816" w:hanging="200"/>
      </w:pPr>
      <w:rPr>
        <w:rFonts w:hint="default"/>
        <w:lang w:val="es-ES" w:eastAsia="es-ES" w:bidi="es-ES"/>
      </w:rPr>
    </w:lvl>
    <w:lvl w:ilvl="6">
      <w:start w:val="0"/>
      <w:numFmt w:val="bullet"/>
      <w:lvlText w:val="•"/>
      <w:lvlJc w:val="left"/>
      <w:pPr>
        <w:ind w:left="3348" w:hanging="200"/>
      </w:pPr>
      <w:rPr>
        <w:rFonts w:hint="default"/>
        <w:lang w:val="es-ES" w:eastAsia="es-ES" w:bidi="es-ES"/>
      </w:rPr>
    </w:lvl>
    <w:lvl w:ilvl="7">
      <w:start w:val="0"/>
      <w:numFmt w:val="bullet"/>
      <w:lvlText w:val="•"/>
      <w:lvlJc w:val="left"/>
      <w:pPr>
        <w:ind w:left="3879" w:hanging="200"/>
      </w:pPr>
      <w:rPr>
        <w:rFonts w:hint="default"/>
        <w:lang w:val="es-ES" w:eastAsia="es-ES" w:bidi="es-ES"/>
      </w:rPr>
    </w:lvl>
    <w:lvl w:ilvl="8">
      <w:start w:val="0"/>
      <w:numFmt w:val="bullet"/>
      <w:lvlText w:val="•"/>
      <w:lvlJc w:val="left"/>
      <w:pPr>
        <w:ind w:left="4410" w:hanging="200"/>
      </w:pPr>
      <w:rPr>
        <w:rFonts w:hint="default"/>
        <w:lang w:val="es-ES" w:eastAsia="es-ES" w:bidi="es-ES"/>
      </w:rPr>
    </w:lvl>
  </w:abstractNum>
  <w:abstractNum w:abstractNumId="241">
    <w:multiLevelType w:val="hybridMultilevel"/>
    <w:lvl w:ilvl="0">
      <w:start w:val="1"/>
      <w:numFmt w:val="lowerLetter"/>
      <w:lvlText w:val="%1)"/>
      <w:lvlJc w:val="left"/>
      <w:pPr>
        <w:ind w:left="800" w:hanging="253"/>
        <w:jc w:val="left"/>
      </w:pPr>
      <w:rPr>
        <w:rFonts w:hint="default" w:ascii="Arial" w:hAnsi="Arial" w:eastAsia="Arial" w:cs="Arial"/>
        <w:w w:val="102"/>
        <w:sz w:val="15"/>
        <w:szCs w:val="15"/>
        <w:lang w:val="es-ES" w:eastAsia="es-ES" w:bidi="es-ES"/>
      </w:rPr>
    </w:lvl>
    <w:lvl w:ilvl="1">
      <w:start w:val="0"/>
      <w:numFmt w:val="bullet"/>
      <w:lvlText w:val="•"/>
      <w:lvlJc w:val="left"/>
      <w:pPr>
        <w:ind w:left="1542" w:hanging="253"/>
      </w:pPr>
      <w:rPr>
        <w:rFonts w:hint="default"/>
        <w:lang w:val="es-ES" w:eastAsia="es-ES" w:bidi="es-ES"/>
      </w:rPr>
    </w:lvl>
    <w:lvl w:ilvl="2">
      <w:start w:val="0"/>
      <w:numFmt w:val="bullet"/>
      <w:lvlText w:val="•"/>
      <w:lvlJc w:val="left"/>
      <w:pPr>
        <w:ind w:left="2284" w:hanging="253"/>
      </w:pPr>
      <w:rPr>
        <w:rFonts w:hint="default"/>
        <w:lang w:val="es-ES" w:eastAsia="es-ES" w:bidi="es-ES"/>
      </w:rPr>
    </w:lvl>
    <w:lvl w:ilvl="3">
      <w:start w:val="0"/>
      <w:numFmt w:val="bullet"/>
      <w:lvlText w:val="•"/>
      <w:lvlJc w:val="left"/>
      <w:pPr>
        <w:ind w:left="3026" w:hanging="253"/>
      </w:pPr>
      <w:rPr>
        <w:rFonts w:hint="default"/>
        <w:lang w:val="es-ES" w:eastAsia="es-ES" w:bidi="es-ES"/>
      </w:rPr>
    </w:lvl>
    <w:lvl w:ilvl="4">
      <w:start w:val="0"/>
      <w:numFmt w:val="bullet"/>
      <w:lvlText w:val="•"/>
      <w:lvlJc w:val="left"/>
      <w:pPr>
        <w:ind w:left="3768" w:hanging="253"/>
      </w:pPr>
      <w:rPr>
        <w:rFonts w:hint="default"/>
        <w:lang w:val="es-ES" w:eastAsia="es-ES" w:bidi="es-ES"/>
      </w:rPr>
    </w:lvl>
    <w:lvl w:ilvl="5">
      <w:start w:val="0"/>
      <w:numFmt w:val="bullet"/>
      <w:lvlText w:val="•"/>
      <w:lvlJc w:val="left"/>
      <w:pPr>
        <w:ind w:left="4510" w:hanging="253"/>
      </w:pPr>
      <w:rPr>
        <w:rFonts w:hint="default"/>
        <w:lang w:val="es-ES" w:eastAsia="es-ES" w:bidi="es-ES"/>
      </w:rPr>
    </w:lvl>
    <w:lvl w:ilvl="6">
      <w:start w:val="0"/>
      <w:numFmt w:val="bullet"/>
      <w:lvlText w:val="•"/>
      <w:lvlJc w:val="left"/>
      <w:pPr>
        <w:ind w:left="5252" w:hanging="253"/>
      </w:pPr>
      <w:rPr>
        <w:rFonts w:hint="default"/>
        <w:lang w:val="es-ES" w:eastAsia="es-ES" w:bidi="es-ES"/>
      </w:rPr>
    </w:lvl>
    <w:lvl w:ilvl="7">
      <w:start w:val="0"/>
      <w:numFmt w:val="bullet"/>
      <w:lvlText w:val="•"/>
      <w:lvlJc w:val="left"/>
      <w:pPr>
        <w:ind w:left="5995" w:hanging="253"/>
      </w:pPr>
      <w:rPr>
        <w:rFonts w:hint="default"/>
        <w:lang w:val="es-ES" w:eastAsia="es-ES" w:bidi="es-ES"/>
      </w:rPr>
    </w:lvl>
    <w:lvl w:ilvl="8">
      <w:start w:val="0"/>
      <w:numFmt w:val="bullet"/>
      <w:lvlText w:val="•"/>
      <w:lvlJc w:val="left"/>
      <w:pPr>
        <w:ind w:left="6737" w:hanging="253"/>
      </w:pPr>
      <w:rPr>
        <w:rFonts w:hint="default"/>
        <w:lang w:val="es-ES" w:eastAsia="es-ES" w:bidi="es-ES"/>
      </w:rPr>
    </w:lvl>
  </w:abstractNum>
  <w:abstractNum w:abstractNumId="238">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80"/>
      </w:pPr>
      <w:rPr>
        <w:rFonts w:hint="default"/>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1" w:hanging="180"/>
      </w:pPr>
      <w:rPr>
        <w:rFonts w:hint="default"/>
        <w:lang w:val="es-ES" w:eastAsia="es-ES" w:bidi="es-ES"/>
      </w:rPr>
    </w:lvl>
    <w:lvl w:ilvl="6">
      <w:start w:val="0"/>
      <w:numFmt w:val="bullet"/>
      <w:lvlText w:val="•"/>
      <w:lvlJc w:val="left"/>
      <w:pPr>
        <w:ind w:left="5221"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237">
    <w:multiLevelType w:val="hybridMultilevel"/>
    <w:lvl w:ilvl="0">
      <w:start w:val="26"/>
      <w:numFmt w:val="upperRoman"/>
      <w:lvlText w:val="%1."/>
      <w:lvlJc w:val="left"/>
      <w:pPr>
        <w:ind w:left="151" w:hanging="524"/>
        <w:jc w:val="left"/>
      </w:pPr>
      <w:rPr>
        <w:rFonts w:hint="default" w:ascii="Arial" w:hAnsi="Arial" w:eastAsia="Arial" w:cs="Arial"/>
        <w:w w:val="102"/>
        <w:sz w:val="15"/>
        <w:szCs w:val="15"/>
        <w:lang w:val="es-ES" w:eastAsia="es-ES" w:bidi="es-ES"/>
      </w:rPr>
    </w:lvl>
    <w:lvl w:ilvl="1">
      <w:start w:val="0"/>
      <w:numFmt w:val="bullet"/>
      <w:lvlText w:val="•"/>
      <w:lvlJc w:val="left"/>
      <w:pPr>
        <w:ind w:left="966" w:hanging="524"/>
      </w:pPr>
      <w:rPr>
        <w:rFonts w:hint="default"/>
        <w:lang w:val="es-ES" w:eastAsia="es-ES" w:bidi="es-ES"/>
      </w:rPr>
    </w:lvl>
    <w:lvl w:ilvl="2">
      <w:start w:val="0"/>
      <w:numFmt w:val="bullet"/>
      <w:lvlText w:val="•"/>
      <w:lvlJc w:val="left"/>
      <w:pPr>
        <w:ind w:left="1772" w:hanging="524"/>
      </w:pPr>
      <w:rPr>
        <w:rFonts w:hint="default"/>
        <w:lang w:val="es-ES" w:eastAsia="es-ES" w:bidi="es-ES"/>
      </w:rPr>
    </w:lvl>
    <w:lvl w:ilvl="3">
      <w:start w:val="0"/>
      <w:numFmt w:val="bullet"/>
      <w:lvlText w:val="•"/>
      <w:lvlJc w:val="left"/>
      <w:pPr>
        <w:ind w:left="2578" w:hanging="524"/>
      </w:pPr>
      <w:rPr>
        <w:rFonts w:hint="default"/>
        <w:lang w:val="es-ES" w:eastAsia="es-ES" w:bidi="es-ES"/>
      </w:rPr>
    </w:lvl>
    <w:lvl w:ilvl="4">
      <w:start w:val="0"/>
      <w:numFmt w:val="bullet"/>
      <w:lvlText w:val="•"/>
      <w:lvlJc w:val="left"/>
      <w:pPr>
        <w:ind w:left="3384" w:hanging="524"/>
      </w:pPr>
      <w:rPr>
        <w:rFonts w:hint="default"/>
        <w:lang w:val="es-ES" w:eastAsia="es-ES" w:bidi="es-ES"/>
      </w:rPr>
    </w:lvl>
    <w:lvl w:ilvl="5">
      <w:start w:val="0"/>
      <w:numFmt w:val="bullet"/>
      <w:lvlText w:val="•"/>
      <w:lvlJc w:val="left"/>
      <w:pPr>
        <w:ind w:left="4191" w:hanging="524"/>
      </w:pPr>
      <w:rPr>
        <w:rFonts w:hint="default"/>
        <w:lang w:val="es-ES" w:eastAsia="es-ES" w:bidi="es-ES"/>
      </w:rPr>
    </w:lvl>
    <w:lvl w:ilvl="6">
      <w:start w:val="0"/>
      <w:numFmt w:val="bullet"/>
      <w:lvlText w:val="•"/>
      <w:lvlJc w:val="left"/>
      <w:pPr>
        <w:ind w:left="4997" w:hanging="524"/>
      </w:pPr>
      <w:rPr>
        <w:rFonts w:hint="default"/>
        <w:lang w:val="es-ES" w:eastAsia="es-ES" w:bidi="es-ES"/>
      </w:rPr>
    </w:lvl>
    <w:lvl w:ilvl="7">
      <w:start w:val="0"/>
      <w:numFmt w:val="bullet"/>
      <w:lvlText w:val="•"/>
      <w:lvlJc w:val="left"/>
      <w:pPr>
        <w:ind w:left="5803" w:hanging="524"/>
      </w:pPr>
      <w:rPr>
        <w:rFonts w:hint="default"/>
        <w:lang w:val="es-ES" w:eastAsia="es-ES" w:bidi="es-ES"/>
      </w:rPr>
    </w:lvl>
    <w:lvl w:ilvl="8">
      <w:start w:val="0"/>
      <w:numFmt w:val="bullet"/>
      <w:lvlText w:val="•"/>
      <w:lvlJc w:val="left"/>
      <w:pPr>
        <w:ind w:left="6609" w:hanging="524"/>
      </w:pPr>
      <w:rPr>
        <w:rFonts w:hint="default"/>
        <w:lang w:val="es-ES" w:eastAsia="es-ES" w:bidi="es-ES"/>
      </w:rPr>
    </w:lvl>
  </w:abstractNum>
  <w:abstractNum w:abstractNumId="236">
    <w:multiLevelType w:val="hybridMultilevel"/>
    <w:lvl w:ilvl="0">
      <w:start w:val="15"/>
      <w:numFmt w:val="upperRoman"/>
      <w:lvlText w:val="%1."/>
      <w:lvlJc w:val="left"/>
      <w:pPr>
        <w:ind w:left="151" w:hanging="295"/>
        <w:jc w:val="left"/>
      </w:pPr>
      <w:rPr>
        <w:rFonts w:hint="default" w:ascii="Arial" w:hAnsi="Arial" w:eastAsia="Arial" w:cs="Arial"/>
        <w:spacing w:val="-15"/>
        <w:w w:val="102"/>
        <w:sz w:val="15"/>
        <w:szCs w:val="15"/>
        <w:lang w:val="es-ES" w:eastAsia="es-ES" w:bidi="es-ES"/>
      </w:rPr>
    </w:lvl>
    <w:lvl w:ilvl="1">
      <w:start w:val="0"/>
      <w:numFmt w:val="bullet"/>
      <w:lvlText w:val="•"/>
      <w:lvlJc w:val="left"/>
      <w:pPr>
        <w:ind w:left="691" w:hanging="295"/>
      </w:pPr>
      <w:rPr>
        <w:rFonts w:hint="default"/>
        <w:lang w:val="es-ES" w:eastAsia="es-ES" w:bidi="es-ES"/>
      </w:rPr>
    </w:lvl>
    <w:lvl w:ilvl="2">
      <w:start w:val="0"/>
      <w:numFmt w:val="bullet"/>
      <w:lvlText w:val="•"/>
      <w:lvlJc w:val="left"/>
      <w:pPr>
        <w:ind w:left="1222" w:hanging="295"/>
      </w:pPr>
      <w:rPr>
        <w:rFonts w:hint="default"/>
        <w:lang w:val="es-ES" w:eastAsia="es-ES" w:bidi="es-ES"/>
      </w:rPr>
    </w:lvl>
    <w:lvl w:ilvl="3">
      <w:start w:val="0"/>
      <w:numFmt w:val="bullet"/>
      <w:lvlText w:val="•"/>
      <w:lvlJc w:val="left"/>
      <w:pPr>
        <w:ind w:left="1753" w:hanging="295"/>
      </w:pPr>
      <w:rPr>
        <w:rFonts w:hint="default"/>
        <w:lang w:val="es-ES" w:eastAsia="es-ES" w:bidi="es-ES"/>
      </w:rPr>
    </w:lvl>
    <w:lvl w:ilvl="4">
      <w:start w:val="0"/>
      <w:numFmt w:val="bullet"/>
      <w:lvlText w:val="•"/>
      <w:lvlJc w:val="left"/>
      <w:pPr>
        <w:ind w:left="2285" w:hanging="295"/>
      </w:pPr>
      <w:rPr>
        <w:rFonts w:hint="default"/>
        <w:lang w:val="es-ES" w:eastAsia="es-ES" w:bidi="es-ES"/>
      </w:rPr>
    </w:lvl>
    <w:lvl w:ilvl="5">
      <w:start w:val="0"/>
      <w:numFmt w:val="bullet"/>
      <w:lvlText w:val="•"/>
      <w:lvlJc w:val="left"/>
      <w:pPr>
        <w:ind w:left="2816" w:hanging="295"/>
      </w:pPr>
      <w:rPr>
        <w:rFonts w:hint="default"/>
        <w:lang w:val="es-ES" w:eastAsia="es-ES" w:bidi="es-ES"/>
      </w:rPr>
    </w:lvl>
    <w:lvl w:ilvl="6">
      <w:start w:val="0"/>
      <w:numFmt w:val="bullet"/>
      <w:lvlText w:val="•"/>
      <w:lvlJc w:val="left"/>
      <w:pPr>
        <w:ind w:left="3347" w:hanging="295"/>
      </w:pPr>
      <w:rPr>
        <w:rFonts w:hint="default"/>
        <w:lang w:val="es-ES" w:eastAsia="es-ES" w:bidi="es-ES"/>
      </w:rPr>
    </w:lvl>
    <w:lvl w:ilvl="7">
      <w:start w:val="0"/>
      <w:numFmt w:val="bullet"/>
      <w:lvlText w:val="•"/>
      <w:lvlJc w:val="left"/>
      <w:pPr>
        <w:ind w:left="3879" w:hanging="295"/>
      </w:pPr>
      <w:rPr>
        <w:rFonts w:hint="default"/>
        <w:lang w:val="es-ES" w:eastAsia="es-ES" w:bidi="es-ES"/>
      </w:rPr>
    </w:lvl>
    <w:lvl w:ilvl="8">
      <w:start w:val="0"/>
      <w:numFmt w:val="bullet"/>
      <w:lvlText w:val="•"/>
      <w:lvlJc w:val="left"/>
      <w:pPr>
        <w:ind w:left="4410" w:hanging="295"/>
      </w:pPr>
      <w:rPr>
        <w:rFonts w:hint="default"/>
        <w:lang w:val="es-ES" w:eastAsia="es-ES" w:bidi="es-ES"/>
      </w:rPr>
    </w:lvl>
  </w:abstractNum>
  <w:abstractNum w:abstractNumId="235">
    <w:multiLevelType w:val="hybridMultilevel"/>
    <w:lvl w:ilvl="0">
      <w:start w:val="13"/>
      <w:numFmt w:val="upperRoman"/>
      <w:lvlText w:val="%1."/>
      <w:lvlJc w:val="left"/>
      <w:pPr>
        <w:ind w:left="150" w:hanging="322"/>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966" w:hanging="322"/>
      </w:pPr>
      <w:rPr>
        <w:rFonts w:hint="default"/>
        <w:lang w:val="es-ES" w:eastAsia="es-ES" w:bidi="es-ES"/>
      </w:rPr>
    </w:lvl>
    <w:lvl w:ilvl="2">
      <w:start w:val="0"/>
      <w:numFmt w:val="bullet"/>
      <w:lvlText w:val="•"/>
      <w:lvlJc w:val="left"/>
      <w:pPr>
        <w:ind w:left="1772" w:hanging="322"/>
      </w:pPr>
      <w:rPr>
        <w:rFonts w:hint="default"/>
        <w:lang w:val="es-ES" w:eastAsia="es-ES" w:bidi="es-ES"/>
      </w:rPr>
    </w:lvl>
    <w:lvl w:ilvl="3">
      <w:start w:val="0"/>
      <w:numFmt w:val="bullet"/>
      <w:lvlText w:val="•"/>
      <w:lvlJc w:val="left"/>
      <w:pPr>
        <w:ind w:left="2578" w:hanging="322"/>
      </w:pPr>
      <w:rPr>
        <w:rFonts w:hint="default"/>
        <w:lang w:val="es-ES" w:eastAsia="es-ES" w:bidi="es-ES"/>
      </w:rPr>
    </w:lvl>
    <w:lvl w:ilvl="4">
      <w:start w:val="0"/>
      <w:numFmt w:val="bullet"/>
      <w:lvlText w:val="•"/>
      <w:lvlJc w:val="left"/>
      <w:pPr>
        <w:ind w:left="3384" w:hanging="322"/>
      </w:pPr>
      <w:rPr>
        <w:rFonts w:hint="default"/>
        <w:lang w:val="es-ES" w:eastAsia="es-ES" w:bidi="es-ES"/>
      </w:rPr>
    </w:lvl>
    <w:lvl w:ilvl="5">
      <w:start w:val="0"/>
      <w:numFmt w:val="bullet"/>
      <w:lvlText w:val="•"/>
      <w:lvlJc w:val="left"/>
      <w:pPr>
        <w:ind w:left="4190" w:hanging="322"/>
      </w:pPr>
      <w:rPr>
        <w:rFonts w:hint="default"/>
        <w:lang w:val="es-ES" w:eastAsia="es-ES" w:bidi="es-ES"/>
      </w:rPr>
    </w:lvl>
    <w:lvl w:ilvl="6">
      <w:start w:val="0"/>
      <w:numFmt w:val="bullet"/>
      <w:lvlText w:val="•"/>
      <w:lvlJc w:val="left"/>
      <w:pPr>
        <w:ind w:left="4997" w:hanging="322"/>
      </w:pPr>
      <w:rPr>
        <w:rFonts w:hint="default"/>
        <w:lang w:val="es-ES" w:eastAsia="es-ES" w:bidi="es-ES"/>
      </w:rPr>
    </w:lvl>
    <w:lvl w:ilvl="7">
      <w:start w:val="0"/>
      <w:numFmt w:val="bullet"/>
      <w:lvlText w:val="•"/>
      <w:lvlJc w:val="left"/>
      <w:pPr>
        <w:ind w:left="5803" w:hanging="322"/>
      </w:pPr>
      <w:rPr>
        <w:rFonts w:hint="default"/>
        <w:lang w:val="es-ES" w:eastAsia="es-ES" w:bidi="es-ES"/>
      </w:rPr>
    </w:lvl>
    <w:lvl w:ilvl="8">
      <w:start w:val="0"/>
      <w:numFmt w:val="bullet"/>
      <w:lvlText w:val="•"/>
      <w:lvlJc w:val="left"/>
      <w:pPr>
        <w:ind w:left="6609" w:hanging="322"/>
      </w:pPr>
      <w:rPr>
        <w:rFonts w:hint="default"/>
        <w:lang w:val="es-ES" w:eastAsia="es-ES" w:bidi="es-ES"/>
      </w:rPr>
    </w:lvl>
  </w:abstractNum>
  <w:abstractNum w:abstractNumId="234">
    <w:multiLevelType w:val="hybridMultilevel"/>
    <w:lvl w:ilvl="0">
      <w:start w:val="11"/>
      <w:numFmt w:val="upperRoman"/>
      <w:lvlText w:val="%1."/>
      <w:lvlJc w:val="left"/>
      <w:pPr>
        <w:ind w:left="151" w:hanging="241"/>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966" w:hanging="241"/>
      </w:pPr>
      <w:rPr>
        <w:rFonts w:hint="default"/>
        <w:lang w:val="es-ES" w:eastAsia="es-ES" w:bidi="es-ES"/>
      </w:rPr>
    </w:lvl>
    <w:lvl w:ilvl="2">
      <w:start w:val="0"/>
      <w:numFmt w:val="bullet"/>
      <w:lvlText w:val="•"/>
      <w:lvlJc w:val="left"/>
      <w:pPr>
        <w:ind w:left="1772" w:hanging="241"/>
      </w:pPr>
      <w:rPr>
        <w:rFonts w:hint="default"/>
        <w:lang w:val="es-ES" w:eastAsia="es-ES" w:bidi="es-ES"/>
      </w:rPr>
    </w:lvl>
    <w:lvl w:ilvl="3">
      <w:start w:val="0"/>
      <w:numFmt w:val="bullet"/>
      <w:lvlText w:val="•"/>
      <w:lvlJc w:val="left"/>
      <w:pPr>
        <w:ind w:left="2578" w:hanging="241"/>
      </w:pPr>
      <w:rPr>
        <w:rFonts w:hint="default"/>
        <w:lang w:val="es-ES" w:eastAsia="es-ES" w:bidi="es-ES"/>
      </w:rPr>
    </w:lvl>
    <w:lvl w:ilvl="4">
      <w:start w:val="0"/>
      <w:numFmt w:val="bullet"/>
      <w:lvlText w:val="•"/>
      <w:lvlJc w:val="left"/>
      <w:pPr>
        <w:ind w:left="3384" w:hanging="241"/>
      </w:pPr>
      <w:rPr>
        <w:rFonts w:hint="default"/>
        <w:lang w:val="es-ES" w:eastAsia="es-ES" w:bidi="es-ES"/>
      </w:rPr>
    </w:lvl>
    <w:lvl w:ilvl="5">
      <w:start w:val="0"/>
      <w:numFmt w:val="bullet"/>
      <w:lvlText w:val="•"/>
      <w:lvlJc w:val="left"/>
      <w:pPr>
        <w:ind w:left="4190" w:hanging="241"/>
      </w:pPr>
      <w:rPr>
        <w:rFonts w:hint="default"/>
        <w:lang w:val="es-ES" w:eastAsia="es-ES" w:bidi="es-ES"/>
      </w:rPr>
    </w:lvl>
    <w:lvl w:ilvl="6">
      <w:start w:val="0"/>
      <w:numFmt w:val="bullet"/>
      <w:lvlText w:val="•"/>
      <w:lvlJc w:val="left"/>
      <w:pPr>
        <w:ind w:left="4997" w:hanging="241"/>
      </w:pPr>
      <w:rPr>
        <w:rFonts w:hint="default"/>
        <w:lang w:val="es-ES" w:eastAsia="es-ES" w:bidi="es-ES"/>
      </w:rPr>
    </w:lvl>
    <w:lvl w:ilvl="7">
      <w:start w:val="0"/>
      <w:numFmt w:val="bullet"/>
      <w:lvlText w:val="•"/>
      <w:lvlJc w:val="left"/>
      <w:pPr>
        <w:ind w:left="5803" w:hanging="241"/>
      </w:pPr>
      <w:rPr>
        <w:rFonts w:hint="default"/>
        <w:lang w:val="es-ES" w:eastAsia="es-ES" w:bidi="es-ES"/>
      </w:rPr>
    </w:lvl>
    <w:lvl w:ilvl="8">
      <w:start w:val="0"/>
      <w:numFmt w:val="bullet"/>
      <w:lvlText w:val="•"/>
      <w:lvlJc w:val="left"/>
      <w:pPr>
        <w:ind w:left="6609" w:hanging="241"/>
      </w:pPr>
      <w:rPr>
        <w:rFonts w:hint="default"/>
        <w:lang w:val="es-ES" w:eastAsia="es-ES" w:bidi="es-ES"/>
      </w:rPr>
    </w:lvl>
  </w:abstractNum>
  <w:abstractNum w:abstractNumId="233">
    <w:multiLevelType w:val="hybridMultilevel"/>
    <w:lvl w:ilvl="0">
      <w:start w:val="2"/>
      <w:numFmt w:val="upperRoman"/>
      <w:lvlText w:val="%1."/>
      <w:lvlJc w:val="left"/>
      <w:pPr>
        <w:ind w:left="150" w:hanging="196"/>
        <w:jc w:val="left"/>
      </w:pPr>
      <w:rPr>
        <w:rFonts w:hint="default" w:ascii="Arial" w:hAnsi="Arial" w:eastAsia="Arial" w:cs="Arial"/>
        <w:w w:val="102"/>
        <w:sz w:val="15"/>
        <w:szCs w:val="15"/>
        <w:lang w:val="es-ES" w:eastAsia="es-ES" w:bidi="es-ES"/>
      </w:rPr>
    </w:lvl>
    <w:lvl w:ilvl="1">
      <w:start w:val="0"/>
      <w:numFmt w:val="bullet"/>
      <w:lvlText w:val="•"/>
      <w:lvlJc w:val="left"/>
      <w:pPr>
        <w:ind w:left="691" w:hanging="196"/>
      </w:pPr>
      <w:rPr>
        <w:rFonts w:hint="default"/>
        <w:lang w:val="es-ES" w:eastAsia="es-ES" w:bidi="es-ES"/>
      </w:rPr>
    </w:lvl>
    <w:lvl w:ilvl="2">
      <w:start w:val="0"/>
      <w:numFmt w:val="bullet"/>
      <w:lvlText w:val="•"/>
      <w:lvlJc w:val="left"/>
      <w:pPr>
        <w:ind w:left="1222" w:hanging="196"/>
      </w:pPr>
      <w:rPr>
        <w:rFonts w:hint="default"/>
        <w:lang w:val="es-ES" w:eastAsia="es-ES" w:bidi="es-ES"/>
      </w:rPr>
    </w:lvl>
    <w:lvl w:ilvl="3">
      <w:start w:val="0"/>
      <w:numFmt w:val="bullet"/>
      <w:lvlText w:val="•"/>
      <w:lvlJc w:val="left"/>
      <w:pPr>
        <w:ind w:left="1753" w:hanging="196"/>
      </w:pPr>
      <w:rPr>
        <w:rFonts w:hint="default"/>
        <w:lang w:val="es-ES" w:eastAsia="es-ES" w:bidi="es-ES"/>
      </w:rPr>
    </w:lvl>
    <w:lvl w:ilvl="4">
      <w:start w:val="0"/>
      <w:numFmt w:val="bullet"/>
      <w:lvlText w:val="•"/>
      <w:lvlJc w:val="left"/>
      <w:pPr>
        <w:ind w:left="2285" w:hanging="196"/>
      </w:pPr>
      <w:rPr>
        <w:rFonts w:hint="default"/>
        <w:lang w:val="es-ES" w:eastAsia="es-ES" w:bidi="es-ES"/>
      </w:rPr>
    </w:lvl>
    <w:lvl w:ilvl="5">
      <w:start w:val="0"/>
      <w:numFmt w:val="bullet"/>
      <w:lvlText w:val="•"/>
      <w:lvlJc w:val="left"/>
      <w:pPr>
        <w:ind w:left="2816" w:hanging="196"/>
      </w:pPr>
      <w:rPr>
        <w:rFonts w:hint="default"/>
        <w:lang w:val="es-ES" w:eastAsia="es-ES" w:bidi="es-ES"/>
      </w:rPr>
    </w:lvl>
    <w:lvl w:ilvl="6">
      <w:start w:val="0"/>
      <w:numFmt w:val="bullet"/>
      <w:lvlText w:val="•"/>
      <w:lvlJc w:val="left"/>
      <w:pPr>
        <w:ind w:left="3347" w:hanging="196"/>
      </w:pPr>
      <w:rPr>
        <w:rFonts w:hint="default"/>
        <w:lang w:val="es-ES" w:eastAsia="es-ES" w:bidi="es-ES"/>
      </w:rPr>
    </w:lvl>
    <w:lvl w:ilvl="7">
      <w:start w:val="0"/>
      <w:numFmt w:val="bullet"/>
      <w:lvlText w:val="•"/>
      <w:lvlJc w:val="left"/>
      <w:pPr>
        <w:ind w:left="3879" w:hanging="196"/>
      </w:pPr>
      <w:rPr>
        <w:rFonts w:hint="default"/>
        <w:lang w:val="es-ES" w:eastAsia="es-ES" w:bidi="es-ES"/>
      </w:rPr>
    </w:lvl>
    <w:lvl w:ilvl="8">
      <w:start w:val="0"/>
      <w:numFmt w:val="bullet"/>
      <w:lvlText w:val="•"/>
      <w:lvlJc w:val="left"/>
      <w:pPr>
        <w:ind w:left="4410" w:hanging="196"/>
      </w:pPr>
      <w:rPr>
        <w:rFonts w:hint="default"/>
        <w:lang w:val="es-ES" w:eastAsia="es-ES" w:bidi="es-ES"/>
      </w:rPr>
    </w:lvl>
  </w:abstractNum>
  <w:abstractNum w:abstractNumId="232">
    <w:multiLevelType w:val="hybridMultilevel"/>
    <w:lvl w:ilvl="0">
      <w:start w:val="18"/>
      <w:numFmt w:val="decimal"/>
      <w:lvlText w:val="%1"/>
      <w:lvlJc w:val="left"/>
      <w:pPr>
        <w:ind w:left="2433" w:hanging="215"/>
        <w:jc w:val="right"/>
      </w:pPr>
      <w:rPr>
        <w:rFonts w:hint="default" w:ascii="Arial" w:hAnsi="Arial" w:eastAsia="Arial" w:cs="Arial"/>
        <w:w w:val="102"/>
        <w:sz w:val="15"/>
        <w:szCs w:val="15"/>
        <w:lang w:val="es-ES" w:eastAsia="es-ES" w:bidi="es-ES"/>
      </w:rPr>
    </w:lvl>
    <w:lvl w:ilvl="1">
      <w:start w:val="0"/>
      <w:numFmt w:val="bullet"/>
      <w:lvlText w:val="•"/>
      <w:lvlJc w:val="left"/>
      <w:pPr>
        <w:ind w:left="2520" w:hanging="215"/>
      </w:pPr>
      <w:rPr>
        <w:rFonts w:hint="default"/>
        <w:lang w:val="es-ES" w:eastAsia="es-ES" w:bidi="es-ES"/>
      </w:rPr>
    </w:lvl>
    <w:lvl w:ilvl="2">
      <w:start w:val="0"/>
      <w:numFmt w:val="bullet"/>
      <w:lvlText w:val="•"/>
      <w:lvlJc w:val="left"/>
      <w:pPr>
        <w:ind w:left="2600" w:hanging="215"/>
      </w:pPr>
      <w:rPr>
        <w:rFonts w:hint="default"/>
        <w:lang w:val="es-ES" w:eastAsia="es-ES" w:bidi="es-ES"/>
      </w:rPr>
    </w:lvl>
    <w:lvl w:ilvl="3">
      <w:start w:val="0"/>
      <w:numFmt w:val="bullet"/>
      <w:lvlText w:val="•"/>
      <w:lvlJc w:val="left"/>
      <w:pPr>
        <w:ind w:left="1506" w:hanging="215"/>
      </w:pPr>
      <w:rPr>
        <w:rFonts w:hint="default"/>
        <w:lang w:val="es-ES" w:eastAsia="es-ES" w:bidi="es-ES"/>
      </w:rPr>
    </w:lvl>
    <w:lvl w:ilvl="4">
      <w:start w:val="0"/>
      <w:numFmt w:val="bullet"/>
      <w:lvlText w:val="•"/>
      <w:lvlJc w:val="left"/>
      <w:pPr>
        <w:ind w:left="412" w:hanging="215"/>
      </w:pPr>
      <w:rPr>
        <w:rFonts w:hint="default"/>
        <w:lang w:val="es-ES" w:eastAsia="es-ES" w:bidi="es-ES"/>
      </w:rPr>
    </w:lvl>
    <w:lvl w:ilvl="5">
      <w:start w:val="0"/>
      <w:numFmt w:val="bullet"/>
      <w:lvlText w:val="•"/>
      <w:lvlJc w:val="left"/>
      <w:pPr>
        <w:ind w:left="-681" w:hanging="215"/>
      </w:pPr>
      <w:rPr>
        <w:rFonts w:hint="default"/>
        <w:lang w:val="es-ES" w:eastAsia="es-ES" w:bidi="es-ES"/>
      </w:rPr>
    </w:lvl>
    <w:lvl w:ilvl="6">
      <w:start w:val="0"/>
      <w:numFmt w:val="bullet"/>
      <w:lvlText w:val="•"/>
      <w:lvlJc w:val="left"/>
      <w:pPr>
        <w:ind w:left="-1775" w:hanging="215"/>
      </w:pPr>
      <w:rPr>
        <w:rFonts w:hint="default"/>
        <w:lang w:val="es-ES" w:eastAsia="es-ES" w:bidi="es-ES"/>
      </w:rPr>
    </w:lvl>
    <w:lvl w:ilvl="7">
      <w:start w:val="0"/>
      <w:numFmt w:val="bullet"/>
      <w:lvlText w:val="•"/>
      <w:lvlJc w:val="left"/>
      <w:pPr>
        <w:ind w:left="-2869" w:hanging="215"/>
      </w:pPr>
      <w:rPr>
        <w:rFonts w:hint="default"/>
        <w:lang w:val="es-ES" w:eastAsia="es-ES" w:bidi="es-ES"/>
      </w:rPr>
    </w:lvl>
    <w:lvl w:ilvl="8">
      <w:start w:val="0"/>
      <w:numFmt w:val="bullet"/>
      <w:lvlText w:val="•"/>
      <w:lvlJc w:val="left"/>
      <w:pPr>
        <w:ind w:left="-3962" w:hanging="215"/>
      </w:pPr>
      <w:rPr>
        <w:rFonts w:hint="default"/>
        <w:lang w:val="es-ES" w:eastAsia="es-ES" w:bidi="es-ES"/>
      </w:rPr>
    </w:lvl>
  </w:abstractNum>
  <w:abstractNum w:abstractNumId="231">
    <w:multiLevelType w:val="hybridMultilevel"/>
    <w:lvl w:ilvl="0">
      <w:start w:val="5"/>
      <w:numFmt w:val="upperRoman"/>
      <w:lvlText w:val="%1."/>
      <w:lvlJc w:val="left"/>
      <w:pPr>
        <w:ind w:left="151" w:hanging="201"/>
        <w:jc w:val="left"/>
      </w:pPr>
      <w:rPr>
        <w:rFonts w:hint="default" w:ascii="Arial" w:hAnsi="Arial" w:eastAsia="Arial" w:cs="Arial"/>
        <w:spacing w:val="-15"/>
        <w:w w:val="102"/>
        <w:sz w:val="15"/>
        <w:szCs w:val="15"/>
        <w:lang w:val="es-ES" w:eastAsia="es-ES" w:bidi="es-ES"/>
      </w:rPr>
    </w:lvl>
    <w:lvl w:ilvl="1">
      <w:start w:val="0"/>
      <w:numFmt w:val="bullet"/>
      <w:lvlText w:val="•"/>
      <w:lvlJc w:val="left"/>
      <w:pPr>
        <w:ind w:left="966" w:hanging="201"/>
      </w:pPr>
      <w:rPr>
        <w:rFonts w:hint="default"/>
        <w:lang w:val="es-ES" w:eastAsia="es-ES" w:bidi="es-ES"/>
      </w:rPr>
    </w:lvl>
    <w:lvl w:ilvl="2">
      <w:start w:val="0"/>
      <w:numFmt w:val="bullet"/>
      <w:lvlText w:val="•"/>
      <w:lvlJc w:val="left"/>
      <w:pPr>
        <w:ind w:left="1772" w:hanging="201"/>
      </w:pPr>
      <w:rPr>
        <w:rFonts w:hint="default"/>
        <w:lang w:val="es-ES" w:eastAsia="es-ES" w:bidi="es-ES"/>
      </w:rPr>
    </w:lvl>
    <w:lvl w:ilvl="3">
      <w:start w:val="0"/>
      <w:numFmt w:val="bullet"/>
      <w:lvlText w:val="•"/>
      <w:lvlJc w:val="left"/>
      <w:pPr>
        <w:ind w:left="2578" w:hanging="201"/>
      </w:pPr>
      <w:rPr>
        <w:rFonts w:hint="default"/>
        <w:lang w:val="es-ES" w:eastAsia="es-ES" w:bidi="es-ES"/>
      </w:rPr>
    </w:lvl>
    <w:lvl w:ilvl="4">
      <w:start w:val="0"/>
      <w:numFmt w:val="bullet"/>
      <w:lvlText w:val="•"/>
      <w:lvlJc w:val="left"/>
      <w:pPr>
        <w:ind w:left="3384" w:hanging="201"/>
      </w:pPr>
      <w:rPr>
        <w:rFonts w:hint="default"/>
        <w:lang w:val="es-ES" w:eastAsia="es-ES" w:bidi="es-ES"/>
      </w:rPr>
    </w:lvl>
    <w:lvl w:ilvl="5">
      <w:start w:val="0"/>
      <w:numFmt w:val="bullet"/>
      <w:lvlText w:val="•"/>
      <w:lvlJc w:val="left"/>
      <w:pPr>
        <w:ind w:left="4191" w:hanging="201"/>
      </w:pPr>
      <w:rPr>
        <w:rFonts w:hint="default"/>
        <w:lang w:val="es-ES" w:eastAsia="es-ES" w:bidi="es-ES"/>
      </w:rPr>
    </w:lvl>
    <w:lvl w:ilvl="6">
      <w:start w:val="0"/>
      <w:numFmt w:val="bullet"/>
      <w:lvlText w:val="•"/>
      <w:lvlJc w:val="left"/>
      <w:pPr>
        <w:ind w:left="4997" w:hanging="201"/>
      </w:pPr>
      <w:rPr>
        <w:rFonts w:hint="default"/>
        <w:lang w:val="es-ES" w:eastAsia="es-ES" w:bidi="es-ES"/>
      </w:rPr>
    </w:lvl>
    <w:lvl w:ilvl="7">
      <w:start w:val="0"/>
      <w:numFmt w:val="bullet"/>
      <w:lvlText w:val="•"/>
      <w:lvlJc w:val="left"/>
      <w:pPr>
        <w:ind w:left="5803" w:hanging="201"/>
      </w:pPr>
      <w:rPr>
        <w:rFonts w:hint="default"/>
        <w:lang w:val="es-ES" w:eastAsia="es-ES" w:bidi="es-ES"/>
      </w:rPr>
    </w:lvl>
    <w:lvl w:ilvl="8">
      <w:start w:val="0"/>
      <w:numFmt w:val="bullet"/>
      <w:lvlText w:val="•"/>
      <w:lvlJc w:val="left"/>
      <w:pPr>
        <w:ind w:left="6609" w:hanging="201"/>
      </w:pPr>
      <w:rPr>
        <w:rFonts w:hint="default"/>
        <w:lang w:val="es-ES" w:eastAsia="es-ES" w:bidi="es-ES"/>
      </w:rPr>
    </w:lvl>
  </w:abstractNum>
  <w:abstractNum w:abstractNumId="230">
    <w:multiLevelType w:val="hybridMultilevel"/>
    <w:lvl w:ilvl="0">
      <w:start w:val="1"/>
      <w:numFmt w:val="lowerLetter"/>
      <w:lvlText w:val="%1)"/>
      <w:lvlJc w:val="left"/>
      <w:pPr>
        <w:ind w:left="151" w:hanging="200"/>
        <w:jc w:val="left"/>
      </w:pPr>
      <w:rPr>
        <w:rFonts w:hint="default" w:ascii="Arial" w:hAnsi="Arial" w:eastAsia="Arial" w:cs="Arial"/>
        <w:w w:val="102"/>
        <w:sz w:val="15"/>
        <w:szCs w:val="15"/>
        <w:lang w:val="es-ES" w:eastAsia="es-ES" w:bidi="es-ES"/>
      </w:rPr>
    </w:lvl>
    <w:lvl w:ilvl="1">
      <w:start w:val="0"/>
      <w:numFmt w:val="bullet"/>
      <w:lvlText w:val="•"/>
      <w:lvlJc w:val="left"/>
      <w:pPr>
        <w:ind w:left="691" w:hanging="200"/>
      </w:pPr>
      <w:rPr>
        <w:rFonts w:hint="default"/>
        <w:lang w:val="es-ES" w:eastAsia="es-ES" w:bidi="es-ES"/>
      </w:rPr>
    </w:lvl>
    <w:lvl w:ilvl="2">
      <w:start w:val="0"/>
      <w:numFmt w:val="bullet"/>
      <w:lvlText w:val="•"/>
      <w:lvlJc w:val="left"/>
      <w:pPr>
        <w:ind w:left="1222" w:hanging="200"/>
      </w:pPr>
      <w:rPr>
        <w:rFonts w:hint="default"/>
        <w:lang w:val="es-ES" w:eastAsia="es-ES" w:bidi="es-ES"/>
      </w:rPr>
    </w:lvl>
    <w:lvl w:ilvl="3">
      <w:start w:val="0"/>
      <w:numFmt w:val="bullet"/>
      <w:lvlText w:val="•"/>
      <w:lvlJc w:val="left"/>
      <w:pPr>
        <w:ind w:left="1753" w:hanging="200"/>
      </w:pPr>
      <w:rPr>
        <w:rFonts w:hint="default"/>
        <w:lang w:val="es-ES" w:eastAsia="es-ES" w:bidi="es-ES"/>
      </w:rPr>
    </w:lvl>
    <w:lvl w:ilvl="4">
      <w:start w:val="0"/>
      <w:numFmt w:val="bullet"/>
      <w:lvlText w:val="•"/>
      <w:lvlJc w:val="left"/>
      <w:pPr>
        <w:ind w:left="2285" w:hanging="200"/>
      </w:pPr>
      <w:rPr>
        <w:rFonts w:hint="default"/>
        <w:lang w:val="es-ES" w:eastAsia="es-ES" w:bidi="es-ES"/>
      </w:rPr>
    </w:lvl>
    <w:lvl w:ilvl="5">
      <w:start w:val="0"/>
      <w:numFmt w:val="bullet"/>
      <w:lvlText w:val="•"/>
      <w:lvlJc w:val="left"/>
      <w:pPr>
        <w:ind w:left="2816" w:hanging="200"/>
      </w:pPr>
      <w:rPr>
        <w:rFonts w:hint="default"/>
        <w:lang w:val="es-ES" w:eastAsia="es-ES" w:bidi="es-ES"/>
      </w:rPr>
    </w:lvl>
    <w:lvl w:ilvl="6">
      <w:start w:val="0"/>
      <w:numFmt w:val="bullet"/>
      <w:lvlText w:val="•"/>
      <w:lvlJc w:val="left"/>
      <w:pPr>
        <w:ind w:left="3347" w:hanging="200"/>
      </w:pPr>
      <w:rPr>
        <w:rFonts w:hint="default"/>
        <w:lang w:val="es-ES" w:eastAsia="es-ES" w:bidi="es-ES"/>
      </w:rPr>
    </w:lvl>
    <w:lvl w:ilvl="7">
      <w:start w:val="0"/>
      <w:numFmt w:val="bullet"/>
      <w:lvlText w:val="•"/>
      <w:lvlJc w:val="left"/>
      <w:pPr>
        <w:ind w:left="3879" w:hanging="200"/>
      </w:pPr>
      <w:rPr>
        <w:rFonts w:hint="default"/>
        <w:lang w:val="es-ES" w:eastAsia="es-ES" w:bidi="es-ES"/>
      </w:rPr>
    </w:lvl>
    <w:lvl w:ilvl="8">
      <w:start w:val="0"/>
      <w:numFmt w:val="bullet"/>
      <w:lvlText w:val="•"/>
      <w:lvlJc w:val="left"/>
      <w:pPr>
        <w:ind w:left="4410" w:hanging="200"/>
      </w:pPr>
      <w:rPr>
        <w:rFonts w:hint="default"/>
        <w:lang w:val="es-ES" w:eastAsia="es-ES" w:bidi="es-ES"/>
      </w:rPr>
    </w:lvl>
  </w:abstractNum>
  <w:abstractNum w:abstractNumId="229">
    <w:multiLevelType w:val="hybridMultilevel"/>
    <w:lvl w:ilvl="0">
      <w:start w:val="23"/>
      <w:numFmt w:val="upperRoman"/>
      <w:lvlText w:val="%1."/>
      <w:lvlJc w:val="left"/>
      <w:pPr>
        <w:ind w:left="151" w:hanging="445"/>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2700" w:hanging="445"/>
      </w:pPr>
      <w:rPr>
        <w:rFonts w:hint="default"/>
        <w:lang w:val="es-ES" w:eastAsia="es-ES" w:bidi="es-ES"/>
      </w:rPr>
    </w:lvl>
    <w:lvl w:ilvl="2">
      <w:start w:val="0"/>
      <w:numFmt w:val="bullet"/>
      <w:lvlText w:val="•"/>
      <w:lvlJc w:val="left"/>
      <w:pPr>
        <w:ind w:left="1716" w:hanging="445"/>
      </w:pPr>
      <w:rPr>
        <w:rFonts w:hint="default"/>
        <w:lang w:val="es-ES" w:eastAsia="es-ES" w:bidi="es-ES"/>
      </w:rPr>
    </w:lvl>
    <w:lvl w:ilvl="3">
      <w:start w:val="0"/>
      <w:numFmt w:val="bullet"/>
      <w:lvlText w:val="•"/>
      <w:lvlJc w:val="left"/>
      <w:pPr>
        <w:ind w:left="733" w:hanging="445"/>
      </w:pPr>
      <w:rPr>
        <w:rFonts w:hint="default"/>
        <w:lang w:val="es-ES" w:eastAsia="es-ES" w:bidi="es-ES"/>
      </w:rPr>
    </w:lvl>
    <w:lvl w:ilvl="4">
      <w:start w:val="0"/>
      <w:numFmt w:val="bullet"/>
      <w:lvlText w:val="•"/>
      <w:lvlJc w:val="left"/>
      <w:pPr>
        <w:ind w:left="-250" w:hanging="445"/>
      </w:pPr>
      <w:rPr>
        <w:rFonts w:hint="default"/>
        <w:lang w:val="es-ES" w:eastAsia="es-ES" w:bidi="es-ES"/>
      </w:rPr>
    </w:lvl>
    <w:lvl w:ilvl="5">
      <w:start w:val="0"/>
      <w:numFmt w:val="bullet"/>
      <w:lvlText w:val="•"/>
      <w:lvlJc w:val="left"/>
      <w:pPr>
        <w:ind w:left="-1233" w:hanging="445"/>
      </w:pPr>
      <w:rPr>
        <w:rFonts w:hint="default"/>
        <w:lang w:val="es-ES" w:eastAsia="es-ES" w:bidi="es-ES"/>
      </w:rPr>
    </w:lvl>
    <w:lvl w:ilvl="6">
      <w:start w:val="0"/>
      <w:numFmt w:val="bullet"/>
      <w:lvlText w:val="•"/>
      <w:lvlJc w:val="left"/>
      <w:pPr>
        <w:ind w:left="-2216" w:hanging="445"/>
      </w:pPr>
      <w:rPr>
        <w:rFonts w:hint="default"/>
        <w:lang w:val="es-ES" w:eastAsia="es-ES" w:bidi="es-ES"/>
      </w:rPr>
    </w:lvl>
    <w:lvl w:ilvl="7">
      <w:start w:val="0"/>
      <w:numFmt w:val="bullet"/>
      <w:lvlText w:val="•"/>
      <w:lvlJc w:val="left"/>
      <w:pPr>
        <w:ind w:left="-3200" w:hanging="445"/>
      </w:pPr>
      <w:rPr>
        <w:rFonts w:hint="default"/>
        <w:lang w:val="es-ES" w:eastAsia="es-ES" w:bidi="es-ES"/>
      </w:rPr>
    </w:lvl>
    <w:lvl w:ilvl="8">
      <w:start w:val="0"/>
      <w:numFmt w:val="bullet"/>
      <w:lvlText w:val="•"/>
      <w:lvlJc w:val="left"/>
      <w:pPr>
        <w:ind w:left="-4183" w:hanging="445"/>
      </w:pPr>
      <w:rPr>
        <w:rFonts w:hint="default"/>
        <w:lang w:val="es-ES" w:eastAsia="es-ES" w:bidi="es-ES"/>
      </w:rPr>
    </w:lvl>
  </w:abstractNum>
  <w:abstractNum w:abstractNumId="228">
    <w:multiLevelType w:val="hybridMultilevel"/>
    <w:lvl w:ilvl="0">
      <w:start w:val="13"/>
      <w:numFmt w:val="upperRoman"/>
      <w:lvlText w:val="%1."/>
      <w:lvlJc w:val="left"/>
      <w:pPr>
        <w:ind w:left="151" w:hanging="325"/>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691" w:hanging="325"/>
      </w:pPr>
      <w:rPr>
        <w:rFonts w:hint="default"/>
        <w:lang w:val="es-ES" w:eastAsia="es-ES" w:bidi="es-ES"/>
      </w:rPr>
    </w:lvl>
    <w:lvl w:ilvl="2">
      <w:start w:val="0"/>
      <w:numFmt w:val="bullet"/>
      <w:lvlText w:val="•"/>
      <w:lvlJc w:val="left"/>
      <w:pPr>
        <w:ind w:left="1222" w:hanging="325"/>
      </w:pPr>
      <w:rPr>
        <w:rFonts w:hint="default"/>
        <w:lang w:val="es-ES" w:eastAsia="es-ES" w:bidi="es-ES"/>
      </w:rPr>
    </w:lvl>
    <w:lvl w:ilvl="3">
      <w:start w:val="0"/>
      <w:numFmt w:val="bullet"/>
      <w:lvlText w:val="•"/>
      <w:lvlJc w:val="left"/>
      <w:pPr>
        <w:ind w:left="1753" w:hanging="325"/>
      </w:pPr>
      <w:rPr>
        <w:rFonts w:hint="default"/>
        <w:lang w:val="es-ES" w:eastAsia="es-ES" w:bidi="es-ES"/>
      </w:rPr>
    </w:lvl>
    <w:lvl w:ilvl="4">
      <w:start w:val="0"/>
      <w:numFmt w:val="bullet"/>
      <w:lvlText w:val="•"/>
      <w:lvlJc w:val="left"/>
      <w:pPr>
        <w:ind w:left="2284" w:hanging="325"/>
      </w:pPr>
      <w:rPr>
        <w:rFonts w:hint="default"/>
        <w:lang w:val="es-ES" w:eastAsia="es-ES" w:bidi="es-ES"/>
      </w:rPr>
    </w:lvl>
    <w:lvl w:ilvl="5">
      <w:start w:val="0"/>
      <w:numFmt w:val="bullet"/>
      <w:lvlText w:val="•"/>
      <w:lvlJc w:val="left"/>
      <w:pPr>
        <w:ind w:left="2816" w:hanging="325"/>
      </w:pPr>
      <w:rPr>
        <w:rFonts w:hint="default"/>
        <w:lang w:val="es-ES" w:eastAsia="es-ES" w:bidi="es-ES"/>
      </w:rPr>
    </w:lvl>
    <w:lvl w:ilvl="6">
      <w:start w:val="0"/>
      <w:numFmt w:val="bullet"/>
      <w:lvlText w:val="•"/>
      <w:lvlJc w:val="left"/>
      <w:pPr>
        <w:ind w:left="3347" w:hanging="325"/>
      </w:pPr>
      <w:rPr>
        <w:rFonts w:hint="default"/>
        <w:lang w:val="es-ES" w:eastAsia="es-ES" w:bidi="es-ES"/>
      </w:rPr>
    </w:lvl>
    <w:lvl w:ilvl="7">
      <w:start w:val="0"/>
      <w:numFmt w:val="bullet"/>
      <w:lvlText w:val="•"/>
      <w:lvlJc w:val="left"/>
      <w:pPr>
        <w:ind w:left="3878" w:hanging="325"/>
      </w:pPr>
      <w:rPr>
        <w:rFonts w:hint="default"/>
        <w:lang w:val="es-ES" w:eastAsia="es-ES" w:bidi="es-ES"/>
      </w:rPr>
    </w:lvl>
    <w:lvl w:ilvl="8">
      <w:start w:val="0"/>
      <w:numFmt w:val="bullet"/>
      <w:lvlText w:val="•"/>
      <w:lvlJc w:val="left"/>
      <w:pPr>
        <w:ind w:left="4409" w:hanging="325"/>
      </w:pPr>
      <w:rPr>
        <w:rFonts w:hint="default"/>
        <w:lang w:val="es-ES" w:eastAsia="es-ES" w:bidi="es-ES"/>
      </w:rPr>
    </w:lvl>
  </w:abstractNum>
  <w:abstractNum w:abstractNumId="227">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80"/>
      </w:pPr>
      <w:rPr>
        <w:rFonts w:hint="default"/>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1" w:hanging="180"/>
      </w:pPr>
      <w:rPr>
        <w:rFonts w:hint="default"/>
        <w:lang w:val="es-ES" w:eastAsia="es-ES" w:bidi="es-ES"/>
      </w:rPr>
    </w:lvl>
    <w:lvl w:ilvl="6">
      <w:start w:val="0"/>
      <w:numFmt w:val="bullet"/>
      <w:lvlText w:val="•"/>
      <w:lvlJc w:val="left"/>
      <w:pPr>
        <w:ind w:left="5221"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226">
    <w:multiLevelType w:val="hybridMultilevel"/>
    <w:lvl w:ilvl="0">
      <w:start w:val="17"/>
      <w:numFmt w:val="upperRoman"/>
      <w:lvlText w:val="%1."/>
      <w:lvlJc w:val="left"/>
      <w:pPr>
        <w:ind w:left="151" w:hanging="415"/>
        <w:jc w:val="left"/>
      </w:pPr>
      <w:rPr>
        <w:rFonts w:hint="default" w:ascii="Arial" w:hAnsi="Arial" w:eastAsia="Arial" w:cs="Arial"/>
        <w:w w:val="102"/>
        <w:sz w:val="15"/>
        <w:szCs w:val="15"/>
        <w:lang w:val="es-ES" w:eastAsia="es-ES" w:bidi="es-ES"/>
      </w:rPr>
    </w:lvl>
    <w:lvl w:ilvl="1">
      <w:start w:val="0"/>
      <w:numFmt w:val="bullet"/>
      <w:lvlText w:val="•"/>
      <w:lvlJc w:val="left"/>
      <w:pPr>
        <w:ind w:left="966" w:hanging="415"/>
      </w:pPr>
      <w:rPr>
        <w:rFonts w:hint="default"/>
        <w:lang w:val="es-ES" w:eastAsia="es-ES" w:bidi="es-ES"/>
      </w:rPr>
    </w:lvl>
    <w:lvl w:ilvl="2">
      <w:start w:val="0"/>
      <w:numFmt w:val="bullet"/>
      <w:lvlText w:val="•"/>
      <w:lvlJc w:val="left"/>
      <w:pPr>
        <w:ind w:left="1772" w:hanging="415"/>
      </w:pPr>
      <w:rPr>
        <w:rFonts w:hint="default"/>
        <w:lang w:val="es-ES" w:eastAsia="es-ES" w:bidi="es-ES"/>
      </w:rPr>
    </w:lvl>
    <w:lvl w:ilvl="3">
      <w:start w:val="0"/>
      <w:numFmt w:val="bullet"/>
      <w:lvlText w:val="•"/>
      <w:lvlJc w:val="left"/>
      <w:pPr>
        <w:ind w:left="2578" w:hanging="415"/>
      </w:pPr>
      <w:rPr>
        <w:rFonts w:hint="default"/>
        <w:lang w:val="es-ES" w:eastAsia="es-ES" w:bidi="es-ES"/>
      </w:rPr>
    </w:lvl>
    <w:lvl w:ilvl="4">
      <w:start w:val="0"/>
      <w:numFmt w:val="bullet"/>
      <w:lvlText w:val="•"/>
      <w:lvlJc w:val="left"/>
      <w:pPr>
        <w:ind w:left="3384" w:hanging="415"/>
      </w:pPr>
      <w:rPr>
        <w:rFonts w:hint="default"/>
        <w:lang w:val="es-ES" w:eastAsia="es-ES" w:bidi="es-ES"/>
      </w:rPr>
    </w:lvl>
    <w:lvl w:ilvl="5">
      <w:start w:val="0"/>
      <w:numFmt w:val="bullet"/>
      <w:lvlText w:val="•"/>
      <w:lvlJc w:val="left"/>
      <w:pPr>
        <w:ind w:left="4191" w:hanging="415"/>
      </w:pPr>
      <w:rPr>
        <w:rFonts w:hint="default"/>
        <w:lang w:val="es-ES" w:eastAsia="es-ES" w:bidi="es-ES"/>
      </w:rPr>
    </w:lvl>
    <w:lvl w:ilvl="6">
      <w:start w:val="0"/>
      <w:numFmt w:val="bullet"/>
      <w:lvlText w:val="•"/>
      <w:lvlJc w:val="left"/>
      <w:pPr>
        <w:ind w:left="4997" w:hanging="415"/>
      </w:pPr>
      <w:rPr>
        <w:rFonts w:hint="default"/>
        <w:lang w:val="es-ES" w:eastAsia="es-ES" w:bidi="es-ES"/>
      </w:rPr>
    </w:lvl>
    <w:lvl w:ilvl="7">
      <w:start w:val="0"/>
      <w:numFmt w:val="bullet"/>
      <w:lvlText w:val="•"/>
      <w:lvlJc w:val="left"/>
      <w:pPr>
        <w:ind w:left="5803" w:hanging="415"/>
      </w:pPr>
      <w:rPr>
        <w:rFonts w:hint="default"/>
        <w:lang w:val="es-ES" w:eastAsia="es-ES" w:bidi="es-ES"/>
      </w:rPr>
    </w:lvl>
    <w:lvl w:ilvl="8">
      <w:start w:val="0"/>
      <w:numFmt w:val="bullet"/>
      <w:lvlText w:val="•"/>
      <w:lvlJc w:val="left"/>
      <w:pPr>
        <w:ind w:left="6609" w:hanging="415"/>
      </w:pPr>
      <w:rPr>
        <w:rFonts w:hint="default"/>
        <w:lang w:val="es-ES" w:eastAsia="es-ES" w:bidi="es-ES"/>
      </w:rPr>
    </w:lvl>
  </w:abstractNum>
  <w:abstractNum w:abstractNumId="224">
    <w:multiLevelType w:val="hybridMultilevel"/>
    <w:lvl w:ilvl="0">
      <w:start w:val="1"/>
      <w:numFmt w:val="lowerLetter"/>
      <w:lvlText w:val="%1)"/>
      <w:lvlJc w:val="left"/>
      <w:pPr>
        <w:ind w:left="151" w:hanging="188"/>
        <w:jc w:val="right"/>
      </w:pPr>
      <w:rPr>
        <w:rFonts w:hint="default" w:ascii="Arial" w:hAnsi="Arial" w:eastAsia="Arial" w:cs="Arial"/>
        <w:w w:val="102"/>
        <w:sz w:val="15"/>
        <w:szCs w:val="15"/>
        <w:lang w:val="es-ES" w:eastAsia="es-ES" w:bidi="es-ES"/>
      </w:rPr>
    </w:lvl>
    <w:lvl w:ilvl="1">
      <w:start w:val="0"/>
      <w:numFmt w:val="bullet"/>
      <w:lvlText w:val="•"/>
      <w:lvlJc w:val="left"/>
      <w:pPr>
        <w:ind w:left="966" w:hanging="188"/>
      </w:pPr>
      <w:rPr>
        <w:rFonts w:hint="default"/>
        <w:lang w:val="es-ES" w:eastAsia="es-ES" w:bidi="es-ES"/>
      </w:rPr>
    </w:lvl>
    <w:lvl w:ilvl="2">
      <w:start w:val="0"/>
      <w:numFmt w:val="bullet"/>
      <w:lvlText w:val="•"/>
      <w:lvlJc w:val="left"/>
      <w:pPr>
        <w:ind w:left="1772" w:hanging="188"/>
      </w:pPr>
      <w:rPr>
        <w:rFonts w:hint="default"/>
        <w:lang w:val="es-ES" w:eastAsia="es-ES" w:bidi="es-ES"/>
      </w:rPr>
    </w:lvl>
    <w:lvl w:ilvl="3">
      <w:start w:val="0"/>
      <w:numFmt w:val="bullet"/>
      <w:lvlText w:val="•"/>
      <w:lvlJc w:val="left"/>
      <w:pPr>
        <w:ind w:left="2578" w:hanging="188"/>
      </w:pPr>
      <w:rPr>
        <w:rFonts w:hint="default"/>
        <w:lang w:val="es-ES" w:eastAsia="es-ES" w:bidi="es-ES"/>
      </w:rPr>
    </w:lvl>
    <w:lvl w:ilvl="4">
      <w:start w:val="0"/>
      <w:numFmt w:val="bullet"/>
      <w:lvlText w:val="•"/>
      <w:lvlJc w:val="left"/>
      <w:pPr>
        <w:ind w:left="3384" w:hanging="188"/>
      </w:pPr>
      <w:rPr>
        <w:rFonts w:hint="default"/>
        <w:lang w:val="es-ES" w:eastAsia="es-ES" w:bidi="es-ES"/>
      </w:rPr>
    </w:lvl>
    <w:lvl w:ilvl="5">
      <w:start w:val="0"/>
      <w:numFmt w:val="bullet"/>
      <w:lvlText w:val="•"/>
      <w:lvlJc w:val="left"/>
      <w:pPr>
        <w:ind w:left="4190" w:hanging="188"/>
      </w:pPr>
      <w:rPr>
        <w:rFonts w:hint="default"/>
        <w:lang w:val="es-ES" w:eastAsia="es-ES" w:bidi="es-ES"/>
      </w:rPr>
    </w:lvl>
    <w:lvl w:ilvl="6">
      <w:start w:val="0"/>
      <w:numFmt w:val="bullet"/>
      <w:lvlText w:val="•"/>
      <w:lvlJc w:val="left"/>
      <w:pPr>
        <w:ind w:left="4997" w:hanging="188"/>
      </w:pPr>
      <w:rPr>
        <w:rFonts w:hint="default"/>
        <w:lang w:val="es-ES" w:eastAsia="es-ES" w:bidi="es-ES"/>
      </w:rPr>
    </w:lvl>
    <w:lvl w:ilvl="7">
      <w:start w:val="0"/>
      <w:numFmt w:val="bullet"/>
      <w:lvlText w:val="•"/>
      <w:lvlJc w:val="left"/>
      <w:pPr>
        <w:ind w:left="5803" w:hanging="188"/>
      </w:pPr>
      <w:rPr>
        <w:rFonts w:hint="default"/>
        <w:lang w:val="es-ES" w:eastAsia="es-ES" w:bidi="es-ES"/>
      </w:rPr>
    </w:lvl>
    <w:lvl w:ilvl="8">
      <w:start w:val="0"/>
      <w:numFmt w:val="bullet"/>
      <w:lvlText w:val="•"/>
      <w:lvlJc w:val="left"/>
      <w:pPr>
        <w:ind w:left="6609" w:hanging="188"/>
      </w:pPr>
      <w:rPr>
        <w:rFonts w:hint="default"/>
        <w:lang w:val="es-ES" w:eastAsia="es-ES" w:bidi="es-ES"/>
      </w:rPr>
    </w:lvl>
  </w:abstractNum>
  <w:abstractNum w:abstractNumId="223">
    <w:multiLevelType w:val="hybridMultilevel"/>
    <w:lvl w:ilvl="0">
      <w:start w:val="1"/>
      <w:numFmt w:val="upperRoman"/>
      <w:lvlText w:val="%1."/>
      <w:lvlJc w:val="left"/>
      <w:pPr>
        <w:ind w:left="150" w:hanging="164"/>
        <w:jc w:val="left"/>
      </w:pPr>
      <w:rPr>
        <w:rFonts w:hint="default" w:ascii="Arial" w:hAnsi="Arial" w:eastAsia="Arial" w:cs="Arial"/>
        <w:w w:val="102"/>
        <w:sz w:val="15"/>
        <w:szCs w:val="15"/>
        <w:lang w:val="es-ES" w:eastAsia="es-ES" w:bidi="es-ES"/>
      </w:rPr>
    </w:lvl>
    <w:lvl w:ilvl="1">
      <w:start w:val="0"/>
      <w:numFmt w:val="bullet"/>
      <w:lvlText w:val="•"/>
      <w:lvlJc w:val="left"/>
      <w:pPr>
        <w:ind w:left="2480" w:hanging="164"/>
      </w:pPr>
      <w:rPr>
        <w:rFonts w:hint="default"/>
        <w:lang w:val="es-ES" w:eastAsia="es-ES" w:bidi="es-ES"/>
      </w:rPr>
    </w:lvl>
    <w:lvl w:ilvl="2">
      <w:start w:val="0"/>
      <w:numFmt w:val="bullet"/>
      <w:lvlText w:val="•"/>
      <w:lvlJc w:val="left"/>
      <w:pPr>
        <w:ind w:left="2700" w:hanging="164"/>
      </w:pPr>
      <w:rPr>
        <w:rFonts w:hint="default"/>
        <w:lang w:val="es-ES" w:eastAsia="es-ES" w:bidi="es-ES"/>
      </w:rPr>
    </w:lvl>
    <w:lvl w:ilvl="3">
      <w:start w:val="0"/>
      <w:numFmt w:val="bullet"/>
      <w:lvlText w:val="•"/>
      <w:lvlJc w:val="left"/>
      <w:pPr>
        <w:ind w:left="1593" w:hanging="164"/>
      </w:pPr>
      <w:rPr>
        <w:rFonts w:hint="default"/>
        <w:lang w:val="es-ES" w:eastAsia="es-ES" w:bidi="es-ES"/>
      </w:rPr>
    </w:lvl>
    <w:lvl w:ilvl="4">
      <w:start w:val="0"/>
      <w:numFmt w:val="bullet"/>
      <w:lvlText w:val="•"/>
      <w:lvlJc w:val="left"/>
      <w:pPr>
        <w:ind w:left="487" w:hanging="164"/>
      </w:pPr>
      <w:rPr>
        <w:rFonts w:hint="default"/>
        <w:lang w:val="es-ES" w:eastAsia="es-ES" w:bidi="es-ES"/>
      </w:rPr>
    </w:lvl>
    <w:lvl w:ilvl="5">
      <w:start w:val="0"/>
      <w:numFmt w:val="bullet"/>
      <w:lvlText w:val="•"/>
      <w:lvlJc w:val="left"/>
      <w:pPr>
        <w:ind w:left="-619" w:hanging="164"/>
      </w:pPr>
      <w:rPr>
        <w:rFonts w:hint="default"/>
        <w:lang w:val="es-ES" w:eastAsia="es-ES" w:bidi="es-ES"/>
      </w:rPr>
    </w:lvl>
    <w:lvl w:ilvl="6">
      <w:start w:val="0"/>
      <w:numFmt w:val="bullet"/>
      <w:lvlText w:val="•"/>
      <w:lvlJc w:val="left"/>
      <w:pPr>
        <w:ind w:left="-1725" w:hanging="164"/>
      </w:pPr>
      <w:rPr>
        <w:rFonts w:hint="default"/>
        <w:lang w:val="es-ES" w:eastAsia="es-ES" w:bidi="es-ES"/>
      </w:rPr>
    </w:lvl>
    <w:lvl w:ilvl="7">
      <w:start w:val="0"/>
      <w:numFmt w:val="bullet"/>
      <w:lvlText w:val="•"/>
      <w:lvlJc w:val="left"/>
      <w:pPr>
        <w:ind w:left="-2831" w:hanging="164"/>
      </w:pPr>
      <w:rPr>
        <w:rFonts w:hint="default"/>
        <w:lang w:val="es-ES" w:eastAsia="es-ES" w:bidi="es-ES"/>
      </w:rPr>
    </w:lvl>
    <w:lvl w:ilvl="8">
      <w:start w:val="0"/>
      <w:numFmt w:val="bullet"/>
      <w:lvlText w:val="•"/>
      <w:lvlJc w:val="left"/>
      <w:pPr>
        <w:ind w:left="-3938" w:hanging="164"/>
      </w:pPr>
      <w:rPr>
        <w:rFonts w:hint="default"/>
        <w:lang w:val="es-ES" w:eastAsia="es-ES" w:bidi="es-ES"/>
      </w:rPr>
    </w:lvl>
  </w:abstractNum>
  <w:abstractNum w:abstractNumId="221">
    <w:multiLevelType w:val="hybridMultilevel"/>
    <w:lvl w:ilvl="0">
      <w:start w:val="4"/>
      <w:numFmt w:val="upperRoman"/>
      <w:lvlText w:val="%1."/>
      <w:lvlJc w:val="left"/>
      <w:pPr>
        <w:ind w:left="150" w:hanging="262"/>
        <w:jc w:val="left"/>
      </w:pPr>
      <w:rPr>
        <w:rFonts w:hint="default" w:ascii="Arial" w:hAnsi="Arial" w:eastAsia="Arial" w:cs="Arial"/>
        <w:spacing w:val="-15"/>
        <w:w w:val="102"/>
        <w:sz w:val="15"/>
        <w:szCs w:val="15"/>
        <w:lang w:val="es-ES" w:eastAsia="es-ES" w:bidi="es-ES"/>
      </w:rPr>
    </w:lvl>
    <w:lvl w:ilvl="1">
      <w:start w:val="0"/>
      <w:numFmt w:val="bullet"/>
      <w:lvlText w:val="•"/>
      <w:lvlJc w:val="left"/>
      <w:pPr>
        <w:ind w:left="691" w:hanging="262"/>
      </w:pPr>
      <w:rPr>
        <w:rFonts w:hint="default"/>
        <w:lang w:val="es-ES" w:eastAsia="es-ES" w:bidi="es-ES"/>
      </w:rPr>
    </w:lvl>
    <w:lvl w:ilvl="2">
      <w:start w:val="0"/>
      <w:numFmt w:val="bullet"/>
      <w:lvlText w:val="•"/>
      <w:lvlJc w:val="left"/>
      <w:pPr>
        <w:ind w:left="1222" w:hanging="262"/>
      </w:pPr>
      <w:rPr>
        <w:rFonts w:hint="default"/>
        <w:lang w:val="es-ES" w:eastAsia="es-ES" w:bidi="es-ES"/>
      </w:rPr>
    </w:lvl>
    <w:lvl w:ilvl="3">
      <w:start w:val="0"/>
      <w:numFmt w:val="bullet"/>
      <w:lvlText w:val="•"/>
      <w:lvlJc w:val="left"/>
      <w:pPr>
        <w:ind w:left="1753" w:hanging="262"/>
      </w:pPr>
      <w:rPr>
        <w:rFonts w:hint="default"/>
        <w:lang w:val="es-ES" w:eastAsia="es-ES" w:bidi="es-ES"/>
      </w:rPr>
    </w:lvl>
    <w:lvl w:ilvl="4">
      <w:start w:val="0"/>
      <w:numFmt w:val="bullet"/>
      <w:lvlText w:val="•"/>
      <w:lvlJc w:val="left"/>
      <w:pPr>
        <w:ind w:left="2285" w:hanging="262"/>
      </w:pPr>
      <w:rPr>
        <w:rFonts w:hint="default"/>
        <w:lang w:val="es-ES" w:eastAsia="es-ES" w:bidi="es-ES"/>
      </w:rPr>
    </w:lvl>
    <w:lvl w:ilvl="5">
      <w:start w:val="0"/>
      <w:numFmt w:val="bullet"/>
      <w:lvlText w:val="•"/>
      <w:lvlJc w:val="left"/>
      <w:pPr>
        <w:ind w:left="2816" w:hanging="262"/>
      </w:pPr>
      <w:rPr>
        <w:rFonts w:hint="default"/>
        <w:lang w:val="es-ES" w:eastAsia="es-ES" w:bidi="es-ES"/>
      </w:rPr>
    </w:lvl>
    <w:lvl w:ilvl="6">
      <w:start w:val="0"/>
      <w:numFmt w:val="bullet"/>
      <w:lvlText w:val="•"/>
      <w:lvlJc w:val="left"/>
      <w:pPr>
        <w:ind w:left="3347" w:hanging="262"/>
      </w:pPr>
      <w:rPr>
        <w:rFonts w:hint="default"/>
        <w:lang w:val="es-ES" w:eastAsia="es-ES" w:bidi="es-ES"/>
      </w:rPr>
    </w:lvl>
    <w:lvl w:ilvl="7">
      <w:start w:val="0"/>
      <w:numFmt w:val="bullet"/>
      <w:lvlText w:val="•"/>
      <w:lvlJc w:val="left"/>
      <w:pPr>
        <w:ind w:left="3878" w:hanging="262"/>
      </w:pPr>
      <w:rPr>
        <w:rFonts w:hint="default"/>
        <w:lang w:val="es-ES" w:eastAsia="es-ES" w:bidi="es-ES"/>
      </w:rPr>
    </w:lvl>
    <w:lvl w:ilvl="8">
      <w:start w:val="0"/>
      <w:numFmt w:val="bullet"/>
      <w:lvlText w:val="•"/>
      <w:lvlJc w:val="left"/>
      <w:pPr>
        <w:ind w:left="4410" w:hanging="262"/>
      </w:pPr>
      <w:rPr>
        <w:rFonts w:hint="default"/>
        <w:lang w:val="es-ES" w:eastAsia="es-ES" w:bidi="es-ES"/>
      </w:rPr>
    </w:lvl>
  </w:abstractNum>
  <w:abstractNum w:abstractNumId="220">
    <w:multiLevelType w:val="hybridMultilevel"/>
    <w:lvl w:ilvl="0">
      <w:start w:val="1"/>
      <w:numFmt w:val="lowerLetter"/>
      <w:lvlText w:val="%1)"/>
      <w:lvlJc w:val="left"/>
      <w:pPr>
        <w:ind w:left="54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033" w:hanging="180"/>
      </w:pPr>
      <w:rPr>
        <w:rFonts w:hint="default"/>
        <w:lang w:val="es-ES" w:eastAsia="es-ES" w:bidi="es-ES"/>
      </w:rPr>
    </w:lvl>
    <w:lvl w:ilvl="2">
      <w:start w:val="0"/>
      <w:numFmt w:val="bullet"/>
      <w:lvlText w:val="•"/>
      <w:lvlJc w:val="left"/>
      <w:pPr>
        <w:ind w:left="1526" w:hanging="180"/>
      </w:pPr>
      <w:rPr>
        <w:rFonts w:hint="default"/>
        <w:lang w:val="es-ES" w:eastAsia="es-ES" w:bidi="es-ES"/>
      </w:rPr>
    </w:lvl>
    <w:lvl w:ilvl="3">
      <w:start w:val="0"/>
      <w:numFmt w:val="bullet"/>
      <w:lvlText w:val="•"/>
      <w:lvlJc w:val="left"/>
      <w:pPr>
        <w:ind w:left="2019" w:hanging="180"/>
      </w:pPr>
      <w:rPr>
        <w:rFonts w:hint="default"/>
        <w:lang w:val="es-ES" w:eastAsia="es-ES" w:bidi="es-ES"/>
      </w:rPr>
    </w:lvl>
    <w:lvl w:ilvl="4">
      <w:start w:val="0"/>
      <w:numFmt w:val="bullet"/>
      <w:lvlText w:val="•"/>
      <w:lvlJc w:val="left"/>
      <w:pPr>
        <w:ind w:left="2513" w:hanging="180"/>
      </w:pPr>
      <w:rPr>
        <w:rFonts w:hint="default"/>
        <w:lang w:val="es-ES" w:eastAsia="es-ES" w:bidi="es-ES"/>
      </w:rPr>
    </w:lvl>
    <w:lvl w:ilvl="5">
      <w:start w:val="0"/>
      <w:numFmt w:val="bullet"/>
      <w:lvlText w:val="•"/>
      <w:lvlJc w:val="left"/>
      <w:pPr>
        <w:ind w:left="3006" w:hanging="180"/>
      </w:pPr>
      <w:rPr>
        <w:rFonts w:hint="default"/>
        <w:lang w:val="es-ES" w:eastAsia="es-ES" w:bidi="es-ES"/>
      </w:rPr>
    </w:lvl>
    <w:lvl w:ilvl="6">
      <w:start w:val="0"/>
      <w:numFmt w:val="bullet"/>
      <w:lvlText w:val="•"/>
      <w:lvlJc w:val="left"/>
      <w:pPr>
        <w:ind w:left="3499" w:hanging="180"/>
      </w:pPr>
      <w:rPr>
        <w:rFonts w:hint="default"/>
        <w:lang w:val="es-ES" w:eastAsia="es-ES" w:bidi="es-ES"/>
      </w:rPr>
    </w:lvl>
    <w:lvl w:ilvl="7">
      <w:start w:val="0"/>
      <w:numFmt w:val="bullet"/>
      <w:lvlText w:val="•"/>
      <w:lvlJc w:val="left"/>
      <w:pPr>
        <w:ind w:left="3992" w:hanging="180"/>
      </w:pPr>
      <w:rPr>
        <w:rFonts w:hint="default"/>
        <w:lang w:val="es-ES" w:eastAsia="es-ES" w:bidi="es-ES"/>
      </w:rPr>
    </w:lvl>
    <w:lvl w:ilvl="8">
      <w:start w:val="0"/>
      <w:numFmt w:val="bullet"/>
      <w:lvlText w:val="•"/>
      <w:lvlJc w:val="left"/>
      <w:pPr>
        <w:ind w:left="4486" w:hanging="180"/>
      </w:pPr>
      <w:rPr>
        <w:rFonts w:hint="default"/>
        <w:lang w:val="es-ES" w:eastAsia="es-ES" w:bidi="es-ES"/>
      </w:rPr>
    </w:lvl>
  </w:abstractNum>
  <w:abstractNum w:abstractNumId="219">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80"/>
      </w:pPr>
      <w:rPr>
        <w:rFonts w:hint="default"/>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1" w:hanging="180"/>
      </w:pPr>
      <w:rPr>
        <w:rFonts w:hint="default"/>
        <w:lang w:val="es-ES" w:eastAsia="es-ES" w:bidi="es-ES"/>
      </w:rPr>
    </w:lvl>
    <w:lvl w:ilvl="6">
      <w:start w:val="0"/>
      <w:numFmt w:val="bullet"/>
      <w:lvlText w:val="•"/>
      <w:lvlJc w:val="left"/>
      <w:pPr>
        <w:ind w:left="5221"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218">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95" w:hanging="180"/>
      </w:pPr>
      <w:rPr>
        <w:rFonts w:hint="default"/>
        <w:lang w:val="es-ES" w:eastAsia="es-ES" w:bidi="es-ES"/>
      </w:rPr>
    </w:lvl>
    <w:lvl w:ilvl="2">
      <w:start w:val="0"/>
      <w:numFmt w:val="bullet"/>
      <w:lvlText w:val="•"/>
      <w:lvlJc w:val="left"/>
      <w:pPr>
        <w:ind w:left="1670" w:hanging="180"/>
      </w:pPr>
      <w:rPr>
        <w:rFonts w:hint="default"/>
        <w:lang w:val="es-ES" w:eastAsia="es-ES" w:bidi="es-ES"/>
      </w:rPr>
    </w:lvl>
    <w:lvl w:ilvl="3">
      <w:start w:val="0"/>
      <w:numFmt w:val="bullet"/>
      <w:lvlText w:val="•"/>
      <w:lvlJc w:val="left"/>
      <w:pPr>
        <w:ind w:left="2145" w:hanging="180"/>
      </w:pPr>
      <w:rPr>
        <w:rFonts w:hint="default"/>
        <w:lang w:val="es-ES" w:eastAsia="es-ES" w:bidi="es-ES"/>
      </w:rPr>
    </w:lvl>
    <w:lvl w:ilvl="4">
      <w:start w:val="0"/>
      <w:numFmt w:val="bullet"/>
      <w:lvlText w:val="•"/>
      <w:lvlJc w:val="left"/>
      <w:pPr>
        <w:ind w:left="2621" w:hanging="180"/>
      </w:pPr>
      <w:rPr>
        <w:rFonts w:hint="default"/>
        <w:lang w:val="es-ES" w:eastAsia="es-ES" w:bidi="es-ES"/>
      </w:rPr>
    </w:lvl>
    <w:lvl w:ilvl="5">
      <w:start w:val="0"/>
      <w:numFmt w:val="bullet"/>
      <w:lvlText w:val="•"/>
      <w:lvlJc w:val="left"/>
      <w:pPr>
        <w:ind w:left="3096" w:hanging="180"/>
      </w:pPr>
      <w:rPr>
        <w:rFonts w:hint="default"/>
        <w:lang w:val="es-ES" w:eastAsia="es-ES" w:bidi="es-ES"/>
      </w:rPr>
    </w:lvl>
    <w:lvl w:ilvl="6">
      <w:start w:val="0"/>
      <w:numFmt w:val="bullet"/>
      <w:lvlText w:val="•"/>
      <w:lvlJc w:val="left"/>
      <w:pPr>
        <w:ind w:left="3571" w:hanging="180"/>
      </w:pPr>
      <w:rPr>
        <w:rFonts w:hint="default"/>
        <w:lang w:val="es-ES" w:eastAsia="es-ES" w:bidi="es-ES"/>
      </w:rPr>
    </w:lvl>
    <w:lvl w:ilvl="7">
      <w:start w:val="0"/>
      <w:numFmt w:val="bullet"/>
      <w:lvlText w:val="•"/>
      <w:lvlJc w:val="left"/>
      <w:pPr>
        <w:ind w:left="4046" w:hanging="180"/>
      </w:pPr>
      <w:rPr>
        <w:rFonts w:hint="default"/>
        <w:lang w:val="es-ES" w:eastAsia="es-ES" w:bidi="es-ES"/>
      </w:rPr>
    </w:lvl>
    <w:lvl w:ilvl="8">
      <w:start w:val="0"/>
      <w:numFmt w:val="bullet"/>
      <w:lvlText w:val="•"/>
      <w:lvlJc w:val="left"/>
      <w:pPr>
        <w:ind w:left="4522" w:hanging="180"/>
      </w:pPr>
      <w:rPr>
        <w:rFonts w:hint="default"/>
        <w:lang w:val="es-ES" w:eastAsia="es-ES" w:bidi="es-ES"/>
      </w:rPr>
    </w:lvl>
  </w:abstractNum>
  <w:abstractNum w:abstractNumId="217">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95" w:hanging="180"/>
      </w:pPr>
      <w:rPr>
        <w:rFonts w:hint="default"/>
        <w:lang w:val="es-ES" w:eastAsia="es-ES" w:bidi="es-ES"/>
      </w:rPr>
    </w:lvl>
    <w:lvl w:ilvl="2">
      <w:start w:val="0"/>
      <w:numFmt w:val="bullet"/>
      <w:lvlText w:val="•"/>
      <w:lvlJc w:val="left"/>
      <w:pPr>
        <w:ind w:left="1670" w:hanging="180"/>
      </w:pPr>
      <w:rPr>
        <w:rFonts w:hint="default"/>
        <w:lang w:val="es-ES" w:eastAsia="es-ES" w:bidi="es-ES"/>
      </w:rPr>
    </w:lvl>
    <w:lvl w:ilvl="3">
      <w:start w:val="0"/>
      <w:numFmt w:val="bullet"/>
      <w:lvlText w:val="•"/>
      <w:lvlJc w:val="left"/>
      <w:pPr>
        <w:ind w:left="2145" w:hanging="180"/>
      </w:pPr>
      <w:rPr>
        <w:rFonts w:hint="default"/>
        <w:lang w:val="es-ES" w:eastAsia="es-ES" w:bidi="es-ES"/>
      </w:rPr>
    </w:lvl>
    <w:lvl w:ilvl="4">
      <w:start w:val="0"/>
      <w:numFmt w:val="bullet"/>
      <w:lvlText w:val="•"/>
      <w:lvlJc w:val="left"/>
      <w:pPr>
        <w:ind w:left="2621" w:hanging="180"/>
      </w:pPr>
      <w:rPr>
        <w:rFonts w:hint="default"/>
        <w:lang w:val="es-ES" w:eastAsia="es-ES" w:bidi="es-ES"/>
      </w:rPr>
    </w:lvl>
    <w:lvl w:ilvl="5">
      <w:start w:val="0"/>
      <w:numFmt w:val="bullet"/>
      <w:lvlText w:val="•"/>
      <w:lvlJc w:val="left"/>
      <w:pPr>
        <w:ind w:left="3096" w:hanging="180"/>
      </w:pPr>
      <w:rPr>
        <w:rFonts w:hint="default"/>
        <w:lang w:val="es-ES" w:eastAsia="es-ES" w:bidi="es-ES"/>
      </w:rPr>
    </w:lvl>
    <w:lvl w:ilvl="6">
      <w:start w:val="0"/>
      <w:numFmt w:val="bullet"/>
      <w:lvlText w:val="•"/>
      <w:lvlJc w:val="left"/>
      <w:pPr>
        <w:ind w:left="3571" w:hanging="180"/>
      </w:pPr>
      <w:rPr>
        <w:rFonts w:hint="default"/>
        <w:lang w:val="es-ES" w:eastAsia="es-ES" w:bidi="es-ES"/>
      </w:rPr>
    </w:lvl>
    <w:lvl w:ilvl="7">
      <w:start w:val="0"/>
      <w:numFmt w:val="bullet"/>
      <w:lvlText w:val="•"/>
      <w:lvlJc w:val="left"/>
      <w:pPr>
        <w:ind w:left="4046" w:hanging="180"/>
      </w:pPr>
      <w:rPr>
        <w:rFonts w:hint="default"/>
        <w:lang w:val="es-ES" w:eastAsia="es-ES" w:bidi="es-ES"/>
      </w:rPr>
    </w:lvl>
    <w:lvl w:ilvl="8">
      <w:start w:val="0"/>
      <w:numFmt w:val="bullet"/>
      <w:lvlText w:val="•"/>
      <w:lvlJc w:val="left"/>
      <w:pPr>
        <w:ind w:left="4522" w:hanging="180"/>
      </w:pPr>
      <w:rPr>
        <w:rFonts w:hint="default"/>
        <w:lang w:val="es-ES" w:eastAsia="es-ES" w:bidi="es-ES"/>
      </w:rPr>
    </w:lvl>
  </w:abstractNum>
  <w:abstractNum w:abstractNumId="216">
    <w:multiLevelType w:val="hybridMultilevel"/>
    <w:lvl w:ilvl="0">
      <w:start w:val="1"/>
      <w:numFmt w:val="lowerLetter"/>
      <w:lvlText w:val="%1)"/>
      <w:lvlJc w:val="left"/>
      <w:pPr>
        <w:ind w:left="151" w:hanging="252"/>
        <w:jc w:val="left"/>
      </w:pPr>
      <w:rPr>
        <w:rFonts w:hint="default" w:ascii="Arial" w:hAnsi="Arial" w:eastAsia="Arial" w:cs="Arial"/>
        <w:w w:val="102"/>
        <w:sz w:val="15"/>
        <w:szCs w:val="15"/>
        <w:lang w:val="es-ES" w:eastAsia="es-ES" w:bidi="es-ES"/>
      </w:rPr>
    </w:lvl>
    <w:lvl w:ilvl="1">
      <w:start w:val="0"/>
      <w:numFmt w:val="bullet"/>
      <w:lvlText w:val="•"/>
      <w:lvlJc w:val="left"/>
      <w:pPr>
        <w:ind w:left="691" w:hanging="252"/>
      </w:pPr>
      <w:rPr>
        <w:rFonts w:hint="default"/>
        <w:lang w:val="es-ES" w:eastAsia="es-ES" w:bidi="es-ES"/>
      </w:rPr>
    </w:lvl>
    <w:lvl w:ilvl="2">
      <w:start w:val="0"/>
      <w:numFmt w:val="bullet"/>
      <w:lvlText w:val="•"/>
      <w:lvlJc w:val="left"/>
      <w:pPr>
        <w:ind w:left="1222" w:hanging="252"/>
      </w:pPr>
      <w:rPr>
        <w:rFonts w:hint="default"/>
        <w:lang w:val="es-ES" w:eastAsia="es-ES" w:bidi="es-ES"/>
      </w:rPr>
    </w:lvl>
    <w:lvl w:ilvl="3">
      <w:start w:val="0"/>
      <w:numFmt w:val="bullet"/>
      <w:lvlText w:val="•"/>
      <w:lvlJc w:val="left"/>
      <w:pPr>
        <w:ind w:left="1753" w:hanging="252"/>
      </w:pPr>
      <w:rPr>
        <w:rFonts w:hint="default"/>
        <w:lang w:val="es-ES" w:eastAsia="es-ES" w:bidi="es-ES"/>
      </w:rPr>
    </w:lvl>
    <w:lvl w:ilvl="4">
      <w:start w:val="0"/>
      <w:numFmt w:val="bullet"/>
      <w:lvlText w:val="•"/>
      <w:lvlJc w:val="left"/>
      <w:pPr>
        <w:ind w:left="2285" w:hanging="252"/>
      </w:pPr>
      <w:rPr>
        <w:rFonts w:hint="default"/>
        <w:lang w:val="es-ES" w:eastAsia="es-ES" w:bidi="es-ES"/>
      </w:rPr>
    </w:lvl>
    <w:lvl w:ilvl="5">
      <w:start w:val="0"/>
      <w:numFmt w:val="bullet"/>
      <w:lvlText w:val="•"/>
      <w:lvlJc w:val="left"/>
      <w:pPr>
        <w:ind w:left="2816" w:hanging="252"/>
      </w:pPr>
      <w:rPr>
        <w:rFonts w:hint="default"/>
        <w:lang w:val="es-ES" w:eastAsia="es-ES" w:bidi="es-ES"/>
      </w:rPr>
    </w:lvl>
    <w:lvl w:ilvl="6">
      <w:start w:val="0"/>
      <w:numFmt w:val="bullet"/>
      <w:lvlText w:val="•"/>
      <w:lvlJc w:val="left"/>
      <w:pPr>
        <w:ind w:left="3347" w:hanging="252"/>
      </w:pPr>
      <w:rPr>
        <w:rFonts w:hint="default"/>
        <w:lang w:val="es-ES" w:eastAsia="es-ES" w:bidi="es-ES"/>
      </w:rPr>
    </w:lvl>
    <w:lvl w:ilvl="7">
      <w:start w:val="0"/>
      <w:numFmt w:val="bullet"/>
      <w:lvlText w:val="•"/>
      <w:lvlJc w:val="left"/>
      <w:pPr>
        <w:ind w:left="3878" w:hanging="252"/>
      </w:pPr>
      <w:rPr>
        <w:rFonts w:hint="default"/>
        <w:lang w:val="es-ES" w:eastAsia="es-ES" w:bidi="es-ES"/>
      </w:rPr>
    </w:lvl>
    <w:lvl w:ilvl="8">
      <w:start w:val="0"/>
      <w:numFmt w:val="bullet"/>
      <w:lvlText w:val="•"/>
      <w:lvlJc w:val="left"/>
      <w:pPr>
        <w:ind w:left="4410" w:hanging="252"/>
      </w:pPr>
      <w:rPr>
        <w:rFonts w:hint="default"/>
        <w:lang w:val="es-ES" w:eastAsia="es-ES" w:bidi="es-ES"/>
      </w:rPr>
    </w:lvl>
  </w:abstractNum>
  <w:abstractNum w:abstractNumId="215">
    <w:multiLevelType w:val="hybridMultilevel"/>
    <w:lvl w:ilvl="0">
      <w:start w:val="1"/>
      <w:numFmt w:val="lowerLetter"/>
      <w:lvlText w:val="%1)"/>
      <w:lvlJc w:val="left"/>
      <w:pPr>
        <w:ind w:left="795" w:hanging="172"/>
        <w:jc w:val="left"/>
      </w:pPr>
      <w:rPr>
        <w:rFonts w:hint="default" w:ascii="Arial" w:hAnsi="Arial" w:eastAsia="Arial" w:cs="Arial"/>
        <w:w w:val="102"/>
        <w:sz w:val="15"/>
        <w:szCs w:val="15"/>
        <w:lang w:val="es-ES" w:eastAsia="es-ES" w:bidi="es-ES"/>
      </w:rPr>
    </w:lvl>
    <w:lvl w:ilvl="1">
      <w:start w:val="0"/>
      <w:numFmt w:val="bullet"/>
      <w:lvlText w:val="•"/>
      <w:lvlJc w:val="left"/>
      <w:pPr>
        <w:ind w:left="1549" w:hanging="172"/>
      </w:pPr>
      <w:rPr>
        <w:rFonts w:hint="default"/>
        <w:lang w:val="es-ES" w:eastAsia="es-ES" w:bidi="es-ES"/>
      </w:rPr>
    </w:lvl>
    <w:lvl w:ilvl="2">
      <w:start w:val="0"/>
      <w:numFmt w:val="bullet"/>
      <w:lvlText w:val="•"/>
      <w:lvlJc w:val="left"/>
      <w:pPr>
        <w:ind w:left="2299" w:hanging="172"/>
      </w:pPr>
      <w:rPr>
        <w:rFonts w:hint="default"/>
        <w:lang w:val="es-ES" w:eastAsia="es-ES" w:bidi="es-ES"/>
      </w:rPr>
    </w:lvl>
    <w:lvl w:ilvl="3">
      <w:start w:val="0"/>
      <w:numFmt w:val="bullet"/>
      <w:lvlText w:val="•"/>
      <w:lvlJc w:val="left"/>
      <w:pPr>
        <w:ind w:left="3049" w:hanging="172"/>
      </w:pPr>
      <w:rPr>
        <w:rFonts w:hint="default"/>
        <w:lang w:val="es-ES" w:eastAsia="es-ES" w:bidi="es-ES"/>
      </w:rPr>
    </w:lvl>
    <w:lvl w:ilvl="4">
      <w:start w:val="0"/>
      <w:numFmt w:val="bullet"/>
      <w:lvlText w:val="•"/>
      <w:lvlJc w:val="left"/>
      <w:pPr>
        <w:ind w:left="3799" w:hanging="172"/>
      </w:pPr>
      <w:rPr>
        <w:rFonts w:hint="default"/>
        <w:lang w:val="es-ES" w:eastAsia="es-ES" w:bidi="es-ES"/>
      </w:rPr>
    </w:lvl>
    <w:lvl w:ilvl="5">
      <w:start w:val="0"/>
      <w:numFmt w:val="bullet"/>
      <w:lvlText w:val="•"/>
      <w:lvlJc w:val="left"/>
      <w:pPr>
        <w:ind w:left="4548" w:hanging="172"/>
      </w:pPr>
      <w:rPr>
        <w:rFonts w:hint="default"/>
        <w:lang w:val="es-ES" w:eastAsia="es-ES" w:bidi="es-ES"/>
      </w:rPr>
    </w:lvl>
    <w:lvl w:ilvl="6">
      <w:start w:val="0"/>
      <w:numFmt w:val="bullet"/>
      <w:lvlText w:val="•"/>
      <w:lvlJc w:val="left"/>
      <w:pPr>
        <w:ind w:left="5298" w:hanging="172"/>
      </w:pPr>
      <w:rPr>
        <w:rFonts w:hint="default"/>
        <w:lang w:val="es-ES" w:eastAsia="es-ES" w:bidi="es-ES"/>
      </w:rPr>
    </w:lvl>
    <w:lvl w:ilvl="7">
      <w:start w:val="0"/>
      <w:numFmt w:val="bullet"/>
      <w:lvlText w:val="•"/>
      <w:lvlJc w:val="left"/>
      <w:pPr>
        <w:ind w:left="6048" w:hanging="172"/>
      </w:pPr>
      <w:rPr>
        <w:rFonts w:hint="default"/>
        <w:lang w:val="es-ES" w:eastAsia="es-ES" w:bidi="es-ES"/>
      </w:rPr>
    </w:lvl>
    <w:lvl w:ilvl="8">
      <w:start w:val="0"/>
      <w:numFmt w:val="bullet"/>
      <w:lvlText w:val="•"/>
      <w:lvlJc w:val="left"/>
      <w:pPr>
        <w:ind w:left="6798" w:hanging="172"/>
      </w:pPr>
      <w:rPr>
        <w:rFonts w:hint="default"/>
        <w:lang w:val="es-ES" w:eastAsia="es-ES" w:bidi="es-ES"/>
      </w:rPr>
    </w:lvl>
  </w:abstractNum>
  <w:abstractNum w:abstractNumId="214">
    <w:multiLevelType w:val="hybridMultilevel"/>
    <w:lvl w:ilvl="0">
      <w:start w:val="1"/>
      <w:numFmt w:val="lowerLetter"/>
      <w:lvlText w:val="%1)"/>
      <w:lvlJc w:val="left"/>
      <w:pPr>
        <w:ind w:left="876" w:hanging="253"/>
        <w:jc w:val="left"/>
      </w:pPr>
      <w:rPr>
        <w:rFonts w:hint="default" w:ascii="Arial" w:hAnsi="Arial" w:eastAsia="Arial" w:cs="Arial"/>
        <w:w w:val="102"/>
        <w:sz w:val="15"/>
        <w:szCs w:val="15"/>
        <w:lang w:val="es-ES" w:eastAsia="es-ES" w:bidi="es-ES"/>
      </w:rPr>
    </w:lvl>
    <w:lvl w:ilvl="1">
      <w:start w:val="0"/>
      <w:numFmt w:val="bullet"/>
      <w:lvlText w:val="•"/>
      <w:lvlJc w:val="left"/>
      <w:pPr>
        <w:ind w:left="1621" w:hanging="253"/>
      </w:pPr>
      <w:rPr>
        <w:rFonts w:hint="default"/>
        <w:lang w:val="es-ES" w:eastAsia="es-ES" w:bidi="es-ES"/>
      </w:rPr>
    </w:lvl>
    <w:lvl w:ilvl="2">
      <w:start w:val="0"/>
      <w:numFmt w:val="bullet"/>
      <w:lvlText w:val="•"/>
      <w:lvlJc w:val="left"/>
      <w:pPr>
        <w:ind w:left="2363" w:hanging="253"/>
      </w:pPr>
      <w:rPr>
        <w:rFonts w:hint="default"/>
        <w:lang w:val="es-ES" w:eastAsia="es-ES" w:bidi="es-ES"/>
      </w:rPr>
    </w:lvl>
    <w:lvl w:ilvl="3">
      <w:start w:val="0"/>
      <w:numFmt w:val="bullet"/>
      <w:lvlText w:val="•"/>
      <w:lvlJc w:val="left"/>
      <w:pPr>
        <w:ind w:left="3105" w:hanging="253"/>
      </w:pPr>
      <w:rPr>
        <w:rFonts w:hint="default"/>
        <w:lang w:val="es-ES" w:eastAsia="es-ES" w:bidi="es-ES"/>
      </w:rPr>
    </w:lvl>
    <w:lvl w:ilvl="4">
      <w:start w:val="0"/>
      <w:numFmt w:val="bullet"/>
      <w:lvlText w:val="•"/>
      <w:lvlJc w:val="left"/>
      <w:pPr>
        <w:ind w:left="3847" w:hanging="253"/>
      </w:pPr>
      <w:rPr>
        <w:rFonts w:hint="default"/>
        <w:lang w:val="es-ES" w:eastAsia="es-ES" w:bidi="es-ES"/>
      </w:rPr>
    </w:lvl>
    <w:lvl w:ilvl="5">
      <w:start w:val="0"/>
      <w:numFmt w:val="bullet"/>
      <w:lvlText w:val="•"/>
      <w:lvlJc w:val="left"/>
      <w:pPr>
        <w:ind w:left="4588" w:hanging="253"/>
      </w:pPr>
      <w:rPr>
        <w:rFonts w:hint="default"/>
        <w:lang w:val="es-ES" w:eastAsia="es-ES" w:bidi="es-ES"/>
      </w:rPr>
    </w:lvl>
    <w:lvl w:ilvl="6">
      <w:start w:val="0"/>
      <w:numFmt w:val="bullet"/>
      <w:lvlText w:val="•"/>
      <w:lvlJc w:val="left"/>
      <w:pPr>
        <w:ind w:left="5330" w:hanging="253"/>
      </w:pPr>
      <w:rPr>
        <w:rFonts w:hint="default"/>
        <w:lang w:val="es-ES" w:eastAsia="es-ES" w:bidi="es-ES"/>
      </w:rPr>
    </w:lvl>
    <w:lvl w:ilvl="7">
      <w:start w:val="0"/>
      <w:numFmt w:val="bullet"/>
      <w:lvlText w:val="•"/>
      <w:lvlJc w:val="left"/>
      <w:pPr>
        <w:ind w:left="6072" w:hanging="253"/>
      </w:pPr>
      <w:rPr>
        <w:rFonts w:hint="default"/>
        <w:lang w:val="es-ES" w:eastAsia="es-ES" w:bidi="es-ES"/>
      </w:rPr>
    </w:lvl>
    <w:lvl w:ilvl="8">
      <w:start w:val="0"/>
      <w:numFmt w:val="bullet"/>
      <w:lvlText w:val="•"/>
      <w:lvlJc w:val="left"/>
      <w:pPr>
        <w:ind w:left="6814" w:hanging="253"/>
      </w:pPr>
      <w:rPr>
        <w:rFonts w:hint="default"/>
        <w:lang w:val="es-ES" w:eastAsia="es-ES" w:bidi="es-ES"/>
      </w:rPr>
    </w:lvl>
  </w:abstractNum>
  <w:abstractNum w:abstractNumId="213">
    <w:multiLevelType w:val="hybridMultilevel"/>
    <w:lvl w:ilvl="0">
      <w:start w:val="2"/>
      <w:numFmt w:val="upperRoman"/>
      <w:lvlText w:val="%1."/>
      <w:lvlJc w:val="left"/>
      <w:pPr>
        <w:ind w:left="226" w:hanging="172"/>
        <w:jc w:val="right"/>
      </w:pPr>
      <w:rPr>
        <w:rFonts w:hint="default" w:ascii="Arial" w:hAnsi="Arial" w:eastAsia="Arial" w:cs="Arial"/>
        <w:w w:val="102"/>
        <w:sz w:val="15"/>
        <w:szCs w:val="15"/>
        <w:lang w:val="es-ES" w:eastAsia="es-ES" w:bidi="es-ES"/>
      </w:rPr>
    </w:lvl>
    <w:lvl w:ilvl="1">
      <w:start w:val="1"/>
      <w:numFmt w:val="upperRoman"/>
      <w:lvlText w:val="%2."/>
      <w:lvlJc w:val="left"/>
      <w:pPr>
        <w:ind w:left="1208" w:hanging="129"/>
        <w:jc w:val="right"/>
      </w:pPr>
      <w:rPr>
        <w:rFonts w:hint="default" w:ascii="Arial" w:hAnsi="Arial" w:eastAsia="Arial" w:cs="Arial"/>
        <w:w w:val="102"/>
        <w:sz w:val="15"/>
        <w:szCs w:val="15"/>
        <w:lang w:val="es-ES" w:eastAsia="es-ES" w:bidi="es-ES"/>
      </w:rPr>
    </w:lvl>
    <w:lvl w:ilvl="2">
      <w:start w:val="0"/>
      <w:numFmt w:val="bullet"/>
      <w:lvlText w:val="•"/>
      <w:lvlJc w:val="left"/>
      <w:pPr>
        <w:ind w:left="1980" w:hanging="129"/>
      </w:pPr>
      <w:rPr>
        <w:rFonts w:hint="default"/>
        <w:lang w:val="es-ES" w:eastAsia="es-ES" w:bidi="es-ES"/>
      </w:rPr>
    </w:lvl>
    <w:lvl w:ilvl="3">
      <w:start w:val="0"/>
      <w:numFmt w:val="bullet"/>
      <w:lvlText w:val="•"/>
      <w:lvlJc w:val="left"/>
      <w:pPr>
        <w:ind w:left="2760" w:hanging="129"/>
      </w:pPr>
      <w:rPr>
        <w:rFonts w:hint="default"/>
        <w:lang w:val="es-ES" w:eastAsia="es-ES" w:bidi="es-ES"/>
      </w:rPr>
    </w:lvl>
    <w:lvl w:ilvl="4">
      <w:start w:val="0"/>
      <w:numFmt w:val="bullet"/>
      <w:lvlText w:val="•"/>
      <w:lvlJc w:val="left"/>
      <w:pPr>
        <w:ind w:left="3540" w:hanging="129"/>
      </w:pPr>
      <w:rPr>
        <w:rFonts w:hint="default"/>
        <w:lang w:val="es-ES" w:eastAsia="es-ES" w:bidi="es-ES"/>
      </w:rPr>
    </w:lvl>
    <w:lvl w:ilvl="5">
      <w:start w:val="0"/>
      <w:numFmt w:val="bullet"/>
      <w:lvlText w:val="•"/>
      <w:lvlJc w:val="left"/>
      <w:pPr>
        <w:ind w:left="4320" w:hanging="129"/>
      </w:pPr>
      <w:rPr>
        <w:rFonts w:hint="default"/>
        <w:lang w:val="es-ES" w:eastAsia="es-ES" w:bidi="es-ES"/>
      </w:rPr>
    </w:lvl>
    <w:lvl w:ilvl="6">
      <w:start w:val="0"/>
      <w:numFmt w:val="bullet"/>
      <w:lvlText w:val="•"/>
      <w:lvlJc w:val="left"/>
      <w:pPr>
        <w:ind w:left="5101" w:hanging="129"/>
      </w:pPr>
      <w:rPr>
        <w:rFonts w:hint="default"/>
        <w:lang w:val="es-ES" w:eastAsia="es-ES" w:bidi="es-ES"/>
      </w:rPr>
    </w:lvl>
    <w:lvl w:ilvl="7">
      <w:start w:val="0"/>
      <w:numFmt w:val="bullet"/>
      <w:lvlText w:val="•"/>
      <w:lvlJc w:val="left"/>
      <w:pPr>
        <w:ind w:left="5881" w:hanging="129"/>
      </w:pPr>
      <w:rPr>
        <w:rFonts w:hint="default"/>
        <w:lang w:val="es-ES" w:eastAsia="es-ES" w:bidi="es-ES"/>
      </w:rPr>
    </w:lvl>
    <w:lvl w:ilvl="8">
      <w:start w:val="0"/>
      <w:numFmt w:val="bullet"/>
      <w:lvlText w:val="•"/>
      <w:lvlJc w:val="left"/>
      <w:pPr>
        <w:ind w:left="6661" w:hanging="129"/>
      </w:pPr>
      <w:rPr>
        <w:rFonts w:hint="default"/>
        <w:lang w:val="es-ES" w:eastAsia="es-ES" w:bidi="es-ES"/>
      </w:rPr>
    </w:lvl>
  </w:abstractNum>
  <w:abstractNum w:abstractNumId="212">
    <w:multiLevelType w:val="hybridMultilevel"/>
    <w:lvl w:ilvl="0">
      <w:start w:val="20"/>
      <w:numFmt w:val="upperRoman"/>
      <w:lvlText w:val="%1."/>
      <w:lvlJc w:val="left"/>
      <w:pPr>
        <w:ind w:left="226" w:hanging="295"/>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752" w:hanging="295"/>
      </w:pPr>
      <w:rPr>
        <w:rFonts w:hint="default"/>
        <w:lang w:val="es-ES" w:eastAsia="es-ES" w:bidi="es-ES"/>
      </w:rPr>
    </w:lvl>
    <w:lvl w:ilvl="2">
      <w:start w:val="0"/>
      <w:numFmt w:val="bullet"/>
      <w:lvlText w:val="•"/>
      <w:lvlJc w:val="left"/>
      <w:pPr>
        <w:ind w:left="1285" w:hanging="295"/>
      </w:pPr>
      <w:rPr>
        <w:rFonts w:hint="default"/>
        <w:lang w:val="es-ES" w:eastAsia="es-ES" w:bidi="es-ES"/>
      </w:rPr>
    </w:lvl>
    <w:lvl w:ilvl="3">
      <w:start w:val="0"/>
      <w:numFmt w:val="bullet"/>
      <w:lvlText w:val="•"/>
      <w:lvlJc w:val="left"/>
      <w:pPr>
        <w:ind w:left="1818" w:hanging="295"/>
      </w:pPr>
      <w:rPr>
        <w:rFonts w:hint="default"/>
        <w:lang w:val="es-ES" w:eastAsia="es-ES" w:bidi="es-ES"/>
      </w:rPr>
    </w:lvl>
    <w:lvl w:ilvl="4">
      <w:start w:val="0"/>
      <w:numFmt w:val="bullet"/>
      <w:lvlText w:val="•"/>
      <w:lvlJc w:val="left"/>
      <w:pPr>
        <w:ind w:left="2351" w:hanging="295"/>
      </w:pPr>
      <w:rPr>
        <w:rFonts w:hint="default"/>
        <w:lang w:val="es-ES" w:eastAsia="es-ES" w:bidi="es-ES"/>
      </w:rPr>
    </w:lvl>
    <w:lvl w:ilvl="5">
      <w:start w:val="0"/>
      <w:numFmt w:val="bullet"/>
      <w:lvlText w:val="•"/>
      <w:lvlJc w:val="left"/>
      <w:pPr>
        <w:ind w:left="2884" w:hanging="295"/>
      </w:pPr>
      <w:rPr>
        <w:rFonts w:hint="default"/>
        <w:lang w:val="es-ES" w:eastAsia="es-ES" w:bidi="es-ES"/>
      </w:rPr>
    </w:lvl>
    <w:lvl w:ilvl="6">
      <w:start w:val="0"/>
      <w:numFmt w:val="bullet"/>
      <w:lvlText w:val="•"/>
      <w:lvlJc w:val="left"/>
      <w:pPr>
        <w:ind w:left="3416" w:hanging="295"/>
      </w:pPr>
      <w:rPr>
        <w:rFonts w:hint="default"/>
        <w:lang w:val="es-ES" w:eastAsia="es-ES" w:bidi="es-ES"/>
      </w:rPr>
    </w:lvl>
    <w:lvl w:ilvl="7">
      <w:start w:val="0"/>
      <w:numFmt w:val="bullet"/>
      <w:lvlText w:val="•"/>
      <w:lvlJc w:val="left"/>
      <w:pPr>
        <w:ind w:left="3949" w:hanging="295"/>
      </w:pPr>
      <w:rPr>
        <w:rFonts w:hint="default"/>
        <w:lang w:val="es-ES" w:eastAsia="es-ES" w:bidi="es-ES"/>
      </w:rPr>
    </w:lvl>
    <w:lvl w:ilvl="8">
      <w:start w:val="0"/>
      <w:numFmt w:val="bullet"/>
      <w:lvlText w:val="•"/>
      <w:lvlJc w:val="left"/>
      <w:pPr>
        <w:ind w:left="4482" w:hanging="295"/>
      </w:pPr>
      <w:rPr>
        <w:rFonts w:hint="default"/>
        <w:lang w:val="es-ES" w:eastAsia="es-ES" w:bidi="es-ES"/>
      </w:rPr>
    </w:lvl>
  </w:abstractNum>
  <w:abstractNum w:abstractNumId="211">
    <w:multiLevelType w:val="hybridMultilevel"/>
    <w:lvl w:ilvl="0">
      <w:start w:val="26"/>
      <w:numFmt w:val="upperRoman"/>
      <w:lvlText w:val="%1."/>
      <w:lvlJc w:val="left"/>
      <w:pPr>
        <w:ind w:left="302" w:hanging="466"/>
        <w:jc w:val="left"/>
      </w:pPr>
      <w:rPr>
        <w:rFonts w:hint="default" w:ascii="Arial" w:hAnsi="Arial" w:eastAsia="Arial" w:cs="Arial"/>
        <w:w w:val="102"/>
        <w:sz w:val="15"/>
        <w:szCs w:val="15"/>
        <w:lang w:val="es-ES" w:eastAsia="es-ES" w:bidi="es-ES"/>
      </w:rPr>
    </w:lvl>
    <w:lvl w:ilvl="1">
      <w:start w:val="0"/>
      <w:numFmt w:val="bullet"/>
      <w:lvlText w:val="•"/>
      <w:lvlJc w:val="left"/>
      <w:pPr>
        <w:ind w:left="1099" w:hanging="466"/>
      </w:pPr>
      <w:rPr>
        <w:rFonts w:hint="default"/>
        <w:lang w:val="es-ES" w:eastAsia="es-ES" w:bidi="es-ES"/>
      </w:rPr>
    </w:lvl>
    <w:lvl w:ilvl="2">
      <w:start w:val="0"/>
      <w:numFmt w:val="bullet"/>
      <w:lvlText w:val="•"/>
      <w:lvlJc w:val="left"/>
      <w:pPr>
        <w:ind w:left="1899" w:hanging="466"/>
      </w:pPr>
      <w:rPr>
        <w:rFonts w:hint="default"/>
        <w:lang w:val="es-ES" w:eastAsia="es-ES" w:bidi="es-ES"/>
      </w:rPr>
    </w:lvl>
    <w:lvl w:ilvl="3">
      <w:start w:val="0"/>
      <w:numFmt w:val="bullet"/>
      <w:lvlText w:val="•"/>
      <w:lvlJc w:val="left"/>
      <w:pPr>
        <w:ind w:left="2699" w:hanging="466"/>
      </w:pPr>
      <w:rPr>
        <w:rFonts w:hint="default"/>
        <w:lang w:val="es-ES" w:eastAsia="es-ES" w:bidi="es-ES"/>
      </w:rPr>
    </w:lvl>
    <w:lvl w:ilvl="4">
      <w:start w:val="0"/>
      <w:numFmt w:val="bullet"/>
      <w:lvlText w:val="•"/>
      <w:lvlJc w:val="left"/>
      <w:pPr>
        <w:ind w:left="3498" w:hanging="466"/>
      </w:pPr>
      <w:rPr>
        <w:rFonts w:hint="default"/>
        <w:lang w:val="es-ES" w:eastAsia="es-ES" w:bidi="es-ES"/>
      </w:rPr>
    </w:lvl>
    <w:lvl w:ilvl="5">
      <w:start w:val="0"/>
      <w:numFmt w:val="bullet"/>
      <w:lvlText w:val="•"/>
      <w:lvlJc w:val="left"/>
      <w:pPr>
        <w:ind w:left="4298" w:hanging="466"/>
      </w:pPr>
      <w:rPr>
        <w:rFonts w:hint="default"/>
        <w:lang w:val="es-ES" w:eastAsia="es-ES" w:bidi="es-ES"/>
      </w:rPr>
    </w:lvl>
    <w:lvl w:ilvl="6">
      <w:start w:val="0"/>
      <w:numFmt w:val="bullet"/>
      <w:lvlText w:val="•"/>
      <w:lvlJc w:val="left"/>
      <w:pPr>
        <w:ind w:left="5098" w:hanging="466"/>
      </w:pPr>
      <w:rPr>
        <w:rFonts w:hint="default"/>
        <w:lang w:val="es-ES" w:eastAsia="es-ES" w:bidi="es-ES"/>
      </w:rPr>
    </w:lvl>
    <w:lvl w:ilvl="7">
      <w:start w:val="0"/>
      <w:numFmt w:val="bullet"/>
      <w:lvlText w:val="•"/>
      <w:lvlJc w:val="left"/>
      <w:pPr>
        <w:ind w:left="5898" w:hanging="466"/>
      </w:pPr>
      <w:rPr>
        <w:rFonts w:hint="default"/>
        <w:lang w:val="es-ES" w:eastAsia="es-ES" w:bidi="es-ES"/>
      </w:rPr>
    </w:lvl>
    <w:lvl w:ilvl="8">
      <w:start w:val="0"/>
      <w:numFmt w:val="bullet"/>
      <w:lvlText w:val="•"/>
      <w:lvlJc w:val="left"/>
      <w:pPr>
        <w:ind w:left="6697" w:hanging="466"/>
      </w:pPr>
      <w:rPr>
        <w:rFonts w:hint="default"/>
        <w:lang w:val="es-ES" w:eastAsia="es-ES" w:bidi="es-ES"/>
      </w:rPr>
    </w:lvl>
  </w:abstractNum>
  <w:abstractNum w:abstractNumId="210">
    <w:multiLevelType w:val="hybridMultilevel"/>
    <w:lvl w:ilvl="0">
      <w:start w:val="13"/>
      <w:numFmt w:val="upperRoman"/>
      <w:lvlText w:val="%1."/>
      <w:lvlJc w:val="left"/>
      <w:pPr>
        <w:ind w:left="226" w:hanging="407"/>
        <w:jc w:val="right"/>
      </w:pPr>
      <w:rPr>
        <w:rFonts w:hint="default" w:ascii="Arial" w:hAnsi="Arial" w:eastAsia="Arial" w:cs="Arial"/>
        <w:spacing w:val="-1"/>
        <w:w w:val="102"/>
        <w:sz w:val="15"/>
        <w:szCs w:val="15"/>
        <w:lang w:val="es-ES" w:eastAsia="es-ES" w:bidi="es-ES"/>
      </w:rPr>
    </w:lvl>
    <w:lvl w:ilvl="1">
      <w:start w:val="0"/>
      <w:numFmt w:val="bullet"/>
      <w:lvlText w:val="•"/>
      <w:lvlJc w:val="left"/>
      <w:pPr>
        <w:ind w:left="752" w:hanging="407"/>
      </w:pPr>
      <w:rPr>
        <w:rFonts w:hint="default"/>
        <w:lang w:val="es-ES" w:eastAsia="es-ES" w:bidi="es-ES"/>
      </w:rPr>
    </w:lvl>
    <w:lvl w:ilvl="2">
      <w:start w:val="0"/>
      <w:numFmt w:val="bullet"/>
      <w:lvlText w:val="•"/>
      <w:lvlJc w:val="left"/>
      <w:pPr>
        <w:ind w:left="1285" w:hanging="407"/>
      </w:pPr>
      <w:rPr>
        <w:rFonts w:hint="default"/>
        <w:lang w:val="es-ES" w:eastAsia="es-ES" w:bidi="es-ES"/>
      </w:rPr>
    </w:lvl>
    <w:lvl w:ilvl="3">
      <w:start w:val="0"/>
      <w:numFmt w:val="bullet"/>
      <w:lvlText w:val="•"/>
      <w:lvlJc w:val="left"/>
      <w:pPr>
        <w:ind w:left="1818" w:hanging="407"/>
      </w:pPr>
      <w:rPr>
        <w:rFonts w:hint="default"/>
        <w:lang w:val="es-ES" w:eastAsia="es-ES" w:bidi="es-ES"/>
      </w:rPr>
    </w:lvl>
    <w:lvl w:ilvl="4">
      <w:start w:val="0"/>
      <w:numFmt w:val="bullet"/>
      <w:lvlText w:val="•"/>
      <w:lvlJc w:val="left"/>
      <w:pPr>
        <w:ind w:left="2351" w:hanging="407"/>
      </w:pPr>
      <w:rPr>
        <w:rFonts w:hint="default"/>
        <w:lang w:val="es-ES" w:eastAsia="es-ES" w:bidi="es-ES"/>
      </w:rPr>
    </w:lvl>
    <w:lvl w:ilvl="5">
      <w:start w:val="0"/>
      <w:numFmt w:val="bullet"/>
      <w:lvlText w:val="•"/>
      <w:lvlJc w:val="left"/>
      <w:pPr>
        <w:ind w:left="2884" w:hanging="407"/>
      </w:pPr>
      <w:rPr>
        <w:rFonts w:hint="default"/>
        <w:lang w:val="es-ES" w:eastAsia="es-ES" w:bidi="es-ES"/>
      </w:rPr>
    </w:lvl>
    <w:lvl w:ilvl="6">
      <w:start w:val="0"/>
      <w:numFmt w:val="bullet"/>
      <w:lvlText w:val="•"/>
      <w:lvlJc w:val="left"/>
      <w:pPr>
        <w:ind w:left="3416" w:hanging="407"/>
      </w:pPr>
      <w:rPr>
        <w:rFonts w:hint="default"/>
        <w:lang w:val="es-ES" w:eastAsia="es-ES" w:bidi="es-ES"/>
      </w:rPr>
    </w:lvl>
    <w:lvl w:ilvl="7">
      <w:start w:val="0"/>
      <w:numFmt w:val="bullet"/>
      <w:lvlText w:val="•"/>
      <w:lvlJc w:val="left"/>
      <w:pPr>
        <w:ind w:left="3949" w:hanging="407"/>
      </w:pPr>
      <w:rPr>
        <w:rFonts w:hint="default"/>
        <w:lang w:val="es-ES" w:eastAsia="es-ES" w:bidi="es-ES"/>
      </w:rPr>
    </w:lvl>
    <w:lvl w:ilvl="8">
      <w:start w:val="0"/>
      <w:numFmt w:val="bullet"/>
      <w:lvlText w:val="•"/>
      <w:lvlJc w:val="left"/>
      <w:pPr>
        <w:ind w:left="4482" w:hanging="407"/>
      </w:pPr>
      <w:rPr>
        <w:rFonts w:hint="default"/>
        <w:lang w:val="es-ES" w:eastAsia="es-ES" w:bidi="es-ES"/>
      </w:rPr>
    </w:lvl>
  </w:abstractNum>
  <w:abstractNum w:abstractNumId="209">
    <w:multiLevelType w:val="hybridMultilevel"/>
    <w:lvl w:ilvl="0">
      <w:start w:val="1"/>
      <w:numFmt w:val="lowerLetter"/>
      <w:lvlText w:val="%1)"/>
      <w:lvlJc w:val="left"/>
      <w:pPr>
        <w:ind w:left="727"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02" w:hanging="180"/>
      </w:pPr>
      <w:rPr>
        <w:rFonts w:hint="default"/>
        <w:lang w:val="es-ES" w:eastAsia="es-ES" w:bidi="es-ES"/>
      </w:rPr>
    </w:lvl>
    <w:lvl w:ilvl="2">
      <w:start w:val="0"/>
      <w:numFmt w:val="bullet"/>
      <w:lvlText w:val="•"/>
      <w:lvlJc w:val="left"/>
      <w:pPr>
        <w:ind w:left="1685" w:hanging="180"/>
      </w:pPr>
      <w:rPr>
        <w:rFonts w:hint="default"/>
        <w:lang w:val="es-ES" w:eastAsia="es-ES" w:bidi="es-ES"/>
      </w:rPr>
    </w:lvl>
    <w:lvl w:ilvl="3">
      <w:start w:val="0"/>
      <w:numFmt w:val="bullet"/>
      <w:lvlText w:val="•"/>
      <w:lvlJc w:val="left"/>
      <w:pPr>
        <w:ind w:left="2168" w:hanging="180"/>
      </w:pPr>
      <w:rPr>
        <w:rFonts w:hint="default"/>
        <w:lang w:val="es-ES" w:eastAsia="es-ES" w:bidi="es-ES"/>
      </w:rPr>
    </w:lvl>
    <w:lvl w:ilvl="4">
      <w:start w:val="0"/>
      <w:numFmt w:val="bullet"/>
      <w:lvlText w:val="•"/>
      <w:lvlJc w:val="left"/>
      <w:pPr>
        <w:ind w:left="2651" w:hanging="180"/>
      </w:pPr>
      <w:rPr>
        <w:rFonts w:hint="default"/>
        <w:lang w:val="es-ES" w:eastAsia="es-ES" w:bidi="es-ES"/>
      </w:rPr>
    </w:lvl>
    <w:lvl w:ilvl="5">
      <w:start w:val="0"/>
      <w:numFmt w:val="bullet"/>
      <w:lvlText w:val="•"/>
      <w:lvlJc w:val="left"/>
      <w:pPr>
        <w:ind w:left="3134" w:hanging="180"/>
      </w:pPr>
      <w:rPr>
        <w:rFonts w:hint="default"/>
        <w:lang w:val="es-ES" w:eastAsia="es-ES" w:bidi="es-ES"/>
      </w:rPr>
    </w:lvl>
    <w:lvl w:ilvl="6">
      <w:start w:val="0"/>
      <w:numFmt w:val="bullet"/>
      <w:lvlText w:val="•"/>
      <w:lvlJc w:val="left"/>
      <w:pPr>
        <w:ind w:left="3616" w:hanging="180"/>
      </w:pPr>
      <w:rPr>
        <w:rFonts w:hint="default"/>
        <w:lang w:val="es-ES" w:eastAsia="es-ES" w:bidi="es-ES"/>
      </w:rPr>
    </w:lvl>
    <w:lvl w:ilvl="7">
      <w:start w:val="0"/>
      <w:numFmt w:val="bullet"/>
      <w:lvlText w:val="•"/>
      <w:lvlJc w:val="left"/>
      <w:pPr>
        <w:ind w:left="4099" w:hanging="180"/>
      </w:pPr>
      <w:rPr>
        <w:rFonts w:hint="default"/>
        <w:lang w:val="es-ES" w:eastAsia="es-ES" w:bidi="es-ES"/>
      </w:rPr>
    </w:lvl>
    <w:lvl w:ilvl="8">
      <w:start w:val="0"/>
      <w:numFmt w:val="bullet"/>
      <w:lvlText w:val="•"/>
      <w:lvlJc w:val="left"/>
      <w:pPr>
        <w:ind w:left="4582" w:hanging="180"/>
      </w:pPr>
      <w:rPr>
        <w:rFonts w:hint="default"/>
        <w:lang w:val="es-ES" w:eastAsia="es-ES" w:bidi="es-ES"/>
      </w:rPr>
    </w:lvl>
  </w:abstractNum>
  <w:abstractNum w:abstractNumId="208">
    <w:multiLevelType w:val="hybridMultilevel"/>
    <w:lvl w:ilvl="0">
      <w:start w:val="1"/>
      <w:numFmt w:val="upperRoman"/>
      <w:lvlText w:val="%1."/>
      <w:lvlJc w:val="left"/>
      <w:pPr>
        <w:ind w:left="150" w:hanging="151"/>
        <w:jc w:val="right"/>
      </w:pPr>
      <w:rPr>
        <w:rFonts w:hint="default" w:ascii="Arial" w:hAnsi="Arial" w:eastAsia="Arial" w:cs="Arial"/>
        <w:w w:val="102"/>
        <w:sz w:val="15"/>
        <w:szCs w:val="15"/>
        <w:lang w:val="es-ES" w:eastAsia="es-ES" w:bidi="es-ES"/>
      </w:rPr>
    </w:lvl>
    <w:lvl w:ilvl="1">
      <w:start w:val="0"/>
      <w:numFmt w:val="bullet"/>
      <w:lvlText w:val="•"/>
      <w:lvlJc w:val="left"/>
      <w:pPr>
        <w:ind w:left="966" w:hanging="151"/>
      </w:pPr>
      <w:rPr>
        <w:rFonts w:hint="default"/>
        <w:lang w:val="es-ES" w:eastAsia="es-ES" w:bidi="es-ES"/>
      </w:rPr>
    </w:lvl>
    <w:lvl w:ilvl="2">
      <w:start w:val="0"/>
      <w:numFmt w:val="bullet"/>
      <w:lvlText w:val="•"/>
      <w:lvlJc w:val="left"/>
      <w:pPr>
        <w:ind w:left="1772" w:hanging="151"/>
      </w:pPr>
      <w:rPr>
        <w:rFonts w:hint="default"/>
        <w:lang w:val="es-ES" w:eastAsia="es-ES" w:bidi="es-ES"/>
      </w:rPr>
    </w:lvl>
    <w:lvl w:ilvl="3">
      <w:start w:val="0"/>
      <w:numFmt w:val="bullet"/>
      <w:lvlText w:val="•"/>
      <w:lvlJc w:val="left"/>
      <w:pPr>
        <w:ind w:left="2578" w:hanging="151"/>
      </w:pPr>
      <w:rPr>
        <w:rFonts w:hint="default"/>
        <w:lang w:val="es-ES" w:eastAsia="es-ES" w:bidi="es-ES"/>
      </w:rPr>
    </w:lvl>
    <w:lvl w:ilvl="4">
      <w:start w:val="0"/>
      <w:numFmt w:val="bullet"/>
      <w:lvlText w:val="•"/>
      <w:lvlJc w:val="left"/>
      <w:pPr>
        <w:ind w:left="3384" w:hanging="151"/>
      </w:pPr>
      <w:rPr>
        <w:rFonts w:hint="default"/>
        <w:lang w:val="es-ES" w:eastAsia="es-ES" w:bidi="es-ES"/>
      </w:rPr>
    </w:lvl>
    <w:lvl w:ilvl="5">
      <w:start w:val="0"/>
      <w:numFmt w:val="bullet"/>
      <w:lvlText w:val="•"/>
      <w:lvlJc w:val="left"/>
      <w:pPr>
        <w:ind w:left="4191" w:hanging="151"/>
      </w:pPr>
      <w:rPr>
        <w:rFonts w:hint="default"/>
        <w:lang w:val="es-ES" w:eastAsia="es-ES" w:bidi="es-ES"/>
      </w:rPr>
    </w:lvl>
    <w:lvl w:ilvl="6">
      <w:start w:val="0"/>
      <w:numFmt w:val="bullet"/>
      <w:lvlText w:val="•"/>
      <w:lvlJc w:val="left"/>
      <w:pPr>
        <w:ind w:left="4997" w:hanging="151"/>
      </w:pPr>
      <w:rPr>
        <w:rFonts w:hint="default"/>
        <w:lang w:val="es-ES" w:eastAsia="es-ES" w:bidi="es-ES"/>
      </w:rPr>
    </w:lvl>
    <w:lvl w:ilvl="7">
      <w:start w:val="0"/>
      <w:numFmt w:val="bullet"/>
      <w:lvlText w:val="•"/>
      <w:lvlJc w:val="left"/>
      <w:pPr>
        <w:ind w:left="5803" w:hanging="151"/>
      </w:pPr>
      <w:rPr>
        <w:rFonts w:hint="default"/>
        <w:lang w:val="es-ES" w:eastAsia="es-ES" w:bidi="es-ES"/>
      </w:rPr>
    </w:lvl>
    <w:lvl w:ilvl="8">
      <w:start w:val="0"/>
      <w:numFmt w:val="bullet"/>
      <w:lvlText w:val="•"/>
      <w:lvlJc w:val="left"/>
      <w:pPr>
        <w:ind w:left="6609" w:hanging="151"/>
      </w:pPr>
      <w:rPr>
        <w:rFonts w:hint="default"/>
        <w:lang w:val="es-ES" w:eastAsia="es-ES" w:bidi="es-ES"/>
      </w:rPr>
    </w:lvl>
  </w:abstractNum>
  <w:abstractNum w:abstractNumId="206">
    <w:multiLevelType w:val="hybridMultilevel"/>
    <w:lvl w:ilvl="0">
      <w:start w:val="31"/>
      <w:numFmt w:val="upperRoman"/>
      <w:lvlText w:val="%1."/>
      <w:lvlJc w:val="left"/>
      <w:pPr>
        <w:ind w:left="150" w:hanging="498"/>
        <w:jc w:val="left"/>
      </w:pPr>
      <w:rPr>
        <w:rFonts w:hint="default" w:ascii="Arial" w:hAnsi="Arial" w:eastAsia="Arial" w:cs="Arial"/>
        <w:w w:val="102"/>
        <w:sz w:val="15"/>
        <w:szCs w:val="15"/>
        <w:lang w:val="es-ES" w:eastAsia="es-ES" w:bidi="es-ES"/>
      </w:rPr>
    </w:lvl>
    <w:lvl w:ilvl="1">
      <w:start w:val="0"/>
      <w:numFmt w:val="bullet"/>
      <w:lvlText w:val="•"/>
      <w:lvlJc w:val="left"/>
      <w:pPr>
        <w:ind w:left="966" w:hanging="498"/>
      </w:pPr>
      <w:rPr>
        <w:rFonts w:hint="default"/>
        <w:lang w:val="es-ES" w:eastAsia="es-ES" w:bidi="es-ES"/>
      </w:rPr>
    </w:lvl>
    <w:lvl w:ilvl="2">
      <w:start w:val="0"/>
      <w:numFmt w:val="bullet"/>
      <w:lvlText w:val="•"/>
      <w:lvlJc w:val="left"/>
      <w:pPr>
        <w:ind w:left="1772" w:hanging="498"/>
      </w:pPr>
      <w:rPr>
        <w:rFonts w:hint="default"/>
        <w:lang w:val="es-ES" w:eastAsia="es-ES" w:bidi="es-ES"/>
      </w:rPr>
    </w:lvl>
    <w:lvl w:ilvl="3">
      <w:start w:val="0"/>
      <w:numFmt w:val="bullet"/>
      <w:lvlText w:val="•"/>
      <w:lvlJc w:val="left"/>
      <w:pPr>
        <w:ind w:left="2578" w:hanging="498"/>
      </w:pPr>
      <w:rPr>
        <w:rFonts w:hint="default"/>
        <w:lang w:val="es-ES" w:eastAsia="es-ES" w:bidi="es-ES"/>
      </w:rPr>
    </w:lvl>
    <w:lvl w:ilvl="4">
      <w:start w:val="0"/>
      <w:numFmt w:val="bullet"/>
      <w:lvlText w:val="•"/>
      <w:lvlJc w:val="left"/>
      <w:pPr>
        <w:ind w:left="3384" w:hanging="498"/>
      </w:pPr>
      <w:rPr>
        <w:rFonts w:hint="default"/>
        <w:lang w:val="es-ES" w:eastAsia="es-ES" w:bidi="es-ES"/>
      </w:rPr>
    </w:lvl>
    <w:lvl w:ilvl="5">
      <w:start w:val="0"/>
      <w:numFmt w:val="bullet"/>
      <w:lvlText w:val="•"/>
      <w:lvlJc w:val="left"/>
      <w:pPr>
        <w:ind w:left="4191" w:hanging="498"/>
      </w:pPr>
      <w:rPr>
        <w:rFonts w:hint="default"/>
        <w:lang w:val="es-ES" w:eastAsia="es-ES" w:bidi="es-ES"/>
      </w:rPr>
    </w:lvl>
    <w:lvl w:ilvl="6">
      <w:start w:val="0"/>
      <w:numFmt w:val="bullet"/>
      <w:lvlText w:val="•"/>
      <w:lvlJc w:val="left"/>
      <w:pPr>
        <w:ind w:left="4997" w:hanging="498"/>
      </w:pPr>
      <w:rPr>
        <w:rFonts w:hint="default"/>
        <w:lang w:val="es-ES" w:eastAsia="es-ES" w:bidi="es-ES"/>
      </w:rPr>
    </w:lvl>
    <w:lvl w:ilvl="7">
      <w:start w:val="0"/>
      <w:numFmt w:val="bullet"/>
      <w:lvlText w:val="•"/>
      <w:lvlJc w:val="left"/>
      <w:pPr>
        <w:ind w:left="5803" w:hanging="498"/>
      </w:pPr>
      <w:rPr>
        <w:rFonts w:hint="default"/>
        <w:lang w:val="es-ES" w:eastAsia="es-ES" w:bidi="es-ES"/>
      </w:rPr>
    </w:lvl>
    <w:lvl w:ilvl="8">
      <w:start w:val="0"/>
      <w:numFmt w:val="bullet"/>
      <w:lvlText w:val="•"/>
      <w:lvlJc w:val="left"/>
      <w:pPr>
        <w:ind w:left="6609" w:hanging="498"/>
      </w:pPr>
      <w:rPr>
        <w:rFonts w:hint="default"/>
        <w:lang w:val="es-ES" w:eastAsia="es-ES" w:bidi="es-ES"/>
      </w:rPr>
    </w:lvl>
  </w:abstractNum>
  <w:abstractNum w:abstractNumId="205">
    <w:multiLevelType w:val="hybridMultilevel"/>
    <w:lvl w:ilvl="0">
      <w:start w:val="19"/>
      <w:numFmt w:val="upperRoman"/>
      <w:lvlText w:val="%1."/>
      <w:lvlJc w:val="left"/>
      <w:pPr>
        <w:ind w:left="150" w:hanging="479"/>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698" w:hanging="479"/>
      </w:pPr>
      <w:rPr>
        <w:rFonts w:hint="default"/>
        <w:lang w:val="es-ES" w:eastAsia="es-ES" w:bidi="es-ES"/>
      </w:rPr>
    </w:lvl>
    <w:lvl w:ilvl="2">
      <w:start w:val="0"/>
      <w:numFmt w:val="bullet"/>
      <w:lvlText w:val="•"/>
      <w:lvlJc w:val="left"/>
      <w:pPr>
        <w:ind w:left="1237" w:hanging="479"/>
      </w:pPr>
      <w:rPr>
        <w:rFonts w:hint="default"/>
        <w:lang w:val="es-ES" w:eastAsia="es-ES" w:bidi="es-ES"/>
      </w:rPr>
    </w:lvl>
    <w:lvl w:ilvl="3">
      <w:start w:val="0"/>
      <w:numFmt w:val="bullet"/>
      <w:lvlText w:val="•"/>
      <w:lvlJc w:val="left"/>
      <w:pPr>
        <w:ind w:left="1776" w:hanging="479"/>
      </w:pPr>
      <w:rPr>
        <w:rFonts w:hint="default"/>
        <w:lang w:val="es-ES" w:eastAsia="es-ES" w:bidi="es-ES"/>
      </w:rPr>
    </w:lvl>
    <w:lvl w:ilvl="4">
      <w:start w:val="0"/>
      <w:numFmt w:val="bullet"/>
      <w:lvlText w:val="•"/>
      <w:lvlJc w:val="left"/>
      <w:pPr>
        <w:ind w:left="2315" w:hanging="479"/>
      </w:pPr>
      <w:rPr>
        <w:rFonts w:hint="default"/>
        <w:lang w:val="es-ES" w:eastAsia="es-ES" w:bidi="es-ES"/>
      </w:rPr>
    </w:lvl>
    <w:lvl w:ilvl="5">
      <w:start w:val="0"/>
      <w:numFmt w:val="bullet"/>
      <w:lvlText w:val="•"/>
      <w:lvlJc w:val="left"/>
      <w:pPr>
        <w:ind w:left="2854" w:hanging="479"/>
      </w:pPr>
      <w:rPr>
        <w:rFonts w:hint="default"/>
        <w:lang w:val="es-ES" w:eastAsia="es-ES" w:bidi="es-ES"/>
      </w:rPr>
    </w:lvl>
    <w:lvl w:ilvl="6">
      <w:start w:val="0"/>
      <w:numFmt w:val="bullet"/>
      <w:lvlText w:val="•"/>
      <w:lvlJc w:val="left"/>
      <w:pPr>
        <w:ind w:left="3393" w:hanging="479"/>
      </w:pPr>
      <w:rPr>
        <w:rFonts w:hint="default"/>
        <w:lang w:val="es-ES" w:eastAsia="es-ES" w:bidi="es-ES"/>
      </w:rPr>
    </w:lvl>
    <w:lvl w:ilvl="7">
      <w:start w:val="0"/>
      <w:numFmt w:val="bullet"/>
      <w:lvlText w:val="•"/>
      <w:lvlJc w:val="left"/>
      <w:pPr>
        <w:ind w:left="3932" w:hanging="479"/>
      </w:pPr>
      <w:rPr>
        <w:rFonts w:hint="default"/>
        <w:lang w:val="es-ES" w:eastAsia="es-ES" w:bidi="es-ES"/>
      </w:rPr>
    </w:lvl>
    <w:lvl w:ilvl="8">
      <w:start w:val="0"/>
      <w:numFmt w:val="bullet"/>
      <w:lvlText w:val="•"/>
      <w:lvlJc w:val="left"/>
      <w:pPr>
        <w:ind w:left="4470" w:hanging="479"/>
      </w:pPr>
      <w:rPr>
        <w:rFonts w:hint="default"/>
        <w:lang w:val="es-ES" w:eastAsia="es-ES" w:bidi="es-ES"/>
      </w:rPr>
    </w:lvl>
  </w:abstractNum>
  <w:abstractNum w:abstractNumId="204">
    <w:multiLevelType w:val="hybridMultilevel"/>
    <w:lvl w:ilvl="0">
      <w:start w:val="29"/>
      <w:numFmt w:val="upperRoman"/>
      <w:lvlText w:val="%1."/>
      <w:lvlJc w:val="left"/>
      <w:pPr>
        <w:ind w:left="150" w:hanging="478"/>
        <w:jc w:val="right"/>
      </w:pPr>
      <w:rPr>
        <w:rFonts w:hint="default" w:ascii="Arial" w:hAnsi="Arial" w:eastAsia="Arial" w:cs="Arial"/>
        <w:spacing w:val="-1"/>
        <w:w w:val="102"/>
        <w:sz w:val="15"/>
        <w:szCs w:val="15"/>
        <w:lang w:val="es-ES" w:eastAsia="es-ES" w:bidi="es-ES"/>
      </w:rPr>
    </w:lvl>
    <w:lvl w:ilvl="1">
      <w:start w:val="0"/>
      <w:numFmt w:val="bullet"/>
      <w:lvlText w:val="•"/>
      <w:lvlJc w:val="left"/>
      <w:pPr>
        <w:ind w:left="966" w:hanging="478"/>
      </w:pPr>
      <w:rPr>
        <w:rFonts w:hint="default"/>
        <w:lang w:val="es-ES" w:eastAsia="es-ES" w:bidi="es-ES"/>
      </w:rPr>
    </w:lvl>
    <w:lvl w:ilvl="2">
      <w:start w:val="0"/>
      <w:numFmt w:val="bullet"/>
      <w:lvlText w:val="•"/>
      <w:lvlJc w:val="left"/>
      <w:pPr>
        <w:ind w:left="1772" w:hanging="478"/>
      </w:pPr>
      <w:rPr>
        <w:rFonts w:hint="default"/>
        <w:lang w:val="es-ES" w:eastAsia="es-ES" w:bidi="es-ES"/>
      </w:rPr>
    </w:lvl>
    <w:lvl w:ilvl="3">
      <w:start w:val="0"/>
      <w:numFmt w:val="bullet"/>
      <w:lvlText w:val="•"/>
      <w:lvlJc w:val="left"/>
      <w:pPr>
        <w:ind w:left="2578" w:hanging="478"/>
      </w:pPr>
      <w:rPr>
        <w:rFonts w:hint="default"/>
        <w:lang w:val="es-ES" w:eastAsia="es-ES" w:bidi="es-ES"/>
      </w:rPr>
    </w:lvl>
    <w:lvl w:ilvl="4">
      <w:start w:val="0"/>
      <w:numFmt w:val="bullet"/>
      <w:lvlText w:val="•"/>
      <w:lvlJc w:val="left"/>
      <w:pPr>
        <w:ind w:left="3384" w:hanging="478"/>
      </w:pPr>
      <w:rPr>
        <w:rFonts w:hint="default"/>
        <w:lang w:val="es-ES" w:eastAsia="es-ES" w:bidi="es-ES"/>
      </w:rPr>
    </w:lvl>
    <w:lvl w:ilvl="5">
      <w:start w:val="0"/>
      <w:numFmt w:val="bullet"/>
      <w:lvlText w:val="•"/>
      <w:lvlJc w:val="left"/>
      <w:pPr>
        <w:ind w:left="4191" w:hanging="478"/>
      </w:pPr>
      <w:rPr>
        <w:rFonts w:hint="default"/>
        <w:lang w:val="es-ES" w:eastAsia="es-ES" w:bidi="es-ES"/>
      </w:rPr>
    </w:lvl>
    <w:lvl w:ilvl="6">
      <w:start w:val="0"/>
      <w:numFmt w:val="bullet"/>
      <w:lvlText w:val="•"/>
      <w:lvlJc w:val="left"/>
      <w:pPr>
        <w:ind w:left="4997" w:hanging="478"/>
      </w:pPr>
      <w:rPr>
        <w:rFonts w:hint="default"/>
        <w:lang w:val="es-ES" w:eastAsia="es-ES" w:bidi="es-ES"/>
      </w:rPr>
    </w:lvl>
    <w:lvl w:ilvl="7">
      <w:start w:val="0"/>
      <w:numFmt w:val="bullet"/>
      <w:lvlText w:val="•"/>
      <w:lvlJc w:val="left"/>
      <w:pPr>
        <w:ind w:left="5803" w:hanging="478"/>
      </w:pPr>
      <w:rPr>
        <w:rFonts w:hint="default"/>
        <w:lang w:val="es-ES" w:eastAsia="es-ES" w:bidi="es-ES"/>
      </w:rPr>
    </w:lvl>
    <w:lvl w:ilvl="8">
      <w:start w:val="0"/>
      <w:numFmt w:val="bullet"/>
      <w:lvlText w:val="•"/>
      <w:lvlJc w:val="left"/>
      <w:pPr>
        <w:ind w:left="6609" w:hanging="478"/>
      </w:pPr>
      <w:rPr>
        <w:rFonts w:hint="default"/>
        <w:lang w:val="es-ES" w:eastAsia="es-ES" w:bidi="es-ES"/>
      </w:rPr>
    </w:lvl>
  </w:abstractNum>
  <w:abstractNum w:abstractNumId="203">
    <w:multiLevelType w:val="hybridMultilevel"/>
    <w:lvl w:ilvl="0">
      <w:start w:val="1"/>
      <w:numFmt w:val="lowerLetter"/>
      <w:lvlText w:val="%1)"/>
      <w:lvlJc w:val="left"/>
      <w:pPr>
        <w:ind w:left="800" w:hanging="253"/>
        <w:jc w:val="left"/>
      </w:pPr>
      <w:rPr>
        <w:rFonts w:hint="default" w:ascii="Arial" w:hAnsi="Arial" w:eastAsia="Arial" w:cs="Arial"/>
        <w:w w:val="102"/>
        <w:sz w:val="15"/>
        <w:szCs w:val="15"/>
        <w:lang w:val="es-ES" w:eastAsia="es-ES" w:bidi="es-ES"/>
      </w:rPr>
    </w:lvl>
    <w:lvl w:ilvl="1">
      <w:start w:val="0"/>
      <w:numFmt w:val="bullet"/>
      <w:lvlText w:val="•"/>
      <w:lvlJc w:val="left"/>
      <w:pPr>
        <w:ind w:left="1146" w:hanging="253"/>
      </w:pPr>
      <w:rPr>
        <w:rFonts w:hint="default"/>
        <w:lang w:val="es-ES" w:eastAsia="es-ES" w:bidi="es-ES"/>
      </w:rPr>
    </w:lvl>
    <w:lvl w:ilvl="2">
      <w:start w:val="0"/>
      <w:numFmt w:val="bullet"/>
      <w:lvlText w:val="•"/>
      <w:lvlJc w:val="left"/>
      <w:pPr>
        <w:ind w:left="1493" w:hanging="253"/>
      </w:pPr>
      <w:rPr>
        <w:rFonts w:hint="default"/>
        <w:lang w:val="es-ES" w:eastAsia="es-ES" w:bidi="es-ES"/>
      </w:rPr>
    </w:lvl>
    <w:lvl w:ilvl="3">
      <w:start w:val="0"/>
      <w:numFmt w:val="bullet"/>
      <w:lvlText w:val="•"/>
      <w:lvlJc w:val="left"/>
      <w:pPr>
        <w:ind w:left="1839" w:hanging="253"/>
      </w:pPr>
      <w:rPr>
        <w:rFonts w:hint="default"/>
        <w:lang w:val="es-ES" w:eastAsia="es-ES" w:bidi="es-ES"/>
      </w:rPr>
    </w:lvl>
    <w:lvl w:ilvl="4">
      <w:start w:val="0"/>
      <w:numFmt w:val="bullet"/>
      <w:lvlText w:val="•"/>
      <w:lvlJc w:val="left"/>
      <w:pPr>
        <w:ind w:left="2186" w:hanging="253"/>
      </w:pPr>
      <w:rPr>
        <w:rFonts w:hint="default"/>
        <w:lang w:val="es-ES" w:eastAsia="es-ES" w:bidi="es-ES"/>
      </w:rPr>
    </w:lvl>
    <w:lvl w:ilvl="5">
      <w:start w:val="0"/>
      <w:numFmt w:val="bullet"/>
      <w:lvlText w:val="•"/>
      <w:lvlJc w:val="left"/>
      <w:pPr>
        <w:ind w:left="2532" w:hanging="253"/>
      </w:pPr>
      <w:rPr>
        <w:rFonts w:hint="default"/>
        <w:lang w:val="es-ES" w:eastAsia="es-ES" w:bidi="es-ES"/>
      </w:rPr>
    </w:lvl>
    <w:lvl w:ilvl="6">
      <w:start w:val="0"/>
      <w:numFmt w:val="bullet"/>
      <w:lvlText w:val="•"/>
      <w:lvlJc w:val="left"/>
      <w:pPr>
        <w:ind w:left="2879" w:hanging="253"/>
      </w:pPr>
      <w:rPr>
        <w:rFonts w:hint="default"/>
        <w:lang w:val="es-ES" w:eastAsia="es-ES" w:bidi="es-ES"/>
      </w:rPr>
    </w:lvl>
    <w:lvl w:ilvl="7">
      <w:start w:val="0"/>
      <w:numFmt w:val="bullet"/>
      <w:lvlText w:val="•"/>
      <w:lvlJc w:val="left"/>
      <w:pPr>
        <w:ind w:left="3225" w:hanging="253"/>
      </w:pPr>
      <w:rPr>
        <w:rFonts w:hint="default"/>
        <w:lang w:val="es-ES" w:eastAsia="es-ES" w:bidi="es-ES"/>
      </w:rPr>
    </w:lvl>
    <w:lvl w:ilvl="8">
      <w:start w:val="0"/>
      <w:numFmt w:val="bullet"/>
      <w:lvlText w:val="•"/>
      <w:lvlJc w:val="left"/>
      <w:pPr>
        <w:ind w:left="3572" w:hanging="253"/>
      </w:pPr>
      <w:rPr>
        <w:rFonts w:hint="default"/>
        <w:lang w:val="es-ES" w:eastAsia="es-ES" w:bidi="es-ES"/>
      </w:rPr>
    </w:lvl>
  </w:abstractNum>
  <w:abstractNum w:abstractNumId="202">
    <w:multiLevelType w:val="hybridMultilevel"/>
    <w:lvl w:ilvl="0">
      <w:start w:val="1"/>
      <w:numFmt w:val="lowerLetter"/>
      <w:lvlText w:val="%1)"/>
      <w:lvlJc w:val="left"/>
      <w:pPr>
        <w:ind w:left="800" w:hanging="253"/>
        <w:jc w:val="left"/>
      </w:pPr>
      <w:rPr>
        <w:rFonts w:hint="default" w:ascii="Arial" w:hAnsi="Arial" w:eastAsia="Arial" w:cs="Arial"/>
        <w:w w:val="102"/>
        <w:sz w:val="15"/>
        <w:szCs w:val="15"/>
        <w:lang w:val="es-ES" w:eastAsia="es-ES" w:bidi="es-ES"/>
      </w:rPr>
    </w:lvl>
    <w:lvl w:ilvl="1">
      <w:start w:val="0"/>
      <w:numFmt w:val="bullet"/>
      <w:lvlText w:val="•"/>
      <w:lvlJc w:val="left"/>
      <w:pPr>
        <w:ind w:left="951" w:hanging="253"/>
      </w:pPr>
      <w:rPr>
        <w:rFonts w:hint="default"/>
        <w:lang w:val="es-ES" w:eastAsia="es-ES" w:bidi="es-ES"/>
      </w:rPr>
    </w:lvl>
    <w:lvl w:ilvl="2">
      <w:start w:val="0"/>
      <w:numFmt w:val="bullet"/>
      <w:lvlText w:val="•"/>
      <w:lvlJc w:val="left"/>
      <w:pPr>
        <w:ind w:left="1103" w:hanging="253"/>
      </w:pPr>
      <w:rPr>
        <w:rFonts w:hint="default"/>
        <w:lang w:val="es-ES" w:eastAsia="es-ES" w:bidi="es-ES"/>
      </w:rPr>
    </w:lvl>
    <w:lvl w:ilvl="3">
      <w:start w:val="0"/>
      <w:numFmt w:val="bullet"/>
      <w:lvlText w:val="•"/>
      <w:lvlJc w:val="left"/>
      <w:pPr>
        <w:ind w:left="1254" w:hanging="253"/>
      </w:pPr>
      <w:rPr>
        <w:rFonts w:hint="default"/>
        <w:lang w:val="es-ES" w:eastAsia="es-ES" w:bidi="es-ES"/>
      </w:rPr>
    </w:lvl>
    <w:lvl w:ilvl="4">
      <w:start w:val="0"/>
      <w:numFmt w:val="bullet"/>
      <w:lvlText w:val="•"/>
      <w:lvlJc w:val="left"/>
      <w:pPr>
        <w:ind w:left="1406" w:hanging="253"/>
      </w:pPr>
      <w:rPr>
        <w:rFonts w:hint="default"/>
        <w:lang w:val="es-ES" w:eastAsia="es-ES" w:bidi="es-ES"/>
      </w:rPr>
    </w:lvl>
    <w:lvl w:ilvl="5">
      <w:start w:val="0"/>
      <w:numFmt w:val="bullet"/>
      <w:lvlText w:val="•"/>
      <w:lvlJc w:val="left"/>
      <w:pPr>
        <w:ind w:left="1557" w:hanging="253"/>
      </w:pPr>
      <w:rPr>
        <w:rFonts w:hint="default"/>
        <w:lang w:val="es-ES" w:eastAsia="es-ES" w:bidi="es-ES"/>
      </w:rPr>
    </w:lvl>
    <w:lvl w:ilvl="6">
      <w:start w:val="0"/>
      <w:numFmt w:val="bullet"/>
      <w:lvlText w:val="•"/>
      <w:lvlJc w:val="left"/>
      <w:pPr>
        <w:ind w:left="1709" w:hanging="253"/>
      </w:pPr>
      <w:rPr>
        <w:rFonts w:hint="default"/>
        <w:lang w:val="es-ES" w:eastAsia="es-ES" w:bidi="es-ES"/>
      </w:rPr>
    </w:lvl>
    <w:lvl w:ilvl="7">
      <w:start w:val="0"/>
      <w:numFmt w:val="bullet"/>
      <w:lvlText w:val="•"/>
      <w:lvlJc w:val="left"/>
      <w:pPr>
        <w:ind w:left="1860" w:hanging="253"/>
      </w:pPr>
      <w:rPr>
        <w:rFonts w:hint="default"/>
        <w:lang w:val="es-ES" w:eastAsia="es-ES" w:bidi="es-ES"/>
      </w:rPr>
    </w:lvl>
    <w:lvl w:ilvl="8">
      <w:start w:val="0"/>
      <w:numFmt w:val="bullet"/>
      <w:lvlText w:val="•"/>
      <w:lvlJc w:val="left"/>
      <w:pPr>
        <w:ind w:left="2012" w:hanging="253"/>
      </w:pPr>
      <w:rPr>
        <w:rFonts w:hint="default"/>
        <w:lang w:val="es-ES" w:eastAsia="es-ES" w:bidi="es-ES"/>
      </w:rPr>
    </w:lvl>
  </w:abstractNum>
  <w:abstractNum w:abstractNumId="201">
    <w:multiLevelType w:val="hybridMultilevel"/>
    <w:lvl w:ilvl="0">
      <w:start w:val="25"/>
      <w:numFmt w:val="upperRoman"/>
      <w:lvlText w:val="%1."/>
      <w:lvlJc w:val="left"/>
      <w:pPr>
        <w:ind w:left="150" w:hanging="386"/>
        <w:jc w:val="right"/>
      </w:pPr>
      <w:rPr>
        <w:rFonts w:hint="default" w:ascii="Arial" w:hAnsi="Arial" w:eastAsia="Arial" w:cs="Arial"/>
        <w:spacing w:val="-15"/>
        <w:w w:val="102"/>
        <w:sz w:val="15"/>
        <w:szCs w:val="15"/>
        <w:lang w:val="es-ES" w:eastAsia="es-ES" w:bidi="es-ES"/>
      </w:rPr>
    </w:lvl>
    <w:lvl w:ilvl="1">
      <w:start w:val="0"/>
      <w:numFmt w:val="bullet"/>
      <w:lvlText w:val="•"/>
      <w:lvlJc w:val="left"/>
      <w:pPr>
        <w:ind w:left="966" w:hanging="386"/>
      </w:pPr>
      <w:rPr>
        <w:rFonts w:hint="default"/>
        <w:lang w:val="es-ES" w:eastAsia="es-ES" w:bidi="es-ES"/>
      </w:rPr>
    </w:lvl>
    <w:lvl w:ilvl="2">
      <w:start w:val="0"/>
      <w:numFmt w:val="bullet"/>
      <w:lvlText w:val="•"/>
      <w:lvlJc w:val="left"/>
      <w:pPr>
        <w:ind w:left="1772" w:hanging="386"/>
      </w:pPr>
      <w:rPr>
        <w:rFonts w:hint="default"/>
        <w:lang w:val="es-ES" w:eastAsia="es-ES" w:bidi="es-ES"/>
      </w:rPr>
    </w:lvl>
    <w:lvl w:ilvl="3">
      <w:start w:val="0"/>
      <w:numFmt w:val="bullet"/>
      <w:lvlText w:val="•"/>
      <w:lvlJc w:val="left"/>
      <w:pPr>
        <w:ind w:left="2578" w:hanging="386"/>
      </w:pPr>
      <w:rPr>
        <w:rFonts w:hint="default"/>
        <w:lang w:val="es-ES" w:eastAsia="es-ES" w:bidi="es-ES"/>
      </w:rPr>
    </w:lvl>
    <w:lvl w:ilvl="4">
      <w:start w:val="0"/>
      <w:numFmt w:val="bullet"/>
      <w:lvlText w:val="•"/>
      <w:lvlJc w:val="left"/>
      <w:pPr>
        <w:ind w:left="3384" w:hanging="386"/>
      </w:pPr>
      <w:rPr>
        <w:rFonts w:hint="default"/>
        <w:lang w:val="es-ES" w:eastAsia="es-ES" w:bidi="es-ES"/>
      </w:rPr>
    </w:lvl>
    <w:lvl w:ilvl="5">
      <w:start w:val="0"/>
      <w:numFmt w:val="bullet"/>
      <w:lvlText w:val="•"/>
      <w:lvlJc w:val="left"/>
      <w:pPr>
        <w:ind w:left="4191" w:hanging="386"/>
      </w:pPr>
      <w:rPr>
        <w:rFonts w:hint="default"/>
        <w:lang w:val="es-ES" w:eastAsia="es-ES" w:bidi="es-ES"/>
      </w:rPr>
    </w:lvl>
    <w:lvl w:ilvl="6">
      <w:start w:val="0"/>
      <w:numFmt w:val="bullet"/>
      <w:lvlText w:val="•"/>
      <w:lvlJc w:val="left"/>
      <w:pPr>
        <w:ind w:left="4997" w:hanging="386"/>
      </w:pPr>
      <w:rPr>
        <w:rFonts w:hint="default"/>
        <w:lang w:val="es-ES" w:eastAsia="es-ES" w:bidi="es-ES"/>
      </w:rPr>
    </w:lvl>
    <w:lvl w:ilvl="7">
      <w:start w:val="0"/>
      <w:numFmt w:val="bullet"/>
      <w:lvlText w:val="•"/>
      <w:lvlJc w:val="left"/>
      <w:pPr>
        <w:ind w:left="5803" w:hanging="386"/>
      </w:pPr>
      <w:rPr>
        <w:rFonts w:hint="default"/>
        <w:lang w:val="es-ES" w:eastAsia="es-ES" w:bidi="es-ES"/>
      </w:rPr>
    </w:lvl>
    <w:lvl w:ilvl="8">
      <w:start w:val="0"/>
      <w:numFmt w:val="bullet"/>
      <w:lvlText w:val="•"/>
      <w:lvlJc w:val="left"/>
      <w:pPr>
        <w:ind w:left="6609" w:hanging="386"/>
      </w:pPr>
      <w:rPr>
        <w:rFonts w:hint="default"/>
        <w:lang w:val="es-ES" w:eastAsia="es-ES" w:bidi="es-ES"/>
      </w:rPr>
    </w:lvl>
  </w:abstractNum>
  <w:abstractNum w:abstractNumId="200">
    <w:multiLevelType w:val="hybridMultilevel"/>
    <w:lvl w:ilvl="0">
      <w:start w:val="23"/>
      <w:numFmt w:val="upperRoman"/>
      <w:lvlText w:val="%1."/>
      <w:lvlJc w:val="left"/>
      <w:pPr>
        <w:ind w:left="606" w:hanging="464"/>
        <w:jc w:val="left"/>
      </w:pPr>
      <w:rPr>
        <w:rFonts w:hint="default" w:ascii="Arial" w:hAnsi="Arial" w:eastAsia="Arial" w:cs="Arial"/>
        <w:spacing w:val="-1"/>
        <w:w w:val="102"/>
        <w:sz w:val="15"/>
        <w:szCs w:val="15"/>
        <w:lang w:val="es-ES" w:eastAsia="es-ES" w:bidi="es-ES"/>
      </w:rPr>
    </w:lvl>
    <w:lvl w:ilvl="1">
      <w:start w:val="16"/>
      <w:numFmt w:val="upperRoman"/>
      <w:lvlText w:val="%2."/>
      <w:lvlJc w:val="left"/>
      <w:pPr>
        <w:ind w:left="882" w:hanging="334"/>
        <w:jc w:val="left"/>
      </w:pPr>
      <w:rPr>
        <w:rFonts w:hint="default" w:ascii="Arial" w:hAnsi="Arial" w:eastAsia="Arial" w:cs="Arial"/>
        <w:w w:val="102"/>
        <w:sz w:val="15"/>
        <w:szCs w:val="15"/>
        <w:lang w:val="es-ES" w:eastAsia="es-ES" w:bidi="es-ES"/>
      </w:rPr>
    </w:lvl>
    <w:lvl w:ilvl="2">
      <w:start w:val="0"/>
      <w:numFmt w:val="bullet"/>
      <w:lvlText w:val="•"/>
      <w:lvlJc w:val="left"/>
      <w:pPr>
        <w:ind w:left="62" w:hanging="334"/>
      </w:pPr>
      <w:rPr>
        <w:rFonts w:hint="default"/>
        <w:lang w:val="es-ES" w:eastAsia="es-ES" w:bidi="es-ES"/>
      </w:rPr>
    </w:lvl>
    <w:lvl w:ilvl="3">
      <w:start w:val="0"/>
      <w:numFmt w:val="bullet"/>
      <w:lvlText w:val="•"/>
      <w:lvlJc w:val="left"/>
      <w:pPr>
        <w:ind w:left="-756" w:hanging="334"/>
      </w:pPr>
      <w:rPr>
        <w:rFonts w:hint="default"/>
        <w:lang w:val="es-ES" w:eastAsia="es-ES" w:bidi="es-ES"/>
      </w:rPr>
    </w:lvl>
    <w:lvl w:ilvl="4">
      <w:start w:val="0"/>
      <w:numFmt w:val="bullet"/>
      <w:lvlText w:val="•"/>
      <w:lvlJc w:val="left"/>
      <w:pPr>
        <w:ind w:left="-1573" w:hanging="334"/>
      </w:pPr>
      <w:rPr>
        <w:rFonts w:hint="default"/>
        <w:lang w:val="es-ES" w:eastAsia="es-ES" w:bidi="es-ES"/>
      </w:rPr>
    </w:lvl>
    <w:lvl w:ilvl="5">
      <w:start w:val="0"/>
      <w:numFmt w:val="bullet"/>
      <w:lvlText w:val="•"/>
      <w:lvlJc w:val="left"/>
      <w:pPr>
        <w:ind w:left="-2391" w:hanging="334"/>
      </w:pPr>
      <w:rPr>
        <w:rFonts w:hint="default"/>
        <w:lang w:val="es-ES" w:eastAsia="es-ES" w:bidi="es-ES"/>
      </w:rPr>
    </w:lvl>
    <w:lvl w:ilvl="6">
      <w:start w:val="0"/>
      <w:numFmt w:val="bullet"/>
      <w:lvlText w:val="•"/>
      <w:lvlJc w:val="left"/>
      <w:pPr>
        <w:ind w:left="-3209" w:hanging="334"/>
      </w:pPr>
      <w:rPr>
        <w:rFonts w:hint="default"/>
        <w:lang w:val="es-ES" w:eastAsia="es-ES" w:bidi="es-ES"/>
      </w:rPr>
    </w:lvl>
    <w:lvl w:ilvl="7">
      <w:start w:val="0"/>
      <w:numFmt w:val="bullet"/>
      <w:lvlText w:val="•"/>
      <w:lvlJc w:val="left"/>
      <w:pPr>
        <w:ind w:left="-4026" w:hanging="334"/>
      </w:pPr>
      <w:rPr>
        <w:rFonts w:hint="default"/>
        <w:lang w:val="es-ES" w:eastAsia="es-ES" w:bidi="es-ES"/>
      </w:rPr>
    </w:lvl>
    <w:lvl w:ilvl="8">
      <w:start w:val="0"/>
      <w:numFmt w:val="bullet"/>
      <w:lvlText w:val="•"/>
      <w:lvlJc w:val="left"/>
      <w:pPr>
        <w:ind w:left="-4844" w:hanging="334"/>
      </w:pPr>
      <w:rPr>
        <w:rFonts w:hint="default"/>
        <w:lang w:val="es-ES" w:eastAsia="es-ES" w:bidi="es-ES"/>
      </w:rPr>
    </w:lvl>
  </w:abstractNum>
  <w:abstractNum w:abstractNumId="199">
    <w:multiLevelType w:val="hybridMultilevel"/>
    <w:lvl w:ilvl="0">
      <w:start w:val="1"/>
      <w:numFmt w:val="upperRoman"/>
      <w:lvlText w:val="%1."/>
      <w:lvlJc w:val="left"/>
      <w:pPr>
        <w:ind w:left="150" w:hanging="133"/>
        <w:jc w:val="left"/>
      </w:pPr>
      <w:rPr>
        <w:rFonts w:hint="default" w:ascii="Arial" w:hAnsi="Arial" w:eastAsia="Arial" w:cs="Arial"/>
        <w:w w:val="102"/>
        <w:sz w:val="15"/>
        <w:szCs w:val="15"/>
        <w:lang w:val="es-ES" w:eastAsia="es-ES" w:bidi="es-ES"/>
      </w:rPr>
    </w:lvl>
    <w:lvl w:ilvl="1">
      <w:start w:val="0"/>
      <w:numFmt w:val="bullet"/>
      <w:lvlText w:val="•"/>
      <w:lvlJc w:val="left"/>
      <w:pPr>
        <w:ind w:left="966" w:hanging="133"/>
      </w:pPr>
      <w:rPr>
        <w:rFonts w:hint="default"/>
        <w:lang w:val="es-ES" w:eastAsia="es-ES" w:bidi="es-ES"/>
      </w:rPr>
    </w:lvl>
    <w:lvl w:ilvl="2">
      <w:start w:val="0"/>
      <w:numFmt w:val="bullet"/>
      <w:lvlText w:val="•"/>
      <w:lvlJc w:val="left"/>
      <w:pPr>
        <w:ind w:left="1772" w:hanging="133"/>
      </w:pPr>
      <w:rPr>
        <w:rFonts w:hint="default"/>
        <w:lang w:val="es-ES" w:eastAsia="es-ES" w:bidi="es-ES"/>
      </w:rPr>
    </w:lvl>
    <w:lvl w:ilvl="3">
      <w:start w:val="0"/>
      <w:numFmt w:val="bullet"/>
      <w:lvlText w:val="•"/>
      <w:lvlJc w:val="left"/>
      <w:pPr>
        <w:ind w:left="2578" w:hanging="133"/>
      </w:pPr>
      <w:rPr>
        <w:rFonts w:hint="default"/>
        <w:lang w:val="es-ES" w:eastAsia="es-ES" w:bidi="es-ES"/>
      </w:rPr>
    </w:lvl>
    <w:lvl w:ilvl="4">
      <w:start w:val="0"/>
      <w:numFmt w:val="bullet"/>
      <w:lvlText w:val="•"/>
      <w:lvlJc w:val="left"/>
      <w:pPr>
        <w:ind w:left="3384" w:hanging="133"/>
      </w:pPr>
      <w:rPr>
        <w:rFonts w:hint="default"/>
        <w:lang w:val="es-ES" w:eastAsia="es-ES" w:bidi="es-ES"/>
      </w:rPr>
    </w:lvl>
    <w:lvl w:ilvl="5">
      <w:start w:val="0"/>
      <w:numFmt w:val="bullet"/>
      <w:lvlText w:val="•"/>
      <w:lvlJc w:val="left"/>
      <w:pPr>
        <w:ind w:left="4191" w:hanging="133"/>
      </w:pPr>
      <w:rPr>
        <w:rFonts w:hint="default"/>
        <w:lang w:val="es-ES" w:eastAsia="es-ES" w:bidi="es-ES"/>
      </w:rPr>
    </w:lvl>
    <w:lvl w:ilvl="6">
      <w:start w:val="0"/>
      <w:numFmt w:val="bullet"/>
      <w:lvlText w:val="•"/>
      <w:lvlJc w:val="left"/>
      <w:pPr>
        <w:ind w:left="4997" w:hanging="133"/>
      </w:pPr>
      <w:rPr>
        <w:rFonts w:hint="default"/>
        <w:lang w:val="es-ES" w:eastAsia="es-ES" w:bidi="es-ES"/>
      </w:rPr>
    </w:lvl>
    <w:lvl w:ilvl="7">
      <w:start w:val="0"/>
      <w:numFmt w:val="bullet"/>
      <w:lvlText w:val="•"/>
      <w:lvlJc w:val="left"/>
      <w:pPr>
        <w:ind w:left="5803" w:hanging="133"/>
      </w:pPr>
      <w:rPr>
        <w:rFonts w:hint="default"/>
        <w:lang w:val="es-ES" w:eastAsia="es-ES" w:bidi="es-ES"/>
      </w:rPr>
    </w:lvl>
    <w:lvl w:ilvl="8">
      <w:start w:val="0"/>
      <w:numFmt w:val="bullet"/>
      <w:lvlText w:val="•"/>
      <w:lvlJc w:val="left"/>
      <w:pPr>
        <w:ind w:left="6609" w:hanging="133"/>
      </w:pPr>
      <w:rPr>
        <w:rFonts w:hint="default"/>
        <w:lang w:val="es-ES" w:eastAsia="es-ES" w:bidi="es-ES"/>
      </w:rPr>
    </w:lvl>
  </w:abstractNum>
  <w:abstractNum w:abstractNumId="198">
    <w:multiLevelType w:val="hybridMultilevel"/>
    <w:lvl w:ilvl="0">
      <w:start w:val="14"/>
      <w:numFmt w:val="lowerLetter"/>
      <w:lvlText w:val="%1)"/>
      <w:lvlJc w:val="left"/>
      <w:pPr>
        <w:ind w:left="150" w:hanging="234"/>
        <w:jc w:val="left"/>
      </w:pPr>
      <w:rPr>
        <w:rFonts w:hint="default" w:ascii="Arial" w:hAnsi="Arial" w:eastAsia="Arial" w:cs="Arial"/>
        <w:w w:val="102"/>
        <w:sz w:val="15"/>
        <w:szCs w:val="15"/>
        <w:lang w:val="es-ES" w:eastAsia="es-ES" w:bidi="es-ES"/>
      </w:rPr>
    </w:lvl>
    <w:lvl w:ilvl="1">
      <w:start w:val="0"/>
      <w:numFmt w:val="bullet"/>
      <w:lvlText w:val="•"/>
      <w:lvlJc w:val="left"/>
      <w:pPr>
        <w:ind w:left="966" w:hanging="234"/>
      </w:pPr>
      <w:rPr>
        <w:rFonts w:hint="default"/>
        <w:lang w:val="es-ES" w:eastAsia="es-ES" w:bidi="es-ES"/>
      </w:rPr>
    </w:lvl>
    <w:lvl w:ilvl="2">
      <w:start w:val="0"/>
      <w:numFmt w:val="bullet"/>
      <w:lvlText w:val="•"/>
      <w:lvlJc w:val="left"/>
      <w:pPr>
        <w:ind w:left="1772" w:hanging="234"/>
      </w:pPr>
      <w:rPr>
        <w:rFonts w:hint="default"/>
        <w:lang w:val="es-ES" w:eastAsia="es-ES" w:bidi="es-ES"/>
      </w:rPr>
    </w:lvl>
    <w:lvl w:ilvl="3">
      <w:start w:val="0"/>
      <w:numFmt w:val="bullet"/>
      <w:lvlText w:val="•"/>
      <w:lvlJc w:val="left"/>
      <w:pPr>
        <w:ind w:left="2578" w:hanging="234"/>
      </w:pPr>
      <w:rPr>
        <w:rFonts w:hint="default"/>
        <w:lang w:val="es-ES" w:eastAsia="es-ES" w:bidi="es-ES"/>
      </w:rPr>
    </w:lvl>
    <w:lvl w:ilvl="4">
      <w:start w:val="0"/>
      <w:numFmt w:val="bullet"/>
      <w:lvlText w:val="•"/>
      <w:lvlJc w:val="left"/>
      <w:pPr>
        <w:ind w:left="3384" w:hanging="234"/>
      </w:pPr>
      <w:rPr>
        <w:rFonts w:hint="default"/>
        <w:lang w:val="es-ES" w:eastAsia="es-ES" w:bidi="es-ES"/>
      </w:rPr>
    </w:lvl>
    <w:lvl w:ilvl="5">
      <w:start w:val="0"/>
      <w:numFmt w:val="bullet"/>
      <w:lvlText w:val="•"/>
      <w:lvlJc w:val="left"/>
      <w:pPr>
        <w:ind w:left="4191" w:hanging="234"/>
      </w:pPr>
      <w:rPr>
        <w:rFonts w:hint="default"/>
        <w:lang w:val="es-ES" w:eastAsia="es-ES" w:bidi="es-ES"/>
      </w:rPr>
    </w:lvl>
    <w:lvl w:ilvl="6">
      <w:start w:val="0"/>
      <w:numFmt w:val="bullet"/>
      <w:lvlText w:val="•"/>
      <w:lvlJc w:val="left"/>
      <w:pPr>
        <w:ind w:left="4997" w:hanging="234"/>
      </w:pPr>
      <w:rPr>
        <w:rFonts w:hint="default"/>
        <w:lang w:val="es-ES" w:eastAsia="es-ES" w:bidi="es-ES"/>
      </w:rPr>
    </w:lvl>
    <w:lvl w:ilvl="7">
      <w:start w:val="0"/>
      <w:numFmt w:val="bullet"/>
      <w:lvlText w:val="•"/>
      <w:lvlJc w:val="left"/>
      <w:pPr>
        <w:ind w:left="5803" w:hanging="234"/>
      </w:pPr>
      <w:rPr>
        <w:rFonts w:hint="default"/>
        <w:lang w:val="es-ES" w:eastAsia="es-ES" w:bidi="es-ES"/>
      </w:rPr>
    </w:lvl>
    <w:lvl w:ilvl="8">
      <w:start w:val="0"/>
      <w:numFmt w:val="bullet"/>
      <w:lvlText w:val="•"/>
      <w:lvlJc w:val="left"/>
      <w:pPr>
        <w:ind w:left="6609" w:hanging="234"/>
      </w:pPr>
      <w:rPr>
        <w:rFonts w:hint="default"/>
        <w:lang w:val="es-ES" w:eastAsia="es-ES" w:bidi="es-ES"/>
      </w:rPr>
    </w:lvl>
  </w:abstractNum>
  <w:abstractNum w:abstractNumId="197">
    <w:multiLevelType w:val="hybridMultilevel"/>
    <w:lvl w:ilvl="0">
      <w:start w:val="1"/>
      <w:numFmt w:val="decimal"/>
      <w:lvlText w:val="%1."/>
      <w:lvlJc w:val="left"/>
      <w:pPr>
        <w:ind w:left="719" w:hanging="172"/>
        <w:jc w:val="right"/>
      </w:pPr>
      <w:rPr>
        <w:rFonts w:hint="default" w:ascii="Arial" w:hAnsi="Arial" w:eastAsia="Arial" w:cs="Arial"/>
        <w:w w:val="102"/>
        <w:sz w:val="15"/>
        <w:szCs w:val="15"/>
        <w:lang w:val="es-ES" w:eastAsia="es-ES" w:bidi="es-ES"/>
      </w:rPr>
    </w:lvl>
    <w:lvl w:ilvl="1">
      <w:start w:val="0"/>
      <w:numFmt w:val="bullet"/>
      <w:lvlText w:val="•"/>
      <w:lvlJc w:val="left"/>
      <w:pPr>
        <w:ind w:left="1470" w:hanging="172"/>
      </w:pPr>
      <w:rPr>
        <w:rFonts w:hint="default"/>
        <w:lang w:val="es-ES" w:eastAsia="es-ES" w:bidi="es-ES"/>
      </w:rPr>
    </w:lvl>
    <w:lvl w:ilvl="2">
      <w:start w:val="0"/>
      <w:numFmt w:val="bullet"/>
      <w:lvlText w:val="•"/>
      <w:lvlJc w:val="left"/>
      <w:pPr>
        <w:ind w:left="2220" w:hanging="172"/>
      </w:pPr>
      <w:rPr>
        <w:rFonts w:hint="default"/>
        <w:lang w:val="es-ES" w:eastAsia="es-ES" w:bidi="es-ES"/>
      </w:rPr>
    </w:lvl>
    <w:lvl w:ilvl="3">
      <w:start w:val="0"/>
      <w:numFmt w:val="bullet"/>
      <w:lvlText w:val="•"/>
      <w:lvlJc w:val="left"/>
      <w:pPr>
        <w:ind w:left="2970" w:hanging="172"/>
      </w:pPr>
      <w:rPr>
        <w:rFonts w:hint="default"/>
        <w:lang w:val="es-ES" w:eastAsia="es-ES" w:bidi="es-ES"/>
      </w:rPr>
    </w:lvl>
    <w:lvl w:ilvl="4">
      <w:start w:val="0"/>
      <w:numFmt w:val="bullet"/>
      <w:lvlText w:val="•"/>
      <w:lvlJc w:val="left"/>
      <w:pPr>
        <w:ind w:left="3720" w:hanging="172"/>
      </w:pPr>
      <w:rPr>
        <w:rFonts w:hint="default"/>
        <w:lang w:val="es-ES" w:eastAsia="es-ES" w:bidi="es-ES"/>
      </w:rPr>
    </w:lvl>
    <w:lvl w:ilvl="5">
      <w:start w:val="0"/>
      <w:numFmt w:val="bullet"/>
      <w:lvlText w:val="•"/>
      <w:lvlJc w:val="left"/>
      <w:pPr>
        <w:ind w:left="4471" w:hanging="172"/>
      </w:pPr>
      <w:rPr>
        <w:rFonts w:hint="default"/>
        <w:lang w:val="es-ES" w:eastAsia="es-ES" w:bidi="es-ES"/>
      </w:rPr>
    </w:lvl>
    <w:lvl w:ilvl="6">
      <w:start w:val="0"/>
      <w:numFmt w:val="bullet"/>
      <w:lvlText w:val="•"/>
      <w:lvlJc w:val="left"/>
      <w:pPr>
        <w:ind w:left="5221" w:hanging="172"/>
      </w:pPr>
      <w:rPr>
        <w:rFonts w:hint="default"/>
        <w:lang w:val="es-ES" w:eastAsia="es-ES" w:bidi="es-ES"/>
      </w:rPr>
    </w:lvl>
    <w:lvl w:ilvl="7">
      <w:start w:val="0"/>
      <w:numFmt w:val="bullet"/>
      <w:lvlText w:val="•"/>
      <w:lvlJc w:val="left"/>
      <w:pPr>
        <w:ind w:left="5971" w:hanging="172"/>
      </w:pPr>
      <w:rPr>
        <w:rFonts w:hint="default"/>
        <w:lang w:val="es-ES" w:eastAsia="es-ES" w:bidi="es-ES"/>
      </w:rPr>
    </w:lvl>
    <w:lvl w:ilvl="8">
      <w:start w:val="0"/>
      <w:numFmt w:val="bullet"/>
      <w:lvlText w:val="•"/>
      <w:lvlJc w:val="left"/>
      <w:pPr>
        <w:ind w:left="6721" w:hanging="172"/>
      </w:pPr>
      <w:rPr>
        <w:rFonts w:hint="default"/>
        <w:lang w:val="es-ES" w:eastAsia="es-ES" w:bidi="es-ES"/>
      </w:rPr>
    </w:lvl>
  </w:abstractNum>
  <w:abstractNum w:abstractNumId="196">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1"/>
      <w:numFmt w:val="decimal"/>
      <w:lvlText w:val="%2)"/>
      <w:lvlJc w:val="left"/>
      <w:pPr>
        <w:ind w:left="728" w:hanging="180"/>
        <w:jc w:val="right"/>
      </w:pPr>
      <w:rPr>
        <w:rFonts w:hint="default" w:ascii="Arial" w:hAnsi="Arial" w:eastAsia="Arial" w:cs="Arial"/>
        <w:w w:val="102"/>
        <w:sz w:val="15"/>
        <w:szCs w:val="15"/>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0" w:hanging="180"/>
      </w:pPr>
      <w:rPr>
        <w:rFonts w:hint="default"/>
        <w:lang w:val="es-ES" w:eastAsia="es-ES" w:bidi="es-ES"/>
      </w:rPr>
    </w:lvl>
    <w:lvl w:ilvl="6">
      <w:start w:val="0"/>
      <w:numFmt w:val="bullet"/>
      <w:lvlText w:val="•"/>
      <w:lvlJc w:val="left"/>
      <w:pPr>
        <w:ind w:left="5220"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195">
    <w:multiLevelType w:val="hybridMultilevel"/>
    <w:lvl w:ilvl="0">
      <w:start w:val="13"/>
      <w:numFmt w:val="lowerLetter"/>
      <w:lvlText w:val="%1)"/>
      <w:lvlJc w:val="left"/>
      <w:pPr>
        <w:ind w:left="150" w:hanging="305"/>
        <w:jc w:val="left"/>
      </w:pPr>
      <w:rPr>
        <w:rFonts w:hint="default" w:ascii="Arial" w:hAnsi="Arial" w:eastAsia="Arial" w:cs="Arial"/>
        <w:w w:val="102"/>
        <w:sz w:val="15"/>
        <w:szCs w:val="15"/>
        <w:lang w:val="es-ES" w:eastAsia="es-ES" w:bidi="es-ES"/>
      </w:rPr>
    </w:lvl>
    <w:lvl w:ilvl="1">
      <w:start w:val="0"/>
      <w:numFmt w:val="bullet"/>
      <w:lvlText w:val="•"/>
      <w:lvlJc w:val="left"/>
      <w:pPr>
        <w:ind w:left="698" w:hanging="305"/>
      </w:pPr>
      <w:rPr>
        <w:rFonts w:hint="default"/>
        <w:lang w:val="es-ES" w:eastAsia="es-ES" w:bidi="es-ES"/>
      </w:rPr>
    </w:lvl>
    <w:lvl w:ilvl="2">
      <w:start w:val="0"/>
      <w:numFmt w:val="bullet"/>
      <w:lvlText w:val="•"/>
      <w:lvlJc w:val="left"/>
      <w:pPr>
        <w:ind w:left="1237" w:hanging="305"/>
      </w:pPr>
      <w:rPr>
        <w:rFonts w:hint="default"/>
        <w:lang w:val="es-ES" w:eastAsia="es-ES" w:bidi="es-ES"/>
      </w:rPr>
    </w:lvl>
    <w:lvl w:ilvl="3">
      <w:start w:val="0"/>
      <w:numFmt w:val="bullet"/>
      <w:lvlText w:val="•"/>
      <w:lvlJc w:val="left"/>
      <w:pPr>
        <w:ind w:left="1776" w:hanging="305"/>
      </w:pPr>
      <w:rPr>
        <w:rFonts w:hint="default"/>
        <w:lang w:val="es-ES" w:eastAsia="es-ES" w:bidi="es-ES"/>
      </w:rPr>
    </w:lvl>
    <w:lvl w:ilvl="4">
      <w:start w:val="0"/>
      <w:numFmt w:val="bullet"/>
      <w:lvlText w:val="•"/>
      <w:lvlJc w:val="left"/>
      <w:pPr>
        <w:ind w:left="2315" w:hanging="305"/>
      </w:pPr>
      <w:rPr>
        <w:rFonts w:hint="default"/>
        <w:lang w:val="es-ES" w:eastAsia="es-ES" w:bidi="es-ES"/>
      </w:rPr>
    </w:lvl>
    <w:lvl w:ilvl="5">
      <w:start w:val="0"/>
      <w:numFmt w:val="bullet"/>
      <w:lvlText w:val="•"/>
      <w:lvlJc w:val="left"/>
      <w:pPr>
        <w:ind w:left="2854" w:hanging="305"/>
      </w:pPr>
      <w:rPr>
        <w:rFonts w:hint="default"/>
        <w:lang w:val="es-ES" w:eastAsia="es-ES" w:bidi="es-ES"/>
      </w:rPr>
    </w:lvl>
    <w:lvl w:ilvl="6">
      <w:start w:val="0"/>
      <w:numFmt w:val="bullet"/>
      <w:lvlText w:val="•"/>
      <w:lvlJc w:val="left"/>
      <w:pPr>
        <w:ind w:left="3393" w:hanging="305"/>
      </w:pPr>
      <w:rPr>
        <w:rFonts w:hint="default"/>
        <w:lang w:val="es-ES" w:eastAsia="es-ES" w:bidi="es-ES"/>
      </w:rPr>
    </w:lvl>
    <w:lvl w:ilvl="7">
      <w:start w:val="0"/>
      <w:numFmt w:val="bullet"/>
      <w:lvlText w:val="•"/>
      <w:lvlJc w:val="left"/>
      <w:pPr>
        <w:ind w:left="3932" w:hanging="305"/>
      </w:pPr>
      <w:rPr>
        <w:rFonts w:hint="default"/>
        <w:lang w:val="es-ES" w:eastAsia="es-ES" w:bidi="es-ES"/>
      </w:rPr>
    </w:lvl>
    <w:lvl w:ilvl="8">
      <w:start w:val="0"/>
      <w:numFmt w:val="bullet"/>
      <w:lvlText w:val="•"/>
      <w:lvlJc w:val="left"/>
      <w:pPr>
        <w:ind w:left="4470" w:hanging="305"/>
      </w:pPr>
      <w:rPr>
        <w:rFonts w:hint="default"/>
        <w:lang w:val="es-ES" w:eastAsia="es-ES" w:bidi="es-ES"/>
      </w:rPr>
    </w:lvl>
  </w:abstractNum>
  <w:abstractNum w:abstractNumId="194">
    <w:multiLevelType w:val="hybridMultilevel"/>
    <w:lvl w:ilvl="0">
      <w:start w:val="1"/>
      <w:numFmt w:val="decimal"/>
      <w:lvlText w:val="%1)"/>
      <w:lvlJc w:val="left"/>
      <w:pPr>
        <w:ind w:left="150" w:hanging="190"/>
        <w:jc w:val="left"/>
      </w:pPr>
      <w:rPr>
        <w:rFonts w:hint="default" w:ascii="Arial" w:hAnsi="Arial" w:eastAsia="Arial" w:cs="Arial"/>
        <w:w w:val="102"/>
        <w:sz w:val="15"/>
        <w:szCs w:val="15"/>
        <w:lang w:val="es-ES" w:eastAsia="es-ES" w:bidi="es-ES"/>
      </w:rPr>
    </w:lvl>
    <w:lvl w:ilvl="1">
      <w:start w:val="0"/>
      <w:numFmt w:val="bullet"/>
      <w:lvlText w:val="•"/>
      <w:lvlJc w:val="left"/>
      <w:pPr>
        <w:ind w:left="698" w:hanging="190"/>
      </w:pPr>
      <w:rPr>
        <w:rFonts w:hint="default"/>
        <w:lang w:val="es-ES" w:eastAsia="es-ES" w:bidi="es-ES"/>
      </w:rPr>
    </w:lvl>
    <w:lvl w:ilvl="2">
      <w:start w:val="0"/>
      <w:numFmt w:val="bullet"/>
      <w:lvlText w:val="•"/>
      <w:lvlJc w:val="left"/>
      <w:pPr>
        <w:ind w:left="1237" w:hanging="190"/>
      </w:pPr>
      <w:rPr>
        <w:rFonts w:hint="default"/>
        <w:lang w:val="es-ES" w:eastAsia="es-ES" w:bidi="es-ES"/>
      </w:rPr>
    </w:lvl>
    <w:lvl w:ilvl="3">
      <w:start w:val="0"/>
      <w:numFmt w:val="bullet"/>
      <w:lvlText w:val="•"/>
      <w:lvlJc w:val="left"/>
      <w:pPr>
        <w:ind w:left="1776" w:hanging="190"/>
      </w:pPr>
      <w:rPr>
        <w:rFonts w:hint="default"/>
        <w:lang w:val="es-ES" w:eastAsia="es-ES" w:bidi="es-ES"/>
      </w:rPr>
    </w:lvl>
    <w:lvl w:ilvl="4">
      <w:start w:val="0"/>
      <w:numFmt w:val="bullet"/>
      <w:lvlText w:val="•"/>
      <w:lvlJc w:val="left"/>
      <w:pPr>
        <w:ind w:left="2315" w:hanging="190"/>
      </w:pPr>
      <w:rPr>
        <w:rFonts w:hint="default"/>
        <w:lang w:val="es-ES" w:eastAsia="es-ES" w:bidi="es-ES"/>
      </w:rPr>
    </w:lvl>
    <w:lvl w:ilvl="5">
      <w:start w:val="0"/>
      <w:numFmt w:val="bullet"/>
      <w:lvlText w:val="•"/>
      <w:lvlJc w:val="left"/>
      <w:pPr>
        <w:ind w:left="2854" w:hanging="190"/>
      </w:pPr>
      <w:rPr>
        <w:rFonts w:hint="default"/>
        <w:lang w:val="es-ES" w:eastAsia="es-ES" w:bidi="es-ES"/>
      </w:rPr>
    </w:lvl>
    <w:lvl w:ilvl="6">
      <w:start w:val="0"/>
      <w:numFmt w:val="bullet"/>
      <w:lvlText w:val="•"/>
      <w:lvlJc w:val="left"/>
      <w:pPr>
        <w:ind w:left="3393" w:hanging="190"/>
      </w:pPr>
      <w:rPr>
        <w:rFonts w:hint="default"/>
        <w:lang w:val="es-ES" w:eastAsia="es-ES" w:bidi="es-ES"/>
      </w:rPr>
    </w:lvl>
    <w:lvl w:ilvl="7">
      <w:start w:val="0"/>
      <w:numFmt w:val="bullet"/>
      <w:lvlText w:val="•"/>
      <w:lvlJc w:val="left"/>
      <w:pPr>
        <w:ind w:left="3932" w:hanging="190"/>
      </w:pPr>
      <w:rPr>
        <w:rFonts w:hint="default"/>
        <w:lang w:val="es-ES" w:eastAsia="es-ES" w:bidi="es-ES"/>
      </w:rPr>
    </w:lvl>
    <w:lvl w:ilvl="8">
      <w:start w:val="0"/>
      <w:numFmt w:val="bullet"/>
      <w:lvlText w:val="•"/>
      <w:lvlJc w:val="left"/>
      <w:pPr>
        <w:ind w:left="4470" w:hanging="190"/>
      </w:pPr>
      <w:rPr>
        <w:rFonts w:hint="default"/>
        <w:lang w:val="es-ES" w:eastAsia="es-ES" w:bidi="es-ES"/>
      </w:rPr>
    </w:lvl>
  </w:abstractNum>
  <w:abstractNum w:abstractNumId="193">
    <w:multiLevelType w:val="hybridMultilevel"/>
    <w:lvl w:ilvl="0">
      <w:start w:val="10"/>
      <w:numFmt w:val="lowerLetter"/>
      <w:lvlText w:val="%1)"/>
      <w:lvlJc w:val="left"/>
      <w:pPr>
        <w:ind w:left="150" w:hanging="165"/>
        <w:jc w:val="left"/>
      </w:pPr>
      <w:rPr>
        <w:rFonts w:hint="default" w:ascii="Arial" w:hAnsi="Arial" w:eastAsia="Arial" w:cs="Arial"/>
        <w:w w:val="102"/>
        <w:sz w:val="15"/>
        <w:szCs w:val="15"/>
        <w:lang w:val="es-ES" w:eastAsia="es-ES" w:bidi="es-ES"/>
      </w:rPr>
    </w:lvl>
    <w:lvl w:ilvl="1">
      <w:start w:val="0"/>
      <w:numFmt w:val="bullet"/>
      <w:lvlText w:val="•"/>
      <w:lvlJc w:val="left"/>
      <w:pPr>
        <w:ind w:left="966" w:hanging="165"/>
      </w:pPr>
      <w:rPr>
        <w:rFonts w:hint="default"/>
        <w:lang w:val="es-ES" w:eastAsia="es-ES" w:bidi="es-ES"/>
      </w:rPr>
    </w:lvl>
    <w:lvl w:ilvl="2">
      <w:start w:val="0"/>
      <w:numFmt w:val="bullet"/>
      <w:lvlText w:val="•"/>
      <w:lvlJc w:val="left"/>
      <w:pPr>
        <w:ind w:left="1772" w:hanging="165"/>
      </w:pPr>
      <w:rPr>
        <w:rFonts w:hint="default"/>
        <w:lang w:val="es-ES" w:eastAsia="es-ES" w:bidi="es-ES"/>
      </w:rPr>
    </w:lvl>
    <w:lvl w:ilvl="3">
      <w:start w:val="0"/>
      <w:numFmt w:val="bullet"/>
      <w:lvlText w:val="•"/>
      <w:lvlJc w:val="left"/>
      <w:pPr>
        <w:ind w:left="2578" w:hanging="165"/>
      </w:pPr>
      <w:rPr>
        <w:rFonts w:hint="default"/>
        <w:lang w:val="es-ES" w:eastAsia="es-ES" w:bidi="es-ES"/>
      </w:rPr>
    </w:lvl>
    <w:lvl w:ilvl="4">
      <w:start w:val="0"/>
      <w:numFmt w:val="bullet"/>
      <w:lvlText w:val="•"/>
      <w:lvlJc w:val="left"/>
      <w:pPr>
        <w:ind w:left="3384" w:hanging="165"/>
      </w:pPr>
      <w:rPr>
        <w:rFonts w:hint="default"/>
        <w:lang w:val="es-ES" w:eastAsia="es-ES" w:bidi="es-ES"/>
      </w:rPr>
    </w:lvl>
    <w:lvl w:ilvl="5">
      <w:start w:val="0"/>
      <w:numFmt w:val="bullet"/>
      <w:lvlText w:val="•"/>
      <w:lvlJc w:val="left"/>
      <w:pPr>
        <w:ind w:left="4190" w:hanging="165"/>
      </w:pPr>
      <w:rPr>
        <w:rFonts w:hint="default"/>
        <w:lang w:val="es-ES" w:eastAsia="es-ES" w:bidi="es-ES"/>
      </w:rPr>
    </w:lvl>
    <w:lvl w:ilvl="6">
      <w:start w:val="0"/>
      <w:numFmt w:val="bullet"/>
      <w:lvlText w:val="•"/>
      <w:lvlJc w:val="left"/>
      <w:pPr>
        <w:ind w:left="4997" w:hanging="165"/>
      </w:pPr>
      <w:rPr>
        <w:rFonts w:hint="default"/>
        <w:lang w:val="es-ES" w:eastAsia="es-ES" w:bidi="es-ES"/>
      </w:rPr>
    </w:lvl>
    <w:lvl w:ilvl="7">
      <w:start w:val="0"/>
      <w:numFmt w:val="bullet"/>
      <w:lvlText w:val="•"/>
      <w:lvlJc w:val="left"/>
      <w:pPr>
        <w:ind w:left="5803" w:hanging="165"/>
      </w:pPr>
      <w:rPr>
        <w:rFonts w:hint="default"/>
        <w:lang w:val="es-ES" w:eastAsia="es-ES" w:bidi="es-ES"/>
      </w:rPr>
    </w:lvl>
    <w:lvl w:ilvl="8">
      <w:start w:val="0"/>
      <w:numFmt w:val="bullet"/>
      <w:lvlText w:val="•"/>
      <w:lvlJc w:val="left"/>
      <w:pPr>
        <w:ind w:left="6609" w:hanging="165"/>
      </w:pPr>
      <w:rPr>
        <w:rFonts w:hint="default"/>
        <w:lang w:val="es-ES" w:eastAsia="es-ES" w:bidi="es-ES"/>
      </w:rPr>
    </w:lvl>
  </w:abstractNum>
  <w:abstractNum w:abstractNumId="192">
    <w:multiLevelType w:val="hybridMultilevel"/>
    <w:lvl w:ilvl="0">
      <w:start w:val="1"/>
      <w:numFmt w:val="upperRoman"/>
      <w:lvlText w:val="%1."/>
      <w:lvlJc w:val="left"/>
      <w:pPr>
        <w:ind w:left="150" w:hanging="139"/>
        <w:jc w:val="right"/>
      </w:pPr>
      <w:rPr>
        <w:rFonts w:hint="default" w:ascii="Arial" w:hAnsi="Arial" w:eastAsia="Arial" w:cs="Arial"/>
        <w:w w:val="102"/>
        <w:sz w:val="15"/>
        <w:szCs w:val="15"/>
        <w:lang w:val="es-ES" w:eastAsia="es-ES" w:bidi="es-ES"/>
      </w:rPr>
    </w:lvl>
    <w:lvl w:ilvl="1">
      <w:start w:val="0"/>
      <w:numFmt w:val="bullet"/>
      <w:lvlText w:val="•"/>
      <w:lvlJc w:val="left"/>
      <w:pPr>
        <w:ind w:left="918" w:hanging="139"/>
      </w:pPr>
      <w:rPr>
        <w:rFonts w:hint="default"/>
        <w:lang w:val="es-ES" w:eastAsia="es-ES" w:bidi="es-ES"/>
      </w:rPr>
    </w:lvl>
    <w:lvl w:ilvl="2">
      <w:start w:val="0"/>
      <w:numFmt w:val="bullet"/>
      <w:lvlText w:val="•"/>
      <w:lvlJc w:val="left"/>
      <w:pPr>
        <w:ind w:left="1677" w:hanging="139"/>
      </w:pPr>
      <w:rPr>
        <w:rFonts w:hint="default"/>
        <w:lang w:val="es-ES" w:eastAsia="es-ES" w:bidi="es-ES"/>
      </w:rPr>
    </w:lvl>
    <w:lvl w:ilvl="3">
      <w:start w:val="0"/>
      <w:numFmt w:val="bullet"/>
      <w:lvlText w:val="•"/>
      <w:lvlJc w:val="left"/>
      <w:pPr>
        <w:ind w:left="2436" w:hanging="139"/>
      </w:pPr>
      <w:rPr>
        <w:rFonts w:hint="default"/>
        <w:lang w:val="es-ES" w:eastAsia="es-ES" w:bidi="es-ES"/>
      </w:rPr>
    </w:lvl>
    <w:lvl w:ilvl="4">
      <w:start w:val="0"/>
      <w:numFmt w:val="bullet"/>
      <w:lvlText w:val="•"/>
      <w:lvlJc w:val="left"/>
      <w:pPr>
        <w:ind w:left="3195" w:hanging="139"/>
      </w:pPr>
      <w:rPr>
        <w:rFonts w:hint="default"/>
        <w:lang w:val="es-ES" w:eastAsia="es-ES" w:bidi="es-ES"/>
      </w:rPr>
    </w:lvl>
    <w:lvl w:ilvl="5">
      <w:start w:val="0"/>
      <w:numFmt w:val="bullet"/>
      <w:lvlText w:val="•"/>
      <w:lvlJc w:val="left"/>
      <w:pPr>
        <w:ind w:left="3953" w:hanging="139"/>
      </w:pPr>
      <w:rPr>
        <w:rFonts w:hint="default"/>
        <w:lang w:val="es-ES" w:eastAsia="es-ES" w:bidi="es-ES"/>
      </w:rPr>
    </w:lvl>
    <w:lvl w:ilvl="6">
      <w:start w:val="0"/>
      <w:numFmt w:val="bullet"/>
      <w:lvlText w:val="•"/>
      <w:lvlJc w:val="left"/>
      <w:pPr>
        <w:ind w:left="4712" w:hanging="139"/>
      </w:pPr>
      <w:rPr>
        <w:rFonts w:hint="default"/>
        <w:lang w:val="es-ES" w:eastAsia="es-ES" w:bidi="es-ES"/>
      </w:rPr>
    </w:lvl>
    <w:lvl w:ilvl="7">
      <w:start w:val="0"/>
      <w:numFmt w:val="bullet"/>
      <w:lvlText w:val="•"/>
      <w:lvlJc w:val="left"/>
      <w:pPr>
        <w:ind w:left="5471" w:hanging="139"/>
      </w:pPr>
      <w:rPr>
        <w:rFonts w:hint="default"/>
        <w:lang w:val="es-ES" w:eastAsia="es-ES" w:bidi="es-ES"/>
      </w:rPr>
    </w:lvl>
    <w:lvl w:ilvl="8">
      <w:start w:val="0"/>
      <w:numFmt w:val="bullet"/>
      <w:lvlText w:val="•"/>
      <w:lvlJc w:val="left"/>
      <w:pPr>
        <w:ind w:left="6230" w:hanging="139"/>
      </w:pPr>
      <w:rPr>
        <w:rFonts w:hint="default"/>
        <w:lang w:val="es-ES" w:eastAsia="es-ES" w:bidi="es-ES"/>
      </w:rPr>
    </w:lvl>
  </w:abstractNum>
  <w:abstractNum w:abstractNumId="191">
    <w:multiLevelType w:val="hybridMultilevel"/>
    <w:lvl w:ilvl="0">
      <w:start w:val="13"/>
      <w:numFmt w:val="upperRoman"/>
      <w:lvlText w:val="%1."/>
      <w:lvlJc w:val="left"/>
      <w:pPr>
        <w:ind w:left="865" w:hanging="318"/>
        <w:jc w:val="left"/>
      </w:pPr>
      <w:rPr>
        <w:rFonts w:hint="default" w:ascii="Arial" w:hAnsi="Arial" w:eastAsia="Arial" w:cs="Arial"/>
        <w:spacing w:val="-1"/>
        <w:w w:val="102"/>
        <w:sz w:val="15"/>
        <w:szCs w:val="15"/>
        <w:lang w:val="es-ES" w:eastAsia="es-ES" w:bidi="es-ES"/>
      </w:rPr>
    </w:lvl>
    <w:lvl w:ilvl="1">
      <w:start w:val="1"/>
      <w:numFmt w:val="upperRoman"/>
      <w:lvlText w:val="%2."/>
      <w:lvlJc w:val="left"/>
      <w:pPr>
        <w:ind w:left="151" w:hanging="147"/>
        <w:jc w:val="left"/>
      </w:pPr>
      <w:rPr>
        <w:rFonts w:hint="default" w:ascii="Arial" w:hAnsi="Arial" w:eastAsia="Arial" w:cs="Arial"/>
        <w:w w:val="102"/>
        <w:sz w:val="15"/>
        <w:szCs w:val="15"/>
        <w:lang w:val="es-ES" w:eastAsia="es-ES" w:bidi="es-ES"/>
      </w:rPr>
    </w:lvl>
    <w:lvl w:ilvl="2">
      <w:start w:val="0"/>
      <w:numFmt w:val="bullet"/>
      <w:lvlText w:val="•"/>
      <w:lvlJc w:val="left"/>
      <w:pPr>
        <w:ind w:left="334" w:hanging="147"/>
      </w:pPr>
      <w:rPr>
        <w:rFonts w:hint="default"/>
        <w:lang w:val="es-ES" w:eastAsia="es-ES" w:bidi="es-ES"/>
      </w:rPr>
    </w:lvl>
    <w:lvl w:ilvl="3">
      <w:start w:val="0"/>
      <w:numFmt w:val="bullet"/>
      <w:lvlText w:val="•"/>
      <w:lvlJc w:val="left"/>
      <w:pPr>
        <w:ind w:left="-192" w:hanging="147"/>
      </w:pPr>
      <w:rPr>
        <w:rFonts w:hint="default"/>
        <w:lang w:val="es-ES" w:eastAsia="es-ES" w:bidi="es-ES"/>
      </w:rPr>
    </w:lvl>
    <w:lvl w:ilvl="4">
      <w:start w:val="0"/>
      <w:numFmt w:val="bullet"/>
      <w:lvlText w:val="•"/>
      <w:lvlJc w:val="left"/>
      <w:pPr>
        <w:ind w:left="-718" w:hanging="147"/>
      </w:pPr>
      <w:rPr>
        <w:rFonts w:hint="default"/>
        <w:lang w:val="es-ES" w:eastAsia="es-ES" w:bidi="es-ES"/>
      </w:rPr>
    </w:lvl>
    <w:lvl w:ilvl="5">
      <w:start w:val="0"/>
      <w:numFmt w:val="bullet"/>
      <w:lvlText w:val="•"/>
      <w:lvlJc w:val="left"/>
      <w:pPr>
        <w:ind w:left="-1244" w:hanging="147"/>
      </w:pPr>
      <w:rPr>
        <w:rFonts w:hint="default"/>
        <w:lang w:val="es-ES" w:eastAsia="es-ES" w:bidi="es-ES"/>
      </w:rPr>
    </w:lvl>
    <w:lvl w:ilvl="6">
      <w:start w:val="0"/>
      <w:numFmt w:val="bullet"/>
      <w:lvlText w:val="•"/>
      <w:lvlJc w:val="left"/>
      <w:pPr>
        <w:ind w:left="-1770" w:hanging="147"/>
      </w:pPr>
      <w:rPr>
        <w:rFonts w:hint="default"/>
        <w:lang w:val="es-ES" w:eastAsia="es-ES" w:bidi="es-ES"/>
      </w:rPr>
    </w:lvl>
    <w:lvl w:ilvl="7">
      <w:start w:val="0"/>
      <w:numFmt w:val="bullet"/>
      <w:lvlText w:val="•"/>
      <w:lvlJc w:val="left"/>
      <w:pPr>
        <w:ind w:left="-2295" w:hanging="147"/>
      </w:pPr>
      <w:rPr>
        <w:rFonts w:hint="default"/>
        <w:lang w:val="es-ES" w:eastAsia="es-ES" w:bidi="es-ES"/>
      </w:rPr>
    </w:lvl>
    <w:lvl w:ilvl="8">
      <w:start w:val="0"/>
      <w:numFmt w:val="bullet"/>
      <w:lvlText w:val="•"/>
      <w:lvlJc w:val="left"/>
      <w:pPr>
        <w:ind w:left="-2821" w:hanging="147"/>
      </w:pPr>
      <w:rPr>
        <w:rFonts w:hint="default"/>
        <w:lang w:val="es-ES" w:eastAsia="es-ES" w:bidi="es-ES"/>
      </w:rPr>
    </w:lvl>
  </w:abstractNum>
  <w:abstractNum w:abstractNumId="190">
    <w:multiLevelType w:val="hybridMultilevel"/>
    <w:lvl w:ilvl="0">
      <w:start w:val="4"/>
      <w:numFmt w:val="lowerLetter"/>
      <w:lvlText w:val="%1)"/>
      <w:lvlJc w:val="left"/>
      <w:pPr>
        <w:ind w:left="330" w:hanging="180"/>
        <w:jc w:val="left"/>
      </w:pPr>
      <w:rPr>
        <w:rFonts w:hint="default" w:ascii="Arial" w:hAnsi="Arial" w:eastAsia="Arial" w:cs="Arial"/>
        <w:w w:val="102"/>
        <w:sz w:val="15"/>
        <w:szCs w:val="15"/>
        <w:lang w:val="es-ES" w:eastAsia="es-ES" w:bidi="es-ES"/>
      </w:rPr>
    </w:lvl>
    <w:lvl w:ilvl="1">
      <w:start w:val="2"/>
      <w:numFmt w:val="lowerLetter"/>
      <w:lvlText w:val="%2)"/>
      <w:lvlJc w:val="left"/>
      <w:pPr>
        <w:ind w:left="728" w:hanging="180"/>
        <w:jc w:val="left"/>
      </w:pPr>
      <w:rPr>
        <w:rFonts w:hint="default" w:ascii="Arial" w:hAnsi="Arial" w:eastAsia="Arial" w:cs="Arial"/>
        <w:w w:val="102"/>
        <w:sz w:val="15"/>
        <w:szCs w:val="15"/>
        <w:lang w:val="es-ES" w:eastAsia="es-ES" w:bidi="es-ES"/>
      </w:rPr>
    </w:lvl>
    <w:lvl w:ilvl="2">
      <w:start w:val="0"/>
      <w:numFmt w:val="bullet"/>
      <w:lvlText w:val="•"/>
      <w:lvlJc w:val="left"/>
      <w:pPr>
        <w:ind w:left="209" w:hanging="180"/>
      </w:pPr>
      <w:rPr>
        <w:rFonts w:hint="default"/>
        <w:lang w:val="es-ES" w:eastAsia="es-ES" w:bidi="es-ES"/>
      </w:rPr>
    </w:lvl>
    <w:lvl w:ilvl="3">
      <w:start w:val="0"/>
      <w:numFmt w:val="bullet"/>
      <w:lvlText w:val="•"/>
      <w:lvlJc w:val="left"/>
      <w:pPr>
        <w:ind w:left="-301" w:hanging="180"/>
      </w:pPr>
      <w:rPr>
        <w:rFonts w:hint="default"/>
        <w:lang w:val="es-ES" w:eastAsia="es-ES" w:bidi="es-ES"/>
      </w:rPr>
    </w:lvl>
    <w:lvl w:ilvl="4">
      <w:start w:val="0"/>
      <w:numFmt w:val="bullet"/>
      <w:lvlText w:val="•"/>
      <w:lvlJc w:val="left"/>
      <w:pPr>
        <w:ind w:left="-811" w:hanging="180"/>
      </w:pPr>
      <w:rPr>
        <w:rFonts w:hint="default"/>
        <w:lang w:val="es-ES" w:eastAsia="es-ES" w:bidi="es-ES"/>
      </w:rPr>
    </w:lvl>
    <w:lvl w:ilvl="5">
      <w:start w:val="0"/>
      <w:numFmt w:val="bullet"/>
      <w:lvlText w:val="•"/>
      <w:lvlJc w:val="left"/>
      <w:pPr>
        <w:ind w:left="-1321" w:hanging="180"/>
      </w:pPr>
      <w:rPr>
        <w:rFonts w:hint="default"/>
        <w:lang w:val="es-ES" w:eastAsia="es-ES" w:bidi="es-ES"/>
      </w:rPr>
    </w:lvl>
    <w:lvl w:ilvl="6">
      <w:start w:val="0"/>
      <w:numFmt w:val="bullet"/>
      <w:lvlText w:val="•"/>
      <w:lvlJc w:val="left"/>
      <w:pPr>
        <w:ind w:left="-1831" w:hanging="180"/>
      </w:pPr>
      <w:rPr>
        <w:rFonts w:hint="default"/>
        <w:lang w:val="es-ES" w:eastAsia="es-ES" w:bidi="es-ES"/>
      </w:rPr>
    </w:lvl>
    <w:lvl w:ilvl="7">
      <w:start w:val="0"/>
      <w:numFmt w:val="bullet"/>
      <w:lvlText w:val="•"/>
      <w:lvlJc w:val="left"/>
      <w:pPr>
        <w:ind w:left="-2341" w:hanging="180"/>
      </w:pPr>
      <w:rPr>
        <w:rFonts w:hint="default"/>
        <w:lang w:val="es-ES" w:eastAsia="es-ES" w:bidi="es-ES"/>
      </w:rPr>
    </w:lvl>
    <w:lvl w:ilvl="8">
      <w:start w:val="0"/>
      <w:numFmt w:val="bullet"/>
      <w:lvlText w:val="•"/>
      <w:lvlJc w:val="left"/>
      <w:pPr>
        <w:ind w:left="-2852" w:hanging="180"/>
      </w:pPr>
      <w:rPr>
        <w:rFonts w:hint="default"/>
        <w:lang w:val="es-ES" w:eastAsia="es-ES" w:bidi="es-ES"/>
      </w:rPr>
    </w:lvl>
  </w:abstractNum>
  <w:abstractNum w:abstractNumId="189">
    <w:multiLevelType w:val="hybridMultilevel"/>
    <w:lvl w:ilvl="0">
      <w:start w:val="1"/>
      <w:numFmt w:val="lowerLetter"/>
      <w:lvlText w:val="%1)"/>
      <w:lvlJc w:val="left"/>
      <w:pPr>
        <w:ind w:left="330" w:hanging="180"/>
        <w:jc w:val="left"/>
      </w:pPr>
      <w:rPr>
        <w:rFonts w:hint="default" w:ascii="Arial" w:hAnsi="Arial" w:eastAsia="Arial" w:cs="Arial"/>
        <w:w w:val="102"/>
        <w:sz w:val="15"/>
        <w:szCs w:val="15"/>
        <w:lang w:val="es-ES" w:eastAsia="es-ES" w:bidi="es-ES"/>
      </w:rPr>
    </w:lvl>
    <w:lvl w:ilvl="1">
      <w:start w:val="0"/>
      <w:numFmt w:val="bullet"/>
      <w:lvlText w:val="•"/>
      <w:lvlJc w:val="left"/>
      <w:pPr>
        <w:ind w:left="1081" w:hanging="180"/>
      </w:pPr>
      <w:rPr>
        <w:rFonts w:hint="default"/>
        <w:lang w:val="es-ES" w:eastAsia="es-ES" w:bidi="es-ES"/>
      </w:rPr>
    </w:lvl>
    <w:lvl w:ilvl="2">
      <w:start w:val="0"/>
      <w:numFmt w:val="bullet"/>
      <w:lvlText w:val="•"/>
      <w:lvlJc w:val="left"/>
      <w:pPr>
        <w:ind w:left="1822" w:hanging="180"/>
      </w:pPr>
      <w:rPr>
        <w:rFonts w:hint="default"/>
        <w:lang w:val="es-ES" w:eastAsia="es-ES" w:bidi="es-ES"/>
      </w:rPr>
    </w:lvl>
    <w:lvl w:ilvl="3">
      <w:start w:val="0"/>
      <w:numFmt w:val="bullet"/>
      <w:lvlText w:val="•"/>
      <w:lvlJc w:val="left"/>
      <w:pPr>
        <w:ind w:left="2563" w:hanging="180"/>
      </w:pPr>
      <w:rPr>
        <w:rFonts w:hint="default"/>
        <w:lang w:val="es-ES" w:eastAsia="es-ES" w:bidi="es-ES"/>
      </w:rPr>
    </w:lvl>
    <w:lvl w:ilvl="4">
      <w:start w:val="0"/>
      <w:numFmt w:val="bullet"/>
      <w:lvlText w:val="•"/>
      <w:lvlJc w:val="left"/>
      <w:pPr>
        <w:ind w:left="3304" w:hanging="180"/>
      </w:pPr>
      <w:rPr>
        <w:rFonts w:hint="default"/>
        <w:lang w:val="es-ES" w:eastAsia="es-ES" w:bidi="es-ES"/>
      </w:rPr>
    </w:lvl>
    <w:lvl w:ilvl="5">
      <w:start w:val="0"/>
      <w:numFmt w:val="bullet"/>
      <w:lvlText w:val="•"/>
      <w:lvlJc w:val="left"/>
      <w:pPr>
        <w:ind w:left="4045" w:hanging="180"/>
      </w:pPr>
      <w:rPr>
        <w:rFonts w:hint="default"/>
        <w:lang w:val="es-ES" w:eastAsia="es-ES" w:bidi="es-ES"/>
      </w:rPr>
    </w:lvl>
    <w:lvl w:ilvl="6">
      <w:start w:val="0"/>
      <w:numFmt w:val="bullet"/>
      <w:lvlText w:val="•"/>
      <w:lvlJc w:val="left"/>
      <w:pPr>
        <w:ind w:left="4786" w:hanging="180"/>
      </w:pPr>
      <w:rPr>
        <w:rFonts w:hint="default"/>
        <w:lang w:val="es-ES" w:eastAsia="es-ES" w:bidi="es-ES"/>
      </w:rPr>
    </w:lvl>
    <w:lvl w:ilvl="7">
      <w:start w:val="0"/>
      <w:numFmt w:val="bullet"/>
      <w:lvlText w:val="•"/>
      <w:lvlJc w:val="left"/>
      <w:pPr>
        <w:ind w:left="5527" w:hanging="180"/>
      </w:pPr>
      <w:rPr>
        <w:rFonts w:hint="default"/>
        <w:lang w:val="es-ES" w:eastAsia="es-ES" w:bidi="es-ES"/>
      </w:rPr>
    </w:lvl>
    <w:lvl w:ilvl="8">
      <w:start w:val="0"/>
      <w:numFmt w:val="bullet"/>
      <w:lvlText w:val="•"/>
      <w:lvlJc w:val="left"/>
      <w:pPr>
        <w:ind w:left="6268" w:hanging="180"/>
      </w:pPr>
      <w:rPr>
        <w:rFonts w:hint="default"/>
        <w:lang w:val="es-ES" w:eastAsia="es-ES" w:bidi="es-ES"/>
      </w:rPr>
    </w:lvl>
  </w:abstractNum>
  <w:abstractNum w:abstractNumId="188">
    <w:multiLevelType w:val="hybridMultilevel"/>
    <w:lvl w:ilvl="0">
      <w:start w:val="3"/>
      <w:numFmt w:val="upperRoman"/>
      <w:lvlText w:val="%1."/>
      <w:lvlJc w:val="left"/>
      <w:pPr>
        <w:ind w:left="150" w:hanging="224"/>
        <w:jc w:val="left"/>
      </w:pPr>
      <w:rPr>
        <w:rFonts w:hint="default" w:ascii="Arial" w:hAnsi="Arial" w:eastAsia="Arial" w:cs="Arial"/>
        <w:w w:val="102"/>
        <w:sz w:val="15"/>
        <w:szCs w:val="15"/>
        <w:lang w:val="es-ES" w:eastAsia="es-ES" w:bidi="es-ES"/>
      </w:rPr>
    </w:lvl>
    <w:lvl w:ilvl="1">
      <w:start w:val="0"/>
      <w:numFmt w:val="bullet"/>
      <w:lvlText w:val="•"/>
      <w:lvlJc w:val="left"/>
      <w:pPr>
        <w:ind w:left="919" w:hanging="224"/>
      </w:pPr>
      <w:rPr>
        <w:rFonts w:hint="default"/>
        <w:lang w:val="es-ES" w:eastAsia="es-ES" w:bidi="es-ES"/>
      </w:rPr>
    </w:lvl>
    <w:lvl w:ilvl="2">
      <w:start w:val="0"/>
      <w:numFmt w:val="bullet"/>
      <w:lvlText w:val="•"/>
      <w:lvlJc w:val="left"/>
      <w:pPr>
        <w:ind w:left="1678" w:hanging="224"/>
      </w:pPr>
      <w:rPr>
        <w:rFonts w:hint="default"/>
        <w:lang w:val="es-ES" w:eastAsia="es-ES" w:bidi="es-ES"/>
      </w:rPr>
    </w:lvl>
    <w:lvl w:ilvl="3">
      <w:start w:val="0"/>
      <w:numFmt w:val="bullet"/>
      <w:lvlText w:val="•"/>
      <w:lvlJc w:val="left"/>
      <w:pPr>
        <w:ind w:left="2437" w:hanging="224"/>
      </w:pPr>
      <w:rPr>
        <w:rFonts w:hint="default"/>
        <w:lang w:val="es-ES" w:eastAsia="es-ES" w:bidi="es-ES"/>
      </w:rPr>
    </w:lvl>
    <w:lvl w:ilvl="4">
      <w:start w:val="0"/>
      <w:numFmt w:val="bullet"/>
      <w:lvlText w:val="•"/>
      <w:lvlJc w:val="left"/>
      <w:pPr>
        <w:ind w:left="3196" w:hanging="224"/>
      </w:pPr>
      <w:rPr>
        <w:rFonts w:hint="default"/>
        <w:lang w:val="es-ES" w:eastAsia="es-ES" w:bidi="es-ES"/>
      </w:rPr>
    </w:lvl>
    <w:lvl w:ilvl="5">
      <w:start w:val="0"/>
      <w:numFmt w:val="bullet"/>
      <w:lvlText w:val="•"/>
      <w:lvlJc w:val="left"/>
      <w:pPr>
        <w:ind w:left="3955" w:hanging="224"/>
      </w:pPr>
      <w:rPr>
        <w:rFonts w:hint="default"/>
        <w:lang w:val="es-ES" w:eastAsia="es-ES" w:bidi="es-ES"/>
      </w:rPr>
    </w:lvl>
    <w:lvl w:ilvl="6">
      <w:start w:val="0"/>
      <w:numFmt w:val="bullet"/>
      <w:lvlText w:val="•"/>
      <w:lvlJc w:val="left"/>
      <w:pPr>
        <w:ind w:left="4714" w:hanging="224"/>
      </w:pPr>
      <w:rPr>
        <w:rFonts w:hint="default"/>
        <w:lang w:val="es-ES" w:eastAsia="es-ES" w:bidi="es-ES"/>
      </w:rPr>
    </w:lvl>
    <w:lvl w:ilvl="7">
      <w:start w:val="0"/>
      <w:numFmt w:val="bullet"/>
      <w:lvlText w:val="•"/>
      <w:lvlJc w:val="left"/>
      <w:pPr>
        <w:ind w:left="5473" w:hanging="224"/>
      </w:pPr>
      <w:rPr>
        <w:rFonts w:hint="default"/>
        <w:lang w:val="es-ES" w:eastAsia="es-ES" w:bidi="es-ES"/>
      </w:rPr>
    </w:lvl>
    <w:lvl w:ilvl="8">
      <w:start w:val="0"/>
      <w:numFmt w:val="bullet"/>
      <w:lvlText w:val="•"/>
      <w:lvlJc w:val="left"/>
      <w:pPr>
        <w:ind w:left="6232" w:hanging="224"/>
      </w:pPr>
      <w:rPr>
        <w:rFonts w:hint="default"/>
        <w:lang w:val="es-ES" w:eastAsia="es-ES" w:bidi="es-ES"/>
      </w:rPr>
    </w:lvl>
  </w:abstractNum>
  <w:abstractNum w:abstractNumId="187">
    <w:multiLevelType w:val="hybridMultilevel"/>
    <w:lvl w:ilvl="0">
      <w:start w:val="1"/>
      <w:numFmt w:val="lowerLetter"/>
      <w:lvlText w:val="%1)"/>
      <w:lvlJc w:val="left"/>
      <w:pPr>
        <w:ind w:left="271" w:hanging="172"/>
        <w:jc w:val="left"/>
      </w:pPr>
      <w:rPr>
        <w:rFonts w:hint="default" w:ascii="Arial" w:hAnsi="Arial" w:eastAsia="Arial" w:cs="Arial"/>
        <w:w w:val="102"/>
        <w:sz w:val="15"/>
        <w:szCs w:val="15"/>
        <w:lang w:val="es-ES" w:eastAsia="es-ES" w:bidi="es-ES"/>
      </w:rPr>
    </w:lvl>
    <w:lvl w:ilvl="1">
      <w:start w:val="0"/>
      <w:numFmt w:val="bullet"/>
      <w:lvlText w:val="•"/>
      <w:lvlJc w:val="left"/>
      <w:pPr>
        <w:ind w:left="982" w:hanging="172"/>
      </w:pPr>
      <w:rPr>
        <w:rFonts w:hint="default"/>
        <w:lang w:val="es-ES" w:eastAsia="es-ES" w:bidi="es-ES"/>
      </w:rPr>
    </w:lvl>
    <w:lvl w:ilvl="2">
      <w:start w:val="0"/>
      <w:numFmt w:val="bullet"/>
      <w:lvlText w:val="•"/>
      <w:lvlJc w:val="left"/>
      <w:pPr>
        <w:ind w:left="1684" w:hanging="172"/>
      </w:pPr>
      <w:rPr>
        <w:rFonts w:hint="default"/>
        <w:lang w:val="es-ES" w:eastAsia="es-ES" w:bidi="es-ES"/>
      </w:rPr>
    </w:lvl>
    <w:lvl w:ilvl="3">
      <w:start w:val="0"/>
      <w:numFmt w:val="bullet"/>
      <w:lvlText w:val="•"/>
      <w:lvlJc w:val="left"/>
      <w:pPr>
        <w:ind w:left="2386" w:hanging="172"/>
      </w:pPr>
      <w:rPr>
        <w:rFonts w:hint="default"/>
        <w:lang w:val="es-ES" w:eastAsia="es-ES" w:bidi="es-ES"/>
      </w:rPr>
    </w:lvl>
    <w:lvl w:ilvl="4">
      <w:start w:val="0"/>
      <w:numFmt w:val="bullet"/>
      <w:lvlText w:val="•"/>
      <w:lvlJc w:val="left"/>
      <w:pPr>
        <w:ind w:left="3088" w:hanging="172"/>
      </w:pPr>
      <w:rPr>
        <w:rFonts w:hint="default"/>
        <w:lang w:val="es-ES" w:eastAsia="es-ES" w:bidi="es-ES"/>
      </w:rPr>
    </w:lvl>
    <w:lvl w:ilvl="5">
      <w:start w:val="0"/>
      <w:numFmt w:val="bullet"/>
      <w:lvlText w:val="•"/>
      <w:lvlJc w:val="left"/>
      <w:pPr>
        <w:ind w:left="3790" w:hanging="172"/>
      </w:pPr>
      <w:rPr>
        <w:rFonts w:hint="default"/>
        <w:lang w:val="es-ES" w:eastAsia="es-ES" w:bidi="es-ES"/>
      </w:rPr>
    </w:lvl>
    <w:lvl w:ilvl="6">
      <w:start w:val="0"/>
      <w:numFmt w:val="bullet"/>
      <w:lvlText w:val="•"/>
      <w:lvlJc w:val="left"/>
      <w:pPr>
        <w:ind w:left="4492" w:hanging="172"/>
      </w:pPr>
      <w:rPr>
        <w:rFonts w:hint="default"/>
        <w:lang w:val="es-ES" w:eastAsia="es-ES" w:bidi="es-ES"/>
      </w:rPr>
    </w:lvl>
    <w:lvl w:ilvl="7">
      <w:start w:val="0"/>
      <w:numFmt w:val="bullet"/>
      <w:lvlText w:val="•"/>
      <w:lvlJc w:val="left"/>
      <w:pPr>
        <w:ind w:left="5194" w:hanging="172"/>
      </w:pPr>
      <w:rPr>
        <w:rFonts w:hint="default"/>
        <w:lang w:val="es-ES" w:eastAsia="es-ES" w:bidi="es-ES"/>
      </w:rPr>
    </w:lvl>
    <w:lvl w:ilvl="8">
      <w:start w:val="0"/>
      <w:numFmt w:val="bullet"/>
      <w:lvlText w:val="•"/>
      <w:lvlJc w:val="left"/>
      <w:pPr>
        <w:ind w:left="5897" w:hanging="172"/>
      </w:pPr>
      <w:rPr>
        <w:rFonts w:hint="default"/>
        <w:lang w:val="es-ES" w:eastAsia="es-ES" w:bidi="es-ES"/>
      </w:rPr>
    </w:lvl>
  </w:abstractNum>
  <w:abstractNum w:abstractNumId="186">
    <w:multiLevelType w:val="hybridMultilevel"/>
    <w:lvl w:ilvl="0">
      <w:start w:val="1"/>
      <w:numFmt w:val="upperRoman"/>
      <w:lvlText w:val="%1."/>
      <w:lvlJc w:val="left"/>
      <w:pPr>
        <w:ind w:left="680" w:hanging="133"/>
        <w:jc w:val="right"/>
      </w:pPr>
      <w:rPr>
        <w:rFonts w:hint="default" w:ascii="Arial" w:hAnsi="Arial" w:eastAsia="Arial" w:cs="Arial"/>
        <w:w w:val="102"/>
        <w:sz w:val="15"/>
        <w:szCs w:val="15"/>
        <w:lang w:val="es-ES" w:eastAsia="es-ES" w:bidi="es-ES"/>
      </w:rPr>
    </w:lvl>
    <w:lvl w:ilvl="1">
      <w:start w:val="9"/>
      <w:numFmt w:val="upperRoman"/>
      <w:lvlText w:val="%2."/>
      <w:lvlJc w:val="left"/>
      <w:pPr>
        <w:ind w:left="151" w:hanging="266"/>
        <w:jc w:val="left"/>
      </w:pPr>
      <w:rPr>
        <w:rFonts w:hint="default" w:ascii="Arial" w:hAnsi="Arial" w:eastAsia="Arial" w:cs="Arial"/>
        <w:spacing w:val="-1"/>
        <w:w w:val="102"/>
        <w:sz w:val="15"/>
        <w:szCs w:val="15"/>
        <w:lang w:val="es-ES" w:eastAsia="es-ES" w:bidi="es-ES"/>
      </w:rPr>
    </w:lvl>
    <w:lvl w:ilvl="2">
      <w:start w:val="0"/>
      <w:numFmt w:val="bullet"/>
      <w:lvlText w:val="•"/>
      <w:lvlJc w:val="left"/>
      <w:pPr>
        <w:ind w:left="174" w:hanging="266"/>
      </w:pPr>
      <w:rPr>
        <w:rFonts w:hint="default"/>
        <w:lang w:val="es-ES" w:eastAsia="es-ES" w:bidi="es-ES"/>
      </w:rPr>
    </w:lvl>
    <w:lvl w:ilvl="3">
      <w:start w:val="0"/>
      <w:numFmt w:val="bullet"/>
      <w:lvlText w:val="•"/>
      <w:lvlJc w:val="left"/>
      <w:pPr>
        <w:ind w:left="-332" w:hanging="266"/>
      </w:pPr>
      <w:rPr>
        <w:rFonts w:hint="default"/>
        <w:lang w:val="es-ES" w:eastAsia="es-ES" w:bidi="es-ES"/>
      </w:rPr>
    </w:lvl>
    <w:lvl w:ilvl="4">
      <w:start w:val="0"/>
      <w:numFmt w:val="bullet"/>
      <w:lvlText w:val="•"/>
      <w:lvlJc w:val="left"/>
      <w:pPr>
        <w:ind w:left="-838" w:hanging="266"/>
      </w:pPr>
      <w:rPr>
        <w:rFonts w:hint="default"/>
        <w:lang w:val="es-ES" w:eastAsia="es-ES" w:bidi="es-ES"/>
      </w:rPr>
    </w:lvl>
    <w:lvl w:ilvl="5">
      <w:start w:val="0"/>
      <w:numFmt w:val="bullet"/>
      <w:lvlText w:val="•"/>
      <w:lvlJc w:val="left"/>
      <w:pPr>
        <w:ind w:left="-1343" w:hanging="266"/>
      </w:pPr>
      <w:rPr>
        <w:rFonts w:hint="default"/>
        <w:lang w:val="es-ES" w:eastAsia="es-ES" w:bidi="es-ES"/>
      </w:rPr>
    </w:lvl>
    <w:lvl w:ilvl="6">
      <w:start w:val="0"/>
      <w:numFmt w:val="bullet"/>
      <w:lvlText w:val="•"/>
      <w:lvlJc w:val="left"/>
      <w:pPr>
        <w:ind w:left="-1849" w:hanging="266"/>
      </w:pPr>
      <w:rPr>
        <w:rFonts w:hint="default"/>
        <w:lang w:val="es-ES" w:eastAsia="es-ES" w:bidi="es-ES"/>
      </w:rPr>
    </w:lvl>
    <w:lvl w:ilvl="7">
      <w:start w:val="0"/>
      <w:numFmt w:val="bullet"/>
      <w:lvlText w:val="•"/>
      <w:lvlJc w:val="left"/>
      <w:pPr>
        <w:ind w:left="-2355" w:hanging="266"/>
      </w:pPr>
      <w:rPr>
        <w:rFonts w:hint="default"/>
        <w:lang w:val="es-ES" w:eastAsia="es-ES" w:bidi="es-ES"/>
      </w:rPr>
    </w:lvl>
    <w:lvl w:ilvl="8">
      <w:start w:val="0"/>
      <w:numFmt w:val="bullet"/>
      <w:lvlText w:val="•"/>
      <w:lvlJc w:val="left"/>
      <w:pPr>
        <w:ind w:left="-2861" w:hanging="266"/>
      </w:pPr>
      <w:rPr>
        <w:rFonts w:hint="default"/>
        <w:lang w:val="es-ES" w:eastAsia="es-ES" w:bidi="es-ES"/>
      </w:rPr>
    </w:lvl>
  </w:abstractNum>
  <w:abstractNum w:abstractNumId="185">
    <w:multiLevelType w:val="hybridMultilevel"/>
    <w:lvl w:ilvl="0">
      <w:start w:val="5"/>
      <w:numFmt w:val="lowerLetter"/>
      <w:lvlText w:val="%1)"/>
      <w:lvlJc w:val="left"/>
      <w:pPr>
        <w:ind w:left="727"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10" w:hanging="180"/>
      </w:pPr>
      <w:rPr>
        <w:rFonts w:hint="default"/>
        <w:lang w:val="es-ES" w:eastAsia="es-ES" w:bidi="es-ES"/>
      </w:rPr>
    </w:lvl>
    <w:lvl w:ilvl="2">
      <w:start w:val="0"/>
      <w:numFmt w:val="bullet"/>
      <w:lvlText w:val="•"/>
      <w:lvlJc w:val="left"/>
      <w:pPr>
        <w:ind w:left="1701" w:hanging="180"/>
      </w:pPr>
      <w:rPr>
        <w:rFonts w:hint="default"/>
        <w:lang w:val="es-ES" w:eastAsia="es-ES" w:bidi="es-ES"/>
      </w:rPr>
    </w:lvl>
    <w:lvl w:ilvl="3">
      <w:start w:val="0"/>
      <w:numFmt w:val="bullet"/>
      <w:lvlText w:val="•"/>
      <w:lvlJc w:val="left"/>
      <w:pPr>
        <w:ind w:left="2192" w:hanging="180"/>
      </w:pPr>
      <w:rPr>
        <w:rFonts w:hint="default"/>
        <w:lang w:val="es-ES" w:eastAsia="es-ES" w:bidi="es-ES"/>
      </w:rPr>
    </w:lvl>
    <w:lvl w:ilvl="4">
      <w:start w:val="0"/>
      <w:numFmt w:val="bullet"/>
      <w:lvlText w:val="•"/>
      <w:lvlJc w:val="left"/>
      <w:pPr>
        <w:ind w:left="2683" w:hanging="180"/>
      </w:pPr>
      <w:rPr>
        <w:rFonts w:hint="default"/>
        <w:lang w:val="es-ES" w:eastAsia="es-ES" w:bidi="es-ES"/>
      </w:rPr>
    </w:lvl>
    <w:lvl w:ilvl="5">
      <w:start w:val="0"/>
      <w:numFmt w:val="bullet"/>
      <w:lvlText w:val="•"/>
      <w:lvlJc w:val="left"/>
      <w:pPr>
        <w:ind w:left="3174" w:hanging="180"/>
      </w:pPr>
      <w:rPr>
        <w:rFonts w:hint="default"/>
        <w:lang w:val="es-ES" w:eastAsia="es-ES" w:bidi="es-ES"/>
      </w:rPr>
    </w:lvl>
    <w:lvl w:ilvl="6">
      <w:start w:val="0"/>
      <w:numFmt w:val="bullet"/>
      <w:lvlText w:val="•"/>
      <w:lvlJc w:val="left"/>
      <w:pPr>
        <w:ind w:left="3665" w:hanging="180"/>
      </w:pPr>
      <w:rPr>
        <w:rFonts w:hint="default"/>
        <w:lang w:val="es-ES" w:eastAsia="es-ES" w:bidi="es-ES"/>
      </w:rPr>
    </w:lvl>
    <w:lvl w:ilvl="7">
      <w:start w:val="0"/>
      <w:numFmt w:val="bullet"/>
      <w:lvlText w:val="•"/>
      <w:lvlJc w:val="left"/>
      <w:pPr>
        <w:ind w:left="4156" w:hanging="180"/>
      </w:pPr>
      <w:rPr>
        <w:rFonts w:hint="default"/>
        <w:lang w:val="es-ES" w:eastAsia="es-ES" w:bidi="es-ES"/>
      </w:rPr>
    </w:lvl>
    <w:lvl w:ilvl="8">
      <w:start w:val="0"/>
      <w:numFmt w:val="bullet"/>
      <w:lvlText w:val="•"/>
      <w:lvlJc w:val="left"/>
      <w:pPr>
        <w:ind w:left="4647" w:hanging="180"/>
      </w:pPr>
      <w:rPr>
        <w:rFonts w:hint="default"/>
        <w:lang w:val="es-ES" w:eastAsia="es-ES" w:bidi="es-ES"/>
      </w:rPr>
    </w:lvl>
  </w:abstractNum>
  <w:abstractNum w:abstractNumId="184">
    <w:multiLevelType w:val="hybridMultilevel"/>
    <w:lvl w:ilvl="0">
      <w:start w:val="1"/>
      <w:numFmt w:val="lowerLetter"/>
      <w:lvlText w:val="%1)"/>
      <w:lvlJc w:val="left"/>
      <w:pPr>
        <w:ind w:left="727"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80"/>
      </w:pPr>
      <w:rPr>
        <w:rFonts w:hint="default"/>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0" w:hanging="180"/>
      </w:pPr>
      <w:rPr>
        <w:rFonts w:hint="default"/>
        <w:lang w:val="es-ES" w:eastAsia="es-ES" w:bidi="es-ES"/>
      </w:rPr>
    </w:lvl>
    <w:lvl w:ilvl="6">
      <w:start w:val="0"/>
      <w:numFmt w:val="bullet"/>
      <w:lvlText w:val="•"/>
      <w:lvlJc w:val="left"/>
      <w:pPr>
        <w:ind w:left="5221"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183">
    <w:multiLevelType w:val="hybridMultilevel"/>
    <w:lvl w:ilvl="0">
      <w:start w:val="4"/>
      <w:numFmt w:val="upperRoman"/>
      <w:lvlText w:val="%1."/>
      <w:lvlJc w:val="left"/>
      <w:pPr>
        <w:ind w:left="150" w:hanging="244"/>
        <w:jc w:val="left"/>
      </w:pPr>
      <w:rPr>
        <w:rFonts w:hint="default" w:ascii="Arial" w:hAnsi="Arial" w:eastAsia="Arial" w:cs="Arial"/>
        <w:spacing w:val="-15"/>
        <w:w w:val="102"/>
        <w:sz w:val="15"/>
        <w:szCs w:val="15"/>
        <w:lang w:val="es-ES" w:eastAsia="es-ES" w:bidi="es-ES"/>
      </w:rPr>
    </w:lvl>
    <w:lvl w:ilvl="1">
      <w:start w:val="0"/>
      <w:numFmt w:val="bullet"/>
      <w:lvlText w:val="•"/>
      <w:lvlJc w:val="left"/>
      <w:pPr>
        <w:ind w:left="966" w:hanging="244"/>
      </w:pPr>
      <w:rPr>
        <w:rFonts w:hint="default"/>
        <w:lang w:val="es-ES" w:eastAsia="es-ES" w:bidi="es-ES"/>
      </w:rPr>
    </w:lvl>
    <w:lvl w:ilvl="2">
      <w:start w:val="0"/>
      <w:numFmt w:val="bullet"/>
      <w:lvlText w:val="•"/>
      <w:lvlJc w:val="left"/>
      <w:pPr>
        <w:ind w:left="1772" w:hanging="244"/>
      </w:pPr>
      <w:rPr>
        <w:rFonts w:hint="default"/>
        <w:lang w:val="es-ES" w:eastAsia="es-ES" w:bidi="es-ES"/>
      </w:rPr>
    </w:lvl>
    <w:lvl w:ilvl="3">
      <w:start w:val="0"/>
      <w:numFmt w:val="bullet"/>
      <w:lvlText w:val="•"/>
      <w:lvlJc w:val="left"/>
      <w:pPr>
        <w:ind w:left="2578" w:hanging="244"/>
      </w:pPr>
      <w:rPr>
        <w:rFonts w:hint="default"/>
        <w:lang w:val="es-ES" w:eastAsia="es-ES" w:bidi="es-ES"/>
      </w:rPr>
    </w:lvl>
    <w:lvl w:ilvl="4">
      <w:start w:val="0"/>
      <w:numFmt w:val="bullet"/>
      <w:lvlText w:val="•"/>
      <w:lvlJc w:val="left"/>
      <w:pPr>
        <w:ind w:left="3384" w:hanging="244"/>
      </w:pPr>
      <w:rPr>
        <w:rFonts w:hint="default"/>
        <w:lang w:val="es-ES" w:eastAsia="es-ES" w:bidi="es-ES"/>
      </w:rPr>
    </w:lvl>
    <w:lvl w:ilvl="5">
      <w:start w:val="0"/>
      <w:numFmt w:val="bullet"/>
      <w:lvlText w:val="•"/>
      <w:lvlJc w:val="left"/>
      <w:pPr>
        <w:ind w:left="4190" w:hanging="244"/>
      </w:pPr>
      <w:rPr>
        <w:rFonts w:hint="default"/>
        <w:lang w:val="es-ES" w:eastAsia="es-ES" w:bidi="es-ES"/>
      </w:rPr>
    </w:lvl>
    <w:lvl w:ilvl="6">
      <w:start w:val="0"/>
      <w:numFmt w:val="bullet"/>
      <w:lvlText w:val="•"/>
      <w:lvlJc w:val="left"/>
      <w:pPr>
        <w:ind w:left="4997" w:hanging="244"/>
      </w:pPr>
      <w:rPr>
        <w:rFonts w:hint="default"/>
        <w:lang w:val="es-ES" w:eastAsia="es-ES" w:bidi="es-ES"/>
      </w:rPr>
    </w:lvl>
    <w:lvl w:ilvl="7">
      <w:start w:val="0"/>
      <w:numFmt w:val="bullet"/>
      <w:lvlText w:val="•"/>
      <w:lvlJc w:val="left"/>
      <w:pPr>
        <w:ind w:left="5803" w:hanging="244"/>
      </w:pPr>
      <w:rPr>
        <w:rFonts w:hint="default"/>
        <w:lang w:val="es-ES" w:eastAsia="es-ES" w:bidi="es-ES"/>
      </w:rPr>
    </w:lvl>
    <w:lvl w:ilvl="8">
      <w:start w:val="0"/>
      <w:numFmt w:val="bullet"/>
      <w:lvlText w:val="•"/>
      <w:lvlJc w:val="left"/>
      <w:pPr>
        <w:ind w:left="6609" w:hanging="244"/>
      </w:pPr>
      <w:rPr>
        <w:rFonts w:hint="default"/>
        <w:lang w:val="es-ES" w:eastAsia="es-ES" w:bidi="es-ES"/>
      </w:rPr>
    </w:lvl>
  </w:abstractNum>
  <w:abstractNum w:abstractNumId="182">
    <w:multiLevelType w:val="hybridMultilevel"/>
    <w:lvl w:ilvl="0">
      <w:start w:val="11"/>
      <w:numFmt w:val="lowerLetter"/>
      <w:lvlText w:val="%1)"/>
      <w:lvlJc w:val="left"/>
      <w:pPr>
        <w:ind w:left="150" w:hanging="198"/>
        <w:jc w:val="left"/>
      </w:pPr>
      <w:rPr>
        <w:rFonts w:hint="default" w:ascii="Arial" w:hAnsi="Arial" w:eastAsia="Arial" w:cs="Arial"/>
        <w:w w:val="102"/>
        <w:sz w:val="15"/>
        <w:szCs w:val="15"/>
        <w:lang w:val="es-ES" w:eastAsia="es-ES" w:bidi="es-ES"/>
      </w:rPr>
    </w:lvl>
    <w:lvl w:ilvl="1">
      <w:start w:val="0"/>
      <w:numFmt w:val="bullet"/>
      <w:lvlText w:val="•"/>
      <w:lvlJc w:val="left"/>
      <w:pPr>
        <w:ind w:left="966" w:hanging="198"/>
      </w:pPr>
      <w:rPr>
        <w:rFonts w:hint="default"/>
        <w:lang w:val="es-ES" w:eastAsia="es-ES" w:bidi="es-ES"/>
      </w:rPr>
    </w:lvl>
    <w:lvl w:ilvl="2">
      <w:start w:val="0"/>
      <w:numFmt w:val="bullet"/>
      <w:lvlText w:val="•"/>
      <w:lvlJc w:val="left"/>
      <w:pPr>
        <w:ind w:left="1772" w:hanging="198"/>
      </w:pPr>
      <w:rPr>
        <w:rFonts w:hint="default"/>
        <w:lang w:val="es-ES" w:eastAsia="es-ES" w:bidi="es-ES"/>
      </w:rPr>
    </w:lvl>
    <w:lvl w:ilvl="3">
      <w:start w:val="0"/>
      <w:numFmt w:val="bullet"/>
      <w:lvlText w:val="•"/>
      <w:lvlJc w:val="left"/>
      <w:pPr>
        <w:ind w:left="2578" w:hanging="198"/>
      </w:pPr>
      <w:rPr>
        <w:rFonts w:hint="default"/>
        <w:lang w:val="es-ES" w:eastAsia="es-ES" w:bidi="es-ES"/>
      </w:rPr>
    </w:lvl>
    <w:lvl w:ilvl="4">
      <w:start w:val="0"/>
      <w:numFmt w:val="bullet"/>
      <w:lvlText w:val="•"/>
      <w:lvlJc w:val="left"/>
      <w:pPr>
        <w:ind w:left="3384" w:hanging="198"/>
      </w:pPr>
      <w:rPr>
        <w:rFonts w:hint="default"/>
        <w:lang w:val="es-ES" w:eastAsia="es-ES" w:bidi="es-ES"/>
      </w:rPr>
    </w:lvl>
    <w:lvl w:ilvl="5">
      <w:start w:val="0"/>
      <w:numFmt w:val="bullet"/>
      <w:lvlText w:val="•"/>
      <w:lvlJc w:val="left"/>
      <w:pPr>
        <w:ind w:left="4190" w:hanging="198"/>
      </w:pPr>
      <w:rPr>
        <w:rFonts w:hint="default"/>
        <w:lang w:val="es-ES" w:eastAsia="es-ES" w:bidi="es-ES"/>
      </w:rPr>
    </w:lvl>
    <w:lvl w:ilvl="6">
      <w:start w:val="0"/>
      <w:numFmt w:val="bullet"/>
      <w:lvlText w:val="•"/>
      <w:lvlJc w:val="left"/>
      <w:pPr>
        <w:ind w:left="4997" w:hanging="198"/>
      </w:pPr>
      <w:rPr>
        <w:rFonts w:hint="default"/>
        <w:lang w:val="es-ES" w:eastAsia="es-ES" w:bidi="es-ES"/>
      </w:rPr>
    </w:lvl>
    <w:lvl w:ilvl="7">
      <w:start w:val="0"/>
      <w:numFmt w:val="bullet"/>
      <w:lvlText w:val="•"/>
      <w:lvlJc w:val="left"/>
      <w:pPr>
        <w:ind w:left="5803" w:hanging="198"/>
      </w:pPr>
      <w:rPr>
        <w:rFonts w:hint="default"/>
        <w:lang w:val="es-ES" w:eastAsia="es-ES" w:bidi="es-ES"/>
      </w:rPr>
    </w:lvl>
    <w:lvl w:ilvl="8">
      <w:start w:val="0"/>
      <w:numFmt w:val="bullet"/>
      <w:lvlText w:val="•"/>
      <w:lvlJc w:val="left"/>
      <w:pPr>
        <w:ind w:left="6609" w:hanging="198"/>
      </w:pPr>
      <w:rPr>
        <w:rFonts w:hint="default"/>
        <w:lang w:val="es-ES" w:eastAsia="es-ES" w:bidi="es-ES"/>
      </w:rPr>
    </w:lvl>
  </w:abstractNum>
  <w:abstractNum w:abstractNumId="181">
    <w:multiLevelType w:val="hybridMultilevel"/>
    <w:lvl w:ilvl="0">
      <w:start w:val="1"/>
      <w:numFmt w:val="decimal"/>
      <w:lvlText w:val="%1."/>
      <w:lvlJc w:val="left"/>
      <w:pPr>
        <w:ind w:left="756" w:hanging="209"/>
        <w:jc w:val="left"/>
      </w:pPr>
      <w:rPr>
        <w:rFonts w:hint="default" w:ascii="Arial" w:hAnsi="Arial" w:eastAsia="Arial" w:cs="Arial"/>
        <w:w w:val="102"/>
        <w:sz w:val="15"/>
        <w:szCs w:val="15"/>
        <w:lang w:val="es-ES" w:eastAsia="es-ES" w:bidi="es-ES"/>
      </w:rPr>
    </w:lvl>
    <w:lvl w:ilvl="1">
      <w:start w:val="0"/>
      <w:numFmt w:val="bullet"/>
      <w:lvlText w:val="•"/>
      <w:lvlJc w:val="left"/>
      <w:pPr>
        <w:ind w:left="1237" w:hanging="209"/>
      </w:pPr>
      <w:rPr>
        <w:rFonts w:hint="default"/>
        <w:lang w:val="es-ES" w:eastAsia="es-ES" w:bidi="es-ES"/>
      </w:rPr>
    </w:lvl>
    <w:lvl w:ilvl="2">
      <w:start w:val="0"/>
      <w:numFmt w:val="bullet"/>
      <w:lvlText w:val="•"/>
      <w:lvlJc w:val="left"/>
      <w:pPr>
        <w:ind w:left="1714" w:hanging="209"/>
      </w:pPr>
      <w:rPr>
        <w:rFonts w:hint="default"/>
        <w:lang w:val="es-ES" w:eastAsia="es-ES" w:bidi="es-ES"/>
      </w:rPr>
    </w:lvl>
    <w:lvl w:ilvl="3">
      <w:start w:val="0"/>
      <w:numFmt w:val="bullet"/>
      <w:lvlText w:val="•"/>
      <w:lvlJc w:val="left"/>
      <w:pPr>
        <w:ind w:left="2191" w:hanging="209"/>
      </w:pPr>
      <w:rPr>
        <w:rFonts w:hint="default"/>
        <w:lang w:val="es-ES" w:eastAsia="es-ES" w:bidi="es-ES"/>
      </w:rPr>
    </w:lvl>
    <w:lvl w:ilvl="4">
      <w:start w:val="0"/>
      <w:numFmt w:val="bullet"/>
      <w:lvlText w:val="•"/>
      <w:lvlJc w:val="left"/>
      <w:pPr>
        <w:ind w:left="2668" w:hanging="209"/>
      </w:pPr>
      <w:rPr>
        <w:rFonts w:hint="default"/>
        <w:lang w:val="es-ES" w:eastAsia="es-ES" w:bidi="es-ES"/>
      </w:rPr>
    </w:lvl>
    <w:lvl w:ilvl="5">
      <w:start w:val="0"/>
      <w:numFmt w:val="bullet"/>
      <w:lvlText w:val="•"/>
      <w:lvlJc w:val="left"/>
      <w:pPr>
        <w:ind w:left="3145" w:hanging="209"/>
      </w:pPr>
      <w:rPr>
        <w:rFonts w:hint="default"/>
        <w:lang w:val="es-ES" w:eastAsia="es-ES" w:bidi="es-ES"/>
      </w:rPr>
    </w:lvl>
    <w:lvl w:ilvl="6">
      <w:start w:val="0"/>
      <w:numFmt w:val="bullet"/>
      <w:lvlText w:val="•"/>
      <w:lvlJc w:val="left"/>
      <w:pPr>
        <w:ind w:left="3622" w:hanging="209"/>
      </w:pPr>
      <w:rPr>
        <w:rFonts w:hint="default"/>
        <w:lang w:val="es-ES" w:eastAsia="es-ES" w:bidi="es-ES"/>
      </w:rPr>
    </w:lvl>
    <w:lvl w:ilvl="7">
      <w:start w:val="0"/>
      <w:numFmt w:val="bullet"/>
      <w:lvlText w:val="•"/>
      <w:lvlJc w:val="left"/>
      <w:pPr>
        <w:ind w:left="4099" w:hanging="209"/>
      </w:pPr>
      <w:rPr>
        <w:rFonts w:hint="default"/>
        <w:lang w:val="es-ES" w:eastAsia="es-ES" w:bidi="es-ES"/>
      </w:rPr>
    </w:lvl>
    <w:lvl w:ilvl="8">
      <w:start w:val="0"/>
      <w:numFmt w:val="bullet"/>
      <w:lvlText w:val="•"/>
      <w:lvlJc w:val="left"/>
      <w:pPr>
        <w:ind w:left="4576" w:hanging="209"/>
      </w:pPr>
      <w:rPr>
        <w:rFonts w:hint="default"/>
        <w:lang w:val="es-ES" w:eastAsia="es-ES" w:bidi="es-ES"/>
      </w:rPr>
    </w:lvl>
  </w:abstractNum>
  <w:abstractNum w:abstractNumId="180">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01" w:hanging="180"/>
      </w:pPr>
      <w:rPr>
        <w:rFonts w:hint="default"/>
        <w:lang w:val="es-ES" w:eastAsia="es-ES" w:bidi="es-ES"/>
      </w:rPr>
    </w:lvl>
    <w:lvl w:ilvl="2">
      <w:start w:val="0"/>
      <w:numFmt w:val="bullet"/>
      <w:lvlText w:val="•"/>
      <w:lvlJc w:val="left"/>
      <w:pPr>
        <w:ind w:left="1682" w:hanging="180"/>
      </w:pPr>
      <w:rPr>
        <w:rFonts w:hint="default"/>
        <w:lang w:val="es-ES" w:eastAsia="es-ES" w:bidi="es-ES"/>
      </w:rPr>
    </w:lvl>
    <w:lvl w:ilvl="3">
      <w:start w:val="0"/>
      <w:numFmt w:val="bullet"/>
      <w:lvlText w:val="•"/>
      <w:lvlJc w:val="left"/>
      <w:pPr>
        <w:ind w:left="2163" w:hanging="180"/>
      </w:pPr>
      <w:rPr>
        <w:rFonts w:hint="default"/>
        <w:lang w:val="es-ES" w:eastAsia="es-ES" w:bidi="es-ES"/>
      </w:rPr>
    </w:lvl>
    <w:lvl w:ilvl="4">
      <w:start w:val="0"/>
      <w:numFmt w:val="bullet"/>
      <w:lvlText w:val="•"/>
      <w:lvlJc w:val="left"/>
      <w:pPr>
        <w:ind w:left="2644" w:hanging="180"/>
      </w:pPr>
      <w:rPr>
        <w:rFonts w:hint="default"/>
        <w:lang w:val="es-ES" w:eastAsia="es-ES" w:bidi="es-ES"/>
      </w:rPr>
    </w:lvl>
    <w:lvl w:ilvl="5">
      <w:start w:val="0"/>
      <w:numFmt w:val="bullet"/>
      <w:lvlText w:val="•"/>
      <w:lvlJc w:val="left"/>
      <w:pPr>
        <w:ind w:left="3125" w:hanging="180"/>
      </w:pPr>
      <w:rPr>
        <w:rFonts w:hint="default"/>
        <w:lang w:val="es-ES" w:eastAsia="es-ES" w:bidi="es-ES"/>
      </w:rPr>
    </w:lvl>
    <w:lvl w:ilvl="6">
      <w:start w:val="0"/>
      <w:numFmt w:val="bullet"/>
      <w:lvlText w:val="•"/>
      <w:lvlJc w:val="left"/>
      <w:pPr>
        <w:ind w:left="3606" w:hanging="180"/>
      </w:pPr>
      <w:rPr>
        <w:rFonts w:hint="default"/>
        <w:lang w:val="es-ES" w:eastAsia="es-ES" w:bidi="es-ES"/>
      </w:rPr>
    </w:lvl>
    <w:lvl w:ilvl="7">
      <w:start w:val="0"/>
      <w:numFmt w:val="bullet"/>
      <w:lvlText w:val="•"/>
      <w:lvlJc w:val="left"/>
      <w:pPr>
        <w:ind w:left="4087" w:hanging="180"/>
      </w:pPr>
      <w:rPr>
        <w:rFonts w:hint="default"/>
        <w:lang w:val="es-ES" w:eastAsia="es-ES" w:bidi="es-ES"/>
      </w:rPr>
    </w:lvl>
    <w:lvl w:ilvl="8">
      <w:start w:val="0"/>
      <w:numFmt w:val="bullet"/>
      <w:lvlText w:val="•"/>
      <w:lvlJc w:val="left"/>
      <w:pPr>
        <w:ind w:left="4568" w:hanging="180"/>
      </w:pPr>
      <w:rPr>
        <w:rFonts w:hint="default"/>
        <w:lang w:val="es-ES" w:eastAsia="es-ES" w:bidi="es-ES"/>
      </w:rPr>
    </w:lvl>
  </w:abstractNum>
  <w:abstractNum w:abstractNumId="179">
    <w:multiLevelType w:val="hybridMultilevel"/>
    <w:lvl w:ilvl="0">
      <w:start w:val="3"/>
      <w:numFmt w:val="upperRoman"/>
      <w:lvlText w:val="%1."/>
      <w:lvlJc w:val="left"/>
      <w:pPr>
        <w:ind w:left="778" w:hanging="231"/>
        <w:jc w:val="left"/>
      </w:pPr>
      <w:rPr>
        <w:rFonts w:hint="default" w:ascii="Arial" w:hAnsi="Arial" w:eastAsia="Arial" w:cs="Arial"/>
        <w:w w:val="102"/>
        <w:sz w:val="15"/>
        <w:szCs w:val="15"/>
        <w:lang w:val="es-ES" w:eastAsia="es-ES" w:bidi="es-ES"/>
      </w:rPr>
    </w:lvl>
    <w:lvl w:ilvl="1">
      <w:start w:val="0"/>
      <w:numFmt w:val="bullet"/>
      <w:lvlText w:val="•"/>
      <w:lvlJc w:val="left"/>
      <w:pPr>
        <w:ind w:left="1255" w:hanging="231"/>
      </w:pPr>
      <w:rPr>
        <w:rFonts w:hint="default"/>
        <w:lang w:val="es-ES" w:eastAsia="es-ES" w:bidi="es-ES"/>
      </w:rPr>
    </w:lvl>
    <w:lvl w:ilvl="2">
      <w:start w:val="0"/>
      <w:numFmt w:val="bullet"/>
      <w:lvlText w:val="•"/>
      <w:lvlJc w:val="left"/>
      <w:pPr>
        <w:ind w:left="1730" w:hanging="231"/>
      </w:pPr>
      <w:rPr>
        <w:rFonts w:hint="default"/>
        <w:lang w:val="es-ES" w:eastAsia="es-ES" w:bidi="es-ES"/>
      </w:rPr>
    </w:lvl>
    <w:lvl w:ilvl="3">
      <w:start w:val="0"/>
      <w:numFmt w:val="bullet"/>
      <w:lvlText w:val="•"/>
      <w:lvlJc w:val="left"/>
      <w:pPr>
        <w:ind w:left="2205" w:hanging="231"/>
      </w:pPr>
      <w:rPr>
        <w:rFonts w:hint="default"/>
        <w:lang w:val="es-ES" w:eastAsia="es-ES" w:bidi="es-ES"/>
      </w:rPr>
    </w:lvl>
    <w:lvl w:ilvl="4">
      <w:start w:val="0"/>
      <w:numFmt w:val="bullet"/>
      <w:lvlText w:val="•"/>
      <w:lvlJc w:val="left"/>
      <w:pPr>
        <w:ind w:left="2680" w:hanging="231"/>
      </w:pPr>
      <w:rPr>
        <w:rFonts w:hint="default"/>
        <w:lang w:val="es-ES" w:eastAsia="es-ES" w:bidi="es-ES"/>
      </w:rPr>
    </w:lvl>
    <w:lvl w:ilvl="5">
      <w:start w:val="0"/>
      <w:numFmt w:val="bullet"/>
      <w:lvlText w:val="•"/>
      <w:lvlJc w:val="left"/>
      <w:pPr>
        <w:ind w:left="3155" w:hanging="231"/>
      </w:pPr>
      <w:rPr>
        <w:rFonts w:hint="default"/>
        <w:lang w:val="es-ES" w:eastAsia="es-ES" w:bidi="es-ES"/>
      </w:rPr>
    </w:lvl>
    <w:lvl w:ilvl="6">
      <w:start w:val="0"/>
      <w:numFmt w:val="bullet"/>
      <w:lvlText w:val="•"/>
      <w:lvlJc w:val="left"/>
      <w:pPr>
        <w:ind w:left="3630" w:hanging="231"/>
      </w:pPr>
      <w:rPr>
        <w:rFonts w:hint="default"/>
        <w:lang w:val="es-ES" w:eastAsia="es-ES" w:bidi="es-ES"/>
      </w:rPr>
    </w:lvl>
    <w:lvl w:ilvl="7">
      <w:start w:val="0"/>
      <w:numFmt w:val="bullet"/>
      <w:lvlText w:val="•"/>
      <w:lvlJc w:val="left"/>
      <w:pPr>
        <w:ind w:left="4105" w:hanging="231"/>
      </w:pPr>
      <w:rPr>
        <w:rFonts w:hint="default"/>
        <w:lang w:val="es-ES" w:eastAsia="es-ES" w:bidi="es-ES"/>
      </w:rPr>
    </w:lvl>
    <w:lvl w:ilvl="8">
      <w:start w:val="0"/>
      <w:numFmt w:val="bullet"/>
      <w:lvlText w:val="•"/>
      <w:lvlJc w:val="left"/>
      <w:pPr>
        <w:ind w:left="4581" w:hanging="231"/>
      </w:pPr>
      <w:rPr>
        <w:rFonts w:hint="default"/>
        <w:lang w:val="es-ES" w:eastAsia="es-ES" w:bidi="es-ES"/>
      </w:rPr>
    </w:lvl>
  </w:abstractNum>
  <w:abstractNum w:abstractNumId="178">
    <w:multiLevelType w:val="hybridMultilevel"/>
    <w:lvl w:ilvl="0">
      <w:start w:val="1"/>
      <w:numFmt w:val="upperRoman"/>
      <w:lvlText w:val="%1."/>
      <w:lvlJc w:val="left"/>
      <w:pPr>
        <w:ind w:left="299" w:hanging="129"/>
        <w:jc w:val="left"/>
      </w:pPr>
      <w:rPr>
        <w:rFonts w:hint="default" w:ascii="Arial" w:hAnsi="Arial" w:eastAsia="Arial" w:cs="Arial"/>
        <w:w w:val="102"/>
        <w:sz w:val="15"/>
        <w:szCs w:val="15"/>
        <w:lang w:val="es-ES" w:eastAsia="es-ES" w:bidi="es-ES"/>
      </w:rPr>
    </w:lvl>
    <w:lvl w:ilvl="1">
      <w:start w:val="1"/>
      <w:numFmt w:val="lowerLetter"/>
      <w:lvlText w:val="%2)"/>
      <w:lvlJc w:val="left"/>
      <w:pPr>
        <w:ind w:left="624" w:hanging="219"/>
        <w:jc w:val="right"/>
      </w:pPr>
      <w:rPr>
        <w:rFonts w:hint="default" w:ascii="Arial" w:hAnsi="Arial" w:eastAsia="Arial" w:cs="Arial"/>
        <w:w w:val="102"/>
        <w:sz w:val="15"/>
        <w:szCs w:val="15"/>
        <w:lang w:val="es-ES" w:eastAsia="es-ES" w:bidi="es-ES"/>
      </w:rPr>
    </w:lvl>
    <w:lvl w:ilvl="2">
      <w:start w:val="0"/>
      <w:numFmt w:val="bullet"/>
      <w:lvlText w:val="•"/>
      <w:lvlJc w:val="left"/>
      <w:pPr>
        <w:ind w:left="1164" w:hanging="219"/>
      </w:pPr>
      <w:rPr>
        <w:rFonts w:hint="default"/>
        <w:lang w:val="es-ES" w:eastAsia="es-ES" w:bidi="es-ES"/>
      </w:rPr>
    </w:lvl>
    <w:lvl w:ilvl="3">
      <w:start w:val="0"/>
      <w:numFmt w:val="bullet"/>
      <w:lvlText w:val="•"/>
      <w:lvlJc w:val="left"/>
      <w:pPr>
        <w:ind w:left="1708" w:hanging="219"/>
      </w:pPr>
      <w:rPr>
        <w:rFonts w:hint="default"/>
        <w:lang w:val="es-ES" w:eastAsia="es-ES" w:bidi="es-ES"/>
      </w:rPr>
    </w:lvl>
    <w:lvl w:ilvl="4">
      <w:start w:val="0"/>
      <w:numFmt w:val="bullet"/>
      <w:lvlText w:val="•"/>
      <w:lvlJc w:val="left"/>
      <w:pPr>
        <w:ind w:left="2252" w:hanging="219"/>
      </w:pPr>
      <w:rPr>
        <w:rFonts w:hint="default"/>
        <w:lang w:val="es-ES" w:eastAsia="es-ES" w:bidi="es-ES"/>
      </w:rPr>
    </w:lvl>
    <w:lvl w:ilvl="5">
      <w:start w:val="0"/>
      <w:numFmt w:val="bullet"/>
      <w:lvlText w:val="•"/>
      <w:lvlJc w:val="left"/>
      <w:pPr>
        <w:ind w:left="2796" w:hanging="219"/>
      </w:pPr>
      <w:rPr>
        <w:rFonts w:hint="default"/>
        <w:lang w:val="es-ES" w:eastAsia="es-ES" w:bidi="es-ES"/>
      </w:rPr>
    </w:lvl>
    <w:lvl w:ilvl="6">
      <w:start w:val="0"/>
      <w:numFmt w:val="bullet"/>
      <w:lvlText w:val="•"/>
      <w:lvlJc w:val="left"/>
      <w:pPr>
        <w:ind w:left="3340" w:hanging="219"/>
      </w:pPr>
      <w:rPr>
        <w:rFonts w:hint="default"/>
        <w:lang w:val="es-ES" w:eastAsia="es-ES" w:bidi="es-ES"/>
      </w:rPr>
    </w:lvl>
    <w:lvl w:ilvl="7">
      <w:start w:val="0"/>
      <w:numFmt w:val="bullet"/>
      <w:lvlText w:val="•"/>
      <w:lvlJc w:val="left"/>
      <w:pPr>
        <w:ind w:left="3884" w:hanging="219"/>
      </w:pPr>
      <w:rPr>
        <w:rFonts w:hint="default"/>
        <w:lang w:val="es-ES" w:eastAsia="es-ES" w:bidi="es-ES"/>
      </w:rPr>
    </w:lvl>
    <w:lvl w:ilvl="8">
      <w:start w:val="0"/>
      <w:numFmt w:val="bullet"/>
      <w:lvlText w:val="•"/>
      <w:lvlJc w:val="left"/>
      <w:pPr>
        <w:ind w:left="4428" w:hanging="219"/>
      </w:pPr>
      <w:rPr>
        <w:rFonts w:hint="default"/>
        <w:lang w:val="es-ES" w:eastAsia="es-ES" w:bidi="es-ES"/>
      </w:rPr>
    </w:lvl>
  </w:abstractNum>
  <w:abstractNum w:abstractNumId="177">
    <w:multiLevelType w:val="hybridMultilevel"/>
    <w:lvl w:ilvl="0">
      <w:start w:val="1"/>
      <w:numFmt w:val="upperRoman"/>
      <w:lvlText w:val="%1."/>
      <w:lvlJc w:val="left"/>
      <w:pPr>
        <w:ind w:left="170" w:hanging="152"/>
        <w:jc w:val="left"/>
      </w:pPr>
      <w:rPr>
        <w:rFonts w:hint="default" w:ascii="Arial" w:hAnsi="Arial" w:eastAsia="Arial" w:cs="Arial"/>
        <w:w w:val="102"/>
        <w:sz w:val="15"/>
        <w:szCs w:val="15"/>
        <w:lang w:val="es-ES" w:eastAsia="es-ES" w:bidi="es-ES"/>
      </w:rPr>
    </w:lvl>
    <w:lvl w:ilvl="1">
      <w:start w:val="0"/>
      <w:numFmt w:val="bullet"/>
      <w:lvlText w:val="•"/>
      <w:lvlJc w:val="left"/>
      <w:pPr>
        <w:ind w:left="625" w:hanging="152"/>
      </w:pPr>
      <w:rPr>
        <w:rFonts w:hint="default"/>
        <w:lang w:val="es-ES" w:eastAsia="es-ES" w:bidi="es-ES"/>
      </w:rPr>
    </w:lvl>
    <w:lvl w:ilvl="2">
      <w:start w:val="0"/>
      <w:numFmt w:val="bullet"/>
      <w:lvlText w:val="•"/>
      <w:lvlJc w:val="left"/>
      <w:pPr>
        <w:ind w:left="1071" w:hanging="152"/>
      </w:pPr>
      <w:rPr>
        <w:rFonts w:hint="default"/>
        <w:lang w:val="es-ES" w:eastAsia="es-ES" w:bidi="es-ES"/>
      </w:rPr>
    </w:lvl>
    <w:lvl w:ilvl="3">
      <w:start w:val="0"/>
      <w:numFmt w:val="bullet"/>
      <w:lvlText w:val="•"/>
      <w:lvlJc w:val="left"/>
      <w:pPr>
        <w:ind w:left="1516" w:hanging="152"/>
      </w:pPr>
      <w:rPr>
        <w:rFonts w:hint="default"/>
        <w:lang w:val="es-ES" w:eastAsia="es-ES" w:bidi="es-ES"/>
      </w:rPr>
    </w:lvl>
    <w:lvl w:ilvl="4">
      <w:start w:val="0"/>
      <w:numFmt w:val="bullet"/>
      <w:lvlText w:val="•"/>
      <w:lvlJc w:val="left"/>
      <w:pPr>
        <w:ind w:left="1962" w:hanging="152"/>
      </w:pPr>
      <w:rPr>
        <w:rFonts w:hint="default"/>
        <w:lang w:val="es-ES" w:eastAsia="es-ES" w:bidi="es-ES"/>
      </w:rPr>
    </w:lvl>
    <w:lvl w:ilvl="5">
      <w:start w:val="0"/>
      <w:numFmt w:val="bullet"/>
      <w:lvlText w:val="•"/>
      <w:lvlJc w:val="left"/>
      <w:pPr>
        <w:ind w:left="2408" w:hanging="152"/>
      </w:pPr>
      <w:rPr>
        <w:rFonts w:hint="default"/>
        <w:lang w:val="es-ES" w:eastAsia="es-ES" w:bidi="es-ES"/>
      </w:rPr>
    </w:lvl>
    <w:lvl w:ilvl="6">
      <w:start w:val="0"/>
      <w:numFmt w:val="bullet"/>
      <w:lvlText w:val="•"/>
      <w:lvlJc w:val="left"/>
      <w:pPr>
        <w:ind w:left="2853" w:hanging="152"/>
      </w:pPr>
      <w:rPr>
        <w:rFonts w:hint="default"/>
        <w:lang w:val="es-ES" w:eastAsia="es-ES" w:bidi="es-ES"/>
      </w:rPr>
    </w:lvl>
    <w:lvl w:ilvl="7">
      <w:start w:val="0"/>
      <w:numFmt w:val="bullet"/>
      <w:lvlText w:val="•"/>
      <w:lvlJc w:val="left"/>
      <w:pPr>
        <w:ind w:left="3299" w:hanging="152"/>
      </w:pPr>
      <w:rPr>
        <w:rFonts w:hint="default"/>
        <w:lang w:val="es-ES" w:eastAsia="es-ES" w:bidi="es-ES"/>
      </w:rPr>
    </w:lvl>
    <w:lvl w:ilvl="8">
      <w:start w:val="0"/>
      <w:numFmt w:val="bullet"/>
      <w:lvlText w:val="•"/>
      <w:lvlJc w:val="left"/>
      <w:pPr>
        <w:ind w:left="3744" w:hanging="152"/>
      </w:pPr>
      <w:rPr>
        <w:rFonts w:hint="default"/>
        <w:lang w:val="es-ES" w:eastAsia="es-ES" w:bidi="es-ES"/>
      </w:rPr>
    </w:lvl>
  </w:abstractNum>
  <w:abstractNum w:abstractNumId="176">
    <w:multiLevelType w:val="hybridMultilevel"/>
    <w:lvl w:ilvl="0">
      <w:start w:val="1"/>
      <w:numFmt w:val="upperRoman"/>
      <w:lvlText w:val="%1."/>
      <w:lvlJc w:val="left"/>
      <w:pPr>
        <w:ind w:left="151" w:hanging="147"/>
        <w:jc w:val="left"/>
      </w:pPr>
      <w:rPr>
        <w:rFonts w:hint="default" w:ascii="Arial" w:hAnsi="Arial" w:eastAsia="Arial" w:cs="Arial"/>
        <w:spacing w:val="-2"/>
        <w:w w:val="102"/>
        <w:sz w:val="15"/>
        <w:szCs w:val="15"/>
        <w:lang w:val="es-ES" w:eastAsia="es-ES" w:bidi="es-ES"/>
      </w:rPr>
    </w:lvl>
    <w:lvl w:ilvl="1">
      <w:start w:val="0"/>
      <w:numFmt w:val="bullet"/>
      <w:lvlText w:val="•"/>
      <w:lvlJc w:val="left"/>
      <w:pPr>
        <w:ind w:left="966" w:hanging="147"/>
      </w:pPr>
      <w:rPr>
        <w:rFonts w:hint="default"/>
        <w:lang w:val="es-ES" w:eastAsia="es-ES" w:bidi="es-ES"/>
      </w:rPr>
    </w:lvl>
    <w:lvl w:ilvl="2">
      <w:start w:val="0"/>
      <w:numFmt w:val="bullet"/>
      <w:lvlText w:val="•"/>
      <w:lvlJc w:val="left"/>
      <w:pPr>
        <w:ind w:left="1772" w:hanging="147"/>
      </w:pPr>
      <w:rPr>
        <w:rFonts w:hint="default"/>
        <w:lang w:val="es-ES" w:eastAsia="es-ES" w:bidi="es-ES"/>
      </w:rPr>
    </w:lvl>
    <w:lvl w:ilvl="3">
      <w:start w:val="0"/>
      <w:numFmt w:val="bullet"/>
      <w:lvlText w:val="•"/>
      <w:lvlJc w:val="left"/>
      <w:pPr>
        <w:ind w:left="2578" w:hanging="147"/>
      </w:pPr>
      <w:rPr>
        <w:rFonts w:hint="default"/>
        <w:lang w:val="es-ES" w:eastAsia="es-ES" w:bidi="es-ES"/>
      </w:rPr>
    </w:lvl>
    <w:lvl w:ilvl="4">
      <w:start w:val="0"/>
      <w:numFmt w:val="bullet"/>
      <w:lvlText w:val="•"/>
      <w:lvlJc w:val="left"/>
      <w:pPr>
        <w:ind w:left="3384" w:hanging="147"/>
      </w:pPr>
      <w:rPr>
        <w:rFonts w:hint="default"/>
        <w:lang w:val="es-ES" w:eastAsia="es-ES" w:bidi="es-ES"/>
      </w:rPr>
    </w:lvl>
    <w:lvl w:ilvl="5">
      <w:start w:val="0"/>
      <w:numFmt w:val="bullet"/>
      <w:lvlText w:val="•"/>
      <w:lvlJc w:val="left"/>
      <w:pPr>
        <w:ind w:left="4191" w:hanging="147"/>
      </w:pPr>
      <w:rPr>
        <w:rFonts w:hint="default"/>
        <w:lang w:val="es-ES" w:eastAsia="es-ES" w:bidi="es-ES"/>
      </w:rPr>
    </w:lvl>
    <w:lvl w:ilvl="6">
      <w:start w:val="0"/>
      <w:numFmt w:val="bullet"/>
      <w:lvlText w:val="•"/>
      <w:lvlJc w:val="left"/>
      <w:pPr>
        <w:ind w:left="4997" w:hanging="147"/>
      </w:pPr>
      <w:rPr>
        <w:rFonts w:hint="default"/>
        <w:lang w:val="es-ES" w:eastAsia="es-ES" w:bidi="es-ES"/>
      </w:rPr>
    </w:lvl>
    <w:lvl w:ilvl="7">
      <w:start w:val="0"/>
      <w:numFmt w:val="bullet"/>
      <w:lvlText w:val="•"/>
      <w:lvlJc w:val="left"/>
      <w:pPr>
        <w:ind w:left="5803" w:hanging="147"/>
      </w:pPr>
      <w:rPr>
        <w:rFonts w:hint="default"/>
        <w:lang w:val="es-ES" w:eastAsia="es-ES" w:bidi="es-ES"/>
      </w:rPr>
    </w:lvl>
    <w:lvl w:ilvl="8">
      <w:start w:val="0"/>
      <w:numFmt w:val="bullet"/>
      <w:lvlText w:val="•"/>
      <w:lvlJc w:val="left"/>
      <w:pPr>
        <w:ind w:left="6609" w:hanging="147"/>
      </w:pPr>
      <w:rPr>
        <w:rFonts w:hint="default"/>
        <w:lang w:val="es-ES" w:eastAsia="es-ES" w:bidi="es-ES"/>
      </w:rPr>
    </w:lvl>
  </w:abstractNum>
  <w:abstractNum w:abstractNumId="175">
    <w:multiLevelType w:val="hybridMultilevel"/>
    <w:lvl w:ilvl="0">
      <w:start w:val="1"/>
      <w:numFmt w:val="upperRoman"/>
      <w:lvlText w:val="%1."/>
      <w:lvlJc w:val="left"/>
      <w:pPr>
        <w:ind w:left="151" w:hanging="138"/>
        <w:jc w:val="left"/>
      </w:pPr>
      <w:rPr>
        <w:rFonts w:hint="default" w:ascii="Arial" w:hAnsi="Arial" w:eastAsia="Arial" w:cs="Arial"/>
        <w:w w:val="102"/>
        <w:sz w:val="15"/>
        <w:szCs w:val="15"/>
        <w:lang w:val="es-ES" w:eastAsia="es-ES" w:bidi="es-ES"/>
      </w:rPr>
    </w:lvl>
    <w:lvl w:ilvl="1">
      <w:start w:val="0"/>
      <w:numFmt w:val="bullet"/>
      <w:lvlText w:val="•"/>
      <w:lvlJc w:val="left"/>
      <w:pPr>
        <w:ind w:left="919" w:hanging="138"/>
      </w:pPr>
      <w:rPr>
        <w:rFonts w:hint="default"/>
        <w:lang w:val="es-ES" w:eastAsia="es-ES" w:bidi="es-ES"/>
      </w:rPr>
    </w:lvl>
    <w:lvl w:ilvl="2">
      <w:start w:val="0"/>
      <w:numFmt w:val="bullet"/>
      <w:lvlText w:val="•"/>
      <w:lvlJc w:val="left"/>
      <w:pPr>
        <w:ind w:left="1678" w:hanging="138"/>
      </w:pPr>
      <w:rPr>
        <w:rFonts w:hint="default"/>
        <w:lang w:val="es-ES" w:eastAsia="es-ES" w:bidi="es-ES"/>
      </w:rPr>
    </w:lvl>
    <w:lvl w:ilvl="3">
      <w:start w:val="0"/>
      <w:numFmt w:val="bullet"/>
      <w:lvlText w:val="•"/>
      <w:lvlJc w:val="left"/>
      <w:pPr>
        <w:ind w:left="2437" w:hanging="138"/>
      </w:pPr>
      <w:rPr>
        <w:rFonts w:hint="default"/>
        <w:lang w:val="es-ES" w:eastAsia="es-ES" w:bidi="es-ES"/>
      </w:rPr>
    </w:lvl>
    <w:lvl w:ilvl="4">
      <w:start w:val="0"/>
      <w:numFmt w:val="bullet"/>
      <w:lvlText w:val="•"/>
      <w:lvlJc w:val="left"/>
      <w:pPr>
        <w:ind w:left="3196" w:hanging="138"/>
      </w:pPr>
      <w:rPr>
        <w:rFonts w:hint="default"/>
        <w:lang w:val="es-ES" w:eastAsia="es-ES" w:bidi="es-ES"/>
      </w:rPr>
    </w:lvl>
    <w:lvl w:ilvl="5">
      <w:start w:val="0"/>
      <w:numFmt w:val="bullet"/>
      <w:lvlText w:val="•"/>
      <w:lvlJc w:val="left"/>
      <w:pPr>
        <w:ind w:left="3955" w:hanging="138"/>
      </w:pPr>
      <w:rPr>
        <w:rFonts w:hint="default"/>
        <w:lang w:val="es-ES" w:eastAsia="es-ES" w:bidi="es-ES"/>
      </w:rPr>
    </w:lvl>
    <w:lvl w:ilvl="6">
      <w:start w:val="0"/>
      <w:numFmt w:val="bullet"/>
      <w:lvlText w:val="•"/>
      <w:lvlJc w:val="left"/>
      <w:pPr>
        <w:ind w:left="4714" w:hanging="138"/>
      </w:pPr>
      <w:rPr>
        <w:rFonts w:hint="default"/>
        <w:lang w:val="es-ES" w:eastAsia="es-ES" w:bidi="es-ES"/>
      </w:rPr>
    </w:lvl>
    <w:lvl w:ilvl="7">
      <w:start w:val="0"/>
      <w:numFmt w:val="bullet"/>
      <w:lvlText w:val="•"/>
      <w:lvlJc w:val="left"/>
      <w:pPr>
        <w:ind w:left="5473" w:hanging="138"/>
      </w:pPr>
      <w:rPr>
        <w:rFonts w:hint="default"/>
        <w:lang w:val="es-ES" w:eastAsia="es-ES" w:bidi="es-ES"/>
      </w:rPr>
    </w:lvl>
    <w:lvl w:ilvl="8">
      <w:start w:val="0"/>
      <w:numFmt w:val="bullet"/>
      <w:lvlText w:val="•"/>
      <w:lvlJc w:val="left"/>
      <w:pPr>
        <w:ind w:left="6232" w:hanging="138"/>
      </w:pPr>
      <w:rPr>
        <w:rFonts w:hint="default"/>
        <w:lang w:val="es-ES" w:eastAsia="es-ES" w:bidi="es-ES"/>
      </w:rPr>
    </w:lvl>
  </w:abstractNum>
  <w:abstractNum w:abstractNumId="174">
    <w:multiLevelType w:val="hybridMultilevel"/>
    <w:lvl w:ilvl="0">
      <w:start w:val="2"/>
      <w:numFmt w:val="upperRoman"/>
      <w:lvlText w:val="%1."/>
      <w:lvlJc w:val="left"/>
      <w:pPr>
        <w:ind w:left="151" w:hanging="202"/>
        <w:jc w:val="left"/>
      </w:pPr>
      <w:rPr>
        <w:rFonts w:hint="default" w:ascii="Arial" w:hAnsi="Arial" w:eastAsia="Arial" w:cs="Arial"/>
        <w:w w:val="102"/>
        <w:sz w:val="15"/>
        <w:szCs w:val="15"/>
        <w:lang w:val="es-ES" w:eastAsia="es-ES" w:bidi="es-ES"/>
      </w:rPr>
    </w:lvl>
    <w:lvl w:ilvl="1">
      <w:start w:val="0"/>
      <w:numFmt w:val="bullet"/>
      <w:lvlText w:val="•"/>
      <w:lvlJc w:val="left"/>
      <w:pPr>
        <w:ind w:left="-283" w:hanging="202"/>
      </w:pPr>
      <w:rPr>
        <w:rFonts w:hint="default"/>
        <w:lang w:val="es-ES" w:eastAsia="es-ES" w:bidi="es-ES"/>
      </w:rPr>
    </w:lvl>
    <w:lvl w:ilvl="2">
      <w:start w:val="0"/>
      <w:numFmt w:val="bullet"/>
      <w:lvlText w:val="•"/>
      <w:lvlJc w:val="left"/>
      <w:pPr>
        <w:ind w:left="-726" w:hanging="202"/>
      </w:pPr>
      <w:rPr>
        <w:rFonts w:hint="default"/>
        <w:lang w:val="es-ES" w:eastAsia="es-ES" w:bidi="es-ES"/>
      </w:rPr>
    </w:lvl>
    <w:lvl w:ilvl="3">
      <w:start w:val="0"/>
      <w:numFmt w:val="bullet"/>
      <w:lvlText w:val="•"/>
      <w:lvlJc w:val="left"/>
      <w:pPr>
        <w:ind w:left="-1169" w:hanging="202"/>
      </w:pPr>
      <w:rPr>
        <w:rFonts w:hint="default"/>
        <w:lang w:val="es-ES" w:eastAsia="es-ES" w:bidi="es-ES"/>
      </w:rPr>
    </w:lvl>
    <w:lvl w:ilvl="4">
      <w:start w:val="0"/>
      <w:numFmt w:val="bullet"/>
      <w:lvlText w:val="•"/>
      <w:lvlJc w:val="left"/>
      <w:pPr>
        <w:ind w:left="-1612" w:hanging="202"/>
      </w:pPr>
      <w:rPr>
        <w:rFonts w:hint="default"/>
        <w:lang w:val="es-ES" w:eastAsia="es-ES" w:bidi="es-ES"/>
      </w:rPr>
    </w:lvl>
    <w:lvl w:ilvl="5">
      <w:start w:val="0"/>
      <w:numFmt w:val="bullet"/>
      <w:lvlText w:val="•"/>
      <w:lvlJc w:val="left"/>
      <w:pPr>
        <w:ind w:left="-2055" w:hanging="202"/>
      </w:pPr>
      <w:rPr>
        <w:rFonts w:hint="default"/>
        <w:lang w:val="es-ES" w:eastAsia="es-ES" w:bidi="es-ES"/>
      </w:rPr>
    </w:lvl>
    <w:lvl w:ilvl="6">
      <w:start w:val="0"/>
      <w:numFmt w:val="bullet"/>
      <w:lvlText w:val="•"/>
      <w:lvlJc w:val="left"/>
      <w:pPr>
        <w:ind w:left="-2497" w:hanging="202"/>
      </w:pPr>
      <w:rPr>
        <w:rFonts w:hint="default"/>
        <w:lang w:val="es-ES" w:eastAsia="es-ES" w:bidi="es-ES"/>
      </w:rPr>
    </w:lvl>
    <w:lvl w:ilvl="7">
      <w:start w:val="0"/>
      <w:numFmt w:val="bullet"/>
      <w:lvlText w:val="•"/>
      <w:lvlJc w:val="left"/>
      <w:pPr>
        <w:ind w:left="-2940" w:hanging="202"/>
      </w:pPr>
      <w:rPr>
        <w:rFonts w:hint="default"/>
        <w:lang w:val="es-ES" w:eastAsia="es-ES" w:bidi="es-ES"/>
      </w:rPr>
    </w:lvl>
    <w:lvl w:ilvl="8">
      <w:start w:val="0"/>
      <w:numFmt w:val="bullet"/>
      <w:lvlText w:val="•"/>
      <w:lvlJc w:val="left"/>
      <w:pPr>
        <w:ind w:left="-3383" w:hanging="202"/>
      </w:pPr>
      <w:rPr>
        <w:rFonts w:hint="default"/>
        <w:lang w:val="es-ES" w:eastAsia="es-ES" w:bidi="es-ES"/>
      </w:rPr>
    </w:lvl>
  </w:abstractNum>
  <w:abstractNum w:abstractNumId="173">
    <w:multiLevelType w:val="hybridMultilevel"/>
    <w:lvl w:ilvl="0">
      <w:start w:val="1"/>
      <w:numFmt w:val="lowerLetter"/>
      <w:lvlText w:val="%1)"/>
      <w:lvlJc w:val="left"/>
      <w:pPr>
        <w:ind w:left="151" w:hanging="183"/>
        <w:jc w:val="left"/>
      </w:pPr>
      <w:rPr>
        <w:rFonts w:hint="default" w:ascii="Arial" w:hAnsi="Arial" w:eastAsia="Arial" w:cs="Arial"/>
        <w:w w:val="102"/>
        <w:sz w:val="15"/>
        <w:szCs w:val="15"/>
        <w:lang w:val="es-ES" w:eastAsia="es-ES" w:bidi="es-ES"/>
      </w:rPr>
    </w:lvl>
    <w:lvl w:ilvl="1">
      <w:start w:val="0"/>
      <w:numFmt w:val="bullet"/>
      <w:lvlText w:val="•"/>
      <w:lvlJc w:val="left"/>
      <w:pPr>
        <w:ind w:left="919" w:hanging="183"/>
      </w:pPr>
      <w:rPr>
        <w:rFonts w:hint="default"/>
        <w:lang w:val="es-ES" w:eastAsia="es-ES" w:bidi="es-ES"/>
      </w:rPr>
    </w:lvl>
    <w:lvl w:ilvl="2">
      <w:start w:val="0"/>
      <w:numFmt w:val="bullet"/>
      <w:lvlText w:val="•"/>
      <w:lvlJc w:val="left"/>
      <w:pPr>
        <w:ind w:left="1678" w:hanging="183"/>
      </w:pPr>
      <w:rPr>
        <w:rFonts w:hint="default"/>
        <w:lang w:val="es-ES" w:eastAsia="es-ES" w:bidi="es-ES"/>
      </w:rPr>
    </w:lvl>
    <w:lvl w:ilvl="3">
      <w:start w:val="0"/>
      <w:numFmt w:val="bullet"/>
      <w:lvlText w:val="•"/>
      <w:lvlJc w:val="left"/>
      <w:pPr>
        <w:ind w:left="2437" w:hanging="183"/>
      </w:pPr>
      <w:rPr>
        <w:rFonts w:hint="default"/>
        <w:lang w:val="es-ES" w:eastAsia="es-ES" w:bidi="es-ES"/>
      </w:rPr>
    </w:lvl>
    <w:lvl w:ilvl="4">
      <w:start w:val="0"/>
      <w:numFmt w:val="bullet"/>
      <w:lvlText w:val="•"/>
      <w:lvlJc w:val="left"/>
      <w:pPr>
        <w:ind w:left="3196" w:hanging="183"/>
      </w:pPr>
      <w:rPr>
        <w:rFonts w:hint="default"/>
        <w:lang w:val="es-ES" w:eastAsia="es-ES" w:bidi="es-ES"/>
      </w:rPr>
    </w:lvl>
    <w:lvl w:ilvl="5">
      <w:start w:val="0"/>
      <w:numFmt w:val="bullet"/>
      <w:lvlText w:val="•"/>
      <w:lvlJc w:val="left"/>
      <w:pPr>
        <w:ind w:left="3955" w:hanging="183"/>
      </w:pPr>
      <w:rPr>
        <w:rFonts w:hint="default"/>
        <w:lang w:val="es-ES" w:eastAsia="es-ES" w:bidi="es-ES"/>
      </w:rPr>
    </w:lvl>
    <w:lvl w:ilvl="6">
      <w:start w:val="0"/>
      <w:numFmt w:val="bullet"/>
      <w:lvlText w:val="•"/>
      <w:lvlJc w:val="left"/>
      <w:pPr>
        <w:ind w:left="4715" w:hanging="183"/>
      </w:pPr>
      <w:rPr>
        <w:rFonts w:hint="default"/>
        <w:lang w:val="es-ES" w:eastAsia="es-ES" w:bidi="es-ES"/>
      </w:rPr>
    </w:lvl>
    <w:lvl w:ilvl="7">
      <w:start w:val="0"/>
      <w:numFmt w:val="bullet"/>
      <w:lvlText w:val="•"/>
      <w:lvlJc w:val="left"/>
      <w:pPr>
        <w:ind w:left="5474" w:hanging="183"/>
      </w:pPr>
      <w:rPr>
        <w:rFonts w:hint="default"/>
        <w:lang w:val="es-ES" w:eastAsia="es-ES" w:bidi="es-ES"/>
      </w:rPr>
    </w:lvl>
    <w:lvl w:ilvl="8">
      <w:start w:val="0"/>
      <w:numFmt w:val="bullet"/>
      <w:lvlText w:val="•"/>
      <w:lvlJc w:val="left"/>
      <w:pPr>
        <w:ind w:left="6233" w:hanging="183"/>
      </w:pPr>
      <w:rPr>
        <w:rFonts w:hint="default"/>
        <w:lang w:val="es-ES" w:eastAsia="es-ES" w:bidi="es-ES"/>
      </w:rPr>
    </w:lvl>
  </w:abstractNum>
  <w:abstractNum w:abstractNumId="172">
    <w:multiLevelType w:val="hybridMultilevel"/>
    <w:lvl w:ilvl="0">
      <w:start w:val="1"/>
      <w:numFmt w:val="upperRoman"/>
      <w:lvlText w:val="%1."/>
      <w:lvlJc w:val="left"/>
      <w:pPr>
        <w:ind w:left="287" w:hanging="137"/>
        <w:jc w:val="right"/>
      </w:pPr>
      <w:rPr>
        <w:rFonts w:hint="default" w:ascii="Arial" w:hAnsi="Arial" w:eastAsia="Arial" w:cs="Arial"/>
        <w:w w:val="102"/>
        <w:sz w:val="15"/>
        <w:szCs w:val="15"/>
        <w:lang w:val="es-ES" w:eastAsia="es-ES" w:bidi="es-ES"/>
      </w:rPr>
    </w:lvl>
    <w:lvl w:ilvl="1">
      <w:start w:val="0"/>
      <w:numFmt w:val="bullet"/>
      <w:lvlText w:val="•"/>
      <w:lvlJc w:val="left"/>
      <w:pPr>
        <w:ind w:left="785" w:hanging="137"/>
      </w:pPr>
      <w:rPr>
        <w:rFonts w:hint="default"/>
        <w:lang w:val="es-ES" w:eastAsia="es-ES" w:bidi="es-ES"/>
      </w:rPr>
    </w:lvl>
    <w:lvl w:ilvl="2">
      <w:start w:val="0"/>
      <w:numFmt w:val="bullet"/>
      <w:lvlText w:val="•"/>
      <w:lvlJc w:val="left"/>
      <w:pPr>
        <w:ind w:left="1290" w:hanging="137"/>
      </w:pPr>
      <w:rPr>
        <w:rFonts w:hint="default"/>
        <w:lang w:val="es-ES" w:eastAsia="es-ES" w:bidi="es-ES"/>
      </w:rPr>
    </w:lvl>
    <w:lvl w:ilvl="3">
      <w:start w:val="0"/>
      <w:numFmt w:val="bullet"/>
      <w:lvlText w:val="•"/>
      <w:lvlJc w:val="left"/>
      <w:pPr>
        <w:ind w:left="1795" w:hanging="137"/>
      </w:pPr>
      <w:rPr>
        <w:rFonts w:hint="default"/>
        <w:lang w:val="es-ES" w:eastAsia="es-ES" w:bidi="es-ES"/>
      </w:rPr>
    </w:lvl>
    <w:lvl w:ilvl="4">
      <w:start w:val="0"/>
      <w:numFmt w:val="bullet"/>
      <w:lvlText w:val="•"/>
      <w:lvlJc w:val="left"/>
      <w:pPr>
        <w:ind w:left="2300" w:hanging="137"/>
      </w:pPr>
      <w:rPr>
        <w:rFonts w:hint="default"/>
        <w:lang w:val="es-ES" w:eastAsia="es-ES" w:bidi="es-ES"/>
      </w:rPr>
    </w:lvl>
    <w:lvl w:ilvl="5">
      <w:start w:val="0"/>
      <w:numFmt w:val="bullet"/>
      <w:lvlText w:val="•"/>
      <w:lvlJc w:val="left"/>
      <w:pPr>
        <w:ind w:left="2805" w:hanging="137"/>
      </w:pPr>
      <w:rPr>
        <w:rFonts w:hint="default"/>
        <w:lang w:val="es-ES" w:eastAsia="es-ES" w:bidi="es-ES"/>
      </w:rPr>
    </w:lvl>
    <w:lvl w:ilvl="6">
      <w:start w:val="0"/>
      <w:numFmt w:val="bullet"/>
      <w:lvlText w:val="•"/>
      <w:lvlJc w:val="left"/>
      <w:pPr>
        <w:ind w:left="3310" w:hanging="137"/>
      </w:pPr>
      <w:rPr>
        <w:rFonts w:hint="default"/>
        <w:lang w:val="es-ES" w:eastAsia="es-ES" w:bidi="es-ES"/>
      </w:rPr>
    </w:lvl>
    <w:lvl w:ilvl="7">
      <w:start w:val="0"/>
      <w:numFmt w:val="bullet"/>
      <w:lvlText w:val="•"/>
      <w:lvlJc w:val="left"/>
      <w:pPr>
        <w:ind w:left="3815" w:hanging="137"/>
      </w:pPr>
      <w:rPr>
        <w:rFonts w:hint="default"/>
        <w:lang w:val="es-ES" w:eastAsia="es-ES" w:bidi="es-ES"/>
      </w:rPr>
    </w:lvl>
    <w:lvl w:ilvl="8">
      <w:start w:val="0"/>
      <w:numFmt w:val="bullet"/>
      <w:lvlText w:val="•"/>
      <w:lvlJc w:val="left"/>
      <w:pPr>
        <w:ind w:left="4320" w:hanging="137"/>
      </w:pPr>
      <w:rPr>
        <w:rFonts w:hint="default"/>
        <w:lang w:val="es-ES" w:eastAsia="es-ES" w:bidi="es-ES"/>
      </w:rPr>
    </w:lvl>
  </w:abstractNum>
  <w:abstractNum w:abstractNumId="171">
    <w:multiLevelType w:val="hybridMultilevel"/>
    <w:lvl w:ilvl="0">
      <w:start w:val="1"/>
      <w:numFmt w:val="lowerLetter"/>
      <w:lvlText w:val="%1)"/>
      <w:lvlJc w:val="left"/>
      <w:pPr>
        <w:ind w:left="151" w:hanging="183"/>
        <w:jc w:val="left"/>
      </w:pPr>
      <w:rPr>
        <w:rFonts w:hint="default" w:ascii="Arial" w:hAnsi="Arial" w:eastAsia="Arial" w:cs="Arial"/>
        <w:w w:val="102"/>
        <w:sz w:val="15"/>
        <w:szCs w:val="15"/>
        <w:lang w:val="es-ES" w:eastAsia="es-ES" w:bidi="es-ES"/>
      </w:rPr>
    </w:lvl>
    <w:lvl w:ilvl="1">
      <w:start w:val="0"/>
      <w:numFmt w:val="bullet"/>
      <w:lvlText w:val="•"/>
      <w:lvlJc w:val="left"/>
      <w:pPr>
        <w:ind w:left="919" w:hanging="183"/>
      </w:pPr>
      <w:rPr>
        <w:rFonts w:hint="default"/>
        <w:lang w:val="es-ES" w:eastAsia="es-ES" w:bidi="es-ES"/>
      </w:rPr>
    </w:lvl>
    <w:lvl w:ilvl="2">
      <w:start w:val="0"/>
      <w:numFmt w:val="bullet"/>
      <w:lvlText w:val="•"/>
      <w:lvlJc w:val="left"/>
      <w:pPr>
        <w:ind w:left="1678" w:hanging="183"/>
      </w:pPr>
      <w:rPr>
        <w:rFonts w:hint="default"/>
        <w:lang w:val="es-ES" w:eastAsia="es-ES" w:bidi="es-ES"/>
      </w:rPr>
    </w:lvl>
    <w:lvl w:ilvl="3">
      <w:start w:val="0"/>
      <w:numFmt w:val="bullet"/>
      <w:lvlText w:val="•"/>
      <w:lvlJc w:val="left"/>
      <w:pPr>
        <w:ind w:left="2437" w:hanging="183"/>
      </w:pPr>
      <w:rPr>
        <w:rFonts w:hint="default"/>
        <w:lang w:val="es-ES" w:eastAsia="es-ES" w:bidi="es-ES"/>
      </w:rPr>
    </w:lvl>
    <w:lvl w:ilvl="4">
      <w:start w:val="0"/>
      <w:numFmt w:val="bullet"/>
      <w:lvlText w:val="•"/>
      <w:lvlJc w:val="left"/>
      <w:pPr>
        <w:ind w:left="3196" w:hanging="183"/>
      </w:pPr>
      <w:rPr>
        <w:rFonts w:hint="default"/>
        <w:lang w:val="es-ES" w:eastAsia="es-ES" w:bidi="es-ES"/>
      </w:rPr>
    </w:lvl>
    <w:lvl w:ilvl="5">
      <w:start w:val="0"/>
      <w:numFmt w:val="bullet"/>
      <w:lvlText w:val="•"/>
      <w:lvlJc w:val="left"/>
      <w:pPr>
        <w:ind w:left="3955" w:hanging="183"/>
      </w:pPr>
      <w:rPr>
        <w:rFonts w:hint="default"/>
        <w:lang w:val="es-ES" w:eastAsia="es-ES" w:bidi="es-ES"/>
      </w:rPr>
    </w:lvl>
    <w:lvl w:ilvl="6">
      <w:start w:val="0"/>
      <w:numFmt w:val="bullet"/>
      <w:lvlText w:val="•"/>
      <w:lvlJc w:val="left"/>
      <w:pPr>
        <w:ind w:left="4715" w:hanging="183"/>
      </w:pPr>
      <w:rPr>
        <w:rFonts w:hint="default"/>
        <w:lang w:val="es-ES" w:eastAsia="es-ES" w:bidi="es-ES"/>
      </w:rPr>
    </w:lvl>
    <w:lvl w:ilvl="7">
      <w:start w:val="0"/>
      <w:numFmt w:val="bullet"/>
      <w:lvlText w:val="•"/>
      <w:lvlJc w:val="left"/>
      <w:pPr>
        <w:ind w:left="5474" w:hanging="183"/>
      </w:pPr>
      <w:rPr>
        <w:rFonts w:hint="default"/>
        <w:lang w:val="es-ES" w:eastAsia="es-ES" w:bidi="es-ES"/>
      </w:rPr>
    </w:lvl>
    <w:lvl w:ilvl="8">
      <w:start w:val="0"/>
      <w:numFmt w:val="bullet"/>
      <w:lvlText w:val="•"/>
      <w:lvlJc w:val="left"/>
      <w:pPr>
        <w:ind w:left="6233" w:hanging="183"/>
      </w:pPr>
      <w:rPr>
        <w:rFonts w:hint="default"/>
        <w:lang w:val="es-ES" w:eastAsia="es-ES" w:bidi="es-ES"/>
      </w:rPr>
    </w:lvl>
  </w:abstractNum>
  <w:abstractNum w:abstractNumId="170">
    <w:multiLevelType w:val="hybridMultilevel"/>
    <w:lvl w:ilvl="0">
      <w:start w:val="1"/>
      <w:numFmt w:val="upperRoman"/>
      <w:lvlText w:val="%1."/>
      <w:lvlJc w:val="left"/>
      <w:pPr>
        <w:ind w:left="151" w:hanging="138"/>
        <w:jc w:val="left"/>
      </w:pPr>
      <w:rPr>
        <w:rFonts w:hint="default" w:ascii="Arial" w:hAnsi="Arial" w:eastAsia="Arial" w:cs="Arial"/>
        <w:w w:val="102"/>
        <w:sz w:val="15"/>
        <w:szCs w:val="15"/>
        <w:lang w:val="es-ES" w:eastAsia="es-ES" w:bidi="es-ES"/>
      </w:rPr>
    </w:lvl>
    <w:lvl w:ilvl="1">
      <w:start w:val="0"/>
      <w:numFmt w:val="bullet"/>
      <w:lvlText w:val="•"/>
      <w:lvlJc w:val="left"/>
      <w:pPr>
        <w:ind w:left="966" w:hanging="138"/>
      </w:pPr>
      <w:rPr>
        <w:rFonts w:hint="default"/>
        <w:lang w:val="es-ES" w:eastAsia="es-ES" w:bidi="es-ES"/>
      </w:rPr>
    </w:lvl>
    <w:lvl w:ilvl="2">
      <w:start w:val="0"/>
      <w:numFmt w:val="bullet"/>
      <w:lvlText w:val="•"/>
      <w:lvlJc w:val="left"/>
      <w:pPr>
        <w:ind w:left="1772" w:hanging="138"/>
      </w:pPr>
      <w:rPr>
        <w:rFonts w:hint="default"/>
        <w:lang w:val="es-ES" w:eastAsia="es-ES" w:bidi="es-ES"/>
      </w:rPr>
    </w:lvl>
    <w:lvl w:ilvl="3">
      <w:start w:val="0"/>
      <w:numFmt w:val="bullet"/>
      <w:lvlText w:val="•"/>
      <w:lvlJc w:val="left"/>
      <w:pPr>
        <w:ind w:left="2578" w:hanging="138"/>
      </w:pPr>
      <w:rPr>
        <w:rFonts w:hint="default"/>
        <w:lang w:val="es-ES" w:eastAsia="es-ES" w:bidi="es-ES"/>
      </w:rPr>
    </w:lvl>
    <w:lvl w:ilvl="4">
      <w:start w:val="0"/>
      <w:numFmt w:val="bullet"/>
      <w:lvlText w:val="•"/>
      <w:lvlJc w:val="left"/>
      <w:pPr>
        <w:ind w:left="3384" w:hanging="138"/>
      </w:pPr>
      <w:rPr>
        <w:rFonts w:hint="default"/>
        <w:lang w:val="es-ES" w:eastAsia="es-ES" w:bidi="es-ES"/>
      </w:rPr>
    </w:lvl>
    <w:lvl w:ilvl="5">
      <w:start w:val="0"/>
      <w:numFmt w:val="bullet"/>
      <w:lvlText w:val="•"/>
      <w:lvlJc w:val="left"/>
      <w:pPr>
        <w:ind w:left="4191" w:hanging="138"/>
      </w:pPr>
      <w:rPr>
        <w:rFonts w:hint="default"/>
        <w:lang w:val="es-ES" w:eastAsia="es-ES" w:bidi="es-ES"/>
      </w:rPr>
    </w:lvl>
    <w:lvl w:ilvl="6">
      <w:start w:val="0"/>
      <w:numFmt w:val="bullet"/>
      <w:lvlText w:val="•"/>
      <w:lvlJc w:val="left"/>
      <w:pPr>
        <w:ind w:left="4997" w:hanging="138"/>
      </w:pPr>
      <w:rPr>
        <w:rFonts w:hint="default"/>
        <w:lang w:val="es-ES" w:eastAsia="es-ES" w:bidi="es-ES"/>
      </w:rPr>
    </w:lvl>
    <w:lvl w:ilvl="7">
      <w:start w:val="0"/>
      <w:numFmt w:val="bullet"/>
      <w:lvlText w:val="•"/>
      <w:lvlJc w:val="left"/>
      <w:pPr>
        <w:ind w:left="5803" w:hanging="138"/>
      </w:pPr>
      <w:rPr>
        <w:rFonts w:hint="default"/>
        <w:lang w:val="es-ES" w:eastAsia="es-ES" w:bidi="es-ES"/>
      </w:rPr>
    </w:lvl>
    <w:lvl w:ilvl="8">
      <w:start w:val="0"/>
      <w:numFmt w:val="bullet"/>
      <w:lvlText w:val="•"/>
      <w:lvlJc w:val="left"/>
      <w:pPr>
        <w:ind w:left="6609" w:hanging="138"/>
      </w:pPr>
      <w:rPr>
        <w:rFonts w:hint="default"/>
        <w:lang w:val="es-ES" w:eastAsia="es-ES" w:bidi="es-ES"/>
      </w:rPr>
    </w:lvl>
  </w:abstractNum>
  <w:abstractNum w:abstractNumId="169">
    <w:multiLevelType w:val="hybridMultilevel"/>
    <w:lvl w:ilvl="0">
      <w:start w:val="17"/>
      <w:numFmt w:val="lowerLetter"/>
      <w:lvlText w:val="%1)"/>
      <w:lvlJc w:val="left"/>
      <w:pPr>
        <w:ind w:left="724" w:hanging="178"/>
        <w:jc w:val="right"/>
      </w:pPr>
      <w:rPr>
        <w:rFonts w:hint="default" w:ascii="Arial" w:hAnsi="Arial" w:eastAsia="Arial" w:cs="Arial"/>
        <w:w w:val="102"/>
        <w:sz w:val="15"/>
        <w:szCs w:val="15"/>
        <w:lang w:val="es-ES" w:eastAsia="es-ES" w:bidi="es-ES"/>
      </w:rPr>
    </w:lvl>
    <w:lvl w:ilvl="1">
      <w:start w:val="2"/>
      <w:numFmt w:val="lowerLetter"/>
      <w:lvlText w:val="%2)"/>
      <w:lvlJc w:val="left"/>
      <w:pPr>
        <w:ind w:left="1124" w:hanging="180"/>
        <w:jc w:val="left"/>
      </w:pPr>
      <w:rPr>
        <w:rFonts w:hint="default" w:ascii="Arial" w:hAnsi="Arial" w:eastAsia="Arial" w:cs="Arial"/>
        <w:w w:val="102"/>
        <w:sz w:val="15"/>
        <w:szCs w:val="15"/>
        <w:lang w:val="es-ES" w:eastAsia="es-ES" w:bidi="es-ES"/>
      </w:rPr>
    </w:lvl>
    <w:lvl w:ilvl="2">
      <w:start w:val="0"/>
      <w:numFmt w:val="bullet"/>
      <w:lvlText w:val="•"/>
      <w:lvlJc w:val="left"/>
      <w:pPr>
        <w:ind w:left="362" w:hanging="180"/>
      </w:pPr>
      <w:rPr>
        <w:rFonts w:hint="default"/>
        <w:lang w:val="es-ES" w:eastAsia="es-ES" w:bidi="es-ES"/>
      </w:rPr>
    </w:lvl>
    <w:lvl w:ilvl="3">
      <w:start w:val="0"/>
      <w:numFmt w:val="bullet"/>
      <w:lvlText w:val="•"/>
      <w:lvlJc w:val="left"/>
      <w:pPr>
        <w:ind w:left="-395" w:hanging="180"/>
      </w:pPr>
      <w:rPr>
        <w:rFonts w:hint="default"/>
        <w:lang w:val="es-ES" w:eastAsia="es-ES" w:bidi="es-ES"/>
      </w:rPr>
    </w:lvl>
    <w:lvl w:ilvl="4">
      <w:start w:val="0"/>
      <w:numFmt w:val="bullet"/>
      <w:lvlText w:val="•"/>
      <w:lvlJc w:val="left"/>
      <w:pPr>
        <w:ind w:left="-1152" w:hanging="180"/>
      </w:pPr>
      <w:rPr>
        <w:rFonts w:hint="default"/>
        <w:lang w:val="es-ES" w:eastAsia="es-ES" w:bidi="es-ES"/>
      </w:rPr>
    </w:lvl>
    <w:lvl w:ilvl="5">
      <w:start w:val="0"/>
      <w:numFmt w:val="bullet"/>
      <w:lvlText w:val="•"/>
      <w:lvlJc w:val="left"/>
      <w:pPr>
        <w:ind w:left="-1909" w:hanging="180"/>
      </w:pPr>
      <w:rPr>
        <w:rFonts w:hint="default"/>
        <w:lang w:val="es-ES" w:eastAsia="es-ES" w:bidi="es-ES"/>
      </w:rPr>
    </w:lvl>
    <w:lvl w:ilvl="6">
      <w:start w:val="0"/>
      <w:numFmt w:val="bullet"/>
      <w:lvlText w:val="•"/>
      <w:lvlJc w:val="left"/>
      <w:pPr>
        <w:ind w:left="-2667" w:hanging="180"/>
      </w:pPr>
      <w:rPr>
        <w:rFonts w:hint="default"/>
        <w:lang w:val="es-ES" w:eastAsia="es-ES" w:bidi="es-ES"/>
      </w:rPr>
    </w:lvl>
    <w:lvl w:ilvl="7">
      <w:start w:val="0"/>
      <w:numFmt w:val="bullet"/>
      <w:lvlText w:val="•"/>
      <w:lvlJc w:val="left"/>
      <w:pPr>
        <w:ind w:left="-3424" w:hanging="180"/>
      </w:pPr>
      <w:rPr>
        <w:rFonts w:hint="default"/>
        <w:lang w:val="es-ES" w:eastAsia="es-ES" w:bidi="es-ES"/>
      </w:rPr>
    </w:lvl>
    <w:lvl w:ilvl="8">
      <w:start w:val="0"/>
      <w:numFmt w:val="bullet"/>
      <w:lvlText w:val="•"/>
      <w:lvlJc w:val="left"/>
      <w:pPr>
        <w:ind w:left="-4181" w:hanging="180"/>
      </w:pPr>
      <w:rPr>
        <w:rFonts w:hint="default"/>
        <w:lang w:val="es-ES" w:eastAsia="es-ES" w:bidi="es-ES"/>
      </w:rPr>
    </w:lvl>
  </w:abstractNum>
  <w:abstractNum w:abstractNumId="168">
    <w:multiLevelType w:val="hybridMultilevel"/>
    <w:lvl w:ilvl="0">
      <w:start w:val="284"/>
      <w:numFmt w:val="decimal"/>
      <w:lvlText w:val="%1."/>
      <w:lvlJc w:val="left"/>
      <w:pPr>
        <w:ind w:left="789" w:hanging="343"/>
        <w:jc w:val="left"/>
      </w:pPr>
      <w:rPr>
        <w:rFonts w:hint="default" w:ascii="Arial" w:hAnsi="Arial" w:eastAsia="Arial" w:cs="Arial"/>
        <w:w w:val="102"/>
        <w:sz w:val="15"/>
        <w:szCs w:val="15"/>
        <w:lang w:val="es-ES" w:eastAsia="es-ES" w:bidi="es-ES"/>
      </w:rPr>
    </w:lvl>
    <w:lvl w:ilvl="1">
      <w:start w:val="0"/>
      <w:numFmt w:val="bullet"/>
      <w:lvlText w:val="•"/>
      <w:lvlJc w:val="left"/>
      <w:pPr>
        <w:ind w:left="1138" w:hanging="343"/>
      </w:pPr>
      <w:rPr>
        <w:rFonts w:hint="default"/>
        <w:lang w:val="es-ES" w:eastAsia="es-ES" w:bidi="es-ES"/>
      </w:rPr>
    </w:lvl>
    <w:lvl w:ilvl="2">
      <w:start w:val="0"/>
      <w:numFmt w:val="bullet"/>
      <w:lvlText w:val="•"/>
      <w:lvlJc w:val="left"/>
      <w:pPr>
        <w:ind w:left="1496" w:hanging="343"/>
      </w:pPr>
      <w:rPr>
        <w:rFonts w:hint="default"/>
        <w:lang w:val="es-ES" w:eastAsia="es-ES" w:bidi="es-ES"/>
      </w:rPr>
    </w:lvl>
    <w:lvl w:ilvl="3">
      <w:start w:val="0"/>
      <w:numFmt w:val="bullet"/>
      <w:lvlText w:val="•"/>
      <w:lvlJc w:val="left"/>
      <w:pPr>
        <w:ind w:left="1855" w:hanging="343"/>
      </w:pPr>
      <w:rPr>
        <w:rFonts w:hint="default"/>
        <w:lang w:val="es-ES" w:eastAsia="es-ES" w:bidi="es-ES"/>
      </w:rPr>
    </w:lvl>
    <w:lvl w:ilvl="4">
      <w:start w:val="0"/>
      <w:numFmt w:val="bullet"/>
      <w:lvlText w:val="•"/>
      <w:lvlJc w:val="left"/>
      <w:pPr>
        <w:ind w:left="2213" w:hanging="343"/>
      </w:pPr>
      <w:rPr>
        <w:rFonts w:hint="default"/>
        <w:lang w:val="es-ES" w:eastAsia="es-ES" w:bidi="es-ES"/>
      </w:rPr>
    </w:lvl>
    <w:lvl w:ilvl="5">
      <w:start w:val="0"/>
      <w:numFmt w:val="bullet"/>
      <w:lvlText w:val="•"/>
      <w:lvlJc w:val="left"/>
      <w:pPr>
        <w:ind w:left="2572" w:hanging="343"/>
      </w:pPr>
      <w:rPr>
        <w:rFonts w:hint="default"/>
        <w:lang w:val="es-ES" w:eastAsia="es-ES" w:bidi="es-ES"/>
      </w:rPr>
    </w:lvl>
    <w:lvl w:ilvl="6">
      <w:start w:val="0"/>
      <w:numFmt w:val="bullet"/>
      <w:lvlText w:val="•"/>
      <w:lvlJc w:val="left"/>
      <w:pPr>
        <w:ind w:left="2930" w:hanging="343"/>
      </w:pPr>
      <w:rPr>
        <w:rFonts w:hint="default"/>
        <w:lang w:val="es-ES" w:eastAsia="es-ES" w:bidi="es-ES"/>
      </w:rPr>
    </w:lvl>
    <w:lvl w:ilvl="7">
      <w:start w:val="0"/>
      <w:numFmt w:val="bullet"/>
      <w:lvlText w:val="•"/>
      <w:lvlJc w:val="left"/>
      <w:pPr>
        <w:ind w:left="3288" w:hanging="343"/>
      </w:pPr>
      <w:rPr>
        <w:rFonts w:hint="default"/>
        <w:lang w:val="es-ES" w:eastAsia="es-ES" w:bidi="es-ES"/>
      </w:rPr>
    </w:lvl>
    <w:lvl w:ilvl="8">
      <w:start w:val="0"/>
      <w:numFmt w:val="bullet"/>
      <w:lvlText w:val="•"/>
      <w:lvlJc w:val="left"/>
      <w:pPr>
        <w:ind w:left="3647" w:hanging="343"/>
      </w:pPr>
      <w:rPr>
        <w:rFonts w:hint="default"/>
        <w:lang w:val="es-ES" w:eastAsia="es-ES" w:bidi="es-ES"/>
      </w:rPr>
    </w:lvl>
  </w:abstractNum>
  <w:abstractNum w:abstractNumId="167">
    <w:multiLevelType w:val="hybridMultilevel"/>
    <w:lvl w:ilvl="0">
      <w:start w:val="44"/>
      <w:numFmt w:val="decimal"/>
      <w:lvlText w:val="%1."/>
      <w:lvlJc w:val="left"/>
      <w:pPr>
        <w:ind w:left="306" w:hanging="257"/>
        <w:jc w:val="left"/>
      </w:pPr>
      <w:rPr>
        <w:rFonts w:hint="default" w:ascii="Arial" w:hAnsi="Arial" w:eastAsia="Arial" w:cs="Arial"/>
        <w:w w:val="102"/>
        <w:sz w:val="15"/>
        <w:szCs w:val="15"/>
        <w:lang w:val="es-ES" w:eastAsia="es-ES" w:bidi="es-ES"/>
      </w:rPr>
    </w:lvl>
    <w:lvl w:ilvl="1">
      <w:start w:val="0"/>
      <w:numFmt w:val="bullet"/>
      <w:lvlText w:val="•"/>
      <w:lvlJc w:val="left"/>
      <w:pPr>
        <w:ind w:left="1845" w:hanging="257"/>
      </w:pPr>
      <w:rPr>
        <w:rFonts w:hint="default"/>
        <w:lang w:val="es-ES" w:eastAsia="es-ES" w:bidi="es-ES"/>
      </w:rPr>
    </w:lvl>
    <w:lvl w:ilvl="2">
      <w:start w:val="0"/>
      <w:numFmt w:val="bullet"/>
      <w:lvlText w:val="•"/>
      <w:lvlJc w:val="left"/>
      <w:pPr>
        <w:ind w:left="3391" w:hanging="257"/>
      </w:pPr>
      <w:rPr>
        <w:rFonts w:hint="default"/>
        <w:lang w:val="es-ES" w:eastAsia="es-ES" w:bidi="es-ES"/>
      </w:rPr>
    </w:lvl>
    <w:lvl w:ilvl="3">
      <w:start w:val="0"/>
      <w:numFmt w:val="bullet"/>
      <w:lvlText w:val="•"/>
      <w:lvlJc w:val="left"/>
      <w:pPr>
        <w:ind w:left="4937" w:hanging="257"/>
      </w:pPr>
      <w:rPr>
        <w:rFonts w:hint="default"/>
        <w:lang w:val="es-ES" w:eastAsia="es-ES" w:bidi="es-ES"/>
      </w:rPr>
    </w:lvl>
    <w:lvl w:ilvl="4">
      <w:start w:val="0"/>
      <w:numFmt w:val="bullet"/>
      <w:lvlText w:val="•"/>
      <w:lvlJc w:val="left"/>
      <w:pPr>
        <w:ind w:left="6483" w:hanging="257"/>
      </w:pPr>
      <w:rPr>
        <w:rFonts w:hint="default"/>
        <w:lang w:val="es-ES" w:eastAsia="es-ES" w:bidi="es-ES"/>
      </w:rPr>
    </w:lvl>
    <w:lvl w:ilvl="5">
      <w:start w:val="0"/>
      <w:numFmt w:val="bullet"/>
      <w:lvlText w:val="•"/>
      <w:lvlJc w:val="left"/>
      <w:pPr>
        <w:ind w:left="8029" w:hanging="257"/>
      </w:pPr>
      <w:rPr>
        <w:rFonts w:hint="default"/>
        <w:lang w:val="es-ES" w:eastAsia="es-ES" w:bidi="es-ES"/>
      </w:rPr>
    </w:lvl>
    <w:lvl w:ilvl="6">
      <w:start w:val="0"/>
      <w:numFmt w:val="bullet"/>
      <w:lvlText w:val="•"/>
      <w:lvlJc w:val="left"/>
      <w:pPr>
        <w:ind w:left="9574" w:hanging="257"/>
      </w:pPr>
      <w:rPr>
        <w:rFonts w:hint="default"/>
        <w:lang w:val="es-ES" w:eastAsia="es-ES" w:bidi="es-ES"/>
      </w:rPr>
    </w:lvl>
    <w:lvl w:ilvl="7">
      <w:start w:val="0"/>
      <w:numFmt w:val="bullet"/>
      <w:lvlText w:val="•"/>
      <w:lvlJc w:val="left"/>
      <w:pPr>
        <w:ind w:left="11120" w:hanging="257"/>
      </w:pPr>
      <w:rPr>
        <w:rFonts w:hint="default"/>
        <w:lang w:val="es-ES" w:eastAsia="es-ES" w:bidi="es-ES"/>
      </w:rPr>
    </w:lvl>
    <w:lvl w:ilvl="8">
      <w:start w:val="0"/>
      <w:numFmt w:val="bullet"/>
      <w:lvlText w:val="•"/>
      <w:lvlJc w:val="left"/>
      <w:pPr>
        <w:ind w:left="12666" w:hanging="257"/>
      </w:pPr>
      <w:rPr>
        <w:rFonts w:hint="default"/>
        <w:lang w:val="es-ES" w:eastAsia="es-ES" w:bidi="es-ES"/>
      </w:rPr>
    </w:lvl>
  </w:abstractNum>
  <w:abstractNum w:abstractNumId="165">
    <w:multiLevelType w:val="hybridMultilevel"/>
    <w:lvl w:ilvl="0">
      <w:start w:val="32"/>
      <w:numFmt w:val="decimal"/>
      <w:lvlText w:val="%1."/>
      <w:lvlJc w:val="left"/>
      <w:pPr>
        <w:ind w:left="306" w:hanging="257"/>
        <w:jc w:val="left"/>
      </w:pPr>
      <w:rPr>
        <w:rFonts w:hint="default" w:ascii="Arial" w:hAnsi="Arial" w:eastAsia="Arial" w:cs="Arial"/>
        <w:w w:val="102"/>
        <w:sz w:val="15"/>
        <w:szCs w:val="15"/>
        <w:lang w:val="es-ES" w:eastAsia="es-ES" w:bidi="es-ES"/>
      </w:rPr>
    </w:lvl>
    <w:lvl w:ilvl="1">
      <w:start w:val="0"/>
      <w:numFmt w:val="bullet"/>
      <w:lvlText w:val="•"/>
      <w:lvlJc w:val="left"/>
      <w:pPr>
        <w:ind w:left="626" w:hanging="257"/>
      </w:pPr>
      <w:rPr>
        <w:rFonts w:hint="default"/>
        <w:lang w:val="es-ES" w:eastAsia="es-ES" w:bidi="es-ES"/>
      </w:rPr>
    </w:lvl>
    <w:lvl w:ilvl="2">
      <w:start w:val="0"/>
      <w:numFmt w:val="bullet"/>
      <w:lvlText w:val="•"/>
      <w:lvlJc w:val="left"/>
      <w:pPr>
        <w:ind w:left="953" w:hanging="257"/>
      </w:pPr>
      <w:rPr>
        <w:rFonts w:hint="default"/>
        <w:lang w:val="es-ES" w:eastAsia="es-ES" w:bidi="es-ES"/>
      </w:rPr>
    </w:lvl>
    <w:lvl w:ilvl="3">
      <w:start w:val="0"/>
      <w:numFmt w:val="bullet"/>
      <w:lvlText w:val="•"/>
      <w:lvlJc w:val="left"/>
      <w:pPr>
        <w:ind w:left="1280" w:hanging="257"/>
      </w:pPr>
      <w:rPr>
        <w:rFonts w:hint="default"/>
        <w:lang w:val="es-ES" w:eastAsia="es-ES" w:bidi="es-ES"/>
      </w:rPr>
    </w:lvl>
    <w:lvl w:ilvl="4">
      <w:start w:val="0"/>
      <w:numFmt w:val="bullet"/>
      <w:lvlText w:val="•"/>
      <w:lvlJc w:val="left"/>
      <w:pPr>
        <w:ind w:left="1607" w:hanging="257"/>
      </w:pPr>
      <w:rPr>
        <w:rFonts w:hint="default"/>
        <w:lang w:val="es-ES" w:eastAsia="es-ES" w:bidi="es-ES"/>
      </w:rPr>
    </w:lvl>
    <w:lvl w:ilvl="5">
      <w:start w:val="0"/>
      <w:numFmt w:val="bullet"/>
      <w:lvlText w:val="•"/>
      <w:lvlJc w:val="left"/>
      <w:pPr>
        <w:ind w:left="1934" w:hanging="257"/>
      </w:pPr>
      <w:rPr>
        <w:rFonts w:hint="default"/>
        <w:lang w:val="es-ES" w:eastAsia="es-ES" w:bidi="es-ES"/>
      </w:rPr>
    </w:lvl>
    <w:lvl w:ilvl="6">
      <w:start w:val="0"/>
      <w:numFmt w:val="bullet"/>
      <w:lvlText w:val="•"/>
      <w:lvlJc w:val="left"/>
      <w:pPr>
        <w:ind w:left="2261" w:hanging="257"/>
      </w:pPr>
      <w:rPr>
        <w:rFonts w:hint="default"/>
        <w:lang w:val="es-ES" w:eastAsia="es-ES" w:bidi="es-ES"/>
      </w:rPr>
    </w:lvl>
    <w:lvl w:ilvl="7">
      <w:start w:val="0"/>
      <w:numFmt w:val="bullet"/>
      <w:lvlText w:val="•"/>
      <w:lvlJc w:val="left"/>
      <w:pPr>
        <w:ind w:left="2588" w:hanging="257"/>
      </w:pPr>
      <w:rPr>
        <w:rFonts w:hint="default"/>
        <w:lang w:val="es-ES" w:eastAsia="es-ES" w:bidi="es-ES"/>
      </w:rPr>
    </w:lvl>
    <w:lvl w:ilvl="8">
      <w:start w:val="0"/>
      <w:numFmt w:val="bullet"/>
      <w:lvlText w:val="•"/>
      <w:lvlJc w:val="left"/>
      <w:pPr>
        <w:ind w:left="2915" w:hanging="257"/>
      </w:pPr>
      <w:rPr>
        <w:rFonts w:hint="default"/>
        <w:lang w:val="es-ES" w:eastAsia="es-ES" w:bidi="es-ES"/>
      </w:rPr>
    </w:lvl>
  </w:abstractNum>
  <w:abstractNum w:abstractNumId="166">
    <w:multiLevelType w:val="hybridMultilevel"/>
    <w:lvl w:ilvl="0">
      <w:start w:val="43"/>
      <w:numFmt w:val="decimal"/>
      <w:lvlText w:val="%1."/>
      <w:lvlJc w:val="left"/>
      <w:pPr>
        <w:ind w:left="6871" w:hanging="257"/>
        <w:jc w:val="left"/>
      </w:pPr>
      <w:rPr>
        <w:rFonts w:hint="default" w:ascii="Arial" w:hAnsi="Arial" w:eastAsia="Arial" w:cs="Arial"/>
        <w:w w:val="102"/>
        <w:sz w:val="15"/>
        <w:szCs w:val="15"/>
        <w:lang w:val="es-ES" w:eastAsia="es-ES" w:bidi="es-ES"/>
      </w:rPr>
    </w:lvl>
    <w:lvl w:ilvl="1">
      <w:start w:val="0"/>
      <w:numFmt w:val="bullet"/>
      <w:lvlText w:val="•"/>
      <w:lvlJc w:val="left"/>
      <w:pPr>
        <w:ind w:left="7266" w:hanging="257"/>
      </w:pPr>
      <w:rPr>
        <w:rFonts w:hint="default"/>
        <w:lang w:val="es-ES" w:eastAsia="es-ES" w:bidi="es-ES"/>
      </w:rPr>
    </w:lvl>
    <w:lvl w:ilvl="2">
      <w:start w:val="0"/>
      <w:numFmt w:val="bullet"/>
      <w:lvlText w:val="•"/>
      <w:lvlJc w:val="left"/>
      <w:pPr>
        <w:ind w:left="7652" w:hanging="257"/>
      </w:pPr>
      <w:rPr>
        <w:rFonts w:hint="default"/>
        <w:lang w:val="es-ES" w:eastAsia="es-ES" w:bidi="es-ES"/>
      </w:rPr>
    </w:lvl>
    <w:lvl w:ilvl="3">
      <w:start w:val="0"/>
      <w:numFmt w:val="bullet"/>
      <w:lvlText w:val="•"/>
      <w:lvlJc w:val="left"/>
      <w:pPr>
        <w:ind w:left="8038" w:hanging="257"/>
      </w:pPr>
      <w:rPr>
        <w:rFonts w:hint="default"/>
        <w:lang w:val="es-ES" w:eastAsia="es-ES" w:bidi="es-ES"/>
      </w:rPr>
    </w:lvl>
    <w:lvl w:ilvl="4">
      <w:start w:val="0"/>
      <w:numFmt w:val="bullet"/>
      <w:lvlText w:val="•"/>
      <w:lvlJc w:val="left"/>
      <w:pPr>
        <w:ind w:left="8425" w:hanging="257"/>
      </w:pPr>
      <w:rPr>
        <w:rFonts w:hint="default"/>
        <w:lang w:val="es-ES" w:eastAsia="es-ES" w:bidi="es-ES"/>
      </w:rPr>
    </w:lvl>
    <w:lvl w:ilvl="5">
      <w:start w:val="0"/>
      <w:numFmt w:val="bullet"/>
      <w:lvlText w:val="•"/>
      <w:lvlJc w:val="left"/>
      <w:pPr>
        <w:ind w:left="8811" w:hanging="257"/>
      </w:pPr>
      <w:rPr>
        <w:rFonts w:hint="default"/>
        <w:lang w:val="es-ES" w:eastAsia="es-ES" w:bidi="es-ES"/>
      </w:rPr>
    </w:lvl>
    <w:lvl w:ilvl="6">
      <w:start w:val="0"/>
      <w:numFmt w:val="bullet"/>
      <w:lvlText w:val="•"/>
      <w:lvlJc w:val="left"/>
      <w:pPr>
        <w:ind w:left="9197" w:hanging="257"/>
      </w:pPr>
      <w:rPr>
        <w:rFonts w:hint="default"/>
        <w:lang w:val="es-ES" w:eastAsia="es-ES" w:bidi="es-ES"/>
      </w:rPr>
    </w:lvl>
    <w:lvl w:ilvl="7">
      <w:start w:val="0"/>
      <w:numFmt w:val="bullet"/>
      <w:lvlText w:val="•"/>
      <w:lvlJc w:val="left"/>
      <w:pPr>
        <w:ind w:left="9584" w:hanging="257"/>
      </w:pPr>
      <w:rPr>
        <w:rFonts w:hint="default"/>
        <w:lang w:val="es-ES" w:eastAsia="es-ES" w:bidi="es-ES"/>
      </w:rPr>
    </w:lvl>
    <w:lvl w:ilvl="8">
      <w:start w:val="0"/>
      <w:numFmt w:val="bullet"/>
      <w:lvlText w:val="•"/>
      <w:lvlJc w:val="left"/>
      <w:pPr>
        <w:ind w:left="9970" w:hanging="257"/>
      </w:pPr>
      <w:rPr>
        <w:rFonts w:hint="default"/>
        <w:lang w:val="es-ES" w:eastAsia="es-ES" w:bidi="es-ES"/>
      </w:rPr>
    </w:lvl>
  </w:abstractNum>
  <w:abstractNum w:abstractNumId="164">
    <w:multiLevelType w:val="hybridMultilevel"/>
    <w:lvl w:ilvl="0">
      <w:start w:val="1"/>
      <w:numFmt w:val="decimal"/>
      <w:lvlText w:val="%1."/>
      <w:lvlJc w:val="left"/>
      <w:pPr>
        <w:ind w:left="280" w:hanging="130"/>
        <w:jc w:val="left"/>
      </w:pPr>
      <w:rPr>
        <w:rFonts w:hint="default" w:ascii="Arial" w:hAnsi="Arial" w:eastAsia="Arial" w:cs="Arial"/>
        <w:w w:val="100"/>
        <w:sz w:val="13"/>
        <w:szCs w:val="13"/>
        <w:lang w:val="es-ES" w:eastAsia="es-ES" w:bidi="es-ES"/>
      </w:rPr>
    </w:lvl>
    <w:lvl w:ilvl="1">
      <w:start w:val="274"/>
      <w:numFmt w:val="decimal"/>
      <w:lvlText w:val="%2."/>
      <w:lvlJc w:val="left"/>
      <w:pPr>
        <w:ind w:left="890" w:hanging="342"/>
        <w:jc w:val="left"/>
      </w:pPr>
      <w:rPr>
        <w:rFonts w:hint="default" w:ascii="Arial" w:hAnsi="Arial" w:eastAsia="Arial" w:cs="Arial"/>
        <w:spacing w:val="-1"/>
        <w:w w:val="102"/>
        <w:sz w:val="15"/>
        <w:szCs w:val="15"/>
        <w:lang w:val="es-ES" w:eastAsia="es-ES" w:bidi="es-ES"/>
      </w:rPr>
    </w:lvl>
    <w:lvl w:ilvl="2">
      <w:start w:val="0"/>
      <w:numFmt w:val="bullet"/>
      <w:lvlText w:val="•"/>
      <w:lvlJc w:val="left"/>
      <w:pPr>
        <w:ind w:left="1540" w:hanging="342"/>
      </w:pPr>
      <w:rPr>
        <w:rFonts w:hint="default"/>
        <w:lang w:val="es-ES" w:eastAsia="es-ES" w:bidi="es-ES"/>
      </w:rPr>
    </w:lvl>
    <w:lvl w:ilvl="3">
      <w:start w:val="0"/>
      <w:numFmt w:val="bullet"/>
      <w:lvlText w:val="•"/>
      <w:lvlJc w:val="left"/>
      <w:pPr>
        <w:ind w:left="538" w:hanging="342"/>
      </w:pPr>
      <w:rPr>
        <w:rFonts w:hint="default"/>
        <w:lang w:val="es-ES" w:eastAsia="es-ES" w:bidi="es-ES"/>
      </w:rPr>
    </w:lvl>
    <w:lvl w:ilvl="4">
      <w:start w:val="0"/>
      <w:numFmt w:val="bullet"/>
      <w:lvlText w:val="•"/>
      <w:lvlJc w:val="left"/>
      <w:pPr>
        <w:ind w:left="-464" w:hanging="342"/>
      </w:pPr>
      <w:rPr>
        <w:rFonts w:hint="default"/>
        <w:lang w:val="es-ES" w:eastAsia="es-ES" w:bidi="es-ES"/>
      </w:rPr>
    </w:lvl>
    <w:lvl w:ilvl="5">
      <w:start w:val="0"/>
      <w:numFmt w:val="bullet"/>
      <w:lvlText w:val="•"/>
      <w:lvlJc w:val="left"/>
      <w:pPr>
        <w:ind w:left="-1465" w:hanging="342"/>
      </w:pPr>
      <w:rPr>
        <w:rFonts w:hint="default"/>
        <w:lang w:val="es-ES" w:eastAsia="es-ES" w:bidi="es-ES"/>
      </w:rPr>
    </w:lvl>
    <w:lvl w:ilvl="6">
      <w:start w:val="0"/>
      <w:numFmt w:val="bullet"/>
      <w:lvlText w:val="•"/>
      <w:lvlJc w:val="left"/>
      <w:pPr>
        <w:ind w:left="-2467" w:hanging="342"/>
      </w:pPr>
      <w:rPr>
        <w:rFonts w:hint="default"/>
        <w:lang w:val="es-ES" w:eastAsia="es-ES" w:bidi="es-ES"/>
      </w:rPr>
    </w:lvl>
    <w:lvl w:ilvl="7">
      <w:start w:val="0"/>
      <w:numFmt w:val="bullet"/>
      <w:lvlText w:val="•"/>
      <w:lvlJc w:val="left"/>
      <w:pPr>
        <w:ind w:left="-3468" w:hanging="342"/>
      </w:pPr>
      <w:rPr>
        <w:rFonts w:hint="default"/>
        <w:lang w:val="es-ES" w:eastAsia="es-ES" w:bidi="es-ES"/>
      </w:rPr>
    </w:lvl>
    <w:lvl w:ilvl="8">
      <w:start w:val="0"/>
      <w:numFmt w:val="bullet"/>
      <w:lvlText w:val="•"/>
      <w:lvlJc w:val="left"/>
      <w:pPr>
        <w:ind w:left="-4470" w:hanging="342"/>
      </w:pPr>
      <w:rPr>
        <w:rFonts w:hint="default"/>
        <w:lang w:val="es-ES" w:eastAsia="es-ES" w:bidi="es-ES"/>
      </w:rPr>
    </w:lvl>
  </w:abstractNum>
  <w:abstractNum w:abstractNumId="163">
    <w:multiLevelType w:val="hybridMultilevel"/>
    <w:lvl w:ilvl="0">
      <w:start w:val="2"/>
      <w:numFmt w:val="lowerLetter"/>
      <w:lvlText w:val="%1)"/>
      <w:lvlJc w:val="left"/>
      <w:pPr>
        <w:ind w:left="330" w:hanging="180"/>
        <w:jc w:val="left"/>
      </w:pPr>
      <w:rPr>
        <w:rFonts w:hint="default" w:ascii="Arial" w:hAnsi="Arial" w:eastAsia="Arial" w:cs="Arial"/>
        <w:w w:val="102"/>
        <w:sz w:val="15"/>
        <w:szCs w:val="15"/>
        <w:lang w:val="es-ES" w:eastAsia="es-ES" w:bidi="es-ES"/>
      </w:rPr>
    </w:lvl>
    <w:lvl w:ilvl="1">
      <w:start w:val="15"/>
      <w:numFmt w:val="lowerLetter"/>
      <w:lvlText w:val="%2)"/>
      <w:lvlJc w:val="left"/>
      <w:pPr>
        <w:ind w:left="226" w:hanging="200"/>
        <w:jc w:val="left"/>
      </w:pPr>
      <w:rPr>
        <w:rFonts w:hint="default" w:ascii="Arial" w:hAnsi="Arial" w:eastAsia="Arial" w:cs="Arial"/>
        <w:w w:val="102"/>
        <w:sz w:val="15"/>
        <w:szCs w:val="15"/>
        <w:lang w:val="es-ES" w:eastAsia="es-ES" w:bidi="es-ES"/>
      </w:rPr>
    </w:lvl>
    <w:lvl w:ilvl="2">
      <w:start w:val="0"/>
      <w:numFmt w:val="bullet"/>
      <w:lvlText w:val="•"/>
      <w:lvlJc w:val="left"/>
      <w:pPr>
        <w:ind w:left="-501" w:hanging="200"/>
      </w:pPr>
      <w:rPr>
        <w:rFonts w:hint="default"/>
        <w:lang w:val="es-ES" w:eastAsia="es-ES" w:bidi="es-ES"/>
      </w:rPr>
    </w:lvl>
    <w:lvl w:ilvl="3">
      <w:start w:val="0"/>
      <w:numFmt w:val="bullet"/>
      <w:lvlText w:val="•"/>
      <w:lvlJc w:val="left"/>
      <w:pPr>
        <w:ind w:left="-1341" w:hanging="200"/>
      </w:pPr>
      <w:rPr>
        <w:rFonts w:hint="default"/>
        <w:lang w:val="es-ES" w:eastAsia="es-ES" w:bidi="es-ES"/>
      </w:rPr>
    </w:lvl>
    <w:lvl w:ilvl="4">
      <w:start w:val="0"/>
      <w:numFmt w:val="bullet"/>
      <w:lvlText w:val="•"/>
      <w:lvlJc w:val="left"/>
      <w:pPr>
        <w:ind w:left="-2182" w:hanging="200"/>
      </w:pPr>
      <w:rPr>
        <w:rFonts w:hint="default"/>
        <w:lang w:val="es-ES" w:eastAsia="es-ES" w:bidi="es-ES"/>
      </w:rPr>
    </w:lvl>
    <w:lvl w:ilvl="5">
      <w:start w:val="0"/>
      <w:numFmt w:val="bullet"/>
      <w:lvlText w:val="•"/>
      <w:lvlJc w:val="left"/>
      <w:pPr>
        <w:ind w:left="-3022" w:hanging="200"/>
      </w:pPr>
      <w:rPr>
        <w:rFonts w:hint="default"/>
        <w:lang w:val="es-ES" w:eastAsia="es-ES" w:bidi="es-ES"/>
      </w:rPr>
    </w:lvl>
    <w:lvl w:ilvl="6">
      <w:start w:val="0"/>
      <w:numFmt w:val="bullet"/>
      <w:lvlText w:val="•"/>
      <w:lvlJc w:val="left"/>
      <w:pPr>
        <w:ind w:left="-3863" w:hanging="200"/>
      </w:pPr>
      <w:rPr>
        <w:rFonts w:hint="default"/>
        <w:lang w:val="es-ES" w:eastAsia="es-ES" w:bidi="es-ES"/>
      </w:rPr>
    </w:lvl>
    <w:lvl w:ilvl="7">
      <w:start w:val="0"/>
      <w:numFmt w:val="bullet"/>
      <w:lvlText w:val="•"/>
      <w:lvlJc w:val="left"/>
      <w:pPr>
        <w:ind w:left="-4703" w:hanging="200"/>
      </w:pPr>
      <w:rPr>
        <w:rFonts w:hint="default"/>
        <w:lang w:val="es-ES" w:eastAsia="es-ES" w:bidi="es-ES"/>
      </w:rPr>
    </w:lvl>
    <w:lvl w:ilvl="8">
      <w:start w:val="0"/>
      <w:numFmt w:val="bullet"/>
      <w:lvlText w:val="•"/>
      <w:lvlJc w:val="left"/>
      <w:pPr>
        <w:ind w:left="-5544" w:hanging="200"/>
      </w:pPr>
      <w:rPr>
        <w:rFonts w:hint="default"/>
        <w:lang w:val="es-ES" w:eastAsia="es-ES" w:bidi="es-ES"/>
      </w:rPr>
    </w:lvl>
  </w:abstractNum>
  <w:abstractNum w:abstractNumId="162">
    <w:multiLevelType w:val="hybridMultilevel"/>
    <w:lvl w:ilvl="0">
      <w:start w:val="3"/>
      <w:numFmt w:val="lowerLetter"/>
      <w:lvlText w:val="%1)"/>
      <w:lvlJc w:val="left"/>
      <w:pPr>
        <w:ind w:left="826" w:hanging="278"/>
        <w:jc w:val="right"/>
      </w:pPr>
      <w:rPr>
        <w:rFonts w:hint="default" w:ascii="Arial" w:hAnsi="Arial" w:eastAsia="Arial" w:cs="Arial"/>
        <w:w w:val="102"/>
        <w:sz w:val="15"/>
        <w:szCs w:val="15"/>
        <w:lang w:val="es-ES" w:eastAsia="es-ES" w:bidi="es-ES"/>
      </w:rPr>
    </w:lvl>
    <w:lvl w:ilvl="1">
      <w:start w:val="0"/>
      <w:numFmt w:val="bullet"/>
      <w:lvlText w:val="•"/>
      <w:lvlJc w:val="left"/>
      <w:pPr>
        <w:ind w:left="820" w:hanging="278"/>
      </w:pPr>
      <w:rPr>
        <w:rFonts w:hint="default"/>
        <w:lang w:val="es-ES" w:eastAsia="es-ES" w:bidi="es-ES"/>
      </w:rPr>
    </w:lvl>
    <w:lvl w:ilvl="2">
      <w:start w:val="0"/>
      <w:numFmt w:val="bullet"/>
      <w:lvlText w:val="•"/>
      <w:lvlJc w:val="left"/>
      <w:pPr>
        <w:ind w:left="1345" w:hanging="278"/>
      </w:pPr>
      <w:rPr>
        <w:rFonts w:hint="default"/>
        <w:lang w:val="es-ES" w:eastAsia="es-ES" w:bidi="es-ES"/>
      </w:rPr>
    </w:lvl>
    <w:lvl w:ilvl="3">
      <w:start w:val="0"/>
      <w:numFmt w:val="bullet"/>
      <w:lvlText w:val="•"/>
      <w:lvlJc w:val="left"/>
      <w:pPr>
        <w:ind w:left="1870" w:hanging="278"/>
      </w:pPr>
      <w:rPr>
        <w:rFonts w:hint="default"/>
        <w:lang w:val="es-ES" w:eastAsia="es-ES" w:bidi="es-ES"/>
      </w:rPr>
    </w:lvl>
    <w:lvl w:ilvl="4">
      <w:start w:val="0"/>
      <w:numFmt w:val="bullet"/>
      <w:lvlText w:val="•"/>
      <w:lvlJc w:val="left"/>
      <w:pPr>
        <w:ind w:left="2395" w:hanging="278"/>
      </w:pPr>
      <w:rPr>
        <w:rFonts w:hint="default"/>
        <w:lang w:val="es-ES" w:eastAsia="es-ES" w:bidi="es-ES"/>
      </w:rPr>
    </w:lvl>
    <w:lvl w:ilvl="5">
      <w:start w:val="0"/>
      <w:numFmt w:val="bullet"/>
      <w:lvlText w:val="•"/>
      <w:lvlJc w:val="left"/>
      <w:pPr>
        <w:ind w:left="2920" w:hanging="278"/>
      </w:pPr>
      <w:rPr>
        <w:rFonts w:hint="default"/>
        <w:lang w:val="es-ES" w:eastAsia="es-ES" w:bidi="es-ES"/>
      </w:rPr>
    </w:lvl>
    <w:lvl w:ilvl="6">
      <w:start w:val="0"/>
      <w:numFmt w:val="bullet"/>
      <w:lvlText w:val="•"/>
      <w:lvlJc w:val="left"/>
      <w:pPr>
        <w:ind w:left="3446" w:hanging="278"/>
      </w:pPr>
      <w:rPr>
        <w:rFonts w:hint="default"/>
        <w:lang w:val="es-ES" w:eastAsia="es-ES" w:bidi="es-ES"/>
      </w:rPr>
    </w:lvl>
    <w:lvl w:ilvl="7">
      <w:start w:val="0"/>
      <w:numFmt w:val="bullet"/>
      <w:lvlText w:val="•"/>
      <w:lvlJc w:val="left"/>
      <w:pPr>
        <w:ind w:left="3971" w:hanging="278"/>
      </w:pPr>
      <w:rPr>
        <w:rFonts w:hint="default"/>
        <w:lang w:val="es-ES" w:eastAsia="es-ES" w:bidi="es-ES"/>
      </w:rPr>
    </w:lvl>
    <w:lvl w:ilvl="8">
      <w:start w:val="0"/>
      <w:numFmt w:val="bullet"/>
      <w:lvlText w:val="•"/>
      <w:lvlJc w:val="left"/>
      <w:pPr>
        <w:ind w:left="4496" w:hanging="278"/>
      </w:pPr>
      <w:rPr>
        <w:rFonts w:hint="default"/>
        <w:lang w:val="es-ES" w:eastAsia="es-ES" w:bidi="es-ES"/>
      </w:rPr>
    </w:lvl>
  </w:abstractNum>
  <w:abstractNum w:abstractNumId="161">
    <w:multiLevelType w:val="hybridMultilevel"/>
    <w:lvl w:ilvl="0">
      <w:start w:val="6"/>
      <w:numFmt w:val="upperRoman"/>
      <w:lvlText w:val="%1."/>
      <w:lvlJc w:val="left"/>
      <w:pPr>
        <w:ind w:left="150" w:hanging="270"/>
        <w:jc w:val="left"/>
      </w:pPr>
      <w:rPr>
        <w:rFonts w:hint="default" w:ascii="Arial" w:hAnsi="Arial" w:eastAsia="Arial" w:cs="Arial"/>
        <w:w w:val="102"/>
        <w:sz w:val="15"/>
        <w:szCs w:val="15"/>
        <w:lang w:val="es-ES" w:eastAsia="es-ES" w:bidi="es-ES"/>
      </w:rPr>
    </w:lvl>
    <w:lvl w:ilvl="1">
      <w:start w:val="0"/>
      <w:numFmt w:val="bullet"/>
      <w:lvlText w:val="•"/>
      <w:lvlJc w:val="left"/>
      <w:pPr>
        <w:ind w:left="966" w:hanging="270"/>
      </w:pPr>
      <w:rPr>
        <w:rFonts w:hint="default"/>
        <w:lang w:val="es-ES" w:eastAsia="es-ES" w:bidi="es-ES"/>
      </w:rPr>
    </w:lvl>
    <w:lvl w:ilvl="2">
      <w:start w:val="0"/>
      <w:numFmt w:val="bullet"/>
      <w:lvlText w:val="•"/>
      <w:lvlJc w:val="left"/>
      <w:pPr>
        <w:ind w:left="1772" w:hanging="270"/>
      </w:pPr>
      <w:rPr>
        <w:rFonts w:hint="default"/>
        <w:lang w:val="es-ES" w:eastAsia="es-ES" w:bidi="es-ES"/>
      </w:rPr>
    </w:lvl>
    <w:lvl w:ilvl="3">
      <w:start w:val="0"/>
      <w:numFmt w:val="bullet"/>
      <w:lvlText w:val="•"/>
      <w:lvlJc w:val="left"/>
      <w:pPr>
        <w:ind w:left="2578" w:hanging="270"/>
      </w:pPr>
      <w:rPr>
        <w:rFonts w:hint="default"/>
        <w:lang w:val="es-ES" w:eastAsia="es-ES" w:bidi="es-ES"/>
      </w:rPr>
    </w:lvl>
    <w:lvl w:ilvl="4">
      <w:start w:val="0"/>
      <w:numFmt w:val="bullet"/>
      <w:lvlText w:val="•"/>
      <w:lvlJc w:val="left"/>
      <w:pPr>
        <w:ind w:left="3384" w:hanging="270"/>
      </w:pPr>
      <w:rPr>
        <w:rFonts w:hint="default"/>
        <w:lang w:val="es-ES" w:eastAsia="es-ES" w:bidi="es-ES"/>
      </w:rPr>
    </w:lvl>
    <w:lvl w:ilvl="5">
      <w:start w:val="0"/>
      <w:numFmt w:val="bullet"/>
      <w:lvlText w:val="•"/>
      <w:lvlJc w:val="left"/>
      <w:pPr>
        <w:ind w:left="4190" w:hanging="270"/>
      </w:pPr>
      <w:rPr>
        <w:rFonts w:hint="default"/>
        <w:lang w:val="es-ES" w:eastAsia="es-ES" w:bidi="es-ES"/>
      </w:rPr>
    </w:lvl>
    <w:lvl w:ilvl="6">
      <w:start w:val="0"/>
      <w:numFmt w:val="bullet"/>
      <w:lvlText w:val="•"/>
      <w:lvlJc w:val="left"/>
      <w:pPr>
        <w:ind w:left="4997" w:hanging="270"/>
      </w:pPr>
      <w:rPr>
        <w:rFonts w:hint="default"/>
        <w:lang w:val="es-ES" w:eastAsia="es-ES" w:bidi="es-ES"/>
      </w:rPr>
    </w:lvl>
    <w:lvl w:ilvl="7">
      <w:start w:val="0"/>
      <w:numFmt w:val="bullet"/>
      <w:lvlText w:val="•"/>
      <w:lvlJc w:val="left"/>
      <w:pPr>
        <w:ind w:left="5803" w:hanging="270"/>
      </w:pPr>
      <w:rPr>
        <w:rFonts w:hint="default"/>
        <w:lang w:val="es-ES" w:eastAsia="es-ES" w:bidi="es-ES"/>
      </w:rPr>
    </w:lvl>
    <w:lvl w:ilvl="8">
      <w:start w:val="0"/>
      <w:numFmt w:val="bullet"/>
      <w:lvlText w:val="•"/>
      <w:lvlJc w:val="left"/>
      <w:pPr>
        <w:ind w:left="6609" w:hanging="270"/>
      </w:pPr>
      <w:rPr>
        <w:rFonts w:hint="default"/>
        <w:lang w:val="es-ES" w:eastAsia="es-ES" w:bidi="es-ES"/>
      </w:rPr>
    </w:lvl>
  </w:abstractNum>
  <w:abstractNum w:abstractNumId="160">
    <w:multiLevelType w:val="hybridMultilevel"/>
    <w:lvl w:ilvl="0">
      <w:start w:val="1"/>
      <w:numFmt w:val="lowerLetter"/>
      <w:lvlText w:val="%1)"/>
      <w:lvlJc w:val="left"/>
      <w:pPr>
        <w:ind w:left="170" w:hanging="187"/>
        <w:jc w:val="left"/>
      </w:pPr>
      <w:rPr>
        <w:rFonts w:hint="default" w:ascii="Arial" w:hAnsi="Arial" w:eastAsia="Arial" w:cs="Arial"/>
        <w:w w:val="102"/>
        <w:sz w:val="15"/>
        <w:szCs w:val="15"/>
        <w:lang w:val="es-ES" w:eastAsia="es-ES" w:bidi="es-ES"/>
      </w:rPr>
    </w:lvl>
    <w:lvl w:ilvl="1">
      <w:start w:val="0"/>
      <w:numFmt w:val="bullet"/>
      <w:lvlText w:val="•"/>
      <w:lvlJc w:val="left"/>
      <w:pPr>
        <w:ind w:left="986" w:hanging="187"/>
      </w:pPr>
      <w:rPr>
        <w:rFonts w:hint="default"/>
        <w:lang w:val="es-ES" w:eastAsia="es-ES" w:bidi="es-ES"/>
      </w:rPr>
    </w:lvl>
    <w:lvl w:ilvl="2">
      <w:start w:val="0"/>
      <w:numFmt w:val="bullet"/>
      <w:lvlText w:val="•"/>
      <w:lvlJc w:val="left"/>
      <w:pPr>
        <w:ind w:left="1792" w:hanging="187"/>
      </w:pPr>
      <w:rPr>
        <w:rFonts w:hint="default"/>
        <w:lang w:val="es-ES" w:eastAsia="es-ES" w:bidi="es-ES"/>
      </w:rPr>
    </w:lvl>
    <w:lvl w:ilvl="3">
      <w:start w:val="0"/>
      <w:numFmt w:val="bullet"/>
      <w:lvlText w:val="•"/>
      <w:lvlJc w:val="left"/>
      <w:pPr>
        <w:ind w:left="2598" w:hanging="187"/>
      </w:pPr>
      <w:rPr>
        <w:rFonts w:hint="default"/>
        <w:lang w:val="es-ES" w:eastAsia="es-ES" w:bidi="es-ES"/>
      </w:rPr>
    </w:lvl>
    <w:lvl w:ilvl="4">
      <w:start w:val="0"/>
      <w:numFmt w:val="bullet"/>
      <w:lvlText w:val="•"/>
      <w:lvlJc w:val="left"/>
      <w:pPr>
        <w:ind w:left="3404" w:hanging="187"/>
      </w:pPr>
      <w:rPr>
        <w:rFonts w:hint="default"/>
        <w:lang w:val="es-ES" w:eastAsia="es-ES" w:bidi="es-ES"/>
      </w:rPr>
    </w:lvl>
    <w:lvl w:ilvl="5">
      <w:start w:val="0"/>
      <w:numFmt w:val="bullet"/>
      <w:lvlText w:val="•"/>
      <w:lvlJc w:val="left"/>
      <w:pPr>
        <w:ind w:left="4210" w:hanging="187"/>
      </w:pPr>
      <w:rPr>
        <w:rFonts w:hint="default"/>
        <w:lang w:val="es-ES" w:eastAsia="es-ES" w:bidi="es-ES"/>
      </w:rPr>
    </w:lvl>
    <w:lvl w:ilvl="6">
      <w:start w:val="0"/>
      <w:numFmt w:val="bullet"/>
      <w:lvlText w:val="•"/>
      <w:lvlJc w:val="left"/>
      <w:pPr>
        <w:ind w:left="5016" w:hanging="187"/>
      </w:pPr>
      <w:rPr>
        <w:rFonts w:hint="default"/>
        <w:lang w:val="es-ES" w:eastAsia="es-ES" w:bidi="es-ES"/>
      </w:rPr>
    </w:lvl>
    <w:lvl w:ilvl="7">
      <w:start w:val="0"/>
      <w:numFmt w:val="bullet"/>
      <w:lvlText w:val="•"/>
      <w:lvlJc w:val="left"/>
      <w:pPr>
        <w:ind w:left="5823" w:hanging="187"/>
      </w:pPr>
      <w:rPr>
        <w:rFonts w:hint="default"/>
        <w:lang w:val="es-ES" w:eastAsia="es-ES" w:bidi="es-ES"/>
      </w:rPr>
    </w:lvl>
    <w:lvl w:ilvl="8">
      <w:start w:val="0"/>
      <w:numFmt w:val="bullet"/>
      <w:lvlText w:val="•"/>
      <w:lvlJc w:val="left"/>
      <w:pPr>
        <w:ind w:left="6629" w:hanging="187"/>
      </w:pPr>
      <w:rPr>
        <w:rFonts w:hint="default"/>
        <w:lang w:val="es-ES" w:eastAsia="es-ES" w:bidi="es-ES"/>
      </w:rPr>
    </w:lvl>
  </w:abstractNum>
  <w:abstractNum w:abstractNumId="159">
    <w:multiLevelType w:val="hybridMultilevel"/>
    <w:lvl w:ilvl="0">
      <w:start w:val="1"/>
      <w:numFmt w:val="lowerLetter"/>
      <w:lvlText w:val="%1)"/>
      <w:lvlJc w:val="left"/>
      <w:pPr>
        <w:ind w:left="170" w:hanging="261"/>
        <w:jc w:val="left"/>
      </w:pPr>
      <w:rPr>
        <w:rFonts w:hint="default" w:ascii="Arial" w:hAnsi="Arial" w:eastAsia="Arial" w:cs="Arial"/>
        <w:w w:val="102"/>
        <w:sz w:val="15"/>
        <w:szCs w:val="15"/>
        <w:lang w:val="es-ES" w:eastAsia="es-ES" w:bidi="es-ES"/>
      </w:rPr>
    </w:lvl>
    <w:lvl w:ilvl="1">
      <w:start w:val="0"/>
      <w:numFmt w:val="bullet"/>
      <w:lvlText w:val="•"/>
      <w:lvlJc w:val="left"/>
      <w:pPr>
        <w:ind w:left="724" w:hanging="261"/>
      </w:pPr>
      <w:rPr>
        <w:rFonts w:hint="default"/>
        <w:lang w:val="es-ES" w:eastAsia="es-ES" w:bidi="es-ES"/>
      </w:rPr>
    </w:lvl>
    <w:lvl w:ilvl="2">
      <w:start w:val="0"/>
      <w:numFmt w:val="bullet"/>
      <w:lvlText w:val="•"/>
      <w:lvlJc w:val="left"/>
      <w:pPr>
        <w:ind w:left="1269" w:hanging="261"/>
      </w:pPr>
      <w:rPr>
        <w:rFonts w:hint="default"/>
        <w:lang w:val="es-ES" w:eastAsia="es-ES" w:bidi="es-ES"/>
      </w:rPr>
    </w:lvl>
    <w:lvl w:ilvl="3">
      <w:start w:val="0"/>
      <w:numFmt w:val="bullet"/>
      <w:lvlText w:val="•"/>
      <w:lvlJc w:val="left"/>
      <w:pPr>
        <w:ind w:left="1814" w:hanging="261"/>
      </w:pPr>
      <w:rPr>
        <w:rFonts w:hint="default"/>
        <w:lang w:val="es-ES" w:eastAsia="es-ES" w:bidi="es-ES"/>
      </w:rPr>
    </w:lvl>
    <w:lvl w:ilvl="4">
      <w:start w:val="0"/>
      <w:numFmt w:val="bullet"/>
      <w:lvlText w:val="•"/>
      <w:lvlJc w:val="left"/>
      <w:pPr>
        <w:ind w:left="2359" w:hanging="261"/>
      </w:pPr>
      <w:rPr>
        <w:rFonts w:hint="default"/>
        <w:lang w:val="es-ES" w:eastAsia="es-ES" w:bidi="es-ES"/>
      </w:rPr>
    </w:lvl>
    <w:lvl w:ilvl="5">
      <w:start w:val="0"/>
      <w:numFmt w:val="bullet"/>
      <w:lvlText w:val="•"/>
      <w:lvlJc w:val="left"/>
      <w:pPr>
        <w:ind w:left="2904" w:hanging="261"/>
      </w:pPr>
      <w:rPr>
        <w:rFonts w:hint="default"/>
        <w:lang w:val="es-ES" w:eastAsia="es-ES" w:bidi="es-ES"/>
      </w:rPr>
    </w:lvl>
    <w:lvl w:ilvl="6">
      <w:start w:val="0"/>
      <w:numFmt w:val="bullet"/>
      <w:lvlText w:val="•"/>
      <w:lvlJc w:val="left"/>
      <w:pPr>
        <w:ind w:left="3449" w:hanging="261"/>
      </w:pPr>
      <w:rPr>
        <w:rFonts w:hint="default"/>
        <w:lang w:val="es-ES" w:eastAsia="es-ES" w:bidi="es-ES"/>
      </w:rPr>
    </w:lvl>
    <w:lvl w:ilvl="7">
      <w:start w:val="0"/>
      <w:numFmt w:val="bullet"/>
      <w:lvlText w:val="•"/>
      <w:lvlJc w:val="left"/>
      <w:pPr>
        <w:ind w:left="3994" w:hanging="261"/>
      </w:pPr>
      <w:rPr>
        <w:rFonts w:hint="default"/>
        <w:lang w:val="es-ES" w:eastAsia="es-ES" w:bidi="es-ES"/>
      </w:rPr>
    </w:lvl>
    <w:lvl w:ilvl="8">
      <w:start w:val="0"/>
      <w:numFmt w:val="bullet"/>
      <w:lvlText w:val="•"/>
      <w:lvlJc w:val="left"/>
      <w:pPr>
        <w:ind w:left="4539" w:hanging="261"/>
      </w:pPr>
      <w:rPr>
        <w:rFonts w:hint="default"/>
        <w:lang w:val="es-ES" w:eastAsia="es-ES" w:bidi="es-ES"/>
      </w:rPr>
    </w:lvl>
  </w:abstractNum>
  <w:abstractNum w:abstractNumId="158">
    <w:multiLevelType w:val="hybridMultilevel"/>
    <w:lvl w:ilvl="0">
      <w:start w:val="1"/>
      <w:numFmt w:val="upperRoman"/>
      <w:lvlText w:val="%1."/>
      <w:lvlJc w:val="left"/>
      <w:pPr>
        <w:ind w:left="170" w:hanging="129"/>
        <w:jc w:val="left"/>
      </w:pPr>
      <w:rPr>
        <w:rFonts w:hint="default" w:ascii="Arial" w:hAnsi="Arial" w:eastAsia="Arial" w:cs="Arial"/>
        <w:w w:val="102"/>
        <w:sz w:val="15"/>
        <w:szCs w:val="15"/>
        <w:lang w:val="es-ES" w:eastAsia="es-ES" w:bidi="es-ES"/>
      </w:rPr>
    </w:lvl>
    <w:lvl w:ilvl="1">
      <w:start w:val="0"/>
      <w:numFmt w:val="bullet"/>
      <w:lvlText w:val="•"/>
      <w:lvlJc w:val="left"/>
      <w:pPr>
        <w:ind w:left="631" w:hanging="129"/>
      </w:pPr>
      <w:rPr>
        <w:rFonts w:hint="default"/>
        <w:lang w:val="es-ES" w:eastAsia="es-ES" w:bidi="es-ES"/>
      </w:rPr>
    </w:lvl>
    <w:lvl w:ilvl="2">
      <w:start w:val="0"/>
      <w:numFmt w:val="bullet"/>
      <w:lvlText w:val="•"/>
      <w:lvlJc w:val="left"/>
      <w:pPr>
        <w:ind w:left="1083" w:hanging="129"/>
      </w:pPr>
      <w:rPr>
        <w:rFonts w:hint="default"/>
        <w:lang w:val="es-ES" w:eastAsia="es-ES" w:bidi="es-ES"/>
      </w:rPr>
    </w:lvl>
    <w:lvl w:ilvl="3">
      <w:start w:val="0"/>
      <w:numFmt w:val="bullet"/>
      <w:lvlText w:val="•"/>
      <w:lvlJc w:val="left"/>
      <w:pPr>
        <w:ind w:left="1535" w:hanging="129"/>
      </w:pPr>
      <w:rPr>
        <w:rFonts w:hint="default"/>
        <w:lang w:val="es-ES" w:eastAsia="es-ES" w:bidi="es-ES"/>
      </w:rPr>
    </w:lvl>
    <w:lvl w:ilvl="4">
      <w:start w:val="0"/>
      <w:numFmt w:val="bullet"/>
      <w:lvlText w:val="•"/>
      <w:lvlJc w:val="left"/>
      <w:pPr>
        <w:ind w:left="1987" w:hanging="129"/>
      </w:pPr>
      <w:rPr>
        <w:rFonts w:hint="default"/>
        <w:lang w:val="es-ES" w:eastAsia="es-ES" w:bidi="es-ES"/>
      </w:rPr>
    </w:lvl>
    <w:lvl w:ilvl="5">
      <w:start w:val="0"/>
      <w:numFmt w:val="bullet"/>
      <w:lvlText w:val="•"/>
      <w:lvlJc w:val="left"/>
      <w:pPr>
        <w:ind w:left="2438" w:hanging="129"/>
      </w:pPr>
      <w:rPr>
        <w:rFonts w:hint="default"/>
        <w:lang w:val="es-ES" w:eastAsia="es-ES" w:bidi="es-ES"/>
      </w:rPr>
    </w:lvl>
    <w:lvl w:ilvl="6">
      <w:start w:val="0"/>
      <w:numFmt w:val="bullet"/>
      <w:lvlText w:val="•"/>
      <w:lvlJc w:val="left"/>
      <w:pPr>
        <w:ind w:left="2890" w:hanging="129"/>
      </w:pPr>
      <w:rPr>
        <w:rFonts w:hint="default"/>
        <w:lang w:val="es-ES" w:eastAsia="es-ES" w:bidi="es-ES"/>
      </w:rPr>
    </w:lvl>
    <w:lvl w:ilvl="7">
      <w:start w:val="0"/>
      <w:numFmt w:val="bullet"/>
      <w:lvlText w:val="•"/>
      <w:lvlJc w:val="left"/>
      <w:pPr>
        <w:ind w:left="3342" w:hanging="129"/>
      </w:pPr>
      <w:rPr>
        <w:rFonts w:hint="default"/>
        <w:lang w:val="es-ES" w:eastAsia="es-ES" w:bidi="es-ES"/>
      </w:rPr>
    </w:lvl>
    <w:lvl w:ilvl="8">
      <w:start w:val="0"/>
      <w:numFmt w:val="bullet"/>
      <w:lvlText w:val="•"/>
      <w:lvlJc w:val="left"/>
      <w:pPr>
        <w:ind w:left="3794" w:hanging="129"/>
      </w:pPr>
      <w:rPr>
        <w:rFonts w:hint="default"/>
        <w:lang w:val="es-ES" w:eastAsia="es-ES" w:bidi="es-ES"/>
      </w:rPr>
    </w:lvl>
  </w:abstractNum>
  <w:abstractNum w:abstractNumId="157">
    <w:multiLevelType w:val="hybridMultilevel"/>
    <w:lvl w:ilvl="0">
      <w:start w:val="1"/>
      <w:numFmt w:val="lowerLetter"/>
      <w:lvlText w:val="%1)"/>
      <w:lvlJc w:val="left"/>
      <w:pPr>
        <w:ind w:left="170" w:hanging="252"/>
        <w:jc w:val="left"/>
      </w:pPr>
      <w:rPr>
        <w:rFonts w:hint="default" w:ascii="Arial" w:hAnsi="Arial" w:eastAsia="Arial" w:cs="Arial"/>
        <w:w w:val="102"/>
        <w:sz w:val="15"/>
        <w:szCs w:val="15"/>
        <w:lang w:val="es-ES" w:eastAsia="es-ES" w:bidi="es-ES"/>
      </w:rPr>
    </w:lvl>
    <w:lvl w:ilvl="1">
      <w:start w:val="0"/>
      <w:numFmt w:val="bullet"/>
      <w:lvlText w:val="•"/>
      <w:lvlJc w:val="left"/>
      <w:pPr>
        <w:ind w:left="724" w:hanging="252"/>
      </w:pPr>
      <w:rPr>
        <w:rFonts w:hint="default"/>
        <w:lang w:val="es-ES" w:eastAsia="es-ES" w:bidi="es-ES"/>
      </w:rPr>
    </w:lvl>
    <w:lvl w:ilvl="2">
      <w:start w:val="0"/>
      <w:numFmt w:val="bullet"/>
      <w:lvlText w:val="•"/>
      <w:lvlJc w:val="left"/>
      <w:pPr>
        <w:ind w:left="1269" w:hanging="252"/>
      </w:pPr>
      <w:rPr>
        <w:rFonts w:hint="default"/>
        <w:lang w:val="es-ES" w:eastAsia="es-ES" w:bidi="es-ES"/>
      </w:rPr>
    </w:lvl>
    <w:lvl w:ilvl="3">
      <w:start w:val="0"/>
      <w:numFmt w:val="bullet"/>
      <w:lvlText w:val="•"/>
      <w:lvlJc w:val="left"/>
      <w:pPr>
        <w:ind w:left="1814" w:hanging="252"/>
      </w:pPr>
      <w:rPr>
        <w:rFonts w:hint="default"/>
        <w:lang w:val="es-ES" w:eastAsia="es-ES" w:bidi="es-ES"/>
      </w:rPr>
    </w:lvl>
    <w:lvl w:ilvl="4">
      <w:start w:val="0"/>
      <w:numFmt w:val="bullet"/>
      <w:lvlText w:val="•"/>
      <w:lvlJc w:val="left"/>
      <w:pPr>
        <w:ind w:left="2359" w:hanging="252"/>
      </w:pPr>
      <w:rPr>
        <w:rFonts w:hint="default"/>
        <w:lang w:val="es-ES" w:eastAsia="es-ES" w:bidi="es-ES"/>
      </w:rPr>
    </w:lvl>
    <w:lvl w:ilvl="5">
      <w:start w:val="0"/>
      <w:numFmt w:val="bullet"/>
      <w:lvlText w:val="•"/>
      <w:lvlJc w:val="left"/>
      <w:pPr>
        <w:ind w:left="2904" w:hanging="252"/>
      </w:pPr>
      <w:rPr>
        <w:rFonts w:hint="default"/>
        <w:lang w:val="es-ES" w:eastAsia="es-ES" w:bidi="es-ES"/>
      </w:rPr>
    </w:lvl>
    <w:lvl w:ilvl="6">
      <w:start w:val="0"/>
      <w:numFmt w:val="bullet"/>
      <w:lvlText w:val="•"/>
      <w:lvlJc w:val="left"/>
      <w:pPr>
        <w:ind w:left="3448" w:hanging="252"/>
      </w:pPr>
      <w:rPr>
        <w:rFonts w:hint="default"/>
        <w:lang w:val="es-ES" w:eastAsia="es-ES" w:bidi="es-ES"/>
      </w:rPr>
    </w:lvl>
    <w:lvl w:ilvl="7">
      <w:start w:val="0"/>
      <w:numFmt w:val="bullet"/>
      <w:lvlText w:val="•"/>
      <w:lvlJc w:val="left"/>
      <w:pPr>
        <w:ind w:left="3993" w:hanging="252"/>
      </w:pPr>
      <w:rPr>
        <w:rFonts w:hint="default"/>
        <w:lang w:val="es-ES" w:eastAsia="es-ES" w:bidi="es-ES"/>
      </w:rPr>
    </w:lvl>
    <w:lvl w:ilvl="8">
      <w:start w:val="0"/>
      <w:numFmt w:val="bullet"/>
      <w:lvlText w:val="•"/>
      <w:lvlJc w:val="left"/>
      <w:pPr>
        <w:ind w:left="4538" w:hanging="252"/>
      </w:pPr>
      <w:rPr>
        <w:rFonts w:hint="default"/>
        <w:lang w:val="es-ES" w:eastAsia="es-ES" w:bidi="es-ES"/>
      </w:rPr>
    </w:lvl>
  </w:abstractNum>
  <w:abstractNum w:abstractNumId="156">
    <w:multiLevelType w:val="hybridMultilevel"/>
    <w:lvl w:ilvl="0">
      <w:start w:val="1"/>
      <w:numFmt w:val="lowerLetter"/>
      <w:lvlText w:val="%1)"/>
      <w:lvlJc w:val="left"/>
      <w:pPr>
        <w:ind w:left="170" w:hanging="198"/>
        <w:jc w:val="left"/>
      </w:pPr>
      <w:rPr>
        <w:rFonts w:hint="default" w:ascii="Arial" w:hAnsi="Arial" w:eastAsia="Arial" w:cs="Arial"/>
        <w:w w:val="102"/>
        <w:sz w:val="15"/>
        <w:szCs w:val="15"/>
        <w:lang w:val="es-ES" w:eastAsia="es-ES" w:bidi="es-ES"/>
      </w:rPr>
    </w:lvl>
    <w:lvl w:ilvl="1">
      <w:start w:val="0"/>
      <w:numFmt w:val="bullet"/>
      <w:lvlText w:val="•"/>
      <w:lvlJc w:val="left"/>
      <w:pPr>
        <w:ind w:left="724" w:hanging="198"/>
      </w:pPr>
      <w:rPr>
        <w:rFonts w:hint="default"/>
        <w:lang w:val="es-ES" w:eastAsia="es-ES" w:bidi="es-ES"/>
      </w:rPr>
    </w:lvl>
    <w:lvl w:ilvl="2">
      <w:start w:val="0"/>
      <w:numFmt w:val="bullet"/>
      <w:lvlText w:val="•"/>
      <w:lvlJc w:val="left"/>
      <w:pPr>
        <w:ind w:left="1269" w:hanging="198"/>
      </w:pPr>
      <w:rPr>
        <w:rFonts w:hint="default"/>
        <w:lang w:val="es-ES" w:eastAsia="es-ES" w:bidi="es-ES"/>
      </w:rPr>
    </w:lvl>
    <w:lvl w:ilvl="3">
      <w:start w:val="0"/>
      <w:numFmt w:val="bullet"/>
      <w:lvlText w:val="•"/>
      <w:lvlJc w:val="left"/>
      <w:pPr>
        <w:ind w:left="1814" w:hanging="198"/>
      </w:pPr>
      <w:rPr>
        <w:rFonts w:hint="default"/>
        <w:lang w:val="es-ES" w:eastAsia="es-ES" w:bidi="es-ES"/>
      </w:rPr>
    </w:lvl>
    <w:lvl w:ilvl="4">
      <w:start w:val="0"/>
      <w:numFmt w:val="bullet"/>
      <w:lvlText w:val="•"/>
      <w:lvlJc w:val="left"/>
      <w:pPr>
        <w:ind w:left="2359" w:hanging="198"/>
      </w:pPr>
      <w:rPr>
        <w:rFonts w:hint="default"/>
        <w:lang w:val="es-ES" w:eastAsia="es-ES" w:bidi="es-ES"/>
      </w:rPr>
    </w:lvl>
    <w:lvl w:ilvl="5">
      <w:start w:val="0"/>
      <w:numFmt w:val="bullet"/>
      <w:lvlText w:val="•"/>
      <w:lvlJc w:val="left"/>
      <w:pPr>
        <w:ind w:left="2904" w:hanging="198"/>
      </w:pPr>
      <w:rPr>
        <w:rFonts w:hint="default"/>
        <w:lang w:val="es-ES" w:eastAsia="es-ES" w:bidi="es-ES"/>
      </w:rPr>
    </w:lvl>
    <w:lvl w:ilvl="6">
      <w:start w:val="0"/>
      <w:numFmt w:val="bullet"/>
      <w:lvlText w:val="•"/>
      <w:lvlJc w:val="left"/>
      <w:pPr>
        <w:ind w:left="3449" w:hanging="198"/>
      </w:pPr>
      <w:rPr>
        <w:rFonts w:hint="default"/>
        <w:lang w:val="es-ES" w:eastAsia="es-ES" w:bidi="es-ES"/>
      </w:rPr>
    </w:lvl>
    <w:lvl w:ilvl="7">
      <w:start w:val="0"/>
      <w:numFmt w:val="bullet"/>
      <w:lvlText w:val="•"/>
      <w:lvlJc w:val="left"/>
      <w:pPr>
        <w:ind w:left="3994" w:hanging="198"/>
      </w:pPr>
      <w:rPr>
        <w:rFonts w:hint="default"/>
        <w:lang w:val="es-ES" w:eastAsia="es-ES" w:bidi="es-ES"/>
      </w:rPr>
    </w:lvl>
    <w:lvl w:ilvl="8">
      <w:start w:val="0"/>
      <w:numFmt w:val="bullet"/>
      <w:lvlText w:val="•"/>
      <w:lvlJc w:val="left"/>
      <w:pPr>
        <w:ind w:left="4539" w:hanging="198"/>
      </w:pPr>
      <w:rPr>
        <w:rFonts w:hint="default"/>
        <w:lang w:val="es-ES" w:eastAsia="es-ES" w:bidi="es-ES"/>
      </w:rPr>
    </w:lvl>
  </w:abstractNum>
  <w:abstractNum w:abstractNumId="155">
    <w:multiLevelType w:val="hybridMultilevel"/>
    <w:lvl w:ilvl="0">
      <w:start w:val="7"/>
      <w:numFmt w:val="upperRoman"/>
      <w:lvlText w:val="%1."/>
      <w:lvlJc w:val="left"/>
      <w:pPr>
        <w:ind w:left="821" w:hanging="275"/>
        <w:jc w:val="left"/>
      </w:pPr>
      <w:rPr>
        <w:rFonts w:hint="default" w:ascii="Arial" w:hAnsi="Arial" w:eastAsia="Arial" w:cs="Arial"/>
        <w:w w:val="102"/>
        <w:sz w:val="15"/>
        <w:szCs w:val="15"/>
        <w:lang w:val="es-ES" w:eastAsia="es-ES" w:bidi="es-ES"/>
      </w:rPr>
    </w:lvl>
    <w:lvl w:ilvl="1">
      <w:start w:val="0"/>
      <w:numFmt w:val="bullet"/>
      <w:lvlText w:val="•"/>
      <w:lvlJc w:val="left"/>
      <w:pPr>
        <w:ind w:left="1301" w:hanging="275"/>
      </w:pPr>
      <w:rPr>
        <w:rFonts w:hint="default"/>
        <w:lang w:val="es-ES" w:eastAsia="es-ES" w:bidi="es-ES"/>
      </w:rPr>
    </w:lvl>
    <w:lvl w:ilvl="2">
      <w:start w:val="0"/>
      <w:numFmt w:val="bullet"/>
      <w:lvlText w:val="•"/>
      <w:lvlJc w:val="left"/>
      <w:pPr>
        <w:ind w:left="1782" w:hanging="275"/>
      </w:pPr>
      <w:rPr>
        <w:rFonts w:hint="default"/>
        <w:lang w:val="es-ES" w:eastAsia="es-ES" w:bidi="es-ES"/>
      </w:rPr>
    </w:lvl>
    <w:lvl w:ilvl="3">
      <w:start w:val="0"/>
      <w:numFmt w:val="bullet"/>
      <w:lvlText w:val="•"/>
      <w:lvlJc w:val="left"/>
      <w:pPr>
        <w:ind w:left="2263" w:hanging="275"/>
      </w:pPr>
      <w:rPr>
        <w:rFonts w:hint="default"/>
        <w:lang w:val="es-ES" w:eastAsia="es-ES" w:bidi="es-ES"/>
      </w:rPr>
    </w:lvl>
    <w:lvl w:ilvl="4">
      <w:start w:val="0"/>
      <w:numFmt w:val="bullet"/>
      <w:lvlText w:val="•"/>
      <w:lvlJc w:val="left"/>
      <w:pPr>
        <w:ind w:left="2744" w:hanging="275"/>
      </w:pPr>
      <w:rPr>
        <w:rFonts w:hint="default"/>
        <w:lang w:val="es-ES" w:eastAsia="es-ES" w:bidi="es-ES"/>
      </w:rPr>
    </w:lvl>
    <w:lvl w:ilvl="5">
      <w:start w:val="0"/>
      <w:numFmt w:val="bullet"/>
      <w:lvlText w:val="•"/>
      <w:lvlJc w:val="left"/>
      <w:pPr>
        <w:ind w:left="3225" w:hanging="275"/>
      </w:pPr>
      <w:rPr>
        <w:rFonts w:hint="default"/>
        <w:lang w:val="es-ES" w:eastAsia="es-ES" w:bidi="es-ES"/>
      </w:rPr>
    </w:lvl>
    <w:lvl w:ilvl="6">
      <w:start w:val="0"/>
      <w:numFmt w:val="bullet"/>
      <w:lvlText w:val="•"/>
      <w:lvlJc w:val="left"/>
      <w:pPr>
        <w:ind w:left="3706" w:hanging="275"/>
      </w:pPr>
      <w:rPr>
        <w:rFonts w:hint="default"/>
        <w:lang w:val="es-ES" w:eastAsia="es-ES" w:bidi="es-ES"/>
      </w:rPr>
    </w:lvl>
    <w:lvl w:ilvl="7">
      <w:start w:val="0"/>
      <w:numFmt w:val="bullet"/>
      <w:lvlText w:val="•"/>
      <w:lvlJc w:val="left"/>
      <w:pPr>
        <w:ind w:left="4187" w:hanging="275"/>
      </w:pPr>
      <w:rPr>
        <w:rFonts w:hint="default"/>
        <w:lang w:val="es-ES" w:eastAsia="es-ES" w:bidi="es-ES"/>
      </w:rPr>
    </w:lvl>
    <w:lvl w:ilvl="8">
      <w:start w:val="0"/>
      <w:numFmt w:val="bullet"/>
      <w:lvlText w:val="•"/>
      <w:lvlJc w:val="left"/>
      <w:pPr>
        <w:ind w:left="4668" w:hanging="275"/>
      </w:pPr>
      <w:rPr>
        <w:rFonts w:hint="default"/>
        <w:lang w:val="es-ES" w:eastAsia="es-ES" w:bidi="es-ES"/>
      </w:rPr>
    </w:lvl>
  </w:abstractNum>
  <w:abstractNum w:abstractNumId="153">
    <w:multiLevelType w:val="hybridMultilevel"/>
    <w:lvl w:ilvl="0">
      <w:start w:val="2"/>
      <w:numFmt w:val="lowerLetter"/>
      <w:lvlText w:val="%1)"/>
      <w:lvlJc w:val="left"/>
      <w:pPr>
        <w:ind w:left="268" w:hanging="180"/>
        <w:jc w:val="left"/>
      </w:pPr>
      <w:rPr>
        <w:rFonts w:hint="default" w:ascii="Arial" w:hAnsi="Arial" w:eastAsia="Arial" w:cs="Arial"/>
        <w:w w:val="102"/>
        <w:sz w:val="15"/>
        <w:szCs w:val="15"/>
        <w:lang w:val="es-ES" w:eastAsia="es-ES" w:bidi="es-ES"/>
      </w:rPr>
    </w:lvl>
    <w:lvl w:ilvl="1">
      <w:start w:val="0"/>
      <w:numFmt w:val="bullet"/>
      <w:lvlText w:val="•"/>
      <w:lvlJc w:val="left"/>
      <w:pPr>
        <w:ind w:left="578" w:hanging="180"/>
      </w:pPr>
      <w:rPr>
        <w:rFonts w:hint="default"/>
        <w:lang w:val="es-ES" w:eastAsia="es-ES" w:bidi="es-ES"/>
      </w:rPr>
    </w:lvl>
    <w:lvl w:ilvl="2">
      <w:start w:val="0"/>
      <w:numFmt w:val="bullet"/>
      <w:lvlText w:val="•"/>
      <w:lvlJc w:val="left"/>
      <w:pPr>
        <w:ind w:left="897" w:hanging="180"/>
      </w:pPr>
      <w:rPr>
        <w:rFonts w:hint="default"/>
        <w:lang w:val="es-ES" w:eastAsia="es-ES" w:bidi="es-ES"/>
      </w:rPr>
    </w:lvl>
    <w:lvl w:ilvl="3">
      <w:start w:val="0"/>
      <w:numFmt w:val="bullet"/>
      <w:lvlText w:val="•"/>
      <w:lvlJc w:val="left"/>
      <w:pPr>
        <w:ind w:left="1216" w:hanging="180"/>
      </w:pPr>
      <w:rPr>
        <w:rFonts w:hint="default"/>
        <w:lang w:val="es-ES" w:eastAsia="es-ES" w:bidi="es-ES"/>
      </w:rPr>
    </w:lvl>
    <w:lvl w:ilvl="4">
      <w:start w:val="0"/>
      <w:numFmt w:val="bullet"/>
      <w:lvlText w:val="•"/>
      <w:lvlJc w:val="left"/>
      <w:pPr>
        <w:ind w:left="1534" w:hanging="180"/>
      </w:pPr>
      <w:rPr>
        <w:rFonts w:hint="default"/>
        <w:lang w:val="es-ES" w:eastAsia="es-ES" w:bidi="es-ES"/>
      </w:rPr>
    </w:lvl>
    <w:lvl w:ilvl="5">
      <w:start w:val="0"/>
      <w:numFmt w:val="bullet"/>
      <w:lvlText w:val="•"/>
      <w:lvlJc w:val="left"/>
      <w:pPr>
        <w:ind w:left="1853" w:hanging="180"/>
      </w:pPr>
      <w:rPr>
        <w:rFonts w:hint="default"/>
        <w:lang w:val="es-ES" w:eastAsia="es-ES" w:bidi="es-ES"/>
      </w:rPr>
    </w:lvl>
    <w:lvl w:ilvl="6">
      <w:start w:val="0"/>
      <w:numFmt w:val="bullet"/>
      <w:lvlText w:val="•"/>
      <w:lvlJc w:val="left"/>
      <w:pPr>
        <w:ind w:left="2172" w:hanging="180"/>
      </w:pPr>
      <w:rPr>
        <w:rFonts w:hint="default"/>
        <w:lang w:val="es-ES" w:eastAsia="es-ES" w:bidi="es-ES"/>
      </w:rPr>
    </w:lvl>
    <w:lvl w:ilvl="7">
      <w:start w:val="0"/>
      <w:numFmt w:val="bullet"/>
      <w:lvlText w:val="•"/>
      <w:lvlJc w:val="left"/>
      <w:pPr>
        <w:ind w:left="2490" w:hanging="180"/>
      </w:pPr>
      <w:rPr>
        <w:rFonts w:hint="default"/>
        <w:lang w:val="es-ES" w:eastAsia="es-ES" w:bidi="es-ES"/>
      </w:rPr>
    </w:lvl>
    <w:lvl w:ilvl="8">
      <w:start w:val="0"/>
      <w:numFmt w:val="bullet"/>
      <w:lvlText w:val="•"/>
      <w:lvlJc w:val="left"/>
      <w:pPr>
        <w:ind w:left="2809" w:hanging="180"/>
      </w:pPr>
      <w:rPr>
        <w:rFonts w:hint="default"/>
        <w:lang w:val="es-ES" w:eastAsia="es-ES" w:bidi="es-ES"/>
      </w:rPr>
    </w:lvl>
  </w:abstractNum>
  <w:abstractNum w:abstractNumId="154">
    <w:multiLevelType w:val="hybridMultilevel"/>
    <w:lvl w:ilvl="0">
      <w:start w:val="1"/>
      <w:numFmt w:val="lowerLetter"/>
      <w:lvlText w:val="%1)"/>
      <w:lvlJc w:val="left"/>
      <w:pPr>
        <w:ind w:left="746"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26" w:hanging="180"/>
      </w:pPr>
      <w:rPr>
        <w:rFonts w:hint="default"/>
        <w:lang w:val="es-ES" w:eastAsia="es-ES" w:bidi="es-ES"/>
      </w:rPr>
    </w:lvl>
    <w:lvl w:ilvl="2">
      <w:start w:val="0"/>
      <w:numFmt w:val="bullet"/>
      <w:lvlText w:val="•"/>
      <w:lvlJc w:val="left"/>
      <w:pPr>
        <w:ind w:left="1713" w:hanging="180"/>
      </w:pPr>
      <w:rPr>
        <w:rFonts w:hint="default"/>
        <w:lang w:val="es-ES" w:eastAsia="es-ES" w:bidi="es-ES"/>
      </w:rPr>
    </w:lvl>
    <w:lvl w:ilvl="3">
      <w:start w:val="0"/>
      <w:numFmt w:val="bullet"/>
      <w:lvlText w:val="•"/>
      <w:lvlJc w:val="left"/>
      <w:pPr>
        <w:ind w:left="2200" w:hanging="180"/>
      </w:pPr>
      <w:rPr>
        <w:rFonts w:hint="default"/>
        <w:lang w:val="es-ES" w:eastAsia="es-ES" w:bidi="es-ES"/>
      </w:rPr>
    </w:lvl>
    <w:lvl w:ilvl="4">
      <w:start w:val="0"/>
      <w:numFmt w:val="bullet"/>
      <w:lvlText w:val="•"/>
      <w:lvlJc w:val="left"/>
      <w:pPr>
        <w:ind w:left="2687" w:hanging="180"/>
      </w:pPr>
      <w:rPr>
        <w:rFonts w:hint="default"/>
        <w:lang w:val="es-ES" w:eastAsia="es-ES" w:bidi="es-ES"/>
      </w:rPr>
    </w:lvl>
    <w:lvl w:ilvl="5">
      <w:start w:val="0"/>
      <w:numFmt w:val="bullet"/>
      <w:lvlText w:val="•"/>
      <w:lvlJc w:val="left"/>
      <w:pPr>
        <w:ind w:left="3174" w:hanging="180"/>
      </w:pPr>
      <w:rPr>
        <w:rFonts w:hint="default"/>
        <w:lang w:val="es-ES" w:eastAsia="es-ES" w:bidi="es-ES"/>
      </w:rPr>
    </w:lvl>
    <w:lvl w:ilvl="6">
      <w:start w:val="0"/>
      <w:numFmt w:val="bullet"/>
      <w:lvlText w:val="•"/>
      <w:lvlJc w:val="left"/>
      <w:pPr>
        <w:ind w:left="3661" w:hanging="180"/>
      </w:pPr>
      <w:rPr>
        <w:rFonts w:hint="default"/>
        <w:lang w:val="es-ES" w:eastAsia="es-ES" w:bidi="es-ES"/>
      </w:rPr>
    </w:lvl>
    <w:lvl w:ilvl="7">
      <w:start w:val="0"/>
      <w:numFmt w:val="bullet"/>
      <w:lvlText w:val="•"/>
      <w:lvlJc w:val="left"/>
      <w:pPr>
        <w:ind w:left="4148" w:hanging="180"/>
      </w:pPr>
      <w:rPr>
        <w:rFonts w:hint="default"/>
        <w:lang w:val="es-ES" w:eastAsia="es-ES" w:bidi="es-ES"/>
      </w:rPr>
    </w:lvl>
    <w:lvl w:ilvl="8">
      <w:start w:val="0"/>
      <w:numFmt w:val="bullet"/>
      <w:lvlText w:val="•"/>
      <w:lvlJc w:val="left"/>
      <w:pPr>
        <w:ind w:left="4634" w:hanging="180"/>
      </w:pPr>
      <w:rPr>
        <w:rFonts w:hint="default"/>
        <w:lang w:val="es-ES" w:eastAsia="es-ES" w:bidi="es-ES"/>
      </w:rPr>
    </w:lvl>
  </w:abstractNum>
  <w:abstractNum w:abstractNumId="152">
    <w:multiLevelType w:val="hybridMultilevel"/>
    <w:lvl w:ilvl="0">
      <w:start w:val="1"/>
      <w:numFmt w:val="lowerLetter"/>
      <w:lvlText w:val="%1)"/>
      <w:lvlJc w:val="left"/>
      <w:pPr>
        <w:ind w:left="330" w:hanging="180"/>
        <w:jc w:val="left"/>
      </w:pPr>
      <w:rPr>
        <w:rFonts w:hint="default" w:ascii="Arial" w:hAnsi="Arial" w:eastAsia="Arial" w:cs="Arial"/>
        <w:w w:val="102"/>
        <w:sz w:val="15"/>
        <w:szCs w:val="15"/>
        <w:lang w:val="es-ES" w:eastAsia="es-ES" w:bidi="es-ES"/>
      </w:rPr>
    </w:lvl>
    <w:lvl w:ilvl="1">
      <w:start w:val="1"/>
      <w:numFmt w:val="upperRoman"/>
      <w:lvlText w:val="%2."/>
      <w:lvlJc w:val="left"/>
      <w:pPr>
        <w:ind w:left="695" w:hanging="129"/>
        <w:jc w:val="left"/>
      </w:pPr>
      <w:rPr>
        <w:rFonts w:hint="default" w:ascii="Arial" w:hAnsi="Arial" w:eastAsia="Arial" w:cs="Arial"/>
        <w:w w:val="102"/>
        <w:sz w:val="15"/>
        <w:szCs w:val="15"/>
        <w:lang w:val="es-ES" w:eastAsia="es-ES" w:bidi="es-ES"/>
      </w:rPr>
    </w:lvl>
    <w:lvl w:ilvl="2">
      <w:start w:val="0"/>
      <w:numFmt w:val="bullet"/>
      <w:lvlText w:val="•"/>
      <w:lvlJc w:val="left"/>
      <w:pPr>
        <w:ind w:left="194" w:hanging="129"/>
      </w:pPr>
      <w:rPr>
        <w:rFonts w:hint="default"/>
        <w:lang w:val="es-ES" w:eastAsia="es-ES" w:bidi="es-ES"/>
      </w:rPr>
    </w:lvl>
    <w:lvl w:ilvl="3">
      <w:start w:val="0"/>
      <w:numFmt w:val="bullet"/>
      <w:lvlText w:val="•"/>
      <w:lvlJc w:val="left"/>
      <w:pPr>
        <w:ind w:left="-312" w:hanging="129"/>
      </w:pPr>
      <w:rPr>
        <w:rFonts w:hint="default"/>
        <w:lang w:val="es-ES" w:eastAsia="es-ES" w:bidi="es-ES"/>
      </w:rPr>
    </w:lvl>
    <w:lvl w:ilvl="4">
      <w:start w:val="0"/>
      <w:numFmt w:val="bullet"/>
      <w:lvlText w:val="•"/>
      <w:lvlJc w:val="left"/>
      <w:pPr>
        <w:ind w:left="-818" w:hanging="129"/>
      </w:pPr>
      <w:rPr>
        <w:rFonts w:hint="default"/>
        <w:lang w:val="es-ES" w:eastAsia="es-ES" w:bidi="es-ES"/>
      </w:rPr>
    </w:lvl>
    <w:lvl w:ilvl="5">
      <w:start w:val="0"/>
      <w:numFmt w:val="bullet"/>
      <w:lvlText w:val="•"/>
      <w:lvlJc w:val="left"/>
      <w:pPr>
        <w:ind w:left="-1323" w:hanging="129"/>
      </w:pPr>
      <w:rPr>
        <w:rFonts w:hint="default"/>
        <w:lang w:val="es-ES" w:eastAsia="es-ES" w:bidi="es-ES"/>
      </w:rPr>
    </w:lvl>
    <w:lvl w:ilvl="6">
      <w:start w:val="0"/>
      <w:numFmt w:val="bullet"/>
      <w:lvlText w:val="•"/>
      <w:lvlJc w:val="left"/>
      <w:pPr>
        <w:ind w:left="-1829" w:hanging="129"/>
      </w:pPr>
      <w:rPr>
        <w:rFonts w:hint="default"/>
        <w:lang w:val="es-ES" w:eastAsia="es-ES" w:bidi="es-ES"/>
      </w:rPr>
    </w:lvl>
    <w:lvl w:ilvl="7">
      <w:start w:val="0"/>
      <w:numFmt w:val="bullet"/>
      <w:lvlText w:val="•"/>
      <w:lvlJc w:val="left"/>
      <w:pPr>
        <w:ind w:left="-2335" w:hanging="129"/>
      </w:pPr>
      <w:rPr>
        <w:rFonts w:hint="default"/>
        <w:lang w:val="es-ES" w:eastAsia="es-ES" w:bidi="es-ES"/>
      </w:rPr>
    </w:lvl>
    <w:lvl w:ilvl="8">
      <w:start w:val="0"/>
      <w:numFmt w:val="bullet"/>
      <w:lvlText w:val="•"/>
      <w:lvlJc w:val="left"/>
      <w:pPr>
        <w:ind w:left="-2841" w:hanging="129"/>
      </w:pPr>
      <w:rPr>
        <w:rFonts w:hint="default"/>
        <w:lang w:val="es-ES" w:eastAsia="es-ES" w:bidi="es-ES"/>
      </w:rPr>
    </w:lvl>
  </w:abstractNum>
  <w:abstractNum w:abstractNumId="151">
    <w:multiLevelType w:val="hybridMultilevel"/>
    <w:lvl w:ilvl="0">
      <w:start w:val="1"/>
      <w:numFmt w:val="lowerLetter"/>
      <w:lvlText w:val="%1)"/>
      <w:lvlJc w:val="left"/>
      <w:pPr>
        <w:ind w:left="330" w:hanging="180"/>
        <w:jc w:val="left"/>
      </w:pPr>
      <w:rPr>
        <w:rFonts w:hint="default" w:ascii="Arial" w:hAnsi="Arial" w:eastAsia="Arial" w:cs="Arial"/>
        <w:w w:val="102"/>
        <w:sz w:val="15"/>
        <w:szCs w:val="15"/>
        <w:lang w:val="es-ES" w:eastAsia="es-ES" w:bidi="es-ES"/>
      </w:rPr>
    </w:lvl>
    <w:lvl w:ilvl="1">
      <w:start w:val="0"/>
      <w:numFmt w:val="bullet"/>
      <w:lvlText w:val="•"/>
      <w:lvlJc w:val="left"/>
      <w:pPr>
        <w:ind w:left="860" w:hanging="180"/>
      </w:pPr>
      <w:rPr>
        <w:rFonts w:hint="default"/>
        <w:lang w:val="es-ES" w:eastAsia="es-ES" w:bidi="es-ES"/>
      </w:rPr>
    </w:lvl>
    <w:lvl w:ilvl="2">
      <w:start w:val="0"/>
      <w:numFmt w:val="bullet"/>
      <w:lvlText w:val="•"/>
      <w:lvlJc w:val="left"/>
      <w:pPr>
        <w:ind w:left="1381" w:hanging="180"/>
      </w:pPr>
      <w:rPr>
        <w:rFonts w:hint="default"/>
        <w:lang w:val="es-ES" w:eastAsia="es-ES" w:bidi="es-ES"/>
      </w:rPr>
    </w:lvl>
    <w:lvl w:ilvl="3">
      <w:start w:val="0"/>
      <w:numFmt w:val="bullet"/>
      <w:lvlText w:val="•"/>
      <w:lvlJc w:val="left"/>
      <w:pPr>
        <w:ind w:left="1902" w:hanging="180"/>
      </w:pPr>
      <w:rPr>
        <w:rFonts w:hint="default"/>
        <w:lang w:val="es-ES" w:eastAsia="es-ES" w:bidi="es-ES"/>
      </w:rPr>
    </w:lvl>
    <w:lvl w:ilvl="4">
      <w:start w:val="0"/>
      <w:numFmt w:val="bullet"/>
      <w:lvlText w:val="•"/>
      <w:lvlJc w:val="left"/>
      <w:pPr>
        <w:ind w:left="2423" w:hanging="180"/>
      </w:pPr>
      <w:rPr>
        <w:rFonts w:hint="default"/>
        <w:lang w:val="es-ES" w:eastAsia="es-ES" w:bidi="es-ES"/>
      </w:rPr>
    </w:lvl>
    <w:lvl w:ilvl="5">
      <w:start w:val="0"/>
      <w:numFmt w:val="bullet"/>
      <w:lvlText w:val="•"/>
      <w:lvlJc w:val="left"/>
      <w:pPr>
        <w:ind w:left="2943" w:hanging="180"/>
      </w:pPr>
      <w:rPr>
        <w:rFonts w:hint="default"/>
        <w:lang w:val="es-ES" w:eastAsia="es-ES" w:bidi="es-ES"/>
      </w:rPr>
    </w:lvl>
    <w:lvl w:ilvl="6">
      <w:start w:val="0"/>
      <w:numFmt w:val="bullet"/>
      <w:lvlText w:val="•"/>
      <w:lvlJc w:val="left"/>
      <w:pPr>
        <w:ind w:left="3464" w:hanging="180"/>
      </w:pPr>
      <w:rPr>
        <w:rFonts w:hint="default"/>
        <w:lang w:val="es-ES" w:eastAsia="es-ES" w:bidi="es-ES"/>
      </w:rPr>
    </w:lvl>
    <w:lvl w:ilvl="7">
      <w:start w:val="0"/>
      <w:numFmt w:val="bullet"/>
      <w:lvlText w:val="•"/>
      <w:lvlJc w:val="left"/>
      <w:pPr>
        <w:ind w:left="3985" w:hanging="180"/>
      </w:pPr>
      <w:rPr>
        <w:rFonts w:hint="default"/>
        <w:lang w:val="es-ES" w:eastAsia="es-ES" w:bidi="es-ES"/>
      </w:rPr>
    </w:lvl>
    <w:lvl w:ilvl="8">
      <w:start w:val="0"/>
      <w:numFmt w:val="bullet"/>
      <w:lvlText w:val="•"/>
      <w:lvlJc w:val="left"/>
      <w:pPr>
        <w:ind w:left="4506" w:hanging="180"/>
      </w:pPr>
      <w:rPr>
        <w:rFonts w:hint="default"/>
        <w:lang w:val="es-ES" w:eastAsia="es-ES" w:bidi="es-ES"/>
      </w:rPr>
    </w:lvl>
  </w:abstractNum>
  <w:abstractNum w:abstractNumId="150">
    <w:multiLevelType w:val="hybridMultilevel"/>
    <w:lvl w:ilvl="0">
      <w:start w:val="6"/>
      <w:numFmt w:val="lowerLetter"/>
      <w:lvlText w:val="%1)"/>
      <w:lvlJc w:val="left"/>
      <w:pPr>
        <w:ind w:left="151" w:hanging="168"/>
        <w:jc w:val="left"/>
      </w:pPr>
      <w:rPr>
        <w:rFonts w:hint="default" w:ascii="Arial" w:hAnsi="Arial" w:eastAsia="Arial" w:cs="Arial"/>
        <w:w w:val="102"/>
        <w:sz w:val="15"/>
        <w:szCs w:val="15"/>
        <w:lang w:val="es-ES" w:eastAsia="es-ES" w:bidi="es-ES"/>
      </w:rPr>
    </w:lvl>
    <w:lvl w:ilvl="1">
      <w:start w:val="0"/>
      <w:numFmt w:val="bullet"/>
      <w:lvlText w:val="•"/>
      <w:lvlJc w:val="left"/>
      <w:pPr>
        <w:ind w:left="550" w:hanging="168"/>
      </w:pPr>
      <w:rPr>
        <w:rFonts w:hint="default"/>
        <w:lang w:val="es-ES" w:eastAsia="es-ES" w:bidi="es-ES"/>
      </w:rPr>
    </w:lvl>
    <w:lvl w:ilvl="2">
      <w:start w:val="0"/>
      <w:numFmt w:val="bullet"/>
      <w:lvlText w:val="•"/>
      <w:lvlJc w:val="left"/>
      <w:pPr>
        <w:ind w:left="940" w:hanging="168"/>
      </w:pPr>
      <w:rPr>
        <w:rFonts w:hint="default"/>
        <w:lang w:val="es-ES" w:eastAsia="es-ES" w:bidi="es-ES"/>
      </w:rPr>
    </w:lvl>
    <w:lvl w:ilvl="3">
      <w:start w:val="0"/>
      <w:numFmt w:val="bullet"/>
      <w:lvlText w:val="•"/>
      <w:lvlJc w:val="left"/>
      <w:pPr>
        <w:ind w:left="1330" w:hanging="168"/>
      </w:pPr>
      <w:rPr>
        <w:rFonts w:hint="default"/>
        <w:lang w:val="es-ES" w:eastAsia="es-ES" w:bidi="es-ES"/>
      </w:rPr>
    </w:lvl>
    <w:lvl w:ilvl="4">
      <w:start w:val="0"/>
      <w:numFmt w:val="bullet"/>
      <w:lvlText w:val="•"/>
      <w:lvlJc w:val="left"/>
      <w:pPr>
        <w:ind w:left="1720" w:hanging="168"/>
      </w:pPr>
      <w:rPr>
        <w:rFonts w:hint="default"/>
        <w:lang w:val="es-ES" w:eastAsia="es-ES" w:bidi="es-ES"/>
      </w:rPr>
    </w:lvl>
    <w:lvl w:ilvl="5">
      <w:start w:val="0"/>
      <w:numFmt w:val="bullet"/>
      <w:lvlText w:val="•"/>
      <w:lvlJc w:val="left"/>
      <w:pPr>
        <w:ind w:left="2110" w:hanging="168"/>
      </w:pPr>
      <w:rPr>
        <w:rFonts w:hint="default"/>
        <w:lang w:val="es-ES" w:eastAsia="es-ES" w:bidi="es-ES"/>
      </w:rPr>
    </w:lvl>
    <w:lvl w:ilvl="6">
      <w:start w:val="0"/>
      <w:numFmt w:val="bullet"/>
      <w:lvlText w:val="•"/>
      <w:lvlJc w:val="left"/>
      <w:pPr>
        <w:ind w:left="2500" w:hanging="168"/>
      </w:pPr>
      <w:rPr>
        <w:rFonts w:hint="default"/>
        <w:lang w:val="es-ES" w:eastAsia="es-ES" w:bidi="es-ES"/>
      </w:rPr>
    </w:lvl>
    <w:lvl w:ilvl="7">
      <w:start w:val="0"/>
      <w:numFmt w:val="bullet"/>
      <w:lvlText w:val="•"/>
      <w:lvlJc w:val="left"/>
      <w:pPr>
        <w:ind w:left="2890" w:hanging="168"/>
      </w:pPr>
      <w:rPr>
        <w:rFonts w:hint="default"/>
        <w:lang w:val="es-ES" w:eastAsia="es-ES" w:bidi="es-ES"/>
      </w:rPr>
    </w:lvl>
    <w:lvl w:ilvl="8">
      <w:start w:val="0"/>
      <w:numFmt w:val="bullet"/>
      <w:lvlText w:val="•"/>
      <w:lvlJc w:val="left"/>
      <w:pPr>
        <w:ind w:left="3280" w:hanging="168"/>
      </w:pPr>
      <w:rPr>
        <w:rFonts w:hint="default"/>
        <w:lang w:val="es-ES" w:eastAsia="es-ES" w:bidi="es-ES"/>
      </w:rPr>
    </w:lvl>
  </w:abstractNum>
  <w:abstractNum w:abstractNumId="149">
    <w:multiLevelType w:val="hybridMultilevel"/>
    <w:lvl w:ilvl="0">
      <w:start w:val="6"/>
      <w:numFmt w:val="lowerLetter"/>
      <w:lvlText w:val="%1)"/>
      <w:lvlJc w:val="left"/>
      <w:pPr>
        <w:ind w:left="694" w:hanging="147"/>
        <w:jc w:val="left"/>
      </w:pPr>
      <w:rPr>
        <w:rFonts w:hint="default" w:ascii="Arial" w:hAnsi="Arial" w:eastAsia="Arial" w:cs="Arial"/>
        <w:w w:val="102"/>
        <w:sz w:val="15"/>
        <w:szCs w:val="15"/>
        <w:lang w:val="es-ES" w:eastAsia="es-ES" w:bidi="es-ES"/>
      </w:rPr>
    </w:lvl>
    <w:lvl w:ilvl="1">
      <w:start w:val="3"/>
      <w:numFmt w:val="lowerLetter"/>
      <w:lvlText w:val="%2)"/>
      <w:lvlJc w:val="left"/>
      <w:pPr>
        <w:ind w:left="548" w:hanging="220"/>
        <w:jc w:val="left"/>
      </w:pPr>
      <w:rPr>
        <w:rFonts w:hint="default" w:ascii="Arial" w:hAnsi="Arial" w:eastAsia="Arial" w:cs="Arial"/>
        <w:w w:val="102"/>
        <w:sz w:val="15"/>
        <w:szCs w:val="15"/>
        <w:lang w:val="es-ES" w:eastAsia="es-ES" w:bidi="es-ES"/>
      </w:rPr>
    </w:lvl>
    <w:lvl w:ilvl="2">
      <w:start w:val="0"/>
      <w:numFmt w:val="bullet"/>
      <w:lvlText w:val="•"/>
      <w:lvlJc w:val="left"/>
      <w:pPr>
        <w:ind w:left="-9" w:hanging="220"/>
      </w:pPr>
      <w:rPr>
        <w:rFonts w:hint="default"/>
        <w:lang w:val="es-ES" w:eastAsia="es-ES" w:bidi="es-ES"/>
      </w:rPr>
    </w:lvl>
    <w:lvl w:ilvl="3">
      <w:start w:val="0"/>
      <w:numFmt w:val="bullet"/>
      <w:lvlText w:val="•"/>
      <w:lvlJc w:val="left"/>
      <w:pPr>
        <w:ind w:left="-718" w:hanging="220"/>
      </w:pPr>
      <w:rPr>
        <w:rFonts w:hint="default"/>
        <w:lang w:val="es-ES" w:eastAsia="es-ES" w:bidi="es-ES"/>
      </w:rPr>
    </w:lvl>
    <w:lvl w:ilvl="4">
      <w:start w:val="0"/>
      <w:numFmt w:val="bullet"/>
      <w:lvlText w:val="•"/>
      <w:lvlJc w:val="left"/>
      <w:pPr>
        <w:ind w:left="-1426" w:hanging="220"/>
      </w:pPr>
      <w:rPr>
        <w:rFonts w:hint="default"/>
        <w:lang w:val="es-ES" w:eastAsia="es-ES" w:bidi="es-ES"/>
      </w:rPr>
    </w:lvl>
    <w:lvl w:ilvl="5">
      <w:start w:val="0"/>
      <w:numFmt w:val="bullet"/>
      <w:lvlText w:val="•"/>
      <w:lvlJc w:val="left"/>
      <w:pPr>
        <w:ind w:left="-2135" w:hanging="220"/>
      </w:pPr>
      <w:rPr>
        <w:rFonts w:hint="default"/>
        <w:lang w:val="es-ES" w:eastAsia="es-ES" w:bidi="es-ES"/>
      </w:rPr>
    </w:lvl>
    <w:lvl w:ilvl="6">
      <w:start w:val="0"/>
      <w:numFmt w:val="bullet"/>
      <w:lvlText w:val="•"/>
      <w:lvlJc w:val="left"/>
      <w:pPr>
        <w:ind w:left="-2843" w:hanging="220"/>
      </w:pPr>
      <w:rPr>
        <w:rFonts w:hint="default"/>
        <w:lang w:val="es-ES" w:eastAsia="es-ES" w:bidi="es-ES"/>
      </w:rPr>
    </w:lvl>
    <w:lvl w:ilvl="7">
      <w:start w:val="0"/>
      <w:numFmt w:val="bullet"/>
      <w:lvlText w:val="•"/>
      <w:lvlJc w:val="left"/>
      <w:pPr>
        <w:ind w:left="-3552" w:hanging="220"/>
      </w:pPr>
      <w:rPr>
        <w:rFonts w:hint="default"/>
        <w:lang w:val="es-ES" w:eastAsia="es-ES" w:bidi="es-ES"/>
      </w:rPr>
    </w:lvl>
    <w:lvl w:ilvl="8">
      <w:start w:val="0"/>
      <w:numFmt w:val="bullet"/>
      <w:lvlText w:val="•"/>
      <w:lvlJc w:val="left"/>
      <w:pPr>
        <w:ind w:left="-4260" w:hanging="220"/>
      </w:pPr>
      <w:rPr>
        <w:rFonts w:hint="default"/>
        <w:lang w:val="es-ES" w:eastAsia="es-ES" w:bidi="es-ES"/>
      </w:rPr>
    </w:lvl>
  </w:abstractNum>
  <w:abstractNum w:abstractNumId="148">
    <w:multiLevelType w:val="hybridMultilevel"/>
    <w:lvl w:ilvl="0">
      <w:start w:val="2"/>
      <w:numFmt w:val="lowerLetter"/>
      <w:lvlText w:val="%1)"/>
      <w:lvlJc w:val="left"/>
      <w:pPr>
        <w:ind w:left="8237" w:hanging="180"/>
        <w:jc w:val="left"/>
      </w:pPr>
      <w:rPr>
        <w:rFonts w:hint="default" w:ascii="Arial" w:hAnsi="Arial" w:eastAsia="Arial" w:cs="Arial"/>
        <w:w w:val="102"/>
        <w:sz w:val="15"/>
        <w:szCs w:val="15"/>
        <w:lang w:val="es-ES" w:eastAsia="es-ES" w:bidi="es-ES"/>
      </w:rPr>
    </w:lvl>
    <w:lvl w:ilvl="1">
      <w:start w:val="0"/>
      <w:numFmt w:val="bullet"/>
      <w:lvlText w:val="•"/>
      <w:lvlJc w:val="left"/>
      <w:pPr>
        <w:ind w:left="8604" w:hanging="180"/>
      </w:pPr>
      <w:rPr>
        <w:rFonts w:hint="default"/>
        <w:lang w:val="es-ES" w:eastAsia="es-ES" w:bidi="es-ES"/>
      </w:rPr>
    </w:lvl>
    <w:lvl w:ilvl="2">
      <w:start w:val="0"/>
      <w:numFmt w:val="bullet"/>
      <w:lvlText w:val="•"/>
      <w:lvlJc w:val="left"/>
      <w:pPr>
        <w:ind w:left="8969" w:hanging="180"/>
      </w:pPr>
      <w:rPr>
        <w:rFonts w:hint="default"/>
        <w:lang w:val="es-ES" w:eastAsia="es-ES" w:bidi="es-ES"/>
      </w:rPr>
    </w:lvl>
    <w:lvl w:ilvl="3">
      <w:start w:val="0"/>
      <w:numFmt w:val="bullet"/>
      <w:lvlText w:val="•"/>
      <w:lvlJc w:val="left"/>
      <w:pPr>
        <w:ind w:left="9334" w:hanging="180"/>
      </w:pPr>
      <w:rPr>
        <w:rFonts w:hint="default"/>
        <w:lang w:val="es-ES" w:eastAsia="es-ES" w:bidi="es-ES"/>
      </w:rPr>
    </w:lvl>
    <w:lvl w:ilvl="4">
      <w:start w:val="0"/>
      <w:numFmt w:val="bullet"/>
      <w:lvlText w:val="•"/>
      <w:lvlJc w:val="left"/>
      <w:pPr>
        <w:ind w:left="9699" w:hanging="180"/>
      </w:pPr>
      <w:rPr>
        <w:rFonts w:hint="default"/>
        <w:lang w:val="es-ES" w:eastAsia="es-ES" w:bidi="es-ES"/>
      </w:rPr>
    </w:lvl>
    <w:lvl w:ilvl="5">
      <w:start w:val="0"/>
      <w:numFmt w:val="bullet"/>
      <w:lvlText w:val="•"/>
      <w:lvlJc w:val="left"/>
      <w:pPr>
        <w:ind w:left="10064" w:hanging="180"/>
      </w:pPr>
      <w:rPr>
        <w:rFonts w:hint="default"/>
        <w:lang w:val="es-ES" w:eastAsia="es-ES" w:bidi="es-ES"/>
      </w:rPr>
    </w:lvl>
    <w:lvl w:ilvl="6">
      <w:start w:val="0"/>
      <w:numFmt w:val="bullet"/>
      <w:lvlText w:val="•"/>
      <w:lvlJc w:val="left"/>
      <w:pPr>
        <w:ind w:left="10428" w:hanging="180"/>
      </w:pPr>
      <w:rPr>
        <w:rFonts w:hint="default"/>
        <w:lang w:val="es-ES" w:eastAsia="es-ES" w:bidi="es-ES"/>
      </w:rPr>
    </w:lvl>
    <w:lvl w:ilvl="7">
      <w:start w:val="0"/>
      <w:numFmt w:val="bullet"/>
      <w:lvlText w:val="•"/>
      <w:lvlJc w:val="left"/>
      <w:pPr>
        <w:ind w:left="10793" w:hanging="180"/>
      </w:pPr>
      <w:rPr>
        <w:rFonts w:hint="default"/>
        <w:lang w:val="es-ES" w:eastAsia="es-ES" w:bidi="es-ES"/>
      </w:rPr>
    </w:lvl>
    <w:lvl w:ilvl="8">
      <w:start w:val="0"/>
      <w:numFmt w:val="bullet"/>
      <w:lvlText w:val="•"/>
      <w:lvlJc w:val="left"/>
      <w:pPr>
        <w:ind w:left="11158" w:hanging="180"/>
      </w:pPr>
      <w:rPr>
        <w:rFonts w:hint="default"/>
        <w:lang w:val="es-ES" w:eastAsia="es-ES" w:bidi="es-ES"/>
      </w:rPr>
    </w:lvl>
  </w:abstractNum>
  <w:abstractNum w:abstractNumId="147">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80"/>
      </w:pPr>
      <w:rPr>
        <w:rFonts w:hint="default"/>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1" w:hanging="180"/>
      </w:pPr>
      <w:rPr>
        <w:rFonts w:hint="default"/>
        <w:lang w:val="es-ES" w:eastAsia="es-ES" w:bidi="es-ES"/>
      </w:rPr>
    </w:lvl>
    <w:lvl w:ilvl="6">
      <w:start w:val="0"/>
      <w:numFmt w:val="bullet"/>
      <w:lvlText w:val="•"/>
      <w:lvlJc w:val="left"/>
      <w:pPr>
        <w:ind w:left="5221"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146">
    <w:multiLevelType w:val="hybridMultilevel"/>
    <w:lvl w:ilvl="0">
      <w:start w:val="24"/>
      <w:numFmt w:val="upperRoman"/>
      <w:lvlText w:val="%1."/>
      <w:lvlJc w:val="left"/>
      <w:pPr>
        <w:ind w:left="151" w:hanging="451"/>
        <w:jc w:val="left"/>
      </w:pPr>
      <w:rPr>
        <w:rFonts w:hint="default" w:ascii="Arial" w:hAnsi="Arial" w:eastAsia="Arial" w:cs="Arial"/>
        <w:spacing w:val="-15"/>
        <w:w w:val="102"/>
        <w:sz w:val="15"/>
        <w:szCs w:val="15"/>
        <w:lang w:val="es-ES" w:eastAsia="es-ES" w:bidi="es-ES"/>
      </w:rPr>
    </w:lvl>
    <w:lvl w:ilvl="1">
      <w:start w:val="0"/>
      <w:numFmt w:val="bullet"/>
      <w:lvlText w:val="•"/>
      <w:lvlJc w:val="left"/>
      <w:pPr>
        <w:ind w:left="966" w:hanging="451"/>
      </w:pPr>
      <w:rPr>
        <w:rFonts w:hint="default"/>
        <w:lang w:val="es-ES" w:eastAsia="es-ES" w:bidi="es-ES"/>
      </w:rPr>
    </w:lvl>
    <w:lvl w:ilvl="2">
      <w:start w:val="0"/>
      <w:numFmt w:val="bullet"/>
      <w:lvlText w:val="•"/>
      <w:lvlJc w:val="left"/>
      <w:pPr>
        <w:ind w:left="1772" w:hanging="451"/>
      </w:pPr>
      <w:rPr>
        <w:rFonts w:hint="default"/>
        <w:lang w:val="es-ES" w:eastAsia="es-ES" w:bidi="es-ES"/>
      </w:rPr>
    </w:lvl>
    <w:lvl w:ilvl="3">
      <w:start w:val="0"/>
      <w:numFmt w:val="bullet"/>
      <w:lvlText w:val="•"/>
      <w:lvlJc w:val="left"/>
      <w:pPr>
        <w:ind w:left="2578" w:hanging="451"/>
      </w:pPr>
      <w:rPr>
        <w:rFonts w:hint="default"/>
        <w:lang w:val="es-ES" w:eastAsia="es-ES" w:bidi="es-ES"/>
      </w:rPr>
    </w:lvl>
    <w:lvl w:ilvl="4">
      <w:start w:val="0"/>
      <w:numFmt w:val="bullet"/>
      <w:lvlText w:val="•"/>
      <w:lvlJc w:val="left"/>
      <w:pPr>
        <w:ind w:left="3384" w:hanging="451"/>
      </w:pPr>
      <w:rPr>
        <w:rFonts w:hint="default"/>
        <w:lang w:val="es-ES" w:eastAsia="es-ES" w:bidi="es-ES"/>
      </w:rPr>
    </w:lvl>
    <w:lvl w:ilvl="5">
      <w:start w:val="0"/>
      <w:numFmt w:val="bullet"/>
      <w:lvlText w:val="•"/>
      <w:lvlJc w:val="left"/>
      <w:pPr>
        <w:ind w:left="4191" w:hanging="451"/>
      </w:pPr>
      <w:rPr>
        <w:rFonts w:hint="default"/>
        <w:lang w:val="es-ES" w:eastAsia="es-ES" w:bidi="es-ES"/>
      </w:rPr>
    </w:lvl>
    <w:lvl w:ilvl="6">
      <w:start w:val="0"/>
      <w:numFmt w:val="bullet"/>
      <w:lvlText w:val="•"/>
      <w:lvlJc w:val="left"/>
      <w:pPr>
        <w:ind w:left="4997" w:hanging="451"/>
      </w:pPr>
      <w:rPr>
        <w:rFonts w:hint="default"/>
        <w:lang w:val="es-ES" w:eastAsia="es-ES" w:bidi="es-ES"/>
      </w:rPr>
    </w:lvl>
    <w:lvl w:ilvl="7">
      <w:start w:val="0"/>
      <w:numFmt w:val="bullet"/>
      <w:lvlText w:val="•"/>
      <w:lvlJc w:val="left"/>
      <w:pPr>
        <w:ind w:left="5803" w:hanging="451"/>
      </w:pPr>
      <w:rPr>
        <w:rFonts w:hint="default"/>
        <w:lang w:val="es-ES" w:eastAsia="es-ES" w:bidi="es-ES"/>
      </w:rPr>
    </w:lvl>
    <w:lvl w:ilvl="8">
      <w:start w:val="0"/>
      <w:numFmt w:val="bullet"/>
      <w:lvlText w:val="•"/>
      <w:lvlJc w:val="left"/>
      <w:pPr>
        <w:ind w:left="6609" w:hanging="451"/>
      </w:pPr>
      <w:rPr>
        <w:rFonts w:hint="default"/>
        <w:lang w:val="es-ES" w:eastAsia="es-ES" w:bidi="es-ES"/>
      </w:rPr>
    </w:lvl>
  </w:abstractNum>
  <w:abstractNum w:abstractNumId="145">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02" w:hanging="180"/>
      </w:pPr>
      <w:rPr>
        <w:rFonts w:hint="default"/>
        <w:lang w:val="es-ES" w:eastAsia="es-ES" w:bidi="es-ES"/>
      </w:rPr>
    </w:lvl>
    <w:lvl w:ilvl="2">
      <w:start w:val="0"/>
      <w:numFmt w:val="bullet"/>
      <w:lvlText w:val="•"/>
      <w:lvlJc w:val="left"/>
      <w:pPr>
        <w:ind w:left="1685" w:hanging="180"/>
      </w:pPr>
      <w:rPr>
        <w:rFonts w:hint="default"/>
        <w:lang w:val="es-ES" w:eastAsia="es-ES" w:bidi="es-ES"/>
      </w:rPr>
    </w:lvl>
    <w:lvl w:ilvl="3">
      <w:start w:val="0"/>
      <w:numFmt w:val="bullet"/>
      <w:lvlText w:val="•"/>
      <w:lvlJc w:val="left"/>
      <w:pPr>
        <w:ind w:left="2168" w:hanging="180"/>
      </w:pPr>
      <w:rPr>
        <w:rFonts w:hint="default"/>
        <w:lang w:val="es-ES" w:eastAsia="es-ES" w:bidi="es-ES"/>
      </w:rPr>
    </w:lvl>
    <w:lvl w:ilvl="4">
      <w:start w:val="0"/>
      <w:numFmt w:val="bullet"/>
      <w:lvlText w:val="•"/>
      <w:lvlJc w:val="left"/>
      <w:pPr>
        <w:ind w:left="2651" w:hanging="180"/>
      </w:pPr>
      <w:rPr>
        <w:rFonts w:hint="default"/>
        <w:lang w:val="es-ES" w:eastAsia="es-ES" w:bidi="es-ES"/>
      </w:rPr>
    </w:lvl>
    <w:lvl w:ilvl="5">
      <w:start w:val="0"/>
      <w:numFmt w:val="bullet"/>
      <w:lvlText w:val="•"/>
      <w:lvlJc w:val="left"/>
      <w:pPr>
        <w:ind w:left="3134" w:hanging="180"/>
      </w:pPr>
      <w:rPr>
        <w:rFonts w:hint="default"/>
        <w:lang w:val="es-ES" w:eastAsia="es-ES" w:bidi="es-ES"/>
      </w:rPr>
    </w:lvl>
    <w:lvl w:ilvl="6">
      <w:start w:val="0"/>
      <w:numFmt w:val="bullet"/>
      <w:lvlText w:val="•"/>
      <w:lvlJc w:val="left"/>
      <w:pPr>
        <w:ind w:left="3617" w:hanging="180"/>
      </w:pPr>
      <w:rPr>
        <w:rFonts w:hint="default"/>
        <w:lang w:val="es-ES" w:eastAsia="es-ES" w:bidi="es-ES"/>
      </w:rPr>
    </w:lvl>
    <w:lvl w:ilvl="7">
      <w:start w:val="0"/>
      <w:numFmt w:val="bullet"/>
      <w:lvlText w:val="•"/>
      <w:lvlJc w:val="left"/>
      <w:pPr>
        <w:ind w:left="4100" w:hanging="180"/>
      </w:pPr>
      <w:rPr>
        <w:rFonts w:hint="default"/>
        <w:lang w:val="es-ES" w:eastAsia="es-ES" w:bidi="es-ES"/>
      </w:rPr>
    </w:lvl>
    <w:lvl w:ilvl="8">
      <w:start w:val="0"/>
      <w:numFmt w:val="bullet"/>
      <w:lvlText w:val="•"/>
      <w:lvlJc w:val="left"/>
      <w:pPr>
        <w:ind w:left="4582" w:hanging="180"/>
      </w:pPr>
      <w:rPr>
        <w:rFonts w:hint="default"/>
        <w:lang w:val="es-ES" w:eastAsia="es-ES" w:bidi="es-ES"/>
      </w:rPr>
    </w:lvl>
  </w:abstractNum>
  <w:abstractNum w:abstractNumId="144">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02" w:hanging="180"/>
      </w:pPr>
      <w:rPr>
        <w:rFonts w:hint="default"/>
        <w:lang w:val="es-ES" w:eastAsia="es-ES" w:bidi="es-ES"/>
      </w:rPr>
    </w:lvl>
    <w:lvl w:ilvl="2">
      <w:start w:val="0"/>
      <w:numFmt w:val="bullet"/>
      <w:lvlText w:val="•"/>
      <w:lvlJc w:val="left"/>
      <w:pPr>
        <w:ind w:left="1685" w:hanging="180"/>
      </w:pPr>
      <w:rPr>
        <w:rFonts w:hint="default"/>
        <w:lang w:val="es-ES" w:eastAsia="es-ES" w:bidi="es-ES"/>
      </w:rPr>
    </w:lvl>
    <w:lvl w:ilvl="3">
      <w:start w:val="0"/>
      <w:numFmt w:val="bullet"/>
      <w:lvlText w:val="•"/>
      <w:lvlJc w:val="left"/>
      <w:pPr>
        <w:ind w:left="2168" w:hanging="180"/>
      </w:pPr>
      <w:rPr>
        <w:rFonts w:hint="default"/>
        <w:lang w:val="es-ES" w:eastAsia="es-ES" w:bidi="es-ES"/>
      </w:rPr>
    </w:lvl>
    <w:lvl w:ilvl="4">
      <w:start w:val="0"/>
      <w:numFmt w:val="bullet"/>
      <w:lvlText w:val="•"/>
      <w:lvlJc w:val="left"/>
      <w:pPr>
        <w:ind w:left="2651" w:hanging="180"/>
      </w:pPr>
      <w:rPr>
        <w:rFonts w:hint="default"/>
        <w:lang w:val="es-ES" w:eastAsia="es-ES" w:bidi="es-ES"/>
      </w:rPr>
    </w:lvl>
    <w:lvl w:ilvl="5">
      <w:start w:val="0"/>
      <w:numFmt w:val="bullet"/>
      <w:lvlText w:val="•"/>
      <w:lvlJc w:val="left"/>
      <w:pPr>
        <w:ind w:left="3134" w:hanging="180"/>
      </w:pPr>
      <w:rPr>
        <w:rFonts w:hint="default"/>
        <w:lang w:val="es-ES" w:eastAsia="es-ES" w:bidi="es-ES"/>
      </w:rPr>
    </w:lvl>
    <w:lvl w:ilvl="6">
      <w:start w:val="0"/>
      <w:numFmt w:val="bullet"/>
      <w:lvlText w:val="•"/>
      <w:lvlJc w:val="left"/>
      <w:pPr>
        <w:ind w:left="3617" w:hanging="180"/>
      </w:pPr>
      <w:rPr>
        <w:rFonts w:hint="default"/>
        <w:lang w:val="es-ES" w:eastAsia="es-ES" w:bidi="es-ES"/>
      </w:rPr>
    </w:lvl>
    <w:lvl w:ilvl="7">
      <w:start w:val="0"/>
      <w:numFmt w:val="bullet"/>
      <w:lvlText w:val="•"/>
      <w:lvlJc w:val="left"/>
      <w:pPr>
        <w:ind w:left="4100" w:hanging="180"/>
      </w:pPr>
      <w:rPr>
        <w:rFonts w:hint="default"/>
        <w:lang w:val="es-ES" w:eastAsia="es-ES" w:bidi="es-ES"/>
      </w:rPr>
    </w:lvl>
    <w:lvl w:ilvl="8">
      <w:start w:val="0"/>
      <w:numFmt w:val="bullet"/>
      <w:lvlText w:val="•"/>
      <w:lvlJc w:val="left"/>
      <w:pPr>
        <w:ind w:left="4582" w:hanging="180"/>
      </w:pPr>
      <w:rPr>
        <w:rFonts w:hint="default"/>
        <w:lang w:val="es-ES" w:eastAsia="es-ES" w:bidi="es-ES"/>
      </w:rPr>
    </w:lvl>
  </w:abstractNum>
  <w:abstractNum w:abstractNumId="143">
    <w:multiLevelType w:val="hybridMultilevel"/>
    <w:lvl w:ilvl="0">
      <w:start w:val="1"/>
      <w:numFmt w:val="upperRoman"/>
      <w:lvlText w:val="%1."/>
      <w:lvlJc w:val="left"/>
      <w:pPr>
        <w:ind w:left="677" w:hanging="129"/>
        <w:jc w:val="left"/>
      </w:pPr>
      <w:rPr>
        <w:rFonts w:hint="default" w:ascii="Arial" w:hAnsi="Arial" w:eastAsia="Arial" w:cs="Arial"/>
        <w:w w:val="102"/>
        <w:sz w:val="15"/>
        <w:szCs w:val="15"/>
        <w:lang w:val="es-ES" w:eastAsia="es-ES" w:bidi="es-ES"/>
      </w:rPr>
    </w:lvl>
    <w:lvl w:ilvl="1">
      <w:start w:val="12"/>
      <w:numFmt w:val="upperRoman"/>
      <w:lvlText w:val="%2."/>
      <w:lvlJc w:val="left"/>
      <w:pPr>
        <w:ind w:left="1266" w:hanging="322"/>
        <w:jc w:val="right"/>
      </w:pPr>
      <w:rPr>
        <w:rFonts w:hint="default" w:ascii="Arial" w:hAnsi="Arial" w:eastAsia="Arial" w:cs="Arial"/>
        <w:spacing w:val="-1"/>
        <w:w w:val="102"/>
        <w:sz w:val="15"/>
        <w:szCs w:val="15"/>
        <w:lang w:val="es-ES" w:eastAsia="es-ES" w:bidi="es-ES"/>
      </w:rPr>
    </w:lvl>
    <w:lvl w:ilvl="2">
      <w:start w:val="0"/>
      <w:numFmt w:val="bullet"/>
      <w:lvlText w:val="•"/>
      <w:lvlJc w:val="left"/>
      <w:pPr>
        <w:ind w:left="484" w:hanging="322"/>
      </w:pPr>
      <w:rPr>
        <w:rFonts w:hint="default"/>
        <w:lang w:val="es-ES" w:eastAsia="es-ES" w:bidi="es-ES"/>
      </w:rPr>
    </w:lvl>
    <w:lvl w:ilvl="3">
      <w:start w:val="0"/>
      <w:numFmt w:val="bullet"/>
      <w:lvlText w:val="•"/>
      <w:lvlJc w:val="left"/>
      <w:pPr>
        <w:ind w:left="-291" w:hanging="322"/>
      </w:pPr>
      <w:rPr>
        <w:rFonts w:hint="default"/>
        <w:lang w:val="es-ES" w:eastAsia="es-ES" w:bidi="es-ES"/>
      </w:rPr>
    </w:lvl>
    <w:lvl w:ilvl="4">
      <w:start w:val="0"/>
      <w:numFmt w:val="bullet"/>
      <w:lvlText w:val="•"/>
      <w:lvlJc w:val="left"/>
      <w:pPr>
        <w:ind w:left="-1066" w:hanging="322"/>
      </w:pPr>
      <w:rPr>
        <w:rFonts w:hint="default"/>
        <w:lang w:val="es-ES" w:eastAsia="es-ES" w:bidi="es-ES"/>
      </w:rPr>
    </w:lvl>
    <w:lvl w:ilvl="5">
      <w:start w:val="0"/>
      <w:numFmt w:val="bullet"/>
      <w:lvlText w:val="•"/>
      <w:lvlJc w:val="left"/>
      <w:pPr>
        <w:ind w:left="-1841" w:hanging="322"/>
      </w:pPr>
      <w:rPr>
        <w:rFonts w:hint="default"/>
        <w:lang w:val="es-ES" w:eastAsia="es-ES" w:bidi="es-ES"/>
      </w:rPr>
    </w:lvl>
    <w:lvl w:ilvl="6">
      <w:start w:val="0"/>
      <w:numFmt w:val="bullet"/>
      <w:lvlText w:val="•"/>
      <w:lvlJc w:val="left"/>
      <w:pPr>
        <w:ind w:left="-2617" w:hanging="322"/>
      </w:pPr>
      <w:rPr>
        <w:rFonts w:hint="default"/>
        <w:lang w:val="es-ES" w:eastAsia="es-ES" w:bidi="es-ES"/>
      </w:rPr>
    </w:lvl>
    <w:lvl w:ilvl="7">
      <w:start w:val="0"/>
      <w:numFmt w:val="bullet"/>
      <w:lvlText w:val="•"/>
      <w:lvlJc w:val="left"/>
      <w:pPr>
        <w:ind w:left="-3392" w:hanging="322"/>
      </w:pPr>
      <w:rPr>
        <w:rFonts w:hint="default"/>
        <w:lang w:val="es-ES" w:eastAsia="es-ES" w:bidi="es-ES"/>
      </w:rPr>
    </w:lvl>
    <w:lvl w:ilvl="8">
      <w:start w:val="0"/>
      <w:numFmt w:val="bullet"/>
      <w:lvlText w:val="•"/>
      <w:lvlJc w:val="left"/>
      <w:pPr>
        <w:ind w:left="-4167" w:hanging="322"/>
      </w:pPr>
      <w:rPr>
        <w:rFonts w:hint="default"/>
        <w:lang w:val="es-ES" w:eastAsia="es-ES" w:bidi="es-ES"/>
      </w:rPr>
    </w:lvl>
  </w:abstractNum>
  <w:abstractNum w:abstractNumId="142">
    <w:multiLevelType w:val="hybridMultilevel"/>
    <w:lvl w:ilvl="0">
      <w:start w:val="7"/>
      <w:numFmt w:val="upperRoman"/>
      <w:lvlText w:val="%1."/>
      <w:lvlJc w:val="left"/>
      <w:pPr>
        <w:ind w:left="151" w:hanging="338"/>
        <w:jc w:val="left"/>
      </w:pPr>
      <w:rPr>
        <w:rFonts w:hint="default" w:ascii="Arial" w:hAnsi="Arial" w:eastAsia="Arial" w:cs="Arial"/>
        <w:w w:val="102"/>
        <w:sz w:val="15"/>
        <w:szCs w:val="15"/>
        <w:lang w:val="es-ES" w:eastAsia="es-ES" w:bidi="es-ES"/>
      </w:rPr>
    </w:lvl>
    <w:lvl w:ilvl="1">
      <w:start w:val="0"/>
      <w:numFmt w:val="bullet"/>
      <w:lvlText w:val="•"/>
      <w:lvlJc w:val="left"/>
      <w:pPr>
        <w:ind w:left="550" w:hanging="338"/>
      </w:pPr>
      <w:rPr>
        <w:rFonts w:hint="default"/>
        <w:lang w:val="es-ES" w:eastAsia="es-ES" w:bidi="es-ES"/>
      </w:rPr>
    </w:lvl>
    <w:lvl w:ilvl="2">
      <w:start w:val="0"/>
      <w:numFmt w:val="bullet"/>
      <w:lvlText w:val="•"/>
      <w:lvlJc w:val="left"/>
      <w:pPr>
        <w:ind w:left="940" w:hanging="338"/>
      </w:pPr>
      <w:rPr>
        <w:rFonts w:hint="default"/>
        <w:lang w:val="es-ES" w:eastAsia="es-ES" w:bidi="es-ES"/>
      </w:rPr>
    </w:lvl>
    <w:lvl w:ilvl="3">
      <w:start w:val="0"/>
      <w:numFmt w:val="bullet"/>
      <w:lvlText w:val="•"/>
      <w:lvlJc w:val="left"/>
      <w:pPr>
        <w:ind w:left="1330" w:hanging="338"/>
      </w:pPr>
      <w:rPr>
        <w:rFonts w:hint="default"/>
        <w:lang w:val="es-ES" w:eastAsia="es-ES" w:bidi="es-ES"/>
      </w:rPr>
    </w:lvl>
    <w:lvl w:ilvl="4">
      <w:start w:val="0"/>
      <w:numFmt w:val="bullet"/>
      <w:lvlText w:val="•"/>
      <w:lvlJc w:val="left"/>
      <w:pPr>
        <w:ind w:left="1720" w:hanging="338"/>
      </w:pPr>
      <w:rPr>
        <w:rFonts w:hint="default"/>
        <w:lang w:val="es-ES" w:eastAsia="es-ES" w:bidi="es-ES"/>
      </w:rPr>
    </w:lvl>
    <w:lvl w:ilvl="5">
      <w:start w:val="0"/>
      <w:numFmt w:val="bullet"/>
      <w:lvlText w:val="•"/>
      <w:lvlJc w:val="left"/>
      <w:pPr>
        <w:ind w:left="2110" w:hanging="338"/>
      </w:pPr>
      <w:rPr>
        <w:rFonts w:hint="default"/>
        <w:lang w:val="es-ES" w:eastAsia="es-ES" w:bidi="es-ES"/>
      </w:rPr>
    </w:lvl>
    <w:lvl w:ilvl="6">
      <w:start w:val="0"/>
      <w:numFmt w:val="bullet"/>
      <w:lvlText w:val="•"/>
      <w:lvlJc w:val="left"/>
      <w:pPr>
        <w:ind w:left="2500" w:hanging="338"/>
      </w:pPr>
      <w:rPr>
        <w:rFonts w:hint="default"/>
        <w:lang w:val="es-ES" w:eastAsia="es-ES" w:bidi="es-ES"/>
      </w:rPr>
    </w:lvl>
    <w:lvl w:ilvl="7">
      <w:start w:val="0"/>
      <w:numFmt w:val="bullet"/>
      <w:lvlText w:val="•"/>
      <w:lvlJc w:val="left"/>
      <w:pPr>
        <w:ind w:left="2890" w:hanging="338"/>
      </w:pPr>
      <w:rPr>
        <w:rFonts w:hint="default"/>
        <w:lang w:val="es-ES" w:eastAsia="es-ES" w:bidi="es-ES"/>
      </w:rPr>
    </w:lvl>
    <w:lvl w:ilvl="8">
      <w:start w:val="0"/>
      <w:numFmt w:val="bullet"/>
      <w:lvlText w:val="•"/>
      <w:lvlJc w:val="left"/>
      <w:pPr>
        <w:ind w:left="3280" w:hanging="338"/>
      </w:pPr>
      <w:rPr>
        <w:rFonts w:hint="default"/>
        <w:lang w:val="es-ES" w:eastAsia="es-ES" w:bidi="es-ES"/>
      </w:rPr>
    </w:lvl>
  </w:abstractNum>
  <w:abstractNum w:abstractNumId="141">
    <w:multiLevelType w:val="hybridMultilevel"/>
    <w:lvl w:ilvl="0">
      <w:start w:val="6"/>
      <w:numFmt w:val="upperRoman"/>
      <w:lvlText w:val="%1."/>
      <w:lvlJc w:val="left"/>
      <w:pPr>
        <w:ind w:left="151" w:hanging="241"/>
        <w:jc w:val="left"/>
      </w:pPr>
      <w:rPr>
        <w:rFonts w:hint="default" w:ascii="Arial" w:hAnsi="Arial" w:eastAsia="Arial" w:cs="Arial"/>
        <w:w w:val="102"/>
        <w:sz w:val="15"/>
        <w:szCs w:val="15"/>
        <w:lang w:val="es-ES" w:eastAsia="es-ES" w:bidi="es-ES"/>
      </w:rPr>
    </w:lvl>
    <w:lvl w:ilvl="1">
      <w:start w:val="0"/>
      <w:numFmt w:val="bullet"/>
      <w:lvlText w:val="•"/>
      <w:lvlJc w:val="left"/>
      <w:pPr>
        <w:ind w:left="919" w:hanging="241"/>
      </w:pPr>
      <w:rPr>
        <w:rFonts w:hint="default"/>
        <w:lang w:val="es-ES" w:eastAsia="es-ES" w:bidi="es-ES"/>
      </w:rPr>
    </w:lvl>
    <w:lvl w:ilvl="2">
      <w:start w:val="0"/>
      <w:numFmt w:val="bullet"/>
      <w:lvlText w:val="•"/>
      <w:lvlJc w:val="left"/>
      <w:pPr>
        <w:ind w:left="1678" w:hanging="241"/>
      </w:pPr>
      <w:rPr>
        <w:rFonts w:hint="default"/>
        <w:lang w:val="es-ES" w:eastAsia="es-ES" w:bidi="es-ES"/>
      </w:rPr>
    </w:lvl>
    <w:lvl w:ilvl="3">
      <w:start w:val="0"/>
      <w:numFmt w:val="bullet"/>
      <w:lvlText w:val="•"/>
      <w:lvlJc w:val="left"/>
      <w:pPr>
        <w:ind w:left="2437" w:hanging="241"/>
      </w:pPr>
      <w:rPr>
        <w:rFonts w:hint="default"/>
        <w:lang w:val="es-ES" w:eastAsia="es-ES" w:bidi="es-ES"/>
      </w:rPr>
    </w:lvl>
    <w:lvl w:ilvl="4">
      <w:start w:val="0"/>
      <w:numFmt w:val="bullet"/>
      <w:lvlText w:val="•"/>
      <w:lvlJc w:val="left"/>
      <w:pPr>
        <w:ind w:left="3196" w:hanging="241"/>
      </w:pPr>
      <w:rPr>
        <w:rFonts w:hint="default"/>
        <w:lang w:val="es-ES" w:eastAsia="es-ES" w:bidi="es-ES"/>
      </w:rPr>
    </w:lvl>
    <w:lvl w:ilvl="5">
      <w:start w:val="0"/>
      <w:numFmt w:val="bullet"/>
      <w:lvlText w:val="•"/>
      <w:lvlJc w:val="left"/>
      <w:pPr>
        <w:ind w:left="3955" w:hanging="241"/>
      </w:pPr>
      <w:rPr>
        <w:rFonts w:hint="default"/>
        <w:lang w:val="es-ES" w:eastAsia="es-ES" w:bidi="es-ES"/>
      </w:rPr>
    </w:lvl>
    <w:lvl w:ilvl="6">
      <w:start w:val="0"/>
      <w:numFmt w:val="bullet"/>
      <w:lvlText w:val="•"/>
      <w:lvlJc w:val="left"/>
      <w:pPr>
        <w:ind w:left="4714" w:hanging="241"/>
      </w:pPr>
      <w:rPr>
        <w:rFonts w:hint="default"/>
        <w:lang w:val="es-ES" w:eastAsia="es-ES" w:bidi="es-ES"/>
      </w:rPr>
    </w:lvl>
    <w:lvl w:ilvl="7">
      <w:start w:val="0"/>
      <w:numFmt w:val="bullet"/>
      <w:lvlText w:val="•"/>
      <w:lvlJc w:val="left"/>
      <w:pPr>
        <w:ind w:left="5473" w:hanging="241"/>
      </w:pPr>
      <w:rPr>
        <w:rFonts w:hint="default"/>
        <w:lang w:val="es-ES" w:eastAsia="es-ES" w:bidi="es-ES"/>
      </w:rPr>
    </w:lvl>
    <w:lvl w:ilvl="8">
      <w:start w:val="0"/>
      <w:numFmt w:val="bullet"/>
      <w:lvlText w:val="•"/>
      <w:lvlJc w:val="left"/>
      <w:pPr>
        <w:ind w:left="6232" w:hanging="241"/>
      </w:pPr>
      <w:rPr>
        <w:rFonts w:hint="default"/>
        <w:lang w:val="es-ES" w:eastAsia="es-ES" w:bidi="es-ES"/>
      </w:rPr>
    </w:lvl>
  </w:abstractNum>
  <w:abstractNum w:abstractNumId="140">
    <w:multiLevelType w:val="hybridMultilevel"/>
    <w:lvl w:ilvl="0">
      <w:start w:val="4"/>
      <w:numFmt w:val="upperRoman"/>
      <w:lvlText w:val="%1."/>
      <w:lvlJc w:val="left"/>
      <w:pPr>
        <w:ind w:left="151" w:hanging="253"/>
        <w:jc w:val="left"/>
      </w:pPr>
      <w:rPr>
        <w:rFonts w:hint="default" w:ascii="Arial" w:hAnsi="Arial" w:eastAsia="Arial" w:cs="Arial"/>
        <w:spacing w:val="-15"/>
        <w:w w:val="102"/>
        <w:sz w:val="15"/>
        <w:szCs w:val="15"/>
        <w:lang w:val="es-ES" w:eastAsia="es-ES" w:bidi="es-ES"/>
      </w:rPr>
    </w:lvl>
    <w:lvl w:ilvl="1">
      <w:start w:val="0"/>
      <w:numFmt w:val="bullet"/>
      <w:lvlText w:val="•"/>
      <w:lvlJc w:val="left"/>
      <w:pPr>
        <w:ind w:left="919" w:hanging="253"/>
      </w:pPr>
      <w:rPr>
        <w:rFonts w:hint="default"/>
        <w:lang w:val="es-ES" w:eastAsia="es-ES" w:bidi="es-ES"/>
      </w:rPr>
    </w:lvl>
    <w:lvl w:ilvl="2">
      <w:start w:val="0"/>
      <w:numFmt w:val="bullet"/>
      <w:lvlText w:val="•"/>
      <w:lvlJc w:val="left"/>
      <w:pPr>
        <w:ind w:left="1678" w:hanging="253"/>
      </w:pPr>
      <w:rPr>
        <w:rFonts w:hint="default"/>
        <w:lang w:val="es-ES" w:eastAsia="es-ES" w:bidi="es-ES"/>
      </w:rPr>
    </w:lvl>
    <w:lvl w:ilvl="3">
      <w:start w:val="0"/>
      <w:numFmt w:val="bullet"/>
      <w:lvlText w:val="•"/>
      <w:lvlJc w:val="left"/>
      <w:pPr>
        <w:ind w:left="2437" w:hanging="253"/>
      </w:pPr>
      <w:rPr>
        <w:rFonts w:hint="default"/>
        <w:lang w:val="es-ES" w:eastAsia="es-ES" w:bidi="es-ES"/>
      </w:rPr>
    </w:lvl>
    <w:lvl w:ilvl="4">
      <w:start w:val="0"/>
      <w:numFmt w:val="bullet"/>
      <w:lvlText w:val="•"/>
      <w:lvlJc w:val="left"/>
      <w:pPr>
        <w:ind w:left="3196" w:hanging="253"/>
      </w:pPr>
      <w:rPr>
        <w:rFonts w:hint="default"/>
        <w:lang w:val="es-ES" w:eastAsia="es-ES" w:bidi="es-ES"/>
      </w:rPr>
    </w:lvl>
    <w:lvl w:ilvl="5">
      <w:start w:val="0"/>
      <w:numFmt w:val="bullet"/>
      <w:lvlText w:val="•"/>
      <w:lvlJc w:val="left"/>
      <w:pPr>
        <w:ind w:left="3955" w:hanging="253"/>
      </w:pPr>
      <w:rPr>
        <w:rFonts w:hint="default"/>
        <w:lang w:val="es-ES" w:eastAsia="es-ES" w:bidi="es-ES"/>
      </w:rPr>
    </w:lvl>
    <w:lvl w:ilvl="6">
      <w:start w:val="0"/>
      <w:numFmt w:val="bullet"/>
      <w:lvlText w:val="•"/>
      <w:lvlJc w:val="left"/>
      <w:pPr>
        <w:ind w:left="4714" w:hanging="253"/>
      </w:pPr>
      <w:rPr>
        <w:rFonts w:hint="default"/>
        <w:lang w:val="es-ES" w:eastAsia="es-ES" w:bidi="es-ES"/>
      </w:rPr>
    </w:lvl>
    <w:lvl w:ilvl="7">
      <w:start w:val="0"/>
      <w:numFmt w:val="bullet"/>
      <w:lvlText w:val="•"/>
      <w:lvlJc w:val="left"/>
      <w:pPr>
        <w:ind w:left="5473" w:hanging="253"/>
      </w:pPr>
      <w:rPr>
        <w:rFonts w:hint="default"/>
        <w:lang w:val="es-ES" w:eastAsia="es-ES" w:bidi="es-ES"/>
      </w:rPr>
    </w:lvl>
    <w:lvl w:ilvl="8">
      <w:start w:val="0"/>
      <w:numFmt w:val="bullet"/>
      <w:lvlText w:val="•"/>
      <w:lvlJc w:val="left"/>
      <w:pPr>
        <w:ind w:left="6232" w:hanging="253"/>
      </w:pPr>
      <w:rPr>
        <w:rFonts w:hint="default"/>
        <w:lang w:val="es-ES" w:eastAsia="es-ES" w:bidi="es-ES"/>
      </w:rPr>
    </w:lvl>
  </w:abstractNum>
  <w:abstractNum w:abstractNumId="139">
    <w:multiLevelType w:val="hybridMultilevel"/>
    <w:lvl w:ilvl="0">
      <w:start w:val="1"/>
      <w:numFmt w:val="lowerLetter"/>
      <w:lvlText w:val="%1)"/>
      <w:lvlJc w:val="left"/>
      <w:pPr>
        <w:ind w:left="800" w:hanging="253"/>
        <w:jc w:val="left"/>
      </w:pPr>
      <w:rPr>
        <w:rFonts w:hint="default" w:ascii="Arial" w:hAnsi="Arial" w:eastAsia="Arial" w:cs="Arial"/>
        <w:w w:val="102"/>
        <w:sz w:val="15"/>
        <w:szCs w:val="15"/>
        <w:lang w:val="es-ES" w:eastAsia="es-ES" w:bidi="es-ES"/>
      </w:rPr>
    </w:lvl>
    <w:lvl w:ilvl="1">
      <w:start w:val="0"/>
      <w:numFmt w:val="bullet"/>
      <w:lvlText w:val="•"/>
      <w:lvlJc w:val="left"/>
      <w:pPr>
        <w:ind w:left="1125" w:hanging="253"/>
      </w:pPr>
      <w:rPr>
        <w:rFonts w:hint="default"/>
        <w:lang w:val="es-ES" w:eastAsia="es-ES" w:bidi="es-ES"/>
      </w:rPr>
    </w:lvl>
    <w:lvl w:ilvl="2">
      <w:start w:val="0"/>
      <w:numFmt w:val="bullet"/>
      <w:lvlText w:val="•"/>
      <w:lvlJc w:val="left"/>
      <w:pPr>
        <w:ind w:left="1451" w:hanging="253"/>
      </w:pPr>
      <w:rPr>
        <w:rFonts w:hint="default"/>
        <w:lang w:val="es-ES" w:eastAsia="es-ES" w:bidi="es-ES"/>
      </w:rPr>
    </w:lvl>
    <w:lvl w:ilvl="3">
      <w:start w:val="0"/>
      <w:numFmt w:val="bullet"/>
      <w:lvlText w:val="•"/>
      <w:lvlJc w:val="left"/>
      <w:pPr>
        <w:ind w:left="1777" w:hanging="253"/>
      </w:pPr>
      <w:rPr>
        <w:rFonts w:hint="default"/>
        <w:lang w:val="es-ES" w:eastAsia="es-ES" w:bidi="es-ES"/>
      </w:rPr>
    </w:lvl>
    <w:lvl w:ilvl="4">
      <w:start w:val="0"/>
      <w:numFmt w:val="bullet"/>
      <w:lvlText w:val="•"/>
      <w:lvlJc w:val="left"/>
      <w:pPr>
        <w:ind w:left="2103" w:hanging="253"/>
      </w:pPr>
      <w:rPr>
        <w:rFonts w:hint="default"/>
        <w:lang w:val="es-ES" w:eastAsia="es-ES" w:bidi="es-ES"/>
      </w:rPr>
    </w:lvl>
    <w:lvl w:ilvl="5">
      <w:start w:val="0"/>
      <w:numFmt w:val="bullet"/>
      <w:lvlText w:val="•"/>
      <w:lvlJc w:val="left"/>
      <w:pPr>
        <w:ind w:left="2429" w:hanging="253"/>
      </w:pPr>
      <w:rPr>
        <w:rFonts w:hint="default"/>
        <w:lang w:val="es-ES" w:eastAsia="es-ES" w:bidi="es-ES"/>
      </w:rPr>
    </w:lvl>
    <w:lvl w:ilvl="6">
      <w:start w:val="0"/>
      <w:numFmt w:val="bullet"/>
      <w:lvlText w:val="•"/>
      <w:lvlJc w:val="left"/>
      <w:pPr>
        <w:ind w:left="2755" w:hanging="253"/>
      </w:pPr>
      <w:rPr>
        <w:rFonts w:hint="default"/>
        <w:lang w:val="es-ES" w:eastAsia="es-ES" w:bidi="es-ES"/>
      </w:rPr>
    </w:lvl>
    <w:lvl w:ilvl="7">
      <w:start w:val="0"/>
      <w:numFmt w:val="bullet"/>
      <w:lvlText w:val="•"/>
      <w:lvlJc w:val="left"/>
      <w:pPr>
        <w:ind w:left="3081" w:hanging="253"/>
      </w:pPr>
      <w:rPr>
        <w:rFonts w:hint="default"/>
        <w:lang w:val="es-ES" w:eastAsia="es-ES" w:bidi="es-ES"/>
      </w:rPr>
    </w:lvl>
    <w:lvl w:ilvl="8">
      <w:start w:val="0"/>
      <w:numFmt w:val="bullet"/>
      <w:lvlText w:val="•"/>
      <w:lvlJc w:val="left"/>
      <w:pPr>
        <w:ind w:left="3406" w:hanging="253"/>
      </w:pPr>
      <w:rPr>
        <w:rFonts w:hint="default"/>
        <w:lang w:val="es-ES" w:eastAsia="es-ES" w:bidi="es-ES"/>
      </w:rPr>
    </w:lvl>
  </w:abstractNum>
  <w:abstractNum w:abstractNumId="138">
    <w:multiLevelType w:val="hybridMultilevel"/>
    <w:lvl w:ilvl="0">
      <w:start w:val="2"/>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01" w:hanging="180"/>
      </w:pPr>
      <w:rPr>
        <w:rFonts w:hint="default"/>
        <w:lang w:val="es-ES" w:eastAsia="es-ES" w:bidi="es-ES"/>
      </w:rPr>
    </w:lvl>
    <w:lvl w:ilvl="2">
      <w:start w:val="0"/>
      <w:numFmt w:val="bullet"/>
      <w:lvlText w:val="•"/>
      <w:lvlJc w:val="left"/>
      <w:pPr>
        <w:ind w:left="1682" w:hanging="180"/>
      </w:pPr>
      <w:rPr>
        <w:rFonts w:hint="default"/>
        <w:lang w:val="es-ES" w:eastAsia="es-ES" w:bidi="es-ES"/>
      </w:rPr>
    </w:lvl>
    <w:lvl w:ilvl="3">
      <w:start w:val="0"/>
      <w:numFmt w:val="bullet"/>
      <w:lvlText w:val="•"/>
      <w:lvlJc w:val="left"/>
      <w:pPr>
        <w:ind w:left="2163" w:hanging="180"/>
      </w:pPr>
      <w:rPr>
        <w:rFonts w:hint="default"/>
        <w:lang w:val="es-ES" w:eastAsia="es-ES" w:bidi="es-ES"/>
      </w:rPr>
    </w:lvl>
    <w:lvl w:ilvl="4">
      <w:start w:val="0"/>
      <w:numFmt w:val="bullet"/>
      <w:lvlText w:val="•"/>
      <w:lvlJc w:val="left"/>
      <w:pPr>
        <w:ind w:left="2644" w:hanging="180"/>
      </w:pPr>
      <w:rPr>
        <w:rFonts w:hint="default"/>
        <w:lang w:val="es-ES" w:eastAsia="es-ES" w:bidi="es-ES"/>
      </w:rPr>
    </w:lvl>
    <w:lvl w:ilvl="5">
      <w:start w:val="0"/>
      <w:numFmt w:val="bullet"/>
      <w:lvlText w:val="•"/>
      <w:lvlJc w:val="left"/>
      <w:pPr>
        <w:ind w:left="3125" w:hanging="180"/>
      </w:pPr>
      <w:rPr>
        <w:rFonts w:hint="default"/>
        <w:lang w:val="es-ES" w:eastAsia="es-ES" w:bidi="es-ES"/>
      </w:rPr>
    </w:lvl>
    <w:lvl w:ilvl="6">
      <w:start w:val="0"/>
      <w:numFmt w:val="bullet"/>
      <w:lvlText w:val="•"/>
      <w:lvlJc w:val="left"/>
      <w:pPr>
        <w:ind w:left="3606" w:hanging="180"/>
      </w:pPr>
      <w:rPr>
        <w:rFonts w:hint="default"/>
        <w:lang w:val="es-ES" w:eastAsia="es-ES" w:bidi="es-ES"/>
      </w:rPr>
    </w:lvl>
    <w:lvl w:ilvl="7">
      <w:start w:val="0"/>
      <w:numFmt w:val="bullet"/>
      <w:lvlText w:val="•"/>
      <w:lvlJc w:val="left"/>
      <w:pPr>
        <w:ind w:left="4087" w:hanging="180"/>
      </w:pPr>
      <w:rPr>
        <w:rFonts w:hint="default"/>
        <w:lang w:val="es-ES" w:eastAsia="es-ES" w:bidi="es-ES"/>
      </w:rPr>
    </w:lvl>
    <w:lvl w:ilvl="8">
      <w:start w:val="0"/>
      <w:numFmt w:val="bullet"/>
      <w:lvlText w:val="•"/>
      <w:lvlJc w:val="left"/>
      <w:pPr>
        <w:ind w:left="4568" w:hanging="180"/>
      </w:pPr>
      <w:rPr>
        <w:rFonts w:hint="default"/>
        <w:lang w:val="es-ES" w:eastAsia="es-ES" w:bidi="es-ES"/>
      </w:rPr>
    </w:lvl>
  </w:abstractNum>
  <w:abstractNum w:abstractNumId="137">
    <w:multiLevelType w:val="hybridMultilevel"/>
    <w:lvl w:ilvl="0">
      <w:start w:val="6"/>
      <w:numFmt w:val="lowerLetter"/>
      <w:lvlText w:val="%1)"/>
      <w:lvlJc w:val="left"/>
      <w:pPr>
        <w:ind w:left="685" w:hanging="138"/>
        <w:jc w:val="left"/>
      </w:pPr>
      <w:rPr>
        <w:rFonts w:hint="default" w:ascii="Arial" w:hAnsi="Arial" w:eastAsia="Arial" w:cs="Arial"/>
        <w:w w:val="102"/>
        <w:sz w:val="15"/>
        <w:szCs w:val="15"/>
        <w:lang w:val="es-ES" w:eastAsia="es-ES" w:bidi="es-ES"/>
      </w:rPr>
    </w:lvl>
    <w:lvl w:ilvl="1">
      <w:start w:val="2"/>
      <w:numFmt w:val="lowerLetter"/>
      <w:lvlText w:val="%2)"/>
      <w:lvlJc w:val="left"/>
      <w:pPr>
        <w:ind w:left="1163" w:hanging="218"/>
        <w:jc w:val="left"/>
      </w:pPr>
      <w:rPr>
        <w:rFonts w:hint="default" w:ascii="Arial" w:hAnsi="Arial" w:eastAsia="Arial" w:cs="Arial"/>
        <w:w w:val="102"/>
        <w:sz w:val="15"/>
        <w:szCs w:val="15"/>
        <w:lang w:val="es-ES" w:eastAsia="es-ES" w:bidi="es-ES"/>
      </w:rPr>
    </w:lvl>
    <w:lvl w:ilvl="2">
      <w:start w:val="0"/>
      <w:numFmt w:val="bullet"/>
      <w:lvlText w:val="•"/>
      <w:lvlJc w:val="left"/>
      <w:pPr>
        <w:ind w:left="295" w:hanging="218"/>
      </w:pPr>
      <w:rPr>
        <w:rFonts w:hint="default"/>
        <w:lang w:val="es-ES" w:eastAsia="es-ES" w:bidi="es-ES"/>
      </w:rPr>
    </w:lvl>
    <w:lvl w:ilvl="3">
      <w:start w:val="0"/>
      <w:numFmt w:val="bullet"/>
      <w:lvlText w:val="•"/>
      <w:lvlJc w:val="left"/>
      <w:pPr>
        <w:ind w:left="-569" w:hanging="218"/>
      </w:pPr>
      <w:rPr>
        <w:rFonts w:hint="default"/>
        <w:lang w:val="es-ES" w:eastAsia="es-ES" w:bidi="es-ES"/>
      </w:rPr>
    </w:lvl>
    <w:lvl w:ilvl="4">
      <w:start w:val="0"/>
      <w:numFmt w:val="bullet"/>
      <w:lvlText w:val="•"/>
      <w:lvlJc w:val="left"/>
      <w:pPr>
        <w:ind w:left="-1434" w:hanging="218"/>
      </w:pPr>
      <w:rPr>
        <w:rFonts w:hint="default"/>
        <w:lang w:val="es-ES" w:eastAsia="es-ES" w:bidi="es-ES"/>
      </w:rPr>
    </w:lvl>
    <w:lvl w:ilvl="5">
      <w:start w:val="0"/>
      <w:numFmt w:val="bullet"/>
      <w:lvlText w:val="•"/>
      <w:lvlJc w:val="left"/>
      <w:pPr>
        <w:ind w:left="-2298" w:hanging="218"/>
      </w:pPr>
      <w:rPr>
        <w:rFonts w:hint="default"/>
        <w:lang w:val="es-ES" w:eastAsia="es-ES" w:bidi="es-ES"/>
      </w:rPr>
    </w:lvl>
    <w:lvl w:ilvl="6">
      <w:start w:val="0"/>
      <w:numFmt w:val="bullet"/>
      <w:lvlText w:val="•"/>
      <w:lvlJc w:val="left"/>
      <w:pPr>
        <w:ind w:left="-3163" w:hanging="218"/>
      </w:pPr>
      <w:rPr>
        <w:rFonts w:hint="default"/>
        <w:lang w:val="es-ES" w:eastAsia="es-ES" w:bidi="es-ES"/>
      </w:rPr>
    </w:lvl>
    <w:lvl w:ilvl="7">
      <w:start w:val="0"/>
      <w:numFmt w:val="bullet"/>
      <w:lvlText w:val="•"/>
      <w:lvlJc w:val="left"/>
      <w:pPr>
        <w:ind w:left="-4027" w:hanging="218"/>
      </w:pPr>
      <w:rPr>
        <w:rFonts w:hint="default"/>
        <w:lang w:val="es-ES" w:eastAsia="es-ES" w:bidi="es-ES"/>
      </w:rPr>
    </w:lvl>
    <w:lvl w:ilvl="8">
      <w:start w:val="0"/>
      <w:numFmt w:val="bullet"/>
      <w:lvlText w:val="•"/>
      <w:lvlJc w:val="left"/>
      <w:pPr>
        <w:ind w:left="-4892" w:hanging="218"/>
      </w:pPr>
      <w:rPr>
        <w:rFonts w:hint="default"/>
        <w:lang w:val="es-ES" w:eastAsia="es-ES" w:bidi="es-ES"/>
      </w:rPr>
    </w:lvl>
  </w:abstractNum>
  <w:abstractNum w:abstractNumId="136">
    <w:multiLevelType w:val="hybridMultilevel"/>
    <w:lvl w:ilvl="0">
      <w:start w:val="2"/>
      <w:numFmt w:val="upperRoman"/>
      <w:lvlText w:val="%1."/>
      <w:lvlJc w:val="left"/>
      <w:pPr>
        <w:ind w:left="150" w:hanging="274"/>
        <w:jc w:val="left"/>
      </w:pPr>
      <w:rPr>
        <w:rFonts w:hint="default" w:ascii="Arial" w:hAnsi="Arial" w:eastAsia="Arial" w:cs="Arial"/>
        <w:w w:val="102"/>
        <w:sz w:val="15"/>
        <w:szCs w:val="15"/>
        <w:lang w:val="es-ES" w:eastAsia="es-ES" w:bidi="es-ES"/>
      </w:rPr>
    </w:lvl>
    <w:lvl w:ilvl="1">
      <w:start w:val="0"/>
      <w:numFmt w:val="bullet"/>
      <w:lvlText w:val="•"/>
      <w:lvlJc w:val="left"/>
      <w:pPr>
        <w:ind w:left="966" w:hanging="274"/>
      </w:pPr>
      <w:rPr>
        <w:rFonts w:hint="default"/>
        <w:lang w:val="es-ES" w:eastAsia="es-ES" w:bidi="es-ES"/>
      </w:rPr>
    </w:lvl>
    <w:lvl w:ilvl="2">
      <w:start w:val="0"/>
      <w:numFmt w:val="bullet"/>
      <w:lvlText w:val="•"/>
      <w:lvlJc w:val="left"/>
      <w:pPr>
        <w:ind w:left="1772" w:hanging="274"/>
      </w:pPr>
      <w:rPr>
        <w:rFonts w:hint="default"/>
        <w:lang w:val="es-ES" w:eastAsia="es-ES" w:bidi="es-ES"/>
      </w:rPr>
    </w:lvl>
    <w:lvl w:ilvl="3">
      <w:start w:val="0"/>
      <w:numFmt w:val="bullet"/>
      <w:lvlText w:val="•"/>
      <w:lvlJc w:val="left"/>
      <w:pPr>
        <w:ind w:left="2578" w:hanging="274"/>
      </w:pPr>
      <w:rPr>
        <w:rFonts w:hint="default"/>
        <w:lang w:val="es-ES" w:eastAsia="es-ES" w:bidi="es-ES"/>
      </w:rPr>
    </w:lvl>
    <w:lvl w:ilvl="4">
      <w:start w:val="0"/>
      <w:numFmt w:val="bullet"/>
      <w:lvlText w:val="•"/>
      <w:lvlJc w:val="left"/>
      <w:pPr>
        <w:ind w:left="3384" w:hanging="274"/>
      </w:pPr>
      <w:rPr>
        <w:rFonts w:hint="default"/>
        <w:lang w:val="es-ES" w:eastAsia="es-ES" w:bidi="es-ES"/>
      </w:rPr>
    </w:lvl>
    <w:lvl w:ilvl="5">
      <w:start w:val="0"/>
      <w:numFmt w:val="bullet"/>
      <w:lvlText w:val="•"/>
      <w:lvlJc w:val="left"/>
      <w:pPr>
        <w:ind w:left="4190" w:hanging="274"/>
      </w:pPr>
      <w:rPr>
        <w:rFonts w:hint="default"/>
        <w:lang w:val="es-ES" w:eastAsia="es-ES" w:bidi="es-ES"/>
      </w:rPr>
    </w:lvl>
    <w:lvl w:ilvl="6">
      <w:start w:val="0"/>
      <w:numFmt w:val="bullet"/>
      <w:lvlText w:val="•"/>
      <w:lvlJc w:val="left"/>
      <w:pPr>
        <w:ind w:left="4997" w:hanging="274"/>
      </w:pPr>
      <w:rPr>
        <w:rFonts w:hint="default"/>
        <w:lang w:val="es-ES" w:eastAsia="es-ES" w:bidi="es-ES"/>
      </w:rPr>
    </w:lvl>
    <w:lvl w:ilvl="7">
      <w:start w:val="0"/>
      <w:numFmt w:val="bullet"/>
      <w:lvlText w:val="•"/>
      <w:lvlJc w:val="left"/>
      <w:pPr>
        <w:ind w:left="5803" w:hanging="274"/>
      </w:pPr>
      <w:rPr>
        <w:rFonts w:hint="default"/>
        <w:lang w:val="es-ES" w:eastAsia="es-ES" w:bidi="es-ES"/>
      </w:rPr>
    </w:lvl>
    <w:lvl w:ilvl="8">
      <w:start w:val="0"/>
      <w:numFmt w:val="bullet"/>
      <w:lvlText w:val="•"/>
      <w:lvlJc w:val="left"/>
      <w:pPr>
        <w:ind w:left="6609" w:hanging="274"/>
      </w:pPr>
      <w:rPr>
        <w:rFonts w:hint="default"/>
        <w:lang w:val="es-ES" w:eastAsia="es-ES" w:bidi="es-ES"/>
      </w:rPr>
    </w:lvl>
  </w:abstractNum>
  <w:abstractNum w:abstractNumId="135">
    <w:multiLevelType w:val="hybridMultilevel"/>
    <w:lvl w:ilvl="0">
      <w:start w:val="2"/>
      <w:numFmt w:val="lowerLetter"/>
      <w:lvlText w:val="%1)"/>
      <w:lvlJc w:val="left"/>
      <w:pPr>
        <w:ind w:left="330" w:hanging="180"/>
        <w:jc w:val="right"/>
      </w:pPr>
      <w:rPr>
        <w:rFonts w:hint="default" w:ascii="Arial" w:hAnsi="Arial" w:eastAsia="Arial" w:cs="Arial"/>
        <w:w w:val="102"/>
        <w:sz w:val="15"/>
        <w:szCs w:val="15"/>
        <w:lang w:val="es-ES" w:eastAsia="es-ES" w:bidi="es-ES"/>
      </w:rPr>
    </w:lvl>
    <w:lvl w:ilvl="1">
      <w:start w:val="0"/>
      <w:numFmt w:val="bullet"/>
      <w:lvlText w:val="•"/>
      <w:lvlJc w:val="left"/>
      <w:pPr>
        <w:ind w:left="702" w:hanging="180"/>
      </w:pPr>
      <w:rPr>
        <w:rFonts w:hint="default"/>
        <w:lang w:val="es-ES" w:eastAsia="es-ES" w:bidi="es-ES"/>
      </w:rPr>
    </w:lvl>
    <w:lvl w:ilvl="2">
      <w:start w:val="0"/>
      <w:numFmt w:val="bullet"/>
      <w:lvlText w:val="•"/>
      <w:lvlJc w:val="left"/>
      <w:pPr>
        <w:ind w:left="1064" w:hanging="180"/>
      </w:pPr>
      <w:rPr>
        <w:rFonts w:hint="default"/>
        <w:lang w:val="es-ES" w:eastAsia="es-ES" w:bidi="es-ES"/>
      </w:rPr>
    </w:lvl>
    <w:lvl w:ilvl="3">
      <w:start w:val="0"/>
      <w:numFmt w:val="bullet"/>
      <w:lvlText w:val="•"/>
      <w:lvlJc w:val="left"/>
      <w:pPr>
        <w:ind w:left="1426" w:hanging="180"/>
      </w:pPr>
      <w:rPr>
        <w:rFonts w:hint="default"/>
        <w:lang w:val="es-ES" w:eastAsia="es-ES" w:bidi="es-ES"/>
      </w:rPr>
    </w:lvl>
    <w:lvl w:ilvl="4">
      <w:start w:val="0"/>
      <w:numFmt w:val="bullet"/>
      <w:lvlText w:val="•"/>
      <w:lvlJc w:val="left"/>
      <w:pPr>
        <w:ind w:left="1789" w:hanging="180"/>
      </w:pPr>
      <w:rPr>
        <w:rFonts w:hint="default"/>
        <w:lang w:val="es-ES" w:eastAsia="es-ES" w:bidi="es-ES"/>
      </w:rPr>
    </w:lvl>
    <w:lvl w:ilvl="5">
      <w:start w:val="0"/>
      <w:numFmt w:val="bullet"/>
      <w:lvlText w:val="•"/>
      <w:lvlJc w:val="left"/>
      <w:pPr>
        <w:ind w:left="2151" w:hanging="180"/>
      </w:pPr>
      <w:rPr>
        <w:rFonts w:hint="default"/>
        <w:lang w:val="es-ES" w:eastAsia="es-ES" w:bidi="es-ES"/>
      </w:rPr>
    </w:lvl>
    <w:lvl w:ilvl="6">
      <w:start w:val="0"/>
      <w:numFmt w:val="bullet"/>
      <w:lvlText w:val="•"/>
      <w:lvlJc w:val="left"/>
      <w:pPr>
        <w:ind w:left="2513" w:hanging="180"/>
      </w:pPr>
      <w:rPr>
        <w:rFonts w:hint="default"/>
        <w:lang w:val="es-ES" w:eastAsia="es-ES" w:bidi="es-ES"/>
      </w:rPr>
    </w:lvl>
    <w:lvl w:ilvl="7">
      <w:start w:val="0"/>
      <w:numFmt w:val="bullet"/>
      <w:lvlText w:val="•"/>
      <w:lvlJc w:val="left"/>
      <w:pPr>
        <w:ind w:left="2876" w:hanging="180"/>
      </w:pPr>
      <w:rPr>
        <w:rFonts w:hint="default"/>
        <w:lang w:val="es-ES" w:eastAsia="es-ES" w:bidi="es-ES"/>
      </w:rPr>
    </w:lvl>
    <w:lvl w:ilvl="8">
      <w:start w:val="0"/>
      <w:numFmt w:val="bullet"/>
      <w:lvlText w:val="•"/>
      <w:lvlJc w:val="left"/>
      <w:pPr>
        <w:ind w:left="3238" w:hanging="180"/>
      </w:pPr>
      <w:rPr>
        <w:rFonts w:hint="default"/>
        <w:lang w:val="es-ES" w:eastAsia="es-ES" w:bidi="es-ES"/>
      </w:rPr>
    </w:lvl>
  </w:abstractNum>
  <w:abstractNum w:abstractNumId="134">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02" w:hanging="180"/>
      </w:pPr>
      <w:rPr>
        <w:rFonts w:hint="default"/>
        <w:lang w:val="es-ES" w:eastAsia="es-ES" w:bidi="es-ES"/>
      </w:rPr>
    </w:lvl>
    <w:lvl w:ilvl="2">
      <w:start w:val="0"/>
      <w:numFmt w:val="bullet"/>
      <w:lvlText w:val="•"/>
      <w:lvlJc w:val="left"/>
      <w:pPr>
        <w:ind w:left="1685" w:hanging="180"/>
      </w:pPr>
      <w:rPr>
        <w:rFonts w:hint="default"/>
        <w:lang w:val="es-ES" w:eastAsia="es-ES" w:bidi="es-ES"/>
      </w:rPr>
    </w:lvl>
    <w:lvl w:ilvl="3">
      <w:start w:val="0"/>
      <w:numFmt w:val="bullet"/>
      <w:lvlText w:val="•"/>
      <w:lvlJc w:val="left"/>
      <w:pPr>
        <w:ind w:left="2168" w:hanging="180"/>
      </w:pPr>
      <w:rPr>
        <w:rFonts w:hint="default"/>
        <w:lang w:val="es-ES" w:eastAsia="es-ES" w:bidi="es-ES"/>
      </w:rPr>
    </w:lvl>
    <w:lvl w:ilvl="4">
      <w:start w:val="0"/>
      <w:numFmt w:val="bullet"/>
      <w:lvlText w:val="•"/>
      <w:lvlJc w:val="left"/>
      <w:pPr>
        <w:ind w:left="2650" w:hanging="180"/>
      </w:pPr>
      <w:rPr>
        <w:rFonts w:hint="default"/>
        <w:lang w:val="es-ES" w:eastAsia="es-ES" w:bidi="es-ES"/>
      </w:rPr>
    </w:lvl>
    <w:lvl w:ilvl="5">
      <w:start w:val="0"/>
      <w:numFmt w:val="bullet"/>
      <w:lvlText w:val="•"/>
      <w:lvlJc w:val="left"/>
      <w:pPr>
        <w:ind w:left="3133" w:hanging="180"/>
      </w:pPr>
      <w:rPr>
        <w:rFonts w:hint="default"/>
        <w:lang w:val="es-ES" w:eastAsia="es-ES" w:bidi="es-ES"/>
      </w:rPr>
    </w:lvl>
    <w:lvl w:ilvl="6">
      <w:start w:val="0"/>
      <w:numFmt w:val="bullet"/>
      <w:lvlText w:val="•"/>
      <w:lvlJc w:val="left"/>
      <w:pPr>
        <w:ind w:left="3616" w:hanging="180"/>
      </w:pPr>
      <w:rPr>
        <w:rFonts w:hint="default"/>
        <w:lang w:val="es-ES" w:eastAsia="es-ES" w:bidi="es-ES"/>
      </w:rPr>
    </w:lvl>
    <w:lvl w:ilvl="7">
      <w:start w:val="0"/>
      <w:numFmt w:val="bullet"/>
      <w:lvlText w:val="•"/>
      <w:lvlJc w:val="left"/>
      <w:pPr>
        <w:ind w:left="4099" w:hanging="180"/>
      </w:pPr>
      <w:rPr>
        <w:rFonts w:hint="default"/>
        <w:lang w:val="es-ES" w:eastAsia="es-ES" w:bidi="es-ES"/>
      </w:rPr>
    </w:lvl>
    <w:lvl w:ilvl="8">
      <w:start w:val="0"/>
      <w:numFmt w:val="bullet"/>
      <w:lvlText w:val="•"/>
      <w:lvlJc w:val="left"/>
      <w:pPr>
        <w:ind w:left="4581" w:hanging="180"/>
      </w:pPr>
      <w:rPr>
        <w:rFonts w:hint="default"/>
        <w:lang w:val="es-ES" w:eastAsia="es-ES" w:bidi="es-ES"/>
      </w:rPr>
    </w:lvl>
  </w:abstractNum>
  <w:abstractNum w:abstractNumId="133">
    <w:multiLevelType w:val="hybridMultilevel"/>
    <w:lvl w:ilvl="0">
      <w:start w:val="1"/>
      <w:numFmt w:val="decimal"/>
      <w:lvlText w:val="%1."/>
      <w:lvlJc w:val="left"/>
      <w:pPr>
        <w:ind w:left="719" w:hanging="172"/>
        <w:jc w:val="left"/>
      </w:pPr>
      <w:rPr>
        <w:rFonts w:hint="default" w:ascii="Arial" w:hAnsi="Arial" w:eastAsia="Arial" w:cs="Arial"/>
        <w:w w:val="102"/>
        <w:sz w:val="15"/>
        <w:szCs w:val="15"/>
        <w:lang w:val="es-ES" w:eastAsia="es-ES" w:bidi="es-ES"/>
      </w:rPr>
    </w:lvl>
    <w:lvl w:ilvl="1">
      <w:start w:val="0"/>
      <w:numFmt w:val="bullet"/>
      <w:lvlText w:val="•"/>
      <w:lvlJc w:val="left"/>
      <w:pPr>
        <w:ind w:left="1202" w:hanging="172"/>
      </w:pPr>
      <w:rPr>
        <w:rFonts w:hint="default"/>
        <w:lang w:val="es-ES" w:eastAsia="es-ES" w:bidi="es-ES"/>
      </w:rPr>
    </w:lvl>
    <w:lvl w:ilvl="2">
      <w:start w:val="0"/>
      <w:numFmt w:val="bullet"/>
      <w:lvlText w:val="•"/>
      <w:lvlJc w:val="left"/>
      <w:pPr>
        <w:ind w:left="1685" w:hanging="172"/>
      </w:pPr>
      <w:rPr>
        <w:rFonts w:hint="default"/>
        <w:lang w:val="es-ES" w:eastAsia="es-ES" w:bidi="es-ES"/>
      </w:rPr>
    </w:lvl>
    <w:lvl w:ilvl="3">
      <w:start w:val="0"/>
      <w:numFmt w:val="bullet"/>
      <w:lvlText w:val="•"/>
      <w:lvlJc w:val="left"/>
      <w:pPr>
        <w:ind w:left="2168" w:hanging="172"/>
      </w:pPr>
      <w:rPr>
        <w:rFonts w:hint="default"/>
        <w:lang w:val="es-ES" w:eastAsia="es-ES" w:bidi="es-ES"/>
      </w:rPr>
    </w:lvl>
    <w:lvl w:ilvl="4">
      <w:start w:val="0"/>
      <w:numFmt w:val="bullet"/>
      <w:lvlText w:val="•"/>
      <w:lvlJc w:val="left"/>
      <w:pPr>
        <w:ind w:left="2650" w:hanging="172"/>
      </w:pPr>
      <w:rPr>
        <w:rFonts w:hint="default"/>
        <w:lang w:val="es-ES" w:eastAsia="es-ES" w:bidi="es-ES"/>
      </w:rPr>
    </w:lvl>
    <w:lvl w:ilvl="5">
      <w:start w:val="0"/>
      <w:numFmt w:val="bullet"/>
      <w:lvlText w:val="•"/>
      <w:lvlJc w:val="left"/>
      <w:pPr>
        <w:ind w:left="3133" w:hanging="172"/>
      </w:pPr>
      <w:rPr>
        <w:rFonts w:hint="default"/>
        <w:lang w:val="es-ES" w:eastAsia="es-ES" w:bidi="es-ES"/>
      </w:rPr>
    </w:lvl>
    <w:lvl w:ilvl="6">
      <w:start w:val="0"/>
      <w:numFmt w:val="bullet"/>
      <w:lvlText w:val="•"/>
      <w:lvlJc w:val="left"/>
      <w:pPr>
        <w:ind w:left="3616" w:hanging="172"/>
      </w:pPr>
      <w:rPr>
        <w:rFonts w:hint="default"/>
        <w:lang w:val="es-ES" w:eastAsia="es-ES" w:bidi="es-ES"/>
      </w:rPr>
    </w:lvl>
    <w:lvl w:ilvl="7">
      <w:start w:val="0"/>
      <w:numFmt w:val="bullet"/>
      <w:lvlText w:val="•"/>
      <w:lvlJc w:val="left"/>
      <w:pPr>
        <w:ind w:left="4099" w:hanging="172"/>
      </w:pPr>
      <w:rPr>
        <w:rFonts w:hint="default"/>
        <w:lang w:val="es-ES" w:eastAsia="es-ES" w:bidi="es-ES"/>
      </w:rPr>
    </w:lvl>
    <w:lvl w:ilvl="8">
      <w:start w:val="0"/>
      <w:numFmt w:val="bullet"/>
      <w:lvlText w:val="•"/>
      <w:lvlJc w:val="left"/>
      <w:pPr>
        <w:ind w:left="4581" w:hanging="172"/>
      </w:pPr>
      <w:rPr>
        <w:rFonts w:hint="default"/>
        <w:lang w:val="es-ES" w:eastAsia="es-ES" w:bidi="es-ES"/>
      </w:rPr>
    </w:lvl>
  </w:abstractNum>
  <w:abstractNum w:abstractNumId="132">
    <w:multiLevelType w:val="hybridMultilevel"/>
    <w:lvl w:ilvl="0">
      <w:start w:val="1"/>
      <w:numFmt w:val="decimal"/>
      <w:lvlText w:val="%1."/>
      <w:lvlJc w:val="left"/>
      <w:pPr>
        <w:ind w:left="719" w:hanging="172"/>
        <w:jc w:val="left"/>
      </w:pPr>
      <w:rPr>
        <w:rFonts w:hint="default" w:ascii="Arial" w:hAnsi="Arial" w:eastAsia="Arial" w:cs="Arial"/>
        <w:w w:val="102"/>
        <w:sz w:val="15"/>
        <w:szCs w:val="15"/>
        <w:lang w:val="es-ES" w:eastAsia="es-ES" w:bidi="es-ES"/>
      </w:rPr>
    </w:lvl>
    <w:lvl w:ilvl="1">
      <w:start w:val="0"/>
      <w:numFmt w:val="bullet"/>
      <w:lvlText w:val="•"/>
      <w:lvlJc w:val="left"/>
      <w:pPr>
        <w:ind w:left="1202" w:hanging="172"/>
      </w:pPr>
      <w:rPr>
        <w:rFonts w:hint="default"/>
        <w:lang w:val="es-ES" w:eastAsia="es-ES" w:bidi="es-ES"/>
      </w:rPr>
    </w:lvl>
    <w:lvl w:ilvl="2">
      <w:start w:val="0"/>
      <w:numFmt w:val="bullet"/>
      <w:lvlText w:val="•"/>
      <w:lvlJc w:val="left"/>
      <w:pPr>
        <w:ind w:left="1685" w:hanging="172"/>
      </w:pPr>
      <w:rPr>
        <w:rFonts w:hint="default"/>
        <w:lang w:val="es-ES" w:eastAsia="es-ES" w:bidi="es-ES"/>
      </w:rPr>
    </w:lvl>
    <w:lvl w:ilvl="3">
      <w:start w:val="0"/>
      <w:numFmt w:val="bullet"/>
      <w:lvlText w:val="•"/>
      <w:lvlJc w:val="left"/>
      <w:pPr>
        <w:ind w:left="2168" w:hanging="172"/>
      </w:pPr>
      <w:rPr>
        <w:rFonts w:hint="default"/>
        <w:lang w:val="es-ES" w:eastAsia="es-ES" w:bidi="es-ES"/>
      </w:rPr>
    </w:lvl>
    <w:lvl w:ilvl="4">
      <w:start w:val="0"/>
      <w:numFmt w:val="bullet"/>
      <w:lvlText w:val="•"/>
      <w:lvlJc w:val="left"/>
      <w:pPr>
        <w:ind w:left="2650" w:hanging="172"/>
      </w:pPr>
      <w:rPr>
        <w:rFonts w:hint="default"/>
        <w:lang w:val="es-ES" w:eastAsia="es-ES" w:bidi="es-ES"/>
      </w:rPr>
    </w:lvl>
    <w:lvl w:ilvl="5">
      <w:start w:val="0"/>
      <w:numFmt w:val="bullet"/>
      <w:lvlText w:val="•"/>
      <w:lvlJc w:val="left"/>
      <w:pPr>
        <w:ind w:left="3133" w:hanging="172"/>
      </w:pPr>
      <w:rPr>
        <w:rFonts w:hint="default"/>
        <w:lang w:val="es-ES" w:eastAsia="es-ES" w:bidi="es-ES"/>
      </w:rPr>
    </w:lvl>
    <w:lvl w:ilvl="6">
      <w:start w:val="0"/>
      <w:numFmt w:val="bullet"/>
      <w:lvlText w:val="•"/>
      <w:lvlJc w:val="left"/>
      <w:pPr>
        <w:ind w:left="3616" w:hanging="172"/>
      </w:pPr>
      <w:rPr>
        <w:rFonts w:hint="default"/>
        <w:lang w:val="es-ES" w:eastAsia="es-ES" w:bidi="es-ES"/>
      </w:rPr>
    </w:lvl>
    <w:lvl w:ilvl="7">
      <w:start w:val="0"/>
      <w:numFmt w:val="bullet"/>
      <w:lvlText w:val="•"/>
      <w:lvlJc w:val="left"/>
      <w:pPr>
        <w:ind w:left="4099" w:hanging="172"/>
      </w:pPr>
      <w:rPr>
        <w:rFonts w:hint="default"/>
        <w:lang w:val="es-ES" w:eastAsia="es-ES" w:bidi="es-ES"/>
      </w:rPr>
    </w:lvl>
    <w:lvl w:ilvl="8">
      <w:start w:val="0"/>
      <w:numFmt w:val="bullet"/>
      <w:lvlText w:val="•"/>
      <w:lvlJc w:val="left"/>
      <w:pPr>
        <w:ind w:left="4581" w:hanging="172"/>
      </w:pPr>
      <w:rPr>
        <w:rFonts w:hint="default"/>
        <w:lang w:val="es-ES" w:eastAsia="es-ES" w:bidi="es-ES"/>
      </w:rPr>
    </w:lvl>
  </w:abstractNum>
  <w:abstractNum w:abstractNumId="131">
    <w:multiLevelType w:val="hybridMultilevel"/>
    <w:lvl w:ilvl="0">
      <w:start w:val="1"/>
      <w:numFmt w:val="lowerLetter"/>
      <w:lvlText w:val="%1)"/>
      <w:lvlJc w:val="left"/>
      <w:pPr>
        <w:ind w:left="150" w:hanging="202"/>
        <w:jc w:val="left"/>
      </w:pPr>
      <w:rPr>
        <w:rFonts w:hint="default" w:ascii="Arial" w:hAnsi="Arial" w:eastAsia="Arial" w:cs="Arial"/>
        <w:w w:val="102"/>
        <w:sz w:val="15"/>
        <w:szCs w:val="15"/>
        <w:lang w:val="es-ES" w:eastAsia="es-ES" w:bidi="es-ES"/>
      </w:rPr>
    </w:lvl>
    <w:lvl w:ilvl="1">
      <w:start w:val="0"/>
      <w:numFmt w:val="bullet"/>
      <w:lvlText w:val="•"/>
      <w:lvlJc w:val="left"/>
      <w:pPr>
        <w:ind w:left="698" w:hanging="202"/>
      </w:pPr>
      <w:rPr>
        <w:rFonts w:hint="default"/>
        <w:lang w:val="es-ES" w:eastAsia="es-ES" w:bidi="es-ES"/>
      </w:rPr>
    </w:lvl>
    <w:lvl w:ilvl="2">
      <w:start w:val="0"/>
      <w:numFmt w:val="bullet"/>
      <w:lvlText w:val="•"/>
      <w:lvlJc w:val="left"/>
      <w:pPr>
        <w:ind w:left="1237" w:hanging="202"/>
      </w:pPr>
      <w:rPr>
        <w:rFonts w:hint="default"/>
        <w:lang w:val="es-ES" w:eastAsia="es-ES" w:bidi="es-ES"/>
      </w:rPr>
    </w:lvl>
    <w:lvl w:ilvl="3">
      <w:start w:val="0"/>
      <w:numFmt w:val="bullet"/>
      <w:lvlText w:val="•"/>
      <w:lvlJc w:val="left"/>
      <w:pPr>
        <w:ind w:left="1776" w:hanging="202"/>
      </w:pPr>
      <w:rPr>
        <w:rFonts w:hint="default"/>
        <w:lang w:val="es-ES" w:eastAsia="es-ES" w:bidi="es-ES"/>
      </w:rPr>
    </w:lvl>
    <w:lvl w:ilvl="4">
      <w:start w:val="0"/>
      <w:numFmt w:val="bullet"/>
      <w:lvlText w:val="•"/>
      <w:lvlJc w:val="left"/>
      <w:pPr>
        <w:ind w:left="2314" w:hanging="202"/>
      </w:pPr>
      <w:rPr>
        <w:rFonts w:hint="default"/>
        <w:lang w:val="es-ES" w:eastAsia="es-ES" w:bidi="es-ES"/>
      </w:rPr>
    </w:lvl>
    <w:lvl w:ilvl="5">
      <w:start w:val="0"/>
      <w:numFmt w:val="bullet"/>
      <w:lvlText w:val="•"/>
      <w:lvlJc w:val="left"/>
      <w:pPr>
        <w:ind w:left="2853" w:hanging="202"/>
      </w:pPr>
      <w:rPr>
        <w:rFonts w:hint="default"/>
        <w:lang w:val="es-ES" w:eastAsia="es-ES" w:bidi="es-ES"/>
      </w:rPr>
    </w:lvl>
    <w:lvl w:ilvl="6">
      <w:start w:val="0"/>
      <w:numFmt w:val="bullet"/>
      <w:lvlText w:val="•"/>
      <w:lvlJc w:val="left"/>
      <w:pPr>
        <w:ind w:left="3392" w:hanging="202"/>
      </w:pPr>
      <w:rPr>
        <w:rFonts w:hint="default"/>
        <w:lang w:val="es-ES" w:eastAsia="es-ES" w:bidi="es-ES"/>
      </w:rPr>
    </w:lvl>
    <w:lvl w:ilvl="7">
      <w:start w:val="0"/>
      <w:numFmt w:val="bullet"/>
      <w:lvlText w:val="•"/>
      <w:lvlJc w:val="left"/>
      <w:pPr>
        <w:ind w:left="3931" w:hanging="202"/>
      </w:pPr>
      <w:rPr>
        <w:rFonts w:hint="default"/>
        <w:lang w:val="es-ES" w:eastAsia="es-ES" w:bidi="es-ES"/>
      </w:rPr>
    </w:lvl>
    <w:lvl w:ilvl="8">
      <w:start w:val="0"/>
      <w:numFmt w:val="bullet"/>
      <w:lvlText w:val="•"/>
      <w:lvlJc w:val="left"/>
      <w:pPr>
        <w:ind w:left="4469" w:hanging="202"/>
      </w:pPr>
      <w:rPr>
        <w:rFonts w:hint="default"/>
        <w:lang w:val="es-ES" w:eastAsia="es-ES" w:bidi="es-ES"/>
      </w:rPr>
    </w:lvl>
  </w:abstractNum>
  <w:abstractNum w:abstractNumId="130">
    <w:multiLevelType w:val="hybridMultilevel"/>
    <w:lvl w:ilvl="0">
      <w:start w:val="5"/>
      <w:numFmt w:val="upperRoman"/>
      <w:lvlText w:val="%1."/>
      <w:lvlJc w:val="left"/>
      <w:pPr>
        <w:ind w:left="150" w:hanging="262"/>
        <w:jc w:val="left"/>
      </w:pPr>
      <w:rPr>
        <w:rFonts w:hint="default" w:ascii="Arial" w:hAnsi="Arial" w:eastAsia="Arial" w:cs="Arial"/>
        <w:spacing w:val="-15"/>
        <w:w w:val="102"/>
        <w:sz w:val="15"/>
        <w:szCs w:val="15"/>
        <w:lang w:val="es-ES" w:eastAsia="es-ES" w:bidi="es-ES"/>
      </w:rPr>
    </w:lvl>
    <w:lvl w:ilvl="1">
      <w:start w:val="0"/>
      <w:numFmt w:val="bullet"/>
      <w:lvlText w:val="•"/>
      <w:lvlJc w:val="left"/>
      <w:pPr>
        <w:ind w:left="698" w:hanging="262"/>
      </w:pPr>
      <w:rPr>
        <w:rFonts w:hint="default"/>
        <w:lang w:val="es-ES" w:eastAsia="es-ES" w:bidi="es-ES"/>
      </w:rPr>
    </w:lvl>
    <w:lvl w:ilvl="2">
      <w:start w:val="0"/>
      <w:numFmt w:val="bullet"/>
      <w:lvlText w:val="•"/>
      <w:lvlJc w:val="left"/>
      <w:pPr>
        <w:ind w:left="1237" w:hanging="262"/>
      </w:pPr>
      <w:rPr>
        <w:rFonts w:hint="default"/>
        <w:lang w:val="es-ES" w:eastAsia="es-ES" w:bidi="es-ES"/>
      </w:rPr>
    </w:lvl>
    <w:lvl w:ilvl="3">
      <w:start w:val="0"/>
      <w:numFmt w:val="bullet"/>
      <w:lvlText w:val="•"/>
      <w:lvlJc w:val="left"/>
      <w:pPr>
        <w:ind w:left="1776" w:hanging="262"/>
      </w:pPr>
      <w:rPr>
        <w:rFonts w:hint="default"/>
        <w:lang w:val="es-ES" w:eastAsia="es-ES" w:bidi="es-ES"/>
      </w:rPr>
    </w:lvl>
    <w:lvl w:ilvl="4">
      <w:start w:val="0"/>
      <w:numFmt w:val="bullet"/>
      <w:lvlText w:val="•"/>
      <w:lvlJc w:val="left"/>
      <w:pPr>
        <w:ind w:left="2314" w:hanging="262"/>
      </w:pPr>
      <w:rPr>
        <w:rFonts w:hint="default"/>
        <w:lang w:val="es-ES" w:eastAsia="es-ES" w:bidi="es-ES"/>
      </w:rPr>
    </w:lvl>
    <w:lvl w:ilvl="5">
      <w:start w:val="0"/>
      <w:numFmt w:val="bullet"/>
      <w:lvlText w:val="•"/>
      <w:lvlJc w:val="left"/>
      <w:pPr>
        <w:ind w:left="2853" w:hanging="262"/>
      </w:pPr>
      <w:rPr>
        <w:rFonts w:hint="default"/>
        <w:lang w:val="es-ES" w:eastAsia="es-ES" w:bidi="es-ES"/>
      </w:rPr>
    </w:lvl>
    <w:lvl w:ilvl="6">
      <w:start w:val="0"/>
      <w:numFmt w:val="bullet"/>
      <w:lvlText w:val="•"/>
      <w:lvlJc w:val="left"/>
      <w:pPr>
        <w:ind w:left="3392" w:hanging="262"/>
      </w:pPr>
      <w:rPr>
        <w:rFonts w:hint="default"/>
        <w:lang w:val="es-ES" w:eastAsia="es-ES" w:bidi="es-ES"/>
      </w:rPr>
    </w:lvl>
    <w:lvl w:ilvl="7">
      <w:start w:val="0"/>
      <w:numFmt w:val="bullet"/>
      <w:lvlText w:val="•"/>
      <w:lvlJc w:val="left"/>
      <w:pPr>
        <w:ind w:left="3931" w:hanging="262"/>
      </w:pPr>
      <w:rPr>
        <w:rFonts w:hint="default"/>
        <w:lang w:val="es-ES" w:eastAsia="es-ES" w:bidi="es-ES"/>
      </w:rPr>
    </w:lvl>
    <w:lvl w:ilvl="8">
      <w:start w:val="0"/>
      <w:numFmt w:val="bullet"/>
      <w:lvlText w:val="•"/>
      <w:lvlJc w:val="left"/>
      <w:pPr>
        <w:ind w:left="4469" w:hanging="262"/>
      </w:pPr>
      <w:rPr>
        <w:rFonts w:hint="default"/>
        <w:lang w:val="es-ES" w:eastAsia="es-ES" w:bidi="es-ES"/>
      </w:rPr>
    </w:lvl>
  </w:abstractNum>
  <w:abstractNum w:abstractNumId="129">
    <w:multiLevelType w:val="hybridMultilevel"/>
    <w:lvl w:ilvl="0">
      <w:start w:val="6"/>
      <w:numFmt w:val="lowerLetter"/>
      <w:lvlText w:val="%1)"/>
      <w:lvlJc w:val="left"/>
      <w:pPr>
        <w:ind w:left="288" w:hanging="138"/>
        <w:jc w:val="left"/>
      </w:pPr>
      <w:rPr>
        <w:rFonts w:hint="default" w:ascii="Arial" w:hAnsi="Arial" w:eastAsia="Arial" w:cs="Arial"/>
        <w:w w:val="102"/>
        <w:sz w:val="15"/>
        <w:szCs w:val="15"/>
        <w:lang w:val="es-ES" w:eastAsia="es-ES" w:bidi="es-ES"/>
      </w:rPr>
    </w:lvl>
    <w:lvl w:ilvl="1">
      <w:start w:val="1"/>
      <w:numFmt w:val="lowerRoman"/>
      <w:lvlText w:val="%2)"/>
      <w:lvlJc w:val="left"/>
      <w:pPr>
        <w:ind w:left="12298" w:hanging="129"/>
        <w:jc w:val="left"/>
      </w:pPr>
      <w:rPr>
        <w:rFonts w:hint="default" w:ascii="Arial" w:hAnsi="Arial" w:eastAsia="Arial" w:cs="Arial"/>
        <w:w w:val="102"/>
        <w:sz w:val="15"/>
        <w:szCs w:val="15"/>
        <w:lang w:val="es-ES" w:eastAsia="es-ES" w:bidi="es-ES"/>
      </w:rPr>
    </w:lvl>
    <w:lvl w:ilvl="2">
      <w:start w:val="0"/>
      <w:numFmt w:val="bullet"/>
      <w:lvlText w:val="•"/>
      <w:lvlJc w:val="left"/>
      <w:pPr>
        <w:ind w:left="11802" w:hanging="129"/>
      </w:pPr>
      <w:rPr>
        <w:rFonts w:hint="default"/>
        <w:lang w:val="es-ES" w:eastAsia="es-ES" w:bidi="es-ES"/>
      </w:rPr>
    </w:lvl>
    <w:lvl w:ilvl="3">
      <w:start w:val="0"/>
      <w:numFmt w:val="bullet"/>
      <w:lvlText w:val="•"/>
      <w:lvlJc w:val="left"/>
      <w:pPr>
        <w:ind w:left="11305" w:hanging="129"/>
      </w:pPr>
      <w:rPr>
        <w:rFonts w:hint="default"/>
        <w:lang w:val="es-ES" w:eastAsia="es-ES" w:bidi="es-ES"/>
      </w:rPr>
    </w:lvl>
    <w:lvl w:ilvl="4">
      <w:start w:val="0"/>
      <w:numFmt w:val="bullet"/>
      <w:lvlText w:val="•"/>
      <w:lvlJc w:val="left"/>
      <w:pPr>
        <w:ind w:left="10808" w:hanging="129"/>
      </w:pPr>
      <w:rPr>
        <w:rFonts w:hint="default"/>
        <w:lang w:val="es-ES" w:eastAsia="es-ES" w:bidi="es-ES"/>
      </w:rPr>
    </w:lvl>
    <w:lvl w:ilvl="5">
      <w:start w:val="0"/>
      <w:numFmt w:val="bullet"/>
      <w:lvlText w:val="•"/>
      <w:lvlJc w:val="left"/>
      <w:pPr>
        <w:ind w:left="10311" w:hanging="129"/>
      </w:pPr>
      <w:rPr>
        <w:rFonts w:hint="default"/>
        <w:lang w:val="es-ES" w:eastAsia="es-ES" w:bidi="es-ES"/>
      </w:rPr>
    </w:lvl>
    <w:lvl w:ilvl="6">
      <w:start w:val="0"/>
      <w:numFmt w:val="bullet"/>
      <w:lvlText w:val="•"/>
      <w:lvlJc w:val="left"/>
      <w:pPr>
        <w:ind w:left="9813" w:hanging="129"/>
      </w:pPr>
      <w:rPr>
        <w:rFonts w:hint="default"/>
        <w:lang w:val="es-ES" w:eastAsia="es-ES" w:bidi="es-ES"/>
      </w:rPr>
    </w:lvl>
    <w:lvl w:ilvl="7">
      <w:start w:val="0"/>
      <w:numFmt w:val="bullet"/>
      <w:lvlText w:val="•"/>
      <w:lvlJc w:val="left"/>
      <w:pPr>
        <w:ind w:left="9316" w:hanging="129"/>
      </w:pPr>
      <w:rPr>
        <w:rFonts w:hint="default"/>
        <w:lang w:val="es-ES" w:eastAsia="es-ES" w:bidi="es-ES"/>
      </w:rPr>
    </w:lvl>
    <w:lvl w:ilvl="8">
      <w:start w:val="0"/>
      <w:numFmt w:val="bullet"/>
      <w:lvlText w:val="•"/>
      <w:lvlJc w:val="left"/>
      <w:pPr>
        <w:ind w:left="8819" w:hanging="129"/>
      </w:pPr>
      <w:rPr>
        <w:rFonts w:hint="default"/>
        <w:lang w:val="es-ES" w:eastAsia="es-ES" w:bidi="es-ES"/>
      </w:rPr>
    </w:lvl>
  </w:abstractNum>
  <w:abstractNum w:abstractNumId="128">
    <w:multiLevelType w:val="hybridMultilevel"/>
    <w:lvl w:ilvl="0">
      <w:start w:val="1"/>
      <w:numFmt w:val="decimal"/>
      <w:lvlText w:val="%1."/>
      <w:lvlJc w:val="left"/>
      <w:pPr>
        <w:ind w:left="719" w:hanging="172"/>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72"/>
      </w:pPr>
      <w:rPr>
        <w:rFonts w:hint="default"/>
        <w:lang w:val="es-ES" w:eastAsia="es-ES" w:bidi="es-ES"/>
      </w:rPr>
    </w:lvl>
    <w:lvl w:ilvl="2">
      <w:start w:val="0"/>
      <w:numFmt w:val="bullet"/>
      <w:lvlText w:val="•"/>
      <w:lvlJc w:val="left"/>
      <w:pPr>
        <w:ind w:left="2220" w:hanging="172"/>
      </w:pPr>
      <w:rPr>
        <w:rFonts w:hint="default"/>
        <w:lang w:val="es-ES" w:eastAsia="es-ES" w:bidi="es-ES"/>
      </w:rPr>
    </w:lvl>
    <w:lvl w:ilvl="3">
      <w:start w:val="0"/>
      <w:numFmt w:val="bullet"/>
      <w:lvlText w:val="•"/>
      <w:lvlJc w:val="left"/>
      <w:pPr>
        <w:ind w:left="2970" w:hanging="172"/>
      </w:pPr>
      <w:rPr>
        <w:rFonts w:hint="default"/>
        <w:lang w:val="es-ES" w:eastAsia="es-ES" w:bidi="es-ES"/>
      </w:rPr>
    </w:lvl>
    <w:lvl w:ilvl="4">
      <w:start w:val="0"/>
      <w:numFmt w:val="bullet"/>
      <w:lvlText w:val="•"/>
      <w:lvlJc w:val="left"/>
      <w:pPr>
        <w:ind w:left="3720" w:hanging="172"/>
      </w:pPr>
      <w:rPr>
        <w:rFonts w:hint="default"/>
        <w:lang w:val="es-ES" w:eastAsia="es-ES" w:bidi="es-ES"/>
      </w:rPr>
    </w:lvl>
    <w:lvl w:ilvl="5">
      <w:start w:val="0"/>
      <w:numFmt w:val="bullet"/>
      <w:lvlText w:val="•"/>
      <w:lvlJc w:val="left"/>
      <w:pPr>
        <w:ind w:left="4471" w:hanging="172"/>
      </w:pPr>
      <w:rPr>
        <w:rFonts w:hint="default"/>
        <w:lang w:val="es-ES" w:eastAsia="es-ES" w:bidi="es-ES"/>
      </w:rPr>
    </w:lvl>
    <w:lvl w:ilvl="6">
      <w:start w:val="0"/>
      <w:numFmt w:val="bullet"/>
      <w:lvlText w:val="•"/>
      <w:lvlJc w:val="left"/>
      <w:pPr>
        <w:ind w:left="5221" w:hanging="172"/>
      </w:pPr>
      <w:rPr>
        <w:rFonts w:hint="default"/>
        <w:lang w:val="es-ES" w:eastAsia="es-ES" w:bidi="es-ES"/>
      </w:rPr>
    </w:lvl>
    <w:lvl w:ilvl="7">
      <w:start w:val="0"/>
      <w:numFmt w:val="bullet"/>
      <w:lvlText w:val="•"/>
      <w:lvlJc w:val="left"/>
      <w:pPr>
        <w:ind w:left="5971" w:hanging="172"/>
      </w:pPr>
      <w:rPr>
        <w:rFonts w:hint="default"/>
        <w:lang w:val="es-ES" w:eastAsia="es-ES" w:bidi="es-ES"/>
      </w:rPr>
    </w:lvl>
    <w:lvl w:ilvl="8">
      <w:start w:val="0"/>
      <w:numFmt w:val="bullet"/>
      <w:lvlText w:val="•"/>
      <w:lvlJc w:val="left"/>
      <w:pPr>
        <w:ind w:left="6721" w:hanging="172"/>
      </w:pPr>
      <w:rPr>
        <w:rFonts w:hint="default"/>
        <w:lang w:val="es-ES" w:eastAsia="es-ES" w:bidi="es-ES"/>
      </w:rPr>
    </w:lvl>
  </w:abstractNum>
  <w:abstractNum w:abstractNumId="127">
    <w:multiLevelType w:val="hybridMultilevel"/>
    <w:lvl w:ilvl="0">
      <w:start w:val="1"/>
      <w:numFmt w:val="lowerLetter"/>
      <w:lvlText w:val="%1)"/>
      <w:lvlJc w:val="left"/>
      <w:pPr>
        <w:ind w:left="728" w:hanging="180"/>
        <w:jc w:val="right"/>
      </w:pPr>
      <w:rPr>
        <w:rFonts w:hint="default" w:ascii="Arial" w:hAnsi="Arial" w:eastAsia="Arial" w:cs="Arial"/>
        <w:w w:val="102"/>
        <w:sz w:val="15"/>
        <w:szCs w:val="15"/>
        <w:lang w:val="es-ES" w:eastAsia="es-ES" w:bidi="es-ES"/>
      </w:rPr>
    </w:lvl>
    <w:lvl w:ilvl="1">
      <w:start w:val="1"/>
      <w:numFmt w:val="upperRoman"/>
      <w:lvlText w:val="%2."/>
      <w:lvlJc w:val="left"/>
      <w:pPr>
        <w:ind w:left="151" w:hanging="145"/>
        <w:jc w:val="left"/>
      </w:pPr>
      <w:rPr>
        <w:rFonts w:hint="default" w:ascii="Arial" w:hAnsi="Arial" w:eastAsia="Arial" w:cs="Arial"/>
        <w:w w:val="102"/>
        <w:sz w:val="15"/>
        <w:szCs w:val="15"/>
        <w:lang w:val="es-ES" w:eastAsia="es-ES" w:bidi="es-ES"/>
      </w:rPr>
    </w:lvl>
    <w:lvl w:ilvl="2">
      <w:start w:val="0"/>
      <w:numFmt w:val="bullet"/>
      <w:lvlText w:val="•"/>
      <w:lvlJc w:val="left"/>
      <w:pPr>
        <w:ind w:left="209" w:hanging="145"/>
      </w:pPr>
      <w:rPr>
        <w:rFonts w:hint="default"/>
        <w:lang w:val="es-ES" w:eastAsia="es-ES" w:bidi="es-ES"/>
      </w:rPr>
    </w:lvl>
    <w:lvl w:ilvl="3">
      <w:start w:val="0"/>
      <w:numFmt w:val="bullet"/>
      <w:lvlText w:val="•"/>
      <w:lvlJc w:val="left"/>
      <w:pPr>
        <w:ind w:left="-301" w:hanging="145"/>
      </w:pPr>
      <w:rPr>
        <w:rFonts w:hint="default"/>
        <w:lang w:val="es-ES" w:eastAsia="es-ES" w:bidi="es-ES"/>
      </w:rPr>
    </w:lvl>
    <w:lvl w:ilvl="4">
      <w:start w:val="0"/>
      <w:numFmt w:val="bullet"/>
      <w:lvlText w:val="•"/>
      <w:lvlJc w:val="left"/>
      <w:pPr>
        <w:ind w:left="-811" w:hanging="145"/>
      </w:pPr>
      <w:rPr>
        <w:rFonts w:hint="default"/>
        <w:lang w:val="es-ES" w:eastAsia="es-ES" w:bidi="es-ES"/>
      </w:rPr>
    </w:lvl>
    <w:lvl w:ilvl="5">
      <w:start w:val="0"/>
      <w:numFmt w:val="bullet"/>
      <w:lvlText w:val="•"/>
      <w:lvlJc w:val="left"/>
      <w:pPr>
        <w:ind w:left="-1322" w:hanging="145"/>
      </w:pPr>
      <w:rPr>
        <w:rFonts w:hint="default"/>
        <w:lang w:val="es-ES" w:eastAsia="es-ES" w:bidi="es-ES"/>
      </w:rPr>
    </w:lvl>
    <w:lvl w:ilvl="6">
      <w:start w:val="0"/>
      <w:numFmt w:val="bullet"/>
      <w:lvlText w:val="•"/>
      <w:lvlJc w:val="left"/>
      <w:pPr>
        <w:ind w:left="-1832" w:hanging="145"/>
      </w:pPr>
      <w:rPr>
        <w:rFonts w:hint="default"/>
        <w:lang w:val="es-ES" w:eastAsia="es-ES" w:bidi="es-ES"/>
      </w:rPr>
    </w:lvl>
    <w:lvl w:ilvl="7">
      <w:start w:val="0"/>
      <w:numFmt w:val="bullet"/>
      <w:lvlText w:val="•"/>
      <w:lvlJc w:val="left"/>
      <w:pPr>
        <w:ind w:left="-2342" w:hanging="145"/>
      </w:pPr>
      <w:rPr>
        <w:rFonts w:hint="default"/>
        <w:lang w:val="es-ES" w:eastAsia="es-ES" w:bidi="es-ES"/>
      </w:rPr>
    </w:lvl>
    <w:lvl w:ilvl="8">
      <w:start w:val="0"/>
      <w:numFmt w:val="bullet"/>
      <w:lvlText w:val="•"/>
      <w:lvlJc w:val="left"/>
      <w:pPr>
        <w:ind w:left="-2852" w:hanging="145"/>
      </w:pPr>
      <w:rPr>
        <w:rFonts w:hint="default"/>
        <w:lang w:val="es-ES" w:eastAsia="es-ES" w:bidi="es-ES"/>
      </w:rPr>
    </w:lvl>
  </w:abstractNum>
  <w:abstractNum w:abstractNumId="126">
    <w:multiLevelType w:val="hybridMultilevel"/>
    <w:lvl w:ilvl="0">
      <w:start w:val="1"/>
      <w:numFmt w:val="lowerLetter"/>
      <w:lvlText w:val="%1)"/>
      <w:lvlJc w:val="left"/>
      <w:pPr>
        <w:ind w:left="151" w:hanging="188"/>
        <w:jc w:val="left"/>
      </w:pPr>
      <w:rPr>
        <w:rFonts w:hint="default" w:ascii="Arial" w:hAnsi="Arial" w:eastAsia="Arial" w:cs="Arial"/>
        <w:w w:val="102"/>
        <w:sz w:val="15"/>
        <w:szCs w:val="15"/>
        <w:lang w:val="es-ES" w:eastAsia="es-ES" w:bidi="es-ES"/>
      </w:rPr>
    </w:lvl>
    <w:lvl w:ilvl="1">
      <w:start w:val="1"/>
      <w:numFmt w:val="decimal"/>
      <w:lvlText w:val="%2."/>
      <w:lvlJc w:val="left"/>
      <w:pPr>
        <w:ind w:left="819" w:hanging="172"/>
        <w:jc w:val="left"/>
      </w:pPr>
      <w:rPr>
        <w:rFonts w:hint="default" w:ascii="Arial" w:hAnsi="Arial" w:eastAsia="Arial" w:cs="Arial"/>
        <w:w w:val="102"/>
        <w:sz w:val="15"/>
        <w:szCs w:val="15"/>
        <w:lang w:val="es-ES" w:eastAsia="es-ES" w:bidi="es-ES"/>
      </w:rPr>
    </w:lvl>
    <w:lvl w:ilvl="2">
      <w:start w:val="0"/>
      <w:numFmt w:val="bullet"/>
      <w:lvlText w:val="•"/>
      <w:lvlJc w:val="left"/>
      <w:pPr>
        <w:ind w:left="298" w:hanging="172"/>
      </w:pPr>
      <w:rPr>
        <w:rFonts w:hint="default"/>
        <w:lang w:val="es-ES" w:eastAsia="es-ES" w:bidi="es-ES"/>
      </w:rPr>
    </w:lvl>
    <w:lvl w:ilvl="3">
      <w:start w:val="0"/>
      <w:numFmt w:val="bullet"/>
      <w:lvlText w:val="•"/>
      <w:lvlJc w:val="left"/>
      <w:pPr>
        <w:ind w:left="-223" w:hanging="172"/>
      </w:pPr>
      <w:rPr>
        <w:rFonts w:hint="default"/>
        <w:lang w:val="es-ES" w:eastAsia="es-ES" w:bidi="es-ES"/>
      </w:rPr>
    </w:lvl>
    <w:lvl w:ilvl="4">
      <w:start w:val="0"/>
      <w:numFmt w:val="bullet"/>
      <w:lvlText w:val="•"/>
      <w:lvlJc w:val="left"/>
      <w:pPr>
        <w:ind w:left="-745" w:hanging="172"/>
      </w:pPr>
      <w:rPr>
        <w:rFonts w:hint="default"/>
        <w:lang w:val="es-ES" w:eastAsia="es-ES" w:bidi="es-ES"/>
      </w:rPr>
    </w:lvl>
    <w:lvl w:ilvl="5">
      <w:start w:val="0"/>
      <w:numFmt w:val="bullet"/>
      <w:lvlText w:val="•"/>
      <w:lvlJc w:val="left"/>
      <w:pPr>
        <w:ind w:left="-1266" w:hanging="172"/>
      </w:pPr>
      <w:rPr>
        <w:rFonts w:hint="default"/>
        <w:lang w:val="es-ES" w:eastAsia="es-ES" w:bidi="es-ES"/>
      </w:rPr>
    </w:lvl>
    <w:lvl w:ilvl="6">
      <w:start w:val="0"/>
      <w:numFmt w:val="bullet"/>
      <w:lvlText w:val="•"/>
      <w:lvlJc w:val="left"/>
      <w:pPr>
        <w:ind w:left="-1787" w:hanging="172"/>
      </w:pPr>
      <w:rPr>
        <w:rFonts w:hint="default"/>
        <w:lang w:val="es-ES" w:eastAsia="es-ES" w:bidi="es-ES"/>
      </w:rPr>
    </w:lvl>
    <w:lvl w:ilvl="7">
      <w:start w:val="0"/>
      <w:numFmt w:val="bullet"/>
      <w:lvlText w:val="•"/>
      <w:lvlJc w:val="left"/>
      <w:pPr>
        <w:ind w:left="-2309" w:hanging="172"/>
      </w:pPr>
      <w:rPr>
        <w:rFonts w:hint="default"/>
        <w:lang w:val="es-ES" w:eastAsia="es-ES" w:bidi="es-ES"/>
      </w:rPr>
    </w:lvl>
    <w:lvl w:ilvl="8">
      <w:start w:val="0"/>
      <w:numFmt w:val="bullet"/>
      <w:lvlText w:val="•"/>
      <w:lvlJc w:val="left"/>
      <w:pPr>
        <w:ind w:left="-2830" w:hanging="172"/>
      </w:pPr>
      <w:rPr>
        <w:rFonts w:hint="default"/>
        <w:lang w:val="es-ES" w:eastAsia="es-ES" w:bidi="es-ES"/>
      </w:rPr>
    </w:lvl>
  </w:abstractNum>
  <w:abstractNum w:abstractNumId="125">
    <w:multiLevelType w:val="hybridMultilevel"/>
    <w:lvl w:ilvl="0">
      <w:start w:val="1"/>
      <w:numFmt w:val="lowerLetter"/>
      <w:lvlText w:val="%1)"/>
      <w:lvlJc w:val="left"/>
      <w:pPr>
        <w:ind w:left="775" w:hanging="229"/>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1524" w:hanging="229"/>
      </w:pPr>
      <w:rPr>
        <w:rFonts w:hint="default"/>
        <w:lang w:val="es-ES" w:eastAsia="es-ES" w:bidi="es-ES"/>
      </w:rPr>
    </w:lvl>
    <w:lvl w:ilvl="2">
      <w:start w:val="0"/>
      <w:numFmt w:val="bullet"/>
      <w:lvlText w:val="•"/>
      <w:lvlJc w:val="left"/>
      <w:pPr>
        <w:ind w:left="2268" w:hanging="229"/>
      </w:pPr>
      <w:rPr>
        <w:rFonts w:hint="default"/>
        <w:lang w:val="es-ES" w:eastAsia="es-ES" w:bidi="es-ES"/>
      </w:rPr>
    </w:lvl>
    <w:lvl w:ilvl="3">
      <w:start w:val="0"/>
      <w:numFmt w:val="bullet"/>
      <w:lvlText w:val="•"/>
      <w:lvlJc w:val="left"/>
      <w:pPr>
        <w:ind w:left="3012" w:hanging="229"/>
      </w:pPr>
      <w:rPr>
        <w:rFonts w:hint="default"/>
        <w:lang w:val="es-ES" w:eastAsia="es-ES" w:bidi="es-ES"/>
      </w:rPr>
    </w:lvl>
    <w:lvl w:ilvl="4">
      <w:start w:val="0"/>
      <w:numFmt w:val="bullet"/>
      <w:lvlText w:val="•"/>
      <w:lvlJc w:val="left"/>
      <w:pPr>
        <w:ind w:left="3756" w:hanging="229"/>
      </w:pPr>
      <w:rPr>
        <w:rFonts w:hint="default"/>
        <w:lang w:val="es-ES" w:eastAsia="es-ES" w:bidi="es-ES"/>
      </w:rPr>
    </w:lvl>
    <w:lvl w:ilvl="5">
      <w:start w:val="0"/>
      <w:numFmt w:val="bullet"/>
      <w:lvlText w:val="•"/>
      <w:lvlJc w:val="left"/>
      <w:pPr>
        <w:ind w:left="4500" w:hanging="229"/>
      </w:pPr>
      <w:rPr>
        <w:rFonts w:hint="default"/>
        <w:lang w:val="es-ES" w:eastAsia="es-ES" w:bidi="es-ES"/>
      </w:rPr>
    </w:lvl>
    <w:lvl w:ilvl="6">
      <w:start w:val="0"/>
      <w:numFmt w:val="bullet"/>
      <w:lvlText w:val="•"/>
      <w:lvlJc w:val="left"/>
      <w:pPr>
        <w:ind w:left="5244" w:hanging="229"/>
      </w:pPr>
      <w:rPr>
        <w:rFonts w:hint="default"/>
        <w:lang w:val="es-ES" w:eastAsia="es-ES" w:bidi="es-ES"/>
      </w:rPr>
    </w:lvl>
    <w:lvl w:ilvl="7">
      <w:start w:val="0"/>
      <w:numFmt w:val="bullet"/>
      <w:lvlText w:val="•"/>
      <w:lvlJc w:val="left"/>
      <w:pPr>
        <w:ind w:left="5989" w:hanging="229"/>
      </w:pPr>
      <w:rPr>
        <w:rFonts w:hint="default"/>
        <w:lang w:val="es-ES" w:eastAsia="es-ES" w:bidi="es-ES"/>
      </w:rPr>
    </w:lvl>
    <w:lvl w:ilvl="8">
      <w:start w:val="0"/>
      <w:numFmt w:val="bullet"/>
      <w:lvlText w:val="•"/>
      <w:lvlJc w:val="left"/>
      <w:pPr>
        <w:ind w:left="6733" w:hanging="229"/>
      </w:pPr>
      <w:rPr>
        <w:rFonts w:hint="default"/>
        <w:lang w:val="es-ES" w:eastAsia="es-ES" w:bidi="es-ES"/>
      </w:rPr>
    </w:lvl>
  </w:abstractNum>
  <w:abstractNum w:abstractNumId="124">
    <w:multiLevelType w:val="hybridMultilevel"/>
    <w:lvl w:ilvl="0">
      <w:start w:val="5"/>
      <w:numFmt w:val="upperRoman"/>
      <w:lvlText w:val="%1."/>
      <w:lvlJc w:val="left"/>
      <w:pPr>
        <w:ind w:left="151" w:hanging="186"/>
        <w:jc w:val="left"/>
      </w:pPr>
      <w:rPr>
        <w:rFonts w:hint="default" w:ascii="Arial" w:hAnsi="Arial" w:eastAsia="Arial" w:cs="Arial"/>
        <w:spacing w:val="-15"/>
        <w:w w:val="102"/>
        <w:sz w:val="15"/>
        <w:szCs w:val="15"/>
        <w:lang w:val="es-ES" w:eastAsia="es-ES" w:bidi="es-ES"/>
      </w:rPr>
    </w:lvl>
    <w:lvl w:ilvl="1">
      <w:start w:val="0"/>
      <w:numFmt w:val="bullet"/>
      <w:lvlText w:val="•"/>
      <w:lvlJc w:val="left"/>
      <w:pPr>
        <w:ind w:left="966" w:hanging="186"/>
      </w:pPr>
      <w:rPr>
        <w:rFonts w:hint="default"/>
        <w:lang w:val="es-ES" w:eastAsia="es-ES" w:bidi="es-ES"/>
      </w:rPr>
    </w:lvl>
    <w:lvl w:ilvl="2">
      <w:start w:val="0"/>
      <w:numFmt w:val="bullet"/>
      <w:lvlText w:val="•"/>
      <w:lvlJc w:val="left"/>
      <w:pPr>
        <w:ind w:left="1772" w:hanging="186"/>
      </w:pPr>
      <w:rPr>
        <w:rFonts w:hint="default"/>
        <w:lang w:val="es-ES" w:eastAsia="es-ES" w:bidi="es-ES"/>
      </w:rPr>
    </w:lvl>
    <w:lvl w:ilvl="3">
      <w:start w:val="0"/>
      <w:numFmt w:val="bullet"/>
      <w:lvlText w:val="•"/>
      <w:lvlJc w:val="left"/>
      <w:pPr>
        <w:ind w:left="2578" w:hanging="186"/>
      </w:pPr>
      <w:rPr>
        <w:rFonts w:hint="default"/>
        <w:lang w:val="es-ES" w:eastAsia="es-ES" w:bidi="es-ES"/>
      </w:rPr>
    </w:lvl>
    <w:lvl w:ilvl="4">
      <w:start w:val="0"/>
      <w:numFmt w:val="bullet"/>
      <w:lvlText w:val="•"/>
      <w:lvlJc w:val="left"/>
      <w:pPr>
        <w:ind w:left="3384" w:hanging="186"/>
      </w:pPr>
      <w:rPr>
        <w:rFonts w:hint="default"/>
        <w:lang w:val="es-ES" w:eastAsia="es-ES" w:bidi="es-ES"/>
      </w:rPr>
    </w:lvl>
    <w:lvl w:ilvl="5">
      <w:start w:val="0"/>
      <w:numFmt w:val="bullet"/>
      <w:lvlText w:val="•"/>
      <w:lvlJc w:val="left"/>
      <w:pPr>
        <w:ind w:left="4190" w:hanging="186"/>
      </w:pPr>
      <w:rPr>
        <w:rFonts w:hint="default"/>
        <w:lang w:val="es-ES" w:eastAsia="es-ES" w:bidi="es-ES"/>
      </w:rPr>
    </w:lvl>
    <w:lvl w:ilvl="6">
      <w:start w:val="0"/>
      <w:numFmt w:val="bullet"/>
      <w:lvlText w:val="•"/>
      <w:lvlJc w:val="left"/>
      <w:pPr>
        <w:ind w:left="4996" w:hanging="186"/>
      </w:pPr>
      <w:rPr>
        <w:rFonts w:hint="default"/>
        <w:lang w:val="es-ES" w:eastAsia="es-ES" w:bidi="es-ES"/>
      </w:rPr>
    </w:lvl>
    <w:lvl w:ilvl="7">
      <w:start w:val="0"/>
      <w:numFmt w:val="bullet"/>
      <w:lvlText w:val="•"/>
      <w:lvlJc w:val="left"/>
      <w:pPr>
        <w:ind w:left="5803" w:hanging="186"/>
      </w:pPr>
      <w:rPr>
        <w:rFonts w:hint="default"/>
        <w:lang w:val="es-ES" w:eastAsia="es-ES" w:bidi="es-ES"/>
      </w:rPr>
    </w:lvl>
    <w:lvl w:ilvl="8">
      <w:start w:val="0"/>
      <w:numFmt w:val="bullet"/>
      <w:lvlText w:val="•"/>
      <w:lvlJc w:val="left"/>
      <w:pPr>
        <w:ind w:left="6609" w:hanging="186"/>
      </w:pPr>
      <w:rPr>
        <w:rFonts w:hint="default"/>
        <w:lang w:val="es-ES" w:eastAsia="es-ES" w:bidi="es-ES"/>
      </w:rPr>
    </w:lvl>
  </w:abstractNum>
  <w:abstractNum w:abstractNumId="123">
    <w:multiLevelType w:val="hybridMultilevel"/>
    <w:lvl w:ilvl="0">
      <w:start w:val="6"/>
      <w:numFmt w:val="upperRoman"/>
      <w:lvlText w:val="%1."/>
      <w:lvlJc w:val="left"/>
      <w:pPr>
        <w:ind w:left="170" w:hanging="267"/>
        <w:jc w:val="left"/>
      </w:pPr>
      <w:rPr>
        <w:rFonts w:hint="default" w:ascii="Arial" w:hAnsi="Arial" w:eastAsia="Arial" w:cs="Arial"/>
        <w:w w:val="102"/>
        <w:sz w:val="15"/>
        <w:szCs w:val="15"/>
        <w:lang w:val="es-ES" w:eastAsia="es-ES" w:bidi="es-ES"/>
      </w:rPr>
    </w:lvl>
    <w:lvl w:ilvl="1">
      <w:start w:val="0"/>
      <w:numFmt w:val="bullet"/>
      <w:lvlText w:val="•"/>
      <w:lvlJc w:val="left"/>
      <w:pPr>
        <w:ind w:left="937" w:hanging="267"/>
      </w:pPr>
      <w:rPr>
        <w:rFonts w:hint="default"/>
        <w:lang w:val="es-ES" w:eastAsia="es-ES" w:bidi="es-ES"/>
      </w:rPr>
    </w:lvl>
    <w:lvl w:ilvl="2">
      <w:start w:val="0"/>
      <w:numFmt w:val="bullet"/>
      <w:lvlText w:val="•"/>
      <w:lvlJc w:val="left"/>
      <w:pPr>
        <w:ind w:left="1694" w:hanging="267"/>
      </w:pPr>
      <w:rPr>
        <w:rFonts w:hint="default"/>
        <w:lang w:val="es-ES" w:eastAsia="es-ES" w:bidi="es-ES"/>
      </w:rPr>
    </w:lvl>
    <w:lvl w:ilvl="3">
      <w:start w:val="0"/>
      <w:numFmt w:val="bullet"/>
      <w:lvlText w:val="•"/>
      <w:lvlJc w:val="left"/>
      <w:pPr>
        <w:ind w:left="2451" w:hanging="267"/>
      </w:pPr>
      <w:rPr>
        <w:rFonts w:hint="default"/>
        <w:lang w:val="es-ES" w:eastAsia="es-ES" w:bidi="es-ES"/>
      </w:rPr>
    </w:lvl>
    <w:lvl w:ilvl="4">
      <w:start w:val="0"/>
      <w:numFmt w:val="bullet"/>
      <w:lvlText w:val="•"/>
      <w:lvlJc w:val="left"/>
      <w:pPr>
        <w:ind w:left="3208" w:hanging="267"/>
      </w:pPr>
      <w:rPr>
        <w:rFonts w:hint="default"/>
        <w:lang w:val="es-ES" w:eastAsia="es-ES" w:bidi="es-ES"/>
      </w:rPr>
    </w:lvl>
    <w:lvl w:ilvl="5">
      <w:start w:val="0"/>
      <w:numFmt w:val="bullet"/>
      <w:lvlText w:val="•"/>
      <w:lvlJc w:val="left"/>
      <w:pPr>
        <w:ind w:left="3965" w:hanging="267"/>
      </w:pPr>
      <w:rPr>
        <w:rFonts w:hint="default"/>
        <w:lang w:val="es-ES" w:eastAsia="es-ES" w:bidi="es-ES"/>
      </w:rPr>
    </w:lvl>
    <w:lvl w:ilvl="6">
      <w:start w:val="0"/>
      <w:numFmt w:val="bullet"/>
      <w:lvlText w:val="•"/>
      <w:lvlJc w:val="left"/>
      <w:pPr>
        <w:ind w:left="4722" w:hanging="267"/>
      </w:pPr>
      <w:rPr>
        <w:rFonts w:hint="default"/>
        <w:lang w:val="es-ES" w:eastAsia="es-ES" w:bidi="es-ES"/>
      </w:rPr>
    </w:lvl>
    <w:lvl w:ilvl="7">
      <w:start w:val="0"/>
      <w:numFmt w:val="bullet"/>
      <w:lvlText w:val="•"/>
      <w:lvlJc w:val="left"/>
      <w:pPr>
        <w:ind w:left="5480" w:hanging="267"/>
      </w:pPr>
      <w:rPr>
        <w:rFonts w:hint="default"/>
        <w:lang w:val="es-ES" w:eastAsia="es-ES" w:bidi="es-ES"/>
      </w:rPr>
    </w:lvl>
    <w:lvl w:ilvl="8">
      <w:start w:val="0"/>
      <w:numFmt w:val="bullet"/>
      <w:lvlText w:val="•"/>
      <w:lvlJc w:val="left"/>
      <w:pPr>
        <w:ind w:left="6237" w:hanging="267"/>
      </w:pPr>
      <w:rPr>
        <w:rFonts w:hint="default"/>
        <w:lang w:val="es-ES" w:eastAsia="es-ES" w:bidi="es-ES"/>
      </w:rPr>
    </w:lvl>
  </w:abstractNum>
  <w:abstractNum w:abstractNumId="122">
    <w:multiLevelType w:val="hybridMultilevel"/>
    <w:lvl w:ilvl="0">
      <w:start w:val="1"/>
      <w:numFmt w:val="lowerLetter"/>
      <w:lvlText w:val="%1)"/>
      <w:lvlJc w:val="left"/>
      <w:pPr>
        <w:ind w:left="861" w:hanging="253"/>
        <w:jc w:val="left"/>
      </w:pPr>
      <w:rPr>
        <w:rFonts w:hint="default" w:ascii="Arial" w:hAnsi="Arial" w:eastAsia="Arial" w:cs="Arial"/>
        <w:w w:val="102"/>
        <w:sz w:val="15"/>
        <w:szCs w:val="15"/>
        <w:lang w:val="es-ES" w:eastAsia="es-ES" w:bidi="es-ES"/>
      </w:rPr>
    </w:lvl>
    <w:lvl w:ilvl="1">
      <w:start w:val="0"/>
      <w:numFmt w:val="bullet"/>
      <w:lvlText w:val="•"/>
      <w:lvlJc w:val="left"/>
      <w:pPr>
        <w:ind w:left="1598" w:hanging="253"/>
      </w:pPr>
      <w:rPr>
        <w:rFonts w:hint="default"/>
        <w:lang w:val="es-ES" w:eastAsia="es-ES" w:bidi="es-ES"/>
      </w:rPr>
    </w:lvl>
    <w:lvl w:ilvl="2">
      <w:start w:val="0"/>
      <w:numFmt w:val="bullet"/>
      <w:lvlText w:val="•"/>
      <w:lvlJc w:val="left"/>
      <w:pPr>
        <w:ind w:left="2336" w:hanging="253"/>
      </w:pPr>
      <w:rPr>
        <w:rFonts w:hint="default"/>
        <w:lang w:val="es-ES" w:eastAsia="es-ES" w:bidi="es-ES"/>
      </w:rPr>
    </w:lvl>
    <w:lvl w:ilvl="3">
      <w:start w:val="0"/>
      <w:numFmt w:val="bullet"/>
      <w:lvlText w:val="•"/>
      <w:lvlJc w:val="left"/>
      <w:pPr>
        <w:ind w:left="3074" w:hanging="253"/>
      </w:pPr>
      <w:rPr>
        <w:rFonts w:hint="default"/>
        <w:lang w:val="es-ES" w:eastAsia="es-ES" w:bidi="es-ES"/>
      </w:rPr>
    </w:lvl>
    <w:lvl w:ilvl="4">
      <w:start w:val="0"/>
      <w:numFmt w:val="bullet"/>
      <w:lvlText w:val="•"/>
      <w:lvlJc w:val="left"/>
      <w:pPr>
        <w:ind w:left="3812" w:hanging="253"/>
      </w:pPr>
      <w:rPr>
        <w:rFonts w:hint="default"/>
        <w:lang w:val="es-ES" w:eastAsia="es-ES" w:bidi="es-ES"/>
      </w:rPr>
    </w:lvl>
    <w:lvl w:ilvl="5">
      <w:start w:val="0"/>
      <w:numFmt w:val="bullet"/>
      <w:lvlText w:val="•"/>
      <w:lvlJc w:val="left"/>
      <w:pPr>
        <w:ind w:left="4550" w:hanging="253"/>
      </w:pPr>
      <w:rPr>
        <w:rFonts w:hint="default"/>
        <w:lang w:val="es-ES" w:eastAsia="es-ES" w:bidi="es-ES"/>
      </w:rPr>
    </w:lvl>
    <w:lvl w:ilvl="6">
      <w:start w:val="0"/>
      <w:numFmt w:val="bullet"/>
      <w:lvlText w:val="•"/>
      <w:lvlJc w:val="left"/>
      <w:pPr>
        <w:ind w:left="5288" w:hanging="253"/>
      </w:pPr>
      <w:rPr>
        <w:rFonts w:hint="default"/>
        <w:lang w:val="es-ES" w:eastAsia="es-ES" w:bidi="es-ES"/>
      </w:rPr>
    </w:lvl>
    <w:lvl w:ilvl="7">
      <w:start w:val="0"/>
      <w:numFmt w:val="bullet"/>
      <w:lvlText w:val="•"/>
      <w:lvlJc w:val="left"/>
      <w:pPr>
        <w:ind w:left="6026" w:hanging="253"/>
      </w:pPr>
      <w:rPr>
        <w:rFonts w:hint="default"/>
        <w:lang w:val="es-ES" w:eastAsia="es-ES" w:bidi="es-ES"/>
      </w:rPr>
    </w:lvl>
    <w:lvl w:ilvl="8">
      <w:start w:val="0"/>
      <w:numFmt w:val="bullet"/>
      <w:lvlText w:val="•"/>
      <w:lvlJc w:val="left"/>
      <w:pPr>
        <w:ind w:left="6764" w:hanging="253"/>
      </w:pPr>
      <w:rPr>
        <w:rFonts w:hint="default"/>
        <w:lang w:val="es-ES" w:eastAsia="es-ES" w:bidi="es-ES"/>
      </w:rPr>
    </w:lvl>
  </w:abstractNum>
  <w:abstractNum w:abstractNumId="121">
    <w:multiLevelType w:val="hybridMultilevel"/>
    <w:lvl w:ilvl="0">
      <w:start w:val="2"/>
      <w:numFmt w:val="upperRoman"/>
      <w:lvlText w:val="%1."/>
      <w:lvlJc w:val="left"/>
      <w:pPr>
        <w:ind w:left="170" w:hanging="199"/>
        <w:jc w:val="left"/>
      </w:pPr>
      <w:rPr>
        <w:rFonts w:hint="default" w:ascii="Arial" w:hAnsi="Arial" w:eastAsia="Arial" w:cs="Arial"/>
        <w:w w:val="102"/>
        <w:sz w:val="15"/>
        <w:szCs w:val="15"/>
        <w:lang w:val="es-ES" w:eastAsia="es-ES" w:bidi="es-ES"/>
      </w:rPr>
    </w:lvl>
    <w:lvl w:ilvl="1">
      <w:start w:val="0"/>
      <w:numFmt w:val="bullet"/>
      <w:lvlText w:val="•"/>
      <w:lvlJc w:val="left"/>
      <w:pPr>
        <w:ind w:left="986" w:hanging="199"/>
      </w:pPr>
      <w:rPr>
        <w:rFonts w:hint="default"/>
        <w:lang w:val="es-ES" w:eastAsia="es-ES" w:bidi="es-ES"/>
      </w:rPr>
    </w:lvl>
    <w:lvl w:ilvl="2">
      <w:start w:val="0"/>
      <w:numFmt w:val="bullet"/>
      <w:lvlText w:val="•"/>
      <w:lvlJc w:val="left"/>
      <w:pPr>
        <w:ind w:left="1792" w:hanging="199"/>
      </w:pPr>
      <w:rPr>
        <w:rFonts w:hint="default"/>
        <w:lang w:val="es-ES" w:eastAsia="es-ES" w:bidi="es-ES"/>
      </w:rPr>
    </w:lvl>
    <w:lvl w:ilvl="3">
      <w:start w:val="0"/>
      <w:numFmt w:val="bullet"/>
      <w:lvlText w:val="•"/>
      <w:lvlJc w:val="left"/>
      <w:pPr>
        <w:ind w:left="2598" w:hanging="199"/>
      </w:pPr>
      <w:rPr>
        <w:rFonts w:hint="default"/>
        <w:lang w:val="es-ES" w:eastAsia="es-ES" w:bidi="es-ES"/>
      </w:rPr>
    </w:lvl>
    <w:lvl w:ilvl="4">
      <w:start w:val="0"/>
      <w:numFmt w:val="bullet"/>
      <w:lvlText w:val="•"/>
      <w:lvlJc w:val="left"/>
      <w:pPr>
        <w:ind w:left="3404" w:hanging="199"/>
      </w:pPr>
      <w:rPr>
        <w:rFonts w:hint="default"/>
        <w:lang w:val="es-ES" w:eastAsia="es-ES" w:bidi="es-ES"/>
      </w:rPr>
    </w:lvl>
    <w:lvl w:ilvl="5">
      <w:start w:val="0"/>
      <w:numFmt w:val="bullet"/>
      <w:lvlText w:val="•"/>
      <w:lvlJc w:val="left"/>
      <w:pPr>
        <w:ind w:left="4210" w:hanging="199"/>
      </w:pPr>
      <w:rPr>
        <w:rFonts w:hint="default"/>
        <w:lang w:val="es-ES" w:eastAsia="es-ES" w:bidi="es-ES"/>
      </w:rPr>
    </w:lvl>
    <w:lvl w:ilvl="6">
      <w:start w:val="0"/>
      <w:numFmt w:val="bullet"/>
      <w:lvlText w:val="•"/>
      <w:lvlJc w:val="left"/>
      <w:pPr>
        <w:ind w:left="5016" w:hanging="199"/>
      </w:pPr>
      <w:rPr>
        <w:rFonts w:hint="default"/>
        <w:lang w:val="es-ES" w:eastAsia="es-ES" w:bidi="es-ES"/>
      </w:rPr>
    </w:lvl>
    <w:lvl w:ilvl="7">
      <w:start w:val="0"/>
      <w:numFmt w:val="bullet"/>
      <w:lvlText w:val="•"/>
      <w:lvlJc w:val="left"/>
      <w:pPr>
        <w:ind w:left="5822" w:hanging="199"/>
      </w:pPr>
      <w:rPr>
        <w:rFonts w:hint="default"/>
        <w:lang w:val="es-ES" w:eastAsia="es-ES" w:bidi="es-ES"/>
      </w:rPr>
    </w:lvl>
    <w:lvl w:ilvl="8">
      <w:start w:val="0"/>
      <w:numFmt w:val="bullet"/>
      <w:lvlText w:val="•"/>
      <w:lvlJc w:val="left"/>
      <w:pPr>
        <w:ind w:left="6628" w:hanging="199"/>
      </w:pPr>
      <w:rPr>
        <w:rFonts w:hint="default"/>
        <w:lang w:val="es-ES" w:eastAsia="es-ES" w:bidi="es-ES"/>
      </w:rPr>
    </w:lvl>
  </w:abstractNum>
  <w:abstractNum w:abstractNumId="120">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1"/>
      <w:numFmt w:val="lowerLetter"/>
      <w:lvlText w:val="%2)"/>
      <w:lvlJc w:val="left"/>
      <w:pPr>
        <w:ind w:left="859" w:hanging="177"/>
        <w:jc w:val="left"/>
      </w:pPr>
      <w:rPr>
        <w:rFonts w:hint="default" w:ascii="Arial" w:hAnsi="Arial" w:eastAsia="Arial" w:cs="Arial"/>
        <w:w w:val="102"/>
        <w:sz w:val="15"/>
        <w:szCs w:val="15"/>
        <w:lang w:val="es-ES" w:eastAsia="es-ES" w:bidi="es-ES"/>
      </w:rPr>
    </w:lvl>
    <w:lvl w:ilvl="2">
      <w:start w:val="0"/>
      <w:numFmt w:val="bullet"/>
      <w:lvlText w:val="•"/>
      <w:lvlJc w:val="left"/>
      <w:pPr>
        <w:ind w:left="111" w:hanging="177"/>
      </w:pPr>
      <w:rPr>
        <w:rFonts w:hint="default"/>
        <w:lang w:val="es-ES" w:eastAsia="es-ES" w:bidi="es-ES"/>
      </w:rPr>
    </w:lvl>
    <w:lvl w:ilvl="3">
      <w:start w:val="0"/>
      <w:numFmt w:val="bullet"/>
      <w:lvlText w:val="•"/>
      <w:lvlJc w:val="left"/>
      <w:pPr>
        <w:ind w:left="-637" w:hanging="177"/>
      </w:pPr>
      <w:rPr>
        <w:rFonts w:hint="default"/>
        <w:lang w:val="es-ES" w:eastAsia="es-ES" w:bidi="es-ES"/>
      </w:rPr>
    </w:lvl>
    <w:lvl w:ilvl="4">
      <w:start w:val="0"/>
      <w:numFmt w:val="bullet"/>
      <w:lvlText w:val="•"/>
      <w:lvlJc w:val="left"/>
      <w:pPr>
        <w:ind w:left="-1386" w:hanging="177"/>
      </w:pPr>
      <w:rPr>
        <w:rFonts w:hint="default"/>
        <w:lang w:val="es-ES" w:eastAsia="es-ES" w:bidi="es-ES"/>
      </w:rPr>
    </w:lvl>
    <w:lvl w:ilvl="5">
      <w:start w:val="0"/>
      <w:numFmt w:val="bullet"/>
      <w:lvlText w:val="•"/>
      <w:lvlJc w:val="left"/>
      <w:pPr>
        <w:ind w:left="-2135" w:hanging="177"/>
      </w:pPr>
      <w:rPr>
        <w:rFonts w:hint="default"/>
        <w:lang w:val="es-ES" w:eastAsia="es-ES" w:bidi="es-ES"/>
      </w:rPr>
    </w:lvl>
    <w:lvl w:ilvl="6">
      <w:start w:val="0"/>
      <w:numFmt w:val="bullet"/>
      <w:lvlText w:val="•"/>
      <w:lvlJc w:val="left"/>
      <w:pPr>
        <w:ind w:left="-2883" w:hanging="177"/>
      </w:pPr>
      <w:rPr>
        <w:rFonts w:hint="default"/>
        <w:lang w:val="es-ES" w:eastAsia="es-ES" w:bidi="es-ES"/>
      </w:rPr>
    </w:lvl>
    <w:lvl w:ilvl="7">
      <w:start w:val="0"/>
      <w:numFmt w:val="bullet"/>
      <w:lvlText w:val="•"/>
      <w:lvlJc w:val="left"/>
      <w:pPr>
        <w:ind w:left="-3632" w:hanging="177"/>
      </w:pPr>
      <w:rPr>
        <w:rFonts w:hint="default"/>
        <w:lang w:val="es-ES" w:eastAsia="es-ES" w:bidi="es-ES"/>
      </w:rPr>
    </w:lvl>
    <w:lvl w:ilvl="8">
      <w:start w:val="0"/>
      <w:numFmt w:val="bullet"/>
      <w:lvlText w:val="•"/>
      <w:lvlJc w:val="left"/>
      <w:pPr>
        <w:ind w:left="-4380" w:hanging="177"/>
      </w:pPr>
      <w:rPr>
        <w:rFonts w:hint="default"/>
        <w:lang w:val="es-ES" w:eastAsia="es-ES" w:bidi="es-ES"/>
      </w:rPr>
    </w:lvl>
  </w:abstractNum>
  <w:abstractNum w:abstractNumId="119">
    <w:multiLevelType w:val="hybridMultilevel"/>
    <w:lvl w:ilvl="0">
      <w:start w:val="1"/>
      <w:numFmt w:val="upperRoman"/>
      <w:lvlText w:val="%1."/>
      <w:lvlJc w:val="left"/>
      <w:pPr>
        <w:ind w:left="151" w:hanging="141"/>
        <w:jc w:val="right"/>
      </w:pPr>
      <w:rPr>
        <w:rFonts w:hint="default" w:ascii="Arial" w:hAnsi="Arial" w:eastAsia="Arial" w:cs="Arial"/>
        <w:w w:val="102"/>
        <w:sz w:val="15"/>
        <w:szCs w:val="15"/>
        <w:lang w:val="es-ES" w:eastAsia="es-ES" w:bidi="es-ES"/>
      </w:rPr>
    </w:lvl>
    <w:lvl w:ilvl="1">
      <w:start w:val="0"/>
      <w:numFmt w:val="bullet"/>
      <w:lvlText w:val="•"/>
      <w:lvlJc w:val="left"/>
      <w:pPr>
        <w:ind w:left="966" w:hanging="141"/>
      </w:pPr>
      <w:rPr>
        <w:rFonts w:hint="default"/>
        <w:lang w:val="es-ES" w:eastAsia="es-ES" w:bidi="es-ES"/>
      </w:rPr>
    </w:lvl>
    <w:lvl w:ilvl="2">
      <w:start w:val="0"/>
      <w:numFmt w:val="bullet"/>
      <w:lvlText w:val="•"/>
      <w:lvlJc w:val="left"/>
      <w:pPr>
        <w:ind w:left="1772" w:hanging="141"/>
      </w:pPr>
      <w:rPr>
        <w:rFonts w:hint="default"/>
        <w:lang w:val="es-ES" w:eastAsia="es-ES" w:bidi="es-ES"/>
      </w:rPr>
    </w:lvl>
    <w:lvl w:ilvl="3">
      <w:start w:val="0"/>
      <w:numFmt w:val="bullet"/>
      <w:lvlText w:val="•"/>
      <w:lvlJc w:val="left"/>
      <w:pPr>
        <w:ind w:left="2578" w:hanging="141"/>
      </w:pPr>
      <w:rPr>
        <w:rFonts w:hint="default"/>
        <w:lang w:val="es-ES" w:eastAsia="es-ES" w:bidi="es-ES"/>
      </w:rPr>
    </w:lvl>
    <w:lvl w:ilvl="4">
      <w:start w:val="0"/>
      <w:numFmt w:val="bullet"/>
      <w:lvlText w:val="•"/>
      <w:lvlJc w:val="left"/>
      <w:pPr>
        <w:ind w:left="3384" w:hanging="141"/>
      </w:pPr>
      <w:rPr>
        <w:rFonts w:hint="default"/>
        <w:lang w:val="es-ES" w:eastAsia="es-ES" w:bidi="es-ES"/>
      </w:rPr>
    </w:lvl>
    <w:lvl w:ilvl="5">
      <w:start w:val="0"/>
      <w:numFmt w:val="bullet"/>
      <w:lvlText w:val="•"/>
      <w:lvlJc w:val="left"/>
      <w:pPr>
        <w:ind w:left="4190" w:hanging="141"/>
      </w:pPr>
      <w:rPr>
        <w:rFonts w:hint="default"/>
        <w:lang w:val="es-ES" w:eastAsia="es-ES" w:bidi="es-ES"/>
      </w:rPr>
    </w:lvl>
    <w:lvl w:ilvl="6">
      <w:start w:val="0"/>
      <w:numFmt w:val="bullet"/>
      <w:lvlText w:val="•"/>
      <w:lvlJc w:val="left"/>
      <w:pPr>
        <w:ind w:left="4997" w:hanging="141"/>
      </w:pPr>
      <w:rPr>
        <w:rFonts w:hint="default"/>
        <w:lang w:val="es-ES" w:eastAsia="es-ES" w:bidi="es-ES"/>
      </w:rPr>
    </w:lvl>
    <w:lvl w:ilvl="7">
      <w:start w:val="0"/>
      <w:numFmt w:val="bullet"/>
      <w:lvlText w:val="•"/>
      <w:lvlJc w:val="left"/>
      <w:pPr>
        <w:ind w:left="5803" w:hanging="141"/>
      </w:pPr>
      <w:rPr>
        <w:rFonts w:hint="default"/>
        <w:lang w:val="es-ES" w:eastAsia="es-ES" w:bidi="es-ES"/>
      </w:rPr>
    </w:lvl>
    <w:lvl w:ilvl="8">
      <w:start w:val="0"/>
      <w:numFmt w:val="bullet"/>
      <w:lvlText w:val="•"/>
      <w:lvlJc w:val="left"/>
      <w:pPr>
        <w:ind w:left="6609" w:hanging="141"/>
      </w:pPr>
      <w:rPr>
        <w:rFonts w:hint="default"/>
        <w:lang w:val="es-ES" w:eastAsia="es-ES" w:bidi="es-ES"/>
      </w:rPr>
    </w:lvl>
  </w:abstractNum>
  <w:abstractNum w:abstractNumId="118">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22" w:hanging="180"/>
      </w:pPr>
      <w:rPr>
        <w:rFonts w:hint="default"/>
        <w:lang w:val="es-ES" w:eastAsia="es-ES" w:bidi="es-ES"/>
      </w:rPr>
    </w:lvl>
    <w:lvl w:ilvl="2">
      <w:start w:val="0"/>
      <w:numFmt w:val="bullet"/>
      <w:lvlText w:val="•"/>
      <w:lvlJc w:val="left"/>
      <w:pPr>
        <w:ind w:left="1725" w:hanging="180"/>
      </w:pPr>
      <w:rPr>
        <w:rFonts w:hint="default"/>
        <w:lang w:val="es-ES" w:eastAsia="es-ES" w:bidi="es-ES"/>
      </w:rPr>
    </w:lvl>
    <w:lvl w:ilvl="3">
      <w:start w:val="0"/>
      <w:numFmt w:val="bullet"/>
      <w:lvlText w:val="•"/>
      <w:lvlJc w:val="left"/>
      <w:pPr>
        <w:ind w:left="2227" w:hanging="180"/>
      </w:pPr>
      <w:rPr>
        <w:rFonts w:hint="default"/>
        <w:lang w:val="es-ES" w:eastAsia="es-ES" w:bidi="es-ES"/>
      </w:rPr>
    </w:lvl>
    <w:lvl w:ilvl="4">
      <w:start w:val="0"/>
      <w:numFmt w:val="bullet"/>
      <w:lvlText w:val="•"/>
      <w:lvlJc w:val="left"/>
      <w:pPr>
        <w:ind w:left="2730" w:hanging="180"/>
      </w:pPr>
      <w:rPr>
        <w:rFonts w:hint="default"/>
        <w:lang w:val="es-ES" w:eastAsia="es-ES" w:bidi="es-ES"/>
      </w:rPr>
    </w:lvl>
    <w:lvl w:ilvl="5">
      <w:start w:val="0"/>
      <w:numFmt w:val="bullet"/>
      <w:lvlText w:val="•"/>
      <w:lvlJc w:val="left"/>
      <w:pPr>
        <w:ind w:left="3232" w:hanging="180"/>
      </w:pPr>
      <w:rPr>
        <w:rFonts w:hint="default"/>
        <w:lang w:val="es-ES" w:eastAsia="es-ES" w:bidi="es-ES"/>
      </w:rPr>
    </w:lvl>
    <w:lvl w:ilvl="6">
      <w:start w:val="0"/>
      <w:numFmt w:val="bullet"/>
      <w:lvlText w:val="•"/>
      <w:lvlJc w:val="left"/>
      <w:pPr>
        <w:ind w:left="3735" w:hanging="180"/>
      </w:pPr>
      <w:rPr>
        <w:rFonts w:hint="default"/>
        <w:lang w:val="es-ES" w:eastAsia="es-ES" w:bidi="es-ES"/>
      </w:rPr>
    </w:lvl>
    <w:lvl w:ilvl="7">
      <w:start w:val="0"/>
      <w:numFmt w:val="bullet"/>
      <w:lvlText w:val="•"/>
      <w:lvlJc w:val="left"/>
      <w:pPr>
        <w:ind w:left="4237" w:hanging="180"/>
      </w:pPr>
      <w:rPr>
        <w:rFonts w:hint="default"/>
        <w:lang w:val="es-ES" w:eastAsia="es-ES" w:bidi="es-ES"/>
      </w:rPr>
    </w:lvl>
    <w:lvl w:ilvl="8">
      <w:start w:val="0"/>
      <w:numFmt w:val="bullet"/>
      <w:lvlText w:val="•"/>
      <w:lvlJc w:val="left"/>
      <w:pPr>
        <w:ind w:left="4740" w:hanging="180"/>
      </w:pPr>
      <w:rPr>
        <w:rFonts w:hint="default"/>
        <w:lang w:val="es-ES" w:eastAsia="es-ES" w:bidi="es-ES"/>
      </w:rPr>
    </w:lvl>
  </w:abstractNum>
  <w:abstractNum w:abstractNumId="116">
    <w:multiLevelType w:val="hybridMultilevel"/>
    <w:lvl w:ilvl="0">
      <w:start w:val="284"/>
      <w:numFmt w:val="decimal"/>
      <w:lvlText w:val="%1"/>
      <w:lvlJc w:val="left"/>
      <w:pPr>
        <w:ind w:left="595" w:hanging="381"/>
        <w:jc w:val="left"/>
      </w:pPr>
      <w:rPr>
        <w:rFonts w:hint="default" w:ascii="Arial" w:hAnsi="Arial" w:eastAsia="Arial" w:cs="Arial"/>
        <w:w w:val="102"/>
        <w:sz w:val="15"/>
        <w:szCs w:val="15"/>
        <w:lang w:val="es-ES" w:eastAsia="es-ES" w:bidi="es-ES"/>
      </w:rPr>
    </w:lvl>
    <w:lvl w:ilvl="1">
      <w:start w:val="0"/>
      <w:numFmt w:val="bullet"/>
      <w:lvlText w:val="•"/>
      <w:lvlJc w:val="left"/>
      <w:pPr>
        <w:ind w:left="1090" w:hanging="381"/>
      </w:pPr>
      <w:rPr>
        <w:rFonts w:hint="default"/>
        <w:lang w:val="es-ES" w:eastAsia="es-ES" w:bidi="es-ES"/>
      </w:rPr>
    </w:lvl>
    <w:lvl w:ilvl="2">
      <w:start w:val="0"/>
      <w:numFmt w:val="bullet"/>
      <w:lvlText w:val="•"/>
      <w:lvlJc w:val="left"/>
      <w:pPr>
        <w:ind w:left="1580" w:hanging="381"/>
      </w:pPr>
      <w:rPr>
        <w:rFonts w:hint="default"/>
        <w:lang w:val="es-ES" w:eastAsia="es-ES" w:bidi="es-ES"/>
      </w:rPr>
    </w:lvl>
    <w:lvl w:ilvl="3">
      <w:start w:val="0"/>
      <w:numFmt w:val="bullet"/>
      <w:lvlText w:val="•"/>
      <w:lvlJc w:val="left"/>
      <w:pPr>
        <w:ind w:left="2070" w:hanging="381"/>
      </w:pPr>
      <w:rPr>
        <w:rFonts w:hint="default"/>
        <w:lang w:val="es-ES" w:eastAsia="es-ES" w:bidi="es-ES"/>
      </w:rPr>
    </w:lvl>
    <w:lvl w:ilvl="4">
      <w:start w:val="0"/>
      <w:numFmt w:val="bullet"/>
      <w:lvlText w:val="•"/>
      <w:lvlJc w:val="left"/>
      <w:pPr>
        <w:ind w:left="2560" w:hanging="381"/>
      </w:pPr>
      <w:rPr>
        <w:rFonts w:hint="default"/>
        <w:lang w:val="es-ES" w:eastAsia="es-ES" w:bidi="es-ES"/>
      </w:rPr>
    </w:lvl>
    <w:lvl w:ilvl="5">
      <w:start w:val="0"/>
      <w:numFmt w:val="bullet"/>
      <w:lvlText w:val="•"/>
      <w:lvlJc w:val="left"/>
      <w:pPr>
        <w:ind w:left="3050" w:hanging="381"/>
      </w:pPr>
      <w:rPr>
        <w:rFonts w:hint="default"/>
        <w:lang w:val="es-ES" w:eastAsia="es-ES" w:bidi="es-ES"/>
      </w:rPr>
    </w:lvl>
    <w:lvl w:ilvl="6">
      <w:start w:val="0"/>
      <w:numFmt w:val="bullet"/>
      <w:lvlText w:val="•"/>
      <w:lvlJc w:val="left"/>
      <w:pPr>
        <w:ind w:left="3540" w:hanging="381"/>
      </w:pPr>
      <w:rPr>
        <w:rFonts w:hint="default"/>
        <w:lang w:val="es-ES" w:eastAsia="es-ES" w:bidi="es-ES"/>
      </w:rPr>
    </w:lvl>
    <w:lvl w:ilvl="7">
      <w:start w:val="0"/>
      <w:numFmt w:val="bullet"/>
      <w:lvlText w:val="•"/>
      <w:lvlJc w:val="left"/>
      <w:pPr>
        <w:ind w:left="4030" w:hanging="381"/>
      </w:pPr>
      <w:rPr>
        <w:rFonts w:hint="default"/>
        <w:lang w:val="es-ES" w:eastAsia="es-ES" w:bidi="es-ES"/>
      </w:rPr>
    </w:lvl>
    <w:lvl w:ilvl="8">
      <w:start w:val="0"/>
      <w:numFmt w:val="bullet"/>
      <w:lvlText w:val="•"/>
      <w:lvlJc w:val="left"/>
      <w:pPr>
        <w:ind w:left="4520" w:hanging="381"/>
      </w:pPr>
      <w:rPr>
        <w:rFonts w:hint="default"/>
        <w:lang w:val="es-ES" w:eastAsia="es-ES" w:bidi="es-ES"/>
      </w:rPr>
    </w:lvl>
  </w:abstractNum>
  <w:abstractNum w:abstractNumId="115">
    <w:multiLevelType w:val="hybridMultilevel"/>
    <w:lvl w:ilvl="0">
      <w:start w:val="274"/>
      <w:numFmt w:val="decimal"/>
      <w:lvlText w:val="%1"/>
      <w:lvlJc w:val="left"/>
      <w:pPr>
        <w:ind w:left="430" w:hanging="381"/>
        <w:jc w:val="left"/>
      </w:pPr>
      <w:rPr>
        <w:rFonts w:hint="default" w:ascii="Arial" w:hAnsi="Arial" w:eastAsia="Arial" w:cs="Arial"/>
        <w:w w:val="102"/>
        <w:sz w:val="15"/>
        <w:szCs w:val="15"/>
        <w:lang w:val="es-ES" w:eastAsia="es-ES" w:bidi="es-ES"/>
      </w:rPr>
    </w:lvl>
    <w:lvl w:ilvl="1">
      <w:start w:val="0"/>
      <w:numFmt w:val="bullet"/>
      <w:lvlText w:val="•"/>
      <w:lvlJc w:val="left"/>
      <w:pPr>
        <w:ind w:left="791" w:hanging="381"/>
      </w:pPr>
      <w:rPr>
        <w:rFonts w:hint="default"/>
        <w:lang w:val="es-ES" w:eastAsia="es-ES" w:bidi="es-ES"/>
      </w:rPr>
    </w:lvl>
    <w:lvl w:ilvl="2">
      <w:start w:val="0"/>
      <w:numFmt w:val="bullet"/>
      <w:lvlText w:val="•"/>
      <w:lvlJc w:val="left"/>
      <w:pPr>
        <w:ind w:left="1143" w:hanging="381"/>
      </w:pPr>
      <w:rPr>
        <w:rFonts w:hint="default"/>
        <w:lang w:val="es-ES" w:eastAsia="es-ES" w:bidi="es-ES"/>
      </w:rPr>
    </w:lvl>
    <w:lvl w:ilvl="3">
      <w:start w:val="0"/>
      <w:numFmt w:val="bullet"/>
      <w:lvlText w:val="•"/>
      <w:lvlJc w:val="left"/>
      <w:pPr>
        <w:ind w:left="1495" w:hanging="381"/>
      </w:pPr>
      <w:rPr>
        <w:rFonts w:hint="default"/>
        <w:lang w:val="es-ES" w:eastAsia="es-ES" w:bidi="es-ES"/>
      </w:rPr>
    </w:lvl>
    <w:lvl w:ilvl="4">
      <w:start w:val="0"/>
      <w:numFmt w:val="bullet"/>
      <w:lvlText w:val="•"/>
      <w:lvlJc w:val="left"/>
      <w:pPr>
        <w:ind w:left="1847" w:hanging="381"/>
      </w:pPr>
      <w:rPr>
        <w:rFonts w:hint="default"/>
        <w:lang w:val="es-ES" w:eastAsia="es-ES" w:bidi="es-ES"/>
      </w:rPr>
    </w:lvl>
    <w:lvl w:ilvl="5">
      <w:start w:val="0"/>
      <w:numFmt w:val="bullet"/>
      <w:lvlText w:val="•"/>
      <w:lvlJc w:val="left"/>
      <w:pPr>
        <w:ind w:left="2199" w:hanging="381"/>
      </w:pPr>
      <w:rPr>
        <w:rFonts w:hint="default"/>
        <w:lang w:val="es-ES" w:eastAsia="es-ES" w:bidi="es-ES"/>
      </w:rPr>
    </w:lvl>
    <w:lvl w:ilvl="6">
      <w:start w:val="0"/>
      <w:numFmt w:val="bullet"/>
      <w:lvlText w:val="•"/>
      <w:lvlJc w:val="left"/>
      <w:pPr>
        <w:ind w:left="2550" w:hanging="381"/>
      </w:pPr>
      <w:rPr>
        <w:rFonts w:hint="default"/>
        <w:lang w:val="es-ES" w:eastAsia="es-ES" w:bidi="es-ES"/>
      </w:rPr>
    </w:lvl>
    <w:lvl w:ilvl="7">
      <w:start w:val="0"/>
      <w:numFmt w:val="bullet"/>
      <w:lvlText w:val="•"/>
      <w:lvlJc w:val="left"/>
      <w:pPr>
        <w:ind w:left="2902" w:hanging="381"/>
      </w:pPr>
      <w:rPr>
        <w:rFonts w:hint="default"/>
        <w:lang w:val="es-ES" w:eastAsia="es-ES" w:bidi="es-ES"/>
      </w:rPr>
    </w:lvl>
    <w:lvl w:ilvl="8">
      <w:start w:val="0"/>
      <w:numFmt w:val="bullet"/>
      <w:lvlText w:val="•"/>
      <w:lvlJc w:val="left"/>
      <w:pPr>
        <w:ind w:left="3254" w:hanging="381"/>
      </w:pPr>
      <w:rPr>
        <w:rFonts w:hint="default"/>
        <w:lang w:val="es-ES" w:eastAsia="es-ES" w:bidi="es-ES"/>
      </w:rPr>
    </w:lvl>
  </w:abstractNum>
  <w:abstractNum w:abstractNumId="114">
    <w:multiLevelType w:val="hybridMultilevel"/>
    <w:lvl w:ilvl="0">
      <w:start w:val="5"/>
      <w:numFmt w:val="decimal"/>
      <w:lvlText w:val="%1"/>
      <w:lvlJc w:val="left"/>
      <w:pPr>
        <w:ind w:left="558" w:hanging="277"/>
        <w:jc w:val="left"/>
      </w:pPr>
      <w:rPr>
        <w:rFonts w:hint="default" w:ascii="Arial" w:hAnsi="Arial" w:eastAsia="Arial" w:cs="Arial"/>
        <w:w w:val="102"/>
        <w:sz w:val="15"/>
        <w:szCs w:val="15"/>
        <w:lang w:val="es-ES" w:eastAsia="es-ES" w:bidi="es-ES"/>
      </w:rPr>
    </w:lvl>
    <w:lvl w:ilvl="1">
      <w:start w:val="0"/>
      <w:numFmt w:val="bullet"/>
      <w:lvlText w:val="•"/>
      <w:lvlJc w:val="left"/>
      <w:pPr>
        <w:ind w:left="1326" w:hanging="277"/>
      </w:pPr>
      <w:rPr>
        <w:rFonts w:hint="default"/>
        <w:lang w:val="es-ES" w:eastAsia="es-ES" w:bidi="es-ES"/>
      </w:rPr>
    </w:lvl>
    <w:lvl w:ilvl="2">
      <w:start w:val="0"/>
      <w:numFmt w:val="bullet"/>
      <w:lvlText w:val="•"/>
      <w:lvlJc w:val="left"/>
      <w:pPr>
        <w:ind w:left="2092" w:hanging="277"/>
      </w:pPr>
      <w:rPr>
        <w:rFonts w:hint="default"/>
        <w:lang w:val="es-ES" w:eastAsia="es-ES" w:bidi="es-ES"/>
      </w:rPr>
    </w:lvl>
    <w:lvl w:ilvl="3">
      <w:start w:val="0"/>
      <w:numFmt w:val="bullet"/>
      <w:lvlText w:val="•"/>
      <w:lvlJc w:val="left"/>
      <w:pPr>
        <w:ind w:left="2858" w:hanging="277"/>
      </w:pPr>
      <w:rPr>
        <w:rFonts w:hint="default"/>
        <w:lang w:val="es-ES" w:eastAsia="es-ES" w:bidi="es-ES"/>
      </w:rPr>
    </w:lvl>
    <w:lvl w:ilvl="4">
      <w:start w:val="0"/>
      <w:numFmt w:val="bullet"/>
      <w:lvlText w:val="•"/>
      <w:lvlJc w:val="left"/>
      <w:pPr>
        <w:ind w:left="3624" w:hanging="277"/>
      </w:pPr>
      <w:rPr>
        <w:rFonts w:hint="default"/>
        <w:lang w:val="es-ES" w:eastAsia="es-ES" w:bidi="es-ES"/>
      </w:rPr>
    </w:lvl>
    <w:lvl w:ilvl="5">
      <w:start w:val="0"/>
      <w:numFmt w:val="bullet"/>
      <w:lvlText w:val="•"/>
      <w:lvlJc w:val="left"/>
      <w:pPr>
        <w:ind w:left="4390" w:hanging="277"/>
      </w:pPr>
      <w:rPr>
        <w:rFonts w:hint="default"/>
        <w:lang w:val="es-ES" w:eastAsia="es-ES" w:bidi="es-ES"/>
      </w:rPr>
    </w:lvl>
    <w:lvl w:ilvl="6">
      <w:start w:val="0"/>
      <w:numFmt w:val="bullet"/>
      <w:lvlText w:val="•"/>
      <w:lvlJc w:val="left"/>
      <w:pPr>
        <w:ind w:left="5157" w:hanging="277"/>
      </w:pPr>
      <w:rPr>
        <w:rFonts w:hint="default"/>
        <w:lang w:val="es-ES" w:eastAsia="es-ES" w:bidi="es-ES"/>
      </w:rPr>
    </w:lvl>
    <w:lvl w:ilvl="7">
      <w:start w:val="0"/>
      <w:numFmt w:val="bullet"/>
      <w:lvlText w:val="•"/>
      <w:lvlJc w:val="left"/>
      <w:pPr>
        <w:ind w:left="5923" w:hanging="277"/>
      </w:pPr>
      <w:rPr>
        <w:rFonts w:hint="default"/>
        <w:lang w:val="es-ES" w:eastAsia="es-ES" w:bidi="es-ES"/>
      </w:rPr>
    </w:lvl>
    <w:lvl w:ilvl="8">
      <w:start w:val="0"/>
      <w:numFmt w:val="bullet"/>
      <w:lvlText w:val="•"/>
      <w:lvlJc w:val="left"/>
      <w:pPr>
        <w:ind w:left="6689" w:hanging="277"/>
      </w:pPr>
      <w:rPr>
        <w:rFonts w:hint="default"/>
        <w:lang w:val="es-ES" w:eastAsia="es-ES" w:bidi="es-ES"/>
      </w:rPr>
    </w:lvl>
  </w:abstractNum>
  <w:abstractNum w:abstractNumId="113">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1"/>
      <w:numFmt w:val="decimal"/>
      <w:lvlText w:val="%2"/>
      <w:lvlJc w:val="left"/>
      <w:pPr>
        <w:ind w:left="1351" w:hanging="673"/>
        <w:jc w:val="left"/>
      </w:pPr>
      <w:rPr>
        <w:rFonts w:hint="default" w:ascii="Arial" w:hAnsi="Arial" w:eastAsia="Arial" w:cs="Arial"/>
        <w:w w:val="102"/>
        <w:sz w:val="15"/>
        <w:szCs w:val="15"/>
        <w:lang w:val="es-ES" w:eastAsia="es-ES" w:bidi="es-ES"/>
      </w:rPr>
    </w:lvl>
    <w:lvl w:ilvl="2">
      <w:start w:val="0"/>
      <w:numFmt w:val="bullet"/>
      <w:lvlText w:val="•"/>
      <w:lvlJc w:val="left"/>
      <w:pPr>
        <w:ind w:left="2026" w:hanging="673"/>
      </w:pPr>
      <w:rPr>
        <w:rFonts w:hint="default"/>
        <w:lang w:val="es-ES" w:eastAsia="es-ES" w:bidi="es-ES"/>
      </w:rPr>
    </w:lvl>
    <w:lvl w:ilvl="3">
      <w:start w:val="0"/>
      <w:numFmt w:val="bullet"/>
      <w:lvlText w:val="•"/>
      <w:lvlJc w:val="left"/>
      <w:pPr>
        <w:ind w:left="2692" w:hanging="673"/>
      </w:pPr>
      <w:rPr>
        <w:rFonts w:hint="default"/>
        <w:lang w:val="es-ES" w:eastAsia="es-ES" w:bidi="es-ES"/>
      </w:rPr>
    </w:lvl>
    <w:lvl w:ilvl="4">
      <w:start w:val="0"/>
      <w:numFmt w:val="bullet"/>
      <w:lvlText w:val="•"/>
      <w:lvlJc w:val="left"/>
      <w:pPr>
        <w:ind w:left="3358" w:hanging="673"/>
      </w:pPr>
      <w:rPr>
        <w:rFonts w:hint="default"/>
        <w:lang w:val="es-ES" w:eastAsia="es-ES" w:bidi="es-ES"/>
      </w:rPr>
    </w:lvl>
    <w:lvl w:ilvl="5">
      <w:start w:val="0"/>
      <w:numFmt w:val="bullet"/>
      <w:lvlText w:val="•"/>
      <w:lvlJc w:val="left"/>
      <w:pPr>
        <w:ind w:left="4025" w:hanging="673"/>
      </w:pPr>
      <w:rPr>
        <w:rFonts w:hint="default"/>
        <w:lang w:val="es-ES" w:eastAsia="es-ES" w:bidi="es-ES"/>
      </w:rPr>
    </w:lvl>
    <w:lvl w:ilvl="6">
      <w:start w:val="0"/>
      <w:numFmt w:val="bullet"/>
      <w:lvlText w:val="•"/>
      <w:lvlJc w:val="left"/>
      <w:pPr>
        <w:ind w:left="4691" w:hanging="673"/>
      </w:pPr>
      <w:rPr>
        <w:rFonts w:hint="default"/>
        <w:lang w:val="es-ES" w:eastAsia="es-ES" w:bidi="es-ES"/>
      </w:rPr>
    </w:lvl>
    <w:lvl w:ilvl="7">
      <w:start w:val="0"/>
      <w:numFmt w:val="bullet"/>
      <w:lvlText w:val="•"/>
      <w:lvlJc w:val="left"/>
      <w:pPr>
        <w:ind w:left="5357" w:hanging="673"/>
      </w:pPr>
      <w:rPr>
        <w:rFonts w:hint="default"/>
        <w:lang w:val="es-ES" w:eastAsia="es-ES" w:bidi="es-ES"/>
      </w:rPr>
    </w:lvl>
    <w:lvl w:ilvl="8">
      <w:start w:val="0"/>
      <w:numFmt w:val="bullet"/>
      <w:lvlText w:val="•"/>
      <w:lvlJc w:val="left"/>
      <w:pPr>
        <w:ind w:left="6023" w:hanging="673"/>
      </w:pPr>
      <w:rPr>
        <w:rFonts w:hint="default"/>
        <w:lang w:val="es-ES" w:eastAsia="es-ES" w:bidi="es-ES"/>
      </w:rPr>
    </w:lvl>
  </w:abstractNum>
  <w:abstractNum w:abstractNumId="112">
    <w:multiLevelType w:val="hybridMultilevel"/>
    <w:lvl w:ilvl="0">
      <w:start w:val="25"/>
      <w:numFmt w:val="decimal"/>
      <w:lvlText w:val="%1"/>
      <w:lvlJc w:val="left"/>
      <w:pPr>
        <w:ind w:left="1351" w:hanging="716"/>
        <w:jc w:val="left"/>
      </w:pPr>
      <w:rPr>
        <w:rFonts w:hint="default" w:ascii="Arial" w:hAnsi="Arial" w:eastAsia="Arial" w:cs="Arial"/>
        <w:w w:val="102"/>
        <w:sz w:val="15"/>
        <w:szCs w:val="15"/>
        <w:lang w:val="es-ES" w:eastAsia="es-ES" w:bidi="es-ES"/>
      </w:rPr>
    </w:lvl>
    <w:lvl w:ilvl="1">
      <w:start w:val="0"/>
      <w:numFmt w:val="bullet"/>
      <w:lvlText w:val="•"/>
      <w:lvlJc w:val="left"/>
      <w:pPr>
        <w:ind w:left="2046" w:hanging="716"/>
      </w:pPr>
      <w:rPr>
        <w:rFonts w:hint="default"/>
        <w:lang w:val="es-ES" w:eastAsia="es-ES" w:bidi="es-ES"/>
      </w:rPr>
    </w:lvl>
    <w:lvl w:ilvl="2">
      <w:start w:val="0"/>
      <w:numFmt w:val="bullet"/>
      <w:lvlText w:val="•"/>
      <w:lvlJc w:val="left"/>
      <w:pPr>
        <w:ind w:left="2732" w:hanging="716"/>
      </w:pPr>
      <w:rPr>
        <w:rFonts w:hint="default"/>
        <w:lang w:val="es-ES" w:eastAsia="es-ES" w:bidi="es-ES"/>
      </w:rPr>
    </w:lvl>
    <w:lvl w:ilvl="3">
      <w:start w:val="0"/>
      <w:numFmt w:val="bullet"/>
      <w:lvlText w:val="•"/>
      <w:lvlJc w:val="left"/>
      <w:pPr>
        <w:ind w:left="3418" w:hanging="716"/>
      </w:pPr>
      <w:rPr>
        <w:rFonts w:hint="default"/>
        <w:lang w:val="es-ES" w:eastAsia="es-ES" w:bidi="es-ES"/>
      </w:rPr>
    </w:lvl>
    <w:lvl w:ilvl="4">
      <w:start w:val="0"/>
      <w:numFmt w:val="bullet"/>
      <w:lvlText w:val="•"/>
      <w:lvlJc w:val="left"/>
      <w:pPr>
        <w:ind w:left="4104" w:hanging="716"/>
      </w:pPr>
      <w:rPr>
        <w:rFonts w:hint="default"/>
        <w:lang w:val="es-ES" w:eastAsia="es-ES" w:bidi="es-ES"/>
      </w:rPr>
    </w:lvl>
    <w:lvl w:ilvl="5">
      <w:start w:val="0"/>
      <w:numFmt w:val="bullet"/>
      <w:lvlText w:val="•"/>
      <w:lvlJc w:val="left"/>
      <w:pPr>
        <w:ind w:left="4791" w:hanging="716"/>
      </w:pPr>
      <w:rPr>
        <w:rFonts w:hint="default"/>
        <w:lang w:val="es-ES" w:eastAsia="es-ES" w:bidi="es-ES"/>
      </w:rPr>
    </w:lvl>
    <w:lvl w:ilvl="6">
      <w:start w:val="0"/>
      <w:numFmt w:val="bullet"/>
      <w:lvlText w:val="•"/>
      <w:lvlJc w:val="left"/>
      <w:pPr>
        <w:ind w:left="5477" w:hanging="716"/>
      </w:pPr>
      <w:rPr>
        <w:rFonts w:hint="default"/>
        <w:lang w:val="es-ES" w:eastAsia="es-ES" w:bidi="es-ES"/>
      </w:rPr>
    </w:lvl>
    <w:lvl w:ilvl="7">
      <w:start w:val="0"/>
      <w:numFmt w:val="bullet"/>
      <w:lvlText w:val="•"/>
      <w:lvlJc w:val="left"/>
      <w:pPr>
        <w:ind w:left="6163" w:hanging="716"/>
      </w:pPr>
      <w:rPr>
        <w:rFonts w:hint="default"/>
        <w:lang w:val="es-ES" w:eastAsia="es-ES" w:bidi="es-ES"/>
      </w:rPr>
    </w:lvl>
    <w:lvl w:ilvl="8">
      <w:start w:val="0"/>
      <w:numFmt w:val="bullet"/>
      <w:lvlText w:val="•"/>
      <w:lvlJc w:val="left"/>
      <w:pPr>
        <w:ind w:left="6849" w:hanging="716"/>
      </w:pPr>
      <w:rPr>
        <w:rFonts w:hint="default"/>
        <w:lang w:val="es-ES" w:eastAsia="es-ES" w:bidi="es-ES"/>
      </w:rPr>
    </w:lvl>
  </w:abstractNum>
  <w:abstractNum w:abstractNumId="111">
    <w:multiLevelType w:val="hybridMultilevel"/>
    <w:lvl w:ilvl="0">
      <w:start w:val="1"/>
      <w:numFmt w:val="lowerLetter"/>
      <w:lvlText w:val="%1."/>
      <w:lvlJc w:val="left"/>
      <w:pPr>
        <w:ind w:left="719" w:hanging="172"/>
        <w:jc w:val="left"/>
      </w:pPr>
      <w:rPr>
        <w:rFonts w:hint="default" w:ascii="Arial" w:hAnsi="Arial" w:eastAsia="Arial" w:cs="Arial"/>
        <w:w w:val="102"/>
        <w:sz w:val="15"/>
        <w:szCs w:val="15"/>
        <w:lang w:val="es-ES" w:eastAsia="es-ES" w:bidi="es-ES"/>
      </w:rPr>
    </w:lvl>
    <w:lvl w:ilvl="1">
      <w:start w:val="0"/>
      <w:numFmt w:val="bullet"/>
      <w:lvlText w:val="•"/>
      <w:lvlJc w:val="left"/>
      <w:pPr>
        <w:ind w:left="1160" w:hanging="172"/>
      </w:pPr>
      <w:rPr>
        <w:rFonts w:hint="default"/>
        <w:lang w:val="es-ES" w:eastAsia="es-ES" w:bidi="es-ES"/>
      </w:rPr>
    </w:lvl>
    <w:lvl w:ilvl="2">
      <w:start w:val="0"/>
      <w:numFmt w:val="bullet"/>
      <w:lvlText w:val="•"/>
      <w:lvlJc w:val="left"/>
      <w:pPr>
        <w:ind w:left="1600" w:hanging="172"/>
      </w:pPr>
      <w:rPr>
        <w:rFonts w:hint="default"/>
        <w:lang w:val="es-ES" w:eastAsia="es-ES" w:bidi="es-ES"/>
      </w:rPr>
    </w:lvl>
    <w:lvl w:ilvl="3">
      <w:start w:val="0"/>
      <w:numFmt w:val="bullet"/>
      <w:lvlText w:val="•"/>
      <w:lvlJc w:val="left"/>
      <w:pPr>
        <w:ind w:left="2040" w:hanging="172"/>
      </w:pPr>
      <w:rPr>
        <w:rFonts w:hint="default"/>
        <w:lang w:val="es-ES" w:eastAsia="es-ES" w:bidi="es-ES"/>
      </w:rPr>
    </w:lvl>
    <w:lvl w:ilvl="4">
      <w:start w:val="0"/>
      <w:numFmt w:val="bullet"/>
      <w:lvlText w:val="•"/>
      <w:lvlJc w:val="left"/>
      <w:pPr>
        <w:ind w:left="2480" w:hanging="172"/>
      </w:pPr>
      <w:rPr>
        <w:rFonts w:hint="default"/>
        <w:lang w:val="es-ES" w:eastAsia="es-ES" w:bidi="es-ES"/>
      </w:rPr>
    </w:lvl>
    <w:lvl w:ilvl="5">
      <w:start w:val="0"/>
      <w:numFmt w:val="bullet"/>
      <w:lvlText w:val="•"/>
      <w:lvlJc w:val="left"/>
      <w:pPr>
        <w:ind w:left="2920" w:hanging="172"/>
      </w:pPr>
      <w:rPr>
        <w:rFonts w:hint="default"/>
        <w:lang w:val="es-ES" w:eastAsia="es-ES" w:bidi="es-ES"/>
      </w:rPr>
    </w:lvl>
    <w:lvl w:ilvl="6">
      <w:start w:val="0"/>
      <w:numFmt w:val="bullet"/>
      <w:lvlText w:val="•"/>
      <w:lvlJc w:val="left"/>
      <w:pPr>
        <w:ind w:left="3360" w:hanging="172"/>
      </w:pPr>
      <w:rPr>
        <w:rFonts w:hint="default"/>
        <w:lang w:val="es-ES" w:eastAsia="es-ES" w:bidi="es-ES"/>
      </w:rPr>
    </w:lvl>
    <w:lvl w:ilvl="7">
      <w:start w:val="0"/>
      <w:numFmt w:val="bullet"/>
      <w:lvlText w:val="•"/>
      <w:lvlJc w:val="left"/>
      <w:pPr>
        <w:ind w:left="3800" w:hanging="172"/>
      </w:pPr>
      <w:rPr>
        <w:rFonts w:hint="default"/>
        <w:lang w:val="es-ES" w:eastAsia="es-ES" w:bidi="es-ES"/>
      </w:rPr>
    </w:lvl>
    <w:lvl w:ilvl="8">
      <w:start w:val="0"/>
      <w:numFmt w:val="bullet"/>
      <w:lvlText w:val="•"/>
      <w:lvlJc w:val="left"/>
      <w:pPr>
        <w:ind w:left="4240" w:hanging="172"/>
      </w:pPr>
      <w:rPr>
        <w:rFonts w:hint="default"/>
        <w:lang w:val="es-ES" w:eastAsia="es-ES" w:bidi="es-ES"/>
      </w:rPr>
    </w:lvl>
  </w:abstractNum>
  <w:abstractNum w:abstractNumId="110">
    <w:multiLevelType w:val="hybridMultilevel"/>
    <w:lvl w:ilvl="0">
      <w:start w:val="1"/>
      <w:numFmt w:val="lowerLetter"/>
      <w:lvlText w:val="%1)"/>
      <w:lvlJc w:val="left"/>
      <w:pPr>
        <w:ind w:left="150" w:hanging="228"/>
        <w:jc w:val="left"/>
      </w:pPr>
      <w:rPr>
        <w:rFonts w:hint="default" w:ascii="Arial" w:hAnsi="Arial" w:eastAsia="Arial" w:cs="Arial"/>
        <w:w w:val="102"/>
        <w:sz w:val="15"/>
        <w:szCs w:val="15"/>
        <w:lang w:val="es-ES" w:eastAsia="es-ES" w:bidi="es-ES"/>
      </w:rPr>
    </w:lvl>
    <w:lvl w:ilvl="1">
      <w:start w:val="0"/>
      <w:numFmt w:val="bullet"/>
      <w:lvlText w:val="•"/>
      <w:lvlJc w:val="left"/>
      <w:pPr>
        <w:ind w:left="966" w:hanging="228"/>
      </w:pPr>
      <w:rPr>
        <w:rFonts w:hint="default"/>
        <w:lang w:val="es-ES" w:eastAsia="es-ES" w:bidi="es-ES"/>
      </w:rPr>
    </w:lvl>
    <w:lvl w:ilvl="2">
      <w:start w:val="0"/>
      <w:numFmt w:val="bullet"/>
      <w:lvlText w:val="•"/>
      <w:lvlJc w:val="left"/>
      <w:pPr>
        <w:ind w:left="1772" w:hanging="228"/>
      </w:pPr>
      <w:rPr>
        <w:rFonts w:hint="default"/>
        <w:lang w:val="es-ES" w:eastAsia="es-ES" w:bidi="es-ES"/>
      </w:rPr>
    </w:lvl>
    <w:lvl w:ilvl="3">
      <w:start w:val="0"/>
      <w:numFmt w:val="bullet"/>
      <w:lvlText w:val="•"/>
      <w:lvlJc w:val="left"/>
      <w:pPr>
        <w:ind w:left="2578" w:hanging="228"/>
      </w:pPr>
      <w:rPr>
        <w:rFonts w:hint="default"/>
        <w:lang w:val="es-ES" w:eastAsia="es-ES" w:bidi="es-ES"/>
      </w:rPr>
    </w:lvl>
    <w:lvl w:ilvl="4">
      <w:start w:val="0"/>
      <w:numFmt w:val="bullet"/>
      <w:lvlText w:val="•"/>
      <w:lvlJc w:val="left"/>
      <w:pPr>
        <w:ind w:left="3384" w:hanging="228"/>
      </w:pPr>
      <w:rPr>
        <w:rFonts w:hint="default"/>
        <w:lang w:val="es-ES" w:eastAsia="es-ES" w:bidi="es-ES"/>
      </w:rPr>
    </w:lvl>
    <w:lvl w:ilvl="5">
      <w:start w:val="0"/>
      <w:numFmt w:val="bullet"/>
      <w:lvlText w:val="•"/>
      <w:lvlJc w:val="left"/>
      <w:pPr>
        <w:ind w:left="4190" w:hanging="228"/>
      </w:pPr>
      <w:rPr>
        <w:rFonts w:hint="default"/>
        <w:lang w:val="es-ES" w:eastAsia="es-ES" w:bidi="es-ES"/>
      </w:rPr>
    </w:lvl>
    <w:lvl w:ilvl="6">
      <w:start w:val="0"/>
      <w:numFmt w:val="bullet"/>
      <w:lvlText w:val="•"/>
      <w:lvlJc w:val="left"/>
      <w:pPr>
        <w:ind w:left="4997" w:hanging="228"/>
      </w:pPr>
      <w:rPr>
        <w:rFonts w:hint="default"/>
        <w:lang w:val="es-ES" w:eastAsia="es-ES" w:bidi="es-ES"/>
      </w:rPr>
    </w:lvl>
    <w:lvl w:ilvl="7">
      <w:start w:val="0"/>
      <w:numFmt w:val="bullet"/>
      <w:lvlText w:val="•"/>
      <w:lvlJc w:val="left"/>
      <w:pPr>
        <w:ind w:left="5803" w:hanging="228"/>
      </w:pPr>
      <w:rPr>
        <w:rFonts w:hint="default"/>
        <w:lang w:val="es-ES" w:eastAsia="es-ES" w:bidi="es-ES"/>
      </w:rPr>
    </w:lvl>
    <w:lvl w:ilvl="8">
      <w:start w:val="0"/>
      <w:numFmt w:val="bullet"/>
      <w:lvlText w:val="•"/>
      <w:lvlJc w:val="left"/>
      <w:pPr>
        <w:ind w:left="6609" w:hanging="228"/>
      </w:pPr>
      <w:rPr>
        <w:rFonts w:hint="default"/>
        <w:lang w:val="es-ES" w:eastAsia="es-ES" w:bidi="es-ES"/>
      </w:rPr>
    </w:lvl>
  </w:abstractNum>
  <w:abstractNum w:abstractNumId="109">
    <w:multiLevelType w:val="hybridMultilevel"/>
    <w:lvl w:ilvl="0">
      <w:start w:val="1"/>
      <w:numFmt w:val="lowerLetter"/>
      <w:lvlText w:val="%1)"/>
      <w:lvlJc w:val="left"/>
      <w:pPr>
        <w:ind w:left="150" w:hanging="195"/>
        <w:jc w:val="left"/>
      </w:pPr>
      <w:rPr>
        <w:rFonts w:hint="default" w:ascii="Arial" w:hAnsi="Arial" w:eastAsia="Arial" w:cs="Arial"/>
        <w:w w:val="102"/>
        <w:sz w:val="15"/>
        <w:szCs w:val="15"/>
        <w:lang w:val="es-ES" w:eastAsia="es-ES" w:bidi="es-ES"/>
      </w:rPr>
    </w:lvl>
    <w:lvl w:ilvl="1">
      <w:start w:val="1"/>
      <w:numFmt w:val="decimal"/>
      <w:lvlText w:val="%2)"/>
      <w:lvlJc w:val="left"/>
      <w:pPr>
        <w:ind w:left="151" w:hanging="180"/>
        <w:jc w:val="left"/>
      </w:pPr>
      <w:rPr>
        <w:rFonts w:hint="default" w:ascii="Arial" w:hAnsi="Arial" w:eastAsia="Arial" w:cs="Arial"/>
        <w:w w:val="102"/>
        <w:sz w:val="15"/>
        <w:szCs w:val="15"/>
        <w:lang w:val="es-ES" w:eastAsia="es-ES" w:bidi="es-ES"/>
      </w:rPr>
    </w:lvl>
    <w:lvl w:ilvl="2">
      <w:start w:val="0"/>
      <w:numFmt w:val="bullet"/>
      <w:lvlText w:val="•"/>
      <w:lvlJc w:val="left"/>
      <w:pPr>
        <w:ind w:left="1678" w:hanging="180"/>
      </w:pPr>
      <w:rPr>
        <w:rFonts w:hint="default"/>
        <w:lang w:val="es-ES" w:eastAsia="es-ES" w:bidi="es-ES"/>
      </w:rPr>
    </w:lvl>
    <w:lvl w:ilvl="3">
      <w:start w:val="0"/>
      <w:numFmt w:val="bullet"/>
      <w:lvlText w:val="•"/>
      <w:lvlJc w:val="left"/>
      <w:pPr>
        <w:ind w:left="2437" w:hanging="180"/>
      </w:pPr>
      <w:rPr>
        <w:rFonts w:hint="default"/>
        <w:lang w:val="es-ES" w:eastAsia="es-ES" w:bidi="es-ES"/>
      </w:rPr>
    </w:lvl>
    <w:lvl w:ilvl="4">
      <w:start w:val="0"/>
      <w:numFmt w:val="bullet"/>
      <w:lvlText w:val="•"/>
      <w:lvlJc w:val="left"/>
      <w:pPr>
        <w:ind w:left="3196" w:hanging="180"/>
      </w:pPr>
      <w:rPr>
        <w:rFonts w:hint="default"/>
        <w:lang w:val="es-ES" w:eastAsia="es-ES" w:bidi="es-ES"/>
      </w:rPr>
    </w:lvl>
    <w:lvl w:ilvl="5">
      <w:start w:val="0"/>
      <w:numFmt w:val="bullet"/>
      <w:lvlText w:val="•"/>
      <w:lvlJc w:val="left"/>
      <w:pPr>
        <w:ind w:left="3955" w:hanging="180"/>
      </w:pPr>
      <w:rPr>
        <w:rFonts w:hint="default"/>
        <w:lang w:val="es-ES" w:eastAsia="es-ES" w:bidi="es-ES"/>
      </w:rPr>
    </w:lvl>
    <w:lvl w:ilvl="6">
      <w:start w:val="0"/>
      <w:numFmt w:val="bullet"/>
      <w:lvlText w:val="•"/>
      <w:lvlJc w:val="left"/>
      <w:pPr>
        <w:ind w:left="4714" w:hanging="180"/>
      </w:pPr>
      <w:rPr>
        <w:rFonts w:hint="default"/>
        <w:lang w:val="es-ES" w:eastAsia="es-ES" w:bidi="es-ES"/>
      </w:rPr>
    </w:lvl>
    <w:lvl w:ilvl="7">
      <w:start w:val="0"/>
      <w:numFmt w:val="bullet"/>
      <w:lvlText w:val="•"/>
      <w:lvlJc w:val="left"/>
      <w:pPr>
        <w:ind w:left="5473" w:hanging="180"/>
      </w:pPr>
      <w:rPr>
        <w:rFonts w:hint="default"/>
        <w:lang w:val="es-ES" w:eastAsia="es-ES" w:bidi="es-ES"/>
      </w:rPr>
    </w:lvl>
    <w:lvl w:ilvl="8">
      <w:start w:val="0"/>
      <w:numFmt w:val="bullet"/>
      <w:lvlText w:val="•"/>
      <w:lvlJc w:val="left"/>
      <w:pPr>
        <w:ind w:left="6233" w:hanging="180"/>
      </w:pPr>
      <w:rPr>
        <w:rFonts w:hint="default"/>
        <w:lang w:val="es-ES" w:eastAsia="es-ES" w:bidi="es-ES"/>
      </w:rPr>
    </w:lvl>
  </w:abstractNum>
  <w:abstractNum w:abstractNumId="108">
    <w:multiLevelType w:val="hybridMultilevel"/>
    <w:lvl w:ilvl="0">
      <w:start w:val="3"/>
      <w:numFmt w:val="lowerLetter"/>
      <w:lvlText w:val="%1)"/>
      <w:lvlJc w:val="left"/>
      <w:pPr>
        <w:ind w:left="151" w:hanging="130"/>
        <w:jc w:val="left"/>
      </w:pPr>
      <w:rPr>
        <w:rFonts w:hint="default" w:ascii="Arial" w:hAnsi="Arial" w:eastAsia="Arial" w:cs="Arial"/>
        <w:spacing w:val="-21"/>
        <w:w w:val="100"/>
        <w:sz w:val="13"/>
        <w:szCs w:val="13"/>
        <w:lang w:val="es-ES" w:eastAsia="es-ES" w:bidi="es-ES"/>
      </w:rPr>
    </w:lvl>
    <w:lvl w:ilvl="1">
      <w:start w:val="1"/>
      <w:numFmt w:val="decimal"/>
      <w:lvlText w:val="%2"/>
      <w:lvlJc w:val="left"/>
      <w:pPr>
        <w:ind w:left="558" w:hanging="277"/>
        <w:jc w:val="left"/>
      </w:pPr>
      <w:rPr>
        <w:rFonts w:hint="default" w:ascii="Arial" w:hAnsi="Arial" w:eastAsia="Arial" w:cs="Arial"/>
        <w:w w:val="102"/>
        <w:sz w:val="15"/>
        <w:szCs w:val="15"/>
        <w:lang w:val="es-ES" w:eastAsia="es-ES" w:bidi="es-ES"/>
      </w:rPr>
    </w:lvl>
    <w:lvl w:ilvl="2">
      <w:start w:val="0"/>
      <w:numFmt w:val="bullet"/>
      <w:lvlText w:val="•"/>
      <w:lvlJc w:val="left"/>
      <w:pPr>
        <w:ind w:left="1015" w:hanging="277"/>
      </w:pPr>
      <w:rPr>
        <w:rFonts w:hint="default"/>
        <w:lang w:val="es-ES" w:eastAsia="es-ES" w:bidi="es-ES"/>
      </w:rPr>
    </w:lvl>
    <w:lvl w:ilvl="3">
      <w:start w:val="0"/>
      <w:numFmt w:val="bullet"/>
      <w:lvlText w:val="•"/>
      <w:lvlJc w:val="left"/>
      <w:pPr>
        <w:ind w:left="1471" w:hanging="277"/>
      </w:pPr>
      <w:rPr>
        <w:rFonts w:hint="default"/>
        <w:lang w:val="es-ES" w:eastAsia="es-ES" w:bidi="es-ES"/>
      </w:rPr>
    </w:lvl>
    <w:lvl w:ilvl="4">
      <w:start w:val="0"/>
      <w:numFmt w:val="bullet"/>
      <w:lvlText w:val="•"/>
      <w:lvlJc w:val="left"/>
      <w:pPr>
        <w:ind w:left="1927" w:hanging="277"/>
      </w:pPr>
      <w:rPr>
        <w:rFonts w:hint="default"/>
        <w:lang w:val="es-ES" w:eastAsia="es-ES" w:bidi="es-ES"/>
      </w:rPr>
    </w:lvl>
    <w:lvl w:ilvl="5">
      <w:start w:val="0"/>
      <w:numFmt w:val="bullet"/>
      <w:lvlText w:val="•"/>
      <w:lvlJc w:val="left"/>
      <w:pPr>
        <w:ind w:left="2383" w:hanging="277"/>
      </w:pPr>
      <w:rPr>
        <w:rFonts w:hint="default"/>
        <w:lang w:val="es-ES" w:eastAsia="es-ES" w:bidi="es-ES"/>
      </w:rPr>
    </w:lvl>
    <w:lvl w:ilvl="6">
      <w:start w:val="0"/>
      <w:numFmt w:val="bullet"/>
      <w:lvlText w:val="•"/>
      <w:lvlJc w:val="left"/>
      <w:pPr>
        <w:ind w:left="2839" w:hanging="277"/>
      </w:pPr>
      <w:rPr>
        <w:rFonts w:hint="default"/>
        <w:lang w:val="es-ES" w:eastAsia="es-ES" w:bidi="es-ES"/>
      </w:rPr>
    </w:lvl>
    <w:lvl w:ilvl="7">
      <w:start w:val="0"/>
      <w:numFmt w:val="bullet"/>
      <w:lvlText w:val="•"/>
      <w:lvlJc w:val="left"/>
      <w:pPr>
        <w:ind w:left="3295" w:hanging="277"/>
      </w:pPr>
      <w:rPr>
        <w:rFonts w:hint="default"/>
        <w:lang w:val="es-ES" w:eastAsia="es-ES" w:bidi="es-ES"/>
      </w:rPr>
    </w:lvl>
    <w:lvl w:ilvl="8">
      <w:start w:val="0"/>
      <w:numFmt w:val="bullet"/>
      <w:lvlText w:val="•"/>
      <w:lvlJc w:val="left"/>
      <w:pPr>
        <w:ind w:left="3751" w:hanging="277"/>
      </w:pPr>
      <w:rPr>
        <w:rFonts w:hint="default"/>
        <w:lang w:val="es-ES" w:eastAsia="es-ES" w:bidi="es-ES"/>
      </w:rPr>
    </w:lvl>
  </w:abstractNum>
  <w:abstractNum w:abstractNumId="107">
    <w:multiLevelType w:val="hybridMultilevel"/>
    <w:lvl w:ilvl="0">
      <w:start w:val="2"/>
      <w:numFmt w:val="lowerLetter"/>
      <w:lvlText w:val="%1)"/>
      <w:lvlJc w:val="left"/>
      <w:pPr>
        <w:ind w:left="151" w:hanging="321"/>
        <w:jc w:val="left"/>
      </w:pPr>
      <w:rPr>
        <w:rFonts w:hint="default" w:ascii="Arial" w:hAnsi="Arial" w:eastAsia="Arial" w:cs="Arial"/>
        <w:w w:val="102"/>
        <w:sz w:val="15"/>
        <w:szCs w:val="15"/>
        <w:lang w:val="es-ES" w:eastAsia="es-ES" w:bidi="es-ES"/>
      </w:rPr>
    </w:lvl>
    <w:lvl w:ilvl="1">
      <w:start w:val="0"/>
      <w:numFmt w:val="bullet"/>
      <w:lvlText w:val="•"/>
      <w:lvlJc w:val="left"/>
      <w:pPr>
        <w:ind w:left="958" w:hanging="321"/>
      </w:pPr>
      <w:rPr>
        <w:rFonts w:hint="default"/>
        <w:lang w:val="es-ES" w:eastAsia="es-ES" w:bidi="es-ES"/>
      </w:rPr>
    </w:lvl>
    <w:lvl w:ilvl="2">
      <w:start w:val="0"/>
      <w:numFmt w:val="bullet"/>
      <w:lvlText w:val="•"/>
      <w:lvlJc w:val="left"/>
      <w:pPr>
        <w:ind w:left="1757" w:hanging="321"/>
      </w:pPr>
      <w:rPr>
        <w:rFonts w:hint="default"/>
        <w:lang w:val="es-ES" w:eastAsia="es-ES" w:bidi="es-ES"/>
      </w:rPr>
    </w:lvl>
    <w:lvl w:ilvl="3">
      <w:start w:val="0"/>
      <w:numFmt w:val="bullet"/>
      <w:lvlText w:val="•"/>
      <w:lvlJc w:val="left"/>
      <w:pPr>
        <w:ind w:left="2555" w:hanging="321"/>
      </w:pPr>
      <w:rPr>
        <w:rFonts w:hint="default"/>
        <w:lang w:val="es-ES" w:eastAsia="es-ES" w:bidi="es-ES"/>
      </w:rPr>
    </w:lvl>
    <w:lvl w:ilvl="4">
      <w:start w:val="0"/>
      <w:numFmt w:val="bullet"/>
      <w:lvlText w:val="•"/>
      <w:lvlJc w:val="left"/>
      <w:pPr>
        <w:ind w:left="3354" w:hanging="321"/>
      </w:pPr>
      <w:rPr>
        <w:rFonts w:hint="default"/>
        <w:lang w:val="es-ES" w:eastAsia="es-ES" w:bidi="es-ES"/>
      </w:rPr>
    </w:lvl>
    <w:lvl w:ilvl="5">
      <w:start w:val="0"/>
      <w:numFmt w:val="bullet"/>
      <w:lvlText w:val="•"/>
      <w:lvlJc w:val="left"/>
      <w:pPr>
        <w:ind w:left="4153" w:hanging="321"/>
      </w:pPr>
      <w:rPr>
        <w:rFonts w:hint="default"/>
        <w:lang w:val="es-ES" w:eastAsia="es-ES" w:bidi="es-ES"/>
      </w:rPr>
    </w:lvl>
    <w:lvl w:ilvl="6">
      <w:start w:val="0"/>
      <w:numFmt w:val="bullet"/>
      <w:lvlText w:val="•"/>
      <w:lvlJc w:val="left"/>
      <w:pPr>
        <w:ind w:left="4951" w:hanging="321"/>
      </w:pPr>
      <w:rPr>
        <w:rFonts w:hint="default"/>
        <w:lang w:val="es-ES" w:eastAsia="es-ES" w:bidi="es-ES"/>
      </w:rPr>
    </w:lvl>
    <w:lvl w:ilvl="7">
      <w:start w:val="0"/>
      <w:numFmt w:val="bullet"/>
      <w:lvlText w:val="•"/>
      <w:lvlJc w:val="left"/>
      <w:pPr>
        <w:ind w:left="5750" w:hanging="321"/>
      </w:pPr>
      <w:rPr>
        <w:rFonts w:hint="default"/>
        <w:lang w:val="es-ES" w:eastAsia="es-ES" w:bidi="es-ES"/>
      </w:rPr>
    </w:lvl>
    <w:lvl w:ilvl="8">
      <w:start w:val="0"/>
      <w:numFmt w:val="bullet"/>
      <w:lvlText w:val="•"/>
      <w:lvlJc w:val="left"/>
      <w:pPr>
        <w:ind w:left="6549" w:hanging="321"/>
      </w:pPr>
      <w:rPr>
        <w:rFonts w:hint="default"/>
        <w:lang w:val="es-ES" w:eastAsia="es-ES" w:bidi="es-ES"/>
      </w:rPr>
    </w:lvl>
  </w:abstractNum>
  <w:abstractNum w:abstractNumId="106">
    <w:multiLevelType w:val="hybridMultilevel"/>
    <w:lvl w:ilvl="0">
      <w:start w:val="1"/>
      <w:numFmt w:val="decimal"/>
      <w:lvlText w:val="%1."/>
      <w:lvlJc w:val="left"/>
      <w:pPr>
        <w:ind w:left="226" w:hanging="251"/>
        <w:jc w:val="right"/>
      </w:pPr>
      <w:rPr>
        <w:rFonts w:hint="default" w:ascii="Arial" w:hAnsi="Arial" w:eastAsia="Arial" w:cs="Arial"/>
        <w:w w:val="102"/>
        <w:sz w:val="15"/>
        <w:szCs w:val="15"/>
        <w:lang w:val="es-ES" w:eastAsia="es-ES" w:bidi="es-ES"/>
      </w:rPr>
    </w:lvl>
    <w:lvl w:ilvl="1">
      <w:start w:val="1"/>
      <w:numFmt w:val="lowerLetter"/>
      <w:lvlText w:val="%2)"/>
      <w:lvlJc w:val="left"/>
      <w:pPr>
        <w:ind w:left="302" w:hanging="321"/>
        <w:jc w:val="right"/>
      </w:pPr>
      <w:rPr>
        <w:rFonts w:hint="default" w:ascii="Arial" w:hAnsi="Arial" w:eastAsia="Arial" w:cs="Arial"/>
        <w:w w:val="102"/>
        <w:sz w:val="15"/>
        <w:szCs w:val="15"/>
        <w:lang w:val="es-ES" w:eastAsia="es-ES" w:bidi="es-ES"/>
      </w:rPr>
    </w:lvl>
    <w:lvl w:ilvl="2">
      <w:start w:val="0"/>
      <w:numFmt w:val="bullet"/>
      <w:lvlText w:val="•"/>
      <w:lvlJc w:val="left"/>
      <w:pPr>
        <w:ind w:left="1188" w:hanging="321"/>
      </w:pPr>
      <w:rPr>
        <w:rFonts w:hint="default"/>
        <w:lang w:val="es-ES" w:eastAsia="es-ES" w:bidi="es-ES"/>
      </w:rPr>
    </w:lvl>
    <w:lvl w:ilvl="3">
      <w:start w:val="0"/>
      <w:numFmt w:val="bullet"/>
      <w:lvlText w:val="•"/>
      <w:lvlJc w:val="left"/>
      <w:pPr>
        <w:ind w:left="2077" w:hanging="321"/>
      </w:pPr>
      <w:rPr>
        <w:rFonts w:hint="default"/>
        <w:lang w:val="es-ES" w:eastAsia="es-ES" w:bidi="es-ES"/>
      </w:rPr>
    </w:lvl>
    <w:lvl w:ilvl="4">
      <w:start w:val="0"/>
      <w:numFmt w:val="bullet"/>
      <w:lvlText w:val="•"/>
      <w:lvlJc w:val="left"/>
      <w:pPr>
        <w:ind w:left="2965" w:hanging="321"/>
      </w:pPr>
      <w:rPr>
        <w:rFonts w:hint="default"/>
        <w:lang w:val="es-ES" w:eastAsia="es-ES" w:bidi="es-ES"/>
      </w:rPr>
    </w:lvl>
    <w:lvl w:ilvl="5">
      <w:start w:val="0"/>
      <w:numFmt w:val="bullet"/>
      <w:lvlText w:val="•"/>
      <w:lvlJc w:val="left"/>
      <w:pPr>
        <w:ind w:left="3854" w:hanging="321"/>
      </w:pPr>
      <w:rPr>
        <w:rFonts w:hint="default"/>
        <w:lang w:val="es-ES" w:eastAsia="es-ES" w:bidi="es-ES"/>
      </w:rPr>
    </w:lvl>
    <w:lvl w:ilvl="6">
      <w:start w:val="0"/>
      <w:numFmt w:val="bullet"/>
      <w:lvlText w:val="•"/>
      <w:lvlJc w:val="left"/>
      <w:pPr>
        <w:ind w:left="4743" w:hanging="321"/>
      </w:pPr>
      <w:rPr>
        <w:rFonts w:hint="default"/>
        <w:lang w:val="es-ES" w:eastAsia="es-ES" w:bidi="es-ES"/>
      </w:rPr>
    </w:lvl>
    <w:lvl w:ilvl="7">
      <w:start w:val="0"/>
      <w:numFmt w:val="bullet"/>
      <w:lvlText w:val="•"/>
      <w:lvlJc w:val="left"/>
      <w:pPr>
        <w:ind w:left="5631" w:hanging="321"/>
      </w:pPr>
      <w:rPr>
        <w:rFonts w:hint="default"/>
        <w:lang w:val="es-ES" w:eastAsia="es-ES" w:bidi="es-ES"/>
      </w:rPr>
    </w:lvl>
    <w:lvl w:ilvl="8">
      <w:start w:val="0"/>
      <w:numFmt w:val="bullet"/>
      <w:lvlText w:val="•"/>
      <w:lvlJc w:val="left"/>
      <w:pPr>
        <w:ind w:left="6520" w:hanging="321"/>
      </w:pPr>
      <w:rPr>
        <w:rFonts w:hint="default"/>
        <w:lang w:val="es-ES" w:eastAsia="es-ES" w:bidi="es-ES"/>
      </w:rPr>
    </w:lvl>
  </w:abstractNum>
  <w:abstractNum w:abstractNumId="105">
    <w:multiLevelType w:val="hybridMultilevel"/>
    <w:lvl w:ilvl="0">
      <w:start w:val="1"/>
      <w:numFmt w:val="decimal"/>
      <w:lvlText w:val="%1."/>
      <w:lvlJc w:val="left"/>
      <w:pPr>
        <w:ind w:left="226" w:hanging="228"/>
        <w:jc w:val="left"/>
      </w:pPr>
      <w:rPr>
        <w:rFonts w:hint="default" w:ascii="Arial" w:hAnsi="Arial" w:eastAsia="Arial" w:cs="Arial"/>
        <w:w w:val="102"/>
        <w:sz w:val="15"/>
        <w:szCs w:val="15"/>
        <w:lang w:val="es-ES" w:eastAsia="es-ES" w:bidi="es-ES"/>
      </w:rPr>
    </w:lvl>
    <w:lvl w:ilvl="1">
      <w:start w:val="0"/>
      <w:numFmt w:val="bullet"/>
      <w:lvlText w:val="•"/>
      <w:lvlJc w:val="left"/>
      <w:pPr>
        <w:ind w:left="649" w:hanging="228"/>
      </w:pPr>
      <w:rPr>
        <w:rFonts w:hint="default"/>
        <w:lang w:val="es-ES" w:eastAsia="es-ES" w:bidi="es-ES"/>
      </w:rPr>
    </w:lvl>
    <w:lvl w:ilvl="2">
      <w:start w:val="0"/>
      <w:numFmt w:val="bullet"/>
      <w:lvlText w:val="•"/>
      <w:lvlJc w:val="left"/>
      <w:pPr>
        <w:ind w:left="1079" w:hanging="228"/>
      </w:pPr>
      <w:rPr>
        <w:rFonts w:hint="default"/>
        <w:lang w:val="es-ES" w:eastAsia="es-ES" w:bidi="es-ES"/>
      </w:rPr>
    </w:lvl>
    <w:lvl w:ilvl="3">
      <w:start w:val="0"/>
      <w:numFmt w:val="bullet"/>
      <w:lvlText w:val="•"/>
      <w:lvlJc w:val="left"/>
      <w:pPr>
        <w:ind w:left="1509" w:hanging="228"/>
      </w:pPr>
      <w:rPr>
        <w:rFonts w:hint="default"/>
        <w:lang w:val="es-ES" w:eastAsia="es-ES" w:bidi="es-ES"/>
      </w:rPr>
    </w:lvl>
    <w:lvl w:ilvl="4">
      <w:start w:val="0"/>
      <w:numFmt w:val="bullet"/>
      <w:lvlText w:val="•"/>
      <w:lvlJc w:val="left"/>
      <w:pPr>
        <w:ind w:left="1939" w:hanging="228"/>
      </w:pPr>
      <w:rPr>
        <w:rFonts w:hint="default"/>
        <w:lang w:val="es-ES" w:eastAsia="es-ES" w:bidi="es-ES"/>
      </w:rPr>
    </w:lvl>
    <w:lvl w:ilvl="5">
      <w:start w:val="0"/>
      <w:numFmt w:val="bullet"/>
      <w:lvlText w:val="•"/>
      <w:lvlJc w:val="left"/>
      <w:pPr>
        <w:ind w:left="2369" w:hanging="228"/>
      </w:pPr>
      <w:rPr>
        <w:rFonts w:hint="default"/>
        <w:lang w:val="es-ES" w:eastAsia="es-ES" w:bidi="es-ES"/>
      </w:rPr>
    </w:lvl>
    <w:lvl w:ilvl="6">
      <w:start w:val="0"/>
      <w:numFmt w:val="bullet"/>
      <w:lvlText w:val="•"/>
      <w:lvlJc w:val="left"/>
      <w:pPr>
        <w:ind w:left="2799" w:hanging="228"/>
      </w:pPr>
      <w:rPr>
        <w:rFonts w:hint="default"/>
        <w:lang w:val="es-ES" w:eastAsia="es-ES" w:bidi="es-ES"/>
      </w:rPr>
    </w:lvl>
    <w:lvl w:ilvl="7">
      <w:start w:val="0"/>
      <w:numFmt w:val="bullet"/>
      <w:lvlText w:val="•"/>
      <w:lvlJc w:val="left"/>
      <w:pPr>
        <w:ind w:left="3229" w:hanging="228"/>
      </w:pPr>
      <w:rPr>
        <w:rFonts w:hint="default"/>
        <w:lang w:val="es-ES" w:eastAsia="es-ES" w:bidi="es-ES"/>
      </w:rPr>
    </w:lvl>
    <w:lvl w:ilvl="8">
      <w:start w:val="0"/>
      <w:numFmt w:val="bullet"/>
      <w:lvlText w:val="•"/>
      <w:lvlJc w:val="left"/>
      <w:pPr>
        <w:ind w:left="3659" w:hanging="228"/>
      </w:pPr>
      <w:rPr>
        <w:rFonts w:hint="default"/>
        <w:lang w:val="es-ES" w:eastAsia="es-ES" w:bidi="es-ES"/>
      </w:rPr>
    </w:lvl>
  </w:abstractNum>
  <w:abstractNum w:abstractNumId="104">
    <w:multiLevelType w:val="hybridMultilevel"/>
    <w:lvl w:ilvl="0">
      <w:start w:val="1"/>
      <w:numFmt w:val="decimal"/>
      <w:lvlText w:val="%1."/>
      <w:lvlJc w:val="left"/>
      <w:pPr>
        <w:ind w:left="226" w:hanging="245"/>
        <w:jc w:val="left"/>
      </w:pPr>
      <w:rPr>
        <w:rFonts w:hint="default" w:ascii="Arial" w:hAnsi="Arial" w:eastAsia="Arial" w:cs="Arial"/>
        <w:w w:val="102"/>
        <w:sz w:val="15"/>
        <w:szCs w:val="15"/>
        <w:lang w:val="es-ES" w:eastAsia="es-ES" w:bidi="es-ES"/>
      </w:rPr>
    </w:lvl>
    <w:lvl w:ilvl="1">
      <w:start w:val="0"/>
      <w:numFmt w:val="bullet"/>
      <w:lvlText w:val="•"/>
      <w:lvlJc w:val="left"/>
      <w:pPr>
        <w:ind w:left="649" w:hanging="245"/>
      </w:pPr>
      <w:rPr>
        <w:rFonts w:hint="default"/>
        <w:lang w:val="es-ES" w:eastAsia="es-ES" w:bidi="es-ES"/>
      </w:rPr>
    </w:lvl>
    <w:lvl w:ilvl="2">
      <w:start w:val="0"/>
      <w:numFmt w:val="bullet"/>
      <w:lvlText w:val="•"/>
      <w:lvlJc w:val="left"/>
      <w:pPr>
        <w:ind w:left="1079" w:hanging="245"/>
      </w:pPr>
      <w:rPr>
        <w:rFonts w:hint="default"/>
        <w:lang w:val="es-ES" w:eastAsia="es-ES" w:bidi="es-ES"/>
      </w:rPr>
    </w:lvl>
    <w:lvl w:ilvl="3">
      <w:start w:val="0"/>
      <w:numFmt w:val="bullet"/>
      <w:lvlText w:val="•"/>
      <w:lvlJc w:val="left"/>
      <w:pPr>
        <w:ind w:left="1509" w:hanging="245"/>
      </w:pPr>
      <w:rPr>
        <w:rFonts w:hint="default"/>
        <w:lang w:val="es-ES" w:eastAsia="es-ES" w:bidi="es-ES"/>
      </w:rPr>
    </w:lvl>
    <w:lvl w:ilvl="4">
      <w:start w:val="0"/>
      <w:numFmt w:val="bullet"/>
      <w:lvlText w:val="•"/>
      <w:lvlJc w:val="left"/>
      <w:pPr>
        <w:ind w:left="1939" w:hanging="245"/>
      </w:pPr>
      <w:rPr>
        <w:rFonts w:hint="default"/>
        <w:lang w:val="es-ES" w:eastAsia="es-ES" w:bidi="es-ES"/>
      </w:rPr>
    </w:lvl>
    <w:lvl w:ilvl="5">
      <w:start w:val="0"/>
      <w:numFmt w:val="bullet"/>
      <w:lvlText w:val="•"/>
      <w:lvlJc w:val="left"/>
      <w:pPr>
        <w:ind w:left="2369" w:hanging="245"/>
      </w:pPr>
      <w:rPr>
        <w:rFonts w:hint="default"/>
        <w:lang w:val="es-ES" w:eastAsia="es-ES" w:bidi="es-ES"/>
      </w:rPr>
    </w:lvl>
    <w:lvl w:ilvl="6">
      <w:start w:val="0"/>
      <w:numFmt w:val="bullet"/>
      <w:lvlText w:val="•"/>
      <w:lvlJc w:val="left"/>
      <w:pPr>
        <w:ind w:left="2799" w:hanging="245"/>
      </w:pPr>
      <w:rPr>
        <w:rFonts w:hint="default"/>
        <w:lang w:val="es-ES" w:eastAsia="es-ES" w:bidi="es-ES"/>
      </w:rPr>
    </w:lvl>
    <w:lvl w:ilvl="7">
      <w:start w:val="0"/>
      <w:numFmt w:val="bullet"/>
      <w:lvlText w:val="•"/>
      <w:lvlJc w:val="left"/>
      <w:pPr>
        <w:ind w:left="3229" w:hanging="245"/>
      </w:pPr>
      <w:rPr>
        <w:rFonts w:hint="default"/>
        <w:lang w:val="es-ES" w:eastAsia="es-ES" w:bidi="es-ES"/>
      </w:rPr>
    </w:lvl>
    <w:lvl w:ilvl="8">
      <w:start w:val="0"/>
      <w:numFmt w:val="bullet"/>
      <w:lvlText w:val="•"/>
      <w:lvlJc w:val="left"/>
      <w:pPr>
        <w:ind w:left="3658" w:hanging="245"/>
      </w:pPr>
      <w:rPr>
        <w:rFonts w:hint="default"/>
        <w:lang w:val="es-ES" w:eastAsia="es-ES" w:bidi="es-ES"/>
      </w:rPr>
    </w:lvl>
  </w:abstractNum>
  <w:abstractNum w:abstractNumId="103">
    <w:multiLevelType w:val="hybridMultilevel"/>
    <w:lvl w:ilvl="0">
      <w:start w:val="10"/>
      <w:numFmt w:val="lowerLetter"/>
      <w:lvlText w:val="%1)"/>
      <w:lvlJc w:val="left"/>
      <w:pPr>
        <w:ind w:left="752" w:hanging="129"/>
        <w:jc w:val="left"/>
      </w:pPr>
      <w:rPr>
        <w:rFonts w:hint="default" w:ascii="Arial" w:hAnsi="Arial" w:eastAsia="Arial" w:cs="Arial"/>
        <w:w w:val="102"/>
        <w:sz w:val="15"/>
        <w:szCs w:val="15"/>
        <w:lang w:val="es-ES" w:eastAsia="es-ES" w:bidi="es-ES"/>
      </w:rPr>
    </w:lvl>
    <w:lvl w:ilvl="1">
      <w:start w:val="1"/>
      <w:numFmt w:val="decimal"/>
      <w:lvlText w:val="%2."/>
      <w:lvlJc w:val="left"/>
      <w:pPr>
        <w:ind w:left="894" w:hanging="172"/>
        <w:jc w:val="left"/>
      </w:pPr>
      <w:rPr>
        <w:rFonts w:hint="default" w:ascii="Arial" w:hAnsi="Arial" w:eastAsia="Arial" w:cs="Arial"/>
        <w:w w:val="102"/>
        <w:sz w:val="15"/>
        <w:szCs w:val="15"/>
        <w:lang w:val="es-ES" w:eastAsia="es-ES" w:bidi="es-ES"/>
      </w:rPr>
    </w:lvl>
    <w:lvl w:ilvl="2">
      <w:start w:val="0"/>
      <w:numFmt w:val="bullet"/>
      <w:lvlText w:val="•"/>
      <w:lvlJc w:val="left"/>
      <w:pPr>
        <w:ind w:left="1721" w:hanging="172"/>
      </w:pPr>
      <w:rPr>
        <w:rFonts w:hint="default"/>
        <w:lang w:val="es-ES" w:eastAsia="es-ES" w:bidi="es-ES"/>
      </w:rPr>
    </w:lvl>
    <w:lvl w:ilvl="3">
      <w:start w:val="0"/>
      <w:numFmt w:val="bullet"/>
      <w:lvlText w:val="•"/>
      <w:lvlJc w:val="left"/>
      <w:pPr>
        <w:ind w:left="2543" w:hanging="172"/>
      </w:pPr>
      <w:rPr>
        <w:rFonts w:hint="default"/>
        <w:lang w:val="es-ES" w:eastAsia="es-ES" w:bidi="es-ES"/>
      </w:rPr>
    </w:lvl>
    <w:lvl w:ilvl="4">
      <w:start w:val="0"/>
      <w:numFmt w:val="bullet"/>
      <w:lvlText w:val="•"/>
      <w:lvlJc w:val="left"/>
      <w:pPr>
        <w:ind w:left="3365" w:hanging="172"/>
      </w:pPr>
      <w:rPr>
        <w:rFonts w:hint="default"/>
        <w:lang w:val="es-ES" w:eastAsia="es-ES" w:bidi="es-ES"/>
      </w:rPr>
    </w:lvl>
    <w:lvl w:ilvl="5">
      <w:start w:val="0"/>
      <w:numFmt w:val="bullet"/>
      <w:lvlText w:val="•"/>
      <w:lvlJc w:val="left"/>
      <w:pPr>
        <w:ind w:left="4187" w:hanging="172"/>
      </w:pPr>
      <w:rPr>
        <w:rFonts w:hint="default"/>
        <w:lang w:val="es-ES" w:eastAsia="es-ES" w:bidi="es-ES"/>
      </w:rPr>
    </w:lvl>
    <w:lvl w:ilvl="6">
      <w:start w:val="0"/>
      <w:numFmt w:val="bullet"/>
      <w:lvlText w:val="•"/>
      <w:lvlJc w:val="left"/>
      <w:pPr>
        <w:ind w:left="5009" w:hanging="172"/>
      </w:pPr>
      <w:rPr>
        <w:rFonts w:hint="default"/>
        <w:lang w:val="es-ES" w:eastAsia="es-ES" w:bidi="es-ES"/>
      </w:rPr>
    </w:lvl>
    <w:lvl w:ilvl="7">
      <w:start w:val="0"/>
      <w:numFmt w:val="bullet"/>
      <w:lvlText w:val="•"/>
      <w:lvlJc w:val="left"/>
      <w:pPr>
        <w:ind w:left="5831" w:hanging="172"/>
      </w:pPr>
      <w:rPr>
        <w:rFonts w:hint="default"/>
        <w:lang w:val="es-ES" w:eastAsia="es-ES" w:bidi="es-ES"/>
      </w:rPr>
    </w:lvl>
    <w:lvl w:ilvl="8">
      <w:start w:val="0"/>
      <w:numFmt w:val="bullet"/>
      <w:lvlText w:val="•"/>
      <w:lvlJc w:val="left"/>
      <w:pPr>
        <w:ind w:left="6653" w:hanging="172"/>
      </w:pPr>
      <w:rPr>
        <w:rFonts w:hint="default"/>
        <w:lang w:val="es-ES" w:eastAsia="es-ES" w:bidi="es-ES"/>
      </w:rPr>
    </w:lvl>
  </w:abstractNum>
  <w:abstractNum w:abstractNumId="102">
    <w:multiLevelType w:val="hybridMultilevel"/>
    <w:lvl w:ilvl="0">
      <w:start w:val="1"/>
      <w:numFmt w:val="decimal"/>
      <w:lvlText w:val="%1."/>
      <w:lvlJc w:val="left"/>
      <w:pPr>
        <w:ind w:left="894" w:hanging="172"/>
        <w:jc w:val="left"/>
      </w:pPr>
      <w:rPr>
        <w:rFonts w:hint="default" w:ascii="Arial" w:hAnsi="Arial" w:eastAsia="Arial" w:cs="Arial"/>
        <w:w w:val="102"/>
        <w:sz w:val="15"/>
        <w:szCs w:val="15"/>
        <w:lang w:val="es-ES" w:eastAsia="es-ES" w:bidi="es-ES"/>
      </w:rPr>
    </w:lvl>
    <w:lvl w:ilvl="1">
      <w:start w:val="0"/>
      <w:numFmt w:val="bullet"/>
      <w:lvlText w:val="•"/>
      <w:lvlJc w:val="left"/>
      <w:pPr>
        <w:ind w:left="1639" w:hanging="172"/>
      </w:pPr>
      <w:rPr>
        <w:rFonts w:hint="default"/>
        <w:lang w:val="es-ES" w:eastAsia="es-ES" w:bidi="es-ES"/>
      </w:rPr>
    </w:lvl>
    <w:lvl w:ilvl="2">
      <w:start w:val="0"/>
      <w:numFmt w:val="bullet"/>
      <w:lvlText w:val="•"/>
      <w:lvlJc w:val="left"/>
      <w:pPr>
        <w:ind w:left="2379" w:hanging="172"/>
      </w:pPr>
      <w:rPr>
        <w:rFonts w:hint="default"/>
        <w:lang w:val="es-ES" w:eastAsia="es-ES" w:bidi="es-ES"/>
      </w:rPr>
    </w:lvl>
    <w:lvl w:ilvl="3">
      <w:start w:val="0"/>
      <w:numFmt w:val="bullet"/>
      <w:lvlText w:val="•"/>
      <w:lvlJc w:val="left"/>
      <w:pPr>
        <w:ind w:left="3119" w:hanging="172"/>
      </w:pPr>
      <w:rPr>
        <w:rFonts w:hint="default"/>
        <w:lang w:val="es-ES" w:eastAsia="es-ES" w:bidi="es-ES"/>
      </w:rPr>
    </w:lvl>
    <w:lvl w:ilvl="4">
      <w:start w:val="0"/>
      <w:numFmt w:val="bullet"/>
      <w:lvlText w:val="•"/>
      <w:lvlJc w:val="left"/>
      <w:pPr>
        <w:ind w:left="3859" w:hanging="172"/>
      </w:pPr>
      <w:rPr>
        <w:rFonts w:hint="default"/>
        <w:lang w:val="es-ES" w:eastAsia="es-ES" w:bidi="es-ES"/>
      </w:rPr>
    </w:lvl>
    <w:lvl w:ilvl="5">
      <w:start w:val="0"/>
      <w:numFmt w:val="bullet"/>
      <w:lvlText w:val="•"/>
      <w:lvlJc w:val="left"/>
      <w:pPr>
        <w:ind w:left="4598" w:hanging="172"/>
      </w:pPr>
      <w:rPr>
        <w:rFonts w:hint="default"/>
        <w:lang w:val="es-ES" w:eastAsia="es-ES" w:bidi="es-ES"/>
      </w:rPr>
    </w:lvl>
    <w:lvl w:ilvl="6">
      <w:start w:val="0"/>
      <w:numFmt w:val="bullet"/>
      <w:lvlText w:val="•"/>
      <w:lvlJc w:val="left"/>
      <w:pPr>
        <w:ind w:left="5338" w:hanging="172"/>
      </w:pPr>
      <w:rPr>
        <w:rFonts w:hint="default"/>
        <w:lang w:val="es-ES" w:eastAsia="es-ES" w:bidi="es-ES"/>
      </w:rPr>
    </w:lvl>
    <w:lvl w:ilvl="7">
      <w:start w:val="0"/>
      <w:numFmt w:val="bullet"/>
      <w:lvlText w:val="•"/>
      <w:lvlJc w:val="left"/>
      <w:pPr>
        <w:ind w:left="6078" w:hanging="172"/>
      </w:pPr>
      <w:rPr>
        <w:rFonts w:hint="default"/>
        <w:lang w:val="es-ES" w:eastAsia="es-ES" w:bidi="es-ES"/>
      </w:rPr>
    </w:lvl>
    <w:lvl w:ilvl="8">
      <w:start w:val="0"/>
      <w:numFmt w:val="bullet"/>
      <w:lvlText w:val="•"/>
      <w:lvlJc w:val="left"/>
      <w:pPr>
        <w:ind w:left="6818" w:hanging="172"/>
      </w:pPr>
      <w:rPr>
        <w:rFonts w:hint="default"/>
        <w:lang w:val="es-ES" w:eastAsia="es-ES" w:bidi="es-ES"/>
      </w:rPr>
    </w:lvl>
  </w:abstractNum>
  <w:abstractNum w:abstractNumId="101">
    <w:multiLevelType w:val="hybridMultilevel"/>
    <w:lvl w:ilvl="0">
      <w:start w:val="1"/>
      <w:numFmt w:val="decimal"/>
      <w:lvlText w:val="%1."/>
      <w:lvlJc w:val="left"/>
      <w:pPr>
        <w:ind w:left="818" w:hanging="172"/>
        <w:jc w:val="left"/>
      </w:pPr>
      <w:rPr>
        <w:rFonts w:hint="default" w:ascii="Arial" w:hAnsi="Arial" w:eastAsia="Arial" w:cs="Arial"/>
        <w:w w:val="102"/>
        <w:sz w:val="15"/>
        <w:szCs w:val="15"/>
        <w:lang w:val="es-ES" w:eastAsia="es-ES" w:bidi="es-ES"/>
      </w:rPr>
    </w:lvl>
    <w:lvl w:ilvl="1">
      <w:start w:val="0"/>
      <w:numFmt w:val="bullet"/>
      <w:lvlText w:val="•"/>
      <w:lvlJc w:val="left"/>
      <w:pPr>
        <w:ind w:left="1292" w:hanging="172"/>
      </w:pPr>
      <w:rPr>
        <w:rFonts w:hint="default"/>
        <w:lang w:val="es-ES" w:eastAsia="es-ES" w:bidi="es-ES"/>
      </w:rPr>
    </w:lvl>
    <w:lvl w:ilvl="2">
      <w:start w:val="0"/>
      <w:numFmt w:val="bullet"/>
      <w:lvlText w:val="•"/>
      <w:lvlJc w:val="left"/>
      <w:pPr>
        <w:ind w:left="1765" w:hanging="172"/>
      </w:pPr>
      <w:rPr>
        <w:rFonts w:hint="default"/>
        <w:lang w:val="es-ES" w:eastAsia="es-ES" w:bidi="es-ES"/>
      </w:rPr>
    </w:lvl>
    <w:lvl w:ilvl="3">
      <w:start w:val="0"/>
      <w:numFmt w:val="bullet"/>
      <w:lvlText w:val="•"/>
      <w:lvlJc w:val="left"/>
      <w:pPr>
        <w:ind w:left="2238" w:hanging="172"/>
      </w:pPr>
      <w:rPr>
        <w:rFonts w:hint="default"/>
        <w:lang w:val="es-ES" w:eastAsia="es-ES" w:bidi="es-ES"/>
      </w:rPr>
    </w:lvl>
    <w:lvl w:ilvl="4">
      <w:start w:val="0"/>
      <w:numFmt w:val="bullet"/>
      <w:lvlText w:val="•"/>
      <w:lvlJc w:val="left"/>
      <w:pPr>
        <w:ind w:left="2711" w:hanging="172"/>
      </w:pPr>
      <w:rPr>
        <w:rFonts w:hint="default"/>
        <w:lang w:val="es-ES" w:eastAsia="es-ES" w:bidi="es-ES"/>
      </w:rPr>
    </w:lvl>
    <w:lvl w:ilvl="5">
      <w:start w:val="0"/>
      <w:numFmt w:val="bullet"/>
      <w:lvlText w:val="•"/>
      <w:lvlJc w:val="left"/>
      <w:pPr>
        <w:ind w:left="3184" w:hanging="172"/>
      </w:pPr>
      <w:rPr>
        <w:rFonts w:hint="default"/>
        <w:lang w:val="es-ES" w:eastAsia="es-ES" w:bidi="es-ES"/>
      </w:rPr>
    </w:lvl>
    <w:lvl w:ilvl="6">
      <w:start w:val="0"/>
      <w:numFmt w:val="bullet"/>
      <w:lvlText w:val="•"/>
      <w:lvlJc w:val="left"/>
      <w:pPr>
        <w:ind w:left="3657" w:hanging="172"/>
      </w:pPr>
      <w:rPr>
        <w:rFonts w:hint="default"/>
        <w:lang w:val="es-ES" w:eastAsia="es-ES" w:bidi="es-ES"/>
      </w:rPr>
    </w:lvl>
    <w:lvl w:ilvl="7">
      <w:start w:val="0"/>
      <w:numFmt w:val="bullet"/>
      <w:lvlText w:val="•"/>
      <w:lvlJc w:val="left"/>
      <w:pPr>
        <w:ind w:left="4129" w:hanging="172"/>
      </w:pPr>
      <w:rPr>
        <w:rFonts w:hint="default"/>
        <w:lang w:val="es-ES" w:eastAsia="es-ES" w:bidi="es-ES"/>
      </w:rPr>
    </w:lvl>
    <w:lvl w:ilvl="8">
      <w:start w:val="0"/>
      <w:numFmt w:val="bullet"/>
      <w:lvlText w:val="•"/>
      <w:lvlJc w:val="left"/>
      <w:pPr>
        <w:ind w:left="4602" w:hanging="172"/>
      </w:pPr>
      <w:rPr>
        <w:rFonts w:hint="default"/>
        <w:lang w:val="es-ES" w:eastAsia="es-ES" w:bidi="es-ES"/>
      </w:rPr>
    </w:lvl>
  </w:abstractNum>
  <w:abstractNum w:abstractNumId="100">
    <w:multiLevelType w:val="hybridMultilevel"/>
    <w:lvl w:ilvl="0">
      <w:start w:val="1"/>
      <w:numFmt w:val="upperRoman"/>
      <w:lvlText w:val="%1."/>
      <w:lvlJc w:val="left"/>
      <w:pPr>
        <w:ind w:left="151" w:hanging="139"/>
        <w:jc w:val="left"/>
      </w:pPr>
      <w:rPr>
        <w:rFonts w:hint="default" w:ascii="Arial" w:hAnsi="Arial" w:eastAsia="Arial" w:cs="Arial"/>
        <w:w w:val="102"/>
        <w:sz w:val="15"/>
        <w:szCs w:val="15"/>
        <w:lang w:val="es-ES" w:eastAsia="es-ES" w:bidi="es-ES"/>
      </w:rPr>
    </w:lvl>
    <w:lvl w:ilvl="1">
      <w:start w:val="3"/>
      <w:numFmt w:val="upperRoman"/>
      <w:lvlText w:val="%2."/>
      <w:lvlJc w:val="left"/>
      <w:pPr>
        <w:ind w:left="862" w:hanging="215"/>
        <w:jc w:val="right"/>
      </w:pPr>
      <w:rPr>
        <w:rFonts w:hint="default" w:ascii="Arial" w:hAnsi="Arial" w:eastAsia="Arial" w:cs="Arial"/>
        <w:w w:val="102"/>
        <w:sz w:val="15"/>
        <w:szCs w:val="15"/>
        <w:lang w:val="es-ES" w:eastAsia="es-ES" w:bidi="es-ES"/>
      </w:rPr>
    </w:lvl>
    <w:lvl w:ilvl="2">
      <w:start w:val="0"/>
      <w:numFmt w:val="bullet"/>
      <w:lvlText w:val="•"/>
      <w:lvlJc w:val="left"/>
      <w:pPr>
        <w:ind w:left="334" w:hanging="215"/>
      </w:pPr>
      <w:rPr>
        <w:rFonts w:hint="default"/>
        <w:lang w:val="es-ES" w:eastAsia="es-ES" w:bidi="es-ES"/>
      </w:rPr>
    </w:lvl>
    <w:lvl w:ilvl="3">
      <w:start w:val="0"/>
      <w:numFmt w:val="bullet"/>
      <w:lvlText w:val="•"/>
      <w:lvlJc w:val="left"/>
      <w:pPr>
        <w:ind w:left="-192" w:hanging="215"/>
      </w:pPr>
      <w:rPr>
        <w:rFonts w:hint="default"/>
        <w:lang w:val="es-ES" w:eastAsia="es-ES" w:bidi="es-ES"/>
      </w:rPr>
    </w:lvl>
    <w:lvl w:ilvl="4">
      <w:start w:val="0"/>
      <w:numFmt w:val="bullet"/>
      <w:lvlText w:val="•"/>
      <w:lvlJc w:val="left"/>
      <w:pPr>
        <w:ind w:left="-718" w:hanging="215"/>
      </w:pPr>
      <w:rPr>
        <w:rFonts w:hint="default"/>
        <w:lang w:val="es-ES" w:eastAsia="es-ES" w:bidi="es-ES"/>
      </w:rPr>
    </w:lvl>
    <w:lvl w:ilvl="5">
      <w:start w:val="0"/>
      <w:numFmt w:val="bullet"/>
      <w:lvlText w:val="•"/>
      <w:lvlJc w:val="left"/>
      <w:pPr>
        <w:ind w:left="-1244" w:hanging="215"/>
      </w:pPr>
      <w:rPr>
        <w:rFonts w:hint="default"/>
        <w:lang w:val="es-ES" w:eastAsia="es-ES" w:bidi="es-ES"/>
      </w:rPr>
    </w:lvl>
    <w:lvl w:ilvl="6">
      <w:start w:val="0"/>
      <w:numFmt w:val="bullet"/>
      <w:lvlText w:val="•"/>
      <w:lvlJc w:val="left"/>
      <w:pPr>
        <w:ind w:left="-1769" w:hanging="215"/>
      </w:pPr>
      <w:rPr>
        <w:rFonts w:hint="default"/>
        <w:lang w:val="es-ES" w:eastAsia="es-ES" w:bidi="es-ES"/>
      </w:rPr>
    </w:lvl>
    <w:lvl w:ilvl="7">
      <w:start w:val="0"/>
      <w:numFmt w:val="bullet"/>
      <w:lvlText w:val="•"/>
      <w:lvlJc w:val="left"/>
      <w:pPr>
        <w:ind w:left="-2295" w:hanging="215"/>
      </w:pPr>
      <w:rPr>
        <w:rFonts w:hint="default"/>
        <w:lang w:val="es-ES" w:eastAsia="es-ES" w:bidi="es-ES"/>
      </w:rPr>
    </w:lvl>
    <w:lvl w:ilvl="8">
      <w:start w:val="0"/>
      <w:numFmt w:val="bullet"/>
      <w:lvlText w:val="•"/>
      <w:lvlJc w:val="left"/>
      <w:pPr>
        <w:ind w:left="-2821" w:hanging="215"/>
      </w:pPr>
      <w:rPr>
        <w:rFonts w:hint="default"/>
        <w:lang w:val="es-ES" w:eastAsia="es-ES" w:bidi="es-ES"/>
      </w:rPr>
    </w:lvl>
  </w:abstractNum>
  <w:abstractNum w:abstractNumId="99">
    <w:multiLevelType w:val="hybridMultilevel"/>
    <w:lvl w:ilvl="0">
      <w:start w:val="1"/>
      <w:numFmt w:val="lowerLetter"/>
      <w:lvlText w:val="%1)"/>
      <w:lvlJc w:val="left"/>
      <w:pPr>
        <w:ind w:left="151" w:hanging="194"/>
        <w:jc w:val="right"/>
      </w:pPr>
      <w:rPr>
        <w:rFonts w:hint="default" w:ascii="Arial" w:hAnsi="Arial" w:eastAsia="Arial" w:cs="Arial"/>
        <w:w w:val="102"/>
        <w:sz w:val="15"/>
        <w:szCs w:val="15"/>
        <w:lang w:val="es-ES" w:eastAsia="es-ES" w:bidi="es-ES"/>
      </w:rPr>
    </w:lvl>
    <w:lvl w:ilvl="1">
      <w:start w:val="1"/>
      <w:numFmt w:val="decimal"/>
      <w:lvlText w:val="%2."/>
      <w:lvlJc w:val="left"/>
      <w:pPr>
        <w:ind w:left="1052" w:hanging="252"/>
        <w:jc w:val="left"/>
      </w:pPr>
      <w:rPr>
        <w:rFonts w:hint="default" w:ascii="Arial" w:hAnsi="Arial" w:eastAsia="Arial" w:cs="Arial"/>
        <w:w w:val="102"/>
        <w:sz w:val="15"/>
        <w:szCs w:val="15"/>
        <w:lang w:val="es-ES" w:eastAsia="es-ES" w:bidi="es-ES"/>
      </w:rPr>
    </w:lvl>
    <w:lvl w:ilvl="2">
      <w:start w:val="0"/>
      <w:numFmt w:val="bullet"/>
      <w:lvlText w:val="•"/>
      <w:lvlJc w:val="left"/>
      <w:pPr>
        <w:ind w:left="1443" w:hanging="252"/>
      </w:pPr>
      <w:rPr>
        <w:rFonts w:hint="default"/>
        <w:lang w:val="es-ES" w:eastAsia="es-ES" w:bidi="es-ES"/>
      </w:rPr>
    </w:lvl>
    <w:lvl w:ilvl="3">
      <w:start w:val="0"/>
      <w:numFmt w:val="bullet"/>
      <w:lvlText w:val="•"/>
      <w:lvlJc w:val="left"/>
      <w:pPr>
        <w:ind w:left="1827" w:hanging="252"/>
      </w:pPr>
      <w:rPr>
        <w:rFonts w:hint="default"/>
        <w:lang w:val="es-ES" w:eastAsia="es-ES" w:bidi="es-ES"/>
      </w:rPr>
    </w:lvl>
    <w:lvl w:ilvl="4">
      <w:start w:val="0"/>
      <w:numFmt w:val="bullet"/>
      <w:lvlText w:val="•"/>
      <w:lvlJc w:val="left"/>
      <w:pPr>
        <w:ind w:left="2210" w:hanging="252"/>
      </w:pPr>
      <w:rPr>
        <w:rFonts w:hint="default"/>
        <w:lang w:val="es-ES" w:eastAsia="es-ES" w:bidi="es-ES"/>
      </w:rPr>
    </w:lvl>
    <w:lvl w:ilvl="5">
      <w:start w:val="0"/>
      <w:numFmt w:val="bullet"/>
      <w:lvlText w:val="•"/>
      <w:lvlJc w:val="left"/>
      <w:pPr>
        <w:ind w:left="2594" w:hanging="252"/>
      </w:pPr>
      <w:rPr>
        <w:rFonts w:hint="default"/>
        <w:lang w:val="es-ES" w:eastAsia="es-ES" w:bidi="es-ES"/>
      </w:rPr>
    </w:lvl>
    <w:lvl w:ilvl="6">
      <w:start w:val="0"/>
      <w:numFmt w:val="bullet"/>
      <w:lvlText w:val="•"/>
      <w:lvlJc w:val="left"/>
      <w:pPr>
        <w:ind w:left="2978" w:hanging="252"/>
      </w:pPr>
      <w:rPr>
        <w:rFonts w:hint="default"/>
        <w:lang w:val="es-ES" w:eastAsia="es-ES" w:bidi="es-ES"/>
      </w:rPr>
    </w:lvl>
    <w:lvl w:ilvl="7">
      <w:start w:val="0"/>
      <w:numFmt w:val="bullet"/>
      <w:lvlText w:val="•"/>
      <w:lvlJc w:val="left"/>
      <w:pPr>
        <w:ind w:left="3361" w:hanging="252"/>
      </w:pPr>
      <w:rPr>
        <w:rFonts w:hint="default"/>
        <w:lang w:val="es-ES" w:eastAsia="es-ES" w:bidi="es-ES"/>
      </w:rPr>
    </w:lvl>
    <w:lvl w:ilvl="8">
      <w:start w:val="0"/>
      <w:numFmt w:val="bullet"/>
      <w:lvlText w:val="•"/>
      <w:lvlJc w:val="left"/>
      <w:pPr>
        <w:ind w:left="3745" w:hanging="252"/>
      </w:pPr>
      <w:rPr>
        <w:rFonts w:hint="default"/>
        <w:lang w:val="es-ES" w:eastAsia="es-ES" w:bidi="es-ES"/>
      </w:rPr>
    </w:lvl>
  </w:abstractNum>
  <w:abstractNum w:abstractNumId="98">
    <w:multiLevelType w:val="hybridMultilevel"/>
    <w:lvl w:ilvl="0">
      <w:start w:val="1"/>
      <w:numFmt w:val="decimal"/>
      <w:lvlText w:val="%1."/>
      <w:lvlJc w:val="left"/>
      <w:pPr>
        <w:ind w:left="818" w:hanging="172"/>
        <w:jc w:val="right"/>
      </w:pPr>
      <w:rPr>
        <w:rFonts w:hint="default" w:ascii="Arial" w:hAnsi="Arial" w:eastAsia="Arial" w:cs="Arial"/>
        <w:w w:val="102"/>
        <w:sz w:val="15"/>
        <w:szCs w:val="15"/>
        <w:lang w:val="es-ES" w:eastAsia="es-ES" w:bidi="es-ES"/>
      </w:rPr>
    </w:lvl>
    <w:lvl w:ilvl="1">
      <w:start w:val="0"/>
      <w:numFmt w:val="bullet"/>
      <w:lvlText w:val="•"/>
      <w:lvlJc w:val="left"/>
      <w:pPr>
        <w:ind w:left="1560" w:hanging="172"/>
      </w:pPr>
      <w:rPr>
        <w:rFonts w:hint="default"/>
        <w:lang w:val="es-ES" w:eastAsia="es-ES" w:bidi="es-ES"/>
      </w:rPr>
    </w:lvl>
    <w:lvl w:ilvl="2">
      <w:start w:val="0"/>
      <w:numFmt w:val="bullet"/>
      <w:lvlText w:val="•"/>
      <w:lvlJc w:val="left"/>
      <w:pPr>
        <w:ind w:left="2300" w:hanging="172"/>
      </w:pPr>
      <w:rPr>
        <w:rFonts w:hint="default"/>
        <w:lang w:val="es-ES" w:eastAsia="es-ES" w:bidi="es-ES"/>
      </w:rPr>
    </w:lvl>
    <w:lvl w:ilvl="3">
      <w:start w:val="0"/>
      <w:numFmt w:val="bullet"/>
      <w:lvlText w:val="•"/>
      <w:lvlJc w:val="left"/>
      <w:pPr>
        <w:ind w:left="3040" w:hanging="172"/>
      </w:pPr>
      <w:rPr>
        <w:rFonts w:hint="default"/>
        <w:lang w:val="es-ES" w:eastAsia="es-ES" w:bidi="es-ES"/>
      </w:rPr>
    </w:lvl>
    <w:lvl w:ilvl="4">
      <w:start w:val="0"/>
      <w:numFmt w:val="bullet"/>
      <w:lvlText w:val="•"/>
      <w:lvlJc w:val="left"/>
      <w:pPr>
        <w:ind w:left="3780" w:hanging="172"/>
      </w:pPr>
      <w:rPr>
        <w:rFonts w:hint="default"/>
        <w:lang w:val="es-ES" w:eastAsia="es-ES" w:bidi="es-ES"/>
      </w:rPr>
    </w:lvl>
    <w:lvl w:ilvl="5">
      <w:start w:val="0"/>
      <w:numFmt w:val="bullet"/>
      <w:lvlText w:val="•"/>
      <w:lvlJc w:val="left"/>
      <w:pPr>
        <w:ind w:left="4520" w:hanging="172"/>
      </w:pPr>
      <w:rPr>
        <w:rFonts w:hint="default"/>
        <w:lang w:val="es-ES" w:eastAsia="es-ES" w:bidi="es-ES"/>
      </w:rPr>
    </w:lvl>
    <w:lvl w:ilvl="6">
      <w:start w:val="0"/>
      <w:numFmt w:val="bullet"/>
      <w:lvlText w:val="•"/>
      <w:lvlJc w:val="left"/>
      <w:pPr>
        <w:ind w:left="5261" w:hanging="172"/>
      </w:pPr>
      <w:rPr>
        <w:rFonts w:hint="default"/>
        <w:lang w:val="es-ES" w:eastAsia="es-ES" w:bidi="es-ES"/>
      </w:rPr>
    </w:lvl>
    <w:lvl w:ilvl="7">
      <w:start w:val="0"/>
      <w:numFmt w:val="bullet"/>
      <w:lvlText w:val="•"/>
      <w:lvlJc w:val="left"/>
      <w:pPr>
        <w:ind w:left="6001" w:hanging="172"/>
      </w:pPr>
      <w:rPr>
        <w:rFonts w:hint="default"/>
        <w:lang w:val="es-ES" w:eastAsia="es-ES" w:bidi="es-ES"/>
      </w:rPr>
    </w:lvl>
    <w:lvl w:ilvl="8">
      <w:start w:val="0"/>
      <w:numFmt w:val="bullet"/>
      <w:lvlText w:val="•"/>
      <w:lvlJc w:val="left"/>
      <w:pPr>
        <w:ind w:left="6741" w:hanging="172"/>
      </w:pPr>
      <w:rPr>
        <w:rFonts w:hint="default"/>
        <w:lang w:val="es-ES" w:eastAsia="es-ES" w:bidi="es-ES"/>
      </w:rPr>
    </w:lvl>
  </w:abstractNum>
  <w:abstractNum w:abstractNumId="97">
    <w:multiLevelType w:val="hybridMultilevel"/>
    <w:lvl w:ilvl="0">
      <w:start w:val="1"/>
      <w:numFmt w:val="decimal"/>
      <w:lvlText w:val="%1."/>
      <w:lvlJc w:val="left"/>
      <w:pPr>
        <w:ind w:left="818" w:hanging="172"/>
        <w:jc w:val="left"/>
      </w:pPr>
      <w:rPr>
        <w:rFonts w:hint="default" w:ascii="Arial" w:hAnsi="Arial" w:eastAsia="Arial" w:cs="Arial"/>
        <w:w w:val="102"/>
        <w:sz w:val="15"/>
        <w:szCs w:val="15"/>
        <w:lang w:val="es-ES" w:eastAsia="es-ES" w:bidi="es-ES"/>
      </w:rPr>
    </w:lvl>
    <w:lvl w:ilvl="1">
      <w:start w:val="0"/>
      <w:numFmt w:val="bullet"/>
      <w:lvlText w:val="•"/>
      <w:lvlJc w:val="left"/>
      <w:pPr>
        <w:ind w:left="1560" w:hanging="172"/>
      </w:pPr>
      <w:rPr>
        <w:rFonts w:hint="default"/>
        <w:lang w:val="es-ES" w:eastAsia="es-ES" w:bidi="es-ES"/>
      </w:rPr>
    </w:lvl>
    <w:lvl w:ilvl="2">
      <w:start w:val="0"/>
      <w:numFmt w:val="bullet"/>
      <w:lvlText w:val="•"/>
      <w:lvlJc w:val="left"/>
      <w:pPr>
        <w:ind w:left="2300" w:hanging="172"/>
      </w:pPr>
      <w:rPr>
        <w:rFonts w:hint="default"/>
        <w:lang w:val="es-ES" w:eastAsia="es-ES" w:bidi="es-ES"/>
      </w:rPr>
    </w:lvl>
    <w:lvl w:ilvl="3">
      <w:start w:val="0"/>
      <w:numFmt w:val="bullet"/>
      <w:lvlText w:val="•"/>
      <w:lvlJc w:val="left"/>
      <w:pPr>
        <w:ind w:left="3040" w:hanging="172"/>
      </w:pPr>
      <w:rPr>
        <w:rFonts w:hint="default"/>
        <w:lang w:val="es-ES" w:eastAsia="es-ES" w:bidi="es-ES"/>
      </w:rPr>
    </w:lvl>
    <w:lvl w:ilvl="4">
      <w:start w:val="0"/>
      <w:numFmt w:val="bullet"/>
      <w:lvlText w:val="•"/>
      <w:lvlJc w:val="left"/>
      <w:pPr>
        <w:ind w:left="3780" w:hanging="172"/>
      </w:pPr>
      <w:rPr>
        <w:rFonts w:hint="default"/>
        <w:lang w:val="es-ES" w:eastAsia="es-ES" w:bidi="es-ES"/>
      </w:rPr>
    </w:lvl>
    <w:lvl w:ilvl="5">
      <w:start w:val="0"/>
      <w:numFmt w:val="bullet"/>
      <w:lvlText w:val="•"/>
      <w:lvlJc w:val="left"/>
      <w:pPr>
        <w:ind w:left="4520" w:hanging="172"/>
      </w:pPr>
      <w:rPr>
        <w:rFonts w:hint="default"/>
        <w:lang w:val="es-ES" w:eastAsia="es-ES" w:bidi="es-ES"/>
      </w:rPr>
    </w:lvl>
    <w:lvl w:ilvl="6">
      <w:start w:val="0"/>
      <w:numFmt w:val="bullet"/>
      <w:lvlText w:val="•"/>
      <w:lvlJc w:val="left"/>
      <w:pPr>
        <w:ind w:left="5261" w:hanging="172"/>
      </w:pPr>
      <w:rPr>
        <w:rFonts w:hint="default"/>
        <w:lang w:val="es-ES" w:eastAsia="es-ES" w:bidi="es-ES"/>
      </w:rPr>
    </w:lvl>
    <w:lvl w:ilvl="7">
      <w:start w:val="0"/>
      <w:numFmt w:val="bullet"/>
      <w:lvlText w:val="•"/>
      <w:lvlJc w:val="left"/>
      <w:pPr>
        <w:ind w:left="6001" w:hanging="172"/>
      </w:pPr>
      <w:rPr>
        <w:rFonts w:hint="default"/>
        <w:lang w:val="es-ES" w:eastAsia="es-ES" w:bidi="es-ES"/>
      </w:rPr>
    </w:lvl>
    <w:lvl w:ilvl="8">
      <w:start w:val="0"/>
      <w:numFmt w:val="bullet"/>
      <w:lvlText w:val="•"/>
      <w:lvlJc w:val="left"/>
      <w:pPr>
        <w:ind w:left="6741" w:hanging="172"/>
      </w:pPr>
      <w:rPr>
        <w:rFonts w:hint="default"/>
        <w:lang w:val="es-ES" w:eastAsia="es-ES" w:bidi="es-ES"/>
      </w:rPr>
    </w:lvl>
  </w:abstractNum>
  <w:abstractNum w:abstractNumId="96">
    <w:multiLevelType w:val="hybridMultilevel"/>
    <w:lvl w:ilvl="0">
      <w:start w:val="1"/>
      <w:numFmt w:val="lowerLetter"/>
      <w:lvlText w:val="%1)"/>
      <w:lvlJc w:val="left"/>
      <w:pPr>
        <w:ind w:left="827" w:hanging="180"/>
        <w:jc w:val="right"/>
      </w:pPr>
      <w:rPr>
        <w:rFonts w:hint="default" w:ascii="Arial" w:hAnsi="Arial" w:eastAsia="Arial" w:cs="Arial"/>
        <w:w w:val="102"/>
        <w:sz w:val="15"/>
        <w:szCs w:val="15"/>
        <w:lang w:val="es-ES" w:eastAsia="es-ES" w:bidi="es-ES"/>
      </w:rPr>
    </w:lvl>
    <w:lvl w:ilvl="1">
      <w:start w:val="0"/>
      <w:numFmt w:val="bullet"/>
      <w:lvlText w:val="•"/>
      <w:lvlJc w:val="left"/>
      <w:pPr>
        <w:ind w:left="1560" w:hanging="180"/>
      </w:pPr>
      <w:rPr>
        <w:rFonts w:hint="default"/>
        <w:lang w:val="es-ES" w:eastAsia="es-ES" w:bidi="es-ES"/>
      </w:rPr>
    </w:lvl>
    <w:lvl w:ilvl="2">
      <w:start w:val="0"/>
      <w:numFmt w:val="bullet"/>
      <w:lvlText w:val="•"/>
      <w:lvlJc w:val="left"/>
      <w:pPr>
        <w:ind w:left="2300" w:hanging="180"/>
      </w:pPr>
      <w:rPr>
        <w:rFonts w:hint="default"/>
        <w:lang w:val="es-ES" w:eastAsia="es-ES" w:bidi="es-ES"/>
      </w:rPr>
    </w:lvl>
    <w:lvl w:ilvl="3">
      <w:start w:val="0"/>
      <w:numFmt w:val="bullet"/>
      <w:lvlText w:val="•"/>
      <w:lvlJc w:val="left"/>
      <w:pPr>
        <w:ind w:left="3040" w:hanging="180"/>
      </w:pPr>
      <w:rPr>
        <w:rFonts w:hint="default"/>
        <w:lang w:val="es-ES" w:eastAsia="es-ES" w:bidi="es-ES"/>
      </w:rPr>
    </w:lvl>
    <w:lvl w:ilvl="4">
      <w:start w:val="0"/>
      <w:numFmt w:val="bullet"/>
      <w:lvlText w:val="•"/>
      <w:lvlJc w:val="left"/>
      <w:pPr>
        <w:ind w:left="3780" w:hanging="180"/>
      </w:pPr>
      <w:rPr>
        <w:rFonts w:hint="default"/>
        <w:lang w:val="es-ES" w:eastAsia="es-ES" w:bidi="es-ES"/>
      </w:rPr>
    </w:lvl>
    <w:lvl w:ilvl="5">
      <w:start w:val="0"/>
      <w:numFmt w:val="bullet"/>
      <w:lvlText w:val="•"/>
      <w:lvlJc w:val="left"/>
      <w:pPr>
        <w:ind w:left="4520" w:hanging="180"/>
      </w:pPr>
      <w:rPr>
        <w:rFonts w:hint="default"/>
        <w:lang w:val="es-ES" w:eastAsia="es-ES" w:bidi="es-ES"/>
      </w:rPr>
    </w:lvl>
    <w:lvl w:ilvl="6">
      <w:start w:val="0"/>
      <w:numFmt w:val="bullet"/>
      <w:lvlText w:val="•"/>
      <w:lvlJc w:val="left"/>
      <w:pPr>
        <w:ind w:left="5261" w:hanging="180"/>
      </w:pPr>
      <w:rPr>
        <w:rFonts w:hint="default"/>
        <w:lang w:val="es-ES" w:eastAsia="es-ES" w:bidi="es-ES"/>
      </w:rPr>
    </w:lvl>
    <w:lvl w:ilvl="7">
      <w:start w:val="0"/>
      <w:numFmt w:val="bullet"/>
      <w:lvlText w:val="•"/>
      <w:lvlJc w:val="left"/>
      <w:pPr>
        <w:ind w:left="6001" w:hanging="180"/>
      </w:pPr>
      <w:rPr>
        <w:rFonts w:hint="default"/>
        <w:lang w:val="es-ES" w:eastAsia="es-ES" w:bidi="es-ES"/>
      </w:rPr>
    </w:lvl>
    <w:lvl w:ilvl="8">
      <w:start w:val="0"/>
      <w:numFmt w:val="bullet"/>
      <w:lvlText w:val="•"/>
      <w:lvlJc w:val="left"/>
      <w:pPr>
        <w:ind w:left="6741" w:hanging="180"/>
      </w:pPr>
      <w:rPr>
        <w:rFonts w:hint="default"/>
        <w:lang w:val="es-ES" w:eastAsia="es-ES" w:bidi="es-ES"/>
      </w:rPr>
    </w:lvl>
  </w:abstractNum>
  <w:abstractNum w:abstractNumId="95">
    <w:multiLevelType w:val="hybridMultilevel"/>
    <w:lvl w:ilvl="0">
      <w:start w:val="1"/>
      <w:numFmt w:val="upperRoman"/>
      <w:lvlText w:val="%1."/>
      <w:lvlJc w:val="left"/>
      <w:pPr>
        <w:ind w:left="677" w:hanging="129"/>
        <w:jc w:val="left"/>
      </w:pPr>
      <w:rPr>
        <w:rFonts w:hint="default" w:ascii="Arial" w:hAnsi="Arial" w:eastAsia="Arial" w:cs="Arial"/>
        <w:w w:val="102"/>
        <w:sz w:val="15"/>
        <w:szCs w:val="15"/>
        <w:lang w:val="es-ES" w:eastAsia="es-ES" w:bidi="es-ES"/>
      </w:rPr>
    </w:lvl>
    <w:lvl w:ilvl="1">
      <w:start w:val="1"/>
      <w:numFmt w:val="upperRoman"/>
      <w:lvlText w:val="%2."/>
      <w:lvlJc w:val="left"/>
      <w:pPr>
        <w:ind w:left="226" w:hanging="180"/>
        <w:jc w:val="right"/>
      </w:pPr>
      <w:rPr>
        <w:rFonts w:hint="default" w:ascii="Arial" w:hAnsi="Arial" w:eastAsia="Arial" w:cs="Arial"/>
        <w:w w:val="102"/>
        <w:sz w:val="15"/>
        <w:szCs w:val="15"/>
        <w:lang w:val="es-ES" w:eastAsia="es-ES" w:bidi="es-ES"/>
      </w:rPr>
    </w:lvl>
    <w:lvl w:ilvl="2">
      <w:start w:val="0"/>
      <w:numFmt w:val="bullet"/>
      <w:lvlText w:val="•"/>
      <w:lvlJc w:val="left"/>
      <w:pPr>
        <w:ind w:left="174" w:hanging="180"/>
      </w:pPr>
      <w:rPr>
        <w:rFonts w:hint="default"/>
        <w:lang w:val="es-ES" w:eastAsia="es-ES" w:bidi="es-ES"/>
      </w:rPr>
    </w:lvl>
    <w:lvl w:ilvl="3">
      <w:start w:val="0"/>
      <w:numFmt w:val="bullet"/>
      <w:lvlText w:val="•"/>
      <w:lvlJc w:val="left"/>
      <w:pPr>
        <w:ind w:left="-332" w:hanging="180"/>
      </w:pPr>
      <w:rPr>
        <w:rFonts w:hint="default"/>
        <w:lang w:val="es-ES" w:eastAsia="es-ES" w:bidi="es-ES"/>
      </w:rPr>
    </w:lvl>
    <w:lvl w:ilvl="4">
      <w:start w:val="0"/>
      <w:numFmt w:val="bullet"/>
      <w:lvlText w:val="•"/>
      <w:lvlJc w:val="left"/>
      <w:pPr>
        <w:ind w:left="-837" w:hanging="180"/>
      </w:pPr>
      <w:rPr>
        <w:rFonts w:hint="default"/>
        <w:lang w:val="es-ES" w:eastAsia="es-ES" w:bidi="es-ES"/>
      </w:rPr>
    </w:lvl>
    <w:lvl w:ilvl="5">
      <w:start w:val="0"/>
      <w:numFmt w:val="bullet"/>
      <w:lvlText w:val="•"/>
      <w:lvlJc w:val="left"/>
      <w:pPr>
        <w:ind w:left="-1343" w:hanging="180"/>
      </w:pPr>
      <w:rPr>
        <w:rFonts w:hint="default"/>
        <w:lang w:val="es-ES" w:eastAsia="es-ES" w:bidi="es-ES"/>
      </w:rPr>
    </w:lvl>
    <w:lvl w:ilvl="6">
      <w:start w:val="0"/>
      <w:numFmt w:val="bullet"/>
      <w:lvlText w:val="•"/>
      <w:lvlJc w:val="left"/>
      <w:pPr>
        <w:ind w:left="-1848" w:hanging="180"/>
      </w:pPr>
      <w:rPr>
        <w:rFonts w:hint="default"/>
        <w:lang w:val="es-ES" w:eastAsia="es-ES" w:bidi="es-ES"/>
      </w:rPr>
    </w:lvl>
    <w:lvl w:ilvl="7">
      <w:start w:val="0"/>
      <w:numFmt w:val="bullet"/>
      <w:lvlText w:val="•"/>
      <w:lvlJc w:val="left"/>
      <w:pPr>
        <w:ind w:left="-2354" w:hanging="180"/>
      </w:pPr>
      <w:rPr>
        <w:rFonts w:hint="default"/>
        <w:lang w:val="es-ES" w:eastAsia="es-ES" w:bidi="es-ES"/>
      </w:rPr>
    </w:lvl>
    <w:lvl w:ilvl="8">
      <w:start w:val="0"/>
      <w:numFmt w:val="bullet"/>
      <w:lvlText w:val="•"/>
      <w:lvlJc w:val="left"/>
      <w:pPr>
        <w:ind w:left="-2859" w:hanging="180"/>
      </w:pPr>
      <w:rPr>
        <w:rFonts w:hint="default"/>
        <w:lang w:val="es-ES" w:eastAsia="es-ES" w:bidi="es-ES"/>
      </w:rPr>
    </w:lvl>
  </w:abstractNum>
  <w:abstractNum w:abstractNumId="94">
    <w:multiLevelType w:val="hybridMultilevel"/>
    <w:lvl w:ilvl="0">
      <w:start w:val="2"/>
      <w:numFmt w:val="lowerLetter"/>
      <w:lvlText w:val="%1)"/>
      <w:lvlJc w:val="left"/>
      <w:pPr>
        <w:ind w:left="827"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85" w:hanging="180"/>
      </w:pPr>
      <w:rPr>
        <w:rFonts w:hint="default"/>
        <w:lang w:val="es-ES" w:eastAsia="es-ES" w:bidi="es-ES"/>
      </w:rPr>
    </w:lvl>
    <w:lvl w:ilvl="2">
      <w:start w:val="0"/>
      <w:numFmt w:val="bullet"/>
      <w:lvlText w:val="•"/>
      <w:lvlJc w:val="left"/>
      <w:pPr>
        <w:ind w:left="1751" w:hanging="180"/>
      </w:pPr>
      <w:rPr>
        <w:rFonts w:hint="default"/>
        <w:lang w:val="es-ES" w:eastAsia="es-ES" w:bidi="es-ES"/>
      </w:rPr>
    </w:lvl>
    <w:lvl w:ilvl="3">
      <w:start w:val="0"/>
      <w:numFmt w:val="bullet"/>
      <w:lvlText w:val="•"/>
      <w:lvlJc w:val="left"/>
      <w:pPr>
        <w:ind w:left="2216" w:hanging="180"/>
      </w:pPr>
      <w:rPr>
        <w:rFonts w:hint="default"/>
        <w:lang w:val="es-ES" w:eastAsia="es-ES" w:bidi="es-ES"/>
      </w:rPr>
    </w:lvl>
    <w:lvl w:ilvl="4">
      <w:start w:val="0"/>
      <w:numFmt w:val="bullet"/>
      <w:lvlText w:val="•"/>
      <w:lvlJc w:val="left"/>
      <w:pPr>
        <w:ind w:left="2682" w:hanging="180"/>
      </w:pPr>
      <w:rPr>
        <w:rFonts w:hint="default"/>
        <w:lang w:val="es-ES" w:eastAsia="es-ES" w:bidi="es-ES"/>
      </w:rPr>
    </w:lvl>
    <w:lvl w:ilvl="5">
      <w:start w:val="0"/>
      <w:numFmt w:val="bullet"/>
      <w:lvlText w:val="•"/>
      <w:lvlJc w:val="left"/>
      <w:pPr>
        <w:ind w:left="3147" w:hanging="180"/>
      </w:pPr>
      <w:rPr>
        <w:rFonts w:hint="default"/>
        <w:lang w:val="es-ES" w:eastAsia="es-ES" w:bidi="es-ES"/>
      </w:rPr>
    </w:lvl>
    <w:lvl w:ilvl="6">
      <w:start w:val="0"/>
      <w:numFmt w:val="bullet"/>
      <w:lvlText w:val="•"/>
      <w:lvlJc w:val="left"/>
      <w:pPr>
        <w:ind w:left="3613" w:hanging="180"/>
      </w:pPr>
      <w:rPr>
        <w:rFonts w:hint="default"/>
        <w:lang w:val="es-ES" w:eastAsia="es-ES" w:bidi="es-ES"/>
      </w:rPr>
    </w:lvl>
    <w:lvl w:ilvl="7">
      <w:start w:val="0"/>
      <w:numFmt w:val="bullet"/>
      <w:lvlText w:val="•"/>
      <w:lvlJc w:val="left"/>
      <w:pPr>
        <w:ind w:left="4078" w:hanging="180"/>
      </w:pPr>
      <w:rPr>
        <w:rFonts w:hint="default"/>
        <w:lang w:val="es-ES" w:eastAsia="es-ES" w:bidi="es-ES"/>
      </w:rPr>
    </w:lvl>
    <w:lvl w:ilvl="8">
      <w:start w:val="0"/>
      <w:numFmt w:val="bullet"/>
      <w:lvlText w:val="•"/>
      <w:lvlJc w:val="left"/>
      <w:pPr>
        <w:ind w:left="4544" w:hanging="180"/>
      </w:pPr>
      <w:rPr>
        <w:rFonts w:hint="default"/>
        <w:lang w:val="es-ES" w:eastAsia="es-ES" w:bidi="es-ES"/>
      </w:rPr>
    </w:lvl>
  </w:abstractNum>
  <w:abstractNum w:abstractNumId="93">
    <w:multiLevelType w:val="hybridMultilevel"/>
    <w:lvl w:ilvl="0">
      <w:start w:val="1"/>
      <w:numFmt w:val="lowerLetter"/>
      <w:lvlText w:val="%1)"/>
      <w:lvlJc w:val="left"/>
      <w:pPr>
        <w:ind w:left="818" w:hanging="172"/>
        <w:jc w:val="right"/>
      </w:pPr>
      <w:rPr>
        <w:rFonts w:hint="default" w:ascii="Arial" w:hAnsi="Arial" w:eastAsia="Arial" w:cs="Arial"/>
        <w:w w:val="102"/>
        <w:sz w:val="15"/>
        <w:szCs w:val="15"/>
        <w:lang w:val="es-ES" w:eastAsia="es-ES" w:bidi="es-ES"/>
      </w:rPr>
    </w:lvl>
    <w:lvl w:ilvl="1">
      <w:start w:val="0"/>
      <w:numFmt w:val="bullet"/>
      <w:lvlText w:val="•"/>
      <w:lvlJc w:val="left"/>
      <w:pPr>
        <w:ind w:left="2722" w:hanging="172"/>
      </w:pPr>
      <w:rPr>
        <w:rFonts w:hint="default"/>
        <w:lang w:val="es-ES" w:eastAsia="es-ES" w:bidi="es-ES"/>
      </w:rPr>
    </w:lvl>
    <w:lvl w:ilvl="2">
      <w:start w:val="0"/>
      <w:numFmt w:val="bullet"/>
      <w:lvlText w:val="•"/>
      <w:lvlJc w:val="left"/>
      <w:pPr>
        <w:ind w:left="4624" w:hanging="172"/>
      </w:pPr>
      <w:rPr>
        <w:rFonts w:hint="default"/>
        <w:lang w:val="es-ES" w:eastAsia="es-ES" w:bidi="es-ES"/>
      </w:rPr>
    </w:lvl>
    <w:lvl w:ilvl="3">
      <w:start w:val="0"/>
      <w:numFmt w:val="bullet"/>
      <w:lvlText w:val="•"/>
      <w:lvlJc w:val="left"/>
      <w:pPr>
        <w:ind w:left="6527" w:hanging="172"/>
      </w:pPr>
      <w:rPr>
        <w:rFonts w:hint="default"/>
        <w:lang w:val="es-ES" w:eastAsia="es-ES" w:bidi="es-ES"/>
      </w:rPr>
    </w:lvl>
    <w:lvl w:ilvl="4">
      <w:start w:val="0"/>
      <w:numFmt w:val="bullet"/>
      <w:lvlText w:val="•"/>
      <w:lvlJc w:val="left"/>
      <w:pPr>
        <w:ind w:left="8429" w:hanging="172"/>
      </w:pPr>
      <w:rPr>
        <w:rFonts w:hint="default"/>
        <w:lang w:val="es-ES" w:eastAsia="es-ES" w:bidi="es-ES"/>
      </w:rPr>
    </w:lvl>
    <w:lvl w:ilvl="5">
      <w:start w:val="0"/>
      <w:numFmt w:val="bullet"/>
      <w:lvlText w:val="•"/>
      <w:lvlJc w:val="left"/>
      <w:pPr>
        <w:ind w:left="10332" w:hanging="172"/>
      </w:pPr>
      <w:rPr>
        <w:rFonts w:hint="default"/>
        <w:lang w:val="es-ES" w:eastAsia="es-ES" w:bidi="es-ES"/>
      </w:rPr>
    </w:lvl>
    <w:lvl w:ilvl="6">
      <w:start w:val="0"/>
      <w:numFmt w:val="bullet"/>
      <w:lvlText w:val="•"/>
      <w:lvlJc w:val="left"/>
      <w:pPr>
        <w:ind w:left="12234" w:hanging="172"/>
      </w:pPr>
      <w:rPr>
        <w:rFonts w:hint="default"/>
        <w:lang w:val="es-ES" w:eastAsia="es-ES" w:bidi="es-ES"/>
      </w:rPr>
    </w:lvl>
    <w:lvl w:ilvl="7">
      <w:start w:val="0"/>
      <w:numFmt w:val="bullet"/>
      <w:lvlText w:val="•"/>
      <w:lvlJc w:val="left"/>
      <w:pPr>
        <w:ind w:left="14136" w:hanging="172"/>
      </w:pPr>
      <w:rPr>
        <w:rFonts w:hint="default"/>
        <w:lang w:val="es-ES" w:eastAsia="es-ES" w:bidi="es-ES"/>
      </w:rPr>
    </w:lvl>
    <w:lvl w:ilvl="8">
      <w:start w:val="0"/>
      <w:numFmt w:val="bullet"/>
      <w:lvlText w:val="•"/>
      <w:lvlJc w:val="left"/>
      <w:pPr>
        <w:ind w:left="16039" w:hanging="172"/>
      </w:pPr>
      <w:rPr>
        <w:rFonts w:hint="default"/>
        <w:lang w:val="es-ES" w:eastAsia="es-ES" w:bidi="es-ES"/>
      </w:rPr>
    </w:lvl>
  </w:abstractNum>
  <w:abstractNum w:abstractNumId="92">
    <w:multiLevelType w:val="hybridMultilevel"/>
    <w:lvl w:ilvl="0">
      <w:start w:val="1"/>
      <w:numFmt w:val="lowerLetter"/>
      <w:lvlText w:val="%1)"/>
      <w:lvlJc w:val="left"/>
      <w:pPr>
        <w:ind w:left="827"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85" w:hanging="180"/>
      </w:pPr>
      <w:rPr>
        <w:rFonts w:hint="default"/>
        <w:lang w:val="es-ES" w:eastAsia="es-ES" w:bidi="es-ES"/>
      </w:rPr>
    </w:lvl>
    <w:lvl w:ilvl="2">
      <w:start w:val="0"/>
      <w:numFmt w:val="bullet"/>
      <w:lvlText w:val="•"/>
      <w:lvlJc w:val="left"/>
      <w:pPr>
        <w:ind w:left="1750" w:hanging="180"/>
      </w:pPr>
      <w:rPr>
        <w:rFonts w:hint="default"/>
        <w:lang w:val="es-ES" w:eastAsia="es-ES" w:bidi="es-ES"/>
      </w:rPr>
    </w:lvl>
    <w:lvl w:ilvl="3">
      <w:start w:val="0"/>
      <w:numFmt w:val="bullet"/>
      <w:lvlText w:val="•"/>
      <w:lvlJc w:val="left"/>
      <w:pPr>
        <w:ind w:left="2216" w:hanging="180"/>
      </w:pPr>
      <w:rPr>
        <w:rFonts w:hint="default"/>
        <w:lang w:val="es-ES" w:eastAsia="es-ES" w:bidi="es-ES"/>
      </w:rPr>
    </w:lvl>
    <w:lvl w:ilvl="4">
      <w:start w:val="0"/>
      <w:numFmt w:val="bullet"/>
      <w:lvlText w:val="•"/>
      <w:lvlJc w:val="left"/>
      <w:pPr>
        <w:ind w:left="2681" w:hanging="180"/>
      </w:pPr>
      <w:rPr>
        <w:rFonts w:hint="default"/>
        <w:lang w:val="es-ES" w:eastAsia="es-ES" w:bidi="es-ES"/>
      </w:rPr>
    </w:lvl>
    <w:lvl w:ilvl="5">
      <w:start w:val="0"/>
      <w:numFmt w:val="bullet"/>
      <w:lvlText w:val="•"/>
      <w:lvlJc w:val="left"/>
      <w:pPr>
        <w:ind w:left="3146" w:hanging="180"/>
      </w:pPr>
      <w:rPr>
        <w:rFonts w:hint="default"/>
        <w:lang w:val="es-ES" w:eastAsia="es-ES" w:bidi="es-ES"/>
      </w:rPr>
    </w:lvl>
    <w:lvl w:ilvl="6">
      <w:start w:val="0"/>
      <w:numFmt w:val="bullet"/>
      <w:lvlText w:val="•"/>
      <w:lvlJc w:val="left"/>
      <w:pPr>
        <w:ind w:left="3612" w:hanging="180"/>
      </w:pPr>
      <w:rPr>
        <w:rFonts w:hint="default"/>
        <w:lang w:val="es-ES" w:eastAsia="es-ES" w:bidi="es-ES"/>
      </w:rPr>
    </w:lvl>
    <w:lvl w:ilvl="7">
      <w:start w:val="0"/>
      <w:numFmt w:val="bullet"/>
      <w:lvlText w:val="•"/>
      <w:lvlJc w:val="left"/>
      <w:pPr>
        <w:ind w:left="4077" w:hanging="180"/>
      </w:pPr>
      <w:rPr>
        <w:rFonts w:hint="default"/>
        <w:lang w:val="es-ES" w:eastAsia="es-ES" w:bidi="es-ES"/>
      </w:rPr>
    </w:lvl>
    <w:lvl w:ilvl="8">
      <w:start w:val="0"/>
      <w:numFmt w:val="bullet"/>
      <w:lvlText w:val="•"/>
      <w:lvlJc w:val="left"/>
      <w:pPr>
        <w:ind w:left="4543" w:hanging="180"/>
      </w:pPr>
      <w:rPr>
        <w:rFonts w:hint="default"/>
        <w:lang w:val="es-ES" w:eastAsia="es-ES" w:bidi="es-ES"/>
      </w:rPr>
    </w:lvl>
  </w:abstractNum>
  <w:abstractNum w:abstractNumId="91">
    <w:multiLevelType w:val="hybridMultilevel"/>
    <w:lvl w:ilvl="0">
      <w:start w:val="2"/>
      <w:numFmt w:val="upperRoman"/>
      <w:lvlText w:val="%1."/>
      <w:lvlJc w:val="left"/>
      <w:pPr>
        <w:ind w:left="819" w:hanging="172"/>
        <w:jc w:val="left"/>
      </w:pPr>
      <w:rPr>
        <w:rFonts w:hint="default" w:ascii="Arial" w:hAnsi="Arial" w:eastAsia="Arial" w:cs="Arial"/>
        <w:w w:val="102"/>
        <w:sz w:val="15"/>
        <w:szCs w:val="15"/>
        <w:lang w:val="es-ES" w:eastAsia="es-ES" w:bidi="es-ES"/>
      </w:rPr>
    </w:lvl>
    <w:lvl w:ilvl="1">
      <w:start w:val="1"/>
      <w:numFmt w:val="upperRoman"/>
      <w:lvlText w:val="%2."/>
      <w:lvlJc w:val="left"/>
      <w:pPr>
        <w:ind w:left="1217" w:hanging="428"/>
        <w:jc w:val="left"/>
      </w:pPr>
      <w:rPr>
        <w:rFonts w:hint="default" w:ascii="Arial" w:hAnsi="Arial" w:eastAsia="Arial" w:cs="Arial"/>
        <w:w w:val="102"/>
        <w:sz w:val="15"/>
        <w:szCs w:val="15"/>
        <w:lang w:val="es-ES" w:eastAsia="es-ES" w:bidi="es-ES"/>
      </w:rPr>
    </w:lvl>
    <w:lvl w:ilvl="2">
      <w:start w:val="0"/>
      <w:numFmt w:val="bullet"/>
      <w:lvlText w:val="•"/>
      <w:lvlJc w:val="left"/>
      <w:pPr>
        <w:ind w:left="1220" w:hanging="428"/>
      </w:pPr>
      <w:rPr>
        <w:rFonts w:hint="default"/>
        <w:lang w:val="es-ES" w:eastAsia="es-ES" w:bidi="es-ES"/>
      </w:rPr>
    </w:lvl>
    <w:lvl w:ilvl="3">
      <w:start w:val="0"/>
      <w:numFmt w:val="bullet"/>
      <w:lvlText w:val="•"/>
      <w:lvlJc w:val="left"/>
      <w:pPr>
        <w:ind w:left="308" w:hanging="428"/>
      </w:pPr>
      <w:rPr>
        <w:rFonts w:hint="default"/>
        <w:lang w:val="es-ES" w:eastAsia="es-ES" w:bidi="es-ES"/>
      </w:rPr>
    </w:lvl>
    <w:lvl w:ilvl="4">
      <w:start w:val="0"/>
      <w:numFmt w:val="bullet"/>
      <w:lvlText w:val="•"/>
      <w:lvlJc w:val="left"/>
      <w:pPr>
        <w:ind w:left="-604" w:hanging="428"/>
      </w:pPr>
      <w:rPr>
        <w:rFonts w:hint="default"/>
        <w:lang w:val="es-ES" w:eastAsia="es-ES" w:bidi="es-ES"/>
      </w:rPr>
    </w:lvl>
    <w:lvl w:ilvl="5">
      <w:start w:val="0"/>
      <w:numFmt w:val="bullet"/>
      <w:lvlText w:val="•"/>
      <w:lvlJc w:val="left"/>
      <w:pPr>
        <w:ind w:left="-1515" w:hanging="428"/>
      </w:pPr>
      <w:rPr>
        <w:rFonts w:hint="default"/>
        <w:lang w:val="es-ES" w:eastAsia="es-ES" w:bidi="es-ES"/>
      </w:rPr>
    </w:lvl>
    <w:lvl w:ilvl="6">
      <w:start w:val="0"/>
      <w:numFmt w:val="bullet"/>
      <w:lvlText w:val="•"/>
      <w:lvlJc w:val="left"/>
      <w:pPr>
        <w:ind w:left="-2427" w:hanging="428"/>
      </w:pPr>
      <w:rPr>
        <w:rFonts w:hint="default"/>
        <w:lang w:val="es-ES" w:eastAsia="es-ES" w:bidi="es-ES"/>
      </w:rPr>
    </w:lvl>
    <w:lvl w:ilvl="7">
      <w:start w:val="0"/>
      <w:numFmt w:val="bullet"/>
      <w:lvlText w:val="•"/>
      <w:lvlJc w:val="left"/>
      <w:pPr>
        <w:ind w:left="-3338" w:hanging="428"/>
      </w:pPr>
      <w:rPr>
        <w:rFonts w:hint="default"/>
        <w:lang w:val="es-ES" w:eastAsia="es-ES" w:bidi="es-ES"/>
      </w:rPr>
    </w:lvl>
    <w:lvl w:ilvl="8">
      <w:start w:val="0"/>
      <w:numFmt w:val="bullet"/>
      <w:lvlText w:val="•"/>
      <w:lvlJc w:val="left"/>
      <w:pPr>
        <w:ind w:left="-4250" w:hanging="428"/>
      </w:pPr>
      <w:rPr>
        <w:rFonts w:hint="default"/>
        <w:lang w:val="es-ES" w:eastAsia="es-ES" w:bidi="es-ES"/>
      </w:rPr>
    </w:lvl>
  </w:abstractNum>
  <w:abstractNum w:abstractNumId="90">
    <w:multiLevelType w:val="hybridMultilevel"/>
    <w:lvl w:ilvl="0">
      <w:start w:val="1"/>
      <w:numFmt w:val="upperRoman"/>
      <w:lvlText w:val="%1."/>
      <w:lvlJc w:val="left"/>
      <w:pPr>
        <w:ind w:left="776" w:hanging="129"/>
        <w:jc w:val="right"/>
      </w:pPr>
      <w:rPr>
        <w:rFonts w:hint="default" w:ascii="Arial" w:hAnsi="Arial" w:eastAsia="Arial" w:cs="Arial"/>
        <w:w w:val="102"/>
        <w:sz w:val="15"/>
        <w:szCs w:val="15"/>
        <w:lang w:val="es-ES" w:eastAsia="es-ES" w:bidi="es-ES"/>
      </w:rPr>
    </w:lvl>
    <w:lvl w:ilvl="1">
      <w:start w:val="1"/>
      <w:numFmt w:val="lowerLetter"/>
      <w:lvlText w:val="%2)"/>
      <w:lvlJc w:val="left"/>
      <w:pPr>
        <w:ind w:left="827" w:hanging="180"/>
        <w:jc w:val="left"/>
      </w:pPr>
      <w:rPr>
        <w:rFonts w:hint="default" w:ascii="Arial" w:hAnsi="Arial" w:eastAsia="Arial" w:cs="Arial"/>
        <w:w w:val="102"/>
        <w:sz w:val="15"/>
        <w:szCs w:val="15"/>
        <w:lang w:val="es-ES" w:eastAsia="es-ES" w:bidi="es-ES"/>
      </w:rPr>
    </w:lvl>
    <w:lvl w:ilvl="2">
      <w:start w:val="0"/>
      <w:numFmt w:val="bullet"/>
      <w:lvlText w:val="•"/>
      <w:lvlJc w:val="left"/>
      <w:pPr>
        <w:ind w:left="1337" w:hanging="180"/>
      </w:pPr>
      <w:rPr>
        <w:rFonts w:hint="default"/>
        <w:lang w:val="es-ES" w:eastAsia="es-ES" w:bidi="es-ES"/>
      </w:rPr>
    </w:lvl>
    <w:lvl w:ilvl="3">
      <w:start w:val="0"/>
      <w:numFmt w:val="bullet"/>
      <w:lvlText w:val="•"/>
      <w:lvlJc w:val="left"/>
      <w:pPr>
        <w:ind w:left="1854" w:hanging="180"/>
      </w:pPr>
      <w:rPr>
        <w:rFonts w:hint="default"/>
        <w:lang w:val="es-ES" w:eastAsia="es-ES" w:bidi="es-ES"/>
      </w:rPr>
    </w:lvl>
    <w:lvl w:ilvl="4">
      <w:start w:val="0"/>
      <w:numFmt w:val="bullet"/>
      <w:lvlText w:val="•"/>
      <w:lvlJc w:val="left"/>
      <w:pPr>
        <w:ind w:left="2371" w:hanging="180"/>
      </w:pPr>
      <w:rPr>
        <w:rFonts w:hint="default"/>
        <w:lang w:val="es-ES" w:eastAsia="es-ES" w:bidi="es-ES"/>
      </w:rPr>
    </w:lvl>
    <w:lvl w:ilvl="5">
      <w:start w:val="0"/>
      <w:numFmt w:val="bullet"/>
      <w:lvlText w:val="•"/>
      <w:lvlJc w:val="left"/>
      <w:pPr>
        <w:ind w:left="2888" w:hanging="180"/>
      </w:pPr>
      <w:rPr>
        <w:rFonts w:hint="default"/>
        <w:lang w:val="es-ES" w:eastAsia="es-ES" w:bidi="es-ES"/>
      </w:rPr>
    </w:lvl>
    <w:lvl w:ilvl="6">
      <w:start w:val="0"/>
      <w:numFmt w:val="bullet"/>
      <w:lvlText w:val="•"/>
      <w:lvlJc w:val="left"/>
      <w:pPr>
        <w:ind w:left="3405" w:hanging="180"/>
      </w:pPr>
      <w:rPr>
        <w:rFonts w:hint="default"/>
        <w:lang w:val="es-ES" w:eastAsia="es-ES" w:bidi="es-ES"/>
      </w:rPr>
    </w:lvl>
    <w:lvl w:ilvl="7">
      <w:start w:val="0"/>
      <w:numFmt w:val="bullet"/>
      <w:lvlText w:val="•"/>
      <w:lvlJc w:val="left"/>
      <w:pPr>
        <w:ind w:left="3922" w:hanging="180"/>
      </w:pPr>
      <w:rPr>
        <w:rFonts w:hint="default"/>
        <w:lang w:val="es-ES" w:eastAsia="es-ES" w:bidi="es-ES"/>
      </w:rPr>
    </w:lvl>
    <w:lvl w:ilvl="8">
      <w:start w:val="0"/>
      <w:numFmt w:val="bullet"/>
      <w:lvlText w:val="•"/>
      <w:lvlJc w:val="left"/>
      <w:pPr>
        <w:ind w:left="4439" w:hanging="180"/>
      </w:pPr>
      <w:rPr>
        <w:rFonts w:hint="default"/>
        <w:lang w:val="es-ES" w:eastAsia="es-ES" w:bidi="es-ES"/>
      </w:rPr>
    </w:lvl>
  </w:abstractNum>
  <w:abstractNum w:abstractNumId="89">
    <w:multiLevelType w:val="hybridMultilevel"/>
    <w:lvl w:ilvl="0">
      <w:start w:val="3"/>
      <w:numFmt w:val="decimal"/>
      <w:lvlText w:val="%1."/>
      <w:lvlJc w:val="left"/>
      <w:pPr>
        <w:ind w:left="1052" w:hanging="252"/>
        <w:jc w:val="left"/>
      </w:pPr>
      <w:rPr>
        <w:rFonts w:hint="default" w:ascii="Arial" w:hAnsi="Arial" w:eastAsia="Arial" w:cs="Arial"/>
        <w:w w:val="102"/>
        <w:sz w:val="15"/>
        <w:szCs w:val="15"/>
        <w:lang w:val="es-ES" w:eastAsia="es-ES" w:bidi="es-ES"/>
      </w:rPr>
    </w:lvl>
    <w:lvl w:ilvl="1">
      <w:start w:val="0"/>
      <w:numFmt w:val="bullet"/>
      <w:lvlText w:val="•"/>
      <w:lvlJc w:val="left"/>
      <w:pPr>
        <w:ind w:left="1729" w:hanging="252"/>
      </w:pPr>
      <w:rPr>
        <w:rFonts w:hint="default"/>
        <w:lang w:val="es-ES" w:eastAsia="es-ES" w:bidi="es-ES"/>
      </w:rPr>
    </w:lvl>
    <w:lvl w:ilvl="2">
      <w:start w:val="0"/>
      <w:numFmt w:val="bullet"/>
      <w:lvlText w:val="•"/>
      <w:lvlJc w:val="left"/>
      <w:pPr>
        <w:ind w:left="2398" w:hanging="252"/>
      </w:pPr>
      <w:rPr>
        <w:rFonts w:hint="default"/>
        <w:lang w:val="es-ES" w:eastAsia="es-ES" w:bidi="es-ES"/>
      </w:rPr>
    </w:lvl>
    <w:lvl w:ilvl="3">
      <w:start w:val="0"/>
      <w:numFmt w:val="bullet"/>
      <w:lvlText w:val="•"/>
      <w:lvlJc w:val="left"/>
      <w:pPr>
        <w:ind w:left="3067" w:hanging="252"/>
      </w:pPr>
      <w:rPr>
        <w:rFonts w:hint="default"/>
        <w:lang w:val="es-ES" w:eastAsia="es-ES" w:bidi="es-ES"/>
      </w:rPr>
    </w:lvl>
    <w:lvl w:ilvl="4">
      <w:start w:val="0"/>
      <w:numFmt w:val="bullet"/>
      <w:lvlText w:val="•"/>
      <w:lvlJc w:val="left"/>
      <w:pPr>
        <w:ind w:left="3736" w:hanging="252"/>
      </w:pPr>
      <w:rPr>
        <w:rFonts w:hint="default"/>
        <w:lang w:val="es-ES" w:eastAsia="es-ES" w:bidi="es-ES"/>
      </w:rPr>
    </w:lvl>
    <w:lvl w:ilvl="5">
      <w:start w:val="0"/>
      <w:numFmt w:val="bullet"/>
      <w:lvlText w:val="•"/>
      <w:lvlJc w:val="left"/>
      <w:pPr>
        <w:ind w:left="4405" w:hanging="252"/>
      </w:pPr>
      <w:rPr>
        <w:rFonts w:hint="default"/>
        <w:lang w:val="es-ES" w:eastAsia="es-ES" w:bidi="es-ES"/>
      </w:rPr>
    </w:lvl>
    <w:lvl w:ilvl="6">
      <w:start w:val="0"/>
      <w:numFmt w:val="bullet"/>
      <w:lvlText w:val="•"/>
      <w:lvlJc w:val="left"/>
      <w:pPr>
        <w:ind w:left="5074" w:hanging="252"/>
      </w:pPr>
      <w:rPr>
        <w:rFonts w:hint="default"/>
        <w:lang w:val="es-ES" w:eastAsia="es-ES" w:bidi="es-ES"/>
      </w:rPr>
    </w:lvl>
    <w:lvl w:ilvl="7">
      <w:start w:val="0"/>
      <w:numFmt w:val="bullet"/>
      <w:lvlText w:val="•"/>
      <w:lvlJc w:val="left"/>
      <w:pPr>
        <w:ind w:left="5743" w:hanging="252"/>
      </w:pPr>
      <w:rPr>
        <w:rFonts w:hint="default"/>
        <w:lang w:val="es-ES" w:eastAsia="es-ES" w:bidi="es-ES"/>
      </w:rPr>
    </w:lvl>
    <w:lvl w:ilvl="8">
      <w:start w:val="0"/>
      <w:numFmt w:val="bullet"/>
      <w:lvlText w:val="•"/>
      <w:lvlJc w:val="left"/>
      <w:pPr>
        <w:ind w:left="6412" w:hanging="252"/>
      </w:pPr>
      <w:rPr>
        <w:rFonts w:hint="default"/>
        <w:lang w:val="es-ES" w:eastAsia="es-ES" w:bidi="es-ES"/>
      </w:rPr>
    </w:lvl>
  </w:abstractNum>
  <w:abstractNum w:abstractNumId="88">
    <w:multiLevelType w:val="hybridMultilevel"/>
    <w:lvl w:ilvl="0">
      <w:start w:val="6"/>
      <w:numFmt w:val="decimal"/>
      <w:lvlText w:val="%1."/>
      <w:lvlJc w:val="left"/>
      <w:pPr>
        <w:ind w:left="3911" w:hanging="252"/>
        <w:jc w:val="left"/>
      </w:pPr>
      <w:rPr>
        <w:rFonts w:hint="default" w:ascii="Arial" w:hAnsi="Arial" w:eastAsia="Arial" w:cs="Arial"/>
        <w:w w:val="102"/>
        <w:sz w:val="15"/>
        <w:szCs w:val="15"/>
        <w:lang w:val="es-ES" w:eastAsia="es-ES" w:bidi="es-ES"/>
      </w:rPr>
    </w:lvl>
    <w:lvl w:ilvl="1">
      <w:start w:val="0"/>
      <w:numFmt w:val="bullet"/>
      <w:lvlText w:val="•"/>
      <w:lvlJc w:val="left"/>
      <w:pPr>
        <w:ind w:left="4187" w:hanging="252"/>
      </w:pPr>
      <w:rPr>
        <w:rFonts w:hint="default"/>
        <w:lang w:val="es-ES" w:eastAsia="es-ES" w:bidi="es-ES"/>
      </w:rPr>
    </w:lvl>
    <w:lvl w:ilvl="2">
      <w:start w:val="0"/>
      <w:numFmt w:val="bullet"/>
      <w:lvlText w:val="•"/>
      <w:lvlJc w:val="left"/>
      <w:pPr>
        <w:ind w:left="4454" w:hanging="252"/>
      </w:pPr>
      <w:rPr>
        <w:rFonts w:hint="default"/>
        <w:lang w:val="es-ES" w:eastAsia="es-ES" w:bidi="es-ES"/>
      </w:rPr>
    </w:lvl>
    <w:lvl w:ilvl="3">
      <w:start w:val="0"/>
      <w:numFmt w:val="bullet"/>
      <w:lvlText w:val="•"/>
      <w:lvlJc w:val="left"/>
      <w:pPr>
        <w:ind w:left="4722" w:hanging="252"/>
      </w:pPr>
      <w:rPr>
        <w:rFonts w:hint="default"/>
        <w:lang w:val="es-ES" w:eastAsia="es-ES" w:bidi="es-ES"/>
      </w:rPr>
    </w:lvl>
    <w:lvl w:ilvl="4">
      <w:start w:val="0"/>
      <w:numFmt w:val="bullet"/>
      <w:lvlText w:val="•"/>
      <w:lvlJc w:val="left"/>
      <w:pPr>
        <w:ind w:left="4989" w:hanging="252"/>
      </w:pPr>
      <w:rPr>
        <w:rFonts w:hint="default"/>
        <w:lang w:val="es-ES" w:eastAsia="es-ES" w:bidi="es-ES"/>
      </w:rPr>
    </w:lvl>
    <w:lvl w:ilvl="5">
      <w:start w:val="0"/>
      <w:numFmt w:val="bullet"/>
      <w:lvlText w:val="•"/>
      <w:lvlJc w:val="left"/>
      <w:pPr>
        <w:ind w:left="5257" w:hanging="252"/>
      </w:pPr>
      <w:rPr>
        <w:rFonts w:hint="default"/>
        <w:lang w:val="es-ES" w:eastAsia="es-ES" w:bidi="es-ES"/>
      </w:rPr>
    </w:lvl>
    <w:lvl w:ilvl="6">
      <w:start w:val="0"/>
      <w:numFmt w:val="bullet"/>
      <w:lvlText w:val="•"/>
      <w:lvlJc w:val="left"/>
      <w:pPr>
        <w:ind w:left="5524" w:hanging="252"/>
      </w:pPr>
      <w:rPr>
        <w:rFonts w:hint="default"/>
        <w:lang w:val="es-ES" w:eastAsia="es-ES" w:bidi="es-ES"/>
      </w:rPr>
    </w:lvl>
    <w:lvl w:ilvl="7">
      <w:start w:val="0"/>
      <w:numFmt w:val="bullet"/>
      <w:lvlText w:val="•"/>
      <w:lvlJc w:val="left"/>
      <w:pPr>
        <w:ind w:left="5791" w:hanging="252"/>
      </w:pPr>
      <w:rPr>
        <w:rFonts w:hint="default"/>
        <w:lang w:val="es-ES" w:eastAsia="es-ES" w:bidi="es-ES"/>
      </w:rPr>
    </w:lvl>
    <w:lvl w:ilvl="8">
      <w:start w:val="0"/>
      <w:numFmt w:val="bullet"/>
      <w:lvlText w:val="•"/>
      <w:lvlJc w:val="left"/>
      <w:pPr>
        <w:ind w:left="6059" w:hanging="252"/>
      </w:pPr>
      <w:rPr>
        <w:rFonts w:hint="default"/>
        <w:lang w:val="es-ES" w:eastAsia="es-ES" w:bidi="es-ES"/>
      </w:rPr>
    </w:lvl>
  </w:abstractNum>
  <w:abstractNum w:abstractNumId="87">
    <w:multiLevelType w:val="hybridMultilevel"/>
    <w:lvl w:ilvl="0">
      <w:start w:val="2"/>
      <w:numFmt w:val="decimal"/>
      <w:lvlText w:val="%1."/>
      <w:lvlJc w:val="left"/>
      <w:pPr>
        <w:ind w:left="3911" w:hanging="252"/>
        <w:jc w:val="left"/>
      </w:pPr>
      <w:rPr>
        <w:rFonts w:hint="default" w:ascii="Arial" w:hAnsi="Arial" w:eastAsia="Arial" w:cs="Arial"/>
        <w:w w:val="102"/>
        <w:sz w:val="15"/>
        <w:szCs w:val="15"/>
        <w:lang w:val="es-ES" w:eastAsia="es-ES" w:bidi="es-ES"/>
      </w:rPr>
    </w:lvl>
    <w:lvl w:ilvl="1">
      <w:start w:val="0"/>
      <w:numFmt w:val="bullet"/>
      <w:lvlText w:val="•"/>
      <w:lvlJc w:val="left"/>
      <w:pPr>
        <w:ind w:left="4187" w:hanging="252"/>
      </w:pPr>
      <w:rPr>
        <w:rFonts w:hint="default"/>
        <w:lang w:val="es-ES" w:eastAsia="es-ES" w:bidi="es-ES"/>
      </w:rPr>
    </w:lvl>
    <w:lvl w:ilvl="2">
      <w:start w:val="0"/>
      <w:numFmt w:val="bullet"/>
      <w:lvlText w:val="•"/>
      <w:lvlJc w:val="left"/>
      <w:pPr>
        <w:ind w:left="4454" w:hanging="252"/>
      </w:pPr>
      <w:rPr>
        <w:rFonts w:hint="default"/>
        <w:lang w:val="es-ES" w:eastAsia="es-ES" w:bidi="es-ES"/>
      </w:rPr>
    </w:lvl>
    <w:lvl w:ilvl="3">
      <w:start w:val="0"/>
      <w:numFmt w:val="bullet"/>
      <w:lvlText w:val="•"/>
      <w:lvlJc w:val="left"/>
      <w:pPr>
        <w:ind w:left="4722" w:hanging="252"/>
      </w:pPr>
      <w:rPr>
        <w:rFonts w:hint="default"/>
        <w:lang w:val="es-ES" w:eastAsia="es-ES" w:bidi="es-ES"/>
      </w:rPr>
    </w:lvl>
    <w:lvl w:ilvl="4">
      <w:start w:val="0"/>
      <w:numFmt w:val="bullet"/>
      <w:lvlText w:val="•"/>
      <w:lvlJc w:val="left"/>
      <w:pPr>
        <w:ind w:left="4989" w:hanging="252"/>
      </w:pPr>
      <w:rPr>
        <w:rFonts w:hint="default"/>
        <w:lang w:val="es-ES" w:eastAsia="es-ES" w:bidi="es-ES"/>
      </w:rPr>
    </w:lvl>
    <w:lvl w:ilvl="5">
      <w:start w:val="0"/>
      <w:numFmt w:val="bullet"/>
      <w:lvlText w:val="•"/>
      <w:lvlJc w:val="left"/>
      <w:pPr>
        <w:ind w:left="5257" w:hanging="252"/>
      </w:pPr>
      <w:rPr>
        <w:rFonts w:hint="default"/>
        <w:lang w:val="es-ES" w:eastAsia="es-ES" w:bidi="es-ES"/>
      </w:rPr>
    </w:lvl>
    <w:lvl w:ilvl="6">
      <w:start w:val="0"/>
      <w:numFmt w:val="bullet"/>
      <w:lvlText w:val="•"/>
      <w:lvlJc w:val="left"/>
      <w:pPr>
        <w:ind w:left="5524" w:hanging="252"/>
      </w:pPr>
      <w:rPr>
        <w:rFonts w:hint="default"/>
        <w:lang w:val="es-ES" w:eastAsia="es-ES" w:bidi="es-ES"/>
      </w:rPr>
    </w:lvl>
    <w:lvl w:ilvl="7">
      <w:start w:val="0"/>
      <w:numFmt w:val="bullet"/>
      <w:lvlText w:val="•"/>
      <w:lvlJc w:val="left"/>
      <w:pPr>
        <w:ind w:left="5791" w:hanging="252"/>
      </w:pPr>
      <w:rPr>
        <w:rFonts w:hint="default"/>
        <w:lang w:val="es-ES" w:eastAsia="es-ES" w:bidi="es-ES"/>
      </w:rPr>
    </w:lvl>
    <w:lvl w:ilvl="8">
      <w:start w:val="0"/>
      <w:numFmt w:val="bullet"/>
      <w:lvlText w:val="•"/>
      <w:lvlJc w:val="left"/>
      <w:pPr>
        <w:ind w:left="6059" w:hanging="252"/>
      </w:pPr>
      <w:rPr>
        <w:rFonts w:hint="default"/>
        <w:lang w:val="es-ES" w:eastAsia="es-ES" w:bidi="es-ES"/>
      </w:rPr>
    </w:lvl>
  </w:abstractNum>
  <w:abstractNum w:abstractNumId="86">
    <w:multiLevelType w:val="hybridMultilevel"/>
    <w:lvl w:ilvl="0">
      <w:start w:val="5"/>
      <w:numFmt w:val="decimal"/>
      <w:lvlText w:val="%1."/>
      <w:lvlJc w:val="left"/>
      <w:pPr>
        <w:ind w:left="1128" w:hanging="252"/>
        <w:jc w:val="left"/>
      </w:pPr>
      <w:rPr>
        <w:rFonts w:hint="default" w:ascii="Arial" w:hAnsi="Arial" w:eastAsia="Arial" w:cs="Arial"/>
        <w:w w:val="102"/>
        <w:sz w:val="15"/>
        <w:szCs w:val="15"/>
        <w:lang w:val="es-ES" w:eastAsia="es-ES" w:bidi="es-ES"/>
      </w:rPr>
    </w:lvl>
    <w:lvl w:ilvl="1">
      <w:start w:val="0"/>
      <w:numFmt w:val="bullet"/>
      <w:lvlText w:val="•"/>
      <w:lvlJc w:val="left"/>
      <w:pPr>
        <w:ind w:left="1830" w:hanging="252"/>
      </w:pPr>
      <w:rPr>
        <w:rFonts w:hint="default"/>
        <w:lang w:val="es-ES" w:eastAsia="es-ES" w:bidi="es-ES"/>
      </w:rPr>
    </w:lvl>
    <w:lvl w:ilvl="2">
      <w:start w:val="0"/>
      <w:numFmt w:val="bullet"/>
      <w:lvlText w:val="•"/>
      <w:lvlJc w:val="left"/>
      <w:pPr>
        <w:ind w:left="2540" w:hanging="252"/>
      </w:pPr>
      <w:rPr>
        <w:rFonts w:hint="default"/>
        <w:lang w:val="es-ES" w:eastAsia="es-ES" w:bidi="es-ES"/>
      </w:rPr>
    </w:lvl>
    <w:lvl w:ilvl="3">
      <w:start w:val="0"/>
      <w:numFmt w:val="bullet"/>
      <w:lvlText w:val="•"/>
      <w:lvlJc w:val="left"/>
      <w:pPr>
        <w:ind w:left="3250" w:hanging="252"/>
      </w:pPr>
      <w:rPr>
        <w:rFonts w:hint="default"/>
        <w:lang w:val="es-ES" w:eastAsia="es-ES" w:bidi="es-ES"/>
      </w:rPr>
    </w:lvl>
    <w:lvl w:ilvl="4">
      <w:start w:val="0"/>
      <w:numFmt w:val="bullet"/>
      <w:lvlText w:val="•"/>
      <w:lvlJc w:val="left"/>
      <w:pPr>
        <w:ind w:left="3960" w:hanging="252"/>
      </w:pPr>
      <w:rPr>
        <w:rFonts w:hint="default"/>
        <w:lang w:val="es-ES" w:eastAsia="es-ES" w:bidi="es-ES"/>
      </w:rPr>
    </w:lvl>
    <w:lvl w:ilvl="5">
      <w:start w:val="0"/>
      <w:numFmt w:val="bullet"/>
      <w:lvlText w:val="•"/>
      <w:lvlJc w:val="left"/>
      <w:pPr>
        <w:ind w:left="4670" w:hanging="252"/>
      </w:pPr>
      <w:rPr>
        <w:rFonts w:hint="default"/>
        <w:lang w:val="es-ES" w:eastAsia="es-ES" w:bidi="es-ES"/>
      </w:rPr>
    </w:lvl>
    <w:lvl w:ilvl="6">
      <w:start w:val="0"/>
      <w:numFmt w:val="bullet"/>
      <w:lvlText w:val="•"/>
      <w:lvlJc w:val="left"/>
      <w:pPr>
        <w:ind w:left="5381" w:hanging="252"/>
      </w:pPr>
      <w:rPr>
        <w:rFonts w:hint="default"/>
        <w:lang w:val="es-ES" w:eastAsia="es-ES" w:bidi="es-ES"/>
      </w:rPr>
    </w:lvl>
    <w:lvl w:ilvl="7">
      <w:start w:val="0"/>
      <w:numFmt w:val="bullet"/>
      <w:lvlText w:val="•"/>
      <w:lvlJc w:val="left"/>
      <w:pPr>
        <w:ind w:left="6091" w:hanging="252"/>
      </w:pPr>
      <w:rPr>
        <w:rFonts w:hint="default"/>
        <w:lang w:val="es-ES" w:eastAsia="es-ES" w:bidi="es-ES"/>
      </w:rPr>
    </w:lvl>
    <w:lvl w:ilvl="8">
      <w:start w:val="0"/>
      <w:numFmt w:val="bullet"/>
      <w:lvlText w:val="•"/>
      <w:lvlJc w:val="left"/>
      <w:pPr>
        <w:ind w:left="6801" w:hanging="252"/>
      </w:pPr>
      <w:rPr>
        <w:rFonts w:hint="default"/>
        <w:lang w:val="es-ES" w:eastAsia="es-ES" w:bidi="es-ES"/>
      </w:rPr>
    </w:lvl>
  </w:abstractNum>
  <w:abstractNum w:abstractNumId="85">
    <w:multiLevelType w:val="hybridMultilevel"/>
    <w:lvl w:ilvl="0">
      <w:start w:val="1"/>
      <w:numFmt w:val="lowerLetter"/>
      <w:lvlText w:val="%1)"/>
      <w:lvlJc w:val="left"/>
      <w:pPr>
        <w:ind w:left="725" w:hanging="178"/>
        <w:jc w:val="left"/>
      </w:pPr>
      <w:rPr>
        <w:rFonts w:hint="default" w:ascii="Arial" w:hAnsi="Arial" w:eastAsia="Arial" w:cs="Arial"/>
        <w:w w:val="102"/>
        <w:sz w:val="15"/>
        <w:szCs w:val="15"/>
        <w:lang w:val="es-ES" w:eastAsia="es-ES" w:bidi="es-ES"/>
      </w:rPr>
    </w:lvl>
    <w:lvl w:ilvl="1">
      <w:start w:val="1"/>
      <w:numFmt w:val="decimal"/>
      <w:lvlText w:val="%2."/>
      <w:lvlJc w:val="left"/>
      <w:pPr>
        <w:ind w:left="1128" w:hanging="252"/>
        <w:jc w:val="left"/>
      </w:pPr>
      <w:rPr>
        <w:rFonts w:hint="default" w:ascii="Arial" w:hAnsi="Arial" w:eastAsia="Arial" w:cs="Arial"/>
        <w:w w:val="102"/>
        <w:sz w:val="15"/>
        <w:szCs w:val="15"/>
        <w:lang w:val="es-ES" w:eastAsia="es-ES" w:bidi="es-ES"/>
      </w:rPr>
    </w:lvl>
    <w:lvl w:ilvl="2">
      <w:start w:val="0"/>
      <w:numFmt w:val="bullet"/>
      <w:lvlText w:val="•"/>
      <w:lvlJc w:val="left"/>
      <w:pPr>
        <w:ind w:left="1909" w:hanging="252"/>
      </w:pPr>
      <w:rPr>
        <w:rFonts w:hint="default"/>
        <w:lang w:val="es-ES" w:eastAsia="es-ES" w:bidi="es-ES"/>
      </w:rPr>
    </w:lvl>
    <w:lvl w:ilvl="3">
      <w:start w:val="0"/>
      <w:numFmt w:val="bullet"/>
      <w:lvlText w:val="•"/>
      <w:lvlJc w:val="left"/>
      <w:pPr>
        <w:ind w:left="2698" w:hanging="252"/>
      </w:pPr>
      <w:rPr>
        <w:rFonts w:hint="default"/>
        <w:lang w:val="es-ES" w:eastAsia="es-ES" w:bidi="es-ES"/>
      </w:rPr>
    </w:lvl>
    <w:lvl w:ilvl="4">
      <w:start w:val="0"/>
      <w:numFmt w:val="bullet"/>
      <w:lvlText w:val="•"/>
      <w:lvlJc w:val="left"/>
      <w:pPr>
        <w:ind w:left="3487" w:hanging="252"/>
      </w:pPr>
      <w:rPr>
        <w:rFonts w:hint="default"/>
        <w:lang w:val="es-ES" w:eastAsia="es-ES" w:bidi="es-ES"/>
      </w:rPr>
    </w:lvl>
    <w:lvl w:ilvl="5">
      <w:start w:val="0"/>
      <w:numFmt w:val="bullet"/>
      <w:lvlText w:val="•"/>
      <w:lvlJc w:val="left"/>
      <w:pPr>
        <w:ind w:left="4276" w:hanging="252"/>
      </w:pPr>
      <w:rPr>
        <w:rFonts w:hint="default"/>
        <w:lang w:val="es-ES" w:eastAsia="es-ES" w:bidi="es-ES"/>
      </w:rPr>
    </w:lvl>
    <w:lvl w:ilvl="6">
      <w:start w:val="0"/>
      <w:numFmt w:val="bullet"/>
      <w:lvlText w:val="•"/>
      <w:lvlJc w:val="left"/>
      <w:pPr>
        <w:ind w:left="5065" w:hanging="252"/>
      </w:pPr>
      <w:rPr>
        <w:rFonts w:hint="default"/>
        <w:lang w:val="es-ES" w:eastAsia="es-ES" w:bidi="es-ES"/>
      </w:rPr>
    </w:lvl>
    <w:lvl w:ilvl="7">
      <w:start w:val="0"/>
      <w:numFmt w:val="bullet"/>
      <w:lvlText w:val="•"/>
      <w:lvlJc w:val="left"/>
      <w:pPr>
        <w:ind w:left="5854" w:hanging="252"/>
      </w:pPr>
      <w:rPr>
        <w:rFonts w:hint="default"/>
        <w:lang w:val="es-ES" w:eastAsia="es-ES" w:bidi="es-ES"/>
      </w:rPr>
    </w:lvl>
    <w:lvl w:ilvl="8">
      <w:start w:val="0"/>
      <w:numFmt w:val="bullet"/>
      <w:lvlText w:val="•"/>
      <w:lvlJc w:val="left"/>
      <w:pPr>
        <w:ind w:left="6643" w:hanging="252"/>
      </w:pPr>
      <w:rPr>
        <w:rFonts w:hint="default"/>
        <w:lang w:val="es-ES" w:eastAsia="es-ES" w:bidi="es-ES"/>
      </w:rPr>
    </w:lvl>
  </w:abstractNum>
  <w:abstractNum w:abstractNumId="84">
    <w:multiLevelType w:val="hybridMultilevel"/>
    <w:lvl w:ilvl="0">
      <w:start w:val="1"/>
      <w:numFmt w:val="upperRoman"/>
      <w:lvlText w:val="%1."/>
      <w:lvlJc w:val="left"/>
      <w:pPr>
        <w:ind w:left="883" w:hanging="193"/>
        <w:jc w:val="left"/>
      </w:pPr>
      <w:rPr>
        <w:rFonts w:hint="default" w:ascii="Arial" w:hAnsi="Arial" w:eastAsia="Arial" w:cs="Arial"/>
        <w:w w:val="102"/>
        <w:sz w:val="15"/>
        <w:szCs w:val="15"/>
        <w:lang w:val="es-ES" w:eastAsia="es-ES" w:bidi="es-ES"/>
      </w:rPr>
    </w:lvl>
    <w:lvl w:ilvl="1">
      <w:start w:val="0"/>
      <w:numFmt w:val="bullet"/>
      <w:lvlText w:val="•"/>
      <w:lvlJc w:val="left"/>
      <w:pPr>
        <w:ind w:left="1567" w:hanging="193"/>
      </w:pPr>
      <w:rPr>
        <w:rFonts w:hint="default"/>
        <w:lang w:val="es-ES" w:eastAsia="es-ES" w:bidi="es-ES"/>
      </w:rPr>
    </w:lvl>
    <w:lvl w:ilvl="2">
      <w:start w:val="0"/>
      <w:numFmt w:val="bullet"/>
      <w:lvlText w:val="•"/>
      <w:lvlJc w:val="left"/>
      <w:pPr>
        <w:ind w:left="2254" w:hanging="193"/>
      </w:pPr>
      <w:rPr>
        <w:rFonts w:hint="default"/>
        <w:lang w:val="es-ES" w:eastAsia="es-ES" w:bidi="es-ES"/>
      </w:rPr>
    </w:lvl>
    <w:lvl w:ilvl="3">
      <w:start w:val="0"/>
      <w:numFmt w:val="bullet"/>
      <w:lvlText w:val="•"/>
      <w:lvlJc w:val="left"/>
      <w:pPr>
        <w:ind w:left="2941" w:hanging="193"/>
      </w:pPr>
      <w:rPr>
        <w:rFonts w:hint="default"/>
        <w:lang w:val="es-ES" w:eastAsia="es-ES" w:bidi="es-ES"/>
      </w:rPr>
    </w:lvl>
    <w:lvl w:ilvl="4">
      <w:start w:val="0"/>
      <w:numFmt w:val="bullet"/>
      <w:lvlText w:val="•"/>
      <w:lvlJc w:val="left"/>
      <w:pPr>
        <w:ind w:left="3628" w:hanging="193"/>
      </w:pPr>
      <w:rPr>
        <w:rFonts w:hint="default"/>
        <w:lang w:val="es-ES" w:eastAsia="es-ES" w:bidi="es-ES"/>
      </w:rPr>
    </w:lvl>
    <w:lvl w:ilvl="5">
      <w:start w:val="0"/>
      <w:numFmt w:val="bullet"/>
      <w:lvlText w:val="•"/>
      <w:lvlJc w:val="left"/>
      <w:pPr>
        <w:ind w:left="4315" w:hanging="193"/>
      </w:pPr>
      <w:rPr>
        <w:rFonts w:hint="default"/>
        <w:lang w:val="es-ES" w:eastAsia="es-ES" w:bidi="es-ES"/>
      </w:rPr>
    </w:lvl>
    <w:lvl w:ilvl="6">
      <w:start w:val="0"/>
      <w:numFmt w:val="bullet"/>
      <w:lvlText w:val="•"/>
      <w:lvlJc w:val="left"/>
      <w:pPr>
        <w:ind w:left="5002" w:hanging="193"/>
      </w:pPr>
      <w:rPr>
        <w:rFonts w:hint="default"/>
        <w:lang w:val="es-ES" w:eastAsia="es-ES" w:bidi="es-ES"/>
      </w:rPr>
    </w:lvl>
    <w:lvl w:ilvl="7">
      <w:start w:val="0"/>
      <w:numFmt w:val="bullet"/>
      <w:lvlText w:val="•"/>
      <w:lvlJc w:val="left"/>
      <w:pPr>
        <w:ind w:left="5689" w:hanging="193"/>
      </w:pPr>
      <w:rPr>
        <w:rFonts w:hint="default"/>
        <w:lang w:val="es-ES" w:eastAsia="es-ES" w:bidi="es-ES"/>
      </w:rPr>
    </w:lvl>
    <w:lvl w:ilvl="8">
      <w:start w:val="0"/>
      <w:numFmt w:val="bullet"/>
      <w:lvlText w:val="•"/>
      <w:lvlJc w:val="left"/>
      <w:pPr>
        <w:ind w:left="6376" w:hanging="193"/>
      </w:pPr>
      <w:rPr>
        <w:rFonts w:hint="default"/>
        <w:lang w:val="es-ES" w:eastAsia="es-ES" w:bidi="es-ES"/>
      </w:rPr>
    </w:lvl>
  </w:abstractNum>
  <w:abstractNum w:abstractNumId="83">
    <w:multiLevelType w:val="hybridMultilevel"/>
    <w:lvl w:ilvl="0">
      <w:start w:val="1"/>
      <w:numFmt w:val="lowerLetter"/>
      <w:lvlText w:val="%1)"/>
      <w:lvlJc w:val="left"/>
      <w:pPr>
        <w:ind w:left="151" w:hanging="203"/>
        <w:jc w:val="right"/>
      </w:pPr>
      <w:rPr>
        <w:rFonts w:hint="default" w:ascii="Arial" w:hAnsi="Arial" w:eastAsia="Arial" w:cs="Arial"/>
        <w:w w:val="102"/>
        <w:sz w:val="15"/>
        <w:szCs w:val="15"/>
        <w:lang w:val="es-ES" w:eastAsia="es-ES" w:bidi="es-ES"/>
      </w:rPr>
    </w:lvl>
    <w:lvl w:ilvl="1">
      <w:start w:val="0"/>
      <w:numFmt w:val="bullet"/>
      <w:lvlText w:val="•"/>
      <w:lvlJc w:val="left"/>
      <w:pPr>
        <w:ind w:left="966" w:hanging="203"/>
      </w:pPr>
      <w:rPr>
        <w:rFonts w:hint="default"/>
        <w:lang w:val="es-ES" w:eastAsia="es-ES" w:bidi="es-ES"/>
      </w:rPr>
    </w:lvl>
    <w:lvl w:ilvl="2">
      <w:start w:val="0"/>
      <w:numFmt w:val="bullet"/>
      <w:lvlText w:val="•"/>
      <w:lvlJc w:val="left"/>
      <w:pPr>
        <w:ind w:left="1772" w:hanging="203"/>
      </w:pPr>
      <w:rPr>
        <w:rFonts w:hint="default"/>
        <w:lang w:val="es-ES" w:eastAsia="es-ES" w:bidi="es-ES"/>
      </w:rPr>
    </w:lvl>
    <w:lvl w:ilvl="3">
      <w:start w:val="0"/>
      <w:numFmt w:val="bullet"/>
      <w:lvlText w:val="•"/>
      <w:lvlJc w:val="left"/>
      <w:pPr>
        <w:ind w:left="2578" w:hanging="203"/>
      </w:pPr>
      <w:rPr>
        <w:rFonts w:hint="default"/>
        <w:lang w:val="es-ES" w:eastAsia="es-ES" w:bidi="es-ES"/>
      </w:rPr>
    </w:lvl>
    <w:lvl w:ilvl="4">
      <w:start w:val="0"/>
      <w:numFmt w:val="bullet"/>
      <w:lvlText w:val="•"/>
      <w:lvlJc w:val="left"/>
      <w:pPr>
        <w:ind w:left="3384" w:hanging="203"/>
      </w:pPr>
      <w:rPr>
        <w:rFonts w:hint="default"/>
        <w:lang w:val="es-ES" w:eastAsia="es-ES" w:bidi="es-ES"/>
      </w:rPr>
    </w:lvl>
    <w:lvl w:ilvl="5">
      <w:start w:val="0"/>
      <w:numFmt w:val="bullet"/>
      <w:lvlText w:val="•"/>
      <w:lvlJc w:val="left"/>
      <w:pPr>
        <w:ind w:left="4190" w:hanging="203"/>
      </w:pPr>
      <w:rPr>
        <w:rFonts w:hint="default"/>
        <w:lang w:val="es-ES" w:eastAsia="es-ES" w:bidi="es-ES"/>
      </w:rPr>
    </w:lvl>
    <w:lvl w:ilvl="6">
      <w:start w:val="0"/>
      <w:numFmt w:val="bullet"/>
      <w:lvlText w:val="•"/>
      <w:lvlJc w:val="left"/>
      <w:pPr>
        <w:ind w:left="4997" w:hanging="203"/>
      </w:pPr>
      <w:rPr>
        <w:rFonts w:hint="default"/>
        <w:lang w:val="es-ES" w:eastAsia="es-ES" w:bidi="es-ES"/>
      </w:rPr>
    </w:lvl>
    <w:lvl w:ilvl="7">
      <w:start w:val="0"/>
      <w:numFmt w:val="bullet"/>
      <w:lvlText w:val="•"/>
      <w:lvlJc w:val="left"/>
      <w:pPr>
        <w:ind w:left="5803" w:hanging="203"/>
      </w:pPr>
      <w:rPr>
        <w:rFonts w:hint="default"/>
        <w:lang w:val="es-ES" w:eastAsia="es-ES" w:bidi="es-ES"/>
      </w:rPr>
    </w:lvl>
    <w:lvl w:ilvl="8">
      <w:start w:val="0"/>
      <w:numFmt w:val="bullet"/>
      <w:lvlText w:val="•"/>
      <w:lvlJc w:val="left"/>
      <w:pPr>
        <w:ind w:left="6609" w:hanging="203"/>
      </w:pPr>
      <w:rPr>
        <w:rFonts w:hint="default"/>
        <w:lang w:val="es-ES" w:eastAsia="es-ES" w:bidi="es-ES"/>
      </w:rPr>
    </w:lvl>
  </w:abstractNum>
  <w:abstractNum w:abstractNumId="82">
    <w:multiLevelType w:val="hybridMultilevel"/>
    <w:lvl w:ilvl="0">
      <w:start w:val="1"/>
      <w:numFmt w:val="lowerLetter"/>
      <w:lvlText w:val="%1)"/>
      <w:lvlJc w:val="left"/>
      <w:pPr>
        <w:ind w:left="226" w:hanging="184"/>
        <w:jc w:val="left"/>
      </w:pPr>
      <w:rPr>
        <w:rFonts w:hint="default" w:ascii="Arial" w:hAnsi="Arial" w:eastAsia="Arial" w:cs="Arial"/>
        <w:w w:val="102"/>
        <w:sz w:val="15"/>
        <w:szCs w:val="15"/>
        <w:lang w:val="es-ES" w:eastAsia="es-ES" w:bidi="es-ES"/>
      </w:rPr>
    </w:lvl>
    <w:lvl w:ilvl="1">
      <w:start w:val="0"/>
      <w:numFmt w:val="bullet"/>
      <w:lvlText w:val="•"/>
      <w:lvlJc w:val="left"/>
      <w:pPr>
        <w:ind w:left="973" w:hanging="184"/>
      </w:pPr>
      <w:rPr>
        <w:rFonts w:hint="default"/>
        <w:lang w:val="es-ES" w:eastAsia="es-ES" w:bidi="es-ES"/>
      </w:rPr>
    </w:lvl>
    <w:lvl w:ilvl="2">
      <w:start w:val="0"/>
      <w:numFmt w:val="bullet"/>
      <w:lvlText w:val="•"/>
      <w:lvlJc w:val="left"/>
      <w:pPr>
        <w:ind w:left="1726" w:hanging="184"/>
      </w:pPr>
      <w:rPr>
        <w:rFonts w:hint="default"/>
        <w:lang w:val="es-ES" w:eastAsia="es-ES" w:bidi="es-ES"/>
      </w:rPr>
    </w:lvl>
    <w:lvl w:ilvl="3">
      <w:start w:val="0"/>
      <w:numFmt w:val="bullet"/>
      <w:lvlText w:val="•"/>
      <w:lvlJc w:val="left"/>
      <w:pPr>
        <w:ind w:left="2479" w:hanging="184"/>
      </w:pPr>
      <w:rPr>
        <w:rFonts w:hint="default"/>
        <w:lang w:val="es-ES" w:eastAsia="es-ES" w:bidi="es-ES"/>
      </w:rPr>
    </w:lvl>
    <w:lvl w:ilvl="4">
      <w:start w:val="0"/>
      <w:numFmt w:val="bullet"/>
      <w:lvlText w:val="•"/>
      <w:lvlJc w:val="left"/>
      <w:pPr>
        <w:ind w:left="3232" w:hanging="184"/>
      </w:pPr>
      <w:rPr>
        <w:rFonts w:hint="default"/>
        <w:lang w:val="es-ES" w:eastAsia="es-ES" w:bidi="es-ES"/>
      </w:rPr>
    </w:lvl>
    <w:lvl w:ilvl="5">
      <w:start w:val="0"/>
      <w:numFmt w:val="bullet"/>
      <w:lvlText w:val="•"/>
      <w:lvlJc w:val="left"/>
      <w:pPr>
        <w:ind w:left="3985" w:hanging="184"/>
      </w:pPr>
      <w:rPr>
        <w:rFonts w:hint="default"/>
        <w:lang w:val="es-ES" w:eastAsia="es-ES" w:bidi="es-ES"/>
      </w:rPr>
    </w:lvl>
    <w:lvl w:ilvl="6">
      <w:start w:val="0"/>
      <w:numFmt w:val="bullet"/>
      <w:lvlText w:val="•"/>
      <w:lvlJc w:val="left"/>
      <w:pPr>
        <w:ind w:left="4738" w:hanging="184"/>
      </w:pPr>
      <w:rPr>
        <w:rFonts w:hint="default"/>
        <w:lang w:val="es-ES" w:eastAsia="es-ES" w:bidi="es-ES"/>
      </w:rPr>
    </w:lvl>
    <w:lvl w:ilvl="7">
      <w:start w:val="0"/>
      <w:numFmt w:val="bullet"/>
      <w:lvlText w:val="•"/>
      <w:lvlJc w:val="left"/>
      <w:pPr>
        <w:ind w:left="5491" w:hanging="184"/>
      </w:pPr>
      <w:rPr>
        <w:rFonts w:hint="default"/>
        <w:lang w:val="es-ES" w:eastAsia="es-ES" w:bidi="es-ES"/>
      </w:rPr>
    </w:lvl>
    <w:lvl w:ilvl="8">
      <w:start w:val="0"/>
      <w:numFmt w:val="bullet"/>
      <w:lvlText w:val="•"/>
      <w:lvlJc w:val="left"/>
      <w:pPr>
        <w:ind w:left="6244" w:hanging="184"/>
      </w:pPr>
      <w:rPr>
        <w:rFonts w:hint="default"/>
        <w:lang w:val="es-ES" w:eastAsia="es-ES" w:bidi="es-ES"/>
      </w:rPr>
    </w:lvl>
  </w:abstractNum>
  <w:abstractNum w:abstractNumId="81">
    <w:multiLevelType w:val="hybridMultilevel"/>
    <w:lvl w:ilvl="0">
      <w:start w:val="1"/>
      <w:numFmt w:val="upperRoman"/>
      <w:lvlText w:val="%1."/>
      <w:lvlJc w:val="left"/>
      <w:pPr>
        <w:ind w:left="151" w:hanging="142"/>
        <w:jc w:val="left"/>
      </w:pPr>
      <w:rPr>
        <w:rFonts w:hint="default" w:ascii="Arial" w:hAnsi="Arial" w:eastAsia="Arial" w:cs="Arial"/>
        <w:w w:val="102"/>
        <w:sz w:val="15"/>
        <w:szCs w:val="15"/>
        <w:lang w:val="es-ES" w:eastAsia="es-ES" w:bidi="es-ES"/>
      </w:rPr>
    </w:lvl>
    <w:lvl w:ilvl="1">
      <w:start w:val="1"/>
      <w:numFmt w:val="lowerLetter"/>
      <w:lvlText w:val="%2)"/>
      <w:lvlJc w:val="left"/>
      <w:pPr>
        <w:ind w:left="827" w:hanging="180"/>
        <w:jc w:val="left"/>
      </w:pPr>
      <w:rPr>
        <w:rFonts w:hint="default" w:ascii="Arial" w:hAnsi="Arial" w:eastAsia="Arial" w:cs="Arial"/>
        <w:w w:val="102"/>
        <w:sz w:val="15"/>
        <w:szCs w:val="15"/>
        <w:lang w:val="es-ES" w:eastAsia="es-ES" w:bidi="es-ES"/>
      </w:rPr>
    </w:lvl>
    <w:lvl w:ilvl="2">
      <w:start w:val="0"/>
      <w:numFmt w:val="bullet"/>
      <w:lvlText w:val="•"/>
      <w:lvlJc w:val="left"/>
      <w:pPr>
        <w:ind w:left="298" w:hanging="180"/>
      </w:pPr>
      <w:rPr>
        <w:rFonts w:hint="default"/>
        <w:lang w:val="es-ES" w:eastAsia="es-ES" w:bidi="es-ES"/>
      </w:rPr>
    </w:lvl>
    <w:lvl w:ilvl="3">
      <w:start w:val="0"/>
      <w:numFmt w:val="bullet"/>
      <w:lvlText w:val="•"/>
      <w:lvlJc w:val="left"/>
      <w:pPr>
        <w:ind w:left="-223" w:hanging="180"/>
      </w:pPr>
      <w:rPr>
        <w:rFonts w:hint="default"/>
        <w:lang w:val="es-ES" w:eastAsia="es-ES" w:bidi="es-ES"/>
      </w:rPr>
    </w:lvl>
    <w:lvl w:ilvl="4">
      <w:start w:val="0"/>
      <w:numFmt w:val="bullet"/>
      <w:lvlText w:val="•"/>
      <w:lvlJc w:val="left"/>
      <w:pPr>
        <w:ind w:left="-744" w:hanging="180"/>
      </w:pPr>
      <w:rPr>
        <w:rFonts w:hint="default"/>
        <w:lang w:val="es-ES" w:eastAsia="es-ES" w:bidi="es-ES"/>
      </w:rPr>
    </w:lvl>
    <w:lvl w:ilvl="5">
      <w:start w:val="0"/>
      <w:numFmt w:val="bullet"/>
      <w:lvlText w:val="•"/>
      <w:lvlJc w:val="left"/>
      <w:pPr>
        <w:ind w:left="-1266" w:hanging="180"/>
      </w:pPr>
      <w:rPr>
        <w:rFonts w:hint="default"/>
        <w:lang w:val="es-ES" w:eastAsia="es-ES" w:bidi="es-ES"/>
      </w:rPr>
    </w:lvl>
    <w:lvl w:ilvl="6">
      <w:start w:val="0"/>
      <w:numFmt w:val="bullet"/>
      <w:lvlText w:val="•"/>
      <w:lvlJc w:val="left"/>
      <w:pPr>
        <w:ind w:left="-1787" w:hanging="180"/>
      </w:pPr>
      <w:rPr>
        <w:rFonts w:hint="default"/>
        <w:lang w:val="es-ES" w:eastAsia="es-ES" w:bidi="es-ES"/>
      </w:rPr>
    </w:lvl>
    <w:lvl w:ilvl="7">
      <w:start w:val="0"/>
      <w:numFmt w:val="bullet"/>
      <w:lvlText w:val="•"/>
      <w:lvlJc w:val="left"/>
      <w:pPr>
        <w:ind w:left="-2308" w:hanging="180"/>
      </w:pPr>
      <w:rPr>
        <w:rFonts w:hint="default"/>
        <w:lang w:val="es-ES" w:eastAsia="es-ES" w:bidi="es-ES"/>
      </w:rPr>
    </w:lvl>
    <w:lvl w:ilvl="8">
      <w:start w:val="0"/>
      <w:numFmt w:val="bullet"/>
      <w:lvlText w:val="•"/>
      <w:lvlJc w:val="left"/>
      <w:pPr>
        <w:ind w:left="-2830" w:hanging="180"/>
      </w:pPr>
      <w:rPr>
        <w:rFonts w:hint="default"/>
        <w:lang w:val="es-ES" w:eastAsia="es-ES" w:bidi="es-ES"/>
      </w:rPr>
    </w:lvl>
  </w:abstractNum>
  <w:abstractNum w:abstractNumId="80">
    <w:multiLevelType w:val="hybridMultilevel"/>
    <w:lvl w:ilvl="0">
      <w:start w:val="1"/>
      <w:numFmt w:val="upperRoman"/>
      <w:lvlText w:val="%1."/>
      <w:lvlJc w:val="left"/>
      <w:pPr>
        <w:ind w:left="151" w:hanging="141"/>
        <w:jc w:val="left"/>
      </w:pPr>
      <w:rPr>
        <w:rFonts w:hint="default" w:ascii="Arial" w:hAnsi="Arial" w:eastAsia="Arial" w:cs="Arial"/>
        <w:w w:val="102"/>
        <w:sz w:val="15"/>
        <w:szCs w:val="15"/>
        <w:lang w:val="es-ES" w:eastAsia="es-ES" w:bidi="es-ES"/>
      </w:rPr>
    </w:lvl>
    <w:lvl w:ilvl="1">
      <w:start w:val="0"/>
      <w:numFmt w:val="bullet"/>
      <w:lvlText w:val="•"/>
      <w:lvlJc w:val="left"/>
      <w:pPr>
        <w:ind w:left="919" w:hanging="141"/>
      </w:pPr>
      <w:rPr>
        <w:rFonts w:hint="default"/>
        <w:lang w:val="es-ES" w:eastAsia="es-ES" w:bidi="es-ES"/>
      </w:rPr>
    </w:lvl>
    <w:lvl w:ilvl="2">
      <w:start w:val="0"/>
      <w:numFmt w:val="bullet"/>
      <w:lvlText w:val="•"/>
      <w:lvlJc w:val="left"/>
      <w:pPr>
        <w:ind w:left="1678" w:hanging="141"/>
      </w:pPr>
      <w:rPr>
        <w:rFonts w:hint="default"/>
        <w:lang w:val="es-ES" w:eastAsia="es-ES" w:bidi="es-ES"/>
      </w:rPr>
    </w:lvl>
    <w:lvl w:ilvl="3">
      <w:start w:val="0"/>
      <w:numFmt w:val="bullet"/>
      <w:lvlText w:val="•"/>
      <w:lvlJc w:val="left"/>
      <w:pPr>
        <w:ind w:left="2437" w:hanging="141"/>
      </w:pPr>
      <w:rPr>
        <w:rFonts w:hint="default"/>
        <w:lang w:val="es-ES" w:eastAsia="es-ES" w:bidi="es-ES"/>
      </w:rPr>
    </w:lvl>
    <w:lvl w:ilvl="4">
      <w:start w:val="0"/>
      <w:numFmt w:val="bullet"/>
      <w:lvlText w:val="•"/>
      <w:lvlJc w:val="left"/>
      <w:pPr>
        <w:ind w:left="3196" w:hanging="141"/>
      </w:pPr>
      <w:rPr>
        <w:rFonts w:hint="default"/>
        <w:lang w:val="es-ES" w:eastAsia="es-ES" w:bidi="es-ES"/>
      </w:rPr>
    </w:lvl>
    <w:lvl w:ilvl="5">
      <w:start w:val="0"/>
      <w:numFmt w:val="bullet"/>
      <w:lvlText w:val="•"/>
      <w:lvlJc w:val="left"/>
      <w:pPr>
        <w:ind w:left="3955" w:hanging="141"/>
      </w:pPr>
      <w:rPr>
        <w:rFonts w:hint="default"/>
        <w:lang w:val="es-ES" w:eastAsia="es-ES" w:bidi="es-ES"/>
      </w:rPr>
    </w:lvl>
    <w:lvl w:ilvl="6">
      <w:start w:val="0"/>
      <w:numFmt w:val="bullet"/>
      <w:lvlText w:val="•"/>
      <w:lvlJc w:val="left"/>
      <w:pPr>
        <w:ind w:left="4714" w:hanging="141"/>
      </w:pPr>
      <w:rPr>
        <w:rFonts w:hint="default"/>
        <w:lang w:val="es-ES" w:eastAsia="es-ES" w:bidi="es-ES"/>
      </w:rPr>
    </w:lvl>
    <w:lvl w:ilvl="7">
      <w:start w:val="0"/>
      <w:numFmt w:val="bullet"/>
      <w:lvlText w:val="•"/>
      <w:lvlJc w:val="left"/>
      <w:pPr>
        <w:ind w:left="5473" w:hanging="141"/>
      </w:pPr>
      <w:rPr>
        <w:rFonts w:hint="default"/>
        <w:lang w:val="es-ES" w:eastAsia="es-ES" w:bidi="es-ES"/>
      </w:rPr>
    </w:lvl>
    <w:lvl w:ilvl="8">
      <w:start w:val="0"/>
      <w:numFmt w:val="bullet"/>
      <w:lvlText w:val="•"/>
      <w:lvlJc w:val="left"/>
      <w:pPr>
        <w:ind w:left="6232" w:hanging="141"/>
      </w:pPr>
      <w:rPr>
        <w:rFonts w:hint="default"/>
        <w:lang w:val="es-ES" w:eastAsia="es-ES" w:bidi="es-ES"/>
      </w:rPr>
    </w:lvl>
  </w:abstractNum>
  <w:abstractNum w:abstractNumId="79">
    <w:multiLevelType w:val="hybridMultilevel"/>
    <w:lvl w:ilvl="0">
      <w:start w:val="1"/>
      <w:numFmt w:val="upperRoman"/>
      <w:lvlText w:val="%1."/>
      <w:lvlJc w:val="left"/>
      <w:pPr>
        <w:ind w:left="151" w:hanging="164"/>
        <w:jc w:val="left"/>
      </w:pPr>
      <w:rPr>
        <w:rFonts w:hint="default" w:ascii="Arial" w:hAnsi="Arial" w:eastAsia="Arial" w:cs="Arial"/>
        <w:w w:val="102"/>
        <w:sz w:val="15"/>
        <w:szCs w:val="15"/>
        <w:lang w:val="es-ES" w:eastAsia="es-ES" w:bidi="es-ES"/>
      </w:rPr>
    </w:lvl>
    <w:lvl w:ilvl="1">
      <w:start w:val="0"/>
      <w:numFmt w:val="bullet"/>
      <w:lvlText w:val="•"/>
      <w:lvlJc w:val="left"/>
      <w:pPr>
        <w:ind w:left="966" w:hanging="164"/>
      </w:pPr>
      <w:rPr>
        <w:rFonts w:hint="default"/>
        <w:lang w:val="es-ES" w:eastAsia="es-ES" w:bidi="es-ES"/>
      </w:rPr>
    </w:lvl>
    <w:lvl w:ilvl="2">
      <w:start w:val="0"/>
      <w:numFmt w:val="bullet"/>
      <w:lvlText w:val="•"/>
      <w:lvlJc w:val="left"/>
      <w:pPr>
        <w:ind w:left="1772" w:hanging="164"/>
      </w:pPr>
      <w:rPr>
        <w:rFonts w:hint="default"/>
        <w:lang w:val="es-ES" w:eastAsia="es-ES" w:bidi="es-ES"/>
      </w:rPr>
    </w:lvl>
    <w:lvl w:ilvl="3">
      <w:start w:val="0"/>
      <w:numFmt w:val="bullet"/>
      <w:lvlText w:val="•"/>
      <w:lvlJc w:val="left"/>
      <w:pPr>
        <w:ind w:left="2578" w:hanging="164"/>
      </w:pPr>
      <w:rPr>
        <w:rFonts w:hint="default"/>
        <w:lang w:val="es-ES" w:eastAsia="es-ES" w:bidi="es-ES"/>
      </w:rPr>
    </w:lvl>
    <w:lvl w:ilvl="4">
      <w:start w:val="0"/>
      <w:numFmt w:val="bullet"/>
      <w:lvlText w:val="•"/>
      <w:lvlJc w:val="left"/>
      <w:pPr>
        <w:ind w:left="3384" w:hanging="164"/>
      </w:pPr>
      <w:rPr>
        <w:rFonts w:hint="default"/>
        <w:lang w:val="es-ES" w:eastAsia="es-ES" w:bidi="es-ES"/>
      </w:rPr>
    </w:lvl>
    <w:lvl w:ilvl="5">
      <w:start w:val="0"/>
      <w:numFmt w:val="bullet"/>
      <w:lvlText w:val="•"/>
      <w:lvlJc w:val="left"/>
      <w:pPr>
        <w:ind w:left="4191" w:hanging="164"/>
      </w:pPr>
      <w:rPr>
        <w:rFonts w:hint="default"/>
        <w:lang w:val="es-ES" w:eastAsia="es-ES" w:bidi="es-ES"/>
      </w:rPr>
    </w:lvl>
    <w:lvl w:ilvl="6">
      <w:start w:val="0"/>
      <w:numFmt w:val="bullet"/>
      <w:lvlText w:val="•"/>
      <w:lvlJc w:val="left"/>
      <w:pPr>
        <w:ind w:left="4997" w:hanging="164"/>
      </w:pPr>
      <w:rPr>
        <w:rFonts w:hint="default"/>
        <w:lang w:val="es-ES" w:eastAsia="es-ES" w:bidi="es-ES"/>
      </w:rPr>
    </w:lvl>
    <w:lvl w:ilvl="7">
      <w:start w:val="0"/>
      <w:numFmt w:val="bullet"/>
      <w:lvlText w:val="•"/>
      <w:lvlJc w:val="left"/>
      <w:pPr>
        <w:ind w:left="5803" w:hanging="164"/>
      </w:pPr>
      <w:rPr>
        <w:rFonts w:hint="default"/>
        <w:lang w:val="es-ES" w:eastAsia="es-ES" w:bidi="es-ES"/>
      </w:rPr>
    </w:lvl>
    <w:lvl w:ilvl="8">
      <w:start w:val="0"/>
      <w:numFmt w:val="bullet"/>
      <w:lvlText w:val="•"/>
      <w:lvlJc w:val="left"/>
      <w:pPr>
        <w:ind w:left="6609" w:hanging="164"/>
      </w:pPr>
      <w:rPr>
        <w:rFonts w:hint="default"/>
        <w:lang w:val="es-ES" w:eastAsia="es-ES" w:bidi="es-ES"/>
      </w:rPr>
    </w:lvl>
  </w:abstractNum>
  <w:abstractNum w:abstractNumId="78">
    <w:multiLevelType w:val="hybridMultilevel"/>
    <w:lvl w:ilvl="0">
      <w:start w:val="1"/>
      <w:numFmt w:val="upperRoman"/>
      <w:lvlText w:val="%1."/>
      <w:lvlJc w:val="left"/>
      <w:pPr>
        <w:ind w:left="677" w:hanging="129"/>
        <w:jc w:val="left"/>
      </w:pPr>
      <w:rPr>
        <w:rFonts w:hint="default" w:ascii="Arial" w:hAnsi="Arial" w:eastAsia="Arial" w:cs="Arial"/>
        <w:w w:val="102"/>
        <w:sz w:val="15"/>
        <w:szCs w:val="15"/>
        <w:lang w:val="es-ES" w:eastAsia="es-ES" w:bidi="es-ES"/>
      </w:rPr>
    </w:lvl>
    <w:lvl w:ilvl="1">
      <w:start w:val="0"/>
      <w:numFmt w:val="bullet"/>
      <w:lvlText w:val="•"/>
      <w:lvlJc w:val="left"/>
      <w:pPr>
        <w:ind w:left="1434" w:hanging="129"/>
      </w:pPr>
      <w:rPr>
        <w:rFonts w:hint="default"/>
        <w:lang w:val="es-ES" w:eastAsia="es-ES" w:bidi="es-ES"/>
      </w:rPr>
    </w:lvl>
    <w:lvl w:ilvl="2">
      <w:start w:val="0"/>
      <w:numFmt w:val="bullet"/>
      <w:lvlText w:val="•"/>
      <w:lvlJc w:val="left"/>
      <w:pPr>
        <w:ind w:left="2188" w:hanging="129"/>
      </w:pPr>
      <w:rPr>
        <w:rFonts w:hint="default"/>
        <w:lang w:val="es-ES" w:eastAsia="es-ES" w:bidi="es-ES"/>
      </w:rPr>
    </w:lvl>
    <w:lvl w:ilvl="3">
      <w:start w:val="0"/>
      <w:numFmt w:val="bullet"/>
      <w:lvlText w:val="•"/>
      <w:lvlJc w:val="left"/>
      <w:pPr>
        <w:ind w:left="2942" w:hanging="129"/>
      </w:pPr>
      <w:rPr>
        <w:rFonts w:hint="default"/>
        <w:lang w:val="es-ES" w:eastAsia="es-ES" w:bidi="es-ES"/>
      </w:rPr>
    </w:lvl>
    <w:lvl w:ilvl="4">
      <w:start w:val="0"/>
      <w:numFmt w:val="bullet"/>
      <w:lvlText w:val="•"/>
      <w:lvlJc w:val="left"/>
      <w:pPr>
        <w:ind w:left="3696" w:hanging="129"/>
      </w:pPr>
      <w:rPr>
        <w:rFonts w:hint="default"/>
        <w:lang w:val="es-ES" w:eastAsia="es-ES" w:bidi="es-ES"/>
      </w:rPr>
    </w:lvl>
    <w:lvl w:ilvl="5">
      <w:start w:val="0"/>
      <w:numFmt w:val="bullet"/>
      <w:lvlText w:val="•"/>
      <w:lvlJc w:val="left"/>
      <w:pPr>
        <w:ind w:left="4451" w:hanging="129"/>
      </w:pPr>
      <w:rPr>
        <w:rFonts w:hint="default"/>
        <w:lang w:val="es-ES" w:eastAsia="es-ES" w:bidi="es-ES"/>
      </w:rPr>
    </w:lvl>
    <w:lvl w:ilvl="6">
      <w:start w:val="0"/>
      <w:numFmt w:val="bullet"/>
      <w:lvlText w:val="•"/>
      <w:lvlJc w:val="left"/>
      <w:pPr>
        <w:ind w:left="5205" w:hanging="129"/>
      </w:pPr>
      <w:rPr>
        <w:rFonts w:hint="default"/>
        <w:lang w:val="es-ES" w:eastAsia="es-ES" w:bidi="es-ES"/>
      </w:rPr>
    </w:lvl>
    <w:lvl w:ilvl="7">
      <w:start w:val="0"/>
      <w:numFmt w:val="bullet"/>
      <w:lvlText w:val="•"/>
      <w:lvlJc w:val="left"/>
      <w:pPr>
        <w:ind w:left="5959" w:hanging="129"/>
      </w:pPr>
      <w:rPr>
        <w:rFonts w:hint="default"/>
        <w:lang w:val="es-ES" w:eastAsia="es-ES" w:bidi="es-ES"/>
      </w:rPr>
    </w:lvl>
    <w:lvl w:ilvl="8">
      <w:start w:val="0"/>
      <w:numFmt w:val="bullet"/>
      <w:lvlText w:val="•"/>
      <w:lvlJc w:val="left"/>
      <w:pPr>
        <w:ind w:left="6713" w:hanging="129"/>
      </w:pPr>
      <w:rPr>
        <w:rFonts w:hint="default"/>
        <w:lang w:val="es-ES" w:eastAsia="es-ES" w:bidi="es-ES"/>
      </w:rPr>
    </w:lvl>
  </w:abstractNum>
  <w:abstractNum w:abstractNumId="77">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23" w:hanging="180"/>
      </w:pPr>
      <w:rPr>
        <w:rFonts w:hint="default"/>
        <w:lang w:val="es-ES" w:eastAsia="es-ES" w:bidi="es-ES"/>
      </w:rPr>
    </w:lvl>
    <w:lvl w:ilvl="2">
      <w:start w:val="0"/>
      <w:numFmt w:val="bullet"/>
      <w:lvlText w:val="•"/>
      <w:lvlJc w:val="left"/>
      <w:pPr>
        <w:ind w:left="2126" w:hanging="180"/>
      </w:pPr>
      <w:rPr>
        <w:rFonts w:hint="default"/>
        <w:lang w:val="es-ES" w:eastAsia="es-ES" w:bidi="es-ES"/>
      </w:rPr>
    </w:lvl>
    <w:lvl w:ilvl="3">
      <w:start w:val="0"/>
      <w:numFmt w:val="bullet"/>
      <w:lvlText w:val="•"/>
      <w:lvlJc w:val="left"/>
      <w:pPr>
        <w:ind w:left="2829" w:hanging="180"/>
      </w:pPr>
      <w:rPr>
        <w:rFonts w:hint="default"/>
        <w:lang w:val="es-ES" w:eastAsia="es-ES" w:bidi="es-ES"/>
      </w:rPr>
    </w:lvl>
    <w:lvl w:ilvl="4">
      <w:start w:val="0"/>
      <w:numFmt w:val="bullet"/>
      <w:lvlText w:val="•"/>
      <w:lvlJc w:val="left"/>
      <w:pPr>
        <w:ind w:left="3532" w:hanging="180"/>
      </w:pPr>
      <w:rPr>
        <w:rFonts w:hint="default"/>
        <w:lang w:val="es-ES" w:eastAsia="es-ES" w:bidi="es-ES"/>
      </w:rPr>
    </w:lvl>
    <w:lvl w:ilvl="5">
      <w:start w:val="0"/>
      <w:numFmt w:val="bullet"/>
      <w:lvlText w:val="•"/>
      <w:lvlJc w:val="left"/>
      <w:pPr>
        <w:ind w:left="4235" w:hanging="180"/>
      </w:pPr>
      <w:rPr>
        <w:rFonts w:hint="default"/>
        <w:lang w:val="es-ES" w:eastAsia="es-ES" w:bidi="es-ES"/>
      </w:rPr>
    </w:lvl>
    <w:lvl w:ilvl="6">
      <w:start w:val="0"/>
      <w:numFmt w:val="bullet"/>
      <w:lvlText w:val="•"/>
      <w:lvlJc w:val="left"/>
      <w:pPr>
        <w:ind w:left="4938" w:hanging="180"/>
      </w:pPr>
      <w:rPr>
        <w:rFonts w:hint="default"/>
        <w:lang w:val="es-ES" w:eastAsia="es-ES" w:bidi="es-ES"/>
      </w:rPr>
    </w:lvl>
    <w:lvl w:ilvl="7">
      <w:start w:val="0"/>
      <w:numFmt w:val="bullet"/>
      <w:lvlText w:val="•"/>
      <w:lvlJc w:val="left"/>
      <w:pPr>
        <w:ind w:left="5641" w:hanging="180"/>
      </w:pPr>
      <w:rPr>
        <w:rFonts w:hint="default"/>
        <w:lang w:val="es-ES" w:eastAsia="es-ES" w:bidi="es-ES"/>
      </w:rPr>
    </w:lvl>
    <w:lvl w:ilvl="8">
      <w:start w:val="0"/>
      <w:numFmt w:val="bullet"/>
      <w:lvlText w:val="•"/>
      <w:lvlJc w:val="left"/>
      <w:pPr>
        <w:ind w:left="6344" w:hanging="180"/>
      </w:pPr>
      <w:rPr>
        <w:rFonts w:hint="default"/>
        <w:lang w:val="es-ES" w:eastAsia="es-ES" w:bidi="es-ES"/>
      </w:rPr>
    </w:lvl>
  </w:abstractNum>
  <w:abstractNum w:abstractNumId="76">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2632" w:hanging="180"/>
      </w:pPr>
      <w:rPr>
        <w:rFonts w:hint="default"/>
        <w:lang w:val="es-ES" w:eastAsia="es-ES" w:bidi="es-ES"/>
      </w:rPr>
    </w:lvl>
    <w:lvl w:ilvl="2">
      <w:start w:val="0"/>
      <w:numFmt w:val="bullet"/>
      <w:lvlText w:val="•"/>
      <w:lvlJc w:val="left"/>
      <w:pPr>
        <w:ind w:left="4544" w:hanging="180"/>
      </w:pPr>
      <w:rPr>
        <w:rFonts w:hint="default"/>
        <w:lang w:val="es-ES" w:eastAsia="es-ES" w:bidi="es-ES"/>
      </w:rPr>
    </w:lvl>
    <w:lvl w:ilvl="3">
      <w:start w:val="0"/>
      <w:numFmt w:val="bullet"/>
      <w:lvlText w:val="•"/>
      <w:lvlJc w:val="left"/>
      <w:pPr>
        <w:ind w:left="6457" w:hanging="180"/>
      </w:pPr>
      <w:rPr>
        <w:rFonts w:hint="default"/>
        <w:lang w:val="es-ES" w:eastAsia="es-ES" w:bidi="es-ES"/>
      </w:rPr>
    </w:lvl>
    <w:lvl w:ilvl="4">
      <w:start w:val="0"/>
      <w:numFmt w:val="bullet"/>
      <w:lvlText w:val="•"/>
      <w:lvlJc w:val="left"/>
      <w:pPr>
        <w:ind w:left="8369" w:hanging="180"/>
      </w:pPr>
      <w:rPr>
        <w:rFonts w:hint="default"/>
        <w:lang w:val="es-ES" w:eastAsia="es-ES" w:bidi="es-ES"/>
      </w:rPr>
    </w:lvl>
    <w:lvl w:ilvl="5">
      <w:start w:val="0"/>
      <w:numFmt w:val="bullet"/>
      <w:lvlText w:val="•"/>
      <w:lvlJc w:val="left"/>
      <w:pPr>
        <w:ind w:left="10282" w:hanging="180"/>
      </w:pPr>
      <w:rPr>
        <w:rFonts w:hint="default"/>
        <w:lang w:val="es-ES" w:eastAsia="es-ES" w:bidi="es-ES"/>
      </w:rPr>
    </w:lvl>
    <w:lvl w:ilvl="6">
      <w:start w:val="0"/>
      <w:numFmt w:val="bullet"/>
      <w:lvlText w:val="•"/>
      <w:lvlJc w:val="left"/>
      <w:pPr>
        <w:ind w:left="12194" w:hanging="180"/>
      </w:pPr>
      <w:rPr>
        <w:rFonts w:hint="default"/>
        <w:lang w:val="es-ES" w:eastAsia="es-ES" w:bidi="es-ES"/>
      </w:rPr>
    </w:lvl>
    <w:lvl w:ilvl="7">
      <w:start w:val="0"/>
      <w:numFmt w:val="bullet"/>
      <w:lvlText w:val="•"/>
      <w:lvlJc w:val="left"/>
      <w:pPr>
        <w:ind w:left="14106" w:hanging="180"/>
      </w:pPr>
      <w:rPr>
        <w:rFonts w:hint="default"/>
        <w:lang w:val="es-ES" w:eastAsia="es-ES" w:bidi="es-ES"/>
      </w:rPr>
    </w:lvl>
    <w:lvl w:ilvl="8">
      <w:start w:val="0"/>
      <w:numFmt w:val="bullet"/>
      <w:lvlText w:val="•"/>
      <w:lvlJc w:val="left"/>
      <w:pPr>
        <w:ind w:left="16019" w:hanging="180"/>
      </w:pPr>
      <w:rPr>
        <w:rFonts w:hint="default"/>
        <w:lang w:val="es-ES" w:eastAsia="es-ES" w:bidi="es-ES"/>
      </w:rPr>
    </w:lvl>
  </w:abstractNum>
  <w:abstractNum w:abstractNumId="75">
    <w:multiLevelType w:val="hybridMultilevel"/>
    <w:lvl w:ilvl="0">
      <w:start w:val="1"/>
      <w:numFmt w:val="lowerLetter"/>
      <w:lvlText w:val="%1)"/>
      <w:lvlJc w:val="left"/>
      <w:pPr>
        <w:ind w:left="727"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80"/>
      </w:pPr>
      <w:rPr>
        <w:rFonts w:hint="default"/>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1" w:hanging="180"/>
      </w:pPr>
      <w:rPr>
        <w:rFonts w:hint="default"/>
        <w:lang w:val="es-ES" w:eastAsia="es-ES" w:bidi="es-ES"/>
      </w:rPr>
    </w:lvl>
    <w:lvl w:ilvl="6">
      <w:start w:val="0"/>
      <w:numFmt w:val="bullet"/>
      <w:lvlText w:val="•"/>
      <w:lvlJc w:val="left"/>
      <w:pPr>
        <w:ind w:left="5221"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74">
    <w:multiLevelType w:val="hybridMultilevel"/>
    <w:lvl w:ilvl="0">
      <w:start w:val="1"/>
      <w:numFmt w:val="decimal"/>
      <w:lvlText w:val="%1."/>
      <w:lvlJc w:val="left"/>
      <w:pPr>
        <w:ind w:left="746" w:hanging="199"/>
        <w:jc w:val="left"/>
      </w:pPr>
      <w:rPr>
        <w:rFonts w:hint="default" w:ascii="Arial" w:hAnsi="Arial" w:eastAsia="Arial" w:cs="Arial"/>
        <w:w w:val="102"/>
        <w:sz w:val="15"/>
        <w:szCs w:val="15"/>
        <w:lang w:val="es-ES" w:eastAsia="es-ES" w:bidi="es-ES"/>
      </w:rPr>
    </w:lvl>
    <w:lvl w:ilvl="1">
      <w:start w:val="0"/>
      <w:numFmt w:val="bullet"/>
      <w:lvlText w:val="•"/>
      <w:lvlJc w:val="left"/>
      <w:pPr>
        <w:ind w:left="820" w:hanging="199"/>
      </w:pPr>
      <w:rPr>
        <w:rFonts w:hint="default"/>
        <w:lang w:val="es-ES" w:eastAsia="es-ES" w:bidi="es-ES"/>
      </w:rPr>
    </w:lvl>
    <w:lvl w:ilvl="2">
      <w:start w:val="0"/>
      <w:numFmt w:val="bullet"/>
      <w:lvlText w:val="•"/>
      <w:lvlJc w:val="left"/>
      <w:pPr>
        <w:ind w:left="298" w:hanging="199"/>
      </w:pPr>
      <w:rPr>
        <w:rFonts w:hint="default"/>
        <w:lang w:val="es-ES" w:eastAsia="es-ES" w:bidi="es-ES"/>
      </w:rPr>
    </w:lvl>
    <w:lvl w:ilvl="3">
      <w:start w:val="0"/>
      <w:numFmt w:val="bullet"/>
      <w:lvlText w:val="•"/>
      <w:lvlJc w:val="left"/>
      <w:pPr>
        <w:ind w:left="-223" w:hanging="199"/>
      </w:pPr>
      <w:rPr>
        <w:rFonts w:hint="default"/>
        <w:lang w:val="es-ES" w:eastAsia="es-ES" w:bidi="es-ES"/>
      </w:rPr>
    </w:lvl>
    <w:lvl w:ilvl="4">
      <w:start w:val="0"/>
      <w:numFmt w:val="bullet"/>
      <w:lvlText w:val="•"/>
      <w:lvlJc w:val="left"/>
      <w:pPr>
        <w:ind w:left="-744" w:hanging="199"/>
      </w:pPr>
      <w:rPr>
        <w:rFonts w:hint="default"/>
        <w:lang w:val="es-ES" w:eastAsia="es-ES" w:bidi="es-ES"/>
      </w:rPr>
    </w:lvl>
    <w:lvl w:ilvl="5">
      <w:start w:val="0"/>
      <w:numFmt w:val="bullet"/>
      <w:lvlText w:val="•"/>
      <w:lvlJc w:val="left"/>
      <w:pPr>
        <w:ind w:left="-1265" w:hanging="199"/>
      </w:pPr>
      <w:rPr>
        <w:rFonts w:hint="default"/>
        <w:lang w:val="es-ES" w:eastAsia="es-ES" w:bidi="es-ES"/>
      </w:rPr>
    </w:lvl>
    <w:lvl w:ilvl="6">
      <w:start w:val="0"/>
      <w:numFmt w:val="bullet"/>
      <w:lvlText w:val="•"/>
      <w:lvlJc w:val="left"/>
      <w:pPr>
        <w:ind w:left="-1787" w:hanging="199"/>
      </w:pPr>
      <w:rPr>
        <w:rFonts w:hint="default"/>
        <w:lang w:val="es-ES" w:eastAsia="es-ES" w:bidi="es-ES"/>
      </w:rPr>
    </w:lvl>
    <w:lvl w:ilvl="7">
      <w:start w:val="0"/>
      <w:numFmt w:val="bullet"/>
      <w:lvlText w:val="•"/>
      <w:lvlJc w:val="left"/>
      <w:pPr>
        <w:ind w:left="-2308" w:hanging="199"/>
      </w:pPr>
      <w:rPr>
        <w:rFonts w:hint="default"/>
        <w:lang w:val="es-ES" w:eastAsia="es-ES" w:bidi="es-ES"/>
      </w:rPr>
    </w:lvl>
    <w:lvl w:ilvl="8">
      <w:start w:val="0"/>
      <w:numFmt w:val="bullet"/>
      <w:lvlText w:val="•"/>
      <w:lvlJc w:val="left"/>
      <w:pPr>
        <w:ind w:left="-2829" w:hanging="199"/>
      </w:pPr>
      <w:rPr>
        <w:rFonts w:hint="default"/>
        <w:lang w:val="es-ES" w:eastAsia="es-ES" w:bidi="es-ES"/>
      </w:rPr>
    </w:lvl>
  </w:abstractNum>
  <w:abstractNum w:abstractNumId="73">
    <w:multiLevelType w:val="hybridMultilevel"/>
    <w:lvl w:ilvl="0">
      <w:start w:val="1"/>
      <w:numFmt w:val="lowerLetter"/>
      <w:lvlText w:val="%1)"/>
      <w:lvlJc w:val="left"/>
      <w:pPr>
        <w:ind w:left="150" w:hanging="214"/>
        <w:jc w:val="left"/>
      </w:pPr>
      <w:rPr>
        <w:rFonts w:hint="default" w:ascii="Arial" w:hAnsi="Arial" w:eastAsia="Arial" w:cs="Arial"/>
        <w:w w:val="102"/>
        <w:sz w:val="15"/>
        <w:szCs w:val="15"/>
        <w:lang w:val="es-ES" w:eastAsia="es-ES" w:bidi="es-ES"/>
      </w:rPr>
    </w:lvl>
    <w:lvl w:ilvl="1">
      <w:start w:val="1"/>
      <w:numFmt w:val="decimal"/>
      <w:lvlText w:val="%2."/>
      <w:lvlJc w:val="left"/>
      <w:pPr>
        <w:ind w:left="3490" w:hanging="199"/>
        <w:jc w:val="left"/>
      </w:pPr>
      <w:rPr>
        <w:rFonts w:hint="default" w:ascii="Arial" w:hAnsi="Arial" w:eastAsia="Arial" w:cs="Arial"/>
        <w:w w:val="102"/>
        <w:sz w:val="15"/>
        <w:szCs w:val="15"/>
        <w:lang w:val="es-ES" w:eastAsia="es-ES" w:bidi="es-ES"/>
      </w:rPr>
    </w:lvl>
    <w:lvl w:ilvl="2">
      <w:start w:val="0"/>
      <w:numFmt w:val="bullet"/>
      <w:lvlText w:val="•"/>
      <w:lvlJc w:val="left"/>
      <w:pPr>
        <w:ind w:left="3640" w:hanging="199"/>
      </w:pPr>
      <w:rPr>
        <w:rFonts w:hint="default"/>
        <w:lang w:val="es-ES" w:eastAsia="es-ES" w:bidi="es-ES"/>
      </w:rPr>
    </w:lvl>
    <w:lvl w:ilvl="3">
      <w:start w:val="0"/>
      <w:numFmt w:val="bullet"/>
      <w:lvlText w:val="•"/>
      <w:lvlJc w:val="left"/>
      <w:pPr>
        <w:ind w:left="2701" w:hanging="199"/>
      </w:pPr>
      <w:rPr>
        <w:rFonts w:hint="default"/>
        <w:lang w:val="es-ES" w:eastAsia="es-ES" w:bidi="es-ES"/>
      </w:rPr>
    </w:lvl>
    <w:lvl w:ilvl="4">
      <w:start w:val="0"/>
      <w:numFmt w:val="bullet"/>
      <w:lvlText w:val="•"/>
      <w:lvlJc w:val="left"/>
      <w:pPr>
        <w:ind w:left="1762" w:hanging="199"/>
      </w:pPr>
      <w:rPr>
        <w:rFonts w:hint="default"/>
        <w:lang w:val="es-ES" w:eastAsia="es-ES" w:bidi="es-ES"/>
      </w:rPr>
    </w:lvl>
    <w:lvl w:ilvl="5">
      <w:start w:val="0"/>
      <w:numFmt w:val="bullet"/>
      <w:lvlText w:val="•"/>
      <w:lvlJc w:val="left"/>
      <w:pPr>
        <w:ind w:left="823" w:hanging="199"/>
      </w:pPr>
      <w:rPr>
        <w:rFonts w:hint="default"/>
        <w:lang w:val="es-ES" w:eastAsia="es-ES" w:bidi="es-ES"/>
      </w:rPr>
    </w:lvl>
    <w:lvl w:ilvl="6">
      <w:start w:val="0"/>
      <w:numFmt w:val="bullet"/>
      <w:lvlText w:val="•"/>
      <w:lvlJc w:val="left"/>
      <w:pPr>
        <w:ind w:left="-116" w:hanging="199"/>
      </w:pPr>
      <w:rPr>
        <w:rFonts w:hint="default"/>
        <w:lang w:val="es-ES" w:eastAsia="es-ES" w:bidi="es-ES"/>
      </w:rPr>
    </w:lvl>
    <w:lvl w:ilvl="7">
      <w:start w:val="0"/>
      <w:numFmt w:val="bullet"/>
      <w:lvlText w:val="•"/>
      <w:lvlJc w:val="left"/>
      <w:pPr>
        <w:ind w:left="-1055" w:hanging="199"/>
      </w:pPr>
      <w:rPr>
        <w:rFonts w:hint="default"/>
        <w:lang w:val="es-ES" w:eastAsia="es-ES" w:bidi="es-ES"/>
      </w:rPr>
    </w:lvl>
    <w:lvl w:ilvl="8">
      <w:start w:val="0"/>
      <w:numFmt w:val="bullet"/>
      <w:lvlText w:val="•"/>
      <w:lvlJc w:val="left"/>
      <w:pPr>
        <w:ind w:left="-1993" w:hanging="199"/>
      </w:pPr>
      <w:rPr>
        <w:rFonts w:hint="default"/>
        <w:lang w:val="es-ES" w:eastAsia="es-ES" w:bidi="es-ES"/>
      </w:rPr>
    </w:lvl>
  </w:abstractNum>
  <w:abstractNum w:abstractNumId="72">
    <w:multiLevelType w:val="hybridMultilevel"/>
    <w:lvl w:ilvl="0">
      <w:start w:val="1"/>
      <w:numFmt w:val="lowerLetter"/>
      <w:lvlText w:val="%1)"/>
      <w:lvlJc w:val="left"/>
      <w:pPr>
        <w:ind w:left="150" w:hanging="182"/>
        <w:jc w:val="right"/>
      </w:pPr>
      <w:rPr>
        <w:rFonts w:hint="default" w:ascii="Arial" w:hAnsi="Arial" w:eastAsia="Arial" w:cs="Arial"/>
        <w:w w:val="102"/>
        <w:sz w:val="15"/>
        <w:szCs w:val="15"/>
        <w:lang w:val="es-ES" w:eastAsia="es-ES" w:bidi="es-ES"/>
      </w:rPr>
    </w:lvl>
    <w:lvl w:ilvl="1">
      <w:start w:val="0"/>
      <w:numFmt w:val="bullet"/>
      <w:lvlText w:val="•"/>
      <w:lvlJc w:val="left"/>
      <w:pPr>
        <w:ind w:left="919" w:hanging="182"/>
      </w:pPr>
      <w:rPr>
        <w:rFonts w:hint="default"/>
        <w:lang w:val="es-ES" w:eastAsia="es-ES" w:bidi="es-ES"/>
      </w:rPr>
    </w:lvl>
    <w:lvl w:ilvl="2">
      <w:start w:val="0"/>
      <w:numFmt w:val="bullet"/>
      <w:lvlText w:val="•"/>
      <w:lvlJc w:val="left"/>
      <w:pPr>
        <w:ind w:left="1678" w:hanging="182"/>
      </w:pPr>
      <w:rPr>
        <w:rFonts w:hint="default"/>
        <w:lang w:val="es-ES" w:eastAsia="es-ES" w:bidi="es-ES"/>
      </w:rPr>
    </w:lvl>
    <w:lvl w:ilvl="3">
      <w:start w:val="0"/>
      <w:numFmt w:val="bullet"/>
      <w:lvlText w:val="•"/>
      <w:lvlJc w:val="left"/>
      <w:pPr>
        <w:ind w:left="2437" w:hanging="182"/>
      </w:pPr>
      <w:rPr>
        <w:rFonts w:hint="default"/>
        <w:lang w:val="es-ES" w:eastAsia="es-ES" w:bidi="es-ES"/>
      </w:rPr>
    </w:lvl>
    <w:lvl w:ilvl="4">
      <w:start w:val="0"/>
      <w:numFmt w:val="bullet"/>
      <w:lvlText w:val="•"/>
      <w:lvlJc w:val="left"/>
      <w:pPr>
        <w:ind w:left="3196" w:hanging="182"/>
      </w:pPr>
      <w:rPr>
        <w:rFonts w:hint="default"/>
        <w:lang w:val="es-ES" w:eastAsia="es-ES" w:bidi="es-ES"/>
      </w:rPr>
    </w:lvl>
    <w:lvl w:ilvl="5">
      <w:start w:val="0"/>
      <w:numFmt w:val="bullet"/>
      <w:lvlText w:val="•"/>
      <w:lvlJc w:val="left"/>
      <w:pPr>
        <w:ind w:left="3955" w:hanging="182"/>
      </w:pPr>
      <w:rPr>
        <w:rFonts w:hint="default"/>
        <w:lang w:val="es-ES" w:eastAsia="es-ES" w:bidi="es-ES"/>
      </w:rPr>
    </w:lvl>
    <w:lvl w:ilvl="6">
      <w:start w:val="0"/>
      <w:numFmt w:val="bullet"/>
      <w:lvlText w:val="•"/>
      <w:lvlJc w:val="left"/>
      <w:pPr>
        <w:ind w:left="4714" w:hanging="182"/>
      </w:pPr>
      <w:rPr>
        <w:rFonts w:hint="default"/>
        <w:lang w:val="es-ES" w:eastAsia="es-ES" w:bidi="es-ES"/>
      </w:rPr>
    </w:lvl>
    <w:lvl w:ilvl="7">
      <w:start w:val="0"/>
      <w:numFmt w:val="bullet"/>
      <w:lvlText w:val="•"/>
      <w:lvlJc w:val="left"/>
      <w:pPr>
        <w:ind w:left="5474" w:hanging="182"/>
      </w:pPr>
      <w:rPr>
        <w:rFonts w:hint="default"/>
        <w:lang w:val="es-ES" w:eastAsia="es-ES" w:bidi="es-ES"/>
      </w:rPr>
    </w:lvl>
    <w:lvl w:ilvl="8">
      <w:start w:val="0"/>
      <w:numFmt w:val="bullet"/>
      <w:lvlText w:val="•"/>
      <w:lvlJc w:val="left"/>
      <w:pPr>
        <w:ind w:left="6233" w:hanging="182"/>
      </w:pPr>
      <w:rPr>
        <w:rFonts w:hint="default"/>
        <w:lang w:val="es-ES" w:eastAsia="es-ES" w:bidi="es-ES"/>
      </w:rPr>
    </w:lvl>
  </w:abstractNum>
  <w:abstractNum w:abstractNumId="71">
    <w:multiLevelType w:val="hybridMultilevel"/>
    <w:lvl w:ilvl="0">
      <w:start w:val="1"/>
      <w:numFmt w:val="lowerLetter"/>
      <w:lvlText w:val="%1)"/>
      <w:lvlJc w:val="left"/>
      <w:pPr>
        <w:ind w:left="371" w:hanging="221"/>
        <w:jc w:val="left"/>
      </w:pPr>
      <w:rPr>
        <w:rFonts w:hint="default" w:ascii="Arial" w:hAnsi="Arial" w:eastAsia="Arial" w:cs="Arial"/>
        <w:w w:val="102"/>
        <w:sz w:val="15"/>
        <w:szCs w:val="15"/>
        <w:lang w:val="es-ES" w:eastAsia="es-ES" w:bidi="es-ES"/>
      </w:rPr>
    </w:lvl>
    <w:lvl w:ilvl="1">
      <w:start w:val="1"/>
      <w:numFmt w:val="decimal"/>
      <w:lvlText w:val="%2."/>
      <w:lvlJc w:val="left"/>
      <w:pPr>
        <w:ind w:left="150" w:hanging="198"/>
        <w:jc w:val="left"/>
      </w:pPr>
      <w:rPr>
        <w:rFonts w:hint="default" w:ascii="Arial" w:hAnsi="Arial" w:eastAsia="Arial" w:cs="Arial"/>
        <w:w w:val="102"/>
        <w:sz w:val="15"/>
        <w:szCs w:val="15"/>
        <w:lang w:val="es-ES" w:eastAsia="es-ES" w:bidi="es-ES"/>
      </w:rPr>
    </w:lvl>
    <w:lvl w:ilvl="2">
      <w:start w:val="0"/>
      <w:numFmt w:val="bullet"/>
      <w:lvlText w:val="•"/>
      <w:lvlJc w:val="left"/>
      <w:pPr>
        <w:ind w:left="1199" w:hanging="198"/>
      </w:pPr>
      <w:rPr>
        <w:rFonts w:hint="default"/>
        <w:lang w:val="es-ES" w:eastAsia="es-ES" w:bidi="es-ES"/>
      </w:rPr>
    </w:lvl>
    <w:lvl w:ilvl="3">
      <w:start w:val="0"/>
      <w:numFmt w:val="bullet"/>
      <w:lvlText w:val="•"/>
      <w:lvlJc w:val="left"/>
      <w:pPr>
        <w:ind w:left="2018" w:hanging="198"/>
      </w:pPr>
      <w:rPr>
        <w:rFonts w:hint="default"/>
        <w:lang w:val="es-ES" w:eastAsia="es-ES" w:bidi="es-ES"/>
      </w:rPr>
    </w:lvl>
    <w:lvl w:ilvl="4">
      <w:start w:val="0"/>
      <w:numFmt w:val="bullet"/>
      <w:lvlText w:val="•"/>
      <w:lvlJc w:val="left"/>
      <w:pPr>
        <w:ind w:left="2837" w:hanging="198"/>
      </w:pPr>
      <w:rPr>
        <w:rFonts w:hint="default"/>
        <w:lang w:val="es-ES" w:eastAsia="es-ES" w:bidi="es-ES"/>
      </w:rPr>
    </w:lvl>
    <w:lvl w:ilvl="5">
      <w:start w:val="0"/>
      <w:numFmt w:val="bullet"/>
      <w:lvlText w:val="•"/>
      <w:lvlJc w:val="left"/>
      <w:pPr>
        <w:ind w:left="3656" w:hanging="198"/>
      </w:pPr>
      <w:rPr>
        <w:rFonts w:hint="default"/>
        <w:lang w:val="es-ES" w:eastAsia="es-ES" w:bidi="es-ES"/>
      </w:rPr>
    </w:lvl>
    <w:lvl w:ilvl="6">
      <w:start w:val="0"/>
      <w:numFmt w:val="bullet"/>
      <w:lvlText w:val="•"/>
      <w:lvlJc w:val="left"/>
      <w:pPr>
        <w:ind w:left="4475" w:hanging="198"/>
      </w:pPr>
      <w:rPr>
        <w:rFonts w:hint="default"/>
        <w:lang w:val="es-ES" w:eastAsia="es-ES" w:bidi="es-ES"/>
      </w:rPr>
    </w:lvl>
    <w:lvl w:ilvl="7">
      <w:start w:val="0"/>
      <w:numFmt w:val="bullet"/>
      <w:lvlText w:val="•"/>
      <w:lvlJc w:val="left"/>
      <w:pPr>
        <w:ind w:left="5294" w:hanging="198"/>
      </w:pPr>
      <w:rPr>
        <w:rFonts w:hint="default"/>
        <w:lang w:val="es-ES" w:eastAsia="es-ES" w:bidi="es-ES"/>
      </w:rPr>
    </w:lvl>
    <w:lvl w:ilvl="8">
      <w:start w:val="0"/>
      <w:numFmt w:val="bullet"/>
      <w:lvlText w:val="•"/>
      <w:lvlJc w:val="left"/>
      <w:pPr>
        <w:ind w:left="6113" w:hanging="198"/>
      </w:pPr>
      <w:rPr>
        <w:rFonts w:hint="default"/>
        <w:lang w:val="es-ES" w:eastAsia="es-ES" w:bidi="es-ES"/>
      </w:rPr>
    </w:lvl>
  </w:abstractNum>
  <w:abstractNum w:abstractNumId="70">
    <w:multiLevelType w:val="hybridMultilevel"/>
    <w:lvl w:ilvl="0">
      <w:start w:val="1"/>
      <w:numFmt w:val="lowerLetter"/>
      <w:lvlText w:val="%1)"/>
      <w:lvlJc w:val="left"/>
      <w:pPr>
        <w:ind w:left="151" w:hanging="594"/>
        <w:jc w:val="left"/>
      </w:pPr>
      <w:rPr>
        <w:rFonts w:hint="default" w:ascii="Arial" w:hAnsi="Arial" w:eastAsia="Arial" w:cs="Arial"/>
        <w:w w:val="102"/>
        <w:sz w:val="15"/>
        <w:szCs w:val="15"/>
        <w:lang w:val="es-ES" w:eastAsia="es-ES" w:bidi="es-ES"/>
      </w:rPr>
    </w:lvl>
    <w:lvl w:ilvl="1">
      <w:start w:val="0"/>
      <w:numFmt w:val="bullet"/>
      <w:lvlText w:val="•"/>
      <w:lvlJc w:val="left"/>
      <w:pPr>
        <w:ind w:left="919" w:hanging="594"/>
      </w:pPr>
      <w:rPr>
        <w:rFonts w:hint="default"/>
        <w:lang w:val="es-ES" w:eastAsia="es-ES" w:bidi="es-ES"/>
      </w:rPr>
    </w:lvl>
    <w:lvl w:ilvl="2">
      <w:start w:val="0"/>
      <w:numFmt w:val="bullet"/>
      <w:lvlText w:val="•"/>
      <w:lvlJc w:val="left"/>
      <w:pPr>
        <w:ind w:left="1678" w:hanging="594"/>
      </w:pPr>
      <w:rPr>
        <w:rFonts w:hint="default"/>
        <w:lang w:val="es-ES" w:eastAsia="es-ES" w:bidi="es-ES"/>
      </w:rPr>
    </w:lvl>
    <w:lvl w:ilvl="3">
      <w:start w:val="0"/>
      <w:numFmt w:val="bullet"/>
      <w:lvlText w:val="•"/>
      <w:lvlJc w:val="left"/>
      <w:pPr>
        <w:ind w:left="2437" w:hanging="594"/>
      </w:pPr>
      <w:rPr>
        <w:rFonts w:hint="default"/>
        <w:lang w:val="es-ES" w:eastAsia="es-ES" w:bidi="es-ES"/>
      </w:rPr>
    </w:lvl>
    <w:lvl w:ilvl="4">
      <w:start w:val="0"/>
      <w:numFmt w:val="bullet"/>
      <w:lvlText w:val="•"/>
      <w:lvlJc w:val="left"/>
      <w:pPr>
        <w:ind w:left="3197" w:hanging="594"/>
      </w:pPr>
      <w:rPr>
        <w:rFonts w:hint="default"/>
        <w:lang w:val="es-ES" w:eastAsia="es-ES" w:bidi="es-ES"/>
      </w:rPr>
    </w:lvl>
    <w:lvl w:ilvl="5">
      <w:start w:val="0"/>
      <w:numFmt w:val="bullet"/>
      <w:lvlText w:val="•"/>
      <w:lvlJc w:val="left"/>
      <w:pPr>
        <w:ind w:left="3956" w:hanging="594"/>
      </w:pPr>
      <w:rPr>
        <w:rFonts w:hint="default"/>
        <w:lang w:val="es-ES" w:eastAsia="es-ES" w:bidi="es-ES"/>
      </w:rPr>
    </w:lvl>
    <w:lvl w:ilvl="6">
      <w:start w:val="0"/>
      <w:numFmt w:val="bullet"/>
      <w:lvlText w:val="•"/>
      <w:lvlJc w:val="left"/>
      <w:pPr>
        <w:ind w:left="4715" w:hanging="594"/>
      </w:pPr>
      <w:rPr>
        <w:rFonts w:hint="default"/>
        <w:lang w:val="es-ES" w:eastAsia="es-ES" w:bidi="es-ES"/>
      </w:rPr>
    </w:lvl>
    <w:lvl w:ilvl="7">
      <w:start w:val="0"/>
      <w:numFmt w:val="bullet"/>
      <w:lvlText w:val="•"/>
      <w:lvlJc w:val="left"/>
      <w:pPr>
        <w:ind w:left="5474" w:hanging="594"/>
      </w:pPr>
      <w:rPr>
        <w:rFonts w:hint="default"/>
        <w:lang w:val="es-ES" w:eastAsia="es-ES" w:bidi="es-ES"/>
      </w:rPr>
    </w:lvl>
    <w:lvl w:ilvl="8">
      <w:start w:val="0"/>
      <w:numFmt w:val="bullet"/>
      <w:lvlText w:val="•"/>
      <w:lvlJc w:val="left"/>
      <w:pPr>
        <w:ind w:left="6233" w:hanging="594"/>
      </w:pPr>
      <w:rPr>
        <w:rFonts w:hint="default"/>
        <w:lang w:val="es-ES" w:eastAsia="es-ES" w:bidi="es-ES"/>
      </w:rPr>
    </w:lvl>
  </w:abstractNum>
  <w:abstractNum w:abstractNumId="69">
    <w:multiLevelType w:val="hybridMultilevel"/>
    <w:lvl w:ilvl="0">
      <w:start w:val="24"/>
      <w:numFmt w:val="upperRoman"/>
      <w:lvlText w:val="%1."/>
      <w:lvlJc w:val="left"/>
      <w:pPr>
        <w:ind w:left="151" w:hanging="475"/>
        <w:jc w:val="left"/>
      </w:pPr>
      <w:rPr>
        <w:rFonts w:hint="default" w:ascii="Arial" w:hAnsi="Arial" w:eastAsia="Arial" w:cs="Arial"/>
        <w:spacing w:val="-1"/>
        <w:w w:val="102"/>
        <w:sz w:val="15"/>
        <w:szCs w:val="15"/>
        <w:lang w:val="es-ES" w:eastAsia="es-ES" w:bidi="es-ES"/>
      </w:rPr>
    </w:lvl>
    <w:lvl w:ilvl="1">
      <w:start w:val="1"/>
      <w:numFmt w:val="upperRoman"/>
      <w:lvlText w:val="%2."/>
      <w:lvlJc w:val="left"/>
      <w:pPr>
        <w:ind w:left="151" w:hanging="127"/>
        <w:jc w:val="left"/>
      </w:pPr>
      <w:rPr>
        <w:rFonts w:hint="default" w:ascii="Arial" w:hAnsi="Arial" w:eastAsia="Arial" w:cs="Arial"/>
        <w:w w:val="102"/>
        <w:sz w:val="15"/>
        <w:szCs w:val="15"/>
        <w:lang w:val="es-ES" w:eastAsia="es-ES" w:bidi="es-ES"/>
      </w:rPr>
    </w:lvl>
    <w:lvl w:ilvl="2">
      <w:start w:val="0"/>
      <w:numFmt w:val="bullet"/>
      <w:lvlText w:val="•"/>
      <w:lvlJc w:val="left"/>
      <w:pPr>
        <w:ind w:left="1678" w:hanging="127"/>
      </w:pPr>
      <w:rPr>
        <w:rFonts w:hint="default"/>
        <w:lang w:val="es-ES" w:eastAsia="es-ES" w:bidi="es-ES"/>
      </w:rPr>
    </w:lvl>
    <w:lvl w:ilvl="3">
      <w:start w:val="0"/>
      <w:numFmt w:val="bullet"/>
      <w:lvlText w:val="•"/>
      <w:lvlJc w:val="left"/>
      <w:pPr>
        <w:ind w:left="2437" w:hanging="127"/>
      </w:pPr>
      <w:rPr>
        <w:rFonts w:hint="default"/>
        <w:lang w:val="es-ES" w:eastAsia="es-ES" w:bidi="es-ES"/>
      </w:rPr>
    </w:lvl>
    <w:lvl w:ilvl="4">
      <w:start w:val="0"/>
      <w:numFmt w:val="bullet"/>
      <w:lvlText w:val="•"/>
      <w:lvlJc w:val="left"/>
      <w:pPr>
        <w:ind w:left="3197" w:hanging="127"/>
      </w:pPr>
      <w:rPr>
        <w:rFonts w:hint="default"/>
        <w:lang w:val="es-ES" w:eastAsia="es-ES" w:bidi="es-ES"/>
      </w:rPr>
    </w:lvl>
    <w:lvl w:ilvl="5">
      <w:start w:val="0"/>
      <w:numFmt w:val="bullet"/>
      <w:lvlText w:val="•"/>
      <w:lvlJc w:val="left"/>
      <w:pPr>
        <w:ind w:left="3956" w:hanging="127"/>
      </w:pPr>
      <w:rPr>
        <w:rFonts w:hint="default"/>
        <w:lang w:val="es-ES" w:eastAsia="es-ES" w:bidi="es-ES"/>
      </w:rPr>
    </w:lvl>
    <w:lvl w:ilvl="6">
      <w:start w:val="0"/>
      <w:numFmt w:val="bullet"/>
      <w:lvlText w:val="•"/>
      <w:lvlJc w:val="left"/>
      <w:pPr>
        <w:ind w:left="4715" w:hanging="127"/>
      </w:pPr>
      <w:rPr>
        <w:rFonts w:hint="default"/>
        <w:lang w:val="es-ES" w:eastAsia="es-ES" w:bidi="es-ES"/>
      </w:rPr>
    </w:lvl>
    <w:lvl w:ilvl="7">
      <w:start w:val="0"/>
      <w:numFmt w:val="bullet"/>
      <w:lvlText w:val="•"/>
      <w:lvlJc w:val="left"/>
      <w:pPr>
        <w:ind w:left="5474" w:hanging="127"/>
      </w:pPr>
      <w:rPr>
        <w:rFonts w:hint="default"/>
        <w:lang w:val="es-ES" w:eastAsia="es-ES" w:bidi="es-ES"/>
      </w:rPr>
    </w:lvl>
    <w:lvl w:ilvl="8">
      <w:start w:val="0"/>
      <w:numFmt w:val="bullet"/>
      <w:lvlText w:val="•"/>
      <w:lvlJc w:val="left"/>
      <w:pPr>
        <w:ind w:left="6233" w:hanging="127"/>
      </w:pPr>
      <w:rPr>
        <w:rFonts w:hint="default"/>
        <w:lang w:val="es-ES" w:eastAsia="es-ES" w:bidi="es-ES"/>
      </w:rPr>
    </w:lvl>
  </w:abstractNum>
  <w:abstractNum w:abstractNumId="68">
    <w:multiLevelType w:val="hybridMultilevel"/>
    <w:lvl w:ilvl="0">
      <w:start w:val="1"/>
      <w:numFmt w:val="lowerLetter"/>
      <w:lvlText w:val="%1)"/>
      <w:lvlJc w:val="left"/>
      <w:pPr>
        <w:ind w:left="189" w:hanging="210"/>
        <w:jc w:val="left"/>
      </w:pPr>
      <w:rPr>
        <w:rFonts w:hint="default" w:ascii="Arial" w:hAnsi="Arial" w:eastAsia="Arial" w:cs="Arial"/>
        <w:w w:val="102"/>
        <w:sz w:val="15"/>
        <w:szCs w:val="15"/>
        <w:lang w:val="es-ES" w:eastAsia="es-ES" w:bidi="es-ES"/>
      </w:rPr>
    </w:lvl>
    <w:lvl w:ilvl="1">
      <w:start w:val="0"/>
      <w:numFmt w:val="bullet"/>
      <w:lvlText w:val="•"/>
      <w:lvlJc w:val="left"/>
      <w:pPr>
        <w:ind w:left="984" w:hanging="210"/>
      </w:pPr>
      <w:rPr>
        <w:rFonts w:hint="default"/>
        <w:lang w:val="es-ES" w:eastAsia="es-ES" w:bidi="es-ES"/>
      </w:rPr>
    </w:lvl>
    <w:lvl w:ilvl="2">
      <w:start w:val="0"/>
      <w:numFmt w:val="bullet"/>
      <w:lvlText w:val="•"/>
      <w:lvlJc w:val="left"/>
      <w:pPr>
        <w:ind w:left="1788" w:hanging="210"/>
      </w:pPr>
      <w:rPr>
        <w:rFonts w:hint="default"/>
        <w:lang w:val="es-ES" w:eastAsia="es-ES" w:bidi="es-ES"/>
      </w:rPr>
    </w:lvl>
    <w:lvl w:ilvl="3">
      <w:start w:val="0"/>
      <w:numFmt w:val="bullet"/>
      <w:lvlText w:val="•"/>
      <w:lvlJc w:val="left"/>
      <w:pPr>
        <w:ind w:left="2592" w:hanging="210"/>
      </w:pPr>
      <w:rPr>
        <w:rFonts w:hint="default"/>
        <w:lang w:val="es-ES" w:eastAsia="es-ES" w:bidi="es-ES"/>
      </w:rPr>
    </w:lvl>
    <w:lvl w:ilvl="4">
      <w:start w:val="0"/>
      <w:numFmt w:val="bullet"/>
      <w:lvlText w:val="•"/>
      <w:lvlJc w:val="left"/>
      <w:pPr>
        <w:ind w:left="3396" w:hanging="210"/>
      </w:pPr>
      <w:rPr>
        <w:rFonts w:hint="default"/>
        <w:lang w:val="es-ES" w:eastAsia="es-ES" w:bidi="es-ES"/>
      </w:rPr>
    </w:lvl>
    <w:lvl w:ilvl="5">
      <w:start w:val="0"/>
      <w:numFmt w:val="bullet"/>
      <w:lvlText w:val="•"/>
      <w:lvlJc w:val="left"/>
      <w:pPr>
        <w:ind w:left="4200" w:hanging="210"/>
      </w:pPr>
      <w:rPr>
        <w:rFonts w:hint="default"/>
        <w:lang w:val="es-ES" w:eastAsia="es-ES" w:bidi="es-ES"/>
      </w:rPr>
    </w:lvl>
    <w:lvl w:ilvl="6">
      <w:start w:val="0"/>
      <w:numFmt w:val="bullet"/>
      <w:lvlText w:val="•"/>
      <w:lvlJc w:val="left"/>
      <w:pPr>
        <w:ind w:left="5005" w:hanging="210"/>
      </w:pPr>
      <w:rPr>
        <w:rFonts w:hint="default"/>
        <w:lang w:val="es-ES" w:eastAsia="es-ES" w:bidi="es-ES"/>
      </w:rPr>
    </w:lvl>
    <w:lvl w:ilvl="7">
      <w:start w:val="0"/>
      <w:numFmt w:val="bullet"/>
      <w:lvlText w:val="•"/>
      <w:lvlJc w:val="left"/>
      <w:pPr>
        <w:ind w:left="5809" w:hanging="210"/>
      </w:pPr>
      <w:rPr>
        <w:rFonts w:hint="default"/>
        <w:lang w:val="es-ES" w:eastAsia="es-ES" w:bidi="es-ES"/>
      </w:rPr>
    </w:lvl>
    <w:lvl w:ilvl="8">
      <w:start w:val="0"/>
      <w:numFmt w:val="bullet"/>
      <w:lvlText w:val="•"/>
      <w:lvlJc w:val="left"/>
      <w:pPr>
        <w:ind w:left="6613" w:hanging="210"/>
      </w:pPr>
      <w:rPr>
        <w:rFonts w:hint="default"/>
        <w:lang w:val="es-ES" w:eastAsia="es-ES" w:bidi="es-ES"/>
      </w:rPr>
    </w:lvl>
  </w:abstractNum>
  <w:abstractNum w:abstractNumId="67">
    <w:multiLevelType w:val="hybridMultilevel"/>
    <w:lvl w:ilvl="0">
      <w:start w:val="1"/>
      <w:numFmt w:val="lowerLetter"/>
      <w:lvlText w:val="%1)"/>
      <w:lvlJc w:val="left"/>
      <w:pPr>
        <w:ind w:left="199" w:hanging="213"/>
        <w:jc w:val="left"/>
      </w:pPr>
      <w:rPr>
        <w:rFonts w:hint="default" w:ascii="Arial" w:hAnsi="Arial" w:eastAsia="Arial" w:cs="Arial"/>
        <w:w w:val="102"/>
        <w:sz w:val="15"/>
        <w:szCs w:val="15"/>
        <w:lang w:val="es-ES" w:eastAsia="es-ES" w:bidi="es-ES"/>
      </w:rPr>
    </w:lvl>
    <w:lvl w:ilvl="1">
      <w:start w:val="0"/>
      <w:numFmt w:val="bullet"/>
      <w:lvlText w:val="•"/>
      <w:lvlJc w:val="left"/>
      <w:pPr>
        <w:ind w:left="954" w:hanging="213"/>
      </w:pPr>
      <w:rPr>
        <w:rFonts w:hint="default"/>
        <w:lang w:val="es-ES" w:eastAsia="es-ES" w:bidi="es-ES"/>
      </w:rPr>
    </w:lvl>
    <w:lvl w:ilvl="2">
      <w:start w:val="0"/>
      <w:numFmt w:val="bullet"/>
      <w:lvlText w:val="•"/>
      <w:lvlJc w:val="left"/>
      <w:pPr>
        <w:ind w:left="1709" w:hanging="213"/>
      </w:pPr>
      <w:rPr>
        <w:rFonts w:hint="default"/>
        <w:lang w:val="es-ES" w:eastAsia="es-ES" w:bidi="es-ES"/>
      </w:rPr>
    </w:lvl>
    <w:lvl w:ilvl="3">
      <w:start w:val="0"/>
      <w:numFmt w:val="bullet"/>
      <w:lvlText w:val="•"/>
      <w:lvlJc w:val="left"/>
      <w:pPr>
        <w:ind w:left="2464" w:hanging="213"/>
      </w:pPr>
      <w:rPr>
        <w:rFonts w:hint="default"/>
        <w:lang w:val="es-ES" w:eastAsia="es-ES" w:bidi="es-ES"/>
      </w:rPr>
    </w:lvl>
    <w:lvl w:ilvl="4">
      <w:start w:val="0"/>
      <w:numFmt w:val="bullet"/>
      <w:lvlText w:val="•"/>
      <w:lvlJc w:val="left"/>
      <w:pPr>
        <w:ind w:left="3219" w:hanging="213"/>
      </w:pPr>
      <w:rPr>
        <w:rFonts w:hint="default"/>
        <w:lang w:val="es-ES" w:eastAsia="es-ES" w:bidi="es-ES"/>
      </w:rPr>
    </w:lvl>
    <w:lvl w:ilvl="5">
      <w:start w:val="0"/>
      <w:numFmt w:val="bullet"/>
      <w:lvlText w:val="•"/>
      <w:lvlJc w:val="left"/>
      <w:pPr>
        <w:ind w:left="3974" w:hanging="213"/>
      </w:pPr>
      <w:rPr>
        <w:rFonts w:hint="default"/>
        <w:lang w:val="es-ES" w:eastAsia="es-ES" w:bidi="es-ES"/>
      </w:rPr>
    </w:lvl>
    <w:lvl w:ilvl="6">
      <w:start w:val="0"/>
      <w:numFmt w:val="bullet"/>
      <w:lvlText w:val="•"/>
      <w:lvlJc w:val="left"/>
      <w:pPr>
        <w:ind w:left="4729" w:hanging="213"/>
      </w:pPr>
      <w:rPr>
        <w:rFonts w:hint="default"/>
        <w:lang w:val="es-ES" w:eastAsia="es-ES" w:bidi="es-ES"/>
      </w:rPr>
    </w:lvl>
    <w:lvl w:ilvl="7">
      <w:start w:val="0"/>
      <w:numFmt w:val="bullet"/>
      <w:lvlText w:val="•"/>
      <w:lvlJc w:val="left"/>
      <w:pPr>
        <w:ind w:left="5484" w:hanging="213"/>
      </w:pPr>
      <w:rPr>
        <w:rFonts w:hint="default"/>
        <w:lang w:val="es-ES" w:eastAsia="es-ES" w:bidi="es-ES"/>
      </w:rPr>
    </w:lvl>
    <w:lvl w:ilvl="8">
      <w:start w:val="0"/>
      <w:numFmt w:val="bullet"/>
      <w:lvlText w:val="•"/>
      <w:lvlJc w:val="left"/>
      <w:pPr>
        <w:ind w:left="6239" w:hanging="213"/>
      </w:pPr>
      <w:rPr>
        <w:rFonts w:hint="default"/>
        <w:lang w:val="es-ES" w:eastAsia="es-ES" w:bidi="es-ES"/>
      </w:rPr>
    </w:lvl>
  </w:abstractNum>
  <w:abstractNum w:abstractNumId="66">
    <w:multiLevelType w:val="hybridMultilevel"/>
    <w:lvl w:ilvl="0">
      <w:start w:val="20"/>
      <w:numFmt w:val="upperRoman"/>
      <w:lvlText w:val="%1."/>
      <w:lvlJc w:val="left"/>
      <w:pPr>
        <w:ind w:left="151" w:hanging="337"/>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966" w:hanging="337"/>
      </w:pPr>
      <w:rPr>
        <w:rFonts w:hint="default"/>
        <w:lang w:val="es-ES" w:eastAsia="es-ES" w:bidi="es-ES"/>
      </w:rPr>
    </w:lvl>
    <w:lvl w:ilvl="2">
      <w:start w:val="0"/>
      <w:numFmt w:val="bullet"/>
      <w:lvlText w:val="•"/>
      <w:lvlJc w:val="left"/>
      <w:pPr>
        <w:ind w:left="1772" w:hanging="337"/>
      </w:pPr>
      <w:rPr>
        <w:rFonts w:hint="default"/>
        <w:lang w:val="es-ES" w:eastAsia="es-ES" w:bidi="es-ES"/>
      </w:rPr>
    </w:lvl>
    <w:lvl w:ilvl="3">
      <w:start w:val="0"/>
      <w:numFmt w:val="bullet"/>
      <w:lvlText w:val="•"/>
      <w:lvlJc w:val="left"/>
      <w:pPr>
        <w:ind w:left="2578" w:hanging="337"/>
      </w:pPr>
      <w:rPr>
        <w:rFonts w:hint="default"/>
        <w:lang w:val="es-ES" w:eastAsia="es-ES" w:bidi="es-ES"/>
      </w:rPr>
    </w:lvl>
    <w:lvl w:ilvl="4">
      <w:start w:val="0"/>
      <w:numFmt w:val="bullet"/>
      <w:lvlText w:val="•"/>
      <w:lvlJc w:val="left"/>
      <w:pPr>
        <w:ind w:left="3384" w:hanging="337"/>
      </w:pPr>
      <w:rPr>
        <w:rFonts w:hint="default"/>
        <w:lang w:val="es-ES" w:eastAsia="es-ES" w:bidi="es-ES"/>
      </w:rPr>
    </w:lvl>
    <w:lvl w:ilvl="5">
      <w:start w:val="0"/>
      <w:numFmt w:val="bullet"/>
      <w:lvlText w:val="•"/>
      <w:lvlJc w:val="left"/>
      <w:pPr>
        <w:ind w:left="4190" w:hanging="337"/>
      </w:pPr>
      <w:rPr>
        <w:rFonts w:hint="default"/>
        <w:lang w:val="es-ES" w:eastAsia="es-ES" w:bidi="es-ES"/>
      </w:rPr>
    </w:lvl>
    <w:lvl w:ilvl="6">
      <w:start w:val="0"/>
      <w:numFmt w:val="bullet"/>
      <w:lvlText w:val="•"/>
      <w:lvlJc w:val="left"/>
      <w:pPr>
        <w:ind w:left="4997" w:hanging="337"/>
      </w:pPr>
      <w:rPr>
        <w:rFonts w:hint="default"/>
        <w:lang w:val="es-ES" w:eastAsia="es-ES" w:bidi="es-ES"/>
      </w:rPr>
    </w:lvl>
    <w:lvl w:ilvl="7">
      <w:start w:val="0"/>
      <w:numFmt w:val="bullet"/>
      <w:lvlText w:val="•"/>
      <w:lvlJc w:val="left"/>
      <w:pPr>
        <w:ind w:left="5803" w:hanging="337"/>
      </w:pPr>
      <w:rPr>
        <w:rFonts w:hint="default"/>
        <w:lang w:val="es-ES" w:eastAsia="es-ES" w:bidi="es-ES"/>
      </w:rPr>
    </w:lvl>
    <w:lvl w:ilvl="8">
      <w:start w:val="0"/>
      <w:numFmt w:val="bullet"/>
      <w:lvlText w:val="•"/>
      <w:lvlJc w:val="left"/>
      <w:pPr>
        <w:ind w:left="6609" w:hanging="337"/>
      </w:pPr>
      <w:rPr>
        <w:rFonts w:hint="default"/>
        <w:lang w:val="es-ES" w:eastAsia="es-ES" w:bidi="es-ES"/>
      </w:rPr>
    </w:lvl>
  </w:abstractNum>
  <w:abstractNum w:abstractNumId="65">
    <w:multiLevelType w:val="hybridMultilevel"/>
    <w:lvl w:ilvl="0">
      <w:start w:val="1"/>
      <w:numFmt w:val="lowerLetter"/>
      <w:lvlText w:val="%1)"/>
      <w:lvlJc w:val="left"/>
      <w:pPr>
        <w:ind w:left="330" w:hanging="180"/>
        <w:jc w:val="left"/>
      </w:pPr>
      <w:rPr>
        <w:rFonts w:hint="default" w:ascii="Arial" w:hAnsi="Arial" w:eastAsia="Arial" w:cs="Arial"/>
        <w:w w:val="102"/>
        <w:sz w:val="15"/>
        <w:szCs w:val="15"/>
        <w:lang w:val="es-ES" w:eastAsia="es-ES" w:bidi="es-ES"/>
      </w:rPr>
    </w:lvl>
    <w:lvl w:ilvl="1">
      <w:start w:val="0"/>
      <w:numFmt w:val="bullet"/>
      <w:lvlText w:val="•"/>
      <w:lvlJc w:val="left"/>
      <w:pPr>
        <w:ind w:left="872" w:hanging="180"/>
      </w:pPr>
      <w:rPr>
        <w:rFonts w:hint="default"/>
        <w:lang w:val="es-ES" w:eastAsia="es-ES" w:bidi="es-ES"/>
      </w:rPr>
    </w:lvl>
    <w:lvl w:ilvl="2">
      <w:start w:val="0"/>
      <w:numFmt w:val="bullet"/>
      <w:lvlText w:val="•"/>
      <w:lvlJc w:val="left"/>
      <w:pPr>
        <w:ind w:left="1405" w:hanging="180"/>
      </w:pPr>
      <w:rPr>
        <w:rFonts w:hint="default"/>
        <w:lang w:val="es-ES" w:eastAsia="es-ES" w:bidi="es-ES"/>
      </w:rPr>
    </w:lvl>
    <w:lvl w:ilvl="3">
      <w:start w:val="0"/>
      <w:numFmt w:val="bullet"/>
      <w:lvlText w:val="•"/>
      <w:lvlJc w:val="left"/>
      <w:pPr>
        <w:ind w:left="1937" w:hanging="180"/>
      </w:pPr>
      <w:rPr>
        <w:rFonts w:hint="default"/>
        <w:lang w:val="es-ES" w:eastAsia="es-ES" w:bidi="es-ES"/>
      </w:rPr>
    </w:lvl>
    <w:lvl w:ilvl="4">
      <w:start w:val="0"/>
      <w:numFmt w:val="bullet"/>
      <w:lvlText w:val="•"/>
      <w:lvlJc w:val="left"/>
      <w:pPr>
        <w:ind w:left="2470" w:hanging="180"/>
      </w:pPr>
      <w:rPr>
        <w:rFonts w:hint="default"/>
        <w:lang w:val="es-ES" w:eastAsia="es-ES" w:bidi="es-ES"/>
      </w:rPr>
    </w:lvl>
    <w:lvl w:ilvl="5">
      <w:start w:val="0"/>
      <w:numFmt w:val="bullet"/>
      <w:lvlText w:val="•"/>
      <w:lvlJc w:val="left"/>
      <w:pPr>
        <w:ind w:left="3003" w:hanging="180"/>
      </w:pPr>
      <w:rPr>
        <w:rFonts w:hint="default"/>
        <w:lang w:val="es-ES" w:eastAsia="es-ES" w:bidi="es-ES"/>
      </w:rPr>
    </w:lvl>
    <w:lvl w:ilvl="6">
      <w:start w:val="0"/>
      <w:numFmt w:val="bullet"/>
      <w:lvlText w:val="•"/>
      <w:lvlJc w:val="left"/>
      <w:pPr>
        <w:ind w:left="3535" w:hanging="180"/>
      </w:pPr>
      <w:rPr>
        <w:rFonts w:hint="default"/>
        <w:lang w:val="es-ES" w:eastAsia="es-ES" w:bidi="es-ES"/>
      </w:rPr>
    </w:lvl>
    <w:lvl w:ilvl="7">
      <w:start w:val="0"/>
      <w:numFmt w:val="bullet"/>
      <w:lvlText w:val="•"/>
      <w:lvlJc w:val="left"/>
      <w:pPr>
        <w:ind w:left="4068" w:hanging="180"/>
      </w:pPr>
      <w:rPr>
        <w:rFonts w:hint="default"/>
        <w:lang w:val="es-ES" w:eastAsia="es-ES" w:bidi="es-ES"/>
      </w:rPr>
    </w:lvl>
    <w:lvl w:ilvl="8">
      <w:start w:val="0"/>
      <w:numFmt w:val="bullet"/>
      <w:lvlText w:val="•"/>
      <w:lvlJc w:val="left"/>
      <w:pPr>
        <w:ind w:left="4601" w:hanging="180"/>
      </w:pPr>
      <w:rPr>
        <w:rFonts w:hint="default"/>
        <w:lang w:val="es-ES" w:eastAsia="es-ES" w:bidi="es-ES"/>
      </w:rPr>
    </w:lvl>
  </w:abstractNum>
  <w:abstractNum w:abstractNumId="64">
    <w:multiLevelType w:val="hybridMultilevel"/>
    <w:lvl w:ilvl="0">
      <w:start w:val="18"/>
      <w:numFmt w:val="upperRoman"/>
      <w:lvlText w:val="%1."/>
      <w:lvlJc w:val="left"/>
      <w:pPr>
        <w:ind w:left="151" w:hanging="435"/>
        <w:jc w:val="left"/>
      </w:pPr>
      <w:rPr>
        <w:rFonts w:hint="default" w:ascii="Arial" w:hAnsi="Arial" w:eastAsia="Arial" w:cs="Arial"/>
        <w:w w:val="102"/>
        <w:sz w:val="15"/>
        <w:szCs w:val="15"/>
        <w:lang w:val="es-ES" w:eastAsia="es-ES" w:bidi="es-ES"/>
      </w:rPr>
    </w:lvl>
    <w:lvl w:ilvl="1">
      <w:start w:val="0"/>
      <w:numFmt w:val="bullet"/>
      <w:lvlText w:val="•"/>
      <w:lvlJc w:val="left"/>
      <w:pPr>
        <w:ind w:left="962" w:hanging="435"/>
      </w:pPr>
      <w:rPr>
        <w:rFonts w:hint="default"/>
        <w:lang w:val="es-ES" w:eastAsia="es-ES" w:bidi="es-ES"/>
      </w:rPr>
    </w:lvl>
    <w:lvl w:ilvl="2">
      <w:start w:val="0"/>
      <w:numFmt w:val="bullet"/>
      <w:lvlText w:val="•"/>
      <w:lvlJc w:val="left"/>
      <w:pPr>
        <w:ind w:left="1764" w:hanging="435"/>
      </w:pPr>
      <w:rPr>
        <w:rFonts w:hint="default"/>
        <w:lang w:val="es-ES" w:eastAsia="es-ES" w:bidi="es-ES"/>
      </w:rPr>
    </w:lvl>
    <w:lvl w:ilvl="3">
      <w:start w:val="0"/>
      <w:numFmt w:val="bullet"/>
      <w:lvlText w:val="•"/>
      <w:lvlJc w:val="left"/>
      <w:pPr>
        <w:ind w:left="2566" w:hanging="435"/>
      </w:pPr>
      <w:rPr>
        <w:rFonts w:hint="default"/>
        <w:lang w:val="es-ES" w:eastAsia="es-ES" w:bidi="es-ES"/>
      </w:rPr>
    </w:lvl>
    <w:lvl w:ilvl="4">
      <w:start w:val="0"/>
      <w:numFmt w:val="bullet"/>
      <w:lvlText w:val="•"/>
      <w:lvlJc w:val="left"/>
      <w:pPr>
        <w:ind w:left="3369" w:hanging="435"/>
      </w:pPr>
      <w:rPr>
        <w:rFonts w:hint="default"/>
        <w:lang w:val="es-ES" w:eastAsia="es-ES" w:bidi="es-ES"/>
      </w:rPr>
    </w:lvl>
    <w:lvl w:ilvl="5">
      <w:start w:val="0"/>
      <w:numFmt w:val="bullet"/>
      <w:lvlText w:val="•"/>
      <w:lvlJc w:val="left"/>
      <w:pPr>
        <w:ind w:left="4171" w:hanging="435"/>
      </w:pPr>
      <w:rPr>
        <w:rFonts w:hint="default"/>
        <w:lang w:val="es-ES" w:eastAsia="es-ES" w:bidi="es-ES"/>
      </w:rPr>
    </w:lvl>
    <w:lvl w:ilvl="6">
      <w:start w:val="0"/>
      <w:numFmt w:val="bullet"/>
      <w:lvlText w:val="•"/>
      <w:lvlJc w:val="left"/>
      <w:pPr>
        <w:ind w:left="4973" w:hanging="435"/>
      </w:pPr>
      <w:rPr>
        <w:rFonts w:hint="default"/>
        <w:lang w:val="es-ES" w:eastAsia="es-ES" w:bidi="es-ES"/>
      </w:rPr>
    </w:lvl>
    <w:lvl w:ilvl="7">
      <w:start w:val="0"/>
      <w:numFmt w:val="bullet"/>
      <w:lvlText w:val="•"/>
      <w:lvlJc w:val="left"/>
      <w:pPr>
        <w:ind w:left="5776" w:hanging="435"/>
      </w:pPr>
      <w:rPr>
        <w:rFonts w:hint="default"/>
        <w:lang w:val="es-ES" w:eastAsia="es-ES" w:bidi="es-ES"/>
      </w:rPr>
    </w:lvl>
    <w:lvl w:ilvl="8">
      <w:start w:val="0"/>
      <w:numFmt w:val="bullet"/>
      <w:lvlText w:val="•"/>
      <w:lvlJc w:val="left"/>
      <w:pPr>
        <w:ind w:left="6578" w:hanging="435"/>
      </w:pPr>
      <w:rPr>
        <w:rFonts w:hint="default"/>
        <w:lang w:val="es-ES" w:eastAsia="es-ES" w:bidi="es-ES"/>
      </w:rPr>
    </w:lvl>
  </w:abstractNum>
  <w:abstractNum w:abstractNumId="63">
    <w:multiLevelType w:val="hybridMultilevel"/>
    <w:lvl w:ilvl="0">
      <w:start w:val="12"/>
      <w:numFmt w:val="upperRoman"/>
      <w:lvlText w:val="%1."/>
      <w:lvlJc w:val="left"/>
      <w:pPr>
        <w:ind w:left="189" w:hanging="291"/>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620" w:hanging="291"/>
      </w:pPr>
      <w:rPr>
        <w:rFonts w:hint="default"/>
        <w:lang w:val="es-ES" w:eastAsia="es-ES" w:bidi="es-ES"/>
      </w:rPr>
    </w:lvl>
    <w:lvl w:ilvl="2">
      <w:start w:val="0"/>
      <w:numFmt w:val="bullet"/>
      <w:lvlText w:val="•"/>
      <w:lvlJc w:val="left"/>
      <w:pPr>
        <w:ind w:left="1060" w:hanging="291"/>
      </w:pPr>
      <w:rPr>
        <w:rFonts w:hint="default"/>
        <w:lang w:val="es-ES" w:eastAsia="es-ES" w:bidi="es-ES"/>
      </w:rPr>
    </w:lvl>
    <w:lvl w:ilvl="3">
      <w:start w:val="0"/>
      <w:numFmt w:val="bullet"/>
      <w:lvlText w:val="•"/>
      <w:lvlJc w:val="left"/>
      <w:pPr>
        <w:ind w:left="1500" w:hanging="291"/>
      </w:pPr>
      <w:rPr>
        <w:rFonts w:hint="default"/>
        <w:lang w:val="es-ES" w:eastAsia="es-ES" w:bidi="es-ES"/>
      </w:rPr>
    </w:lvl>
    <w:lvl w:ilvl="4">
      <w:start w:val="0"/>
      <w:numFmt w:val="bullet"/>
      <w:lvlText w:val="•"/>
      <w:lvlJc w:val="left"/>
      <w:pPr>
        <w:ind w:left="1941" w:hanging="291"/>
      </w:pPr>
      <w:rPr>
        <w:rFonts w:hint="default"/>
        <w:lang w:val="es-ES" w:eastAsia="es-ES" w:bidi="es-ES"/>
      </w:rPr>
    </w:lvl>
    <w:lvl w:ilvl="5">
      <w:start w:val="0"/>
      <w:numFmt w:val="bullet"/>
      <w:lvlText w:val="•"/>
      <w:lvlJc w:val="left"/>
      <w:pPr>
        <w:ind w:left="2381" w:hanging="291"/>
      </w:pPr>
      <w:rPr>
        <w:rFonts w:hint="default"/>
        <w:lang w:val="es-ES" w:eastAsia="es-ES" w:bidi="es-ES"/>
      </w:rPr>
    </w:lvl>
    <w:lvl w:ilvl="6">
      <w:start w:val="0"/>
      <w:numFmt w:val="bullet"/>
      <w:lvlText w:val="•"/>
      <w:lvlJc w:val="left"/>
      <w:pPr>
        <w:ind w:left="2821" w:hanging="291"/>
      </w:pPr>
      <w:rPr>
        <w:rFonts w:hint="default"/>
        <w:lang w:val="es-ES" w:eastAsia="es-ES" w:bidi="es-ES"/>
      </w:rPr>
    </w:lvl>
    <w:lvl w:ilvl="7">
      <w:start w:val="0"/>
      <w:numFmt w:val="bullet"/>
      <w:lvlText w:val="•"/>
      <w:lvlJc w:val="left"/>
      <w:pPr>
        <w:ind w:left="3261" w:hanging="291"/>
      </w:pPr>
      <w:rPr>
        <w:rFonts w:hint="default"/>
        <w:lang w:val="es-ES" w:eastAsia="es-ES" w:bidi="es-ES"/>
      </w:rPr>
    </w:lvl>
    <w:lvl w:ilvl="8">
      <w:start w:val="0"/>
      <w:numFmt w:val="bullet"/>
      <w:lvlText w:val="•"/>
      <w:lvlJc w:val="left"/>
      <w:pPr>
        <w:ind w:left="3702" w:hanging="291"/>
      </w:pPr>
      <w:rPr>
        <w:rFonts w:hint="default"/>
        <w:lang w:val="es-ES" w:eastAsia="es-ES" w:bidi="es-ES"/>
      </w:rPr>
    </w:lvl>
  </w:abstractNum>
  <w:abstractNum w:abstractNumId="62">
    <w:multiLevelType w:val="hybridMultilevel"/>
    <w:lvl w:ilvl="0">
      <w:start w:val="16"/>
      <w:numFmt w:val="upperRoman"/>
      <w:lvlText w:val="%1."/>
      <w:lvlJc w:val="left"/>
      <w:pPr>
        <w:ind w:left="189" w:hanging="387"/>
        <w:jc w:val="left"/>
      </w:pPr>
      <w:rPr>
        <w:rFonts w:hint="default" w:ascii="Arial" w:hAnsi="Arial" w:eastAsia="Arial" w:cs="Arial"/>
        <w:w w:val="102"/>
        <w:sz w:val="15"/>
        <w:szCs w:val="15"/>
        <w:lang w:val="es-ES" w:eastAsia="es-ES" w:bidi="es-ES"/>
      </w:rPr>
    </w:lvl>
    <w:lvl w:ilvl="1">
      <w:start w:val="0"/>
      <w:numFmt w:val="bullet"/>
      <w:lvlText w:val="•"/>
      <w:lvlJc w:val="left"/>
      <w:pPr>
        <w:ind w:left="620" w:hanging="387"/>
      </w:pPr>
      <w:rPr>
        <w:rFonts w:hint="default"/>
        <w:lang w:val="es-ES" w:eastAsia="es-ES" w:bidi="es-ES"/>
      </w:rPr>
    </w:lvl>
    <w:lvl w:ilvl="2">
      <w:start w:val="0"/>
      <w:numFmt w:val="bullet"/>
      <w:lvlText w:val="•"/>
      <w:lvlJc w:val="left"/>
      <w:pPr>
        <w:ind w:left="1060" w:hanging="387"/>
      </w:pPr>
      <w:rPr>
        <w:rFonts w:hint="default"/>
        <w:lang w:val="es-ES" w:eastAsia="es-ES" w:bidi="es-ES"/>
      </w:rPr>
    </w:lvl>
    <w:lvl w:ilvl="3">
      <w:start w:val="0"/>
      <w:numFmt w:val="bullet"/>
      <w:lvlText w:val="•"/>
      <w:lvlJc w:val="left"/>
      <w:pPr>
        <w:ind w:left="1500" w:hanging="387"/>
      </w:pPr>
      <w:rPr>
        <w:rFonts w:hint="default"/>
        <w:lang w:val="es-ES" w:eastAsia="es-ES" w:bidi="es-ES"/>
      </w:rPr>
    </w:lvl>
    <w:lvl w:ilvl="4">
      <w:start w:val="0"/>
      <w:numFmt w:val="bullet"/>
      <w:lvlText w:val="•"/>
      <w:lvlJc w:val="left"/>
      <w:pPr>
        <w:ind w:left="1941" w:hanging="387"/>
      </w:pPr>
      <w:rPr>
        <w:rFonts w:hint="default"/>
        <w:lang w:val="es-ES" w:eastAsia="es-ES" w:bidi="es-ES"/>
      </w:rPr>
    </w:lvl>
    <w:lvl w:ilvl="5">
      <w:start w:val="0"/>
      <w:numFmt w:val="bullet"/>
      <w:lvlText w:val="•"/>
      <w:lvlJc w:val="left"/>
      <w:pPr>
        <w:ind w:left="2381" w:hanging="387"/>
      </w:pPr>
      <w:rPr>
        <w:rFonts w:hint="default"/>
        <w:lang w:val="es-ES" w:eastAsia="es-ES" w:bidi="es-ES"/>
      </w:rPr>
    </w:lvl>
    <w:lvl w:ilvl="6">
      <w:start w:val="0"/>
      <w:numFmt w:val="bullet"/>
      <w:lvlText w:val="•"/>
      <w:lvlJc w:val="left"/>
      <w:pPr>
        <w:ind w:left="2821" w:hanging="387"/>
      </w:pPr>
      <w:rPr>
        <w:rFonts w:hint="default"/>
        <w:lang w:val="es-ES" w:eastAsia="es-ES" w:bidi="es-ES"/>
      </w:rPr>
    </w:lvl>
    <w:lvl w:ilvl="7">
      <w:start w:val="0"/>
      <w:numFmt w:val="bullet"/>
      <w:lvlText w:val="•"/>
      <w:lvlJc w:val="left"/>
      <w:pPr>
        <w:ind w:left="3261" w:hanging="387"/>
      </w:pPr>
      <w:rPr>
        <w:rFonts w:hint="default"/>
        <w:lang w:val="es-ES" w:eastAsia="es-ES" w:bidi="es-ES"/>
      </w:rPr>
    </w:lvl>
    <w:lvl w:ilvl="8">
      <w:start w:val="0"/>
      <w:numFmt w:val="bullet"/>
      <w:lvlText w:val="•"/>
      <w:lvlJc w:val="left"/>
      <w:pPr>
        <w:ind w:left="3702" w:hanging="387"/>
      </w:pPr>
      <w:rPr>
        <w:rFonts w:hint="default"/>
        <w:lang w:val="es-ES" w:eastAsia="es-ES" w:bidi="es-ES"/>
      </w:rPr>
    </w:lvl>
  </w:abstractNum>
  <w:abstractNum w:abstractNumId="61">
    <w:multiLevelType w:val="hybridMultilevel"/>
    <w:lvl w:ilvl="0">
      <w:start w:val="1"/>
      <w:numFmt w:val="lowerLetter"/>
      <w:lvlText w:val="%1)"/>
      <w:lvlJc w:val="left"/>
      <w:pPr>
        <w:ind w:left="369" w:hanging="180"/>
        <w:jc w:val="left"/>
      </w:pPr>
      <w:rPr>
        <w:rFonts w:hint="default" w:ascii="Arial" w:hAnsi="Arial" w:eastAsia="Arial" w:cs="Arial"/>
        <w:w w:val="102"/>
        <w:sz w:val="15"/>
        <w:szCs w:val="15"/>
        <w:lang w:val="es-ES" w:eastAsia="es-ES" w:bidi="es-ES"/>
      </w:rPr>
    </w:lvl>
    <w:lvl w:ilvl="1">
      <w:start w:val="0"/>
      <w:numFmt w:val="bullet"/>
      <w:lvlText w:val="•"/>
      <w:lvlJc w:val="left"/>
      <w:pPr>
        <w:ind w:left="881" w:hanging="180"/>
      </w:pPr>
      <w:rPr>
        <w:rFonts w:hint="default"/>
        <w:lang w:val="es-ES" w:eastAsia="es-ES" w:bidi="es-ES"/>
      </w:rPr>
    </w:lvl>
    <w:lvl w:ilvl="2">
      <w:start w:val="0"/>
      <w:numFmt w:val="bullet"/>
      <w:lvlText w:val="•"/>
      <w:lvlJc w:val="left"/>
      <w:pPr>
        <w:ind w:left="1403" w:hanging="180"/>
      </w:pPr>
      <w:rPr>
        <w:rFonts w:hint="default"/>
        <w:lang w:val="es-ES" w:eastAsia="es-ES" w:bidi="es-ES"/>
      </w:rPr>
    </w:lvl>
    <w:lvl w:ilvl="3">
      <w:start w:val="0"/>
      <w:numFmt w:val="bullet"/>
      <w:lvlText w:val="•"/>
      <w:lvlJc w:val="left"/>
      <w:pPr>
        <w:ind w:left="1925" w:hanging="180"/>
      </w:pPr>
      <w:rPr>
        <w:rFonts w:hint="default"/>
        <w:lang w:val="es-ES" w:eastAsia="es-ES" w:bidi="es-ES"/>
      </w:rPr>
    </w:lvl>
    <w:lvl w:ilvl="4">
      <w:start w:val="0"/>
      <w:numFmt w:val="bullet"/>
      <w:lvlText w:val="•"/>
      <w:lvlJc w:val="left"/>
      <w:pPr>
        <w:ind w:left="2447" w:hanging="180"/>
      </w:pPr>
      <w:rPr>
        <w:rFonts w:hint="default"/>
        <w:lang w:val="es-ES" w:eastAsia="es-ES" w:bidi="es-ES"/>
      </w:rPr>
    </w:lvl>
    <w:lvl w:ilvl="5">
      <w:start w:val="0"/>
      <w:numFmt w:val="bullet"/>
      <w:lvlText w:val="•"/>
      <w:lvlJc w:val="left"/>
      <w:pPr>
        <w:ind w:left="2968" w:hanging="180"/>
      </w:pPr>
      <w:rPr>
        <w:rFonts w:hint="default"/>
        <w:lang w:val="es-ES" w:eastAsia="es-ES" w:bidi="es-ES"/>
      </w:rPr>
    </w:lvl>
    <w:lvl w:ilvl="6">
      <w:start w:val="0"/>
      <w:numFmt w:val="bullet"/>
      <w:lvlText w:val="•"/>
      <w:lvlJc w:val="left"/>
      <w:pPr>
        <w:ind w:left="3490" w:hanging="180"/>
      </w:pPr>
      <w:rPr>
        <w:rFonts w:hint="default"/>
        <w:lang w:val="es-ES" w:eastAsia="es-ES" w:bidi="es-ES"/>
      </w:rPr>
    </w:lvl>
    <w:lvl w:ilvl="7">
      <w:start w:val="0"/>
      <w:numFmt w:val="bullet"/>
      <w:lvlText w:val="•"/>
      <w:lvlJc w:val="left"/>
      <w:pPr>
        <w:ind w:left="4012" w:hanging="180"/>
      </w:pPr>
      <w:rPr>
        <w:rFonts w:hint="default"/>
        <w:lang w:val="es-ES" w:eastAsia="es-ES" w:bidi="es-ES"/>
      </w:rPr>
    </w:lvl>
    <w:lvl w:ilvl="8">
      <w:start w:val="0"/>
      <w:numFmt w:val="bullet"/>
      <w:lvlText w:val="•"/>
      <w:lvlJc w:val="left"/>
      <w:pPr>
        <w:ind w:left="4534" w:hanging="180"/>
      </w:pPr>
      <w:rPr>
        <w:rFonts w:hint="default"/>
        <w:lang w:val="es-ES" w:eastAsia="es-ES" w:bidi="es-ES"/>
      </w:rPr>
    </w:lvl>
  </w:abstractNum>
  <w:abstractNum w:abstractNumId="60">
    <w:multiLevelType w:val="hybridMultilevel"/>
    <w:lvl w:ilvl="0">
      <w:start w:val="2"/>
      <w:numFmt w:val="upperRoman"/>
      <w:lvlText w:val="%1."/>
      <w:lvlJc w:val="left"/>
      <w:pPr>
        <w:ind w:left="567" w:hanging="224"/>
        <w:jc w:val="right"/>
      </w:pPr>
      <w:rPr>
        <w:rFonts w:hint="default" w:ascii="Arial" w:hAnsi="Arial" w:eastAsia="Arial" w:cs="Arial"/>
        <w:w w:val="102"/>
        <w:sz w:val="15"/>
        <w:szCs w:val="15"/>
        <w:lang w:val="es-ES" w:eastAsia="es-ES" w:bidi="es-ES"/>
      </w:rPr>
    </w:lvl>
    <w:lvl w:ilvl="1">
      <w:start w:val="0"/>
      <w:numFmt w:val="bullet"/>
      <w:lvlText w:val="•"/>
      <w:lvlJc w:val="left"/>
      <w:pPr>
        <w:ind w:left="995" w:hanging="224"/>
      </w:pPr>
      <w:rPr>
        <w:rFonts w:hint="default"/>
        <w:lang w:val="es-ES" w:eastAsia="es-ES" w:bidi="es-ES"/>
      </w:rPr>
    </w:lvl>
    <w:lvl w:ilvl="2">
      <w:start w:val="0"/>
      <w:numFmt w:val="bullet"/>
      <w:lvlText w:val="•"/>
      <w:lvlJc w:val="left"/>
      <w:pPr>
        <w:ind w:left="1431" w:hanging="224"/>
      </w:pPr>
      <w:rPr>
        <w:rFonts w:hint="default"/>
        <w:lang w:val="es-ES" w:eastAsia="es-ES" w:bidi="es-ES"/>
      </w:rPr>
    </w:lvl>
    <w:lvl w:ilvl="3">
      <w:start w:val="0"/>
      <w:numFmt w:val="bullet"/>
      <w:lvlText w:val="•"/>
      <w:lvlJc w:val="left"/>
      <w:pPr>
        <w:ind w:left="1867" w:hanging="224"/>
      </w:pPr>
      <w:rPr>
        <w:rFonts w:hint="default"/>
        <w:lang w:val="es-ES" w:eastAsia="es-ES" w:bidi="es-ES"/>
      </w:rPr>
    </w:lvl>
    <w:lvl w:ilvl="4">
      <w:start w:val="0"/>
      <w:numFmt w:val="bullet"/>
      <w:lvlText w:val="•"/>
      <w:lvlJc w:val="left"/>
      <w:pPr>
        <w:ind w:left="2303" w:hanging="224"/>
      </w:pPr>
      <w:rPr>
        <w:rFonts w:hint="default"/>
        <w:lang w:val="es-ES" w:eastAsia="es-ES" w:bidi="es-ES"/>
      </w:rPr>
    </w:lvl>
    <w:lvl w:ilvl="5">
      <w:start w:val="0"/>
      <w:numFmt w:val="bullet"/>
      <w:lvlText w:val="•"/>
      <w:lvlJc w:val="left"/>
      <w:pPr>
        <w:ind w:left="2739" w:hanging="224"/>
      </w:pPr>
      <w:rPr>
        <w:rFonts w:hint="default"/>
        <w:lang w:val="es-ES" w:eastAsia="es-ES" w:bidi="es-ES"/>
      </w:rPr>
    </w:lvl>
    <w:lvl w:ilvl="6">
      <w:start w:val="0"/>
      <w:numFmt w:val="bullet"/>
      <w:lvlText w:val="•"/>
      <w:lvlJc w:val="left"/>
      <w:pPr>
        <w:ind w:left="3175" w:hanging="224"/>
      </w:pPr>
      <w:rPr>
        <w:rFonts w:hint="default"/>
        <w:lang w:val="es-ES" w:eastAsia="es-ES" w:bidi="es-ES"/>
      </w:rPr>
    </w:lvl>
    <w:lvl w:ilvl="7">
      <w:start w:val="0"/>
      <w:numFmt w:val="bullet"/>
      <w:lvlText w:val="•"/>
      <w:lvlJc w:val="left"/>
      <w:pPr>
        <w:ind w:left="3611" w:hanging="224"/>
      </w:pPr>
      <w:rPr>
        <w:rFonts w:hint="default"/>
        <w:lang w:val="es-ES" w:eastAsia="es-ES" w:bidi="es-ES"/>
      </w:rPr>
    </w:lvl>
    <w:lvl w:ilvl="8">
      <w:start w:val="0"/>
      <w:numFmt w:val="bullet"/>
      <w:lvlText w:val="•"/>
      <w:lvlJc w:val="left"/>
      <w:pPr>
        <w:ind w:left="4047" w:hanging="224"/>
      </w:pPr>
      <w:rPr>
        <w:rFonts w:hint="default"/>
        <w:lang w:val="es-ES" w:eastAsia="es-ES" w:bidi="es-ES"/>
      </w:rPr>
    </w:lvl>
  </w:abstractNum>
  <w:abstractNum w:abstractNumId="59">
    <w:multiLevelType w:val="hybridMultilevel"/>
    <w:lvl w:ilvl="0">
      <w:start w:val="1"/>
      <w:numFmt w:val="decimal"/>
      <w:lvlText w:val="%1."/>
      <w:lvlJc w:val="left"/>
      <w:pPr>
        <w:ind w:left="777" w:hanging="172"/>
        <w:jc w:val="left"/>
      </w:pPr>
      <w:rPr>
        <w:rFonts w:hint="default" w:ascii="Arial" w:hAnsi="Arial" w:eastAsia="Arial" w:cs="Arial"/>
        <w:w w:val="102"/>
        <w:position w:val="2"/>
        <w:sz w:val="15"/>
        <w:szCs w:val="15"/>
        <w:lang w:val="es-ES" w:eastAsia="es-ES" w:bidi="es-ES"/>
      </w:rPr>
    </w:lvl>
    <w:lvl w:ilvl="1">
      <w:start w:val="0"/>
      <w:numFmt w:val="bullet"/>
      <w:lvlText w:val="•"/>
      <w:lvlJc w:val="left"/>
      <w:pPr>
        <w:ind w:left="1565" w:hanging="172"/>
      </w:pPr>
      <w:rPr>
        <w:rFonts w:hint="default"/>
        <w:lang w:val="es-ES" w:eastAsia="es-ES" w:bidi="es-ES"/>
      </w:rPr>
    </w:lvl>
    <w:lvl w:ilvl="2">
      <w:start w:val="0"/>
      <w:numFmt w:val="bullet"/>
      <w:lvlText w:val="•"/>
      <w:lvlJc w:val="left"/>
      <w:pPr>
        <w:ind w:left="2351" w:hanging="172"/>
      </w:pPr>
      <w:rPr>
        <w:rFonts w:hint="default"/>
        <w:lang w:val="es-ES" w:eastAsia="es-ES" w:bidi="es-ES"/>
      </w:rPr>
    </w:lvl>
    <w:lvl w:ilvl="3">
      <w:start w:val="0"/>
      <w:numFmt w:val="bullet"/>
      <w:lvlText w:val="•"/>
      <w:lvlJc w:val="left"/>
      <w:pPr>
        <w:ind w:left="3137" w:hanging="172"/>
      </w:pPr>
      <w:rPr>
        <w:rFonts w:hint="default"/>
        <w:lang w:val="es-ES" w:eastAsia="es-ES" w:bidi="es-ES"/>
      </w:rPr>
    </w:lvl>
    <w:lvl w:ilvl="4">
      <w:start w:val="0"/>
      <w:numFmt w:val="bullet"/>
      <w:lvlText w:val="•"/>
      <w:lvlJc w:val="left"/>
      <w:pPr>
        <w:ind w:left="3923" w:hanging="172"/>
      </w:pPr>
      <w:rPr>
        <w:rFonts w:hint="default"/>
        <w:lang w:val="es-ES" w:eastAsia="es-ES" w:bidi="es-ES"/>
      </w:rPr>
    </w:lvl>
    <w:lvl w:ilvl="5">
      <w:start w:val="0"/>
      <w:numFmt w:val="bullet"/>
      <w:lvlText w:val="•"/>
      <w:lvlJc w:val="left"/>
      <w:pPr>
        <w:ind w:left="4709" w:hanging="172"/>
      </w:pPr>
      <w:rPr>
        <w:rFonts w:hint="default"/>
        <w:lang w:val="es-ES" w:eastAsia="es-ES" w:bidi="es-ES"/>
      </w:rPr>
    </w:lvl>
    <w:lvl w:ilvl="6">
      <w:start w:val="0"/>
      <w:numFmt w:val="bullet"/>
      <w:lvlText w:val="•"/>
      <w:lvlJc w:val="left"/>
      <w:pPr>
        <w:ind w:left="5495" w:hanging="172"/>
      </w:pPr>
      <w:rPr>
        <w:rFonts w:hint="default"/>
        <w:lang w:val="es-ES" w:eastAsia="es-ES" w:bidi="es-ES"/>
      </w:rPr>
    </w:lvl>
    <w:lvl w:ilvl="7">
      <w:start w:val="0"/>
      <w:numFmt w:val="bullet"/>
      <w:lvlText w:val="•"/>
      <w:lvlJc w:val="left"/>
      <w:pPr>
        <w:ind w:left="6281" w:hanging="172"/>
      </w:pPr>
      <w:rPr>
        <w:rFonts w:hint="default"/>
        <w:lang w:val="es-ES" w:eastAsia="es-ES" w:bidi="es-ES"/>
      </w:rPr>
    </w:lvl>
    <w:lvl w:ilvl="8">
      <w:start w:val="0"/>
      <w:numFmt w:val="bullet"/>
      <w:lvlText w:val="•"/>
      <w:lvlJc w:val="left"/>
      <w:pPr>
        <w:ind w:left="7066" w:hanging="172"/>
      </w:pPr>
      <w:rPr>
        <w:rFonts w:hint="default"/>
        <w:lang w:val="es-ES" w:eastAsia="es-ES" w:bidi="es-ES"/>
      </w:rPr>
    </w:lvl>
  </w:abstractNum>
  <w:abstractNum w:abstractNumId="58">
    <w:multiLevelType w:val="hybridMultilevel"/>
    <w:lvl w:ilvl="0">
      <w:start w:val="1"/>
      <w:numFmt w:val="lowerLetter"/>
      <w:lvlText w:val="%1)"/>
      <w:lvlJc w:val="left"/>
      <w:pPr>
        <w:ind w:left="786" w:hanging="180"/>
        <w:jc w:val="left"/>
      </w:pPr>
      <w:rPr>
        <w:rFonts w:hint="default" w:ascii="Arial" w:hAnsi="Arial" w:eastAsia="Arial" w:cs="Arial"/>
        <w:w w:val="102"/>
        <w:position w:val="2"/>
        <w:sz w:val="15"/>
        <w:szCs w:val="15"/>
        <w:lang w:val="es-ES" w:eastAsia="es-ES" w:bidi="es-ES"/>
      </w:rPr>
    </w:lvl>
    <w:lvl w:ilvl="1">
      <w:start w:val="0"/>
      <w:numFmt w:val="bullet"/>
      <w:lvlText w:val="•"/>
      <w:lvlJc w:val="left"/>
      <w:pPr>
        <w:ind w:left="1565" w:hanging="180"/>
      </w:pPr>
      <w:rPr>
        <w:rFonts w:hint="default"/>
        <w:lang w:val="es-ES" w:eastAsia="es-ES" w:bidi="es-ES"/>
      </w:rPr>
    </w:lvl>
    <w:lvl w:ilvl="2">
      <w:start w:val="0"/>
      <w:numFmt w:val="bullet"/>
      <w:lvlText w:val="•"/>
      <w:lvlJc w:val="left"/>
      <w:pPr>
        <w:ind w:left="2351" w:hanging="180"/>
      </w:pPr>
      <w:rPr>
        <w:rFonts w:hint="default"/>
        <w:lang w:val="es-ES" w:eastAsia="es-ES" w:bidi="es-ES"/>
      </w:rPr>
    </w:lvl>
    <w:lvl w:ilvl="3">
      <w:start w:val="0"/>
      <w:numFmt w:val="bullet"/>
      <w:lvlText w:val="•"/>
      <w:lvlJc w:val="left"/>
      <w:pPr>
        <w:ind w:left="3137" w:hanging="180"/>
      </w:pPr>
      <w:rPr>
        <w:rFonts w:hint="default"/>
        <w:lang w:val="es-ES" w:eastAsia="es-ES" w:bidi="es-ES"/>
      </w:rPr>
    </w:lvl>
    <w:lvl w:ilvl="4">
      <w:start w:val="0"/>
      <w:numFmt w:val="bullet"/>
      <w:lvlText w:val="•"/>
      <w:lvlJc w:val="left"/>
      <w:pPr>
        <w:ind w:left="3923" w:hanging="180"/>
      </w:pPr>
      <w:rPr>
        <w:rFonts w:hint="default"/>
        <w:lang w:val="es-ES" w:eastAsia="es-ES" w:bidi="es-ES"/>
      </w:rPr>
    </w:lvl>
    <w:lvl w:ilvl="5">
      <w:start w:val="0"/>
      <w:numFmt w:val="bullet"/>
      <w:lvlText w:val="•"/>
      <w:lvlJc w:val="left"/>
      <w:pPr>
        <w:ind w:left="4709" w:hanging="180"/>
      </w:pPr>
      <w:rPr>
        <w:rFonts w:hint="default"/>
        <w:lang w:val="es-ES" w:eastAsia="es-ES" w:bidi="es-ES"/>
      </w:rPr>
    </w:lvl>
    <w:lvl w:ilvl="6">
      <w:start w:val="0"/>
      <w:numFmt w:val="bullet"/>
      <w:lvlText w:val="•"/>
      <w:lvlJc w:val="left"/>
      <w:pPr>
        <w:ind w:left="5495" w:hanging="180"/>
      </w:pPr>
      <w:rPr>
        <w:rFonts w:hint="default"/>
        <w:lang w:val="es-ES" w:eastAsia="es-ES" w:bidi="es-ES"/>
      </w:rPr>
    </w:lvl>
    <w:lvl w:ilvl="7">
      <w:start w:val="0"/>
      <w:numFmt w:val="bullet"/>
      <w:lvlText w:val="•"/>
      <w:lvlJc w:val="left"/>
      <w:pPr>
        <w:ind w:left="6281" w:hanging="180"/>
      </w:pPr>
      <w:rPr>
        <w:rFonts w:hint="default"/>
        <w:lang w:val="es-ES" w:eastAsia="es-ES" w:bidi="es-ES"/>
      </w:rPr>
    </w:lvl>
    <w:lvl w:ilvl="8">
      <w:start w:val="0"/>
      <w:numFmt w:val="bullet"/>
      <w:lvlText w:val="•"/>
      <w:lvlJc w:val="left"/>
      <w:pPr>
        <w:ind w:left="7066" w:hanging="180"/>
      </w:pPr>
      <w:rPr>
        <w:rFonts w:hint="default"/>
        <w:lang w:val="es-ES" w:eastAsia="es-ES" w:bidi="es-ES"/>
      </w:rPr>
    </w:lvl>
  </w:abstractNum>
  <w:abstractNum w:abstractNumId="57">
    <w:multiLevelType w:val="hybridMultilevel"/>
    <w:lvl w:ilvl="0">
      <w:start w:val="1"/>
      <w:numFmt w:val="lowerLetter"/>
      <w:lvlText w:val="%1)"/>
      <w:lvlJc w:val="left"/>
      <w:pPr>
        <w:ind w:left="368" w:hanging="180"/>
        <w:jc w:val="left"/>
      </w:pPr>
      <w:rPr>
        <w:rFonts w:hint="default" w:ascii="Arial" w:hAnsi="Arial" w:eastAsia="Arial" w:cs="Arial"/>
        <w:w w:val="102"/>
        <w:sz w:val="15"/>
        <w:szCs w:val="15"/>
        <w:lang w:val="es-ES" w:eastAsia="es-ES" w:bidi="es-ES"/>
      </w:rPr>
    </w:lvl>
    <w:lvl w:ilvl="1">
      <w:start w:val="0"/>
      <w:numFmt w:val="bullet"/>
      <w:lvlText w:val="•"/>
      <w:lvlJc w:val="left"/>
      <w:pPr>
        <w:ind w:left="360" w:hanging="180"/>
      </w:pPr>
      <w:rPr>
        <w:rFonts w:hint="default"/>
        <w:lang w:val="es-ES" w:eastAsia="es-ES" w:bidi="es-ES"/>
      </w:rPr>
    </w:lvl>
    <w:lvl w:ilvl="2">
      <w:start w:val="0"/>
      <w:numFmt w:val="bullet"/>
      <w:lvlText w:val="•"/>
      <w:lvlJc w:val="left"/>
      <w:pPr>
        <w:ind w:left="-555" w:hanging="180"/>
      </w:pPr>
      <w:rPr>
        <w:rFonts w:hint="default"/>
        <w:lang w:val="es-ES" w:eastAsia="es-ES" w:bidi="es-ES"/>
      </w:rPr>
    </w:lvl>
    <w:lvl w:ilvl="3">
      <w:start w:val="0"/>
      <w:numFmt w:val="bullet"/>
      <w:lvlText w:val="•"/>
      <w:lvlJc w:val="left"/>
      <w:pPr>
        <w:ind w:left="-1470" w:hanging="180"/>
      </w:pPr>
      <w:rPr>
        <w:rFonts w:hint="default"/>
        <w:lang w:val="es-ES" w:eastAsia="es-ES" w:bidi="es-ES"/>
      </w:rPr>
    </w:lvl>
    <w:lvl w:ilvl="4">
      <w:start w:val="0"/>
      <w:numFmt w:val="bullet"/>
      <w:lvlText w:val="•"/>
      <w:lvlJc w:val="left"/>
      <w:pPr>
        <w:ind w:left="-2385" w:hanging="180"/>
      </w:pPr>
      <w:rPr>
        <w:rFonts w:hint="default"/>
        <w:lang w:val="es-ES" w:eastAsia="es-ES" w:bidi="es-ES"/>
      </w:rPr>
    </w:lvl>
    <w:lvl w:ilvl="5">
      <w:start w:val="0"/>
      <w:numFmt w:val="bullet"/>
      <w:lvlText w:val="•"/>
      <w:lvlJc w:val="left"/>
      <w:pPr>
        <w:ind w:left="-3300" w:hanging="180"/>
      </w:pPr>
      <w:rPr>
        <w:rFonts w:hint="default"/>
        <w:lang w:val="es-ES" w:eastAsia="es-ES" w:bidi="es-ES"/>
      </w:rPr>
    </w:lvl>
    <w:lvl w:ilvl="6">
      <w:start w:val="0"/>
      <w:numFmt w:val="bullet"/>
      <w:lvlText w:val="•"/>
      <w:lvlJc w:val="left"/>
      <w:pPr>
        <w:ind w:left="-4215" w:hanging="180"/>
      </w:pPr>
      <w:rPr>
        <w:rFonts w:hint="default"/>
        <w:lang w:val="es-ES" w:eastAsia="es-ES" w:bidi="es-ES"/>
      </w:rPr>
    </w:lvl>
    <w:lvl w:ilvl="7">
      <w:start w:val="0"/>
      <w:numFmt w:val="bullet"/>
      <w:lvlText w:val="•"/>
      <w:lvlJc w:val="left"/>
      <w:pPr>
        <w:ind w:left="-5130" w:hanging="180"/>
      </w:pPr>
      <w:rPr>
        <w:rFonts w:hint="default"/>
        <w:lang w:val="es-ES" w:eastAsia="es-ES" w:bidi="es-ES"/>
      </w:rPr>
    </w:lvl>
    <w:lvl w:ilvl="8">
      <w:start w:val="0"/>
      <w:numFmt w:val="bullet"/>
      <w:lvlText w:val="•"/>
      <w:lvlJc w:val="left"/>
      <w:pPr>
        <w:ind w:left="-6045" w:hanging="180"/>
      </w:pPr>
      <w:rPr>
        <w:rFonts w:hint="default"/>
        <w:lang w:val="es-ES" w:eastAsia="es-ES" w:bidi="es-ES"/>
      </w:rPr>
    </w:lvl>
  </w:abstractNum>
  <w:abstractNum w:abstractNumId="56">
    <w:multiLevelType w:val="hybridMultilevel"/>
    <w:lvl w:ilvl="0">
      <w:start w:val="1"/>
      <w:numFmt w:val="lowerLetter"/>
      <w:lvlText w:val="%1)"/>
      <w:lvlJc w:val="left"/>
      <w:pPr>
        <w:ind w:left="36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08" w:hanging="180"/>
      </w:pPr>
      <w:rPr>
        <w:rFonts w:hint="default"/>
        <w:lang w:val="es-ES" w:eastAsia="es-ES" w:bidi="es-ES"/>
      </w:rPr>
    </w:lvl>
    <w:lvl w:ilvl="2">
      <w:start w:val="0"/>
      <w:numFmt w:val="bullet"/>
      <w:lvlText w:val="•"/>
      <w:lvlJc w:val="left"/>
      <w:pPr>
        <w:ind w:left="1856" w:hanging="180"/>
      </w:pPr>
      <w:rPr>
        <w:rFonts w:hint="default"/>
        <w:lang w:val="es-ES" w:eastAsia="es-ES" w:bidi="es-ES"/>
      </w:rPr>
    </w:lvl>
    <w:lvl w:ilvl="3">
      <w:start w:val="0"/>
      <w:numFmt w:val="bullet"/>
      <w:lvlText w:val="•"/>
      <w:lvlJc w:val="left"/>
      <w:pPr>
        <w:ind w:left="2605" w:hanging="180"/>
      </w:pPr>
      <w:rPr>
        <w:rFonts w:hint="default"/>
        <w:lang w:val="es-ES" w:eastAsia="es-ES" w:bidi="es-ES"/>
      </w:rPr>
    </w:lvl>
    <w:lvl w:ilvl="4">
      <w:start w:val="0"/>
      <w:numFmt w:val="bullet"/>
      <w:lvlText w:val="•"/>
      <w:lvlJc w:val="left"/>
      <w:pPr>
        <w:ind w:left="3353" w:hanging="180"/>
      </w:pPr>
      <w:rPr>
        <w:rFonts w:hint="default"/>
        <w:lang w:val="es-ES" w:eastAsia="es-ES" w:bidi="es-ES"/>
      </w:rPr>
    </w:lvl>
    <w:lvl w:ilvl="5">
      <w:start w:val="0"/>
      <w:numFmt w:val="bullet"/>
      <w:lvlText w:val="•"/>
      <w:lvlJc w:val="left"/>
      <w:pPr>
        <w:ind w:left="4101" w:hanging="180"/>
      </w:pPr>
      <w:rPr>
        <w:rFonts w:hint="default"/>
        <w:lang w:val="es-ES" w:eastAsia="es-ES" w:bidi="es-ES"/>
      </w:rPr>
    </w:lvl>
    <w:lvl w:ilvl="6">
      <w:start w:val="0"/>
      <w:numFmt w:val="bullet"/>
      <w:lvlText w:val="•"/>
      <w:lvlJc w:val="left"/>
      <w:pPr>
        <w:ind w:left="4850" w:hanging="180"/>
      </w:pPr>
      <w:rPr>
        <w:rFonts w:hint="default"/>
        <w:lang w:val="es-ES" w:eastAsia="es-ES" w:bidi="es-ES"/>
      </w:rPr>
    </w:lvl>
    <w:lvl w:ilvl="7">
      <w:start w:val="0"/>
      <w:numFmt w:val="bullet"/>
      <w:lvlText w:val="•"/>
      <w:lvlJc w:val="left"/>
      <w:pPr>
        <w:ind w:left="5598" w:hanging="180"/>
      </w:pPr>
      <w:rPr>
        <w:rFonts w:hint="default"/>
        <w:lang w:val="es-ES" w:eastAsia="es-ES" w:bidi="es-ES"/>
      </w:rPr>
    </w:lvl>
    <w:lvl w:ilvl="8">
      <w:start w:val="0"/>
      <w:numFmt w:val="bullet"/>
      <w:lvlText w:val="•"/>
      <w:lvlJc w:val="left"/>
      <w:pPr>
        <w:ind w:left="6346" w:hanging="180"/>
      </w:pPr>
      <w:rPr>
        <w:rFonts w:hint="default"/>
        <w:lang w:val="es-ES" w:eastAsia="es-ES" w:bidi="es-ES"/>
      </w:rPr>
    </w:lvl>
  </w:abstractNum>
  <w:abstractNum w:abstractNumId="55">
    <w:multiLevelType w:val="hybridMultilevel"/>
    <w:lvl w:ilvl="0">
      <w:start w:val="9"/>
      <w:numFmt w:val="lowerLetter"/>
      <w:lvlText w:val="%1)"/>
      <w:lvlJc w:val="left"/>
      <w:pPr>
        <w:ind w:left="169" w:hanging="200"/>
        <w:jc w:val="left"/>
      </w:pPr>
      <w:rPr>
        <w:rFonts w:hint="default" w:ascii="Arial" w:hAnsi="Arial" w:eastAsia="Arial" w:cs="Arial"/>
        <w:w w:val="102"/>
        <w:sz w:val="15"/>
        <w:szCs w:val="15"/>
        <w:lang w:val="es-ES" w:eastAsia="es-ES" w:bidi="es-ES"/>
      </w:rPr>
    </w:lvl>
    <w:lvl w:ilvl="1">
      <w:start w:val="0"/>
      <w:numFmt w:val="bullet"/>
      <w:lvlText w:val="•"/>
      <w:lvlJc w:val="left"/>
      <w:pPr>
        <w:ind w:left="698" w:hanging="200"/>
      </w:pPr>
      <w:rPr>
        <w:rFonts w:hint="default"/>
        <w:lang w:val="es-ES" w:eastAsia="es-ES" w:bidi="es-ES"/>
      </w:rPr>
    </w:lvl>
    <w:lvl w:ilvl="2">
      <w:start w:val="0"/>
      <w:numFmt w:val="bullet"/>
      <w:lvlText w:val="•"/>
      <w:lvlJc w:val="left"/>
      <w:pPr>
        <w:ind w:left="1237" w:hanging="200"/>
      </w:pPr>
      <w:rPr>
        <w:rFonts w:hint="default"/>
        <w:lang w:val="es-ES" w:eastAsia="es-ES" w:bidi="es-ES"/>
      </w:rPr>
    </w:lvl>
    <w:lvl w:ilvl="3">
      <w:start w:val="0"/>
      <w:numFmt w:val="bullet"/>
      <w:lvlText w:val="•"/>
      <w:lvlJc w:val="left"/>
      <w:pPr>
        <w:ind w:left="1776" w:hanging="200"/>
      </w:pPr>
      <w:rPr>
        <w:rFonts w:hint="default"/>
        <w:lang w:val="es-ES" w:eastAsia="es-ES" w:bidi="es-ES"/>
      </w:rPr>
    </w:lvl>
    <w:lvl w:ilvl="4">
      <w:start w:val="0"/>
      <w:numFmt w:val="bullet"/>
      <w:lvlText w:val="•"/>
      <w:lvlJc w:val="left"/>
      <w:pPr>
        <w:ind w:left="2314" w:hanging="200"/>
      </w:pPr>
      <w:rPr>
        <w:rFonts w:hint="default"/>
        <w:lang w:val="es-ES" w:eastAsia="es-ES" w:bidi="es-ES"/>
      </w:rPr>
    </w:lvl>
    <w:lvl w:ilvl="5">
      <w:start w:val="0"/>
      <w:numFmt w:val="bullet"/>
      <w:lvlText w:val="•"/>
      <w:lvlJc w:val="left"/>
      <w:pPr>
        <w:ind w:left="2853" w:hanging="200"/>
      </w:pPr>
      <w:rPr>
        <w:rFonts w:hint="default"/>
        <w:lang w:val="es-ES" w:eastAsia="es-ES" w:bidi="es-ES"/>
      </w:rPr>
    </w:lvl>
    <w:lvl w:ilvl="6">
      <w:start w:val="0"/>
      <w:numFmt w:val="bullet"/>
      <w:lvlText w:val="•"/>
      <w:lvlJc w:val="left"/>
      <w:pPr>
        <w:ind w:left="3392" w:hanging="200"/>
      </w:pPr>
      <w:rPr>
        <w:rFonts w:hint="default"/>
        <w:lang w:val="es-ES" w:eastAsia="es-ES" w:bidi="es-ES"/>
      </w:rPr>
    </w:lvl>
    <w:lvl w:ilvl="7">
      <w:start w:val="0"/>
      <w:numFmt w:val="bullet"/>
      <w:lvlText w:val="•"/>
      <w:lvlJc w:val="left"/>
      <w:pPr>
        <w:ind w:left="3931" w:hanging="200"/>
      </w:pPr>
      <w:rPr>
        <w:rFonts w:hint="default"/>
        <w:lang w:val="es-ES" w:eastAsia="es-ES" w:bidi="es-ES"/>
      </w:rPr>
    </w:lvl>
    <w:lvl w:ilvl="8">
      <w:start w:val="0"/>
      <w:numFmt w:val="bullet"/>
      <w:lvlText w:val="•"/>
      <w:lvlJc w:val="left"/>
      <w:pPr>
        <w:ind w:left="4469" w:hanging="200"/>
      </w:pPr>
      <w:rPr>
        <w:rFonts w:hint="default"/>
        <w:lang w:val="es-ES" w:eastAsia="es-ES" w:bidi="es-ES"/>
      </w:rPr>
    </w:lvl>
  </w:abstractNum>
  <w:abstractNum w:abstractNumId="54">
    <w:multiLevelType w:val="hybridMultilevel"/>
    <w:lvl w:ilvl="0">
      <w:start w:val="1"/>
      <w:numFmt w:val="lowerLetter"/>
      <w:lvlText w:val="%1)"/>
      <w:lvlJc w:val="left"/>
      <w:pPr>
        <w:ind w:left="766" w:hanging="180"/>
        <w:jc w:val="left"/>
      </w:pPr>
      <w:rPr>
        <w:rFonts w:hint="default" w:ascii="Arial" w:hAnsi="Arial" w:eastAsia="Arial" w:cs="Arial"/>
        <w:w w:val="102"/>
        <w:sz w:val="15"/>
        <w:szCs w:val="15"/>
        <w:lang w:val="es-ES" w:eastAsia="es-ES" w:bidi="es-ES"/>
      </w:rPr>
    </w:lvl>
    <w:lvl w:ilvl="1">
      <w:start w:val="0"/>
      <w:numFmt w:val="bullet"/>
      <w:lvlText w:val="•"/>
      <w:lvlJc w:val="left"/>
      <w:pPr>
        <w:ind w:left="1508" w:hanging="180"/>
      </w:pPr>
      <w:rPr>
        <w:rFonts w:hint="default"/>
        <w:lang w:val="es-ES" w:eastAsia="es-ES" w:bidi="es-ES"/>
      </w:rPr>
    </w:lvl>
    <w:lvl w:ilvl="2">
      <w:start w:val="0"/>
      <w:numFmt w:val="bullet"/>
      <w:lvlText w:val="•"/>
      <w:lvlJc w:val="left"/>
      <w:pPr>
        <w:ind w:left="2256" w:hanging="180"/>
      </w:pPr>
      <w:rPr>
        <w:rFonts w:hint="default"/>
        <w:lang w:val="es-ES" w:eastAsia="es-ES" w:bidi="es-ES"/>
      </w:rPr>
    </w:lvl>
    <w:lvl w:ilvl="3">
      <w:start w:val="0"/>
      <w:numFmt w:val="bullet"/>
      <w:lvlText w:val="•"/>
      <w:lvlJc w:val="left"/>
      <w:pPr>
        <w:ind w:left="3004" w:hanging="180"/>
      </w:pPr>
      <w:rPr>
        <w:rFonts w:hint="default"/>
        <w:lang w:val="es-ES" w:eastAsia="es-ES" w:bidi="es-ES"/>
      </w:rPr>
    </w:lvl>
    <w:lvl w:ilvl="4">
      <w:start w:val="0"/>
      <w:numFmt w:val="bullet"/>
      <w:lvlText w:val="•"/>
      <w:lvlJc w:val="left"/>
      <w:pPr>
        <w:ind w:left="3752" w:hanging="180"/>
      </w:pPr>
      <w:rPr>
        <w:rFonts w:hint="default"/>
        <w:lang w:val="es-ES" w:eastAsia="es-ES" w:bidi="es-ES"/>
      </w:rPr>
    </w:lvl>
    <w:lvl w:ilvl="5">
      <w:start w:val="0"/>
      <w:numFmt w:val="bullet"/>
      <w:lvlText w:val="•"/>
      <w:lvlJc w:val="left"/>
      <w:pPr>
        <w:ind w:left="4500" w:hanging="180"/>
      </w:pPr>
      <w:rPr>
        <w:rFonts w:hint="default"/>
        <w:lang w:val="es-ES" w:eastAsia="es-ES" w:bidi="es-ES"/>
      </w:rPr>
    </w:lvl>
    <w:lvl w:ilvl="6">
      <w:start w:val="0"/>
      <w:numFmt w:val="bullet"/>
      <w:lvlText w:val="•"/>
      <w:lvlJc w:val="left"/>
      <w:pPr>
        <w:ind w:left="5248" w:hanging="180"/>
      </w:pPr>
      <w:rPr>
        <w:rFonts w:hint="default"/>
        <w:lang w:val="es-ES" w:eastAsia="es-ES" w:bidi="es-ES"/>
      </w:rPr>
    </w:lvl>
    <w:lvl w:ilvl="7">
      <w:start w:val="0"/>
      <w:numFmt w:val="bullet"/>
      <w:lvlText w:val="•"/>
      <w:lvlJc w:val="left"/>
      <w:pPr>
        <w:ind w:left="5996" w:hanging="180"/>
      </w:pPr>
      <w:rPr>
        <w:rFonts w:hint="default"/>
        <w:lang w:val="es-ES" w:eastAsia="es-ES" w:bidi="es-ES"/>
      </w:rPr>
    </w:lvl>
    <w:lvl w:ilvl="8">
      <w:start w:val="0"/>
      <w:numFmt w:val="bullet"/>
      <w:lvlText w:val="•"/>
      <w:lvlJc w:val="left"/>
      <w:pPr>
        <w:ind w:left="6744" w:hanging="180"/>
      </w:pPr>
      <w:rPr>
        <w:rFonts w:hint="default"/>
        <w:lang w:val="es-ES" w:eastAsia="es-ES" w:bidi="es-ES"/>
      </w:rPr>
    </w:lvl>
  </w:abstractNum>
  <w:abstractNum w:abstractNumId="53">
    <w:multiLevelType w:val="hybridMultilevel"/>
    <w:lvl w:ilvl="0">
      <w:start w:val="1"/>
      <w:numFmt w:val="upperRoman"/>
      <w:lvlText w:val="%1."/>
      <w:lvlJc w:val="left"/>
      <w:pPr>
        <w:ind w:left="567" w:hanging="139"/>
        <w:jc w:val="right"/>
      </w:pPr>
      <w:rPr>
        <w:rFonts w:hint="default" w:ascii="Arial" w:hAnsi="Arial" w:eastAsia="Arial" w:cs="Arial"/>
        <w:w w:val="102"/>
        <w:sz w:val="15"/>
        <w:szCs w:val="15"/>
        <w:lang w:val="es-ES" w:eastAsia="es-ES" w:bidi="es-ES"/>
      </w:rPr>
    </w:lvl>
    <w:lvl w:ilvl="1">
      <w:start w:val="1"/>
      <w:numFmt w:val="upperRoman"/>
      <w:lvlText w:val="%2."/>
      <w:lvlJc w:val="left"/>
      <w:pPr>
        <w:ind w:left="567" w:hanging="130"/>
        <w:jc w:val="left"/>
      </w:pPr>
      <w:rPr>
        <w:rFonts w:hint="default" w:ascii="Arial" w:hAnsi="Arial" w:eastAsia="Arial" w:cs="Arial"/>
        <w:w w:val="102"/>
        <w:sz w:val="15"/>
        <w:szCs w:val="15"/>
        <w:lang w:val="es-ES" w:eastAsia="es-ES" w:bidi="es-ES"/>
      </w:rPr>
    </w:lvl>
    <w:lvl w:ilvl="2">
      <w:start w:val="0"/>
      <w:numFmt w:val="bullet"/>
      <w:lvlText w:val="•"/>
      <w:lvlJc w:val="left"/>
      <w:pPr>
        <w:ind w:left="15" w:hanging="130"/>
      </w:pPr>
      <w:rPr>
        <w:rFonts w:hint="default"/>
        <w:lang w:val="es-ES" w:eastAsia="es-ES" w:bidi="es-ES"/>
      </w:rPr>
    </w:lvl>
    <w:lvl w:ilvl="3">
      <w:start w:val="0"/>
      <w:numFmt w:val="bullet"/>
      <w:lvlText w:val="•"/>
      <w:lvlJc w:val="left"/>
      <w:pPr>
        <w:ind w:left="-530" w:hanging="130"/>
      </w:pPr>
      <w:rPr>
        <w:rFonts w:hint="default"/>
        <w:lang w:val="es-ES" w:eastAsia="es-ES" w:bidi="es-ES"/>
      </w:rPr>
    </w:lvl>
    <w:lvl w:ilvl="4">
      <w:start w:val="0"/>
      <w:numFmt w:val="bullet"/>
      <w:lvlText w:val="•"/>
      <w:lvlJc w:val="left"/>
      <w:pPr>
        <w:ind w:left="-1074" w:hanging="130"/>
      </w:pPr>
      <w:rPr>
        <w:rFonts w:hint="default"/>
        <w:lang w:val="es-ES" w:eastAsia="es-ES" w:bidi="es-ES"/>
      </w:rPr>
    </w:lvl>
    <w:lvl w:ilvl="5">
      <w:start w:val="0"/>
      <w:numFmt w:val="bullet"/>
      <w:lvlText w:val="•"/>
      <w:lvlJc w:val="left"/>
      <w:pPr>
        <w:ind w:left="-1619" w:hanging="130"/>
      </w:pPr>
      <w:rPr>
        <w:rFonts w:hint="default"/>
        <w:lang w:val="es-ES" w:eastAsia="es-ES" w:bidi="es-ES"/>
      </w:rPr>
    </w:lvl>
    <w:lvl w:ilvl="6">
      <w:start w:val="0"/>
      <w:numFmt w:val="bullet"/>
      <w:lvlText w:val="•"/>
      <w:lvlJc w:val="left"/>
      <w:pPr>
        <w:ind w:left="-2163" w:hanging="130"/>
      </w:pPr>
      <w:rPr>
        <w:rFonts w:hint="default"/>
        <w:lang w:val="es-ES" w:eastAsia="es-ES" w:bidi="es-ES"/>
      </w:rPr>
    </w:lvl>
    <w:lvl w:ilvl="7">
      <w:start w:val="0"/>
      <w:numFmt w:val="bullet"/>
      <w:lvlText w:val="•"/>
      <w:lvlJc w:val="left"/>
      <w:pPr>
        <w:ind w:left="-2708" w:hanging="130"/>
      </w:pPr>
      <w:rPr>
        <w:rFonts w:hint="default"/>
        <w:lang w:val="es-ES" w:eastAsia="es-ES" w:bidi="es-ES"/>
      </w:rPr>
    </w:lvl>
    <w:lvl w:ilvl="8">
      <w:start w:val="0"/>
      <w:numFmt w:val="bullet"/>
      <w:lvlText w:val="•"/>
      <w:lvlJc w:val="left"/>
      <w:pPr>
        <w:ind w:left="-3253" w:hanging="130"/>
      </w:pPr>
      <w:rPr>
        <w:rFonts w:hint="default"/>
        <w:lang w:val="es-ES" w:eastAsia="es-ES" w:bidi="es-ES"/>
      </w:rPr>
    </w:lvl>
  </w:abstractNum>
  <w:abstractNum w:abstractNumId="52">
    <w:multiLevelType w:val="hybridMultilevel"/>
    <w:lvl w:ilvl="0">
      <w:start w:val="1"/>
      <w:numFmt w:val="lowerLetter"/>
      <w:lvlText w:val="%1)"/>
      <w:lvlJc w:val="left"/>
      <w:pPr>
        <w:ind w:left="727"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80"/>
      </w:pPr>
      <w:rPr>
        <w:rFonts w:hint="default"/>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1" w:hanging="180"/>
      </w:pPr>
      <w:rPr>
        <w:rFonts w:hint="default"/>
        <w:lang w:val="es-ES" w:eastAsia="es-ES" w:bidi="es-ES"/>
      </w:rPr>
    </w:lvl>
    <w:lvl w:ilvl="6">
      <w:start w:val="0"/>
      <w:numFmt w:val="bullet"/>
      <w:lvlText w:val="•"/>
      <w:lvlJc w:val="left"/>
      <w:pPr>
        <w:ind w:left="5221"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51">
    <w:multiLevelType w:val="hybridMultilevel"/>
    <w:lvl w:ilvl="0">
      <w:start w:val="1"/>
      <w:numFmt w:val="lowerLetter"/>
      <w:lvlText w:val="%1)"/>
      <w:lvlJc w:val="left"/>
      <w:pPr>
        <w:ind w:left="728" w:hanging="180"/>
        <w:jc w:val="left"/>
      </w:pPr>
      <w:rPr>
        <w:rFonts w:hint="default" w:ascii="Arial" w:hAnsi="Arial" w:eastAsia="Arial" w:cs="Arial"/>
        <w:w w:val="102"/>
        <w:sz w:val="15"/>
        <w:szCs w:val="15"/>
        <w:lang w:val="es-ES" w:eastAsia="es-ES" w:bidi="es-ES"/>
      </w:rPr>
    </w:lvl>
    <w:lvl w:ilvl="1">
      <w:start w:val="0"/>
      <w:numFmt w:val="bullet"/>
      <w:lvlText w:val="•"/>
      <w:lvlJc w:val="left"/>
      <w:pPr>
        <w:ind w:left="1470" w:hanging="180"/>
      </w:pPr>
      <w:rPr>
        <w:rFonts w:hint="default"/>
        <w:lang w:val="es-ES" w:eastAsia="es-ES" w:bidi="es-ES"/>
      </w:rPr>
    </w:lvl>
    <w:lvl w:ilvl="2">
      <w:start w:val="0"/>
      <w:numFmt w:val="bullet"/>
      <w:lvlText w:val="•"/>
      <w:lvlJc w:val="left"/>
      <w:pPr>
        <w:ind w:left="2220" w:hanging="180"/>
      </w:pPr>
      <w:rPr>
        <w:rFonts w:hint="default"/>
        <w:lang w:val="es-ES" w:eastAsia="es-ES" w:bidi="es-ES"/>
      </w:rPr>
    </w:lvl>
    <w:lvl w:ilvl="3">
      <w:start w:val="0"/>
      <w:numFmt w:val="bullet"/>
      <w:lvlText w:val="•"/>
      <w:lvlJc w:val="left"/>
      <w:pPr>
        <w:ind w:left="2970" w:hanging="180"/>
      </w:pPr>
      <w:rPr>
        <w:rFonts w:hint="default"/>
        <w:lang w:val="es-ES" w:eastAsia="es-ES" w:bidi="es-ES"/>
      </w:rPr>
    </w:lvl>
    <w:lvl w:ilvl="4">
      <w:start w:val="0"/>
      <w:numFmt w:val="bullet"/>
      <w:lvlText w:val="•"/>
      <w:lvlJc w:val="left"/>
      <w:pPr>
        <w:ind w:left="3720" w:hanging="180"/>
      </w:pPr>
      <w:rPr>
        <w:rFonts w:hint="default"/>
        <w:lang w:val="es-ES" w:eastAsia="es-ES" w:bidi="es-ES"/>
      </w:rPr>
    </w:lvl>
    <w:lvl w:ilvl="5">
      <w:start w:val="0"/>
      <w:numFmt w:val="bullet"/>
      <w:lvlText w:val="•"/>
      <w:lvlJc w:val="left"/>
      <w:pPr>
        <w:ind w:left="4471" w:hanging="180"/>
      </w:pPr>
      <w:rPr>
        <w:rFonts w:hint="default"/>
        <w:lang w:val="es-ES" w:eastAsia="es-ES" w:bidi="es-ES"/>
      </w:rPr>
    </w:lvl>
    <w:lvl w:ilvl="6">
      <w:start w:val="0"/>
      <w:numFmt w:val="bullet"/>
      <w:lvlText w:val="•"/>
      <w:lvlJc w:val="left"/>
      <w:pPr>
        <w:ind w:left="5221" w:hanging="180"/>
      </w:pPr>
      <w:rPr>
        <w:rFonts w:hint="default"/>
        <w:lang w:val="es-ES" w:eastAsia="es-ES" w:bidi="es-ES"/>
      </w:rPr>
    </w:lvl>
    <w:lvl w:ilvl="7">
      <w:start w:val="0"/>
      <w:numFmt w:val="bullet"/>
      <w:lvlText w:val="•"/>
      <w:lvlJc w:val="left"/>
      <w:pPr>
        <w:ind w:left="5971" w:hanging="180"/>
      </w:pPr>
      <w:rPr>
        <w:rFonts w:hint="default"/>
        <w:lang w:val="es-ES" w:eastAsia="es-ES" w:bidi="es-ES"/>
      </w:rPr>
    </w:lvl>
    <w:lvl w:ilvl="8">
      <w:start w:val="0"/>
      <w:numFmt w:val="bullet"/>
      <w:lvlText w:val="•"/>
      <w:lvlJc w:val="left"/>
      <w:pPr>
        <w:ind w:left="6721" w:hanging="180"/>
      </w:pPr>
      <w:rPr>
        <w:rFonts w:hint="default"/>
        <w:lang w:val="es-ES" w:eastAsia="es-ES" w:bidi="es-ES"/>
      </w:rPr>
    </w:lvl>
  </w:abstractNum>
  <w:abstractNum w:abstractNumId="50">
    <w:multiLevelType w:val="hybridMultilevel"/>
    <w:lvl w:ilvl="0">
      <w:start w:val="10"/>
      <w:numFmt w:val="upperRoman"/>
      <w:lvlText w:val="%1."/>
      <w:lvlJc w:val="left"/>
      <w:pPr>
        <w:ind w:left="151" w:hanging="199"/>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966" w:hanging="199"/>
      </w:pPr>
      <w:rPr>
        <w:rFonts w:hint="default"/>
        <w:lang w:val="es-ES" w:eastAsia="es-ES" w:bidi="es-ES"/>
      </w:rPr>
    </w:lvl>
    <w:lvl w:ilvl="2">
      <w:start w:val="0"/>
      <w:numFmt w:val="bullet"/>
      <w:lvlText w:val="•"/>
      <w:lvlJc w:val="left"/>
      <w:pPr>
        <w:ind w:left="1772" w:hanging="199"/>
      </w:pPr>
      <w:rPr>
        <w:rFonts w:hint="default"/>
        <w:lang w:val="es-ES" w:eastAsia="es-ES" w:bidi="es-ES"/>
      </w:rPr>
    </w:lvl>
    <w:lvl w:ilvl="3">
      <w:start w:val="0"/>
      <w:numFmt w:val="bullet"/>
      <w:lvlText w:val="•"/>
      <w:lvlJc w:val="left"/>
      <w:pPr>
        <w:ind w:left="2578" w:hanging="199"/>
      </w:pPr>
      <w:rPr>
        <w:rFonts w:hint="default"/>
        <w:lang w:val="es-ES" w:eastAsia="es-ES" w:bidi="es-ES"/>
      </w:rPr>
    </w:lvl>
    <w:lvl w:ilvl="4">
      <w:start w:val="0"/>
      <w:numFmt w:val="bullet"/>
      <w:lvlText w:val="•"/>
      <w:lvlJc w:val="left"/>
      <w:pPr>
        <w:ind w:left="3384" w:hanging="199"/>
      </w:pPr>
      <w:rPr>
        <w:rFonts w:hint="default"/>
        <w:lang w:val="es-ES" w:eastAsia="es-ES" w:bidi="es-ES"/>
      </w:rPr>
    </w:lvl>
    <w:lvl w:ilvl="5">
      <w:start w:val="0"/>
      <w:numFmt w:val="bullet"/>
      <w:lvlText w:val="•"/>
      <w:lvlJc w:val="left"/>
      <w:pPr>
        <w:ind w:left="4191" w:hanging="199"/>
      </w:pPr>
      <w:rPr>
        <w:rFonts w:hint="default"/>
        <w:lang w:val="es-ES" w:eastAsia="es-ES" w:bidi="es-ES"/>
      </w:rPr>
    </w:lvl>
    <w:lvl w:ilvl="6">
      <w:start w:val="0"/>
      <w:numFmt w:val="bullet"/>
      <w:lvlText w:val="•"/>
      <w:lvlJc w:val="left"/>
      <w:pPr>
        <w:ind w:left="4997" w:hanging="199"/>
      </w:pPr>
      <w:rPr>
        <w:rFonts w:hint="default"/>
        <w:lang w:val="es-ES" w:eastAsia="es-ES" w:bidi="es-ES"/>
      </w:rPr>
    </w:lvl>
    <w:lvl w:ilvl="7">
      <w:start w:val="0"/>
      <w:numFmt w:val="bullet"/>
      <w:lvlText w:val="•"/>
      <w:lvlJc w:val="left"/>
      <w:pPr>
        <w:ind w:left="5803" w:hanging="199"/>
      </w:pPr>
      <w:rPr>
        <w:rFonts w:hint="default"/>
        <w:lang w:val="es-ES" w:eastAsia="es-ES" w:bidi="es-ES"/>
      </w:rPr>
    </w:lvl>
    <w:lvl w:ilvl="8">
      <w:start w:val="0"/>
      <w:numFmt w:val="bullet"/>
      <w:lvlText w:val="•"/>
      <w:lvlJc w:val="left"/>
      <w:pPr>
        <w:ind w:left="6609" w:hanging="199"/>
      </w:pPr>
      <w:rPr>
        <w:rFonts w:hint="default"/>
        <w:lang w:val="es-ES" w:eastAsia="es-ES" w:bidi="es-ES"/>
      </w:rPr>
    </w:lvl>
  </w:abstractNum>
  <w:abstractNum w:abstractNumId="49">
    <w:multiLevelType w:val="hybridMultilevel"/>
    <w:lvl w:ilvl="0">
      <w:start w:val="1"/>
      <w:numFmt w:val="lowerLetter"/>
      <w:lvlText w:val="%1)"/>
      <w:lvlJc w:val="left"/>
      <w:pPr>
        <w:ind w:left="740" w:hanging="193"/>
        <w:jc w:val="left"/>
      </w:pPr>
      <w:rPr>
        <w:rFonts w:hint="default" w:ascii="Arial" w:hAnsi="Arial" w:eastAsia="Arial" w:cs="Arial"/>
        <w:w w:val="102"/>
        <w:sz w:val="15"/>
        <w:szCs w:val="15"/>
        <w:lang w:val="es-ES" w:eastAsia="es-ES" w:bidi="es-ES"/>
      </w:rPr>
    </w:lvl>
    <w:lvl w:ilvl="1">
      <w:start w:val="0"/>
      <w:numFmt w:val="bullet"/>
      <w:lvlText w:val="•"/>
      <w:lvlJc w:val="left"/>
      <w:pPr>
        <w:ind w:left="1441" w:hanging="193"/>
      </w:pPr>
      <w:rPr>
        <w:rFonts w:hint="default"/>
        <w:lang w:val="es-ES" w:eastAsia="es-ES" w:bidi="es-ES"/>
      </w:rPr>
    </w:lvl>
    <w:lvl w:ilvl="2">
      <w:start w:val="0"/>
      <w:numFmt w:val="bullet"/>
      <w:lvlText w:val="•"/>
      <w:lvlJc w:val="left"/>
      <w:pPr>
        <w:ind w:left="2142" w:hanging="193"/>
      </w:pPr>
      <w:rPr>
        <w:rFonts w:hint="default"/>
        <w:lang w:val="es-ES" w:eastAsia="es-ES" w:bidi="es-ES"/>
      </w:rPr>
    </w:lvl>
    <w:lvl w:ilvl="3">
      <w:start w:val="0"/>
      <w:numFmt w:val="bullet"/>
      <w:lvlText w:val="•"/>
      <w:lvlJc w:val="left"/>
      <w:pPr>
        <w:ind w:left="2843" w:hanging="193"/>
      </w:pPr>
      <w:rPr>
        <w:rFonts w:hint="default"/>
        <w:lang w:val="es-ES" w:eastAsia="es-ES" w:bidi="es-ES"/>
      </w:rPr>
    </w:lvl>
    <w:lvl w:ilvl="4">
      <w:start w:val="0"/>
      <w:numFmt w:val="bullet"/>
      <w:lvlText w:val="•"/>
      <w:lvlJc w:val="left"/>
      <w:pPr>
        <w:ind w:left="3544" w:hanging="193"/>
      </w:pPr>
      <w:rPr>
        <w:rFonts w:hint="default"/>
        <w:lang w:val="es-ES" w:eastAsia="es-ES" w:bidi="es-ES"/>
      </w:rPr>
    </w:lvl>
    <w:lvl w:ilvl="5">
      <w:start w:val="0"/>
      <w:numFmt w:val="bullet"/>
      <w:lvlText w:val="•"/>
      <w:lvlJc w:val="left"/>
      <w:pPr>
        <w:ind w:left="4245" w:hanging="193"/>
      </w:pPr>
      <w:rPr>
        <w:rFonts w:hint="default"/>
        <w:lang w:val="es-ES" w:eastAsia="es-ES" w:bidi="es-ES"/>
      </w:rPr>
    </w:lvl>
    <w:lvl w:ilvl="6">
      <w:start w:val="0"/>
      <w:numFmt w:val="bullet"/>
      <w:lvlText w:val="•"/>
      <w:lvlJc w:val="left"/>
      <w:pPr>
        <w:ind w:left="4946" w:hanging="193"/>
      </w:pPr>
      <w:rPr>
        <w:rFonts w:hint="default"/>
        <w:lang w:val="es-ES" w:eastAsia="es-ES" w:bidi="es-ES"/>
      </w:rPr>
    </w:lvl>
    <w:lvl w:ilvl="7">
      <w:start w:val="0"/>
      <w:numFmt w:val="bullet"/>
      <w:lvlText w:val="•"/>
      <w:lvlJc w:val="left"/>
      <w:pPr>
        <w:ind w:left="5647" w:hanging="193"/>
      </w:pPr>
      <w:rPr>
        <w:rFonts w:hint="default"/>
        <w:lang w:val="es-ES" w:eastAsia="es-ES" w:bidi="es-ES"/>
      </w:rPr>
    </w:lvl>
    <w:lvl w:ilvl="8">
      <w:start w:val="0"/>
      <w:numFmt w:val="bullet"/>
      <w:lvlText w:val="•"/>
      <w:lvlJc w:val="left"/>
      <w:pPr>
        <w:ind w:left="6348" w:hanging="193"/>
      </w:pPr>
      <w:rPr>
        <w:rFonts w:hint="default"/>
        <w:lang w:val="es-ES" w:eastAsia="es-ES" w:bidi="es-ES"/>
      </w:rPr>
    </w:lvl>
  </w:abstractNum>
  <w:abstractNum w:abstractNumId="48">
    <w:multiLevelType w:val="hybridMultilevel"/>
    <w:lvl w:ilvl="0">
      <w:start w:val="4"/>
      <w:numFmt w:val="upperRoman"/>
      <w:lvlText w:val="%1."/>
      <w:lvlJc w:val="left"/>
      <w:pPr>
        <w:ind w:left="454" w:hanging="304"/>
        <w:jc w:val="left"/>
      </w:pPr>
      <w:rPr>
        <w:rFonts w:hint="default" w:ascii="Arial" w:hAnsi="Arial" w:eastAsia="Arial" w:cs="Arial"/>
        <w:w w:val="102"/>
        <w:sz w:val="15"/>
        <w:szCs w:val="15"/>
        <w:lang w:val="es-ES" w:eastAsia="es-ES" w:bidi="es-ES"/>
      </w:rPr>
    </w:lvl>
    <w:lvl w:ilvl="1">
      <w:start w:val="3"/>
      <w:numFmt w:val="upperRoman"/>
      <w:lvlText w:val="%2."/>
      <w:lvlJc w:val="left"/>
      <w:pPr>
        <w:ind w:left="151" w:hanging="227"/>
        <w:jc w:val="left"/>
      </w:pPr>
      <w:rPr>
        <w:rFonts w:hint="default" w:ascii="Arial" w:hAnsi="Arial" w:eastAsia="Arial" w:cs="Arial"/>
        <w:w w:val="102"/>
        <w:sz w:val="15"/>
        <w:szCs w:val="15"/>
        <w:lang w:val="es-ES" w:eastAsia="es-ES" w:bidi="es-ES"/>
      </w:rPr>
    </w:lvl>
    <w:lvl w:ilvl="2">
      <w:start w:val="0"/>
      <w:numFmt w:val="bullet"/>
      <w:lvlText w:val="•"/>
      <w:lvlJc w:val="left"/>
      <w:pPr>
        <w:ind w:left="-28" w:hanging="227"/>
      </w:pPr>
      <w:rPr>
        <w:rFonts w:hint="default"/>
        <w:lang w:val="es-ES" w:eastAsia="es-ES" w:bidi="es-ES"/>
      </w:rPr>
    </w:lvl>
    <w:lvl w:ilvl="3">
      <w:start w:val="0"/>
      <w:numFmt w:val="bullet"/>
      <w:lvlText w:val="•"/>
      <w:lvlJc w:val="left"/>
      <w:pPr>
        <w:ind w:left="-516" w:hanging="227"/>
      </w:pPr>
      <w:rPr>
        <w:rFonts w:hint="default"/>
        <w:lang w:val="es-ES" w:eastAsia="es-ES" w:bidi="es-ES"/>
      </w:rPr>
    </w:lvl>
    <w:lvl w:ilvl="4">
      <w:start w:val="0"/>
      <w:numFmt w:val="bullet"/>
      <w:lvlText w:val="•"/>
      <w:lvlJc w:val="left"/>
      <w:pPr>
        <w:ind w:left="-1004" w:hanging="227"/>
      </w:pPr>
      <w:rPr>
        <w:rFonts w:hint="default"/>
        <w:lang w:val="es-ES" w:eastAsia="es-ES" w:bidi="es-ES"/>
      </w:rPr>
    </w:lvl>
    <w:lvl w:ilvl="5">
      <w:start w:val="0"/>
      <w:numFmt w:val="bullet"/>
      <w:lvlText w:val="•"/>
      <w:lvlJc w:val="left"/>
      <w:pPr>
        <w:ind w:left="-1492" w:hanging="227"/>
      </w:pPr>
      <w:rPr>
        <w:rFonts w:hint="default"/>
        <w:lang w:val="es-ES" w:eastAsia="es-ES" w:bidi="es-ES"/>
      </w:rPr>
    </w:lvl>
    <w:lvl w:ilvl="6">
      <w:start w:val="0"/>
      <w:numFmt w:val="bullet"/>
      <w:lvlText w:val="•"/>
      <w:lvlJc w:val="left"/>
      <w:pPr>
        <w:ind w:left="-1980" w:hanging="227"/>
      </w:pPr>
      <w:rPr>
        <w:rFonts w:hint="default"/>
        <w:lang w:val="es-ES" w:eastAsia="es-ES" w:bidi="es-ES"/>
      </w:rPr>
    </w:lvl>
    <w:lvl w:ilvl="7">
      <w:start w:val="0"/>
      <w:numFmt w:val="bullet"/>
      <w:lvlText w:val="•"/>
      <w:lvlJc w:val="left"/>
      <w:pPr>
        <w:ind w:left="-2467" w:hanging="227"/>
      </w:pPr>
      <w:rPr>
        <w:rFonts w:hint="default"/>
        <w:lang w:val="es-ES" w:eastAsia="es-ES" w:bidi="es-ES"/>
      </w:rPr>
    </w:lvl>
    <w:lvl w:ilvl="8">
      <w:start w:val="0"/>
      <w:numFmt w:val="bullet"/>
      <w:lvlText w:val="•"/>
      <w:lvlJc w:val="left"/>
      <w:pPr>
        <w:ind w:left="-2955" w:hanging="227"/>
      </w:pPr>
      <w:rPr>
        <w:rFonts w:hint="default"/>
        <w:lang w:val="es-ES" w:eastAsia="es-ES" w:bidi="es-ES"/>
      </w:rPr>
    </w:lvl>
  </w:abstractNum>
  <w:abstractNum w:abstractNumId="47">
    <w:multiLevelType w:val="hybridMultilevel"/>
    <w:lvl w:ilvl="0">
      <w:start w:val="5"/>
      <w:numFmt w:val="upperRoman"/>
      <w:lvlText w:val="%1."/>
      <w:lvlJc w:val="left"/>
      <w:pPr>
        <w:ind w:left="400" w:hanging="174"/>
        <w:jc w:val="left"/>
      </w:pPr>
      <w:rPr>
        <w:rFonts w:hint="default" w:ascii="Arial" w:hAnsi="Arial" w:eastAsia="Arial" w:cs="Arial"/>
        <w:spacing w:val="-15"/>
        <w:w w:val="102"/>
        <w:sz w:val="15"/>
        <w:szCs w:val="15"/>
        <w:lang w:val="es-ES" w:eastAsia="es-ES" w:bidi="es-ES"/>
      </w:rPr>
    </w:lvl>
    <w:lvl w:ilvl="1">
      <w:start w:val="0"/>
      <w:numFmt w:val="bullet"/>
      <w:lvlText w:val="•"/>
      <w:lvlJc w:val="left"/>
      <w:pPr>
        <w:ind w:left="400" w:hanging="174"/>
      </w:pPr>
      <w:rPr>
        <w:rFonts w:hint="default"/>
        <w:lang w:val="es-ES" w:eastAsia="es-ES" w:bidi="es-ES"/>
      </w:rPr>
    </w:lvl>
    <w:lvl w:ilvl="2">
      <w:start w:val="0"/>
      <w:numFmt w:val="bullet"/>
      <w:lvlText w:val="•"/>
      <w:lvlJc w:val="left"/>
      <w:pPr>
        <w:ind w:left="1262" w:hanging="174"/>
      </w:pPr>
      <w:rPr>
        <w:rFonts w:hint="default"/>
        <w:lang w:val="es-ES" w:eastAsia="es-ES" w:bidi="es-ES"/>
      </w:rPr>
    </w:lvl>
    <w:lvl w:ilvl="3">
      <w:start w:val="0"/>
      <w:numFmt w:val="bullet"/>
      <w:lvlText w:val="•"/>
      <w:lvlJc w:val="left"/>
      <w:pPr>
        <w:ind w:left="2124" w:hanging="174"/>
      </w:pPr>
      <w:rPr>
        <w:rFonts w:hint="default"/>
        <w:lang w:val="es-ES" w:eastAsia="es-ES" w:bidi="es-ES"/>
      </w:rPr>
    </w:lvl>
    <w:lvl w:ilvl="4">
      <w:start w:val="0"/>
      <w:numFmt w:val="bullet"/>
      <w:lvlText w:val="•"/>
      <w:lvlJc w:val="left"/>
      <w:pPr>
        <w:ind w:left="2987" w:hanging="174"/>
      </w:pPr>
      <w:rPr>
        <w:rFonts w:hint="default"/>
        <w:lang w:val="es-ES" w:eastAsia="es-ES" w:bidi="es-ES"/>
      </w:rPr>
    </w:lvl>
    <w:lvl w:ilvl="5">
      <w:start w:val="0"/>
      <w:numFmt w:val="bullet"/>
      <w:lvlText w:val="•"/>
      <w:lvlJc w:val="left"/>
      <w:pPr>
        <w:ind w:left="3849" w:hanging="174"/>
      </w:pPr>
      <w:rPr>
        <w:rFonts w:hint="default"/>
        <w:lang w:val="es-ES" w:eastAsia="es-ES" w:bidi="es-ES"/>
      </w:rPr>
    </w:lvl>
    <w:lvl w:ilvl="6">
      <w:start w:val="0"/>
      <w:numFmt w:val="bullet"/>
      <w:lvlText w:val="•"/>
      <w:lvlJc w:val="left"/>
      <w:pPr>
        <w:ind w:left="4712" w:hanging="174"/>
      </w:pPr>
      <w:rPr>
        <w:rFonts w:hint="default"/>
        <w:lang w:val="es-ES" w:eastAsia="es-ES" w:bidi="es-ES"/>
      </w:rPr>
    </w:lvl>
    <w:lvl w:ilvl="7">
      <w:start w:val="0"/>
      <w:numFmt w:val="bullet"/>
      <w:lvlText w:val="•"/>
      <w:lvlJc w:val="left"/>
      <w:pPr>
        <w:ind w:left="5574" w:hanging="174"/>
      </w:pPr>
      <w:rPr>
        <w:rFonts w:hint="default"/>
        <w:lang w:val="es-ES" w:eastAsia="es-ES" w:bidi="es-ES"/>
      </w:rPr>
    </w:lvl>
    <w:lvl w:ilvl="8">
      <w:start w:val="0"/>
      <w:numFmt w:val="bullet"/>
      <w:lvlText w:val="•"/>
      <w:lvlJc w:val="left"/>
      <w:pPr>
        <w:ind w:left="6437" w:hanging="174"/>
      </w:pPr>
      <w:rPr>
        <w:rFonts w:hint="default"/>
        <w:lang w:val="es-ES" w:eastAsia="es-ES" w:bidi="es-ES"/>
      </w:rPr>
    </w:lvl>
  </w:abstractNum>
  <w:abstractNum w:abstractNumId="46">
    <w:multiLevelType w:val="hybridMultilevel"/>
    <w:lvl w:ilvl="0">
      <w:start w:val="1"/>
      <w:numFmt w:val="upperRoman"/>
      <w:lvlText w:val="%1."/>
      <w:lvlJc w:val="left"/>
      <w:pPr>
        <w:ind w:left="430" w:hanging="129"/>
        <w:jc w:val="left"/>
      </w:pPr>
      <w:rPr>
        <w:rFonts w:hint="default" w:ascii="Arial" w:hAnsi="Arial" w:eastAsia="Arial" w:cs="Arial"/>
        <w:w w:val="102"/>
        <w:sz w:val="15"/>
        <w:szCs w:val="15"/>
        <w:lang w:val="es-ES" w:eastAsia="es-ES" w:bidi="es-ES"/>
      </w:rPr>
    </w:lvl>
    <w:lvl w:ilvl="1">
      <w:start w:val="0"/>
      <w:numFmt w:val="bullet"/>
      <w:lvlText w:val="•"/>
      <w:lvlJc w:val="left"/>
      <w:pPr>
        <w:ind w:left="1225" w:hanging="129"/>
      </w:pPr>
      <w:rPr>
        <w:rFonts w:hint="default"/>
        <w:lang w:val="es-ES" w:eastAsia="es-ES" w:bidi="es-ES"/>
      </w:rPr>
    </w:lvl>
    <w:lvl w:ilvl="2">
      <w:start w:val="0"/>
      <w:numFmt w:val="bullet"/>
      <w:lvlText w:val="•"/>
      <w:lvlJc w:val="left"/>
      <w:pPr>
        <w:ind w:left="2011" w:hanging="129"/>
      </w:pPr>
      <w:rPr>
        <w:rFonts w:hint="default"/>
        <w:lang w:val="es-ES" w:eastAsia="es-ES" w:bidi="es-ES"/>
      </w:rPr>
    </w:lvl>
    <w:lvl w:ilvl="3">
      <w:start w:val="0"/>
      <w:numFmt w:val="bullet"/>
      <w:lvlText w:val="•"/>
      <w:lvlJc w:val="left"/>
      <w:pPr>
        <w:ind w:left="2797" w:hanging="129"/>
      </w:pPr>
      <w:rPr>
        <w:rFonts w:hint="default"/>
        <w:lang w:val="es-ES" w:eastAsia="es-ES" w:bidi="es-ES"/>
      </w:rPr>
    </w:lvl>
    <w:lvl w:ilvl="4">
      <w:start w:val="0"/>
      <w:numFmt w:val="bullet"/>
      <w:lvlText w:val="•"/>
      <w:lvlJc w:val="left"/>
      <w:pPr>
        <w:ind w:left="3582" w:hanging="129"/>
      </w:pPr>
      <w:rPr>
        <w:rFonts w:hint="default"/>
        <w:lang w:val="es-ES" w:eastAsia="es-ES" w:bidi="es-ES"/>
      </w:rPr>
    </w:lvl>
    <w:lvl w:ilvl="5">
      <w:start w:val="0"/>
      <w:numFmt w:val="bullet"/>
      <w:lvlText w:val="•"/>
      <w:lvlJc w:val="left"/>
      <w:pPr>
        <w:ind w:left="4368" w:hanging="129"/>
      </w:pPr>
      <w:rPr>
        <w:rFonts w:hint="default"/>
        <w:lang w:val="es-ES" w:eastAsia="es-ES" w:bidi="es-ES"/>
      </w:rPr>
    </w:lvl>
    <w:lvl w:ilvl="6">
      <w:start w:val="0"/>
      <w:numFmt w:val="bullet"/>
      <w:lvlText w:val="•"/>
      <w:lvlJc w:val="left"/>
      <w:pPr>
        <w:ind w:left="5154" w:hanging="129"/>
      </w:pPr>
      <w:rPr>
        <w:rFonts w:hint="default"/>
        <w:lang w:val="es-ES" w:eastAsia="es-ES" w:bidi="es-ES"/>
      </w:rPr>
    </w:lvl>
    <w:lvl w:ilvl="7">
      <w:start w:val="0"/>
      <w:numFmt w:val="bullet"/>
      <w:lvlText w:val="•"/>
      <w:lvlJc w:val="left"/>
      <w:pPr>
        <w:ind w:left="5939" w:hanging="129"/>
      </w:pPr>
      <w:rPr>
        <w:rFonts w:hint="default"/>
        <w:lang w:val="es-ES" w:eastAsia="es-ES" w:bidi="es-ES"/>
      </w:rPr>
    </w:lvl>
    <w:lvl w:ilvl="8">
      <w:start w:val="0"/>
      <w:numFmt w:val="bullet"/>
      <w:lvlText w:val="•"/>
      <w:lvlJc w:val="left"/>
      <w:pPr>
        <w:ind w:left="6725" w:hanging="129"/>
      </w:pPr>
      <w:rPr>
        <w:rFonts w:hint="default"/>
        <w:lang w:val="es-ES" w:eastAsia="es-ES" w:bidi="es-ES"/>
      </w:rPr>
    </w:lvl>
  </w:abstractNum>
  <w:abstractNum w:abstractNumId="45">
    <w:multiLevelType w:val="hybridMultilevel"/>
    <w:lvl w:ilvl="0">
      <w:start w:val="1"/>
      <w:numFmt w:val="upperRoman"/>
      <w:lvlText w:val="%1."/>
      <w:lvlJc w:val="left"/>
      <w:pPr>
        <w:ind w:left="226" w:hanging="164"/>
        <w:jc w:val="left"/>
      </w:pPr>
      <w:rPr>
        <w:rFonts w:hint="default" w:ascii="Arial" w:hAnsi="Arial" w:eastAsia="Arial" w:cs="Arial"/>
        <w:w w:val="102"/>
        <w:sz w:val="15"/>
        <w:szCs w:val="15"/>
        <w:lang w:val="es-ES" w:eastAsia="es-ES" w:bidi="es-ES"/>
      </w:rPr>
    </w:lvl>
    <w:lvl w:ilvl="1">
      <w:start w:val="0"/>
      <w:numFmt w:val="bullet"/>
      <w:lvlText w:val="•"/>
      <w:lvlJc w:val="left"/>
      <w:pPr>
        <w:ind w:left="654" w:hanging="164"/>
      </w:pPr>
      <w:rPr>
        <w:rFonts w:hint="default"/>
        <w:lang w:val="es-ES" w:eastAsia="es-ES" w:bidi="es-ES"/>
      </w:rPr>
    </w:lvl>
    <w:lvl w:ilvl="2">
      <w:start w:val="0"/>
      <w:numFmt w:val="bullet"/>
      <w:lvlText w:val="•"/>
      <w:lvlJc w:val="left"/>
      <w:pPr>
        <w:ind w:left="1088" w:hanging="164"/>
      </w:pPr>
      <w:rPr>
        <w:rFonts w:hint="default"/>
        <w:lang w:val="es-ES" w:eastAsia="es-ES" w:bidi="es-ES"/>
      </w:rPr>
    </w:lvl>
    <w:lvl w:ilvl="3">
      <w:start w:val="0"/>
      <w:numFmt w:val="bullet"/>
      <w:lvlText w:val="•"/>
      <w:lvlJc w:val="left"/>
      <w:pPr>
        <w:ind w:left="1522" w:hanging="164"/>
      </w:pPr>
      <w:rPr>
        <w:rFonts w:hint="default"/>
        <w:lang w:val="es-ES" w:eastAsia="es-ES" w:bidi="es-ES"/>
      </w:rPr>
    </w:lvl>
    <w:lvl w:ilvl="4">
      <w:start w:val="0"/>
      <w:numFmt w:val="bullet"/>
      <w:lvlText w:val="•"/>
      <w:lvlJc w:val="left"/>
      <w:pPr>
        <w:ind w:left="1957" w:hanging="164"/>
      </w:pPr>
      <w:rPr>
        <w:rFonts w:hint="default"/>
        <w:lang w:val="es-ES" w:eastAsia="es-ES" w:bidi="es-ES"/>
      </w:rPr>
    </w:lvl>
    <w:lvl w:ilvl="5">
      <w:start w:val="0"/>
      <w:numFmt w:val="bullet"/>
      <w:lvlText w:val="•"/>
      <w:lvlJc w:val="left"/>
      <w:pPr>
        <w:ind w:left="2391" w:hanging="164"/>
      </w:pPr>
      <w:rPr>
        <w:rFonts w:hint="default"/>
        <w:lang w:val="es-ES" w:eastAsia="es-ES" w:bidi="es-ES"/>
      </w:rPr>
    </w:lvl>
    <w:lvl w:ilvl="6">
      <w:start w:val="0"/>
      <w:numFmt w:val="bullet"/>
      <w:lvlText w:val="•"/>
      <w:lvlJc w:val="left"/>
      <w:pPr>
        <w:ind w:left="2825" w:hanging="164"/>
      </w:pPr>
      <w:rPr>
        <w:rFonts w:hint="default"/>
        <w:lang w:val="es-ES" w:eastAsia="es-ES" w:bidi="es-ES"/>
      </w:rPr>
    </w:lvl>
    <w:lvl w:ilvl="7">
      <w:start w:val="0"/>
      <w:numFmt w:val="bullet"/>
      <w:lvlText w:val="•"/>
      <w:lvlJc w:val="left"/>
      <w:pPr>
        <w:ind w:left="3260" w:hanging="164"/>
      </w:pPr>
      <w:rPr>
        <w:rFonts w:hint="default"/>
        <w:lang w:val="es-ES" w:eastAsia="es-ES" w:bidi="es-ES"/>
      </w:rPr>
    </w:lvl>
    <w:lvl w:ilvl="8">
      <w:start w:val="0"/>
      <w:numFmt w:val="bullet"/>
      <w:lvlText w:val="•"/>
      <w:lvlJc w:val="left"/>
      <w:pPr>
        <w:ind w:left="3694" w:hanging="164"/>
      </w:pPr>
      <w:rPr>
        <w:rFonts w:hint="default"/>
        <w:lang w:val="es-ES" w:eastAsia="es-ES" w:bidi="es-ES"/>
      </w:rPr>
    </w:lvl>
  </w:abstractNum>
  <w:abstractNum w:abstractNumId="44">
    <w:multiLevelType w:val="hybridMultilevel"/>
    <w:lvl w:ilvl="0">
      <w:start w:val="1"/>
      <w:numFmt w:val="upperRoman"/>
      <w:lvlText w:val="%1."/>
      <w:lvlJc w:val="left"/>
      <w:pPr>
        <w:ind w:left="226" w:hanging="147"/>
        <w:jc w:val="left"/>
      </w:pPr>
      <w:rPr>
        <w:rFonts w:hint="default" w:ascii="Arial" w:hAnsi="Arial" w:eastAsia="Arial" w:cs="Arial"/>
        <w:w w:val="102"/>
        <w:sz w:val="15"/>
        <w:szCs w:val="15"/>
        <w:lang w:val="es-ES" w:eastAsia="es-ES" w:bidi="es-ES"/>
      </w:rPr>
    </w:lvl>
    <w:lvl w:ilvl="1">
      <w:start w:val="0"/>
      <w:numFmt w:val="bullet"/>
      <w:lvlText w:val="•"/>
      <w:lvlJc w:val="left"/>
      <w:pPr>
        <w:ind w:left="1020" w:hanging="147"/>
      </w:pPr>
      <w:rPr>
        <w:rFonts w:hint="default"/>
        <w:lang w:val="es-ES" w:eastAsia="es-ES" w:bidi="es-ES"/>
      </w:rPr>
    </w:lvl>
    <w:lvl w:ilvl="2">
      <w:start w:val="0"/>
      <w:numFmt w:val="bullet"/>
      <w:lvlText w:val="•"/>
      <w:lvlJc w:val="left"/>
      <w:pPr>
        <w:ind w:left="1820" w:hanging="147"/>
      </w:pPr>
      <w:rPr>
        <w:rFonts w:hint="default"/>
        <w:lang w:val="es-ES" w:eastAsia="es-ES" w:bidi="es-ES"/>
      </w:rPr>
    </w:lvl>
    <w:lvl w:ilvl="3">
      <w:start w:val="0"/>
      <w:numFmt w:val="bullet"/>
      <w:lvlText w:val="•"/>
      <w:lvlJc w:val="left"/>
      <w:pPr>
        <w:ind w:left="2620" w:hanging="147"/>
      </w:pPr>
      <w:rPr>
        <w:rFonts w:hint="default"/>
        <w:lang w:val="es-ES" w:eastAsia="es-ES" w:bidi="es-ES"/>
      </w:rPr>
    </w:lvl>
    <w:lvl w:ilvl="4">
      <w:start w:val="0"/>
      <w:numFmt w:val="bullet"/>
      <w:lvlText w:val="•"/>
      <w:lvlJc w:val="left"/>
      <w:pPr>
        <w:ind w:left="3420" w:hanging="147"/>
      </w:pPr>
      <w:rPr>
        <w:rFonts w:hint="default"/>
        <w:lang w:val="es-ES" w:eastAsia="es-ES" w:bidi="es-ES"/>
      </w:rPr>
    </w:lvl>
    <w:lvl w:ilvl="5">
      <w:start w:val="0"/>
      <w:numFmt w:val="bullet"/>
      <w:lvlText w:val="•"/>
      <w:lvlJc w:val="left"/>
      <w:pPr>
        <w:ind w:left="4220" w:hanging="147"/>
      </w:pPr>
      <w:rPr>
        <w:rFonts w:hint="default"/>
        <w:lang w:val="es-ES" w:eastAsia="es-ES" w:bidi="es-ES"/>
      </w:rPr>
    </w:lvl>
    <w:lvl w:ilvl="6">
      <w:start w:val="0"/>
      <w:numFmt w:val="bullet"/>
      <w:lvlText w:val="•"/>
      <w:lvlJc w:val="left"/>
      <w:pPr>
        <w:ind w:left="5020" w:hanging="147"/>
      </w:pPr>
      <w:rPr>
        <w:rFonts w:hint="default"/>
        <w:lang w:val="es-ES" w:eastAsia="es-ES" w:bidi="es-ES"/>
      </w:rPr>
    </w:lvl>
    <w:lvl w:ilvl="7">
      <w:start w:val="0"/>
      <w:numFmt w:val="bullet"/>
      <w:lvlText w:val="•"/>
      <w:lvlJc w:val="left"/>
      <w:pPr>
        <w:ind w:left="5820" w:hanging="147"/>
      </w:pPr>
      <w:rPr>
        <w:rFonts w:hint="default"/>
        <w:lang w:val="es-ES" w:eastAsia="es-ES" w:bidi="es-ES"/>
      </w:rPr>
    </w:lvl>
    <w:lvl w:ilvl="8">
      <w:start w:val="0"/>
      <w:numFmt w:val="bullet"/>
      <w:lvlText w:val="•"/>
      <w:lvlJc w:val="left"/>
      <w:pPr>
        <w:ind w:left="6621" w:hanging="147"/>
      </w:pPr>
      <w:rPr>
        <w:rFonts w:hint="default"/>
        <w:lang w:val="es-ES" w:eastAsia="es-ES" w:bidi="es-ES"/>
      </w:rPr>
    </w:lvl>
  </w:abstractNum>
  <w:abstractNum w:abstractNumId="43">
    <w:multiLevelType w:val="hybridMultilevel"/>
    <w:lvl w:ilvl="0">
      <w:start w:val="1"/>
      <w:numFmt w:val="upperRoman"/>
      <w:lvlText w:val="%1."/>
      <w:lvlJc w:val="left"/>
      <w:pPr>
        <w:ind w:left="355" w:hanging="129"/>
        <w:jc w:val="left"/>
      </w:pPr>
      <w:rPr>
        <w:rFonts w:hint="default" w:ascii="Arial" w:hAnsi="Arial" w:eastAsia="Arial" w:cs="Arial"/>
        <w:w w:val="102"/>
        <w:sz w:val="15"/>
        <w:szCs w:val="15"/>
        <w:lang w:val="es-ES" w:eastAsia="es-ES" w:bidi="es-ES"/>
      </w:rPr>
    </w:lvl>
    <w:lvl w:ilvl="1">
      <w:start w:val="0"/>
      <w:numFmt w:val="bullet"/>
      <w:lvlText w:val="•"/>
      <w:lvlJc w:val="left"/>
      <w:pPr>
        <w:ind w:left="1099" w:hanging="129"/>
      </w:pPr>
      <w:rPr>
        <w:rFonts w:hint="default"/>
        <w:lang w:val="es-ES" w:eastAsia="es-ES" w:bidi="es-ES"/>
      </w:rPr>
    </w:lvl>
    <w:lvl w:ilvl="2">
      <w:start w:val="0"/>
      <w:numFmt w:val="bullet"/>
      <w:lvlText w:val="•"/>
      <w:lvlJc w:val="left"/>
      <w:pPr>
        <w:ind w:left="1838" w:hanging="129"/>
      </w:pPr>
      <w:rPr>
        <w:rFonts w:hint="default"/>
        <w:lang w:val="es-ES" w:eastAsia="es-ES" w:bidi="es-ES"/>
      </w:rPr>
    </w:lvl>
    <w:lvl w:ilvl="3">
      <w:start w:val="0"/>
      <w:numFmt w:val="bullet"/>
      <w:lvlText w:val="•"/>
      <w:lvlJc w:val="left"/>
      <w:pPr>
        <w:ind w:left="2577" w:hanging="129"/>
      </w:pPr>
      <w:rPr>
        <w:rFonts w:hint="default"/>
        <w:lang w:val="es-ES" w:eastAsia="es-ES" w:bidi="es-ES"/>
      </w:rPr>
    </w:lvl>
    <w:lvl w:ilvl="4">
      <w:start w:val="0"/>
      <w:numFmt w:val="bullet"/>
      <w:lvlText w:val="•"/>
      <w:lvlJc w:val="left"/>
      <w:pPr>
        <w:ind w:left="3316" w:hanging="129"/>
      </w:pPr>
      <w:rPr>
        <w:rFonts w:hint="default"/>
        <w:lang w:val="es-ES" w:eastAsia="es-ES" w:bidi="es-ES"/>
      </w:rPr>
    </w:lvl>
    <w:lvl w:ilvl="5">
      <w:start w:val="0"/>
      <w:numFmt w:val="bullet"/>
      <w:lvlText w:val="•"/>
      <w:lvlJc w:val="left"/>
      <w:pPr>
        <w:ind w:left="4055" w:hanging="129"/>
      </w:pPr>
      <w:rPr>
        <w:rFonts w:hint="default"/>
        <w:lang w:val="es-ES" w:eastAsia="es-ES" w:bidi="es-ES"/>
      </w:rPr>
    </w:lvl>
    <w:lvl w:ilvl="6">
      <w:start w:val="0"/>
      <w:numFmt w:val="bullet"/>
      <w:lvlText w:val="•"/>
      <w:lvlJc w:val="left"/>
      <w:pPr>
        <w:ind w:left="4794" w:hanging="129"/>
      </w:pPr>
      <w:rPr>
        <w:rFonts w:hint="default"/>
        <w:lang w:val="es-ES" w:eastAsia="es-ES" w:bidi="es-ES"/>
      </w:rPr>
    </w:lvl>
    <w:lvl w:ilvl="7">
      <w:start w:val="0"/>
      <w:numFmt w:val="bullet"/>
      <w:lvlText w:val="•"/>
      <w:lvlJc w:val="left"/>
      <w:pPr>
        <w:ind w:left="5534" w:hanging="129"/>
      </w:pPr>
      <w:rPr>
        <w:rFonts w:hint="default"/>
        <w:lang w:val="es-ES" w:eastAsia="es-ES" w:bidi="es-ES"/>
      </w:rPr>
    </w:lvl>
    <w:lvl w:ilvl="8">
      <w:start w:val="0"/>
      <w:numFmt w:val="bullet"/>
      <w:lvlText w:val="•"/>
      <w:lvlJc w:val="left"/>
      <w:pPr>
        <w:ind w:left="6273" w:hanging="129"/>
      </w:pPr>
      <w:rPr>
        <w:rFonts w:hint="default"/>
        <w:lang w:val="es-ES" w:eastAsia="es-ES" w:bidi="es-ES"/>
      </w:rPr>
    </w:lvl>
  </w:abstractNum>
  <w:abstractNum w:abstractNumId="42">
    <w:multiLevelType w:val="hybridMultilevel"/>
    <w:lvl w:ilvl="0">
      <w:start w:val="1"/>
      <w:numFmt w:val="upperRoman"/>
      <w:lvlText w:val="%1."/>
      <w:lvlJc w:val="left"/>
      <w:pPr>
        <w:ind w:left="355" w:hanging="129"/>
        <w:jc w:val="left"/>
      </w:pPr>
      <w:rPr>
        <w:rFonts w:hint="default" w:ascii="Arial" w:hAnsi="Arial" w:eastAsia="Arial" w:cs="Arial"/>
        <w:w w:val="102"/>
        <w:sz w:val="15"/>
        <w:szCs w:val="15"/>
        <w:lang w:val="es-ES" w:eastAsia="es-ES" w:bidi="es-ES"/>
      </w:rPr>
    </w:lvl>
    <w:lvl w:ilvl="1">
      <w:start w:val="0"/>
      <w:numFmt w:val="bullet"/>
      <w:lvlText w:val="•"/>
      <w:lvlJc w:val="left"/>
      <w:pPr>
        <w:ind w:left="1146" w:hanging="129"/>
      </w:pPr>
      <w:rPr>
        <w:rFonts w:hint="default"/>
        <w:lang w:val="es-ES" w:eastAsia="es-ES" w:bidi="es-ES"/>
      </w:rPr>
    </w:lvl>
    <w:lvl w:ilvl="2">
      <w:start w:val="0"/>
      <w:numFmt w:val="bullet"/>
      <w:lvlText w:val="•"/>
      <w:lvlJc w:val="left"/>
      <w:pPr>
        <w:ind w:left="1932" w:hanging="129"/>
      </w:pPr>
      <w:rPr>
        <w:rFonts w:hint="default"/>
        <w:lang w:val="es-ES" w:eastAsia="es-ES" w:bidi="es-ES"/>
      </w:rPr>
    </w:lvl>
    <w:lvl w:ilvl="3">
      <w:start w:val="0"/>
      <w:numFmt w:val="bullet"/>
      <w:lvlText w:val="•"/>
      <w:lvlJc w:val="left"/>
      <w:pPr>
        <w:ind w:left="2718" w:hanging="129"/>
      </w:pPr>
      <w:rPr>
        <w:rFonts w:hint="default"/>
        <w:lang w:val="es-ES" w:eastAsia="es-ES" w:bidi="es-ES"/>
      </w:rPr>
    </w:lvl>
    <w:lvl w:ilvl="4">
      <w:start w:val="0"/>
      <w:numFmt w:val="bullet"/>
      <w:lvlText w:val="•"/>
      <w:lvlJc w:val="left"/>
      <w:pPr>
        <w:ind w:left="3504" w:hanging="129"/>
      </w:pPr>
      <w:rPr>
        <w:rFonts w:hint="default"/>
        <w:lang w:val="es-ES" w:eastAsia="es-ES" w:bidi="es-ES"/>
      </w:rPr>
    </w:lvl>
    <w:lvl w:ilvl="5">
      <w:start w:val="0"/>
      <w:numFmt w:val="bullet"/>
      <w:lvlText w:val="•"/>
      <w:lvlJc w:val="left"/>
      <w:pPr>
        <w:ind w:left="4290" w:hanging="129"/>
      </w:pPr>
      <w:rPr>
        <w:rFonts w:hint="default"/>
        <w:lang w:val="es-ES" w:eastAsia="es-ES" w:bidi="es-ES"/>
      </w:rPr>
    </w:lvl>
    <w:lvl w:ilvl="6">
      <w:start w:val="0"/>
      <w:numFmt w:val="bullet"/>
      <w:lvlText w:val="•"/>
      <w:lvlJc w:val="left"/>
      <w:pPr>
        <w:ind w:left="5077" w:hanging="129"/>
      </w:pPr>
      <w:rPr>
        <w:rFonts w:hint="default"/>
        <w:lang w:val="es-ES" w:eastAsia="es-ES" w:bidi="es-ES"/>
      </w:rPr>
    </w:lvl>
    <w:lvl w:ilvl="7">
      <w:start w:val="0"/>
      <w:numFmt w:val="bullet"/>
      <w:lvlText w:val="•"/>
      <w:lvlJc w:val="left"/>
      <w:pPr>
        <w:ind w:left="5863" w:hanging="129"/>
      </w:pPr>
      <w:rPr>
        <w:rFonts w:hint="default"/>
        <w:lang w:val="es-ES" w:eastAsia="es-ES" w:bidi="es-ES"/>
      </w:rPr>
    </w:lvl>
    <w:lvl w:ilvl="8">
      <w:start w:val="0"/>
      <w:numFmt w:val="bullet"/>
      <w:lvlText w:val="•"/>
      <w:lvlJc w:val="left"/>
      <w:pPr>
        <w:ind w:left="6649" w:hanging="129"/>
      </w:pPr>
      <w:rPr>
        <w:rFonts w:hint="default"/>
        <w:lang w:val="es-ES" w:eastAsia="es-ES" w:bidi="es-ES"/>
      </w:rPr>
    </w:lvl>
  </w:abstractNum>
  <w:abstractNum w:abstractNumId="41">
    <w:multiLevelType w:val="hybridMultilevel"/>
    <w:lvl w:ilvl="0">
      <w:start w:val="1"/>
      <w:numFmt w:val="decimal"/>
      <w:lvlText w:val="%1."/>
      <w:lvlJc w:val="left"/>
      <w:pPr>
        <w:ind w:left="395" w:hanging="169"/>
        <w:jc w:val="left"/>
      </w:pPr>
      <w:rPr>
        <w:rFonts w:hint="default" w:ascii="Arial" w:hAnsi="Arial" w:eastAsia="Arial" w:cs="Arial"/>
        <w:w w:val="102"/>
        <w:sz w:val="15"/>
        <w:szCs w:val="15"/>
        <w:lang w:val="es-ES" w:eastAsia="es-ES" w:bidi="es-ES"/>
      </w:rPr>
    </w:lvl>
    <w:lvl w:ilvl="1">
      <w:start w:val="0"/>
      <w:numFmt w:val="bullet"/>
      <w:lvlText w:val="•"/>
      <w:lvlJc w:val="left"/>
      <w:pPr>
        <w:ind w:left="1182" w:hanging="169"/>
      </w:pPr>
      <w:rPr>
        <w:rFonts w:hint="default"/>
        <w:lang w:val="es-ES" w:eastAsia="es-ES" w:bidi="es-ES"/>
      </w:rPr>
    </w:lvl>
    <w:lvl w:ilvl="2">
      <w:start w:val="0"/>
      <w:numFmt w:val="bullet"/>
      <w:lvlText w:val="•"/>
      <w:lvlJc w:val="left"/>
      <w:pPr>
        <w:ind w:left="1964" w:hanging="169"/>
      </w:pPr>
      <w:rPr>
        <w:rFonts w:hint="default"/>
        <w:lang w:val="es-ES" w:eastAsia="es-ES" w:bidi="es-ES"/>
      </w:rPr>
    </w:lvl>
    <w:lvl w:ilvl="3">
      <w:start w:val="0"/>
      <w:numFmt w:val="bullet"/>
      <w:lvlText w:val="•"/>
      <w:lvlJc w:val="left"/>
      <w:pPr>
        <w:ind w:left="2746" w:hanging="169"/>
      </w:pPr>
      <w:rPr>
        <w:rFonts w:hint="default"/>
        <w:lang w:val="es-ES" w:eastAsia="es-ES" w:bidi="es-ES"/>
      </w:rPr>
    </w:lvl>
    <w:lvl w:ilvl="4">
      <w:start w:val="0"/>
      <w:numFmt w:val="bullet"/>
      <w:lvlText w:val="•"/>
      <w:lvlJc w:val="left"/>
      <w:pPr>
        <w:ind w:left="3528" w:hanging="169"/>
      </w:pPr>
      <w:rPr>
        <w:rFonts w:hint="default"/>
        <w:lang w:val="es-ES" w:eastAsia="es-ES" w:bidi="es-ES"/>
      </w:rPr>
    </w:lvl>
    <w:lvl w:ilvl="5">
      <w:start w:val="0"/>
      <w:numFmt w:val="bullet"/>
      <w:lvlText w:val="•"/>
      <w:lvlJc w:val="left"/>
      <w:pPr>
        <w:ind w:left="4310" w:hanging="169"/>
      </w:pPr>
      <w:rPr>
        <w:rFonts w:hint="default"/>
        <w:lang w:val="es-ES" w:eastAsia="es-ES" w:bidi="es-ES"/>
      </w:rPr>
    </w:lvl>
    <w:lvl w:ilvl="6">
      <w:start w:val="0"/>
      <w:numFmt w:val="bullet"/>
      <w:lvlText w:val="•"/>
      <w:lvlJc w:val="left"/>
      <w:pPr>
        <w:ind w:left="5093" w:hanging="169"/>
      </w:pPr>
      <w:rPr>
        <w:rFonts w:hint="default"/>
        <w:lang w:val="es-ES" w:eastAsia="es-ES" w:bidi="es-ES"/>
      </w:rPr>
    </w:lvl>
    <w:lvl w:ilvl="7">
      <w:start w:val="0"/>
      <w:numFmt w:val="bullet"/>
      <w:lvlText w:val="•"/>
      <w:lvlJc w:val="left"/>
      <w:pPr>
        <w:ind w:left="5875" w:hanging="169"/>
      </w:pPr>
      <w:rPr>
        <w:rFonts w:hint="default"/>
        <w:lang w:val="es-ES" w:eastAsia="es-ES" w:bidi="es-ES"/>
      </w:rPr>
    </w:lvl>
    <w:lvl w:ilvl="8">
      <w:start w:val="0"/>
      <w:numFmt w:val="bullet"/>
      <w:lvlText w:val="•"/>
      <w:lvlJc w:val="left"/>
      <w:pPr>
        <w:ind w:left="6657" w:hanging="169"/>
      </w:pPr>
      <w:rPr>
        <w:rFonts w:hint="default"/>
        <w:lang w:val="es-ES" w:eastAsia="es-ES" w:bidi="es-ES"/>
      </w:rPr>
    </w:lvl>
  </w:abstractNum>
  <w:abstractNum w:abstractNumId="40">
    <w:multiLevelType w:val="hybridMultilevel"/>
    <w:lvl w:ilvl="0">
      <w:start w:val="1"/>
      <w:numFmt w:val="lowerLetter"/>
      <w:lvlText w:val="%1)"/>
      <w:lvlJc w:val="left"/>
      <w:pPr>
        <w:ind w:left="403" w:hanging="178"/>
        <w:jc w:val="left"/>
      </w:pPr>
      <w:rPr>
        <w:rFonts w:hint="default" w:ascii="Arial" w:hAnsi="Arial" w:eastAsia="Arial" w:cs="Arial"/>
        <w:w w:val="102"/>
        <w:sz w:val="15"/>
        <w:szCs w:val="15"/>
        <w:lang w:val="es-ES" w:eastAsia="es-ES" w:bidi="es-ES"/>
      </w:rPr>
    </w:lvl>
    <w:lvl w:ilvl="1">
      <w:start w:val="0"/>
      <w:numFmt w:val="bullet"/>
      <w:lvlText w:val="•"/>
      <w:lvlJc w:val="left"/>
      <w:pPr>
        <w:ind w:left="1135" w:hanging="178"/>
      </w:pPr>
      <w:rPr>
        <w:rFonts w:hint="default"/>
        <w:lang w:val="es-ES" w:eastAsia="es-ES" w:bidi="es-ES"/>
      </w:rPr>
    </w:lvl>
    <w:lvl w:ilvl="2">
      <w:start w:val="0"/>
      <w:numFmt w:val="bullet"/>
      <w:lvlText w:val="•"/>
      <w:lvlJc w:val="left"/>
      <w:pPr>
        <w:ind w:left="1870" w:hanging="178"/>
      </w:pPr>
      <w:rPr>
        <w:rFonts w:hint="default"/>
        <w:lang w:val="es-ES" w:eastAsia="es-ES" w:bidi="es-ES"/>
      </w:rPr>
    </w:lvl>
    <w:lvl w:ilvl="3">
      <w:start w:val="0"/>
      <w:numFmt w:val="bullet"/>
      <w:lvlText w:val="•"/>
      <w:lvlJc w:val="left"/>
      <w:pPr>
        <w:ind w:left="2605" w:hanging="178"/>
      </w:pPr>
      <w:rPr>
        <w:rFonts w:hint="default"/>
        <w:lang w:val="es-ES" w:eastAsia="es-ES" w:bidi="es-ES"/>
      </w:rPr>
    </w:lvl>
    <w:lvl w:ilvl="4">
      <w:start w:val="0"/>
      <w:numFmt w:val="bullet"/>
      <w:lvlText w:val="•"/>
      <w:lvlJc w:val="left"/>
      <w:pPr>
        <w:ind w:left="3340" w:hanging="178"/>
      </w:pPr>
      <w:rPr>
        <w:rFonts w:hint="default"/>
        <w:lang w:val="es-ES" w:eastAsia="es-ES" w:bidi="es-ES"/>
      </w:rPr>
    </w:lvl>
    <w:lvl w:ilvl="5">
      <w:start w:val="0"/>
      <w:numFmt w:val="bullet"/>
      <w:lvlText w:val="•"/>
      <w:lvlJc w:val="left"/>
      <w:pPr>
        <w:ind w:left="4075" w:hanging="178"/>
      </w:pPr>
      <w:rPr>
        <w:rFonts w:hint="default"/>
        <w:lang w:val="es-ES" w:eastAsia="es-ES" w:bidi="es-ES"/>
      </w:rPr>
    </w:lvl>
    <w:lvl w:ilvl="6">
      <w:start w:val="0"/>
      <w:numFmt w:val="bullet"/>
      <w:lvlText w:val="•"/>
      <w:lvlJc w:val="left"/>
      <w:pPr>
        <w:ind w:left="4810" w:hanging="178"/>
      </w:pPr>
      <w:rPr>
        <w:rFonts w:hint="default"/>
        <w:lang w:val="es-ES" w:eastAsia="es-ES" w:bidi="es-ES"/>
      </w:rPr>
    </w:lvl>
    <w:lvl w:ilvl="7">
      <w:start w:val="0"/>
      <w:numFmt w:val="bullet"/>
      <w:lvlText w:val="•"/>
      <w:lvlJc w:val="left"/>
      <w:pPr>
        <w:ind w:left="5545" w:hanging="178"/>
      </w:pPr>
      <w:rPr>
        <w:rFonts w:hint="default"/>
        <w:lang w:val="es-ES" w:eastAsia="es-ES" w:bidi="es-ES"/>
      </w:rPr>
    </w:lvl>
    <w:lvl w:ilvl="8">
      <w:start w:val="0"/>
      <w:numFmt w:val="bullet"/>
      <w:lvlText w:val="•"/>
      <w:lvlJc w:val="left"/>
      <w:pPr>
        <w:ind w:left="6280" w:hanging="178"/>
      </w:pPr>
      <w:rPr>
        <w:rFonts w:hint="default"/>
        <w:lang w:val="es-ES" w:eastAsia="es-ES" w:bidi="es-ES"/>
      </w:rPr>
    </w:lvl>
  </w:abstractNum>
  <w:abstractNum w:abstractNumId="39">
    <w:multiLevelType w:val="hybridMultilevel"/>
    <w:lvl w:ilvl="0">
      <w:start w:val="2"/>
      <w:numFmt w:val="upperRoman"/>
      <w:lvlText w:val="%1."/>
      <w:lvlJc w:val="left"/>
      <w:pPr>
        <w:ind w:left="421" w:hanging="172"/>
        <w:jc w:val="left"/>
      </w:pPr>
      <w:rPr>
        <w:rFonts w:hint="default" w:ascii="Arial" w:hAnsi="Arial" w:eastAsia="Arial" w:cs="Arial"/>
        <w:w w:val="102"/>
        <w:sz w:val="15"/>
        <w:szCs w:val="15"/>
        <w:lang w:val="es-ES" w:eastAsia="es-ES" w:bidi="es-ES"/>
      </w:rPr>
    </w:lvl>
    <w:lvl w:ilvl="1">
      <w:start w:val="0"/>
      <w:numFmt w:val="bullet"/>
      <w:lvlText w:val="•"/>
      <w:lvlJc w:val="left"/>
      <w:pPr>
        <w:ind w:left="1153" w:hanging="172"/>
      </w:pPr>
      <w:rPr>
        <w:rFonts w:hint="default"/>
        <w:lang w:val="es-ES" w:eastAsia="es-ES" w:bidi="es-ES"/>
      </w:rPr>
    </w:lvl>
    <w:lvl w:ilvl="2">
      <w:start w:val="0"/>
      <w:numFmt w:val="bullet"/>
      <w:lvlText w:val="•"/>
      <w:lvlJc w:val="left"/>
      <w:pPr>
        <w:ind w:left="1886" w:hanging="172"/>
      </w:pPr>
      <w:rPr>
        <w:rFonts w:hint="default"/>
        <w:lang w:val="es-ES" w:eastAsia="es-ES" w:bidi="es-ES"/>
      </w:rPr>
    </w:lvl>
    <w:lvl w:ilvl="3">
      <w:start w:val="0"/>
      <w:numFmt w:val="bullet"/>
      <w:lvlText w:val="•"/>
      <w:lvlJc w:val="left"/>
      <w:pPr>
        <w:ind w:left="2619" w:hanging="172"/>
      </w:pPr>
      <w:rPr>
        <w:rFonts w:hint="default"/>
        <w:lang w:val="es-ES" w:eastAsia="es-ES" w:bidi="es-ES"/>
      </w:rPr>
    </w:lvl>
    <w:lvl w:ilvl="4">
      <w:start w:val="0"/>
      <w:numFmt w:val="bullet"/>
      <w:lvlText w:val="•"/>
      <w:lvlJc w:val="left"/>
      <w:pPr>
        <w:ind w:left="3352" w:hanging="172"/>
      </w:pPr>
      <w:rPr>
        <w:rFonts w:hint="default"/>
        <w:lang w:val="es-ES" w:eastAsia="es-ES" w:bidi="es-ES"/>
      </w:rPr>
    </w:lvl>
    <w:lvl w:ilvl="5">
      <w:start w:val="0"/>
      <w:numFmt w:val="bullet"/>
      <w:lvlText w:val="•"/>
      <w:lvlJc w:val="left"/>
      <w:pPr>
        <w:ind w:left="4085" w:hanging="172"/>
      </w:pPr>
      <w:rPr>
        <w:rFonts w:hint="default"/>
        <w:lang w:val="es-ES" w:eastAsia="es-ES" w:bidi="es-ES"/>
      </w:rPr>
    </w:lvl>
    <w:lvl w:ilvl="6">
      <w:start w:val="0"/>
      <w:numFmt w:val="bullet"/>
      <w:lvlText w:val="•"/>
      <w:lvlJc w:val="left"/>
      <w:pPr>
        <w:ind w:left="4818" w:hanging="172"/>
      </w:pPr>
      <w:rPr>
        <w:rFonts w:hint="default"/>
        <w:lang w:val="es-ES" w:eastAsia="es-ES" w:bidi="es-ES"/>
      </w:rPr>
    </w:lvl>
    <w:lvl w:ilvl="7">
      <w:start w:val="0"/>
      <w:numFmt w:val="bullet"/>
      <w:lvlText w:val="•"/>
      <w:lvlJc w:val="left"/>
      <w:pPr>
        <w:ind w:left="5551" w:hanging="172"/>
      </w:pPr>
      <w:rPr>
        <w:rFonts w:hint="default"/>
        <w:lang w:val="es-ES" w:eastAsia="es-ES" w:bidi="es-ES"/>
      </w:rPr>
    </w:lvl>
    <w:lvl w:ilvl="8">
      <w:start w:val="0"/>
      <w:numFmt w:val="bullet"/>
      <w:lvlText w:val="•"/>
      <w:lvlJc w:val="left"/>
      <w:pPr>
        <w:ind w:left="6284" w:hanging="172"/>
      </w:pPr>
      <w:rPr>
        <w:rFonts w:hint="default"/>
        <w:lang w:val="es-ES" w:eastAsia="es-ES" w:bidi="es-ES"/>
      </w:rPr>
    </w:lvl>
  </w:abstractNum>
  <w:abstractNum w:abstractNumId="38">
    <w:multiLevelType w:val="hybridMultilevel"/>
    <w:lvl w:ilvl="0">
      <w:start w:val="1"/>
      <w:numFmt w:val="lowerLetter"/>
      <w:lvlText w:val="%1)"/>
      <w:lvlJc w:val="left"/>
      <w:pPr>
        <w:ind w:left="226" w:hanging="197"/>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1020" w:hanging="197"/>
      </w:pPr>
      <w:rPr>
        <w:rFonts w:hint="default"/>
        <w:lang w:val="es-ES" w:eastAsia="es-ES" w:bidi="es-ES"/>
      </w:rPr>
    </w:lvl>
    <w:lvl w:ilvl="2">
      <w:start w:val="0"/>
      <w:numFmt w:val="bullet"/>
      <w:lvlText w:val="•"/>
      <w:lvlJc w:val="left"/>
      <w:pPr>
        <w:ind w:left="1820" w:hanging="197"/>
      </w:pPr>
      <w:rPr>
        <w:rFonts w:hint="default"/>
        <w:lang w:val="es-ES" w:eastAsia="es-ES" w:bidi="es-ES"/>
      </w:rPr>
    </w:lvl>
    <w:lvl w:ilvl="3">
      <w:start w:val="0"/>
      <w:numFmt w:val="bullet"/>
      <w:lvlText w:val="•"/>
      <w:lvlJc w:val="left"/>
      <w:pPr>
        <w:ind w:left="2620" w:hanging="197"/>
      </w:pPr>
      <w:rPr>
        <w:rFonts w:hint="default"/>
        <w:lang w:val="es-ES" w:eastAsia="es-ES" w:bidi="es-ES"/>
      </w:rPr>
    </w:lvl>
    <w:lvl w:ilvl="4">
      <w:start w:val="0"/>
      <w:numFmt w:val="bullet"/>
      <w:lvlText w:val="•"/>
      <w:lvlJc w:val="left"/>
      <w:pPr>
        <w:ind w:left="3420" w:hanging="197"/>
      </w:pPr>
      <w:rPr>
        <w:rFonts w:hint="default"/>
        <w:lang w:val="es-ES" w:eastAsia="es-ES" w:bidi="es-ES"/>
      </w:rPr>
    </w:lvl>
    <w:lvl w:ilvl="5">
      <w:start w:val="0"/>
      <w:numFmt w:val="bullet"/>
      <w:lvlText w:val="•"/>
      <w:lvlJc w:val="left"/>
      <w:pPr>
        <w:ind w:left="4220" w:hanging="197"/>
      </w:pPr>
      <w:rPr>
        <w:rFonts w:hint="default"/>
        <w:lang w:val="es-ES" w:eastAsia="es-ES" w:bidi="es-ES"/>
      </w:rPr>
    </w:lvl>
    <w:lvl w:ilvl="6">
      <w:start w:val="0"/>
      <w:numFmt w:val="bullet"/>
      <w:lvlText w:val="•"/>
      <w:lvlJc w:val="left"/>
      <w:pPr>
        <w:ind w:left="5021" w:hanging="197"/>
      </w:pPr>
      <w:rPr>
        <w:rFonts w:hint="default"/>
        <w:lang w:val="es-ES" w:eastAsia="es-ES" w:bidi="es-ES"/>
      </w:rPr>
    </w:lvl>
    <w:lvl w:ilvl="7">
      <w:start w:val="0"/>
      <w:numFmt w:val="bullet"/>
      <w:lvlText w:val="•"/>
      <w:lvlJc w:val="left"/>
      <w:pPr>
        <w:ind w:left="5821" w:hanging="197"/>
      </w:pPr>
      <w:rPr>
        <w:rFonts w:hint="default"/>
        <w:lang w:val="es-ES" w:eastAsia="es-ES" w:bidi="es-ES"/>
      </w:rPr>
    </w:lvl>
    <w:lvl w:ilvl="8">
      <w:start w:val="0"/>
      <w:numFmt w:val="bullet"/>
      <w:lvlText w:val="•"/>
      <w:lvlJc w:val="left"/>
      <w:pPr>
        <w:ind w:left="6621" w:hanging="197"/>
      </w:pPr>
      <w:rPr>
        <w:rFonts w:hint="default"/>
        <w:lang w:val="es-ES" w:eastAsia="es-ES" w:bidi="es-ES"/>
      </w:rPr>
    </w:lvl>
  </w:abstractNum>
  <w:abstractNum w:abstractNumId="37">
    <w:multiLevelType w:val="hybridMultilevel"/>
    <w:lvl w:ilvl="0">
      <w:start w:val="6"/>
      <w:numFmt w:val="upperRoman"/>
      <w:lvlText w:val="%1."/>
      <w:lvlJc w:val="left"/>
      <w:pPr>
        <w:ind w:left="530" w:hanging="304"/>
        <w:jc w:val="right"/>
      </w:pPr>
      <w:rPr>
        <w:rFonts w:hint="default" w:ascii="Arial" w:hAnsi="Arial" w:eastAsia="Arial" w:cs="Arial"/>
        <w:w w:val="102"/>
        <w:sz w:val="15"/>
        <w:szCs w:val="15"/>
        <w:lang w:val="es-ES" w:eastAsia="es-ES" w:bidi="es-ES"/>
      </w:rPr>
    </w:lvl>
    <w:lvl w:ilvl="1">
      <w:start w:val="0"/>
      <w:numFmt w:val="bullet"/>
      <w:lvlText w:val="•"/>
      <w:lvlJc w:val="left"/>
      <w:pPr>
        <w:ind w:left="1308" w:hanging="304"/>
      </w:pPr>
      <w:rPr>
        <w:rFonts w:hint="default"/>
        <w:lang w:val="es-ES" w:eastAsia="es-ES" w:bidi="es-ES"/>
      </w:rPr>
    </w:lvl>
    <w:lvl w:ilvl="2">
      <w:start w:val="0"/>
      <w:numFmt w:val="bullet"/>
      <w:lvlText w:val="•"/>
      <w:lvlJc w:val="left"/>
      <w:pPr>
        <w:ind w:left="2076" w:hanging="304"/>
      </w:pPr>
      <w:rPr>
        <w:rFonts w:hint="default"/>
        <w:lang w:val="es-ES" w:eastAsia="es-ES" w:bidi="es-ES"/>
      </w:rPr>
    </w:lvl>
    <w:lvl w:ilvl="3">
      <w:start w:val="0"/>
      <w:numFmt w:val="bullet"/>
      <w:lvlText w:val="•"/>
      <w:lvlJc w:val="left"/>
      <w:pPr>
        <w:ind w:left="2844" w:hanging="304"/>
      </w:pPr>
      <w:rPr>
        <w:rFonts w:hint="default"/>
        <w:lang w:val="es-ES" w:eastAsia="es-ES" w:bidi="es-ES"/>
      </w:rPr>
    </w:lvl>
    <w:lvl w:ilvl="4">
      <w:start w:val="0"/>
      <w:numFmt w:val="bullet"/>
      <w:lvlText w:val="•"/>
      <w:lvlJc w:val="left"/>
      <w:pPr>
        <w:ind w:left="3612" w:hanging="304"/>
      </w:pPr>
      <w:rPr>
        <w:rFonts w:hint="default"/>
        <w:lang w:val="es-ES" w:eastAsia="es-ES" w:bidi="es-ES"/>
      </w:rPr>
    </w:lvl>
    <w:lvl w:ilvl="5">
      <w:start w:val="0"/>
      <w:numFmt w:val="bullet"/>
      <w:lvlText w:val="•"/>
      <w:lvlJc w:val="left"/>
      <w:pPr>
        <w:ind w:left="4380" w:hanging="304"/>
      </w:pPr>
      <w:rPr>
        <w:rFonts w:hint="default"/>
        <w:lang w:val="es-ES" w:eastAsia="es-ES" w:bidi="es-ES"/>
      </w:rPr>
    </w:lvl>
    <w:lvl w:ilvl="6">
      <w:start w:val="0"/>
      <w:numFmt w:val="bullet"/>
      <w:lvlText w:val="•"/>
      <w:lvlJc w:val="left"/>
      <w:pPr>
        <w:ind w:left="5149" w:hanging="304"/>
      </w:pPr>
      <w:rPr>
        <w:rFonts w:hint="default"/>
        <w:lang w:val="es-ES" w:eastAsia="es-ES" w:bidi="es-ES"/>
      </w:rPr>
    </w:lvl>
    <w:lvl w:ilvl="7">
      <w:start w:val="0"/>
      <w:numFmt w:val="bullet"/>
      <w:lvlText w:val="•"/>
      <w:lvlJc w:val="left"/>
      <w:pPr>
        <w:ind w:left="5917" w:hanging="304"/>
      </w:pPr>
      <w:rPr>
        <w:rFonts w:hint="default"/>
        <w:lang w:val="es-ES" w:eastAsia="es-ES" w:bidi="es-ES"/>
      </w:rPr>
    </w:lvl>
    <w:lvl w:ilvl="8">
      <w:start w:val="0"/>
      <w:numFmt w:val="bullet"/>
      <w:lvlText w:val="•"/>
      <w:lvlJc w:val="left"/>
      <w:pPr>
        <w:ind w:left="6685" w:hanging="304"/>
      </w:pPr>
      <w:rPr>
        <w:rFonts w:hint="default"/>
        <w:lang w:val="es-ES" w:eastAsia="es-ES" w:bidi="es-ES"/>
      </w:rPr>
    </w:lvl>
  </w:abstractNum>
  <w:abstractNum w:abstractNumId="36">
    <w:multiLevelType w:val="hybridMultilevel"/>
    <w:lvl w:ilvl="0">
      <w:start w:val="1"/>
      <w:numFmt w:val="lowerLetter"/>
      <w:lvlText w:val="%1)"/>
      <w:lvlJc w:val="left"/>
      <w:pPr>
        <w:ind w:left="416" w:hanging="190"/>
        <w:jc w:val="left"/>
      </w:pPr>
      <w:rPr>
        <w:rFonts w:hint="default" w:ascii="Arial" w:hAnsi="Arial" w:eastAsia="Arial" w:cs="Arial"/>
        <w:w w:val="102"/>
        <w:sz w:val="15"/>
        <w:szCs w:val="15"/>
        <w:lang w:val="es-ES" w:eastAsia="es-ES" w:bidi="es-ES"/>
      </w:rPr>
    </w:lvl>
    <w:lvl w:ilvl="1">
      <w:start w:val="0"/>
      <w:numFmt w:val="bullet"/>
      <w:lvlText w:val="•"/>
      <w:lvlJc w:val="left"/>
      <w:pPr>
        <w:ind w:left="1153" w:hanging="190"/>
      </w:pPr>
      <w:rPr>
        <w:rFonts w:hint="default"/>
        <w:lang w:val="es-ES" w:eastAsia="es-ES" w:bidi="es-ES"/>
      </w:rPr>
    </w:lvl>
    <w:lvl w:ilvl="2">
      <w:start w:val="0"/>
      <w:numFmt w:val="bullet"/>
      <w:lvlText w:val="•"/>
      <w:lvlJc w:val="left"/>
      <w:pPr>
        <w:ind w:left="1886" w:hanging="190"/>
      </w:pPr>
      <w:rPr>
        <w:rFonts w:hint="default"/>
        <w:lang w:val="es-ES" w:eastAsia="es-ES" w:bidi="es-ES"/>
      </w:rPr>
    </w:lvl>
    <w:lvl w:ilvl="3">
      <w:start w:val="0"/>
      <w:numFmt w:val="bullet"/>
      <w:lvlText w:val="•"/>
      <w:lvlJc w:val="left"/>
      <w:pPr>
        <w:ind w:left="2619" w:hanging="190"/>
      </w:pPr>
      <w:rPr>
        <w:rFonts w:hint="default"/>
        <w:lang w:val="es-ES" w:eastAsia="es-ES" w:bidi="es-ES"/>
      </w:rPr>
    </w:lvl>
    <w:lvl w:ilvl="4">
      <w:start w:val="0"/>
      <w:numFmt w:val="bullet"/>
      <w:lvlText w:val="•"/>
      <w:lvlJc w:val="left"/>
      <w:pPr>
        <w:ind w:left="3352" w:hanging="190"/>
      </w:pPr>
      <w:rPr>
        <w:rFonts w:hint="default"/>
        <w:lang w:val="es-ES" w:eastAsia="es-ES" w:bidi="es-ES"/>
      </w:rPr>
    </w:lvl>
    <w:lvl w:ilvl="5">
      <w:start w:val="0"/>
      <w:numFmt w:val="bullet"/>
      <w:lvlText w:val="•"/>
      <w:lvlJc w:val="left"/>
      <w:pPr>
        <w:ind w:left="4085" w:hanging="190"/>
      </w:pPr>
      <w:rPr>
        <w:rFonts w:hint="default"/>
        <w:lang w:val="es-ES" w:eastAsia="es-ES" w:bidi="es-ES"/>
      </w:rPr>
    </w:lvl>
    <w:lvl w:ilvl="6">
      <w:start w:val="0"/>
      <w:numFmt w:val="bullet"/>
      <w:lvlText w:val="•"/>
      <w:lvlJc w:val="left"/>
      <w:pPr>
        <w:ind w:left="4818" w:hanging="190"/>
      </w:pPr>
      <w:rPr>
        <w:rFonts w:hint="default"/>
        <w:lang w:val="es-ES" w:eastAsia="es-ES" w:bidi="es-ES"/>
      </w:rPr>
    </w:lvl>
    <w:lvl w:ilvl="7">
      <w:start w:val="0"/>
      <w:numFmt w:val="bullet"/>
      <w:lvlText w:val="•"/>
      <w:lvlJc w:val="left"/>
      <w:pPr>
        <w:ind w:left="5551" w:hanging="190"/>
      </w:pPr>
      <w:rPr>
        <w:rFonts w:hint="default"/>
        <w:lang w:val="es-ES" w:eastAsia="es-ES" w:bidi="es-ES"/>
      </w:rPr>
    </w:lvl>
    <w:lvl w:ilvl="8">
      <w:start w:val="0"/>
      <w:numFmt w:val="bullet"/>
      <w:lvlText w:val="•"/>
      <w:lvlJc w:val="left"/>
      <w:pPr>
        <w:ind w:left="6284" w:hanging="190"/>
      </w:pPr>
      <w:rPr>
        <w:rFonts w:hint="default"/>
        <w:lang w:val="es-ES" w:eastAsia="es-ES" w:bidi="es-ES"/>
      </w:rPr>
    </w:lvl>
  </w:abstractNum>
  <w:abstractNum w:abstractNumId="35">
    <w:multiLevelType w:val="hybridMultilevel"/>
    <w:lvl w:ilvl="0">
      <w:start w:val="1"/>
      <w:numFmt w:val="lowerLetter"/>
      <w:lvlText w:val="%1)"/>
      <w:lvlJc w:val="left"/>
      <w:pPr>
        <w:ind w:left="406"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35" w:hanging="180"/>
      </w:pPr>
      <w:rPr>
        <w:rFonts w:hint="default"/>
        <w:lang w:val="es-ES" w:eastAsia="es-ES" w:bidi="es-ES"/>
      </w:rPr>
    </w:lvl>
    <w:lvl w:ilvl="2">
      <w:start w:val="0"/>
      <w:numFmt w:val="bullet"/>
      <w:lvlText w:val="•"/>
      <w:lvlJc w:val="left"/>
      <w:pPr>
        <w:ind w:left="1870" w:hanging="180"/>
      </w:pPr>
      <w:rPr>
        <w:rFonts w:hint="default"/>
        <w:lang w:val="es-ES" w:eastAsia="es-ES" w:bidi="es-ES"/>
      </w:rPr>
    </w:lvl>
    <w:lvl w:ilvl="3">
      <w:start w:val="0"/>
      <w:numFmt w:val="bullet"/>
      <w:lvlText w:val="•"/>
      <w:lvlJc w:val="left"/>
      <w:pPr>
        <w:ind w:left="2605" w:hanging="180"/>
      </w:pPr>
      <w:rPr>
        <w:rFonts w:hint="default"/>
        <w:lang w:val="es-ES" w:eastAsia="es-ES" w:bidi="es-ES"/>
      </w:rPr>
    </w:lvl>
    <w:lvl w:ilvl="4">
      <w:start w:val="0"/>
      <w:numFmt w:val="bullet"/>
      <w:lvlText w:val="•"/>
      <w:lvlJc w:val="left"/>
      <w:pPr>
        <w:ind w:left="3340" w:hanging="180"/>
      </w:pPr>
      <w:rPr>
        <w:rFonts w:hint="default"/>
        <w:lang w:val="es-ES" w:eastAsia="es-ES" w:bidi="es-ES"/>
      </w:rPr>
    </w:lvl>
    <w:lvl w:ilvl="5">
      <w:start w:val="0"/>
      <w:numFmt w:val="bullet"/>
      <w:lvlText w:val="•"/>
      <w:lvlJc w:val="left"/>
      <w:pPr>
        <w:ind w:left="4075" w:hanging="180"/>
      </w:pPr>
      <w:rPr>
        <w:rFonts w:hint="default"/>
        <w:lang w:val="es-ES" w:eastAsia="es-ES" w:bidi="es-ES"/>
      </w:rPr>
    </w:lvl>
    <w:lvl w:ilvl="6">
      <w:start w:val="0"/>
      <w:numFmt w:val="bullet"/>
      <w:lvlText w:val="•"/>
      <w:lvlJc w:val="left"/>
      <w:pPr>
        <w:ind w:left="4810" w:hanging="180"/>
      </w:pPr>
      <w:rPr>
        <w:rFonts w:hint="default"/>
        <w:lang w:val="es-ES" w:eastAsia="es-ES" w:bidi="es-ES"/>
      </w:rPr>
    </w:lvl>
    <w:lvl w:ilvl="7">
      <w:start w:val="0"/>
      <w:numFmt w:val="bullet"/>
      <w:lvlText w:val="•"/>
      <w:lvlJc w:val="left"/>
      <w:pPr>
        <w:ind w:left="5545" w:hanging="180"/>
      </w:pPr>
      <w:rPr>
        <w:rFonts w:hint="default"/>
        <w:lang w:val="es-ES" w:eastAsia="es-ES" w:bidi="es-ES"/>
      </w:rPr>
    </w:lvl>
    <w:lvl w:ilvl="8">
      <w:start w:val="0"/>
      <w:numFmt w:val="bullet"/>
      <w:lvlText w:val="•"/>
      <w:lvlJc w:val="left"/>
      <w:pPr>
        <w:ind w:left="6280" w:hanging="180"/>
      </w:pPr>
      <w:rPr>
        <w:rFonts w:hint="default"/>
        <w:lang w:val="es-ES" w:eastAsia="es-ES" w:bidi="es-ES"/>
      </w:rPr>
    </w:lvl>
  </w:abstractNum>
  <w:abstractNum w:abstractNumId="34">
    <w:multiLevelType w:val="hybridMultilevel"/>
    <w:lvl w:ilvl="0">
      <w:start w:val="1"/>
      <w:numFmt w:val="lowerLetter"/>
      <w:lvlText w:val="%1)"/>
      <w:lvlJc w:val="left"/>
      <w:pPr>
        <w:ind w:left="406"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82" w:hanging="180"/>
      </w:pPr>
      <w:rPr>
        <w:rFonts w:hint="default"/>
        <w:lang w:val="es-ES" w:eastAsia="es-ES" w:bidi="es-ES"/>
      </w:rPr>
    </w:lvl>
    <w:lvl w:ilvl="2">
      <w:start w:val="0"/>
      <w:numFmt w:val="bullet"/>
      <w:lvlText w:val="•"/>
      <w:lvlJc w:val="left"/>
      <w:pPr>
        <w:ind w:left="1964" w:hanging="180"/>
      </w:pPr>
      <w:rPr>
        <w:rFonts w:hint="default"/>
        <w:lang w:val="es-ES" w:eastAsia="es-ES" w:bidi="es-ES"/>
      </w:rPr>
    </w:lvl>
    <w:lvl w:ilvl="3">
      <w:start w:val="0"/>
      <w:numFmt w:val="bullet"/>
      <w:lvlText w:val="•"/>
      <w:lvlJc w:val="left"/>
      <w:pPr>
        <w:ind w:left="2746" w:hanging="180"/>
      </w:pPr>
      <w:rPr>
        <w:rFonts w:hint="default"/>
        <w:lang w:val="es-ES" w:eastAsia="es-ES" w:bidi="es-ES"/>
      </w:rPr>
    </w:lvl>
    <w:lvl w:ilvl="4">
      <w:start w:val="0"/>
      <w:numFmt w:val="bullet"/>
      <w:lvlText w:val="•"/>
      <w:lvlJc w:val="left"/>
      <w:pPr>
        <w:ind w:left="3528" w:hanging="180"/>
      </w:pPr>
      <w:rPr>
        <w:rFonts w:hint="default"/>
        <w:lang w:val="es-ES" w:eastAsia="es-ES" w:bidi="es-ES"/>
      </w:rPr>
    </w:lvl>
    <w:lvl w:ilvl="5">
      <w:start w:val="0"/>
      <w:numFmt w:val="bullet"/>
      <w:lvlText w:val="•"/>
      <w:lvlJc w:val="left"/>
      <w:pPr>
        <w:ind w:left="4310" w:hanging="180"/>
      </w:pPr>
      <w:rPr>
        <w:rFonts w:hint="default"/>
        <w:lang w:val="es-ES" w:eastAsia="es-ES" w:bidi="es-ES"/>
      </w:rPr>
    </w:lvl>
    <w:lvl w:ilvl="6">
      <w:start w:val="0"/>
      <w:numFmt w:val="bullet"/>
      <w:lvlText w:val="•"/>
      <w:lvlJc w:val="left"/>
      <w:pPr>
        <w:ind w:left="5093" w:hanging="180"/>
      </w:pPr>
      <w:rPr>
        <w:rFonts w:hint="default"/>
        <w:lang w:val="es-ES" w:eastAsia="es-ES" w:bidi="es-ES"/>
      </w:rPr>
    </w:lvl>
    <w:lvl w:ilvl="7">
      <w:start w:val="0"/>
      <w:numFmt w:val="bullet"/>
      <w:lvlText w:val="•"/>
      <w:lvlJc w:val="left"/>
      <w:pPr>
        <w:ind w:left="5875" w:hanging="180"/>
      </w:pPr>
      <w:rPr>
        <w:rFonts w:hint="default"/>
        <w:lang w:val="es-ES" w:eastAsia="es-ES" w:bidi="es-ES"/>
      </w:rPr>
    </w:lvl>
    <w:lvl w:ilvl="8">
      <w:start w:val="0"/>
      <w:numFmt w:val="bullet"/>
      <w:lvlText w:val="•"/>
      <w:lvlJc w:val="left"/>
      <w:pPr>
        <w:ind w:left="6657" w:hanging="180"/>
      </w:pPr>
      <w:rPr>
        <w:rFonts w:hint="default"/>
        <w:lang w:val="es-ES" w:eastAsia="es-ES" w:bidi="es-ES"/>
      </w:rPr>
    </w:lvl>
  </w:abstractNum>
  <w:abstractNum w:abstractNumId="33">
    <w:multiLevelType w:val="hybridMultilevel"/>
    <w:lvl w:ilvl="0">
      <w:start w:val="1"/>
      <w:numFmt w:val="lowerLetter"/>
      <w:lvlText w:val="%1)"/>
      <w:lvlJc w:val="left"/>
      <w:pPr>
        <w:ind w:left="406" w:hanging="180"/>
        <w:jc w:val="left"/>
      </w:pPr>
      <w:rPr>
        <w:rFonts w:hint="default" w:ascii="Arial" w:hAnsi="Arial" w:eastAsia="Arial" w:cs="Arial"/>
        <w:w w:val="102"/>
        <w:sz w:val="15"/>
        <w:szCs w:val="15"/>
        <w:lang w:val="es-ES" w:eastAsia="es-ES" w:bidi="es-ES"/>
      </w:rPr>
    </w:lvl>
    <w:lvl w:ilvl="1">
      <w:start w:val="0"/>
      <w:numFmt w:val="bullet"/>
      <w:lvlText w:val="•"/>
      <w:lvlJc w:val="left"/>
      <w:pPr>
        <w:ind w:left="758" w:hanging="180"/>
      </w:pPr>
      <w:rPr>
        <w:rFonts w:hint="default"/>
        <w:lang w:val="es-ES" w:eastAsia="es-ES" w:bidi="es-ES"/>
      </w:rPr>
    </w:lvl>
    <w:lvl w:ilvl="2">
      <w:start w:val="0"/>
      <w:numFmt w:val="bullet"/>
      <w:lvlText w:val="•"/>
      <w:lvlJc w:val="left"/>
      <w:pPr>
        <w:ind w:left="1117" w:hanging="180"/>
      </w:pPr>
      <w:rPr>
        <w:rFonts w:hint="default"/>
        <w:lang w:val="es-ES" w:eastAsia="es-ES" w:bidi="es-ES"/>
      </w:rPr>
    </w:lvl>
    <w:lvl w:ilvl="3">
      <w:start w:val="0"/>
      <w:numFmt w:val="bullet"/>
      <w:lvlText w:val="•"/>
      <w:lvlJc w:val="left"/>
      <w:pPr>
        <w:ind w:left="1475" w:hanging="180"/>
      </w:pPr>
      <w:rPr>
        <w:rFonts w:hint="default"/>
        <w:lang w:val="es-ES" w:eastAsia="es-ES" w:bidi="es-ES"/>
      </w:rPr>
    </w:lvl>
    <w:lvl w:ilvl="4">
      <w:start w:val="0"/>
      <w:numFmt w:val="bullet"/>
      <w:lvlText w:val="•"/>
      <w:lvlJc w:val="left"/>
      <w:pPr>
        <w:ind w:left="1834" w:hanging="180"/>
      </w:pPr>
      <w:rPr>
        <w:rFonts w:hint="default"/>
        <w:lang w:val="es-ES" w:eastAsia="es-ES" w:bidi="es-ES"/>
      </w:rPr>
    </w:lvl>
    <w:lvl w:ilvl="5">
      <w:start w:val="0"/>
      <w:numFmt w:val="bullet"/>
      <w:lvlText w:val="•"/>
      <w:lvlJc w:val="left"/>
      <w:pPr>
        <w:ind w:left="2193" w:hanging="180"/>
      </w:pPr>
      <w:rPr>
        <w:rFonts w:hint="default"/>
        <w:lang w:val="es-ES" w:eastAsia="es-ES" w:bidi="es-ES"/>
      </w:rPr>
    </w:lvl>
    <w:lvl w:ilvl="6">
      <w:start w:val="0"/>
      <w:numFmt w:val="bullet"/>
      <w:lvlText w:val="•"/>
      <w:lvlJc w:val="left"/>
      <w:pPr>
        <w:ind w:left="2551" w:hanging="180"/>
      </w:pPr>
      <w:rPr>
        <w:rFonts w:hint="default"/>
        <w:lang w:val="es-ES" w:eastAsia="es-ES" w:bidi="es-ES"/>
      </w:rPr>
    </w:lvl>
    <w:lvl w:ilvl="7">
      <w:start w:val="0"/>
      <w:numFmt w:val="bullet"/>
      <w:lvlText w:val="•"/>
      <w:lvlJc w:val="left"/>
      <w:pPr>
        <w:ind w:left="2910" w:hanging="180"/>
      </w:pPr>
      <w:rPr>
        <w:rFonts w:hint="default"/>
        <w:lang w:val="es-ES" w:eastAsia="es-ES" w:bidi="es-ES"/>
      </w:rPr>
    </w:lvl>
    <w:lvl w:ilvl="8">
      <w:start w:val="0"/>
      <w:numFmt w:val="bullet"/>
      <w:lvlText w:val="•"/>
      <w:lvlJc w:val="left"/>
      <w:pPr>
        <w:ind w:left="3268" w:hanging="180"/>
      </w:pPr>
      <w:rPr>
        <w:rFonts w:hint="default"/>
        <w:lang w:val="es-ES" w:eastAsia="es-ES" w:bidi="es-ES"/>
      </w:rPr>
    </w:lvl>
  </w:abstractNum>
  <w:abstractNum w:abstractNumId="32">
    <w:multiLevelType w:val="hybridMultilevel"/>
    <w:lvl w:ilvl="0">
      <w:start w:val="1"/>
      <w:numFmt w:val="lowerLetter"/>
      <w:lvlText w:val="%1)"/>
      <w:lvlJc w:val="left"/>
      <w:pPr>
        <w:ind w:left="482" w:hanging="180"/>
        <w:jc w:val="left"/>
      </w:pPr>
      <w:rPr>
        <w:rFonts w:hint="default" w:ascii="Arial" w:hAnsi="Arial" w:eastAsia="Arial" w:cs="Arial"/>
        <w:w w:val="102"/>
        <w:sz w:val="15"/>
        <w:szCs w:val="15"/>
        <w:lang w:val="es-ES" w:eastAsia="es-ES" w:bidi="es-ES"/>
      </w:rPr>
    </w:lvl>
    <w:lvl w:ilvl="1">
      <w:start w:val="0"/>
      <w:numFmt w:val="bullet"/>
      <w:lvlText w:val="•"/>
      <w:lvlJc w:val="left"/>
      <w:pPr>
        <w:ind w:left="1261" w:hanging="180"/>
      </w:pPr>
      <w:rPr>
        <w:rFonts w:hint="default"/>
        <w:lang w:val="es-ES" w:eastAsia="es-ES" w:bidi="es-ES"/>
      </w:rPr>
    </w:lvl>
    <w:lvl w:ilvl="2">
      <w:start w:val="0"/>
      <w:numFmt w:val="bullet"/>
      <w:lvlText w:val="•"/>
      <w:lvlJc w:val="left"/>
      <w:pPr>
        <w:ind w:left="2043" w:hanging="180"/>
      </w:pPr>
      <w:rPr>
        <w:rFonts w:hint="default"/>
        <w:lang w:val="es-ES" w:eastAsia="es-ES" w:bidi="es-ES"/>
      </w:rPr>
    </w:lvl>
    <w:lvl w:ilvl="3">
      <w:start w:val="0"/>
      <w:numFmt w:val="bullet"/>
      <w:lvlText w:val="•"/>
      <w:lvlJc w:val="left"/>
      <w:pPr>
        <w:ind w:left="2825" w:hanging="180"/>
      </w:pPr>
      <w:rPr>
        <w:rFonts w:hint="default"/>
        <w:lang w:val="es-ES" w:eastAsia="es-ES" w:bidi="es-ES"/>
      </w:rPr>
    </w:lvl>
    <w:lvl w:ilvl="4">
      <w:start w:val="0"/>
      <w:numFmt w:val="bullet"/>
      <w:lvlText w:val="•"/>
      <w:lvlJc w:val="left"/>
      <w:pPr>
        <w:ind w:left="3606" w:hanging="180"/>
      </w:pPr>
      <w:rPr>
        <w:rFonts w:hint="default"/>
        <w:lang w:val="es-ES" w:eastAsia="es-ES" w:bidi="es-ES"/>
      </w:rPr>
    </w:lvl>
    <w:lvl w:ilvl="5">
      <w:start w:val="0"/>
      <w:numFmt w:val="bullet"/>
      <w:lvlText w:val="•"/>
      <w:lvlJc w:val="left"/>
      <w:pPr>
        <w:ind w:left="4388" w:hanging="180"/>
      </w:pPr>
      <w:rPr>
        <w:rFonts w:hint="default"/>
        <w:lang w:val="es-ES" w:eastAsia="es-ES" w:bidi="es-ES"/>
      </w:rPr>
    </w:lvl>
    <w:lvl w:ilvl="6">
      <w:start w:val="0"/>
      <w:numFmt w:val="bullet"/>
      <w:lvlText w:val="•"/>
      <w:lvlJc w:val="left"/>
      <w:pPr>
        <w:ind w:left="5170" w:hanging="180"/>
      </w:pPr>
      <w:rPr>
        <w:rFonts w:hint="default"/>
        <w:lang w:val="es-ES" w:eastAsia="es-ES" w:bidi="es-ES"/>
      </w:rPr>
    </w:lvl>
    <w:lvl w:ilvl="7">
      <w:start w:val="0"/>
      <w:numFmt w:val="bullet"/>
      <w:lvlText w:val="•"/>
      <w:lvlJc w:val="left"/>
      <w:pPr>
        <w:ind w:left="5952" w:hanging="180"/>
      </w:pPr>
      <w:rPr>
        <w:rFonts w:hint="default"/>
        <w:lang w:val="es-ES" w:eastAsia="es-ES" w:bidi="es-ES"/>
      </w:rPr>
    </w:lvl>
    <w:lvl w:ilvl="8">
      <w:start w:val="0"/>
      <w:numFmt w:val="bullet"/>
      <w:lvlText w:val="•"/>
      <w:lvlJc w:val="left"/>
      <w:pPr>
        <w:ind w:left="6733" w:hanging="180"/>
      </w:pPr>
      <w:rPr>
        <w:rFonts w:hint="default"/>
        <w:lang w:val="es-ES" w:eastAsia="es-ES" w:bidi="es-ES"/>
      </w:rPr>
    </w:lvl>
  </w:abstractNum>
  <w:abstractNum w:abstractNumId="31">
    <w:multiLevelType w:val="hybridMultilevel"/>
    <w:lvl w:ilvl="0">
      <w:start w:val="3"/>
      <w:numFmt w:val="upperRoman"/>
      <w:lvlText w:val="%1."/>
      <w:lvlJc w:val="left"/>
      <w:pPr>
        <w:ind w:left="226" w:hanging="310"/>
        <w:jc w:val="left"/>
      </w:pPr>
      <w:rPr>
        <w:rFonts w:hint="default" w:ascii="Arial" w:hAnsi="Arial" w:eastAsia="Arial" w:cs="Arial"/>
        <w:w w:val="102"/>
        <w:sz w:val="15"/>
        <w:szCs w:val="15"/>
        <w:lang w:val="es-ES" w:eastAsia="es-ES" w:bidi="es-ES"/>
      </w:rPr>
    </w:lvl>
    <w:lvl w:ilvl="1">
      <w:start w:val="0"/>
      <w:numFmt w:val="bullet"/>
      <w:lvlText w:val="•"/>
      <w:lvlJc w:val="left"/>
      <w:pPr>
        <w:ind w:left="972" w:hanging="310"/>
      </w:pPr>
      <w:rPr>
        <w:rFonts w:hint="default"/>
        <w:lang w:val="es-ES" w:eastAsia="es-ES" w:bidi="es-ES"/>
      </w:rPr>
    </w:lvl>
    <w:lvl w:ilvl="2">
      <w:start w:val="0"/>
      <w:numFmt w:val="bullet"/>
      <w:lvlText w:val="•"/>
      <w:lvlJc w:val="left"/>
      <w:pPr>
        <w:ind w:left="1725" w:hanging="310"/>
      </w:pPr>
      <w:rPr>
        <w:rFonts w:hint="default"/>
        <w:lang w:val="es-ES" w:eastAsia="es-ES" w:bidi="es-ES"/>
      </w:rPr>
    </w:lvl>
    <w:lvl w:ilvl="3">
      <w:start w:val="0"/>
      <w:numFmt w:val="bullet"/>
      <w:lvlText w:val="•"/>
      <w:lvlJc w:val="left"/>
      <w:pPr>
        <w:ind w:left="2478" w:hanging="310"/>
      </w:pPr>
      <w:rPr>
        <w:rFonts w:hint="default"/>
        <w:lang w:val="es-ES" w:eastAsia="es-ES" w:bidi="es-ES"/>
      </w:rPr>
    </w:lvl>
    <w:lvl w:ilvl="4">
      <w:start w:val="0"/>
      <w:numFmt w:val="bullet"/>
      <w:lvlText w:val="•"/>
      <w:lvlJc w:val="left"/>
      <w:pPr>
        <w:ind w:left="3231" w:hanging="310"/>
      </w:pPr>
      <w:rPr>
        <w:rFonts w:hint="default"/>
        <w:lang w:val="es-ES" w:eastAsia="es-ES" w:bidi="es-ES"/>
      </w:rPr>
    </w:lvl>
    <w:lvl w:ilvl="5">
      <w:start w:val="0"/>
      <w:numFmt w:val="bullet"/>
      <w:lvlText w:val="•"/>
      <w:lvlJc w:val="left"/>
      <w:pPr>
        <w:ind w:left="3984" w:hanging="310"/>
      </w:pPr>
      <w:rPr>
        <w:rFonts w:hint="default"/>
        <w:lang w:val="es-ES" w:eastAsia="es-ES" w:bidi="es-ES"/>
      </w:rPr>
    </w:lvl>
    <w:lvl w:ilvl="6">
      <w:start w:val="0"/>
      <w:numFmt w:val="bullet"/>
      <w:lvlText w:val="•"/>
      <w:lvlJc w:val="left"/>
      <w:pPr>
        <w:ind w:left="4737" w:hanging="310"/>
      </w:pPr>
      <w:rPr>
        <w:rFonts w:hint="default"/>
        <w:lang w:val="es-ES" w:eastAsia="es-ES" w:bidi="es-ES"/>
      </w:rPr>
    </w:lvl>
    <w:lvl w:ilvl="7">
      <w:start w:val="0"/>
      <w:numFmt w:val="bullet"/>
      <w:lvlText w:val="•"/>
      <w:lvlJc w:val="left"/>
      <w:pPr>
        <w:ind w:left="5490" w:hanging="310"/>
      </w:pPr>
      <w:rPr>
        <w:rFonts w:hint="default"/>
        <w:lang w:val="es-ES" w:eastAsia="es-ES" w:bidi="es-ES"/>
      </w:rPr>
    </w:lvl>
    <w:lvl w:ilvl="8">
      <w:start w:val="0"/>
      <w:numFmt w:val="bullet"/>
      <w:lvlText w:val="•"/>
      <w:lvlJc w:val="left"/>
      <w:pPr>
        <w:ind w:left="6243" w:hanging="310"/>
      </w:pPr>
      <w:rPr>
        <w:rFonts w:hint="default"/>
        <w:lang w:val="es-ES" w:eastAsia="es-ES" w:bidi="es-ES"/>
      </w:rPr>
    </w:lvl>
  </w:abstractNum>
  <w:abstractNum w:abstractNumId="30">
    <w:multiLevelType w:val="hybridMultilevel"/>
    <w:lvl w:ilvl="0">
      <w:start w:val="1"/>
      <w:numFmt w:val="lowerLetter"/>
      <w:lvlText w:val="%1)"/>
      <w:lvlJc w:val="left"/>
      <w:pPr>
        <w:ind w:left="406"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34" w:hanging="180"/>
      </w:pPr>
      <w:rPr>
        <w:rFonts w:hint="default"/>
        <w:lang w:val="es-ES" w:eastAsia="es-ES" w:bidi="es-ES"/>
      </w:rPr>
    </w:lvl>
    <w:lvl w:ilvl="2">
      <w:start w:val="0"/>
      <w:numFmt w:val="bullet"/>
      <w:lvlText w:val="•"/>
      <w:lvlJc w:val="left"/>
      <w:pPr>
        <w:ind w:left="1869" w:hanging="180"/>
      </w:pPr>
      <w:rPr>
        <w:rFonts w:hint="default"/>
        <w:lang w:val="es-ES" w:eastAsia="es-ES" w:bidi="es-ES"/>
      </w:rPr>
    </w:lvl>
    <w:lvl w:ilvl="3">
      <w:start w:val="0"/>
      <w:numFmt w:val="bullet"/>
      <w:lvlText w:val="•"/>
      <w:lvlJc w:val="left"/>
      <w:pPr>
        <w:ind w:left="2604" w:hanging="180"/>
      </w:pPr>
      <w:rPr>
        <w:rFonts w:hint="default"/>
        <w:lang w:val="es-ES" w:eastAsia="es-ES" w:bidi="es-ES"/>
      </w:rPr>
    </w:lvl>
    <w:lvl w:ilvl="4">
      <w:start w:val="0"/>
      <w:numFmt w:val="bullet"/>
      <w:lvlText w:val="•"/>
      <w:lvlJc w:val="left"/>
      <w:pPr>
        <w:ind w:left="3339" w:hanging="180"/>
      </w:pPr>
      <w:rPr>
        <w:rFonts w:hint="default"/>
        <w:lang w:val="es-ES" w:eastAsia="es-ES" w:bidi="es-ES"/>
      </w:rPr>
    </w:lvl>
    <w:lvl w:ilvl="5">
      <w:start w:val="0"/>
      <w:numFmt w:val="bullet"/>
      <w:lvlText w:val="•"/>
      <w:lvlJc w:val="left"/>
      <w:pPr>
        <w:ind w:left="4074" w:hanging="180"/>
      </w:pPr>
      <w:rPr>
        <w:rFonts w:hint="default"/>
        <w:lang w:val="es-ES" w:eastAsia="es-ES" w:bidi="es-ES"/>
      </w:rPr>
    </w:lvl>
    <w:lvl w:ilvl="6">
      <w:start w:val="0"/>
      <w:numFmt w:val="bullet"/>
      <w:lvlText w:val="•"/>
      <w:lvlJc w:val="left"/>
      <w:pPr>
        <w:ind w:left="4809" w:hanging="180"/>
      </w:pPr>
      <w:rPr>
        <w:rFonts w:hint="default"/>
        <w:lang w:val="es-ES" w:eastAsia="es-ES" w:bidi="es-ES"/>
      </w:rPr>
    </w:lvl>
    <w:lvl w:ilvl="7">
      <w:start w:val="0"/>
      <w:numFmt w:val="bullet"/>
      <w:lvlText w:val="•"/>
      <w:lvlJc w:val="left"/>
      <w:pPr>
        <w:ind w:left="5544" w:hanging="180"/>
      </w:pPr>
      <w:rPr>
        <w:rFonts w:hint="default"/>
        <w:lang w:val="es-ES" w:eastAsia="es-ES" w:bidi="es-ES"/>
      </w:rPr>
    </w:lvl>
    <w:lvl w:ilvl="8">
      <w:start w:val="0"/>
      <w:numFmt w:val="bullet"/>
      <w:lvlText w:val="•"/>
      <w:lvlJc w:val="left"/>
      <w:pPr>
        <w:ind w:left="6279" w:hanging="180"/>
      </w:pPr>
      <w:rPr>
        <w:rFonts w:hint="default"/>
        <w:lang w:val="es-ES" w:eastAsia="es-ES" w:bidi="es-ES"/>
      </w:rPr>
    </w:lvl>
  </w:abstractNum>
  <w:abstractNum w:abstractNumId="29">
    <w:multiLevelType w:val="hybridMultilevel"/>
    <w:lvl w:ilvl="0">
      <w:start w:val="3"/>
      <w:numFmt w:val="lowerLetter"/>
      <w:lvlText w:val="%1)"/>
      <w:lvlJc w:val="left"/>
      <w:pPr>
        <w:ind w:left="473" w:hanging="172"/>
        <w:jc w:val="left"/>
      </w:pPr>
      <w:rPr>
        <w:rFonts w:hint="default" w:ascii="Arial" w:hAnsi="Arial" w:eastAsia="Arial" w:cs="Arial"/>
        <w:w w:val="102"/>
        <w:sz w:val="15"/>
        <w:szCs w:val="15"/>
        <w:lang w:val="es-ES" w:eastAsia="es-ES" w:bidi="es-ES"/>
      </w:rPr>
    </w:lvl>
    <w:lvl w:ilvl="1">
      <w:start w:val="0"/>
      <w:numFmt w:val="bullet"/>
      <w:lvlText w:val="•"/>
      <w:lvlJc w:val="left"/>
      <w:pPr>
        <w:ind w:left="1261" w:hanging="172"/>
      </w:pPr>
      <w:rPr>
        <w:rFonts w:hint="default"/>
        <w:lang w:val="es-ES" w:eastAsia="es-ES" w:bidi="es-ES"/>
      </w:rPr>
    </w:lvl>
    <w:lvl w:ilvl="2">
      <w:start w:val="0"/>
      <w:numFmt w:val="bullet"/>
      <w:lvlText w:val="•"/>
      <w:lvlJc w:val="left"/>
      <w:pPr>
        <w:ind w:left="2043" w:hanging="172"/>
      </w:pPr>
      <w:rPr>
        <w:rFonts w:hint="default"/>
        <w:lang w:val="es-ES" w:eastAsia="es-ES" w:bidi="es-ES"/>
      </w:rPr>
    </w:lvl>
    <w:lvl w:ilvl="3">
      <w:start w:val="0"/>
      <w:numFmt w:val="bullet"/>
      <w:lvlText w:val="•"/>
      <w:lvlJc w:val="left"/>
      <w:pPr>
        <w:ind w:left="2825" w:hanging="172"/>
      </w:pPr>
      <w:rPr>
        <w:rFonts w:hint="default"/>
        <w:lang w:val="es-ES" w:eastAsia="es-ES" w:bidi="es-ES"/>
      </w:rPr>
    </w:lvl>
    <w:lvl w:ilvl="4">
      <w:start w:val="0"/>
      <w:numFmt w:val="bullet"/>
      <w:lvlText w:val="•"/>
      <w:lvlJc w:val="left"/>
      <w:pPr>
        <w:ind w:left="3606" w:hanging="172"/>
      </w:pPr>
      <w:rPr>
        <w:rFonts w:hint="default"/>
        <w:lang w:val="es-ES" w:eastAsia="es-ES" w:bidi="es-ES"/>
      </w:rPr>
    </w:lvl>
    <w:lvl w:ilvl="5">
      <w:start w:val="0"/>
      <w:numFmt w:val="bullet"/>
      <w:lvlText w:val="•"/>
      <w:lvlJc w:val="left"/>
      <w:pPr>
        <w:ind w:left="4388" w:hanging="172"/>
      </w:pPr>
      <w:rPr>
        <w:rFonts w:hint="default"/>
        <w:lang w:val="es-ES" w:eastAsia="es-ES" w:bidi="es-ES"/>
      </w:rPr>
    </w:lvl>
    <w:lvl w:ilvl="6">
      <w:start w:val="0"/>
      <w:numFmt w:val="bullet"/>
      <w:lvlText w:val="•"/>
      <w:lvlJc w:val="left"/>
      <w:pPr>
        <w:ind w:left="5170" w:hanging="172"/>
      </w:pPr>
      <w:rPr>
        <w:rFonts w:hint="default"/>
        <w:lang w:val="es-ES" w:eastAsia="es-ES" w:bidi="es-ES"/>
      </w:rPr>
    </w:lvl>
    <w:lvl w:ilvl="7">
      <w:start w:val="0"/>
      <w:numFmt w:val="bullet"/>
      <w:lvlText w:val="•"/>
      <w:lvlJc w:val="left"/>
      <w:pPr>
        <w:ind w:left="5952" w:hanging="172"/>
      </w:pPr>
      <w:rPr>
        <w:rFonts w:hint="default"/>
        <w:lang w:val="es-ES" w:eastAsia="es-ES" w:bidi="es-ES"/>
      </w:rPr>
    </w:lvl>
    <w:lvl w:ilvl="8">
      <w:start w:val="0"/>
      <w:numFmt w:val="bullet"/>
      <w:lvlText w:val="•"/>
      <w:lvlJc w:val="left"/>
      <w:pPr>
        <w:ind w:left="6733" w:hanging="172"/>
      </w:pPr>
      <w:rPr>
        <w:rFonts w:hint="default"/>
        <w:lang w:val="es-ES" w:eastAsia="es-ES" w:bidi="es-ES"/>
      </w:rPr>
    </w:lvl>
  </w:abstractNum>
  <w:abstractNum w:abstractNumId="28">
    <w:multiLevelType w:val="hybridMultilevel"/>
    <w:lvl w:ilvl="0">
      <w:start w:val="1"/>
      <w:numFmt w:val="lowerLetter"/>
      <w:lvlText w:val="%1)"/>
      <w:lvlJc w:val="left"/>
      <w:pPr>
        <w:ind w:left="406"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82" w:hanging="180"/>
      </w:pPr>
      <w:rPr>
        <w:rFonts w:hint="default"/>
        <w:lang w:val="es-ES" w:eastAsia="es-ES" w:bidi="es-ES"/>
      </w:rPr>
    </w:lvl>
    <w:lvl w:ilvl="2">
      <w:start w:val="0"/>
      <w:numFmt w:val="bullet"/>
      <w:lvlText w:val="•"/>
      <w:lvlJc w:val="left"/>
      <w:pPr>
        <w:ind w:left="1964" w:hanging="180"/>
      </w:pPr>
      <w:rPr>
        <w:rFonts w:hint="default"/>
        <w:lang w:val="es-ES" w:eastAsia="es-ES" w:bidi="es-ES"/>
      </w:rPr>
    </w:lvl>
    <w:lvl w:ilvl="3">
      <w:start w:val="0"/>
      <w:numFmt w:val="bullet"/>
      <w:lvlText w:val="•"/>
      <w:lvlJc w:val="left"/>
      <w:pPr>
        <w:ind w:left="2746" w:hanging="180"/>
      </w:pPr>
      <w:rPr>
        <w:rFonts w:hint="default"/>
        <w:lang w:val="es-ES" w:eastAsia="es-ES" w:bidi="es-ES"/>
      </w:rPr>
    </w:lvl>
    <w:lvl w:ilvl="4">
      <w:start w:val="0"/>
      <w:numFmt w:val="bullet"/>
      <w:lvlText w:val="•"/>
      <w:lvlJc w:val="left"/>
      <w:pPr>
        <w:ind w:left="3528" w:hanging="180"/>
      </w:pPr>
      <w:rPr>
        <w:rFonts w:hint="default"/>
        <w:lang w:val="es-ES" w:eastAsia="es-ES" w:bidi="es-ES"/>
      </w:rPr>
    </w:lvl>
    <w:lvl w:ilvl="5">
      <w:start w:val="0"/>
      <w:numFmt w:val="bullet"/>
      <w:lvlText w:val="•"/>
      <w:lvlJc w:val="left"/>
      <w:pPr>
        <w:ind w:left="4310" w:hanging="180"/>
      </w:pPr>
      <w:rPr>
        <w:rFonts w:hint="default"/>
        <w:lang w:val="es-ES" w:eastAsia="es-ES" w:bidi="es-ES"/>
      </w:rPr>
    </w:lvl>
    <w:lvl w:ilvl="6">
      <w:start w:val="0"/>
      <w:numFmt w:val="bullet"/>
      <w:lvlText w:val="•"/>
      <w:lvlJc w:val="left"/>
      <w:pPr>
        <w:ind w:left="5092" w:hanging="180"/>
      </w:pPr>
      <w:rPr>
        <w:rFonts w:hint="default"/>
        <w:lang w:val="es-ES" w:eastAsia="es-ES" w:bidi="es-ES"/>
      </w:rPr>
    </w:lvl>
    <w:lvl w:ilvl="7">
      <w:start w:val="0"/>
      <w:numFmt w:val="bullet"/>
      <w:lvlText w:val="•"/>
      <w:lvlJc w:val="left"/>
      <w:pPr>
        <w:ind w:left="5874" w:hanging="180"/>
      </w:pPr>
      <w:rPr>
        <w:rFonts w:hint="default"/>
        <w:lang w:val="es-ES" w:eastAsia="es-ES" w:bidi="es-ES"/>
      </w:rPr>
    </w:lvl>
    <w:lvl w:ilvl="8">
      <w:start w:val="0"/>
      <w:numFmt w:val="bullet"/>
      <w:lvlText w:val="•"/>
      <w:lvlJc w:val="left"/>
      <w:pPr>
        <w:ind w:left="6657" w:hanging="180"/>
      </w:pPr>
      <w:rPr>
        <w:rFonts w:hint="default"/>
        <w:lang w:val="es-ES" w:eastAsia="es-ES" w:bidi="es-ES"/>
      </w:rPr>
    </w:lvl>
  </w:abstractNum>
  <w:abstractNum w:abstractNumId="27">
    <w:multiLevelType w:val="hybridMultilevel"/>
    <w:lvl w:ilvl="0">
      <w:start w:val="1"/>
      <w:numFmt w:val="lowerLetter"/>
      <w:lvlText w:val="%1)"/>
      <w:lvlJc w:val="left"/>
      <w:pPr>
        <w:ind w:left="226" w:hanging="243"/>
        <w:jc w:val="right"/>
      </w:pPr>
      <w:rPr>
        <w:rFonts w:hint="default" w:ascii="Arial" w:hAnsi="Arial" w:eastAsia="Arial" w:cs="Arial"/>
        <w:w w:val="102"/>
        <w:sz w:val="15"/>
        <w:szCs w:val="15"/>
        <w:lang w:val="es-ES" w:eastAsia="es-ES" w:bidi="es-ES"/>
      </w:rPr>
    </w:lvl>
    <w:lvl w:ilvl="1">
      <w:start w:val="0"/>
      <w:numFmt w:val="bullet"/>
      <w:lvlText w:val="•"/>
      <w:lvlJc w:val="left"/>
      <w:pPr>
        <w:ind w:left="1020" w:hanging="243"/>
      </w:pPr>
      <w:rPr>
        <w:rFonts w:hint="default"/>
        <w:lang w:val="es-ES" w:eastAsia="es-ES" w:bidi="es-ES"/>
      </w:rPr>
    </w:lvl>
    <w:lvl w:ilvl="2">
      <w:start w:val="0"/>
      <w:numFmt w:val="bullet"/>
      <w:lvlText w:val="•"/>
      <w:lvlJc w:val="left"/>
      <w:pPr>
        <w:ind w:left="1820" w:hanging="243"/>
      </w:pPr>
      <w:rPr>
        <w:rFonts w:hint="default"/>
        <w:lang w:val="es-ES" w:eastAsia="es-ES" w:bidi="es-ES"/>
      </w:rPr>
    </w:lvl>
    <w:lvl w:ilvl="3">
      <w:start w:val="0"/>
      <w:numFmt w:val="bullet"/>
      <w:lvlText w:val="•"/>
      <w:lvlJc w:val="left"/>
      <w:pPr>
        <w:ind w:left="2620" w:hanging="243"/>
      </w:pPr>
      <w:rPr>
        <w:rFonts w:hint="default"/>
        <w:lang w:val="es-ES" w:eastAsia="es-ES" w:bidi="es-ES"/>
      </w:rPr>
    </w:lvl>
    <w:lvl w:ilvl="4">
      <w:start w:val="0"/>
      <w:numFmt w:val="bullet"/>
      <w:lvlText w:val="•"/>
      <w:lvlJc w:val="left"/>
      <w:pPr>
        <w:ind w:left="3420" w:hanging="243"/>
      </w:pPr>
      <w:rPr>
        <w:rFonts w:hint="default"/>
        <w:lang w:val="es-ES" w:eastAsia="es-ES" w:bidi="es-ES"/>
      </w:rPr>
    </w:lvl>
    <w:lvl w:ilvl="5">
      <w:start w:val="0"/>
      <w:numFmt w:val="bullet"/>
      <w:lvlText w:val="•"/>
      <w:lvlJc w:val="left"/>
      <w:pPr>
        <w:ind w:left="4220" w:hanging="243"/>
      </w:pPr>
      <w:rPr>
        <w:rFonts w:hint="default"/>
        <w:lang w:val="es-ES" w:eastAsia="es-ES" w:bidi="es-ES"/>
      </w:rPr>
    </w:lvl>
    <w:lvl w:ilvl="6">
      <w:start w:val="0"/>
      <w:numFmt w:val="bullet"/>
      <w:lvlText w:val="•"/>
      <w:lvlJc w:val="left"/>
      <w:pPr>
        <w:ind w:left="5020" w:hanging="243"/>
      </w:pPr>
      <w:rPr>
        <w:rFonts w:hint="default"/>
        <w:lang w:val="es-ES" w:eastAsia="es-ES" w:bidi="es-ES"/>
      </w:rPr>
    </w:lvl>
    <w:lvl w:ilvl="7">
      <w:start w:val="0"/>
      <w:numFmt w:val="bullet"/>
      <w:lvlText w:val="•"/>
      <w:lvlJc w:val="left"/>
      <w:pPr>
        <w:ind w:left="5820" w:hanging="243"/>
      </w:pPr>
      <w:rPr>
        <w:rFonts w:hint="default"/>
        <w:lang w:val="es-ES" w:eastAsia="es-ES" w:bidi="es-ES"/>
      </w:rPr>
    </w:lvl>
    <w:lvl w:ilvl="8">
      <w:start w:val="0"/>
      <w:numFmt w:val="bullet"/>
      <w:lvlText w:val="•"/>
      <w:lvlJc w:val="left"/>
      <w:pPr>
        <w:ind w:left="6621" w:hanging="243"/>
      </w:pPr>
      <w:rPr>
        <w:rFonts w:hint="default"/>
        <w:lang w:val="es-ES" w:eastAsia="es-ES" w:bidi="es-ES"/>
      </w:rPr>
    </w:lvl>
  </w:abstractNum>
  <w:abstractNum w:abstractNumId="26">
    <w:multiLevelType w:val="hybridMultilevel"/>
    <w:lvl w:ilvl="0">
      <w:start w:val="6"/>
      <w:numFmt w:val="upperRoman"/>
      <w:lvlText w:val="%1."/>
      <w:lvlJc w:val="left"/>
      <w:pPr>
        <w:ind w:left="481" w:hanging="232"/>
        <w:jc w:val="left"/>
      </w:pPr>
      <w:rPr>
        <w:rFonts w:hint="default" w:ascii="Arial" w:hAnsi="Arial" w:eastAsia="Arial" w:cs="Arial"/>
        <w:w w:val="102"/>
        <w:sz w:val="15"/>
        <w:szCs w:val="15"/>
        <w:lang w:val="es-ES" w:eastAsia="es-ES" w:bidi="es-ES"/>
      </w:rPr>
    </w:lvl>
    <w:lvl w:ilvl="1">
      <w:start w:val="0"/>
      <w:numFmt w:val="bullet"/>
      <w:lvlText w:val="•"/>
      <w:lvlJc w:val="left"/>
      <w:pPr>
        <w:ind w:left="1254" w:hanging="232"/>
      </w:pPr>
      <w:rPr>
        <w:rFonts w:hint="default"/>
        <w:lang w:val="es-ES" w:eastAsia="es-ES" w:bidi="es-ES"/>
      </w:rPr>
    </w:lvl>
    <w:lvl w:ilvl="2">
      <w:start w:val="0"/>
      <w:numFmt w:val="bullet"/>
      <w:lvlText w:val="•"/>
      <w:lvlJc w:val="left"/>
      <w:pPr>
        <w:ind w:left="2028" w:hanging="232"/>
      </w:pPr>
      <w:rPr>
        <w:rFonts w:hint="default"/>
        <w:lang w:val="es-ES" w:eastAsia="es-ES" w:bidi="es-ES"/>
      </w:rPr>
    </w:lvl>
    <w:lvl w:ilvl="3">
      <w:start w:val="0"/>
      <w:numFmt w:val="bullet"/>
      <w:lvlText w:val="•"/>
      <w:lvlJc w:val="left"/>
      <w:pPr>
        <w:ind w:left="2802" w:hanging="232"/>
      </w:pPr>
      <w:rPr>
        <w:rFonts w:hint="default"/>
        <w:lang w:val="es-ES" w:eastAsia="es-ES" w:bidi="es-ES"/>
      </w:rPr>
    </w:lvl>
    <w:lvl w:ilvl="4">
      <w:start w:val="0"/>
      <w:numFmt w:val="bullet"/>
      <w:lvlText w:val="•"/>
      <w:lvlJc w:val="left"/>
      <w:pPr>
        <w:ind w:left="3576" w:hanging="232"/>
      </w:pPr>
      <w:rPr>
        <w:rFonts w:hint="default"/>
        <w:lang w:val="es-ES" w:eastAsia="es-ES" w:bidi="es-ES"/>
      </w:rPr>
    </w:lvl>
    <w:lvl w:ilvl="5">
      <w:start w:val="0"/>
      <w:numFmt w:val="bullet"/>
      <w:lvlText w:val="•"/>
      <w:lvlJc w:val="left"/>
      <w:pPr>
        <w:ind w:left="4350" w:hanging="232"/>
      </w:pPr>
      <w:rPr>
        <w:rFonts w:hint="default"/>
        <w:lang w:val="es-ES" w:eastAsia="es-ES" w:bidi="es-ES"/>
      </w:rPr>
    </w:lvl>
    <w:lvl w:ilvl="6">
      <w:start w:val="0"/>
      <w:numFmt w:val="bullet"/>
      <w:lvlText w:val="•"/>
      <w:lvlJc w:val="left"/>
      <w:pPr>
        <w:ind w:left="5124" w:hanging="232"/>
      </w:pPr>
      <w:rPr>
        <w:rFonts w:hint="default"/>
        <w:lang w:val="es-ES" w:eastAsia="es-ES" w:bidi="es-ES"/>
      </w:rPr>
    </w:lvl>
    <w:lvl w:ilvl="7">
      <w:start w:val="0"/>
      <w:numFmt w:val="bullet"/>
      <w:lvlText w:val="•"/>
      <w:lvlJc w:val="left"/>
      <w:pPr>
        <w:ind w:left="5898" w:hanging="232"/>
      </w:pPr>
      <w:rPr>
        <w:rFonts w:hint="default"/>
        <w:lang w:val="es-ES" w:eastAsia="es-ES" w:bidi="es-ES"/>
      </w:rPr>
    </w:lvl>
    <w:lvl w:ilvl="8">
      <w:start w:val="0"/>
      <w:numFmt w:val="bullet"/>
      <w:lvlText w:val="•"/>
      <w:lvlJc w:val="left"/>
      <w:pPr>
        <w:ind w:left="6673" w:hanging="232"/>
      </w:pPr>
      <w:rPr>
        <w:rFonts w:hint="default"/>
        <w:lang w:val="es-ES" w:eastAsia="es-ES" w:bidi="es-ES"/>
      </w:rPr>
    </w:lvl>
  </w:abstractNum>
  <w:abstractNum w:abstractNumId="25">
    <w:multiLevelType w:val="hybridMultilevel"/>
    <w:lvl w:ilvl="0">
      <w:start w:val="1"/>
      <w:numFmt w:val="lowerLetter"/>
      <w:lvlText w:val="%1)"/>
      <w:lvlJc w:val="left"/>
      <w:pPr>
        <w:ind w:left="406"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82" w:hanging="180"/>
      </w:pPr>
      <w:rPr>
        <w:rFonts w:hint="default"/>
        <w:lang w:val="es-ES" w:eastAsia="es-ES" w:bidi="es-ES"/>
      </w:rPr>
    </w:lvl>
    <w:lvl w:ilvl="2">
      <w:start w:val="0"/>
      <w:numFmt w:val="bullet"/>
      <w:lvlText w:val="•"/>
      <w:lvlJc w:val="left"/>
      <w:pPr>
        <w:ind w:left="1964" w:hanging="180"/>
      </w:pPr>
      <w:rPr>
        <w:rFonts w:hint="default"/>
        <w:lang w:val="es-ES" w:eastAsia="es-ES" w:bidi="es-ES"/>
      </w:rPr>
    </w:lvl>
    <w:lvl w:ilvl="3">
      <w:start w:val="0"/>
      <w:numFmt w:val="bullet"/>
      <w:lvlText w:val="•"/>
      <w:lvlJc w:val="left"/>
      <w:pPr>
        <w:ind w:left="2746" w:hanging="180"/>
      </w:pPr>
      <w:rPr>
        <w:rFonts w:hint="default"/>
        <w:lang w:val="es-ES" w:eastAsia="es-ES" w:bidi="es-ES"/>
      </w:rPr>
    </w:lvl>
    <w:lvl w:ilvl="4">
      <w:start w:val="0"/>
      <w:numFmt w:val="bullet"/>
      <w:lvlText w:val="•"/>
      <w:lvlJc w:val="left"/>
      <w:pPr>
        <w:ind w:left="3528" w:hanging="180"/>
      </w:pPr>
      <w:rPr>
        <w:rFonts w:hint="default"/>
        <w:lang w:val="es-ES" w:eastAsia="es-ES" w:bidi="es-ES"/>
      </w:rPr>
    </w:lvl>
    <w:lvl w:ilvl="5">
      <w:start w:val="0"/>
      <w:numFmt w:val="bullet"/>
      <w:lvlText w:val="•"/>
      <w:lvlJc w:val="left"/>
      <w:pPr>
        <w:ind w:left="4310" w:hanging="180"/>
      </w:pPr>
      <w:rPr>
        <w:rFonts w:hint="default"/>
        <w:lang w:val="es-ES" w:eastAsia="es-ES" w:bidi="es-ES"/>
      </w:rPr>
    </w:lvl>
    <w:lvl w:ilvl="6">
      <w:start w:val="0"/>
      <w:numFmt w:val="bullet"/>
      <w:lvlText w:val="•"/>
      <w:lvlJc w:val="left"/>
      <w:pPr>
        <w:ind w:left="5092" w:hanging="180"/>
      </w:pPr>
      <w:rPr>
        <w:rFonts w:hint="default"/>
        <w:lang w:val="es-ES" w:eastAsia="es-ES" w:bidi="es-ES"/>
      </w:rPr>
    </w:lvl>
    <w:lvl w:ilvl="7">
      <w:start w:val="0"/>
      <w:numFmt w:val="bullet"/>
      <w:lvlText w:val="•"/>
      <w:lvlJc w:val="left"/>
      <w:pPr>
        <w:ind w:left="5874" w:hanging="180"/>
      </w:pPr>
      <w:rPr>
        <w:rFonts w:hint="default"/>
        <w:lang w:val="es-ES" w:eastAsia="es-ES" w:bidi="es-ES"/>
      </w:rPr>
    </w:lvl>
    <w:lvl w:ilvl="8">
      <w:start w:val="0"/>
      <w:numFmt w:val="bullet"/>
      <w:lvlText w:val="•"/>
      <w:lvlJc w:val="left"/>
      <w:pPr>
        <w:ind w:left="6657" w:hanging="180"/>
      </w:pPr>
      <w:rPr>
        <w:rFonts w:hint="default"/>
        <w:lang w:val="es-ES" w:eastAsia="es-ES" w:bidi="es-ES"/>
      </w:rPr>
    </w:lvl>
  </w:abstractNum>
  <w:abstractNum w:abstractNumId="24">
    <w:multiLevelType w:val="hybridMultilevel"/>
    <w:lvl w:ilvl="0">
      <w:start w:val="1"/>
      <w:numFmt w:val="lowerLetter"/>
      <w:lvlText w:val="%1)"/>
      <w:lvlJc w:val="left"/>
      <w:pPr>
        <w:ind w:left="406" w:hanging="180"/>
        <w:jc w:val="left"/>
      </w:pPr>
      <w:rPr>
        <w:rFonts w:hint="default" w:ascii="Arial" w:hAnsi="Arial" w:eastAsia="Arial" w:cs="Arial"/>
        <w:w w:val="102"/>
        <w:sz w:val="15"/>
        <w:szCs w:val="15"/>
        <w:lang w:val="es-ES" w:eastAsia="es-ES" w:bidi="es-ES"/>
      </w:rPr>
    </w:lvl>
    <w:lvl w:ilvl="1">
      <w:start w:val="0"/>
      <w:numFmt w:val="bullet"/>
      <w:lvlText w:val="•"/>
      <w:lvlJc w:val="left"/>
      <w:pPr>
        <w:ind w:left="1134" w:hanging="180"/>
      </w:pPr>
      <w:rPr>
        <w:rFonts w:hint="default"/>
        <w:lang w:val="es-ES" w:eastAsia="es-ES" w:bidi="es-ES"/>
      </w:rPr>
    </w:lvl>
    <w:lvl w:ilvl="2">
      <w:start w:val="0"/>
      <w:numFmt w:val="bullet"/>
      <w:lvlText w:val="•"/>
      <w:lvlJc w:val="left"/>
      <w:pPr>
        <w:ind w:left="1869" w:hanging="180"/>
      </w:pPr>
      <w:rPr>
        <w:rFonts w:hint="default"/>
        <w:lang w:val="es-ES" w:eastAsia="es-ES" w:bidi="es-ES"/>
      </w:rPr>
    </w:lvl>
    <w:lvl w:ilvl="3">
      <w:start w:val="0"/>
      <w:numFmt w:val="bullet"/>
      <w:lvlText w:val="•"/>
      <w:lvlJc w:val="left"/>
      <w:pPr>
        <w:ind w:left="2604" w:hanging="180"/>
      </w:pPr>
      <w:rPr>
        <w:rFonts w:hint="default"/>
        <w:lang w:val="es-ES" w:eastAsia="es-ES" w:bidi="es-ES"/>
      </w:rPr>
    </w:lvl>
    <w:lvl w:ilvl="4">
      <w:start w:val="0"/>
      <w:numFmt w:val="bullet"/>
      <w:lvlText w:val="•"/>
      <w:lvlJc w:val="left"/>
      <w:pPr>
        <w:ind w:left="3339" w:hanging="180"/>
      </w:pPr>
      <w:rPr>
        <w:rFonts w:hint="default"/>
        <w:lang w:val="es-ES" w:eastAsia="es-ES" w:bidi="es-ES"/>
      </w:rPr>
    </w:lvl>
    <w:lvl w:ilvl="5">
      <w:start w:val="0"/>
      <w:numFmt w:val="bullet"/>
      <w:lvlText w:val="•"/>
      <w:lvlJc w:val="left"/>
      <w:pPr>
        <w:ind w:left="4074" w:hanging="180"/>
      </w:pPr>
      <w:rPr>
        <w:rFonts w:hint="default"/>
        <w:lang w:val="es-ES" w:eastAsia="es-ES" w:bidi="es-ES"/>
      </w:rPr>
    </w:lvl>
    <w:lvl w:ilvl="6">
      <w:start w:val="0"/>
      <w:numFmt w:val="bullet"/>
      <w:lvlText w:val="•"/>
      <w:lvlJc w:val="left"/>
      <w:pPr>
        <w:ind w:left="4809" w:hanging="180"/>
      </w:pPr>
      <w:rPr>
        <w:rFonts w:hint="default"/>
        <w:lang w:val="es-ES" w:eastAsia="es-ES" w:bidi="es-ES"/>
      </w:rPr>
    </w:lvl>
    <w:lvl w:ilvl="7">
      <w:start w:val="0"/>
      <w:numFmt w:val="bullet"/>
      <w:lvlText w:val="•"/>
      <w:lvlJc w:val="left"/>
      <w:pPr>
        <w:ind w:left="5544" w:hanging="180"/>
      </w:pPr>
      <w:rPr>
        <w:rFonts w:hint="default"/>
        <w:lang w:val="es-ES" w:eastAsia="es-ES" w:bidi="es-ES"/>
      </w:rPr>
    </w:lvl>
    <w:lvl w:ilvl="8">
      <w:start w:val="0"/>
      <w:numFmt w:val="bullet"/>
      <w:lvlText w:val="•"/>
      <w:lvlJc w:val="left"/>
      <w:pPr>
        <w:ind w:left="6279" w:hanging="180"/>
      </w:pPr>
      <w:rPr>
        <w:rFonts w:hint="default"/>
        <w:lang w:val="es-ES" w:eastAsia="es-ES" w:bidi="es-ES"/>
      </w:rPr>
    </w:lvl>
  </w:abstractNum>
  <w:abstractNum w:abstractNumId="23">
    <w:multiLevelType w:val="hybridMultilevel"/>
    <w:lvl w:ilvl="0">
      <w:start w:val="1"/>
      <w:numFmt w:val="upperRoman"/>
      <w:lvlText w:val="%1."/>
      <w:lvlJc w:val="left"/>
      <w:pPr>
        <w:ind w:left="762" w:hanging="215"/>
        <w:jc w:val="left"/>
      </w:pPr>
      <w:rPr>
        <w:rFonts w:hint="default" w:ascii="Arial" w:hAnsi="Arial" w:eastAsia="Arial" w:cs="Arial"/>
        <w:w w:val="102"/>
        <w:sz w:val="15"/>
        <w:szCs w:val="15"/>
        <w:lang w:val="es-ES" w:eastAsia="es-ES" w:bidi="es-ES"/>
      </w:rPr>
    </w:lvl>
    <w:lvl w:ilvl="1">
      <w:start w:val="0"/>
      <w:numFmt w:val="bullet"/>
      <w:lvlText w:val="•"/>
      <w:lvlJc w:val="left"/>
      <w:pPr>
        <w:ind w:left="1506" w:hanging="215"/>
      </w:pPr>
      <w:rPr>
        <w:rFonts w:hint="default"/>
        <w:lang w:val="es-ES" w:eastAsia="es-ES" w:bidi="es-ES"/>
      </w:rPr>
    </w:lvl>
    <w:lvl w:ilvl="2">
      <w:start w:val="0"/>
      <w:numFmt w:val="bullet"/>
      <w:lvlText w:val="•"/>
      <w:lvlJc w:val="left"/>
      <w:pPr>
        <w:ind w:left="2252" w:hanging="215"/>
      </w:pPr>
      <w:rPr>
        <w:rFonts w:hint="default"/>
        <w:lang w:val="es-ES" w:eastAsia="es-ES" w:bidi="es-ES"/>
      </w:rPr>
    </w:lvl>
    <w:lvl w:ilvl="3">
      <w:start w:val="0"/>
      <w:numFmt w:val="bullet"/>
      <w:lvlText w:val="•"/>
      <w:lvlJc w:val="left"/>
      <w:pPr>
        <w:ind w:left="2998" w:hanging="215"/>
      </w:pPr>
      <w:rPr>
        <w:rFonts w:hint="default"/>
        <w:lang w:val="es-ES" w:eastAsia="es-ES" w:bidi="es-ES"/>
      </w:rPr>
    </w:lvl>
    <w:lvl w:ilvl="4">
      <w:start w:val="0"/>
      <w:numFmt w:val="bullet"/>
      <w:lvlText w:val="•"/>
      <w:lvlJc w:val="left"/>
      <w:pPr>
        <w:ind w:left="3744" w:hanging="215"/>
      </w:pPr>
      <w:rPr>
        <w:rFonts w:hint="default"/>
        <w:lang w:val="es-ES" w:eastAsia="es-ES" w:bidi="es-ES"/>
      </w:rPr>
    </w:lvl>
    <w:lvl w:ilvl="5">
      <w:start w:val="0"/>
      <w:numFmt w:val="bullet"/>
      <w:lvlText w:val="•"/>
      <w:lvlJc w:val="left"/>
      <w:pPr>
        <w:ind w:left="4490" w:hanging="215"/>
      </w:pPr>
      <w:rPr>
        <w:rFonts w:hint="default"/>
        <w:lang w:val="es-ES" w:eastAsia="es-ES" w:bidi="es-ES"/>
      </w:rPr>
    </w:lvl>
    <w:lvl w:ilvl="6">
      <w:start w:val="0"/>
      <w:numFmt w:val="bullet"/>
      <w:lvlText w:val="•"/>
      <w:lvlJc w:val="left"/>
      <w:pPr>
        <w:ind w:left="5236" w:hanging="215"/>
      </w:pPr>
      <w:rPr>
        <w:rFonts w:hint="default"/>
        <w:lang w:val="es-ES" w:eastAsia="es-ES" w:bidi="es-ES"/>
      </w:rPr>
    </w:lvl>
    <w:lvl w:ilvl="7">
      <w:start w:val="0"/>
      <w:numFmt w:val="bullet"/>
      <w:lvlText w:val="•"/>
      <w:lvlJc w:val="left"/>
      <w:pPr>
        <w:ind w:left="5982" w:hanging="215"/>
      </w:pPr>
      <w:rPr>
        <w:rFonts w:hint="default"/>
        <w:lang w:val="es-ES" w:eastAsia="es-ES" w:bidi="es-ES"/>
      </w:rPr>
    </w:lvl>
    <w:lvl w:ilvl="8">
      <w:start w:val="0"/>
      <w:numFmt w:val="bullet"/>
      <w:lvlText w:val="•"/>
      <w:lvlJc w:val="left"/>
      <w:pPr>
        <w:ind w:left="6729" w:hanging="215"/>
      </w:pPr>
      <w:rPr>
        <w:rFonts w:hint="default"/>
        <w:lang w:val="es-ES" w:eastAsia="es-ES" w:bidi="es-ES"/>
      </w:rPr>
    </w:lvl>
  </w:abstractNum>
  <w:abstractNum w:abstractNumId="22">
    <w:multiLevelType w:val="hybridMultilevel"/>
    <w:lvl w:ilvl="0">
      <w:start w:val="1"/>
      <w:numFmt w:val="upperRoman"/>
      <w:lvlText w:val="%1."/>
      <w:lvlJc w:val="left"/>
      <w:pPr>
        <w:ind w:left="848" w:hanging="301"/>
        <w:jc w:val="left"/>
      </w:pPr>
      <w:rPr>
        <w:rFonts w:hint="default" w:ascii="Arial" w:hAnsi="Arial" w:eastAsia="Arial" w:cs="Arial"/>
        <w:w w:val="102"/>
        <w:sz w:val="15"/>
        <w:szCs w:val="15"/>
        <w:lang w:val="es-ES" w:eastAsia="es-ES" w:bidi="es-ES"/>
      </w:rPr>
    </w:lvl>
    <w:lvl w:ilvl="1">
      <w:start w:val="0"/>
      <w:numFmt w:val="bullet"/>
      <w:lvlText w:val="•"/>
      <w:lvlJc w:val="left"/>
      <w:pPr>
        <w:ind w:left="1578" w:hanging="301"/>
      </w:pPr>
      <w:rPr>
        <w:rFonts w:hint="default"/>
        <w:lang w:val="es-ES" w:eastAsia="es-ES" w:bidi="es-ES"/>
      </w:rPr>
    </w:lvl>
    <w:lvl w:ilvl="2">
      <w:start w:val="0"/>
      <w:numFmt w:val="bullet"/>
      <w:lvlText w:val="•"/>
      <w:lvlJc w:val="left"/>
      <w:pPr>
        <w:ind w:left="2316" w:hanging="301"/>
      </w:pPr>
      <w:rPr>
        <w:rFonts w:hint="default"/>
        <w:lang w:val="es-ES" w:eastAsia="es-ES" w:bidi="es-ES"/>
      </w:rPr>
    </w:lvl>
    <w:lvl w:ilvl="3">
      <w:start w:val="0"/>
      <w:numFmt w:val="bullet"/>
      <w:lvlText w:val="•"/>
      <w:lvlJc w:val="left"/>
      <w:pPr>
        <w:ind w:left="3054" w:hanging="301"/>
      </w:pPr>
      <w:rPr>
        <w:rFonts w:hint="default"/>
        <w:lang w:val="es-ES" w:eastAsia="es-ES" w:bidi="es-ES"/>
      </w:rPr>
    </w:lvl>
    <w:lvl w:ilvl="4">
      <w:start w:val="0"/>
      <w:numFmt w:val="bullet"/>
      <w:lvlText w:val="•"/>
      <w:lvlJc w:val="left"/>
      <w:pPr>
        <w:ind w:left="3792" w:hanging="301"/>
      </w:pPr>
      <w:rPr>
        <w:rFonts w:hint="default"/>
        <w:lang w:val="es-ES" w:eastAsia="es-ES" w:bidi="es-ES"/>
      </w:rPr>
    </w:lvl>
    <w:lvl w:ilvl="5">
      <w:start w:val="0"/>
      <w:numFmt w:val="bullet"/>
      <w:lvlText w:val="•"/>
      <w:lvlJc w:val="left"/>
      <w:pPr>
        <w:ind w:left="4530" w:hanging="301"/>
      </w:pPr>
      <w:rPr>
        <w:rFonts w:hint="default"/>
        <w:lang w:val="es-ES" w:eastAsia="es-ES" w:bidi="es-ES"/>
      </w:rPr>
    </w:lvl>
    <w:lvl w:ilvl="6">
      <w:start w:val="0"/>
      <w:numFmt w:val="bullet"/>
      <w:lvlText w:val="•"/>
      <w:lvlJc w:val="left"/>
      <w:pPr>
        <w:ind w:left="5268" w:hanging="301"/>
      </w:pPr>
      <w:rPr>
        <w:rFonts w:hint="default"/>
        <w:lang w:val="es-ES" w:eastAsia="es-ES" w:bidi="es-ES"/>
      </w:rPr>
    </w:lvl>
    <w:lvl w:ilvl="7">
      <w:start w:val="0"/>
      <w:numFmt w:val="bullet"/>
      <w:lvlText w:val="•"/>
      <w:lvlJc w:val="left"/>
      <w:pPr>
        <w:ind w:left="6006" w:hanging="301"/>
      </w:pPr>
      <w:rPr>
        <w:rFonts w:hint="default"/>
        <w:lang w:val="es-ES" w:eastAsia="es-ES" w:bidi="es-ES"/>
      </w:rPr>
    </w:lvl>
    <w:lvl w:ilvl="8">
      <w:start w:val="0"/>
      <w:numFmt w:val="bullet"/>
      <w:lvlText w:val="•"/>
      <w:lvlJc w:val="left"/>
      <w:pPr>
        <w:ind w:left="6745" w:hanging="301"/>
      </w:pPr>
      <w:rPr>
        <w:rFonts w:hint="default"/>
        <w:lang w:val="es-ES" w:eastAsia="es-ES" w:bidi="es-ES"/>
      </w:rPr>
    </w:lvl>
  </w:abstractNum>
  <w:abstractNum w:abstractNumId="21">
    <w:multiLevelType w:val="hybridMultilevel"/>
    <w:lvl w:ilvl="0">
      <w:start w:val="1"/>
      <w:numFmt w:val="upperLetter"/>
      <w:lvlText w:val="%1."/>
      <w:lvlJc w:val="left"/>
      <w:pPr>
        <w:ind w:left="736" w:hanging="189"/>
        <w:jc w:val="left"/>
      </w:pPr>
      <w:rPr>
        <w:rFonts w:hint="default" w:ascii="Arial" w:hAnsi="Arial" w:eastAsia="Arial" w:cs="Arial"/>
        <w:w w:val="102"/>
        <w:sz w:val="15"/>
        <w:szCs w:val="15"/>
        <w:lang w:val="es-ES" w:eastAsia="es-ES" w:bidi="es-ES"/>
      </w:rPr>
    </w:lvl>
    <w:lvl w:ilvl="1">
      <w:start w:val="0"/>
      <w:numFmt w:val="bullet"/>
      <w:lvlText w:val="•"/>
      <w:lvlJc w:val="left"/>
      <w:pPr>
        <w:ind w:left="1488" w:hanging="189"/>
      </w:pPr>
      <w:rPr>
        <w:rFonts w:hint="default"/>
        <w:lang w:val="es-ES" w:eastAsia="es-ES" w:bidi="es-ES"/>
      </w:rPr>
    </w:lvl>
    <w:lvl w:ilvl="2">
      <w:start w:val="0"/>
      <w:numFmt w:val="bullet"/>
      <w:lvlText w:val="•"/>
      <w:lvlJc w:val="left"/>
      <w:pPr>
        <w:ind w:left="2236" w:hanging="189"/>
      </w:pPr>
      <w:rPr>
        <w:rFonts w:hint="default"/>
        <w:lang w:val="es-ES" w:eastAsia="es-ES" w:bidi="es-ES"/>
      </w:rPr>
    </w:lvl>
    <w:lvl w:ilvl="3">
      <w:start w:val="0"/>
      <w:numFmt w:val="bullet"/>
      <w:lvlText w:val="•"/>
      <w:lvlJc w:val="left"/>
      <w:pPr>
        <w:ind w:left="2984" w:hanging="189"/>
      </w:pPr>
      <w:rPr>
        <w:rFonts w:hint="default"/>
        <w:lang w:val="es-ES" w:eastAsia="es-ES" w:bidi="es-ES"/>
      </w:rPr>
    </w:lvl>
    <w:lvl w:ilvl="4">
      <w:start w:val="0"/>
      <w:numFmt w:val="bullet"/>
      <w:lvlText w:val="•"/>
      <w:lvlJc w:val="left"/>
      <w:pPr>
        <w:ind w:left="3732" w:hanging="189"/>
      </w:pPr>
      <w:rPr>
        <w:rFonts w:hint="default"/>
        <w:lang w:val="es-ES" w:eastAsia="es-ES" w:bidi="es-ES"/>
      </w:rPr>
    </w:lvl>
    <w:lvl w:ilvl="5">
      <w:start w:val="0"/>
      <w:numFmt w:val="bullet"/>
      <w:lvlText w:val="•"/>
      <w:lvlJc w:val="left"/>
      <w:pPr>
        <w:ind w:left="4480" w:hanging="189"/>
      </w:pPr>
      <w:rPr>
        <w:rFonts w:hint="default"/>
        <w:lang w:val="es-ES" w:eastAsia="es-ES" w:bidi="es-ES"/>
      </w:rPr>
    </w:lvl>
    <w:lvl w:ilvl="6">
      <w:start w:val="0"/>
      <w:numFmt w:val="bullet"/>
      <w:lvlText w:val="•"/>
      <w:lvlJc w:val="left"/>
      <w:pPr>
        <w:ind w:left="5228" w:hanging="189"/>
      </w:pPr>
      <w:rPr>
        <w:rFonts w:hint="default"/>
        <w:lang w:val="es-ES" w:eastAsia="es-ES" w:bidi="es-ES"/>
      </w:rPr>
    </w:lvl>
    <w:lvl w:ilvl="7">
      <w:start w:val="0"/>
      <w:numFmt w:val="bullet"/>
      <w:lvlText w:val="•"/>
      <w:lvlJc w:val="left"/>
      <w:pPr>
        <w:ind w:left="5976" w:hanging="189"/>
      </w:pPr>
      <w:rPr>
        <w:rFonts w:hint="default"/>
        <w:lang w:val="es-ES" w:eastAsia="es-ES" w:bidi="es-ES"/>
      </w:rPr>
    </w:lvl>
    <w:lvl w:ilvl="8">
      <w:start w:val="0"/>
      <w:numFmt w:val="bullet"/>
      <w:lvlText w:val="•"/>
      <w:lvlJc w:val="left"/>
      <w:pPr>
        <w:ind w:left="6725" w:hanging="189"/>
      </w:pPr>
      <w:rPr>
        <w:rFonts w:hint="default"/>
        <w:lang w:val="es-ES" w:eastAsia="es-ES" w:bidi="es-ES"/>
      </w:rPr>
    </w:lvl>
  </w:abstractNum>
  <w:abstractNum w:abstractNumId="20">
    <w:multiLevelType w:val="hybridMultilevel"/>
    <w:lvl w:ilvl="0">
      <w:start w:val="1"/>
      <w:numFmt w:val="lowerLetter"/>
      <w:lvlText w:val="%1)"/>
      <w:lvlJc w:val="left"/>
      <w:pPr>
        <w:ind w:left="151" w:hanging="191"/>
        <w:jc w:val="left"/>
      </w:pPr>
      <w:rPr>
        <w:rFonts w:hint="default" w:ascii="Arial" w:hAnsi="Arial" w:eastAsia="Arial" w:cs="Arial"/>
        <w:spacing w:val="-1"/>
        <w:w w:val="102"/>
        <w:sz w:val="15"/>
        <w:szCs w:val="15"/>
        <w:lang w:val="es-ES" w:eastAsia="es-ES" w:bidi="es-ES"/>
      </w:rPr>
    </w:lvl>
    <w:lvl w:ilvl="1">
      <w:start w:val="0"/>
      <w:numFmt w:val="bullet"/>
      <w:lvlText w:val="•"/>
      <w:lvlJc w:val="left"/>
      <w:pPr>
        <w:ind w:left="966" w:hanging="191"/>
      </w:pPr>
      <w:rPr>
        <w:rFonts w:hint="default"/>
        <w:lang w:val="es-ES" w:eastAsia="es-ES" w:bidi="es-ES"/>
      </w:rPr>
    </w:lvl>
    <w:lvl w:ilvl="2">
      <w:start w:val="0"/>
      <w:numFmt w:val="bullet"/>
      <w:lvlText w:val="•"/>
      <w:lvlJc w:val="left"/>
      <w:pPr>
        <w:ind w:left="1772" w:hanging="191"/>
      </w:pPr>
      <w:rPr>
        <w:rFonts w:hint="default"/>
        <w:lang w:val="es-ES" w:eastAsia="es-ES" w:bidi="es-ES"/>
      </w:rPr>
    </w:lvl>
    <w:lvl w:ilvl="3">
      <w:start w:val="0"/>
      <w:numFmt w:val="bullet"/>
      <w:lvlText w:val="•"/>
      <w:lvlJc w:val="left"/>
      <w:pPr>
        <w:ind w:left="2578" w:hanging="191"/>
      </w:pPr>
      <w:rPr>
        <w:rFonts w:hint="default"/>
        <w:lang w:val="es-ES" w:eastAsia="es-ES" w:bidi="es-ES"/>
      </w:rPr>
    </w:lvl>
    <w:lvl w:ilvl="4">
      <w:start w:val="0"/>
      <w:numFmt w:val="bullet"/>
      <w:lvlText w:val="•"/>
      <w:lvlJc w:val="left"/>
      <w:pPr>
        <w:ind w:left="3384" w:hanging="191"/>
      </w:pPr>
      <w:rPr>
        <w:rFonts w:hint="default"/>
        <w:lang w:val="es-ES" w:eastAsia="es-ES" w:bidi="es-ES"/>
      </w:rPr>
    </w:lvl>
    <w:lvl w:ilvl="5">
      <w:start w:val="0"/>
      <w:numFmt w:val="bullet"/>
      <w:lvlText w:val="•"/>
      <w:lvlJc w:val="left"/>
      <w:pPr>
        <w:ind w:left="4190" w:hanging="191"/>
      </w:pPr>
      <w:rPr>
        <w:rFonts w:hint="default"/>
        <w:lang w:val="es-ES" w:eastAsia="es-ES" w:bidi="es-ES"/>
      </w:rPr>
    </w:lvl>
    <w:lvl w:ilvl="6">
      <w:start w:val="0"/>
      <w:numFmt w:val="bullet"/>
      <w:lvlText w:val="•"/>
      <w:lvlJc w:val="left"/>
      <w:pPr>
        <w:ind w:left="4996" w:hanging="191"/>
      </w:pPr>
      <w:rPr>
        <w:rFonts w:hint="default"/>
        <w:lang w:val="es-ES" w:eastAsia="es-ES" w:bidi="es-ES"/>
      </w:rPr>
    </w:lvl>
    <w:lvl w:ilvl="7">
      <w:start w:val="0"/>
      <w:numFmt w:val="bullet"/>
      <w:lvlText w:val="•"/>
      <w:lvlJc w:val="left"/>
      <w:pPr>
        <w:ind w:left="5802" w:hanging="191"/>
      </w:pPr>
      <w:rPr>
        <w:rFonts w:hint="default"/>
        <w:lang w:val="es-ES" w:eastAsia="es-ES" w:bidi="es-ES"/>
      </w:rPr>
    </w:lvl>
    <w:lvl w:ilvl="8">
      <w:start w:val="0"/>
      <w:numFmt w:val="bullet"/>
      <w:lvlText w:val="•"/>
      <w:lvlJc w:val="left"/>
      <w:pPr>
        <w:ind w:left="6608" w:hanging="191"/>
      </w:pPr>
      <w:rPr>
        <w:rFonts w:hint="default"/>
        <w:lang w:val="es-ES" w:eastAsia="es-ES" w:bidi="es-ES"/>
      </w:rPr>
    </w:lvl>
  </w:abstractNum>
  <w:abstractNum w:abstractNumId="19">
    <w:multiLevelType w:val="hybridMultilevel"/>
    <w:lvl w:ilvl="0">
      <w:start w:val="1"/>
      <w:numFmt w:val="lowerLetter"/>
      <w:lvlText w:val="%1)"/>
      <w:lvlJc w:val="left"/>
      <w:pPr>
        <w:ind w:left="151" w:hanging="183"/>
        <w:jc w:val="left"/>
      </w:pPr>
      <w:rPr>
        <w:rFonts w:hint="default" w:ascii="Arial" w:hAnsi="Arial" w:eastAsia="Arial" w:cs="Arial"/>
        <w:w w:val="102"/>
        <w:sz w:val="15"/>
        <w:szCs w:val="15"/>
        <w:lang w:val="es-ES" w:eastAsia="es-ES" w:bidi="es-ES"/>
      </w:rPr>
    </w:lvl>
    <w:lvl w:ilvl="1">
      <w:start w:val="0"/>
      <w:numFmt w:val="bullet"/>
      <w:lvlText w:val="•"/>
      <w:lvlJc w:val="left"/>
      <w:pPr>
        <w:ind w:left="966" w:hanging="183"/>
      </w:pPr>
      <w:rPr>
        <w:rFonts w:hint="default"/>
        <w:lang w:val="es-ES" w:eastAsia="es-ES" w:bidi="es-ES"/>
      </w:rPr>
    </w:lvl>
    <w:lvl w:ilvl="2">
      <w:start w:val="0"/>
      <w:numFmt w:val="bullet"/>
      <w:lvlText w:val="•"/>
      <w:lvlJc w:val="left"/>
      <w:pPr>
        <w:ind w:left="1772" w:hanging="183"/>
      </w:pPr>
      <w:rPr>
        <w:rFonts w:hint="default"/>
        <w:lang w:val="es-ES" w:eastAsia="es-ES" w:bidi="es-ES"/>
      </w:rPr>
    </w:lvl>
    <w:lvl w:ilvl="3">
      <w:start w:val="0"/>
      <w:numFmt w:val="bullet"/>
      <w:lvlText w:val="•"/>
      <w:lvlJc w:val="left"/>
      <w:pPr>
        <w:ind w:left="2578" w:hanging="183"/>
      </w:pPr>
      <w:rPr>
        <w:rFonts w:hint="default"/>
        <w:lang w:val="es-ES" w:eastAsia="es-ES" w:bidi="es-ES"/>
      </w:rPr>
    </w:lvl>
    <w:lvl w:ilvl="4">
      <w:start w:val="0"/>
      <w:numFmt w:val="bullet"/>
      <w:lvlText w:val="•"/>
      <w:lvlJc w:val="left"/>
      <w:pPr>
        <w:ind w:left="3384" w:hanging="183"/>
      </w:pPr>
      <w:rPr>
        <w:rFonts w:hint="default"/>
        <w:lang w:val="es-ES" w:eastAsia="es-ES" w:bidi="es-ES"/>
      </w:rPr>
    </w:lvl>
    <w:lvl w:ilvl="5">
      <w:start w:val="0"/>
      <w:numFmt w:val="bullet"/>
      <w:lvlText w:val="•"/>
      <w:lvlJc w:val="left"/>
      <w:pPr>
        <w:ind w:left="4190" w:hanging="183"/>
      </w:pPr>
      <w:rPr>
        <w:rFonts w:hint="default"/>
        <w:lang w:val="es-ES" w:eastAsia="es-ES" w:bidi="es-ES"/>
      </w:rPr>
    </w:lvl>
    <w:lvl w:ilvl="6">
      <w:start w:val="0"/>
      <w:numFmt w:val="bullet"/>
      <w:lvlText w:val="•"/>
      <w:lvlJc w:val="left"/>
      <w:pPr>
        <w:ind w:left="4997" w:hanging="183"/>
      </w:pPr>
      <w:rPr>
        <w:rFonts w:hint="default"/>
        <w:lang w:val="es-ES" w:eastAsia="es-ES" w:bidi="es-ES"/>
      </w:rPr>
    </w:lvl>
    <w:lvl w:ilvl="7">
      <w:start w:val="0"/>
      <w:numFmt w:val="bullet"/>
      <w:lvlText w:val="•"/>
      <w:lvlJc w:val="left"/>
      <w:pPr>
        <w:ind w:left="5803" w:hanging="183"/>
      </w:pPr>
      <w:rPr>
        <w:rFonts w:hint="default"/>
        <w:lang w:val="es-ES" w:eastAsia="es-ES" w:bidi="es-ES"/>
      </w:rPr>
    </w:lvl>
    <w:lvl w:ilvl="8">
      <w:start w:val="0"/>
      <w:numFmt w:val="bullet"/>
      <w:lvlText w:val="•"/>
      <w:lvlJc w:val="left"/>
      <w:pPr>
        <w:ind w:left="6609" w:hanging="183"/>
      </w:pPr>
      <w:rPr>
        <w:rFonts w:hint="default"/>
        <w:lang w:val="es-ES" w:eastAsia="es-ES" w:bidi="es-ES"/>
      </w:rPr>
    </w:lvl>
  </w:abstractNum>
  <w:abstractNum w:abstractNumId="18">
    <w:multiLevelType w:val="hybridMultilevel"/>
    <w:lvl w:ilvl="0">
      <w:start w:val="1"/>
      <w:numFmt w:val="lowerLetter"/>
      <w:lvlText w:val="%1)"/>
      <w:lvlJc w:val="left"/>
      <w:pPr>
        <w:ind w:left="151" w:hanging="183"/>
        <w:jc w:val="left"/>
      </w:pPr>
      <w:rPr>
        <w:rFonts w:hint="default" w:ascii="Arial" w:hAnsi="Arial" w:eastAsia="Arial" w:cs="Arial"/>
        <w:w w:val="102"/>
        <w:sz w:val="15"/>
        <w:szCs w:val="15"/>
        <w:lang w:val="es-ES" w:eastAsia="es-ES" w:bidi="es-ES"/>
      </w:rPr>
    </w:lvl>
    <w:lvl w:ilvl="1">
      <w:start w:val="0"/>
      <w:numFmt w:val="bullet"/>
      <w:lvlText w:val="•"/>
      <w:lvlJc w:val="left"/>
      <w:pPr>
        <w:ind w:left="966" w:hanging="183"/>
      </w:pPr>
      <w:rPr>
        <w:rFonts w:hint="default"/>
        <w:lang w:val="es-ES" w:eastAsia="es-ES" w:bidi="es-ES"/>
      </w:rPr>
    </w:lvl>
    <w:lvl w:ilvl="2">
      <w:start w:val="0"/>
      <w:numFmt w:val="bullet"/>
      <w:lvlText w:val="•"/>
      <w:lvlJc w:val="left"/>
      <w:pPr>
        <w:ind w:left="1772" w:hanging="183"/>
      </w:pPr>
      <w:rPr>
        <w:rFonts w:hint="default"/>
        <w:lang w:val="es-ES" w:eastAsia="es-ES" w:bidi="es-ES"/>
      </w:rPr>
    </w:lvl>
    <w:lvl w:ilvl="3">
      <w:start w:val="0"/>
      <w:numFmt w:val="bullet"/>
      <w:lvlText w:val="•"/>
      <w:lvlJc w:val="left"/>
      <w:pPr>
        <w:ind w:left="2578" w:hanging="183"/>
      </w:pPr>
      <w:rPr>
        <w:rFonts w:hint="default"/>
        <w:lang w:val="es-ES" w:eastAsia="es-ES" w:bidi="es-ES"/>
      </w:rPr>
    </w:lvl>
    <w:lvl w:ilvl="4">
      <w:start w:val="0"/>
      <w:numFmt w:val="bullet"/>
      <w:lvlText w:val="•"/>
      <w:lvlJc w:val="left"/>
      <w:pPr>
        <w:ind w:left="3384" w:hanging="183"/>
      </w:pPr>
      <w:rPr>
        <w:rFonts w:hint="default"/>
        <w:lang w:val="es-ES" w:eastAsia="es-ES" w:bidi="es-ES"/>
      </w:rPr>
    </w:lvl>
    <w:lvl w:ilvl="5">
      <w:start w:val="0"/>
      <w:numFmt w:val="bullet"/>
      <w:lvlText w:val="•"/>
      <w:lvlJc w:val="left"/>
      <w:pPr>
        <w:ind w:left="4190" w:hanging="183"/>
      </w:pPr>
      <w:rPr>
        <w:rFonts w:hint="default"/>
        <w:lang w:val="es-ES" w:eastAsia="es-ES" w:bidi="es-ES"/>
      </w:rPr>
    </w:lvl>
    <w:lvl w:ilvl="6">
      <w:start w:val="0"/>
      <w:numFmt w:val="bullet"/>
      <w:lvlText w:val="•"/>
      <w:lvlJc w:val="left"/>
      <w:pPr>
        <w:ind w:left="4997" w:hanging="183"/>
      </w:pPr>
      <w:rPr>
        <w:rFonts w:hint="default"/>
        <w:lang w:val="es-ES" w:eastAsia="es-ES" w:bidi="es-ES"/>
      </w:rPr>
    </w:lvl>
    <w:lvl w:ilvl="7">
      <w:start w:val="0"/>
      <w:numFmt w:val="bullet"/>
      <w:lvlText w:val="•"/>
      <w:lvlJc w:val="left"/>
      <w:pPr>
        <w:ind w:left="5803" w:hanging="183"/>
      </w:pPr>
      <w:rPr>
        <w:rFonts w:hint="default"/>
        <w:lang w:val="es-ES" w:eastAsia="es-ES" w:bidi="es-ES"/>
      </w:rPr>
    </w:lvl>
    <w:lvl w:ilvl="8">
      <w:start w:val="0"/>
      <w:numFmt w:val="bullet"/>
      <w:lvlText w:val="•"/>
      <w:lvlJc w:val="left"/>
      <w:pPr>
        <w:ind w:left="6609" w:hanging="183"/>
      </w:pPr>
      <w:rPr>
        <w:rFonts w:hint="default"/>
        <w:lang w:val="es-ES" w:eastAsia="es-ES" w:bidi="es-ES"/>
      </w:rPr>
    </w:lvl>
  </w:abstractNum>
  <w:abstractNum w:abstractNumId="17">
    <w:multiLevelType w:val="hybridMultilevel"/>
    <w:lvl w:ilvl="0">
      <w:start w:val="1"/>
      <w:numFmt w:val="upperRoman"/>
      <w:lvlText w:val="%1."/>
      <w:lvlJc w:val="left"/>
      <w:pPr>
        <w:ind w:left="677" w:hanging="129"/>
        <w:jc w:val="left"/>
      </w:pPr>
      <w:rPr>
        <w:rFonts w:hint="default" w:ascii="Arial" w:hAnsi="Arial" w:eastAsia="Arial" w:cs="Arial"/>
        <w:w w:val="102"/>
        <w:sz w:val="15"/>
        <w:szCs w:val="15"/>
        <w:lang w:val="es-ES" w:eastAsia="es-ES" w:bidi="es-ES"/>
      </w:rPr>
    </w:lvl>
    <w:lvl w:ilvl="1">
      <w:start w:val="0"/>
      <w:numFmt w:val="bullet"/>
      <w:lvlText w:val="•"/>
      <w:lvlJc w:val="left"/>
      <w:pPr>
        <w:ind w:left="1434" w:hanging="129"/>
      </w:pPr>
      <w:rPr>
        <w:rFonts w:hint="default"/>
        <w:lang w:val="es-ES" w:eastAsia="es-ES" w:bidi="es-ES"/>
      </w:rPr>
    </w:lvl>
    <w:lvl w:ilvl="2">
      <w:start w:val="0"/>
      <w:numFmt w:val="bullet"/>
      <w:lvlText w:val="•"/>
      <w:lvlJc w:val="left"/>
      <w:pPr>
        <w:ind w:left="2188" w:hanging="129"/>
      </w:pPr>
      <w:rPr>
        <w:rFonts w:hint="default"/>
        <w:lang w:val="es-ES" w:eastAsia="es-ES" w:bidi="es-ES"/>
      </w:rPr>
    </w:lvl>
    <w:lvl w:ilvl="3">
      <w:start w:val="0"/>
      <w:numFmt w:val="bullet"/>
      <w:lvlText w:val="•"/>
      <w:lvlJc w:val="left"/>
      <w:pPr>
        <w:ind w:left="2942" w:hanging="129"/>
      </w:pPr>
      <w:rPr>
        <w:rFonts w:hint="default"/>
        <w:lang w:val="es-ES" w:eastAsia="es-ES" w:bidi="es-ES"/>
      </w:rPr>
    </w:lvl>
    <w:lvl w:ilvl="4">
      <w:start w:val="0"/>
      <w:numFmt w:val="bullet"/>
      <w:lvlText w:val="•"/>
      <w:lvlJc w:val="left"/>
      <w:pPr>
        <w:ind w:left="3696" w:hanging="129"/>
      </w:pPr>
      <w:rPr>
        <w:rFonts w:hint="default"/>
        <w:lang w:val="es-ES" w:eastAsia="es-ES" w:bidi="es-ES"/>
      </w:rPr>
    </w:lvl>
    <w:lvl w:ilvl="5">
      <w:start w:val="0"/>
      <w:numFmt w:val="bullet"/>
      <w:lvlText w:val="•"/>
      <w:lvlJc w:val="left"/>
      <w:pPr>
        <w:ind w:left="4450" w:hanging="129"/>
      </w:pPr>
      <w:rPr>
        <w:rFonts w:hint="default"/>
        <w:lang w:val="es-ES" w:eastAsia="es-ES" w:bidi="es-ES"/>
      </w:rPr>
    </w:lvl>
    <w:lvl w:ilvl="6">
      <w:start w:val="0"/>
      <w:numFmt w:val="bullet"/>
      <w:lvlText w:val="•"/>
      <w:lvlJc w:val="left"/>
      <w:pPr>
        <w:ind w:left="5205" w:hanging="129"/>
      </w:pPr>
      <w:rPr>
        <w:rFonts w:hint="default"/>
        <w:lang w:val="es-ES" w:eastAsia="es-ES" w:bidi="es-ES"/>
      </w:rPr>
    </w:lvl>
    <w:lvl w:ilvl="7">
      <w:start w:val="0"/>
      <w:numFmt w:val="bullet"/>
      <w:lvlText w:val="•"/>
      <w:lvlJc w:val="left"/>
      <w:pPr>
        <w:ind w:left="5959" w:hanging="129"/>
      </w:pPr>
      <w:rPr>
        <w:rFonts w:hint="default"/>
        <w:lang w:val="es-ES" w:eastAsia="es-ES" w:bidi="es-ES"/>
      </w:rPr>
    </w:lvl>
    <w:lvl w:ilvl="8">
      <w:start w:val="0"/>
      <w:numFmt w:val="bullet"/>
      <w:lvlText w:val="•"/>
      <w:lvlJc w:val="left"/>
      <w:pPr>
        <w:ind w:left="6713" w:hanging="129"/>
      </w:pPr>
      <w:rPr>
        <w:rFonts w:hint="default"/>
        <w:lang w:val="es-ES" w:eastAsia="es-ES" w:bidi="es-ES"/>
      </w:rPr>
    </w:lvl>
  </w:abstractNum>
  <w:abstractNum w:abstractNumId="16">
    <w:multiLevelType w:val="hybridMultilevel"/>
    <w:lvl w:ilvl="0">
      <w:start w:val="1"/>
      <w:numFmt w:val="upperRoman"/>
      <w:lvlText w:val="%1."/>
      <w:lvlJc w:val="left"/>
      <w:pPr>
        <w:ind w:left="151" w:hanging="137"/>
        <w:jc w:val="left"/>
      </w:pPr>
      <w:rPr>
        <w:rFonts w:hint="default" w:ascii="Arial" w:hAnsi="Arial" w:eastAsia="Arial" w:cs="Arial"/>
        <w:w w:val="102"/>
        <w:sz w:val="15"/>
        <w:szCs w:val="15"/>
        <w:lang w:val="es-ES" w:eastAsia="es-ES" w:bidi="es-ES"/>
      </w:rPr>
    </w:lvl>
    <w:lvl w:ilvl="1">
      <w:start w:val="0"/>
      <w:numFmt w:val="bullet"/>
      <w:lvlText w:val="•"/>
      <w:lvlJc w:val="left"/>
      <w:pPr>
        <w:ind w:left="919" w:hanging="137"/>
      </w:pPr>
      <w:rPr>
        <w:rFonts w:hint="default"/>
        <w:lang w:val="es-ES" w:eastAsia="es-ES" w:bidi="es-ES"/>
      </w:rPr>
    </w:lvl>
    <w:lvl w:ilvl="2">
      <w:start w:val="0"/>
      <w:numFmt w:val="bullet"/>
      <w:lvlText w:val="•"/>
      <w:lvlJc w:val="left"/>
      <w:pPr>
        <w:ind w:left="1678" w:hanging="137"/>
      </w:pPr>
      <w:rPr>
        <w:rFonts w:hint="default"/>
        <w:lang w:val="es-ES" w:eastAsia="es-ES" w:bidi="es-ES"/>
      </w:rPr>
    </w:lvl>
    <w:lvl w:ilvl="3">
      <w:start w:val="0"/>
      <w:numFmt w:val="bullet"/>
      <w:lvlText w:val="•"/>
      <w:lvlJc w:val="left"/>
      <w:pPr>
        <w:ind w:left="2437" w:hanging="137"/>
      </w:pPr>
      <w:rPr>
        <w:rFonts w:hint="default"/>
        <w:lang w:val="es-ES" w:eastAsia="es-ES" w:bidi="es-ES"/>
      </w:rPr>
    </w:lvl>
    <w:lvl w:ilvl="4">
      <w:start w:val="0"/>
      <w:numFmt w:val="bullet"/>
      <w:lvlText w:val="•"/>
      <w:lvlJc w:val="left"/>
      <w:pPr>
        <w:ind w:left="3196" w:hanging="137"/>
      </w:pPr>
      <w:rPr>
        <w:rFonts w:hint="default"/>
        <w:lang w:val="es-ES" w:eastAsia="es-ES" w:bidi="es-ES"/>
      </w:rPr>
    </w:lvl>
    <w:lvl w:ilvl="5">
      <w:start w:val="0"/>
      <w:numFmt w:val="bullet"/>
      <w:lvlText w:val="•"/>
      <w:lvlJc w:val="left"/>
      <w:pPr>
        <w:ind w:left="3955" w:hanging="137"/>
      </w:pPr>
      <w:rPr>
        <w:rFonts w:hint="default"/>
        <w:lang w:val="es-ES" w:eastAsia="es-ES" w:bidi="es-ES"/>
      </w:rPr>
    </w:lvl>
    <w:lvl w:ilvl="6">
      <w:start w:val="0"/>
      <w:numFmt w:val="bullet"/>
      <w:lvlText w:val="•"/>
      <w:lvlJc w:val="left"/>
      <w:pPr>
        <w:ind w:left="4714" w:hanging="137"/>
      </w:pPr>
      <w:rPr>
        <w:rFonts w:hint="default"/>
        <w:lang w:val="es-ES" w:eastAsia="es-ES" w:bidi="es-ES"/>
      </w:rPr>
    </w:lvl>
    <w:lvl w:ilvl="7">
      <w:start w:val="0"/>
      <w:numFmt w:val="bullet"/>
      <w:lvlText w:val="•"/>
      <w:lvlJc w:val="left"/>
      <w:pPr>
        <w:ind w:left="5474" w:hanging="137"/>
      </w:pPr>
      <w:rPr>
        <w:rFonts w:hint="default"/>
        <w:lang w:val="es-ES" w:eastAsia="es-ES" w:bidi="es-ES"/>
      </w:rPr>
    </w:lvl>
    <w:lvl w:ilvl="8">
      <w:start w:val="0"/>
      <w:numFmt w:val="bullet"/>
      <w:lvlText w:val="•"/>
      <w:lvlJc w:val="left"/>
      <w:pPr>
        <w:ind w:left="6233" w:hanging="137"/>
      </w:pPr>
      <w:rPr>
        <w:rFonts w:hint="default"/>
        <w:lang w:val="es-ES" w:eastAsia="es-ES" w:bidi="es-ES"/>
      </w:rPr>
    </w:lvl>
  </w:abstractNum>
  <w:abstractNum w:abstractNumId="15">
    <w:multiLevelType w:val="hybridMultilevel"/>
    <w:lvl w:ilvl="0">
      <w:start w:val="1"/>
      <w:numFmt w:val="upperRoman"/>
      <w:lvlText w:val="%1."/>
      <w:lvlJc w:val="left"/>
      <w:pPr>
        <w:ind w:left="173" w:hanging="100"/>
        <w:jc w:val="left"/>
      </w:pPr>
      <w:rPr>
        <w:rFonts w:hint="default" w:ascii="Arial" w:hAnsi="Arial" w:eastAsia="Arial" w:cs="Arial"/>
        <w:w w:val="102"/>
        <w:sz w:val="13"/>
        <w:szCs w:val="13"/>
        <w:lang w:val="es-ES" w:eastAsia="es-ES" w:bidi="es-ES"/>
      </w:rPr>
    </w:lvl>
    <w:lvl w:ilvl="1">
      <w:start w:val="0"/>
      <w:numFmt w:val="bullet"/>
      <w:lvlText w:val="•"/>
      <w:lvlJc w:val="left"/>
      <w:pPr>
        <w:ind w:left="984" w:hanging="100"/>
      </w:pPr>
      <w:rPr>
        <w:rFonts w:hint="default"/>
        <w:lang w:val="es-ES" w:eastAsia="es-ES" w:bidi="es-ES"/>
      </w:rPr>
    </w:lvl>
    <w:lvl w:ilvl="2">
      <w:start w:val="0"/>
      <w:numFmt w:val="bullet"/>
      <w:lvlText w:val="•"/>
      <w:lvlJc w:val="left"/>
      <w:pPr>
        <w:ind w:left="1788" w:hanging="100"/>
      </w:pPr>
      <w:rPr>
        <w:rFonts w:hint="default"/>
        <w:lang w:val="es-ES" w:eastAsia="es-ES" w:bidi="es-ES"/>
      </w:rPr>
    </w:lvl>
    <w:lvl w:ilvl="3">
      <w:start w:val="0"/>
      <w:numFmt w:val="bullet"/>
      <w:lvlText w:val="•"/>
      <w:lvlJc w:val="left"/>
      <w:pPr>
        <w:ind w:left="2592" w:hanging="100"/>
      </w:pPr>
      <w:rPr>
        <w:rFonts w:hint="default"/>
        <w:lang w:val="es-ES" w:eastAsia="es-ES" w:bidi="es-ES"/>
      </w:rPr>
    </w:lvl>
    <w:lvl w:ilvl="4">
      <w:start w:val="0"/>
      <w:numFmt w:val="bullet"/>
      <w:lvlText w:val="•"/>
      <w:lvlJc w:val="left"/>
      <w:pPr>
        <w:ind w:left="3396" w:hanging="100"/>
      </w:pPr>
      <w:rPr>
        <w:rFonts w:hint="default"/>
        <w:lang w:val="es-ES" w:eastAsia="es-ES" w:bidi="es-ES"/>
      </w:rPr>
    </w:lvl>
    <w:lvl w:ilvl="5">
      <w:start w:val="0"/>
      <w:numFmt w:val="bullet"/>
      <w:lvlText w:val="•"/>
      <w:lvlJc w:val="left"/>
      <w:pPr>
        <w:ind w:left="4200" w:hanging="100"/>
      </w:pPr>
      <w:rPr>
        <w:rFonts w:hint="default"/>
        <w:lang w:val="es-ES" w:eastAsia="es-ES" w:bidi="es-ES"/>
      </w:rPr>
    </w:lvl>
    <w:lvl w:ilvl="6">
      <w:start w:val="0"/>
      <w:numFmt w:val="bullet"/>
      <w:lvlText w:val="•"/>
      <w:lvlJc w:val="left"/>
      <w:pPr>
        <w:ind w:left="5005" w:hanging="100"/>
      </w:pPr>
      <w:rPr>
        <w:rFonts w:hint="default"/>
        <w:lang w:val="es-ES" w:eastAsia="es-ES" w:bidi="es-ES"/>
      </w:rPr>
    </w:lvl>
    <w:lvl w:ilvl="7">
      <w:start w:val="0"/>
      <w:numFmt w:val="bullet"/>
      <w:lvlText w:val="•"/>
      <w:lvlJc w:val="left"/>
      <w:pPr>
        <w:ind w:left="5809" w:hanging="100"/>
      </w:pPr>
      <w:rPr>
        <w:rFonts w:hint="default"/>
        <w:lang w:val="es-ES" w:eastAsia="es-ES" w:bidi="es-ES"/>
      </w:rPr>
    </w:lvl>
    <w:lvl w:ilvl="8">
      <w:start w:val="0"/>
      <w:numFmt w:val="bullet"/>
      <w:lvlText w:val="•"/>
      <w:lvlJc w:val="left"/>
      <w:pPr>
        <w:ind w:left="6613" w:hanging="100"/>
      </w:pPr>
      <w:rPr>
        <w:rFonts w:hint="default"/>
        <w:lang w:val="es-ES" w:eastAsia="es-ES" w:bidi="es-ES"/>
      </w:rPr>
    </w:lvl>
  </w:abstractNum>
  <w:abstractNum w:abstractNumId="14">
    <w:multiLevelType w:val="hybridMultilevel"/>
    <w:lvl w:ilvl="0">
      <w:start w:val="3"/>
      <w:numFmt w:val="lowerLetter"/>
      <w:lvlText w:val="%1)"/>
      <w:lvlJc w:val="left"/>
      <w:pPr>
        <w:ind w:left="321" w:hanging="172"/>
        <w:jc w:val="left"/>
      </w:pPr>
      <w:rPr>
        <w:rFonts w:hint="default" w:ascii="Arial" w:hAnsi="Arial" w:eastAsia="Arial" w:cs="Arial"/>
        <w:w w:val="102"/>
        <w:sz w:val="15"/>
        <w:szCs w:val="15"/>
        <w:lang w:val="es-ES" w:eastAsia="es-ES" w:bidi="es-ES"/>
      </w:rPr>
    </w:lvl>
    <w:lvl w:ilvl="1">
      <w:start w:val="1"/>
      <w:numFmt w:val="upperRoman"/>
      <w:lvlText w:val="%2."/>
      <w:lvlJc w:val="left"/>
      <w:pPr>
        <w:ind w:left="150" w:hanging="194"/>
        <w:jc w:val="left"/>
      </w:pPr>
      <w:rPr>
        <w:rFonts w:hint="default" w:ascii="Arial" w:hAnsi="Arial" w:eastAsia="Arial" w:cs="Arial"/>
        <w:w w:val="102"/>
        <w:sz w:val="15"/>
        <w:szCs w:val="15"/>
        <w:lang w:val="es-ES" w:eastAsia="es-ES" w:bidi="es-ES"/>
      </w:rPr>
    </w:lvl>
    <w:lvl w:ilvl="2">
      <w:start w:val="0"/>
      <w:numFmt w:val="bullet"/>
      <w:lvlText w:val="•"/>
      <w:lvlJc w:val="left"/>
      <w:pPr>
        <w:ind w:left="1145" w:hanging="194"/>
      </w:pPr>
      <w:rPr>
        <w:rFonts w:hint="default"/>
        <w:lang w:val="es-ES" w:eastAsia="es-ES" w:bidi="es-ES"/>
      </w:rPr>
    </w:lvl>
    <w:lvl w:ilvl="3">
      <w:start w:val="0"/>
      <w:numFmt w:val="bullet"/>
      <w:lvlText w:val="•"/>
      <w:lvlJc w:val="left"/>
      <w:pPr>
        <w:ind w:left="1971" w:hanging="194"/>
      </w:pPr>
      <w:rPr>
        <w:rFonts w:hint="default"/>
        <w:lang w:val="es-ES" w:eastAsia="es-ES" w:bidi="es-ES"/>
      </w:rPr>
    </w:lvl>
    <w:lvl w:ilvl="4">
      <w:start w:val="0"/>
      <w:numFmt w:val="bullet"/>
      <w:lvlText w:val="•"/>
      <w:lvlJc w:val="left"/>
      <w:pPr>
        <w:ind w:left="2796" w:hanging="194"/>
      </w:pPr>
      <w:rPr>
        <w:rFonts w:hint="default"/>
        <w:lang w:val="es-ES" w:eastAsia="es-ES" w:bidi="es-ES"/>
      </w:rPr>
    </w:lvl>
    <w:lvl w:ilvl="5">
      <w:start w:val="0"/>
      <w:numFmt w:val="bullet"/>
      <w:lvlText w:val="•"/>
      <w:lvlJc w:val="left"/>
      <w:pPr>
        <w:ind w:left="3622" w:hanging="194"/>
      </w:pPr>
      <w:rPr>
        <w:rFonts w:hint="default"/>
        <w:lang w:val="es-ES" w:eastAsia="es-ES" w:bidi="es-ES"/>
      </w:rPr>
    </w:lvl>
    <w:lvl w:ilvl="6">
      <w:start w:val="0"/>
      <w:numFmt w:val="bullet"/>
      <w:lvlText w:val="•"/>
      <w:lvlJc w:val="left"/>
      <w:pPr>
        <w:ind w:left="4448" w:hanging="194"/>
      </w:pPr>
      <w:rPr>
        <w:rFonts w:hint="default"/>
        <w:lang w:val="es-ES" w:eastAsia="es-ES" w:bidi="es-ES"/>
      </w:rPr>
    </w:lvl>
    <w:lvl w:ilvl="7">
      <w:start w:val="0"/>
      <w:numFmt w:val="bullet"/>
      <w:lvlText w:val="•"/>
      <w:lvlJc w:val="left"/>
      <w:pPr>
        <w:ind w:left="5273" w:hanging="194"/>
      </w:pPr>
      <w:rPr>
        <w:rFonts w:hint="default"/>
        <w:lang w:val="es-ES" w:eastAsia="es-ES" w:bidi="es-ES"/>
      </w:rPr>
    </w:lvl>
    <w:lvl w:ilvl="8">
      <w:start w:val="0"/>
      <w:numFmt w:val="bullet"/>
      <w:lvlText w:val="•"/>
      <w:lvlJc w:val="left"/>
      <w:pPr>
        <w:ind w:left="6099" w:hanging="194"/>
      </w:pPr>
      <w:rPr>
        <w:rFonts w:hint="default"/>
        <w:lang w:val="es-ES" w:eastAsia="es-ES" w:bidi="es-ES"/>
      </w:rPr>
    </w:lvl>
  </w:abstractNum>
  <w:abstractNum w:abstractNumId="13">
    <w:multiLevelType w:val="hybridMultilevel"/>
    <w:lvl w:ilvl="0">
      <w:start w:val="1"/>
      <w:numFmt w:val="upperRoman"/>
      <w:lvlText w:val="%1."/>
      <w:lvlJc w:val="left"/>
      <w:pPr>
        <w:ind w:left="151" w:hanging="132"/>
        <w:jc w:val="left"/>
      </w:pPr>
      <w:rPr>
        <w:rFonts w:hint="default" w:ascii="Arial" w:hAnsi="Arial" w:eastAsia="Arial" w:cs="Arial"/>
        <w:w w:val="102"/>
        <w:sz w:val="15"/>
        <w:szCs w:val="15"/>
        <w:lang w:val="es-ES" w:eastAsia="es-ES" w:bidi="es-ES"/>
      </w:rPr>
    </w:lvl>
    <w:lvl w:ilvl="1">
      <w:start w:val="0"/>
      <w:numFmt w:val="bullet"/>
      <w:lvlText w:val="•"/>
      <w:lvlJc w:val="left"/>
      <w:pPr>
        <w:ind w:left="966" w:hanging="132"/>
      </w:pPr>
      <w:rPr>
        <w:rFonts w:hint="default"/>
        <w:lang w:val="es-ES" w:eastAsia="es-ES" w:bidi="es-ES"/>
      </w:rPr>
    </w:lvl>
    <w:lvl w:ilvl="2">
      <w:start w:val="0"/>
      <w:numFmt w:val="bullet"/>
      <w:lvlText w:val="•"/>
      <w:lvlJc w:val="left"/>
      <w:pPr>
        <w:ind w:left="1772" w:hanging="132"/>
      </w:pPr>
      <w:rPr>
        <w:rFonts w:hint="default"/>
        <w:lang w:val="es-ES" w:eastAsia="es-ES" w:bidi="es-ES"/>
      </w:rPr>
    </w:lvl>
    <w:lvl w:ilvl="3">
      <w:start w:val="0"/>
      <w:numFmt w:val="bullet"/>
      <w:lvlText w:val="•"/>
      <w:lvlJc w:val="left"/>
      <w:pPr>
        <w:ind w:left="2578" w:hanging="132"/>
      </w:pPr>
      <w:rPr>
        <w:rFonts w:hint="default"/>
        <w:lang w:val="es-ES" w:eastAsia="es-ES" w:bidi="es-ES"/>
      </w:rPr>
    </w:lvl>
    <w:lvl w:ilvl="4">
      <w:start w:val="0"/>
      <w:numFmt w:val="bullet"/>
      <w:lvlText w:val="•"/>
      <w:lvlJc w:val="left"/>
      <w:pPr>
        <w:ind w:left="3384" w:hanging="132"/>
      </w:pPr>
      <w:rPr>
        <w:rFonts w:hint="default"/>
        <w:lang w:val="es-ES" w:eastAsia="es-ES" w:bidi="es-ES"/>
      </w:rPr>
    </w:lvl>
    <w:lvl w:ilvl="5">
      <w:start w:val="0"/>
      <w:numFmt w:val="bullet"/>
      <w:lvlText w:val="•"/>
      <w:lvlJc w:val="left"/>
      <w:pPr>
        <w:ind w:left="4190" w:hanging="132"/>
      </w:pPr>
      <w:rPr>
        <w:rFonts w:hint="default"/>
        <w:lang w:val="es-ES" w:eastAsia="es-ES" w:bidi="es-ES"/>
      </w:rPr>
    </w:lvl>
    <w:lvl w:ilvl="6">
      <w:start w:val="0"/>
      <w:numFmt w:val="bullet"/>
      <w:lvlText w:val="•"/>
      <w:lvlJc w:val="left"/>
      <w:pPr>
        <w:ind w:left="4997" w:hanging="132"/>
      </w:pPr>
      <w:rPr>
        <w:rFonts w:hint="default"/>
        <w:lang w:val="es-ES" w:eastAsia="es-ES" w:bidi="es-ES"/>
      </w:rPr>
    </w:lvl>
    <w:lvl w:ilvl="7">
      <w:start w:val="0"/>
      <w:numFmt w:val="bullet"/>
      <w:lvlText w:val="•"/>
      <w:lvlJc w:val="left"/>
      <w:pPr>
        <w:ind w:left="5803" w:hanging="132"/>
      </w:pPr>
      <w:rPr>
        <w:rFonts w:hint="default"/>
        <w:lang w:val="es-ES" w:eastAsia="es-ES" w:bidi="es-ES"/>
      </w:rPr>
    </w:lvl>
    <w:lvl w:ilvl="8">
      <w:start w:val="0"/>
      <w:numFmt w:val="bullet"/>
      <w:lvlText w:val="•"/>
      <w:lvlJc w:val="left"/>
      <w:pPr>
        <w:ind w:left="6609" w:hanging="132"/>
      </w:pPr>
      <w:rPr>
        <w:rFonts w:hint="default"/>
        <w:lang w:val="es-ES" w:eastAsia="es-ES" w:bidi="es-ES"/>
      </w:rPr>
    </w:lvl>
  </w:abstractNum>
  <w:abstractNum w:abstractNumId="12">
    <w:multiLevelType w:val="hybridMultilevel"/>
    <w:lvl w:ilvl="0">
      <w:start w:val="1"/>
      <w:numFmt w:val="upperRoman"/>
      <w:lvlText w:val="%1."/>
      <w:lvlJc w:val="left"/>
      <w:pPr>
        <w:ind w:left="151" w:hanging="165"/>
        <w:jc w:val="left"/>
      </w:pPr>
      <w:rPr>
        <w:rFonts w:hint="default" w:ascii="Arial" w:hAnsi="Arial" w:eastAsia="Arial" w:cs="Arial"/>
        <w:w w:val="102"/>
        <w:sz w:val="15"/>
        <w:szCs w:val="15"/>
        <w:lang w:val="es-ES" w:eastAsia="es-ES" w:bidi="es-ES"/>
      </w:rPr>
    </w:lvl>
    <w:lvl w:ilvl="1">
      <w:start w:val="0"/>
      <w:numFmt w:val="bullet"/>
      <w:lvlText w:val="•"/>
      <w:lvlJc w:val="left"/>
      <w:pPr>
        <w:ind w:left="919" w:hanging="165"/>
      </w:pPr>
      <w:rPr>
        <w:rFonts w:hint="default"/>
        <w:lang w:val="es-ES" w:eastAsia="es-ES" w:bidi="es-ES"/>
      </w:rPr>
    </w:lvl>
    <w:lvl w:ilvl="2">
      <w:start w:val="0"/>
      <w:numFmt w:val="bullet"/>
      <w:lvlText w:val="•"/>
      <w:lvlJc w:val="left"/>
      <w:pPr>
        <w:ind w:left="1678" w:hanging="165"/>
      </w:pPr>
      <w:rPr>
        <w:rFonts w:hint="default"/>
        <w:lang w:val="es-ES" w:eastAsia="es-ES" w:bidi="es-ES"/>
      </w:rPr>
    </w:lvl>
    <w:lvl w:ilvl="3">
      <w:start w:val="0"/>
      <w:numFmt w:val="bullet"/>
      <w:lvlText w:val="•"/>
      <w:lvlJc w:val="left"/>
      <w:pPr>
        <w:ind w:left="2437" w:hanging="165"/>
      </w:pPr>
      <w:rPr>
        <w:rFonts w:hint="default"/>
        <w:lang w:val="es-ES" w:eastAsia="es-ES" w:bidi="es-ES"/>
      </w:rPr>
    </w:lvl>
    <w:lvl w:ilvl="4">
      <w:start w:val="0"/>
      <w:numFmt w:val="bullet"/>
      <w:lvlText w:val="•"/>
      <w:lvlJc w:val="left"/>
      <w:pPr>
        <w:ind w:left="3196" w:hanging="165"/>
      </w:pPr>
      <w:rPr>
        <w:rFonts w:hint="default"/>
        <w:lang w:val="es-ES" w:eastAsia="es-ES" w:bidi="es-ES"/>
      </w:rPr>
    </w:lvl>
    <w:lvl w:ilvl="5">
      <w:start w:val="0"/>
      <w:numFmt w:val="bullet"/>
      <w:lvlText w:val="•"/>
      <w:lvlJc w:val="left"/>
      <w:pPr>
        <w:ind w:left="3956" w:hanging="165"/>
      </w:pPr>
      <w:rPr>
        <w:rFonts w:hint="default"/>
        <w:lang w:val="es-ES" w:eastAsia="es-ES" w:bidi="es-ES"/>
      </w:rPr>
    </w:lvl>
    <w:lvl w:ilvl="6">
      <w:start w:val="0"/>
      <w:numFmt w:val="bullet"/>
      <w:lvlText w:val="•"/>
      <w:lvlJc w:val="left"/>
      <w:pPr>
        <w:ind w:left="4715" w:hanging="165"/>
      </w:pPr>
      <w:rPr>
        <w:rFonts w:hint="default"/>
        <w:lang w:val="es-ES" w:eastAsia="es-ES" w:bidi="es-ES"/>
      </w:rPr>
    </w:lvl>
    <w:lvl w:ilvl="7">
      <w:start w:val="0"/>
      <w:numFmt w:val="bullet"/>
      <w:lvlText w:val="•"/>
      <w:lvlJc w:val="left"/>
      <w:pPr>
        <w:ind w:left="5474" w:hanging="165"/>
      </w:pPr>
      <w:rPr>
        <w:rFonts w:hint="default"/>
        <w:lang w:val="es-ES" w:eastAsia="es-ES" w:bidi="es-ES"/>
      </w:rPr>
    </w:lvl>
    <w:lvl w:ilvl="8">
      <w:start w:val="0"/>
      <w:numFmt w:val="bullet"/>
      <w:lvlText w:val="•"/>
      <w:lvlJc w:val="left"/>
      <w:pPr>
        <w:ind w:left="6233" w:hanging="165"/>
      </w:pPr>
      <w:rPr>
        <w:rFonts w:hint="default"/>
        <w:lang w:val="es-ES" w:eastAsia="es-ES" w:bidi="es-ES"/>
      </w:rPr>
    </w:lvl>
  </w:abstractNum>
  <w:abstractNum w:abstractNumId="11">
    <w:multiLevelType w:val="hybridMultilevel"/>
    <w:lvl w:ilvl="0">
      <w:start w:val="1"/>
      <w:numFmt w:val="lowerLetter"/>
      <w:lvlText w:val="%1)"/>
      <w:lvlJc w:val="left"/>
      <w:pPr>
        <w:ind w:left="402" w:hanging="848"/>
        <w:jc w:val="left"/>
      </w:pPr>
      <w:rPr>
        <w:rFonts w:hint="default" w:ascii="Arial" w:hAnsi="Arial" w:eastAsia="Arial" w:cs="Arial"/>
        <w:w w:val="102"/>
        <w:sz w:val="15"/>
        <w:szCs w:val="15"/>
        <w:lang w:val="es-ES" w:eastAsia="es-ES" w:bidi="es-ES"/>
      </w:rPr>
    </w:lvl>
    <w:lvl w:ilvl="1">
      <w:start w:val="0"/>
      <w:numFmt w:val="bullet"/>
      <w:lvlText w:val="•"/>
      <w:lvlJc w:val="left"/>
      <w:pPr>
        <w:ind w:left="1207" w:hanging="848"/>
      </w:pPr>
      <w:rPr>
        <w:rFonts w:hint="default"/>
        <w:lang w:val="es-ES" w:eastAsia="es-ES" w:bidi="es-ES"/>
      </w:rPr>
    </w:lvl>
    <w:lvl w:ilvl="2">
      <w:start w:val="0"/>
      <w:numFmt w:val="bullet"/>
      <w:lvlText w:val="•"/>
      <w:lvlJc w:val="left"/>
      <w:pPr>
        <w:ind w:left="2014" w:hanging="848"/>
      </w:pPr>
      <w:rPr>
        <w:rFonts w:hint="default"/>
        <w:lang w:val="es-ES" w:eastAsia="es-ES" w:bidi="es-ES"/>
      </w:rPr>
    </w:lvl>
    <w:lvl w:ilvl="3">
      <w:start w:val="0"/>
      <w:numFmt w:val="bullet"/>
      <w:lvlText w:val="•"/>
      <w:lvlJc w:val="left"/>
      <w:pPr>
        <w:ind w:left="2822" w:hanging="848"/>
      </w:pPr>
      <w:rPr>
        <w:rFonts w:hint="default"/>
        <w:lang w:val="es-ES" w:eastAsia="es-ES" w:bidi="es-ES"/>
      </w:rPr>
    </w:lvl>
    <w:lvl w:ilvl="4">
      <w:start w:val="0"/>
      <w:numFmt w:val="bullet"/>
      <w:lvlText w:val="•"/>
      <w:lvlJc w:val="left"/>
      <w:pPr>
        <w:ind w:left="3629" w:hanging="848"/>
      </w:pPr>
      <w:rPr>
        <w:rFonts w:hint="default"/>
        <w:lang w:val="es-ES" w:eastAsia="es-ES" w:bidi="es-ES"/>
      </w:rPr>
    </w:lvl>
    <w:lvl w:ilvl="5">
      <w:start w:val="0"/>
      <w:numFmt w:val="bullet"/>
      <w:lvlText w:val="•"/>
      <w:lvlJc w:val="left"/>
      <w:pPr>
        <w:ind w:left="4436" w:hanging="848"/>
      </w:pPr>
      <w:rPr>
        <w:rFonts w:hint="default"/>
        <w:lang w:val="es-ES" w:eastAsia="es-ES" w:bidi="es-ES"/>
      </w:rPr>
    </w:lvl>
    <w:lvl w:ilvl="6">
      <w:start w:val="0"/>
      <w:numFmt w:val="bullet"/>
      <w:lvlText w:val="•"/>
      <w:lvlJc w:val="left"/>
      <w:pPr>
        <w:ind w:left="5244" w:hanging="848"/>
      </w:pPr>
      <w:rPr>
        <w:rFonts w:hint="default"/>
        <w:lang w:val="es-ES" w:eastAsia="es-ES" w:bidi="es-ES"/>
      </w:rPr>
    </w:lvl>
    <w:lvl w:ilvl="7">
      <w:start w:val="0"/>
      <w:numFmt w:val="bullet"/>
      <w:lvlText w:val="•"/>
      <w:lvlJc w:val="left"/>
      <w:pPr>
        <w:ind w:left="6051" w:hanging="848"/>
      </w:pPr>
      <w:rPr>
        <w:rFonts w:hint="default"/>
        <w:lang w:val="es-ES" w:eastAsia="es-ES" w:bidi="es-ES"/>
      </w:rPr>
    </w:lvl>
    <w:lvl w:ilvl="8">
      <w:start w:val="0"/>
      <w:numFmt w:val="bullet"/>
      <w:lvlText w:val="•"/>
      <w:lvlJc w:val="left"/>
      <w:pPr>
        <w:ind w:left="6859" w:hanging="848"/>
      </w:pPr>
      <w:rPr>
        <w:rFonts w:hint="default"/>
        <w:lang w:val="es-ES" w:eastAsia="es-ES" w:bidi="es-ES"/>
      </w:rPr>
    </w:lvl>
  </w:abstractNum>
  <w:abstractNum w:abstractNumId="10">
    <w:multiLevelType w:val="hybridMultilevel"/>
    <w:lvl w:ilvl="0">
      <w:start w:val="1"/>
      <w:numFmt w:val="decimal"/>
      <w:lvlText w:val="%1."/>
      <w:lvlJc w:val="left"/>
      <w:pPr>
        <w:ind w:left="150" w:hanging="200"/>
        <w:jc w:val="left"/>
      </w:pPr>
      <w:rPr>
        <w:rFonts w:hint="default" w:ascii="Arial" w:hAnsi="Arial" w:eastAsia="Arial" w:cs="Arial"/>
        <w:w w:val="102"/>
        <w:sz w:val="15"/>
        <w:szCs w:val="15"/>
        <w:lang w:val="es-ES" w:eastAsia="es-ES" w:bidi="es-ES"/>
      </w:rPr>
    </w:lvl>
    <w:lvl w:ilvl="1">
      <w:start w:val="0"/>
      <w:numFmt w:val="bullet"/>
      <w:lvlText w:val="•"/>
      <w:lvlJc w:val="left"/>
      <w:pPr>
        <w:ind w:left="919" w:hanging="200"/>
      </w:pPr>
      <w:rPr>
        <w:rFonts w:hint="default"/>
        <w:lang w:val="es-ES" w:eastAsia="es-ES" w:bidi="es-ES"/>
      </w:rPr>
    </w:lvl>
    <w:lvl w:ilvl="2">
      <w:start w:val="0"/>
      <w:numFmt w:val="bullet"/>
      <w:lvlText w:val="•"/>
      <w:lvlJc w:val="left"/>
      <w:pPr>
        <w:ind w:left="1678" w:hanging="200"/>
      </w:pPr>
      <w:rPr>
        <w:rFonts w:hint="default"/>
        <w:lang w:val="es-ES" w:eastAsia="es-ES" w:bidi="es-ES"/>
      </w:rPr>
    </w:lvl>
    <w:lvl w:ilvl="3">
      <w:start w:val="0"/>
      <w:numFmt w:val="bullet"/>
      <w:lvlText w:val="•"/>
      <w:lvlJc w:val="left"/>
      <w:pPr>
        <w:ind w:left="2437" w:hanging="200"/>
      </w:pPr>
      <w:rPr>
        <w:rFonts w:hint="default"/>
        <w:lang w:val="es-ES" w:eastAsia="es-ES" w:bidi="es-ES"/>
      </w:rPr>
    </w:lvl>
    <w:lvl w:ilvl="4">
      <w:start w:val="0"/>
      <w:numFmt w:val="bullet"/>
      <w:lvlText w:val="•"/>
      <w:lvlJc w:val="left"/>
      <w:pPr>
        <w:ind w:left="3196" w:hanging="200"/>
      </w:pPr>
      <w:rPr>
        <w:rFonts w:hint="default"/>
        <w:lang w:val="es-ES" w:eastAsia="es-ES" w:bidi="es-ES"/>
      </w:rPr>
    </w:lvl>
    <w:lvl w:ilvl="5">
      <w:start w:val="0"/>
      <w:numFmt w:val="bullet"/>
      <w:lvlText w:val="•"/>
      <w:lvlJc w:val="left"/>
      <w:pPr>
        <w:ind w:left="3955" w:hanging="200"/>
      </w:pPr>
      <w:rPr>
        <w:rFonts w:hint="default"/>
        <w:lang w:val="es-ES" w:eastAsia="es-ES" w:bidi="es-ES"/>
      </w:rPr>
    </w:lvl>
    <w:lvl w:ilvl="6">
      <w:start w:val="0"/>
      <w:numFmt w:val="bullet"/>
      <w:lvlText w:val="•"/>
      <w:lvlJc w:val="left"/>
      <w:pPr>
        <w:ind w:left="4714" w:hanging="200"/>
      </w:pPr>
      <w:rPr>
        <w:rFonts w:hint="default"/>
        <w:lang w:val="es-ES" w:eastAsia="es-ES" w:bidi="es-ES"/>
      </w:rPr>
    </w:lvl>
    <w:lvl w:ilvl="7">
      <w:start w:val="0"/>
      <w:numFmt w:val="bullet"/>
      <w:lvlText w:val="•"/>
      <w:lvlJc w:val="left"/>
      <w:pPr>
        <w:ind w:left="5473" w:hanging="200"/>
      </w:pPr>
      <w:rPr>
        <w:rFonts w:hint="default"/>
        <w:lang w:val="es-ES" w:eastAsia="es-ES" w:bidi="es-ES"/>
      </w:rPr>
    </w:lvl>
    <w:lvl w:ilvl="8">
      <w:start w:val="0"/>
      <w:numFmt w:val="bullet"/>
      <w:lvlText w:val="•"/>
      <w:lvlJc w:val="left"/>
      <w:pPr>
        <w:ind w:left="6232" w:hanging="200"/>
      </w:pPr>
      <w:rPr>
        <w:rFonts w:hint="default"/>
        <w:lang w:val="es-ES" w:eastAsia="es-ES" w:bidi="es-ES"/>
      </w:rPr>
    </w:lvl>
  </w:abstractNum>
  <w:abstractNum w:abstractNumId="9">
    <w:multiLevelType w:val="hybridMultilevel"/>
    <w:lvl w:ilvl="0">
      <w:start w:val="1"/>
      <w:numFmt w:val="upperRoman"/>
      <w:lvlText w:val="%1."/>
      <w:lvlJc w:val="left"/>
      <w:pPr>
        <w:ind w:left="191" w:hanging="160"/>
        <w:jc w:val="left"/>
      </w:pPr>
      <w:rPr>
        <w:rFonts w:hint="default" w:ascii="Arial" w:hAnsi="Arial" w:eastAsia="Arial" w:cs="Arial"/>
        <w:w w:val="102"/>
        <w:sz w:val="15"/>
        <w:szCs w:val="15"/>
        <w:lang w:val="es-ES" w:eastAsia="es-ES" w:bidi="es-ES"/>
      </w:rPr>
    </w:lvl>
    <w:lvl w:ilvl="1">
      <w:start w:val="1"/>
      <w:numFmt w:val="upperRoman"/>
      <w:lvlText w:val="%2."/>
      <w:lvlJc w:val="left"/>
      <w:pPr>
        <w:ind w:left="577" w:hanging="129"/>
        <w:jc w:val="right"/>
      </w:pPr>
      <w:rPr>
        <w:rFonts w:hint="default" w:ascii="Arial" w:hAnsi="Arial" w:eastAsia="Arial" w:cs="Arial"/>
        <w:w w:val="102"/>
        <w:sz w:val="15"/>
        <w:szCs w:val="15"/>
        <w:lang w:val="es-ES" w:eastAsia="es-ES" w:bidi="es-ES"/>
      </w:rPr>
    </w:lvl>
    <w:lvl w:ilvl="2">
      <w:start w:val="1"/>
      <w:numFmt w:val="lowerLetter"/>
      <w:lvlText w:val="%3)"/>
      <w:lvlJc w:val="left"/>
      <w:pPr>
        <w:ind w:left="587" w:hanging="237"/>
        <w:jc w:val="right"/>
      </w:pPr>
      <w:rPr>
        <w:rFonts w:hint="default" w:ascii="Arial" w:hAnsi="Arial" w:eastAsia="Arial" w:cs="Arial"/>
        <w:w w:val="102"/>
        <w:sz w:val="15"/>
        <w:szCs w:val="15"/>
        <w:lang w:val="es-ES" w:eastAsia="es-ES" w:bidi="es-ES"/>
      </w:rPr>
    </w:lvl>
    <w:lvl w:ilvl="3">
      <w:start w:val="1"/>
      <w:numFmt w:val="upperRoman"/>
      <w:lvlText w:val="%4."/>
      <w:lvlJc w:val="left"/>
      <w:pPr>
        <w:ind w:left="402" w:hanging="159"/>
        <w:jc w:val="right"/>
      </w:pPr>
      <w:rPr>
        <w:rFonts w:hint="default" w:ascii="Arial" w:hAnsi="Arial" w:eastAsia="Arial" w:cs="Arial"/>
        <w:w w:val="102"/>
        <w:sz w:val="15"/>
        <w:szCs w:val="15"/>
        <w:lang w:val="es-ES" w:eastAsia="es-ES" w:bidi="es-ES"/>
      </w:rPr>
    </w:lvl>
    <w:lvl w:ilvl="4">
      <w:start w:val="0"/>
      <w:numFmt w:val="bullet"/>
      <w:lvlText w:val="•"/>
      <w:lvlJc w:val="left"/>
      <w:pPr>
        <w:ind w:left="167" w:hanging="159"/>
      </w:pPr>
      <w:rPr>
        <w:rFonts w:hint="default"/>
        <w:lang w:val="es-ES" w:eastAsia="es-ES" w:bidi="es-ES"/>
      </w:rPr>
    </w:lvl>
    <w:lvl w:ilvl="5">
      <w:start w:val="0"/>
      <w:numFmt w:val="bullet"/>
      <w:lvlText w:val="•"/>
      <w:lvlJc w:val="left"/>
      <w:pPr>
        <w:ind w:left="-506" w:hanging="159"/>
      </w:pPr>
      <w:rPr>
        <w:rFonts w:hint="default"/>
        <w:lang w:val="es-ES" w:eastAsia="es-ES" w:bidi="es-ES"/>
      </w:rPr>
    </w:lvl>
    <w:lvl w:ilvl="6">
      <w:start w:val="0"/>
      <w:numFmt w:val="bullet"/>
      <w:lvlText w:val="•"/>
      <w:lvlJc w:val="left"/>
      <w:pPr>
        <w:ind w:left="-1179" w:hanging="159"/>
      </w:pPr>
      <w:rPr>
        <w:rFonts w:hint="default"/>
        <w:lang w:val="es-ES" w:eastAsia="es-ES" w:bidi="es-ES"/>
      </w:rPr>
    </w:lvl>
    <w:lvl w:ilvl="7">
      <w:start w:val="0"/>
      <w:numFmt w:val="bullet"/>
      <w:lvlText w:val="•"/>
      <w:lvlJc w:val="left"/>
      <w:pPr>
        <w:ind w:left="-1852" w:hanging="159"/>
      </w:pPr>
      <w:rPr>
        <w:rFonts w:hint="default"/>
        <w:lang w:val="es-ES" w:eastAsia="es-ES" w:bidi="es-ES"/>
      </w:rPr>
    </w:lvl>
    <w:lvl w:ilvl="8">
      <w:start w:val="0"/>
      <w:numFmt w:val="bullet"/>
      <w:lvlText w:val="•"/>
      <w:lvlJc w:val="left"/>
      <w:pPr>
        <w:ind w:left="-2525" w:hanging="159"/>
      </w:pPr>
      <w:rPr>
        <w:rFonts w:hint="default"/>
        <w:lang w:val="es-ES" w:eastAsia="es-ES" w:bidi="es-ES"/>
      </w:rPr>
    </w:lvl>
  </w:abstractNum>
  <w:abstractNum w:abstractNumId="8">
    <w:multiLevelType w:val="hybridMultilevel"/>
    <w:lvl w:ilvl="0">
      <w:start w:val="1"/>
      <w:numFmt w:val="upperRoman"/>
      <w:lvlText w:val="%1."/>
      <w:lvlJc w:val="left"/>
      <w:pPr>
        <w:ind w:left="677" w:hanging="129"/>
        <w:jc w:val="left"/>
      </w:pPr>
      <w:rPr>
        <w:rFonts w:hint="default" w:ascii="Arial" w:hAnsi="Arial" w:eastAsia="Arial" w:cs="Arial"/>
        <w:w w:val="102"/>
        <w:sz w:val="15"/>
        <w:szCs w:val="15"/>
        <w:lang w:val="es-ES" w:eastAsia="es-ES" w:bidi="es-ES"/>
      </w:rPr>
    </w:lvl>
    <w:lvl w:ilvl="1">
      <w:start w:val="1"/>
      <w:numFmt w:val="decimal"/>
      <w:lvlText w:val="%2."/>
      <w:lvlJc w:val="left"/>
      <w:pPr>
        <w:ind w:left="1142" w:hanging="396"/>
        <w:jc w:val="left"/>
      </w:pPr>
      <w:rPr>
        <w:rFonts w:hint="default" w:ascii="Arial" w:hAnsi="Arial" w:eastAsia="Arial" w:cs="Arial"/>
        <w:w w:val="102"/>
        <w:sz w:val="15"/>
        <w:szCs w:val="15"/>
        <w:lang w:val="es-ES" w:eastAsia="es-ES" w:bidi="es-ES"/>
      </w:rPr>
    </w:lvl>
    <w:lvl w:ilvl="2">
      <w:start w:val="0"/>
      <w:numFmt w:val="bullet"/>
      <w:lvlText w:val="•"/>
      <w:lvlJc w:val="left"/>
      <w:pPr>
        <w:ind w:left="1874" w:hanging="396"/>
      </w:pPr>
      <w:rPr>
        <w:rFonts w:hint="default"/>
        <w:lang w:val="es-ES" w:eastAsia="es-ES" w:bidi="es-ES"/>
      </w:rPr>
    </w:lvl>
    <w:lvl w:ilvl="3">
      <w:start w:val="0"/>
      <w:numFmt w:val="bullet"/>
      <w:lvlText w:val="•"/>
      <w:lvlJc w:val="left"/>
      <w:pPr>
        <w:ind w:left="2609" w:hanging="396"/>
      </w:pPr>
      <w:rPr>
        <w:rFonts w:hint="default"/>
        <w:lang w:val="es-ES" w:eastAsia="es-ES" w:bidi="es-ES"/>
      </w:rPr>
    </w:lvl>
    <w:lvl w:ilvl="4">
      <w:start w:val="0"/>
      <w:numFmt w:val="bullet"/>
      <w:lvlText w:val="•"/>
      <w:lvlJc w:val="left"/>
      <w:pPr>
        <w:ind w:left="3343" w:hanging="396"/>
      </w:pPr>
      <w:rPr>
        <w:rFonts w:hint="default"/>
        <w:lang w:val="es-ES" w:eastAsia="es-ES" w:bidi="es-ES"/>
      </w:rPr>
    </w:lvl>
    <w:lvl w:ilvl="5">
      <w:start w:val="0"/>
      <w:numFmt w:val="bullet"/>
      <w:lvlText w:val="•"/>
      <w:lvlJc w:val="left"/>
      <w:pPr>
        <w:ind w:left="4078" w:hanging="396"/>
      </w:pPr>
      <w:rPr>
        <w:rFonts w:hint="default"/>
        <w:lang w:val="es-ES" w:eastAsia="es-ES" w:bidi="es-ES"/>
      </w:rPr>
    </w:lvl>
    <w:lvl w:ilvl="6">
      <w:start w:val="0"/>
      <w:numFmt w:val="bullet"/>
      <w:lvlText w:val="•"/>
      <w:lvlJc w:val="left"/>
      <w:pPr>
        <w:ind w:left="4813" w:hanging="396"/>
      </w:pPr>
      <w:rPr>
        <w:rFonts w:hint="default"/>
        <w:lang w:val="es-ES" w:eastAsia="es-ES" w:bidi="es-ES"/>
      </w:rPr>
    </w:lvl>
    <w:lvl w:ilvl="7">
      <w:start w:val="0"/>
      <w:numFmt w:val="bullet"/>
      <w:lvlText w:val="•"/>
      <w:lvlJc w:val="left"/>
      <w:pPr>
        <w:ind w:left="5547" w:hanging="396"/>
      </w:pPr>
      <w:rPr>
        <w:rFonts w:hint="default"/>
        <w:lang w:val="es-ES" w:eastAsia="es-ES" w:bidi="es-ES"/>
      </w:rPr>
    </w:lvl>
    <w:lvl w:ilvl="8">
      <w:start w:val="0"/>
      <w:numFmt w:val="bullet"/>
      <w:lvlText w:val="•"/>
      <w:lvlJc w:val="left"/>
      <w:pPr>
        <w:ind w:left="6282" w:hanging="396"/>
      </w:pPr>
      <w:rPr>
        <w:rFonts w:hint="default"/>
        <w:lang w:val="es-ES" w:eastAsia="es-ES" w:bidi="es-ES"/>
      </w:rPr>
    </w:lvl>
  </w:abstractNum>
  <w:abstractNum w:abstractNumId="7">
    <w:multiLevelType w:val="hybridMultilevel"/>
    <w:lvl w:ilvl="0">
      <w:start w:val="1"/>
      <w:numFmt w:val="lowerLetter"/>
      <w:lvlText w:val="%1)"/>
      <w:lvlJc w:val="left"/>
      <w:pPr>
        <w:ind w:left="150" w:hanging="184"/>
        <w:jc w:val="left"/>
      </w:pPr>
      <w:rPr>
        <w:rFonts w:hint="default" w:ascii="Arial" w:hAnsi="Arial" w:eastAsia="Arial" w:cs="Arial"/>
        <w:w w:val="102"/>
        <w:sz w:val="15"/>
        <w:szCs w:val="15"/>
        <w:lang w:val="es-ES" w:eastAsia="es-ES" w:bidi="es-ES"/>
      </w:rPr>
    </w:lvl>
    <w:lvl w:ilvl="1">
      <w:start w:val="0"/>
      <w:numFmt w:val="bullet"/>
      <w:lvlText w:val="•"/>
      <w:lvlJc w:val="left"/>
      <w:pPr>
        <w:ind w:left="919" w:hanging="184"/>
      </w:pPr>
      <w:rPr>
        <w:rFonts w:hint="default"/>
        <w:lang w:val="es-ES" w:eastAsia="es-ES" w:bidi="es-ES"/>
      </w:rPr>
    </w:lvl>
    <w:lvl w:ilvl="2">
      <w:start w:val="0"/>
      <w:numFmt w:val="bullet"/>
      <w:lvlText w:val="•"/>
      <w:lvlJc w:val="left"/>
      <w:pPr>
        <w:ind w:left="1678" w:hanging="184"/>
      </w:pPr>
      <w:rPr>
        <w:rFonts w:hint="default"/>
        <w:lang w:val="es-ES" w:eastAsia="es-ES" w:bidi="es-ES"/>
      </w:rPr>
    </w:lvl>
    <w:lvl w:ilvl="3">
      <w:start w:val="0"/>
      <w:numFmt w:val="bullet"/>
      <w:lvlText w:val="•"/>
      <w:lvlJc w:val="left"/>
      <w:pPr>
        <w:ind w:left="2437" w:hanging="184"/>
      </w:pPr>
      <w:rPr>
        <w:rFonts w:hint="default"/>
        <w:lang w:val="es-ES" w:eastAsia="es-ES" w:bidi="es-ES"/>
      </w:rPr>
    </w:lvl>
    <w:lvl w:ilvl="4">
      <w:start w:val="0"/>
      <w:numFmt w:val="bullet"/>
      <w:lvlText w:val="•"/>
      <w:lvlJc w:val="left"/>
      <w:pPr>
        <w:ind w:left="3196" w:hanging="184"/>
      </w:pPr>
      <w:rPr>
        <w:rFonts w:hint="default"/>
        <w:lang w:val="es-ES" w:eastAsia="es-ES" w:bidi="es-ES"/>
      </w:rPr>
    </w:lvl>
    <w:lvl w:ilvl="5">
      <w:start w:val="0"/>
      <w:numFmt w:val="bullet"/>
      <w:lvlText w:val="•"/>
      <w:lvlJc w:val="left"/>
      <w:pPr>
        <w:ind w:left="3955" w:hanging="184"/>
      </w:pPr>
      <w:rPr>
        <w:rFonts w:hint="default"/>
        <w:lang w:val="es-ES" w:eastAsia="es-ES" w:bidi="es-ES"/>
      </w:rPr>
    </w:lvl>
    <w:lvl w:ilvl="6">
      <w:start w:val="0"/>
      <w:numFmt w:val="bullet"/>
      <w:lvlText w:val="•"/>
      <w:lvlJc w:val="left"/>
      <w:pPr>
        <w:ind w:left="4714" w:hanging="184"/>
      </w:pPr>
      <w:rPr>
        <w:rFonts w:hint="default"/>
        <w:lang w:val="es-ES" w:eastAsia="es-ES" w:bidi="es-ES"/>
      </w:rPr>
    </w:lvl>
    <w:lvl w:ilvl="7">
      <w:start w:val="0"/>
      <w:numFmt w:val="bullet"/>
      <w:lvlText w:val="•"/>
      <w:lvlJc w:val="left"/>
      <w:pPr>
        <w:ind w:left="5473" w:hanging="184"/>
      </w:pPr>
      <w:rPr>
        <w:rFonts w:hint="default"/>
        <w:lang w:val="es-ES" w:eastAsia="es-ES" w:bidi="es-ES"/>
      </w:rPr>
    </w:lvl>
    <w:lvl w:ilvl="8">
      <w:start w:val="0"/>
      <w:numFmt w:val="bullet"/>
      <w:lvlText w:val="•"/>
      <w:lvlJc w:val="left"/>
      <w:pPr>
        <w:ind w:left="6232" w:hanging="184"/>
      </w:pPr>
      <w:rPr>
        <w:rFonts w:hint="default"/>
        <w:lang w:val="es-ES" w:eastAsia="es-ES" w:bidi="es-ES"/>
      </w:rPr>
    </w:lvl>
  </w:abstractNum>
  <w:abstractNum w:abstractNumId="6">
    <w:multiLevelType w:val="hybridMultilevel"/>
    <w:lvl w:ilvl="0">
      <w:start w:val="1"/>
      <w:numFmt w:val="lowerLetter"/>
      <w:lvlText w:val="%1)"/>
      <w:lvlJc w:val="left"/>
      <w:pPr>
        <w:ind w:left="151" w:hanging="207"/>
        <w:jc w:val="left"/>
      </w:pPr>
      <w:rPr>
        <w:rFonts w:hint="default" w:ascii="Arial" w:hAnsi="Arial" w:eastAsia="Arial" w:cs="Arial"/>
        <w:w w:val="102"/>
        <w:sz w:val="15"/>
        <w:szCs w:val="15"/>
        <w:lang w:val="es-ES" w:eastAsia="es-ES" w:bidi="es-ES"/>
      </w:rPr>
    </w:lvl>
    <w:lvl w:ilvl="1">
      <w:start w:val="0"/>
      <w:numFmt w:val="bullet"/>
      <w:lvlText w:val="•"/>
      <w:lvlJc w:val="left"/>
      <w:pPr>
        <w:ind w:left="919" w:hanging="207"/>
      </w:pPr>
      <w:rPr>
        <w:rFonts w:hint="default"/>
        <w:lang w:val="es-ES" w:eastAsia="es-ES" w:bidi="es-ES"/>
      </w:rPr>
    </w:lvl>
    <w:lvl w:ilvl="2">
      <w:start w:val="0"/>
      <w:numFmt w:val="bullet"/>
      <w:lvlText w:val="•"/>
      <w:lvlJc w:val="left"/>
      <w:pPr>
        <w:ind w:left="1678" w:hanging="207"/>
      </w:pPr>
      <w:rPr>
        <w:rFonts w:hint="default"/>
        <w:lang w:val="es-ES" w:eastAsia="es-ES" w:bidi="es-ES"/>
      </w:rPr>
    </w:lvl>
    <w:lvl w:ilvl="3">
      <w:start w:val="0"/>
      <w:numFmt w:val="bullet"/>
      <w:lvlText w:val="•"/>
      <w:lvlJc w:val="left"/>
      <w:pPr>
        <w:ind w:left="2437" w:hanging="207"/>
      </w:pPr>
      <w:rPr>
        <w:rFonts w:hint="default"/>
        <w:lang w:val="es-ES" w:eastAsia="es-ES" w:bidi="es-ES"/>
      </w:rPr>
    </w:lvl>
    <w:lvl w:ilvl="4">
      <w:start w:val="0"/>
      <w:numFmt w:val="bullet"/>
      <w:lvlText w:val="•"/>
      <w:lvlJc w:val="left"/>
      <w:pPr>
        <w:ind w:left="3196" w:hanging="207"/>
      </w:pPr>
      <w:rPr>
        <w:rFonts w:hint="default"/>
        <w:lang w:val="es-ES" w:eastAsia="es-ES" w:bidi="es-ES"/>
      </w:rPr>
    </w:lvl>
    <w:lvl w:ilvl="5">
      <w:start w:val="0"/>
      <w:numFmt w:val="bullet"/>
      <w:lvlText w:val="•"/>
      <w:lvlJc w:val="left"/>
      <w:pPr>
        <w:ind w:left="3955" w:hanging="207"/>
      </w:pPr>
      <w:rPr>
        <w:rFonts w:hint="default"/>
        <w:lang w:val="es-ES" w:eastAsia="es-ES" w:bidi="es-ES"/>
      </w:rPr>
    </w:lvl>
    <w:lvl w:ilvl="6">
      <w:start w:val="0"/>
      <w:numFmt w:val="bullet"/>
      <w:lvlText w:val="•"/>
      <w:lvlJc w:val="left"/>
      <w:pPr>
        <w:ind w:left="4714" w:hanging="207"/>
      </w:pPr>
      <w:rPr>
        <w:rFonts w:hint="default"/>
        <w:lang w:val="es-ES" w:eastAsia="es-ES" w:bidi="es-ES"/>
      </w:rPr>
    </w:lvl>
    <w:lvl w:ilvl="7">
      <w:start w:val="0"/>
      <w:numFmt w:val="bullet"/>
      <w:lvlText w:val="•"/>
      <w:lvlJc w:val="left"/>
      <w:pPr>
        <w:ind w:left="5473" w:hanging="207"/>
      </w:pPr>
      <w:rPr>
        <w:rFonts w:hint="default"/>
        <w:lang w:val="es-ES" w:eastAsia="es-ES" w:bidi="es-ES"/>
      </w:rPr>
    </w:lvl>
    <w:lvl w:ilvl="8">
      <w:start w:val="0"/>
      <w:numFmt w:val="bullet"/>
      <w:lvlText w:val="•"/>
      <w:lvlJc w:val="left"/>
      <w:pPr>
        <w:ind w:left="6232" w:hanging="207"/>
      </w:pPr>
      <w:rPr>
        <w:rFonts w:hint="default"/>
        <w:lang w:val="es-ES" w:eastAsia="es-ES" w:bidi="es-ES"/>
      </w:rPr>
    </w:lvl>
  </w:abstractNum>
  <w:abstractNum w:abstractNumId="5">
    <w:multiLevelType w:val="hybridMultilevel"/>
    <w:lvl w:ilvl="0">
      <w:start w:val="1"/>
      <w:numFmt w:val="upperRoman"/>
      <w:lvlText w:val="%1."/>
      <w:lvlJc w:val="left"/>
      <w:pPr>
        <w:ind w:left="677" w:hanging="129"/>
        <w:jc w:val="left"/>
      </w:pPr>
      <w:rPr>
        <w:rFonts w:hint="default" w:ascii="Arial" w:hAnsi="Arial" w:eastAsia="Arial" w:cs="Arial"/>
        <w:w w:val="102"/>
        <w:sz w:val="15"/>
        <w:szCs w:val="15"/>
        <w:lang w:val="es-ES" w:eastAsia="es-ES" w:bidi="es-ES"/>
      </w:rPr>
    </w:lvl>
    <w:lvl w:ilvl="1">
      <w:start w:val="0"/>
      <w:numFmt w:val="bullet"/>
      <w:lvlText w:val="•"/>
      <w:lvlJc w:val="left"/>
      <w:pPr>
        <w:ind w:left="1387" w:hanging="129"/>
      </w:pPr>
      <w:rPr>
        <w:rFonts w:hint="default"/>
        <w:lang w:val="es-ES" w:eastAsia="es-ES" w:bidi="es-ES"/>
      </w:rPr>
    </w:lvl>
    <w:lvl w:ilvl="2">
      <w:start w:val="0"/>
      <w:numFmt w:val="bullet"/>
      <w:lvlText w:val="•"/>
      <w:lvlJc w:val="left"/>
      <w:pPr>
        <w:ind w:left="2094" w:hanging="129"/>
      </w:pPr>
      <w:rPr>
        <w:rFonts w:hint="default"/>
        <w:lang w:val="es-ES" w:eastAsia="es-ES" w:bidi="es-ES"/>
      </w:rPr>
    </w:lvl>
    <w:lvl w:ilvl="3">
      <w:start w:val="0"/>
      <w:numFmt w:val="bullet"/>
      <w:lvlText w:val="•"/>
      <w:lvlJc w:val="left"/>
      <w:pPr>
        <w:ind w:left="2801" w:hanging="129"/>
      </w:pPr>
      <w:rPr>
        <w:rFonts w:hint="default"/>
        <w:lang w:val="es-ES" w:eastAsia="es-ES" w:bidi="es-ES"/>
      </w:rPr>
    </w:lvl>
    <w:lvl w:ilvl="4">
      <w:start w:val="0"/>
      <w:numFmt w:val="bullet"/>
      <w:lvlText w:val="•"/>
      <w:lvlJc w:val="left"/>
      <w:pPr>
        <w:ind w:left="3508" w:hanging="129"/>
      </w:pPr>
      <w:rPr>
        <w:rFonts w:hint="default"/>
        <w:lang w:val="es-ES" w:eastAsia="es-ES" w:bidi="es-ES"/>
      </w:rPr>
    </w:lvl>
    <w:lvl w:ilvl="5">
      <w:start w:val="0"/>
      <w:numFmt w:val="bullet"/>
      <w:lvlText w:val="•"/>
      <w:lvlJc w:val="left"/>
      <w:pPr>
        <w:ind w:left="4215" w:hanging="129"/>
      </w:pPr>
      <w:rPr>
        <w:rFonts w:hint="default"/>
        <w:lang w:val="es-ES" w:eastAsia="es-ES" w:bidi="es-ES"/>
      </w:rPr>
    </w:lvl>
    <w:lvl w:ilvl="6">
      <w:start w:val="0"/>
      <w:numFmt w:val="bullet"/>
      <w:lvlText w:val="•"/>
      <w:lvlJc w:val="left"/>
      <w:pPr>
        <w:ind w:left="4922" w:hanging="129"/>
      </w:pPr>
      <w:rPr>
        <w:rFonts w:hint="default"/>
        <w:lang w:val="es-ES" w:eastAsia="es-ES" w:bidi="es-ES"/>
      </w:rPr>
    </w:lvl>
    <w:lvl w:ilvl="7">
      <w:start w:val="0"/>
      <w:numFmt w:val="bullet"/>
      <w:lvlText w:val="•"/>
      <w:lvlJc w:val="left"/>
      <w:pPr>
        <w:ind w:left="5629" w:hanging="129"/>
      </w:pPr>
      <w:rPr>
        <w:rFonts w:hint="default"/>
        <w:lang w:val="es-ES" w:eastAsia="es-ES" w:bidi="es-ES"/>
      </w:rPr>
    </w:lvl>
    <w:lvl w:ilvl="8">
      <w:start w:val="0"/>
      <w:numFmt w:val="bullet"/>
      <w:lvlText w:val="•"/>
      <w:lvlJc w:val="left"/>
      <w:pPr>
        <w:ind w:left="6336" w:hanging="129"/>
      </w:pPr>
      <w:rPr>
        <w:rFonts w:hint="default"/>
        <w:lang w:val="es-ES" w:eastAsia="es-ES" w:bidi="es-ES"/>
      </w:rPr>
    </w:lvl>
  </w:abstractNum>
  <w:abstractNum w:abstractNumId="4">
    <w:multiLevelType w:val="hybridMultilevel"/>
    <w:lvl w:ilvl="0">
      <w:start w:val="1"/>
      <w:numFmt w:val="lowerLetter"/>
      <w:lvlText w:val="%1)"/>
      <w:lvlJc w:val="left"/>
      <w:pPr>
        <w:ind w:left="151" w:hanging="193"/>
        <w:jc w:val="left"/>
      </w:pPr>
      <w:rPr>
        <w:rFonts w:hint="default" w:ascii="Arial" w:hAnsi="Arial" w:eastAsia="Arial" w:cs="Arial"/>
        <w:w w:val="102"/>
        <w:sz w:val="15"/>
        <w:szCs w:val="15"/>
        <w:lang w:val="es-ES" w:eastAsia="es-ES" w:bidi="es-ES"/>
      </w:rPr>
    </w:lvl>
    <w:lvl w:ilvl="1">
      <w:start w:val="0"/>
      <w:numFmt w:val="bullet"/>
      <w:lvlText w:val="•"/>
      <w:lvlJc w:val="left"/>
      <w:pPr>
        <w:ind w:left="966" w:hanging="193"/>
      </w:pPr>
      <w:rPr>
        <w:rFonts w:hint="default"/>
        <w:lang w:val="es-ES" w:eastAsia="es-ES" w:bidi="es-ES"/>
      </w:rPr>
    </w:lvl>
    <w:lvl w:ilvl="2">
      <w:start w:val="0"/>
      <w:numFmt w:val="bullet"/>
      <w:lvlText w:val="•"/>
      <w:lvlJc w:val="left"/>
      <w:pPr>
        <w:ind w:left="1772" w:hanging="193"/>
      </w:pPr>
      <w:rPr>
        <w:rFonts w:hint="default"/>
        <w:lang w:val="es-ES" w:eastAsia="es-ES" w:bidi="es-ES"/>
      </w:rPr>
    </w:lvl>
    <w:lvl w:ilvl="3">
      <w:start w:val="0"/>
      <w:numFmt w:val="bullet"/>
      <w:lvlText w:val="•"/>
      <w:lvlJc w:val="left"/>
      <w:pPr>
        <w:ind w:left="2578" w:hanging="193"/>
      </w:pPr>
      <w:rPr>
        <w:rFonts w:hint="default"/>
        <w:lang w:val="es-ES" w:eastAsia="es-ES" w:bidi="es-ES"/>
      </w:rPr>
    </w:lvl>
    <w:lvl w:ilvl="4">
      <w:start w:val="0"/>
      <w:numFmt w:val="bullet"/>
      <w:lvlText w:val="•"/>
      <w:lvlJc w:val="left"/>
      <w:pPr>
        <w:ind w:left="3384" w:hanging="193"/>
      </w:pPr>
      <w:rPr>
        <w:rFonts w:hint="default"/>
        <w:lang w:val="es-ES" w:eastAsia="es-ES" w:bidi="es-ES"/>
      </w:rPr>
    </w:lvl>
    <w:lvl w:ilvl="5">
      <w:start w:val="0"/>
      <w:numFmt w:val="bullet"/>
      <w:lvlText w:val="•"/>
      <w:lvlJc w:val="left"/>
      <w:pPr>
        <w:ind w:left="4190" w:hanging="193"/>
      </w:pPr>
      <w:rPr>
        <w:rFonts w:hint="default"/>
        <w:lang w:val="es-ES" w:eastAsia="es-ES" w:bidi="es-ES"/>
      </w:rPr>
    </w:lvl>
    <w:lvl w:ilvl="6">
      <w:start w:val="0"/>
      <w:numFmt w:val="bullet"/>
      <w:lvlText w:val="•"/>
      <w:lvlJc w:val="left"/>
      <w:pPr>
        <w:ind w:left="4996" w:hanging="193"/>
      </w:pPr>
      <w:rPr>
        <w:rFonts w:hint="default"/>
        <w:lang w:val="es-ES" w:eastAsia="es-ES" w:bidi="es-ES"/>
      </w:rPr>
    </w:lvl>
    <w:lvl w:ilvl="7">
      <w:start w:val="0"/>
      <w:numFmt w:val="bullet"/>
      <w:lvlText w:val="•"/>
      <w:lvlJc w:val="left"/>
      <w:pPr>
        <w:ind w:left="5803" w:hanging="193"/>
      </w:pPr>
      <w:rPr>
        <w:rFonts w:hint="default"/>
        <w:lang w:val="es-ES" w:eastAsia="es-ES" w:bidi="es-ES"/>
      </w:rPr>
    </w:lvl>
    <w:lvl w:ilvl="8">
      <w:start w:val="0"/>
      <w:numFmt w:val="bullet"/>
      <w:lvlText w:val="•"/>
      <w:lvlJc w:val="left"/>
      <w:pPr>
        <w:ind w:left="6609" w:hanging="193"/>
      </w:pPr>
      <w:rPr>
        <w:rFonts w:hint="default"/>
        <w:lang w:val="es-ES" w:eastAsia="es-ES" w:bidi="es-ES"/>
      </w:rPr>
    </w:lvl>
  </w:abstractNum>
  <w:abstractNum w:abstractNumId="3">
    <w:multiLevelType w:val="hybridMultilevel"/>
    <w:lvl w:ilvl="0">
      <w:start w:val="1"/>
      <w:numFmt w:val="upperRoman"/>
      <w:lvlText w:val="%1."/>
      <w:lvlJc w:val="left"/>
      <w:pPr>
        <w:ind w:left="151" w:hanging="140"/>
        <w:jc w:val="left"/>
      </w:pPr>
      <w:rPr>
        <w:rFonts w:hint="default" w:ascii="Arial" w:hAnsi="Arial" w:eastAsia="Arial" w:cs="Arial"/>
        <w:w w:val="102"/>
        <w:sz w:val="15"/>
        <w:szCs w:val="15"/>
        <w:lang w:val="es-ES" w:eastAsia="es-ES" w:bidi="es-ES"/>
      </w:rPr>
    </w:lvl>
    <w:lvl w:ilvl="1">
      <w:start w:val="0"/>
      <w:numFmt w:val="bullet"/>
      <w:lvlText w:val="•"/>
      <w:lvlJc w:val="left"/>
      <w:pPr>
        <w:ind w:left="919" w:hanging="140"/>
      </w:pPr>
      <w:rPr>
        <w:rFonts w:hint="default"/>
        <w:lang w:val="es-ES" w:eastAsia="es-ES" w:bidi="es-ES"/>
      </w:rPr>
    </w:lvl>
    <w:lvl w:ilvl="2">
      <w:start w:val="0"/>
      <w:numFmt w:val="bullet"/>
      <w:lvlText w:val="•"/>
      <w:lvlJc w:val="left"/>
      <w:pPr>
        <w:ind w:left="1678" w:hanging="140"/>
      </w:pPr>
      <w:rPr>
        <w:rFonts w:hint="default"/>
        <w:lang w:val="es-ES" w:eastAsia="es-ES" w:bidi="es-ES"/>
      </w:rPr>
    </w:lvl>
    <w:lvl w:ilvl="3">
      <w:start w:val="0"/>
      <w:numFmt w:val="bullet"/>
      <w:lvlText w:val="•"/>
      <w:lvlJc w:val="left"/>
      <w:pPr>
        <w:ind w:left="2437" w:hanging="140"/>
      </w:pPr>
      <w:rPr>
        <w:rFonts w:hint="default"/>
        <w:lang w:val="es-ES" w:eastAsia="es-ES" w:bidi="es-ES"/>
      </w:rPr>
    </w:lvl>
    <w:lvl w:ilvl="4">
      <w:start w:val="0"/>
      <w:numFmt w:val="bullet"/>
      <w:lvlText w:val="•"/>
      <w:lvlJc w:val="left"/>
      <w:pPr>
        <w:ind w:left="3196" w:hanging="140"/>
      </w:pPr>
      <w:rPr>
        <w:rFonts w:hint="default"/>
        <w:lang w:val="es-ES" w:eastAsia="es-ES" w:bidi="es-ES"/>
      </w:rPr>
    </w:lvl>
    <w:lvl w:ilvl="5">
      <w:start w:val="0"/>
      <w:numFmt w:val="bullet"/>
      <w:lvlText w:val="•"/>
      <w:lvlJc w:val="left"/>
      <w:pPr>
        <w:ind w:left="3956" w:hanging="140"/>
      </w:pPr>
      <w:rPr>
        <w:rFonts w:hint="default"/>
        <w:lang w:val="es-ES" w:eastAsia="es-ES" w:bidi="es-ES"/>
      </w:rPr>
    </w:lvl>
    <w:lvl w:ilvl="6">
      <w:start w:val="0"/>
      <w:numFmt w:val="bullet"/>
      <w:lvlText w:val="•"/>
      <w:lvlJc w:val="left"/>
      <w:pPr>
        <w:ind w:left="4715" w:hanging="140"/>
      </w:pPr>
      <w:rPr>
        <w:rFonts w:hint="default"/>
        <w:lang w:val="es-ES" w:eastAsia="es-ES" w:bidi="es-ES"/>
      </w:rPr>
    </w:lvl>
    <w:lvl w:ilvl="7">
      <w:start w:val="0"/>
      <w:numFmt w:val="bullet"/>
      <w:lvlText w:val="•"/>
      <w:lvlJc w:val="left"/>
      <w:pPr>
        <w:ind w:left="5474" w:hanging="140"/>
      </w:pPr>
      <w:rPr>
        <w:rFonts w:hint="default"/>
        <w:lang w:val="es-ES" w:eastAsia="es-ES" w:bidi="es-ES"/>
      </w:rPr>
    </w:lvl>
    <w:lvl w:ilvl="8">
      <w:start w:val="0"/>
      <w:numFmt w:val="bullet"/>
      <w:lvlText w:val="•"/>
      <w:lvlJc w:val="left"/>
      <w:pPr>
        <w:ind w:left="6233" w:hanging="140"/>
      </w:pPr>
      <w:rPr>
        <w:rFonts w:hint="default"/>
        <w:lang w:val="es-ES" w:eastAsia="es-ES" w:bidi="es-ES"/>
      </w:rPr>
    </w:lvl>
  </w:abstractNum>
  <w:abstractNum w:abstractNumId="2">
    <w:multiLevelType w:val="hybridMultilevel"/>
    <w:lvl w:ilvl="0">
      <w:start w:val="1"/>
      <w:numFmt w:val="upperRoman"/>
      <w:lvlText w:val="%1."/>
      <w:lvlJc w:val="left"/>
      <w:pPr>
        <w:ind w:left="151" w:hanging="131"/>
        <w:jc w:val="left"/>
      </w:pPr>
      <w:rPr>
        <w:rFonts w:hint="default" w:ascii="Arial" w:hAnsi="Arial" w:eastAsia="Arial" w:cs="Arial"/>
        <w:w w:val="102"/>
        <w:sz w:val="15"/>
        <w:szCs w:val="15"/>
        <w:lang w:val="es-ES" w:eastAsia="es-ES" w:bidi="es-ES"/>
      </w:rPr>
    </w:lvl>
    <w:lvl w:ilvl="1">
      <w:start w:val="0"/>
      <w:numFmt w:val="bullet"/>
      <w:lvlText w:val="•"/>
      <w:lvlJc w:val="left"/>
      <w:pPr>
        <w:ind w:left="919" w:hanging="131"/>
      </w:pPr>
      <w:rPr>
        <w:rFonts w:hint="default"/>
        <w:lang w:val="es-ES" w:eastAsia="es-ES" w:bidi="es-ES"/>
      </w:rPr>
    </w:lvl>
    <w:lvl w:ilvl="2">
      <w:start w:val="0"/>
      <w:numFmt w:val="bullet"/>
      <w:lvlText w:val="•"/>
      <w:lvlJc w:val="left"/>
      <w:pPr>
        <w:ind w:left="1678" w:hanging="131"/>
      </w:pPr>
      <w:rPr>
        <w:rFonts w:hint="default"/>
        <w:lang w:val="es-ES" w:eastAsia="es-ES" w:bidi="es-ES"/>
      </w:rPr>
    </w:lvl>
    <w:lvl w:ilvl="3">
      <w:start w:val="0"/>
      <w:numFmt w:val="bullet"/>
      <w:lvlText w:val="•"/>
      <w:lvlJc w:val="left"/>
      <w:pPr>
        <w:ind w:left="2437" w:hanging="131"/>
      </w:pPr>
      <w:rPr>
        <w:rFonts w:hint="default"/>
        <w:lang w:val="es-ES" w:eastAsia="es-ES" w:bidi="es-ES"/>
      </w:rPr>
    </w:lvl>
    <w:lvl w:ilvl="4">
      <w:start w:val="0"/>
      <w:numFmt w:val="bullet"/>
      <w:lvlText w:val="•"/>
      <w:lvlJc w:val="left"/>
      <w:pPr>
        <w:ind w:left="3196" w:hanging="131"/>
      </w:pPr>
      <w:rPr>
        <w:rFonts w:hint="default"/>
        <w:lang w:val="es-ES" w:eastAsia="es-ES" w:bidi="es-ES"/>
      </w:rPr>
    </w:lvl>
    <w:lvl w:ilvl="5">
      <w:start w:val="0"/>
      <w:numFmt w:val="bullet"/>
      <w:lvlText w:val="•"/>
      <w:lvlJc w:val="left"/>
      <w:pPr>
        <w:ind w:left="3955" w:hanging="131"/>
      </w:pPr>
      <w:rPr>
        <w:rFonts w:hint="default"/>
        <w:lang w:val="es-ES" w:eastAsia="es-ES" w:bidi="es-ES"/>
      </w:rPr>
    </w:lvl>
    <w:lvl w:ilvl="6">
      <w:start w:val="0"/>
      <w:numFmt w:val="bullet"/>
      <w:lvlText w:val="•"/>
      <w:lvlJc w:val="left"/>
      <w:pPr>
        <w:ind w:left="4714" w:hanging="131"/>
      </w:pPr>
      <w:rPr>
        <w:rFonts w:hint="default"/>
        <w:lang w:val="es-ES" w:eastAsia="es-ES" w:bidi="es-ES"/>
      </w:rPr>
    </w:lvl>
    <w:lvl w:ilvl="7">
      <w:start w:val="0"/>
      <w:numFmt w:val="bullet"/>
      <w:lvlText w:val="•"/>
      <w:lvlJc w:val="left"/>
      <w:pPr>
        <w:ind w:left="5473" w:hanging="131"/>
      </w:pPr>
      <w:rPr>
        <w:rFonts w:hint="default"/>
        <w:lang w:val="es-ES" w:eastAsia="es-ES" w:bidi="es-ES"/>
      </w:rPr>
    </w:lvl>
    <w:lvl w:ilvl="8">
      <w:start w:val="0"/>
      <w:numFmt w:val="bullet"/>
      <w:lvlText w:val="•"/>
      <w:lvlJc w:val="left"/>
      <w:pPr>
        <w:ind w:left="6233" w:hanging="131"/>
      </w:pPr>
      <w:rPr>
        <w:rFonts w:hint="default"/>
        <w:lang w:val="es-ES" w:eastAsia="es-ES" w:bidi="es-ES"/>
      </w:rPr>
    </w:lvl>
  </w:abstractNum>
  <w:abstractNum w:abstractNumId="1">
    <w:multiLevelType w:val="hybridMultilevel"/>
    <w:lvl w:ilvl="0">
      <w:start w:val="1"/>
      <w:numFmt w:val="lowerLetter"/>
      <w:lvlText w:val="%1)"/>
      <w:lvlJc w:val="left"/>
      <w:pPr>
        <w:ind w:left="655" w:hanging="244"/>
        <w:jc w:val="left"/>
      </w:pPr>
      <w:rPr>
        <w:rFonts w:hint="default" w:ascii="Arial" w:hAnsi="Arial" w:eastAsia="Arial" w:cs="Arial"/>
        <w:w w:val="102"/>
        <w:sz w:val="15"/>
        <w:szCs w:val="15"/>
        <w:lang w:val="es-ES" w:eastAsia="es-ES" w:bidi="es-ES"/>
      </w:rPr>
    </w:lvl>
    <w:lvl w:ilvl="1">
      <w:start w:val="1"/>
      <w:numFmt w:val="lowerLetter"/>
      <w:lvlText w:val="%2)."/>
      <w:lvlJc w:val="left"/>
      <w:pPr>
        <w:ind w:left="151" w:hanging="224"/>
        <w:jc w:val="left"/>
      </w:pPr>
      <w:rPr>
        <w:rFonts w:hint="default" w:ascii="Arial" w:hAnsi="Arial" w:eastAsia="Arial" w:cs="Arial"/>
        <w:w w:val="102"/>
        <w:sz w:val="15"/>
        <w:szCs w:val="15"/>
        <w:lang w:val="es-ES" w:eastAsia="es-ES" w:bidi="es-ES"/>
      </w:rPr>
    </w:lvl>
    <w:lvl w:ilvl="2">
      <w:start w:val="0"/>
      <w:numFmt w:val="bullet"/>
      <w:lvlText w:val="•"/>
      <w:lvlJc w:val="left"/>
      <w:pPr>
        <w:ind w:left="156" w:hanging="224"/>
      </w:pPr>
      <w:rPr>
        <w:rFonts w:hint="default"/>
        <w:lang w:val="es-ES" w:eastAsia="es-ES" w:bidi="es-ES"/>
      </w:rPr>
    </w:lvl>
    <w:lvl w:ilvl="3">
      <w:start w:val="0"/>
      <w:numFmt w:val="bullet"/>
      <w:lvlText w:val="•"/>
      <w:lvlJc w:val="left"/>
      <w:pPr>
        <w:ind w:left="-347" w:hanging="224"/>
      </w:pPr>
      <w:rPr>
        <w:rFonts w:hint="default"/>
        <w:lang w:val="es-ES" w:eastAsia="es-ES" w:bidi="es-ES"/>
      </w:rPr>
    </w:lvl>
    <w:lvl w:ilvl="4">
      <w:start w:val="0"/>
      <w:numFmt w:val="bullet"/>
      <w:lvlText w:val="•"/>
      <w:lvlJc w:val="left"/>
      <w:pPr>
        <w:ind w:left="-851" w:hanging="224"/>
      </w:pPr>
      <w:rPr>
        <w:rFonts w:hint="default"/>
        <w:lang w:val="es-ES" w:eastAsia="es-ES" w:bidi="es-ES"/>
      </w:rPr>
    </w:lvl>
    <w:lvl w:ilvl="5">
      <w:start w:val="0"/>
      <w:numFmt w:val="bullet"/>
      <w:lvlText w:val="•"/>
      <w:lvlJc w:val="left"/>
      <w:pPr>
        <w:ind w:left="-1354" w:hanging="224"/>
      </w:pPr>
      <w:rPr>
        <w:rFonts w:hint="default"/>
        <w:lang w:val="es-ES" w:eastAsia="es-ES" w:bidi="es-ES"/>
      </w:rPr>
    </w:lvl>
    <w:lvl w:ilvl="6">
      <w:start w:val="0"/>
      <w:numFmt w:val="bullet"/>
      <w:lvlText w:val="•"/>
      <w:lvlJc w:val="left"/>
      <w:pPr>
        <w:ind w:left="-1858" w:hanging="224"/>
      </w:pPr>
      <w:rPr>
        <w:rFonts w:hint="default"/>
        <w:lang w:val="es-ES" w:eastAsia="es-ES" w:bidi="es-ES"/>
      </w:rPr>
    </w:lvl>
    <w:lvl w:ilvl="7">
      <w:start w:val="0"/>
      <w:numFmt w:val="bullet"/>
      <w:lvlText w:val="•"/>
      <w:lvlJc w:val="left"/>
      <w:pPr>
        <w:ind w:left="-2361" w:hanging="224"/>
      </w:pPr>
      <w:rPr>
        <w:rFonts w:hint="default"/>
        <w:lang w:val="es-ES" w:eastAsia="es-ES" w:bidi="es-ES"/>
      </w:rPr>
    </w:lvl>
    <w:lvl w:ilvl="8">
      <w:start w:val="0"/>
      <w:numFmt w:val="bullet"/>
      <w:lvlText w:val="•"/>
      <w:lvlJc w:val="left"/>
      <w:pPr>
        <w:ind w:left="-2865" w:hanging="224"/>
      </w:pPr>
      <w:rPr>
        <w:rFonts w:hint="default"/>
        <w:lang w:val="es-ES" w:eastAsia="es-ES" w:bidi="es-ES"/>
      </w:rPr>
    </w:lvl>
  </w:abstractNum>
  <w:abstractNum w:abstractNumId="0">
    <w:multiLevelType w:val="hybridMultilevel"/>
    <w:lvl w:ilvl="0">
      <w:start w:val="1"/>
      <w:numFmt w:val="lowerLetter"/>
      <w:lvlText w:val="%1)"/>
      <w:lvlJc w:val="left"/>
      <w:pPr>
        <w:ind w:left="151" w:hanging="187"/>
        <w:jc w:val="left"/>
      </w:pPr>
      <w:rPr>
        <w:rFonts w:hint="default" w:ascii="Arial" w:hAnsi="Arial" w:eastAsia="Arial" w:cs="Arial"/>
        <w:w w:val="102"/>
        <w:sz w:val="15"/>
        <w:szCs w:val="15"/>
        <w:lang w:val="es-ES" w:eastAsia="es-ES" w:bidi="es-ES"/>
      </w:rPr>
    </w:lvl>
    <w:lvl w:ilvl="1">
      <w:start w:val="0"/>
      <w:numFmt w:val="bullet"/>
      <w:lvlText w:val="•"/>
      <w:lvlJc w:val="left"/>
      <w:pPr>
        <w:ind w:left="966" w:hanging="187"/>
      </w:pPr>
      <w:rPr>
        <w:rFonts w:hint="default"/>
        <w:lang w:val="es-ES" w:eastAsia="es-ES" w:bidi="es-ES"/>
      </w:rPr>
    </w:lvl>
    <w:lvl w:ilvl="2">
      <w:start w:val="0"/>
      <w:numFmt w:val="bullet"/>
      <w:lvlText w:val="•"/>
      <w:lvlJc w:val="left"/>
      <w:pPr>
        <w:ind w:left="1772" w:hanging="187"/>
      </w:pPr>
      <w:rPr>
        <w:rFonts w:hint="default"/>
        <w:lang w:val="es-ES" w:eastAsia="es-ES" w:bidi="es-ES"/>
      </w:rPr>
    </w:lvl>
    <w:lvl w:ilvl="3">
      <w:start w:val="0"/>
      <w:numFmt w:val="bullet"/>
      <w:lvlText w:val="•"/>
      <w:lvlJc w:val="left"/>
      <w:pPr>
        <w:ind w:left="2578" w:hanging="187"/>
      </w:pPr>
      <w:rPr>
        <w:rFonts w:hint="default"/>
        <w:lang w:val="es-ES" w:eastAsia="es-ES" w:bidi="es-ES"/>
      </w:rPr>
    </w:lvl>
    <w:lvl w:ilvl="4">
      <w:start w:val="0"/>
      <w:numFmt w:val="bullet"/>
      <w:lvlText w:val="•"/>
      <w:lvlJc w:val="left"/>
      <w:pPr>
        <w:ind w:left="3384" w:hanging="187"/>
      </w:pPr>
      <w:rPr>
        <w:rFonts w:hint="default"/>
        <w:lang w:val="es-ES" w:eastAsia="es-ES" w:bidi="es-ES"/>
      </w:rPr>
    </w:lvl>
    <w:lvl w:ilvl="5">
      <w:start w:val="0"/>
      <w:numFmt w:val="bullet"/>
      <w:lvlText w:val="•"/>
      <w:lvlJc w:val="left"/>
      <w:pPr>
        <w:ind w:left="4190" w:hanging="187"/>
      </w:pPr>
      <w:rPr>
        <w:rFonts w:hint="default"/>
        <w:lang w:val="es-ES" w:eastAsia="es-ES" w:bidi="es-ES"/>
      </w:rPr>
    </w:lvl>
    <w:lvl w:ilvl="6">
      <w:start w:val="0"/>
      <w:numFmt w:val="bullet"/>
      <w:lvlText w:val="•"/>
      <w:lvlJc w:val="left"/>
      <w:pPr>
        <w:ind w:left="4997" w:hanging="187"/>
      </w:pPr>
      <w:rPr>
        <w:rFonts w:hint="default"/>
        <w:lang w:val="es-ES" w:eastAsia="es-ES" w:bidi="es-ES"/>
      </w:rPr>
    </w:lvl>
    <w:lvl w:ilvl="7">
      <w:start w:val="0"/>
      <w:numFmt w:val="bullet"/>
      <w:lvlText w:val="•"/>
      <w:lvlJc w:val="left"/>
      <w:pPr>
        <w:ind w:left="5803" w:hanging="187"/>
      </w:pPr>
      <w:rPr>
        <w:rFonts w:hint="default"/>
        <w:lang w:val="es-ES" w:eastAsia="es-ES" w:bidi="es-ES"/>
      </w:rPr>
    </w:lvl>
    <w:lvl w:ilvl="8">
      <w:start w:val="0"/>
      <w:numFmt w:val="bullet"/>
      <w:lvlText w:val="•"/>
      <w:lvlJc w:val="left"/>
      <w:pPr>
        <w:ind w:left="6609" w:hanging="187"/>
      </w:pPr>
      <w:rPr>
        <w:rFonts w:hint="default"/>
        <w:lang w:val="es-ES" w:eastAsia="es-ES" w:bidi="es-ES"/>
      </w:rPr>
    </w:lvl>
  </w:abstractNum>
  <w:num w:numId="290">
    <w:abstractNumId w:val="289"/>
  </w:num>
  <w:num w:numId="261">
    <w:abstractNumId w:val="260"/>
  </w:num>
  <w:num w:numId="241">
    <w:abstractNumId w:val="240"/>
  </w:num>
  <w:num w:numId="240">
    <w:abstractNumId w:val="239"/>
  </w:num>
  <w:num w:numId="226">
    <w:abstractNumId w:val="225"/>
  </w:num>
  <w:num w:numId="223">
    <w:abstractNumId w:val="222"/>
  </w:num>
  <w:num w:numId="208">
    <w:abstractNumId w:val="207"/>
  </w:num>
  <w:num w:numId="118">
    <w:abstractNumId w:val="117"/>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5">
    <w:abstractNumId w:val="224"/>
  </w:num>
  <w:num w:numId="224">
    <w:abstractNumId w:val="223"/>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6">
    <w:abstractNumId w:val="165"/>
  </w:num>
  <w:num w:numId="167">
    <w:abstractNumId w:val="166"/>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4">
    <w:abstractNumId w:val="153"/>
  </w:num>
  <w:num w:numId="155">
    <w:abstractNumId w:val="154"/>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15"/>
      <w:szCs w:val="15"/>
      <w:lang w:val="es-ES" w:eastAsia="es-ES" w:bidi="es-ES"/>
    </w:rPr>
  </w:style>
  <w:style w:styleId="Heading1" w:type="paragraph">
    <w:name w:val="Heading 1"/>
    <w:basedOn w:val="Normal"/>
    <w:uiPriority w:val="1"/>
    <w:qFormat/>
    <w:pPr>
      <w:spacing w:line="214" w:lineRule="exact"/>
      <w:ind w:left="20"/>
      <w:outlineLvl w:val="1"/>
    </w:pPr>
    <w:rPr>
      <w:rFonts w:ascii="Arial" w:hAnsi="Arial" w:eastAsia="Arial" w:cs="Arial"/>
      <w:sz w:val="20"/>
      <w:szCs w:val="20"/>
      <w:lang w:val="es-ES" w:eastAsia="es-ES" w:bidi="es-ES"/>
    </w:rPr>
  </w:style>
  <w:style w:styleId="Heading2" w:type="paragraph">
    <w:name w:val="Heading 2"/>
    <w:basedOn w:val="Normal"/>
    <w:uiPriority w:val="1"/>
    <w:qFormat/>
    <w:pPr>
      <w:ind w:left="411" w:right="20"/>
      <w:jc w:val="center"/>
      <w:outlineLvl w:val="2"/>
    </w:pPr>
    <w:rPr>
      <w:rFonts w:ascii="Tahoma" w:hAnsi="Tahoma" w:eastAsia="Tahoma" w:cs="Tahoma"/>
      <w:b/>
      <w:bCs/>
      <w:sz w:val="18"/>
      <w:szCs w:val="18"/>
      <w:lang w:val="es-ES" w:eastAsia="es-ES" w:bidi="es-ES"/>
    </w:rPr>
  </w:style>
  <w:style w:styleId="Heading3" w:type="paragraph">
    <w:name w:val="Heading 3"/>
    <w:basedOn w:val="Normal"/>
    <w:uiPriority w:val="1"/>
    <w:qFormat/>
    <w:pPr>
      <w:outlineLvl w:val="3"/>
    </w:pPr>
    <w:rPr>
      <w:rFonts w:ascii="Century Gothic" w:hAnsi="Century Gothic" w:eastAsia="Century Gothic" w:cs="Century Gothic"/>
      <w:b/>
      <w:bCs/>
      <w:sz w:val="16"/>
      <w:szCs w:val="16"/>
      <w:lang w:val="es-ES" w:eastAsia="es-ES" w:bidi="es-ES"/>
    </w:rPr>
  </w:style>
  <w:style w:styleId="Heading4" w:type="paragraph">
    <w:name w:val="Heading 4"/>
    <w:basedOn w:val="Normal"/>
    <w:uiPriority w:val="1"/>
    <w:qFormat/>
    <w:pPr>
      <w:ind w:left="668" w:right="160"/>
      <w:jc w:val="center"/>
      <w:outlineLvl w:val="4"/>
    </w:pPr>
    <w:rPr>
      <w:rFonts w:ascii="Arial" w:hAnsi="Arial" w:eastAsia="Arial" w:cs="Arial"/>
      <w:b/>
      <w:bCs/>
      <w:sz w:val="15"/>
      <w:szCs w:val="15"/>
      <w:lang w:val="es-ES" w:eastAsia="es-ES" w:bidi="es-ES"/>
    </w:rPr>
  </w:style>
  <w:style w:styleId="ListParagraph" w:type="paragraph">
    <w:name w:val="List Paragraph"/>
    <w:basedOn w:val="Normal"/>
    <w:uiPriority w:val="1"/>
    <w:qFormat/>
    <w:pPr>
      <w:ind w:left="151" w:firstLine="397"/>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header" Target="header2.xml"/><Relationship Id="rId50" Type="http://schemas.openxmlformats.org/officeDocument/2006/relationships/header" Target="header3.xml"/><Relationship Id="rId51" Type="http://schemas.openxmlformats.org/officeDocument/2006/relationships/header" Target="header4.xml"/><Relationship Id="rId52" Type="http://schemas.openxmlformats.org/officeDocument/2006/relationships/header" Target="header5.xml"/><Relationship Id="rId53" Type="http://schemas.openxmlformats.org/officeDocument/2006/relationships/header" Target="header6.xml"/><Relationship Id="rId54" Type="http://schemas.openxmlformats.org/officeDocument/2006/relationships/header" Target="header7.xml"/><Relationship Id="rId55" Type="http://schemas.openxmlformats.org/officeDocument/2006/relationships/header" Target="header8.xml"/><Relationship Id="rId56" Type="http://schemas.openxmlformats.org/officeDocument/2006/relationships/header" Target="header9.xml"/><Relationship Id="rId57" Type="http://schemas.openxmlformats.org/officeDocument/2006/relationships/header" Target="header10.xml"/><Relationship Id="rId58" Type="http://schemas.openxmlformats.org/officeDocument/2006/relationships/header" Target="header11.xml"/><Relationship Id="rId59" Type="http://schemas.openxmlformats.org/officeDocument/2006/relationships/header" Target="header12.xml"/><Relationship Id="rId60" Type="http://schemas.openxmlformats.org/officeDocument/2006/relationships/header" Target="header13.xml"/><Relationship Id="rId61" Type="http://schemas.openxmlformats.org/officeDocument/2006/relationships/header" Target="header14.xml"/><Relationship Id="rId62" Type="http://schemas.openxmlformats.org/officeDocument/2006/relationships/header" Target="header15.xml"/><Relationship Id="rId63" Type="http://schemas.openxmlformats.org/officeDocument/2006/relationships/header" Target="header16.xml"/><Relationship Id="rId64" Type="http://schemas.openxmlformats.org/officeDocument/2006/relationships/header" Target="header17.xml"/><Relationship Id="rId65" Type="http://schemas.openxmlformats.org/officeDocument/2006/relationships/header" Target="header18.xml"/><Relationship Id="rId66" Type="http://schemas.openxmlformats.org/officeDocument/2006/relationships/header" Target="header19.xml"/><Relationship Id="rId67" Type="http://schemas.openxmlformats.org/officeDocument/2006/relationships/header" Target="header20.xml"/><Relationship Id="rId68" Type="http://schemas.openxmlformats.org/officeDocument/2006/relationships/header" Target="header21.xml"/><Relationship Id="rId69" Type="http://schemas.openxmlformats.org/officeDocument/2006/relationships/header" Target="header22.xml"/><Relationship Id="rId70" Type="http://schemas.openxmlformats.org/officeDocument/2006/relationships/header" Target="header23.xml"/><Relationship Id="rId71" Type="http://schemas.openxmlformats.org/officeDocument/2006/relationships/header" Target="header24.xml"/><Relationship Id="rId72" Type="http://schemas.openxmlformats.org/officeDocument/2006/relationships/header" Target="header25.xml"/><Relationship Id="rId73" Type="http://schemas.openxmlformats.org/officeDocument/2006/relationships/header" Target="header26.xml"/><Relationship Id="rId74" Type="http://schemas.openxmlformats.org/officeDocument/2006/relationships/header" Target="header27.xml"/><Relationship Id="rId75" Type="http://schemas.openxmlformats.org/officeDocument/2006/relationships/header" Target="header28.xml"/><Relationship Id="rId76" Type="http://schemas.openxmlformats.org/officeDocument/2006/relationships/header" Target="header29.xml"/><Relationship Id="rId77" Type="http://schemas.openxmlformats.org/officeDocument/2006/relationships/header" Target="header30.xml"/><Relationship Id="rId78" Type="http://schemas.openxmlformats.org/officeDocument/2006/relationships/header" Target="header31.xml"/><Relationship Id="rId79" Type="http://schemas.openxmlformats.org/officeDocument/2006/relationships/header" Target="header32.xml"/><Relationship Id="rId80" Type="http://schemas.openxmlformats.org/officeDocument/2006/relationships/header" Target="header33.xml"/><Relationship Id="rId81" Type="http://schemas.openxmlformats.org/officeDocument/2006/relationships/header" Target="header34.xml"/><Relationship Id="rId82" Type="http://schemas.openxmlformats.org/officeDocument/2006/relationships/header" Target="header35.xml"/><Relationship Id="rId83" Type="http://schemas.openxmlformats.org/officeDocument/2006/relationships/header" Target="header36.xml"/><Relationship Id="rId84" Type="http://schemas.openxmlformats.org/officeDocument/2006/relationships/header" Target="header37.xml"/><Relationship Id="rId85" Type="http://schemas.openxmlformats.org/officeDocument/2006/relationships/header" Target="header38.xml"/><Relationship Id="rId86" Type="http://schemas.openxmlformats.org/officeDocument/2006/relationships/header" Target="header39.xml"/><Relationship Id="rId87" Type="http://schemas.openxmlformats.org/officeDocument/2006/relationships/header" Target="header40.xml"/><Relationship Id="rId88" Type="http://schemas.openxmlformats.org/officeDocument/2006/relationships/header" Target="header41.xml"/><Relationship Id="rId89" Type="http://schemas.openxmlformats.org/officeDocument/2006/relationships/header" Target="header42.xml"/><Relationship Id="rId90" Type="http://schemas.openxmlformats.org/officeDocument/2006/relationships/header" Target="header43.xml"/><Relationship Id="rId91" Type="http://schemas.openxmlformats.org/officeDocument/2006/relationships/header" Target="header44.xml"/><Relationship Id="rId92" Type="http://schemas.openxmlformats.org/officeDocument/2006/relationships/header" Target="header45.xml"/><Relationship Id="rId93" Type="http://schemas.openxmlformats.org/officeDocument/2006/relationships/header" Target="header46.xml"/><Relationship Id="rId94" Type="http://schemas.openxmlformats.org/officeDocument/2006/relationships/header" Target="header47.xml"/><Relationship Id="rId95" Type="http://schemas.openxmlformats.org/officeDocument/2006/relationships/header" Target="header48.xml"/><Relationship Id="rId96" Type="http://schemas.openxmlformats.org/officeDocument/2006/relationships/header" Target="header49.xml"/><Relationship Id="rId97" Type="http://schemas.openxmlformats.org/officeDocument/2006/relationships/header" Target="header50.xml"/><Relationship Id="rId98" Type="http://schemas.openxmlformats.org/officeDocument/2006/relationships/header" Target="header51.xml"/><Relationship Id="rId99" Type="http://schemas.openxmlformats.org/officeDocument/2006/relationships/header" Target="header52.xml"/><Relationship Id="rId100" Type="http://schemas.openxmlformats.org/officeDocument/2006/relationships/header" Target="header53.xml"/><Relationship Id="rId101" Type="http://schemas.openxmlformats.org/officeDocument/2006/relationships/header" Target="header54.xml"/><Relationship Id="rId102" Type="http://schemas.openxmlformats.org/officeDocument/2006/relationships/header" Target="header55.xml"/><Relationship Id="rId103" Type="http://schemas.openxmlformats.org/officeDocument/2006/relationships/header" Target="header56.xml"/><Relationship Id="rId104" Type="http://schemas.openxmlformats.org/officeDocument/2006/relationships/header" Target="header57.xml"/><Relationship Id="rId105" Type="http://schemas.openxmlformats.org/officeDocument/2006/relationships/header" Target="header58.xml"/><Relationship Id="rId106" Type="http://schemas.openxmlformats.org/officeDocument/2006/relationships/header" Target="header59.xml"/><Relationship Id="rId107" Type="http://schemas.openxmlformats.org/officeDocument/2006/relationships/header" Target="header60.xml"/><Relationship Id="rId108" Type="http://schemas.openxmlformats.org/officeDocument/2006/relationships/header" Target="header61.xml"/><Relationship Id="rId109" Type="http://schemas.openxmlformats.org/officeDocument/2006/relationships/header" Target="header62.xml"/><Relationship Id="rId110" Type="http://schemas.openxmlformats.org/officeDocument/2006/relationships/header" Target="header63.xml"/><Relationship Id="rId111" Type="http://schemas.openxmlformats.org/officeDocument/2006/relationships/header" Target="header64.xml"/><Relationship Id="rId112" Type="http://schemas.openxmlformats.org/officeDocument/2006/relationships/header" Target="header65.xml"/><Relationship Id="rId113" Type="http://schemas.openxmlformats.org/officeDocument/2006/relationships/header" Target="header66.xml"/><Relationship Id="rId114" Type="http://schemas.openxmlformats.org/officeDocument/2006/relationships/header" Target="header67.xml"/><Relationship Id="rId115" Type="http://schemas.openxmlformats.org/officeDocument/2006/relationships/header" Target="header68.xml"/><Relationship Id="rId116" Type="http://schemas.openxmlformats.org/officeDocument/2006/relationships/header" Target="header69.xml"/><Relationship Id="rId117" Type="http://schemas.openxmlformats.org/officeDocument/2006/relationships/header" Target="header70.xml"/><Relationship Id="rId118" Type="http://schemas.openxmlformats.org/officeDocument/2006/relationships/header" Target="header71.xml"/><Relationship Id="rId119" Type="http://schemas.openxmlformats.org/officeDocument/2006/relationships/header" Target="header72.xml"/><Relationship Id="rId120" Type="http://schemas.openxmlformats.org/officeDocument/2006/relationships/header" Target="header73.xml"/><Relationship Id="rId121" Type="http://schemas.openxmlformats.org/officeDocument/2006/relationships/header" Target="header74.xml"/><Relationship Id="rId122" Type="http://schemas.openxmlformats.org/officeDocument/2006/relationships/header" Target="header75.xml"/><Relationship Id="rId123" Type="http://schemas.openxmlformats.org/officeDocument/2006/relationships/header" Target="header76.xml"/><Relationship Id="rId124" Type="http://schemas.openxmlformats.org/officeDocument/2006/relationships/header" Target="header77.xml"/><Relationship Id="rId125" Type="http://schemas.openxmlformats.org/officeDocument/2006/relationships/header" Target="header78.xml"/><Relationship Id="rId126" Type="http://schemas.openxmlformats.org/officeDocument/2006/relationships/header" Target="header79.xml"/><Relationship Id="rId127" Type="http://schemas.openxmlformats.org/officeDocument/2006/relationships/header" Target="header80.xml"/><Relationship Id="rId128" Type="http://schemas.openxmlformats.org/officeDocument/2006/relationships/header" Target="header81.xml"/><Relationship Id="rId129" Type="http://schemas.openxmlformats.org/officeDocument/2006/relationships/header" Target="header82.xml"/><Relationship Id="rId130" Type="http://schemas.openxmlformats.org/officeDocument/2006/relationships/header" Target="header83.xml"/><Relationship Id="rId131" Type="http://schemas.openxmlformats.org/officeDocument/2006/relationships/header" Target="header84.xml"/><Relationship Id="rId132" Type="http://schemas.openxmlformats.org/officeDocument/2006/relationships/header" Target="header85.xml"/><Relationship Id="rId133" Type="http://schemas.openxmlformats.org/officeDocument/2006/relationships/header" Target="header86.xml"/><Relationship Id="rId134" Type="http://schemas.openxmlformats.org/officeDocument/2006/relationships/header" Target="header87.xml"/><Relationship Id="rId135" Type="http://schemas.openxmlformats.org/officeDocument/2006/relationships/header" Target="header88.xml"/><Relationship Id="rId136" Type="http://schemas.openxmlformats.org/officeDocument/2006/relationships/header" Target="header89.xml"/><Relationship Id="rId137" Type="http://schemas.openxmlformats.org/officeDocument/2006/relationships/header" Target="header90.xml"/><Relationship Id="rId138" Type="http://schemas.openxmlformats.org/officeDocument/2006/relationships/header" Target="header91.xml"/><Relationship Id="rId139" Type="http://schemas.openxmlformats.org/officeDocument/2006/relationships/header" Target="header92.xml"/><Relationship Id="rId140" Type="http://schemas.openxmlformats.org/officeDocument/2006/relationships/header" Target="header93.xml"/><Relationship Id="rId141" Type="http://schemas.openxmlformats.org/officeDocument/2006/relationships/header" Target="header94.xml"/><Relationship Id="rId142" Type="http://schemas.openxmlformats.org/officeDocument/2006/relationships/header" Target="header95.xml"/><Relationship Id="rId143" Type="http://schemas.openxmlformats.org/officeDocument/2006/relationships/header" Target="header96.xml"/><Relationship Id="rId144" Type="http://schemas.openxmlformats.org/officeDocument/2006/relationships/header" Target="header97.xml"/><Relationship Id="rId145" Type="http://schemas.openxmlformats.org/officeDocument/2006/relationships/header" Target="header98.xml"/><Relationship Id="rId146" Type="http://schemas.openxmlformats.org/officeDocument/2006/relationships/header" Target="header99.xml"/><Relationship Id="rId147" Type="http://schemas.openxmlformats.org/officeDocument/2006/relationships/header" Target="header100.xml"/><Relationship Id="rId148" Type="http://schemas.openxmlformats.org/officeDocument/2006/relationships/footer" Target="footer2.xml"/><Relationship Id="rId149" Type="http://schemas.openxmlformats.org/officeDocument/2006/relationships/image" Target="media/image43.png"/><Relationship Id="rId150" Type="http://schemas.openxmlformats.org/officeDocument/2006/relationships/image" Target="media/image44.png"/><Relationship Id="rId151" Type="http://schemas.openxmlformats.org/officeDocument/2006/relationships/image" Target="media/image45.png"/><Relationship Id="rId152" Type="http://schemas.openxmlformats.org/officeDocument/2006/relationships/image" Target="media/image46.png"/><Relationship Id="rId153" Type="http://schemas.openxmlformats.org/officeDocument/2006/relationships/image" Target="media/image47.png"/><Relationship Id="rId154" Type="http://schemas.openxmlformats.org/officeDocument/2006/relationships/image" Target="media/image48.png"/><Relationship Id="rId155" Type="http://schemas.openxmlformats.org/officeDocument/2006/relationships/image" Target="media/image49.png"/><Relationship Id="rId156" Type="http://schemas.openxmlformats.org/officeDocument/2006/relationships/image" Target="media/image50.png"/><Relationship Id="rId157" Type="http://schemas.openxmlformats.org/officeDocument/2006/relationships/image" Target="media/image51.png"/><Relationship Id="rId158" Type="http://schemas.openxmlformats.org/officeDocument/2006/relationships/image" Target="media/image52.png"/><Relationship Id="rId159" Type="http://schemas.openxmlformats.org/officeDocument/2006/relationships/image" Target="media/image53.png"/><Relationship Id="rId160" Type="http://schemas.openxmlformats.org/officeDocument/2006/relationships/image" Target="media/image54.png"/><Relationship Id="rId161" Type="http://schemas.openxmlformats.org/officeDocument/2006/relationships/image" Target="media/image55.png"/><Relationship Id="rId162" Type="http://schemas.openxmlformats.org/officeDocument/2006/relationships/image" Target="media/image56.png"/><Relationship Id="rId163" Type="http://schemas.openxmlformats.org/officeDocument/2006/relationships/image" Target="media/image57.png"/><Relationship Id="rId164" Type="http://schemas.openxmlformats.org/officeDocument/2006/relationships/image" Target="media/image58.png"/><Relationship Id="rId165" Type="http://schemas.openxmlformats.org/officeDocument/2006/relationships/image" Target="media/image59.png"/><Relationship Id="rId166" Type="http://schemas.openxmlformats.org/officeDocument/2006/relationships/image" Target="media/image60.png"/><Relationship Id="rId167" Type="http://schemas.openxmlformats.org/officeDocument/2006/relationships/image" Target="media/image61.png"/><Relationship Id="rId168" Type="http://schemas.openxmlformats.org/officeDocument/2006/relationships/image" Target="media/image62.png"/><Relationship Id="rId169" Type="http://schemas.openxmlformats.org/officeDocument/2006/relationships/image" Target="media/image63.png"/><Relationship Id="rId170" Type="http://schemas.openxmlformats.org/officeDocument/2006/relationships/image" Target="media/image64.png"/><Relationship Id="rId171" Type="http://schemas.openxmlformats.org/officeDocument/2006/relationships/image" Target="media/image65.png"/><Relationship Id="rId172" Type="http://schemas.openxmlformats.org/officeDocument/2006/relationships/image" Target="media/image66.png"/><Relationship Id="rId173" Type="http://schemas.openxmlformats.org/officeDocument/2006/relationships/image" Target="media/image67.png"/><Relationship Id="rId174" Type="http://schemas.openxmlformats.org/officeDocument/2006/relationships/image" Target="media/image68.png"/><Relationship Id="rId175" Type="http://schemas.openxmlformats.org/officeDocument/2006/relationships/image" Target="media/image69.png"/><Relationship Id="rId176" Type="http://schemas.openxmlformats.org/officeDocument/2006/relationships/image" Target="media/image70.png"/><Relationship Id="rId177" Type="http://schemas.openxmlformats.org/officeDocument/2006/relationships/image" Target="media/image71.png"/><Relationship Id="rId178" Type="http://schemas.openxmlformats.org/officeDocument/2006/relationships/image" Target="media/image72.png"/><Relationship Id="rId179" Type="http://schemas.openxmlformats.org/officeDocument/2006/relationships/image" Target="media/image73.png"/><Relationship Id="rId180" Type="http://schemas.openxmlformats.org/officeDocument/2006/relationships/image" Target="media/image74.png"/><Relationship Id="rId181" Type="http://schemas.openxmlformats.org/officeDocument/2006/relationships/image" Target="media/image75.png"/><Relationship Id="rId182" Type="http://schemas.openxmlformats.org/officeDocument/2006/relationships/header" Target="header101.xml"/><Relationship Id="rId183" Type="http://schemas.openxmlformats.org/officeDocument/2006/relationships/footer" Target="footer3.xml"/><Relationship Id="rId184" Type="http://schemas.openxmlformats.org/officeDocument/2006/relationships/image" Target="media/image76.png"/><Relationship Id="rId185" Type="http://schemas.openxmlformats.org/officeDocument/2006/relationships/image" Target="media/image77.png"/><Relationship Id="rId186" Type="http://schemas.openxmlformats.org/officeDocument/2006/relationships/image" Target="media/image78.png"/><Relationship Id="rId187" Type="http://schemas.openxmlformats.org/officeDocument/2006/relationships/image" Target="media/image79.png"/><Relationship Id="rId188" Type="http://schemas.openxmlformats.org/officeDocument/2006/relationships/image" Target="media/image80.png"/><Relationship Id="rId189" Type="http://schemas.openxmlformats.org/officeDocument/2006/relationships/image" Target="media/image81.png"/><Relationship Id="rId190" Type="http://schemas.openxmlformats.org/officeDocument/2006/relationships/image" Target="media/image82.png"/><Relationship Id="rId191" Type="http://schemas.openxmlformats.org/officeDocument/2006/relationships/image" Target="media/image83.png"/><Relationship Id="rId192" Type="http://schemas.openxmlformats.org/officeDocument/2006/relationships/image" Target="media/image84.png"/><Relationship Id="rId193" Type="http://schemas.openxmlformats.org/officeDocument/2006/relationships/image" Target="media/image85.png"/><Relationship Id="rId194" Type="http://schemas.openxmlformats.org/officeDocument/2006/relationships/image" Target="media/image86.png"/><Relationship Id="rId195" Type="http://schemas.openxmlformats.org/officeDocument/2006/relationships/image" Target="media/image87.png"/><Relationship Id="rId196" Type="http://schemas.openxmlformats.org/officeDocument/2006/relationships/image" Target="media/image88.png"/><Relationship Id="rId1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2020-01-14T17:42:13Z</dcterms:created>
  <dcterms:modified xsi:type="dcterms:W3CDTF">2020-01-14T17:42:13Z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2019-12-27T00:00:00Z</vt:filetime>
  </property>
  <property fmtid="{D5CDD505-2E9C-101B-9397-08002B2CF9AE}" pid="3" name="Creator">
    <vt:lpwstr>Adobe InDesign CC (Macintosh)</vt:lpwstr>
  </property>
  <property fmtid="{D5CDD505-2E9C-101B-9397-08002B2CF9AE}" pid="4" name="LastSaved">
    <vt:filetime>2020-01-14T00:00:00Z</vt:filetime>
  </property>
</Properties>
</file>