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bookmarkStart w:id="0" w:name="_GoBack"/>
      <w:bookmarkEnd w:id="0"/>
      <w:r>
        <w:rPr>
          <w:rFonts w:ascii="Verdana" w:hAnsi="Verdana" w:cs="Tahoma"/>
          <w:b/>
          <w:sz w:val="20"/>
        </w:rPr>
        <w:t xml:space="preserve">Aprobación: </w:t>
      </w:r>
      <w:r>
        <w:rPr>
          <w:rFonts w:ascii="Verdana" w:hAnsi="Verdana" w:cs="Tahoma"/>
          <w:sz w:val="20"/>
        </w:rPr>
        <w:t>30 de octubre del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del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del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07 de septiembre del 2022.</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8"/>
          <w:szCs w:val="28"/>
          <w:lang w:val="es-ES" w:eastAsia="es-ES"/>
        </w:rPr>
      </w:pPr>
      <w:r>
        <w:rPr>
          <w:rFonts w:ascii="Verdana" w:eastAsia="Times New Roman" w:hAnsi="Verdana" w:cs="Times New Roman"/>
          <w:b/>
          <w:bCs/>
          <w:kern w:val="3"/>
          <w:sz w:val="28"/>
          <w:szCs w:val="28"/>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definición del ejercicio del Gobierno Municipal y sus fines;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organización, sede, instalación y facultades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integración, denominación, características, facultades y obligaciones de las comisiones edilicias;</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 xml:space="preserve">V.- </w:t>
      </w: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El procedimiento ordinario para la aprobación de los decretos y acuerdos del Ayuntamiento;</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Los procedimientos especiales para los casos de ausencia de los miembros del Ayuntamiento, así como para los nombramientos y los casos de las ausencias de los servidores públicos auxiliares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Las sanciones a que pueden ser acreedores las y los integrantes del Ayuntamiento, por incumplimiento a las disposiciones del presente reglamento que regulan su función edilicia; y</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La organización de los grupos edilicios y las y los Munícipes independientes.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 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II.- 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III.- 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IV.- 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 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VI.- 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VII.- 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VIII.- 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eastAsia="es-ES"/>
        </w:rPr>
        <w:t xml:space="preserve">IX.- </w:t>
      </w: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 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 Edil o Munícipe: Las y los integrantes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XII.- Escaño: Lugar que ocupan las y los ediles para el desahogo de las sesiones del Ayuntamiento, cuya distribución se asigna de conformidad con el presente Reglamento;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XIII.- Grupo edilicio: Forma de organización que integran las y los Munícipes de un mismo partido o coalición política, o bien, los Ediles independientes, al interior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XIV.- Informe de trabajo: Documento elaborado por algún Munícipe o una comisión edilicia que contiene un resumen de sus actividades durante un periodo o acción determinada;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 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XVI.- 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XVII.- Municipio: El Municipio de Tlajomulco de Zúñiga, Jalisco;</w:t>
      </w:r>
    </w:p>
    <w:p>
      <w:pPr>
        <w:suppressAutoHyphens/>
        <w:autoSpaceDN w:val="0"/>
        <w:spacing w:after="0" w:line="240" w:lineRule="auto"/>
        <w:ind w:left="720"/>
        <w:textAlignment w:val="baseline"/>
        <w:rPr>
          <w:rFonts w:ascii="Verdana" w:eastAsia="Times New Roman" w:hAnsi="Verdana" w:cs="Times New Roman"/>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XVIII.- 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XIX.- 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XX.- 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XXI.- Quórum: </w:t>
      </w:r>
      <w:r>
        <w:rPr>
          <w:rFonts w:ascii="Verdana" w:hAnsi="Verdana" w:cs="Arial"/>
          <w:b/>
          <w:kern w:val="3"/>
          <w:sz w:val="20"/>
          <w:szCs w:val="20"/>
        </w:rPr>
        <w:t>La asistencia de la mayoría de sus integrantes físicamente o virtualmente a través de medios electrónicos y de las tecnologías de la información,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b/>
          <w:kern w:val="3"/>
          <w:sz w:val="20"/>
          <w:szCs w:val="20"/>
          <w:lang w:eastAsia="es-ES"/>
        </w:rPr>
        <w:t>;</w:t>
      </w:r>
    </w:p>
    <w:p>
      <w:pPr>
        <w:pStyle w:val="Prrafodelista"/>
        <w:jc w:val="right"/>
        <w:rPr>
          <w:rFonts w:ascii="Verdana" w:hAnsi="Verdana" w:cs="Arial"/>
          <w:b/>
          <w:bCs/>
          <w:i/>
          <w:sz w:val="18"/>
          <w:szCs w:val="18"/>
        </w:rPr>
      </w:pPr>
      <w:r>
        <w:rPr>
          <w:rFonts w:ascii="Verdana" w:hAnsi="Verdana" w:cs="Arial"/>
          <w:b/>
          <w:bCs/>
          <w:i/>
          <w:sz w:val="18"/>
          <w:szCs w:val="18"/>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 Reglamento: El presente Reglamento del Ayuntamiento del Municipio de Tlajomulco de Zúñiga;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XXIII.- 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ind w:left="720"/>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XXIV.- 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XXV.- 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VIII.- Promover la inclusión social de las personas con discapacidad, ofertando programas para su atención terapéutica, asistenciales, para su incorporación laboral, culturales y deportivos, de </w:t>
      </w:r>
      <w:r>
        <w:rPr>
          <w:rFonts w:ascii="Verdana" w:eastAsia="SimSun" w:hAnsi="Verdana" w:cs="Tahoma"/>
          <w:kern w:val="3"/>
          <w:sz w:val="20"/>
          <w:szCs w:val="20"/>
          <w:lang w:eastAsia="zh-CN" w:bidi="hi-IN"/>
        </w:rPr>
        <w:lastRenderedPageBreak/>
        <w:t>desarrollo social, la promoción permanente de la cultura de inclusión para la eliminación de barreras sociales, así como la incorporación del diseño universal en todas las obras para la accesibilidad plena 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En coordinación con otras instancias gubernamentales, lograr la igualdad sustantiva entre 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Regular el desarrollo urbano del Municipio en la búsqueda de mejorar la calidad de vida de sus habitantes, mediante el concurso armónico de acciones que se realicen para el ordenamiento del territorio de forma sustentable, sostenible, resiliente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 La eficacia, eficiencia y la ética en el desempeño de la función pública, a través de la transparencia, honradez, compromiso social y espíritu de servicio, que propicie una interacción con </w:t>
      </w:r>
      <w:r>
        <w:rPr>
          <w:rFonts w:ascii="Verdana" w:eastAsia="SimSun" w:hAnsi="Verdana" w:cs="Tahoma"/>
          <w:kern w:val="3"/>
          <w:sz w:val="20"/>
          <w:szCs w:val="20"/>
          <w:lang w:eastAsia="zh-CN" w:bidi="hi-IN"/>
        </w:rPr>
        <w:lastRenderedPageBreak/>
        <w:t>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 dará lectura al orden del día;</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 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lastRenderedPageBreak/>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right"/>
        <w:rPr>
          <w:rFonts w:ascii="Verdana" w:hAnsi="Verdana" w:cs="Khmer UI"/>
          <w:b/>
          <w:i/>
          <w:sz w:val="20"/>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autoSpaceDE w:val="0"/>
        <w:spacing w:after="0"/>
        <w:jc w:val="right"/>
        <w:rPr>
          <w:rFonts w:ascii="Verdana" w:hAnsi="Verdana" w:cs="Arial"/>
          <w:b/>
          <w:sz w:val="18"/>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i/>
          <w:kern w:val="3"/>
          <w:sz w:val="18"/>
          <w:szCs w:val="20"/>
          <w:lang w:eastAsia="es-ES"/>
        </w:rPr>
      </w:pPr>
      <w:r>
        <w:rPr>
          <w:rFonts w:ascii="Verdana" w:eastAsia="Times New Roman" w:hAnsi="Verdana" w:cs="Arial"/>
          <w:b/>
          <w:i/>
          <w:kern w:val="3"/>
          <w:sz w:val="18"/>
          <w:szCs w:val="20"/>
          <w:lang w:eastAsia="es-ES"/>
        </w:rPr>
        <w:t>(Adición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VIII.- 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hAnsi="Verdana" w:cs="Khmer UI"/>
          <w:b/>
          <w:sz w:val="20"/>
          <w:szCs w:val="20"/>
        </w:rPr>
        <w:t xml:space="preserve">IX.- Acto seguido, la </w:t>
      </w:r>
      <w:r>
        <w:rPr>
          <w:rFonts w:ascii="Verdana" w:hAnsi="Verdana" w:cs="Khmer UI"/>
          <w:b/>
          <w:bCs/>
          <w:sz w:val="20"/>
          <w:szCs w:val="20"/>
        </w:rPr>
        <w:t xml:space="preserve">Presidenta Municipal o </w:t>
      </w:r>
      <w:r>
        <w:rPr>
          <w:rFonts w:ascii="Verdana" w:hAnsi="Verdana" w:cs="Khmer UI"/>
          <w:b/>
          <w:sz w:val="20"/>
          <w:szCs w:val="20"/>
        </w:rPr>
        <w:t>Presidente Municipal saliente, o quien lo sustituya según el caso de lo previsto por la fracción VII o VII Bis de este artículo, entregará de forma simbólica a la o el Presidente Municipal electo la administración del Municipio;</w:t>
      </w:r>
    </w:p>
    <w:p>
      <w:pPr>
        <w:pStyle w:val="Prrafodelista"/>
        <w:autoSpaceDE w:val="0"/>
        <w:jc w:val="right"/>
        <w:rPr>
          <w:rFonts w:ascii="Verdana" w:hAnsi="Verdana" w:cs="Arial"/>
          <w:b/>
          <w:i/>
          <w:sz w:val="18"/>
          <w:szCs w:val="20"/>
        </w:rPr>
      </w:pPr>
      <w:r>
        <w:rPr>
          <w:rFonts w:ascii="Verdana" w:hAnsi="Verdana" w:cs="Arial"/>
          <w:b/>
          <w:i/>
          <w:sz w:val="18"/>
          <w:szCs w:val="20"/>
        </w:rPr>
        <w:t>(Reforma publicada en la Gaceta Municipal de fecha 30 de septiembre del 2019)</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 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Declaración de instalación del Ayuntamiento para el periodo constitucional que corresponda;</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III.- 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jc w:val="right"/>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Toma de protesta de las o los funcionarios a que se refiere la fracción anterior;</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VII.- 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 xml:space="preserve">En el caso de que por cuestiones de hecho se suspenda total o parcialmente las </w:t>
      </w:r>
      <w:r>
        <w:rPr>
          <w:rFonts w:ascii="Verdana" w:eastAsia="SimSun" w:hAnsi="Verdana" w:cs="Tahoma"/>
          <w:kern w:val="3"/>
          <w:sz w:val="20"/>
          <w:szCs w:val="20"/>
          <w:lang w:eastAsia="zh-CN" w:bidi="hi-IN"/>
        </w:rPr>
        <w:lastRenderedPageBreak/>
        <w:t>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 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IV.- 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w:t>
      </w:r>
      <w:r>
        <w:rPr>
          <w:rFonts w:ascii="Verdana" w:eastAsia="SimSun" w:hAnsi="Verdana" w:cs="Tahoma"/>
          <w:kern w:val="3"/>
          <w:sz w:val="20"/>
          <w:szCs w:val="20"/>
          <w:lang w:eastAsia="zh-CN" w:bidi="hi-IN"/>
        </w:rPr>
        <w:lastRenderedPageBreak/>
        <w:t>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XIX.- A propuesta de la Presidenta o Presidente Municipal, nombrar a las o los titulares de la Secretaría General del Ayuntamiento, Tesorería Municipal y la Fiscalía Ambiental, así como la integración de las Comisiones Edilicias de carácter permanente o </w:t>
      </w:r>
      <w:proofErr w:type="gramStart"/>
      <w:r>
        <w:rPr>
          <w:rFonts w:ascii="Verdana" w:eastAsia="SimSun" w:hAnsi="Verdana" w:cs="Tahoma"/>
          <w:b/>
          <w:kern w:val="3"/>
          <w:sz w:val="20"/>
          <w:szCs w:val="20"/>
          <w:lang w:eastAsia="zh-CN" w:bidi="hi-IN"/>
        </w:rPr>
        <w:t>transitoria</w:t>
      </w:r>
      <w:proofErr w:type="gramEnd"/>
      <w:r>
        <w:rPr>
          <w:rFonts w:ascii="Verdana" w:eastAsia="SimSun" w:hAnsi="Verdana" w:cs="Tahoma"/>
          <w:b/>
          <w:kern w:val="3"/>
          <w:sz w:val="20"/>
          <w:szCs w:val="20"/>
          <w:lang w:eastAsia="zh-CN" w:bidi="hi-IN"/>
        </w:rPr>
        <w:t xml:space="preserve">;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XIX Bis.- A propuesta de la Presidenta o Presidente Municipal nombrar y remover a la persona titular del Órgano Interno de Control; en los casos de su remoción sólo será por 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hAnsi="Verdana"/>
          <w:b/>
          <w:sz w:val="20"/>
          <w:szCs w:val="20"/>
        </w:rPr>
        <w:t>XX.- Previa consulta pública, designar a las y los titulares de las Delegaciones y Agencias Municipales, salvo lo dispuesto por el Reglamento de Participación Ciudadana para la Gobernanza del Municipio de Tlajomulco de Zúñiga, Jalisco</w:t>
      </w:r>
      <w:r>
        <w:rPr>
          <w:rFonts w:ascii="Verdana" w:eastAsia="SimSun" w:hAnsi="Verdana" w:cs="Tahoma"/>
          <w:b/>
          <w:kern w:val="3"/>
          <w:sz w:val="20"/>
          <w:szCs w:val="20"/>
          <w:lang w:eastAsia="zh-CN" w:bidi="hi-IN"/>
        </w:rPr>
        <w:t>;</w:t>
      </w:r>
    </w:p>
    <w:p>
      <w:pPr>
        <w:widowControl w:val="0"/>
        <w:suppressAutoHyphens/>
        <w:autoSpaceDN w:val="0"/>
        <w:spacing w:after="0" w:line="240" w:lineRule="auto"/>
        <w:jc w:val="right"/>
        <w:textAlignment w:val="baseline"/>
        <w:rPr>
          <w:rFonts w:ascii="Verdana" w:hAnsi="Verdana" w:cs="Arial"/>
          <w:b/>
          <w:bCs/>
          <w:i/>
          <w:sz w:val="18"/>
          <w:szCs w:val="18"/>
        </w:rPr>
      </w:pPr>
      <w:r>
        <w:rPr>
          <w:rFonts w:ascii="Verdana" w:hAnsi="Verdana" w:cs="Arial"/>
          <w:b/>
          <w:bCs/>
          <w:i/>
          <w:sz w:val="18"/>
          <w:szCs w:val="18"/>
        </w:rPr>
        <w:t>(Reforma publicada en la Gaceta Municipal de fecha 15 de febrero del 2022)</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 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XXIII.- 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XXIV.- 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 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XXVI.- 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XXVII.- 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XXVIII.- 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XXIX.- 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XXX.- 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 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XXXII.- 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XXXIII.- 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XXXIV.- 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 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 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 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XXXVIII.- 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XXXIX.- 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w:t>
      </w:r>
      <w:r>
        <w:rPr>
          <w:rFonts w:ascii="Verdana" w:eastAsia="SimSun" w:hAnsi="Verdana" w:cs="Tahoma"/>
          <w:kern w:val="3"/>
          <w:sz w:val="20"/>
          <w:szCs w:val="20"/>
          <w:lang w:eastAsia="zh-CN" w:bidi="hi-IN"/>
        </w:rPr>
        <w:lastRenderedPageBreak/>
        <w:t>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 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 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XLII.- Aprobar, vigilar, actualizar o sustituir el Plan Municipal de Desarrollo, de conformidad con la legislación de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XLIII.- Expedir e implementar el Programa de Ordenamiento Ecológico Local, evaluar la política 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XLIV.- 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 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XLVI.- 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XLVII.- 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XLVIII.- 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XLIX.- Crear, mediante la expedición de ordenamientos municipales, los organismos paramunicipales y su normatividad interna, así como empresas públicas de participación municipal mayoritaria con la finalidad u objeto de realizar obras y llevar a cabo la prestación de los servicios </w:t>
      </w:r>
      <w:r>
        <w:rPr>
          <w:rFonts w:ascii="Verdana" w:eastAsia="SimSun" w:hAnsi="Verdana" w:cs="Tahoma"/>
          <w:kern w:val="3"/>
          <w:sz w:val="20"/>
          <w:szCs w:val="20"/>
          <w:lang w:eastAsia="zh-CN" w:bidi="hi-IN"/>
        </w:rPr>
        <w:lastRenderedPageBreak/>
        <w:t>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 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LI.- 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LII.- 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LIII.- 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LIV.- 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LV.- 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6"/>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w:t>
      </w:r>
      <w:r>
        <w:rPr>
          <w:rFonts w:ascii="Verdana" w:eastAsia="Times New Roman" w:hAnsi="Verdana" w:cs="Arial"/>
          <w:kern w:val="3"/>
          <w:sz w:val="20"/>
          <w:szCs w:val="20"/>
          <w:lang w:val="es-ES" w:eastAsia="es-ES"/>
        </w:rPr>
        <w:lastRenderedPageBreak/>
        <w:t xml:space="preserve">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VIII.- 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 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 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XIII.- 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XIV.- 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 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 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 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XVIII.- 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XIX.- 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 Participar, con voz y voto, en las sesiones de que forme parte;</w:t>
      </w:r>
    </w:p>
    <w:p>
      <w:pPr>
        <w:pStyle w:val="Prrafodelista"/>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i/>
          <w:kern w:val="3"/>
          <w:sz w:val="18"/>
          <w:szCs w:val="18"/>
          <w:lang w:eastAsia="es-ES"/>
        </w:rPr>
      </w:pPr>
      <w:r>
        <w:rPr>
          <w:rFonts w:ascii="Verdana" w:eastAsia="Times New Roman" w:hAnsi="Verdana" w:cs="Arial"/>
          <w:b/>
          <w:i/>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XXI.- 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XXII.- 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Formular o acordar con otro miembro de la comisión edilicia la elaboración de los proyectos de las iniciativas, dictámenes o informes de los asuntos que competan a su comisión;</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ind w:left="72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hAnsi="Verdana" w:cs="Khmer UI"/>
          <w:b/>
          <w:iCs/>
          <w:sz w:val="20"/>
          <w:szCs w:val="20"/>
        </w:rPr>
        <w:t>La convocatoria a sesión de la comisión edilicia con el contenido del orden del día deberá ser entregada a los integrantes de la misma al menos con veinticuatro horas de anticipación, mediante los correos electrónicos autorizados, donde la impresión de la constancia del envío del correo electrónico sirva de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I.- 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II.- 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agendado;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III.- 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IV.- 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V.- 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VI.- 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55.- </w:t>
      </w:r>
      <w:r>
        <w:rPr>
          <w:rFonts w:ascii="Verdana" w:eastAsia="Arial" w:hAnsi="Verdana" w:cs="Arial"/>
          <w:color w:val="000000"/>
          <w:sz w:val="20"/>
          <w:szCs w:val="20"/>
        </w:rPr>
        <w:t>Si a las sesiones de las comisiones edilicias no concurren su Presidenta o Presidente por causa justificada, la sesión será conducida por la o el Munícipe que acuerde la propia comisión edilicia por mayoría de votos de los presentes y en caso de empate la presidirá el regidor que haya registrado primero su asistencia a la sesión</w:t>
      </w:r>
      <w:r>
        <w:rPr>
          <w:rFonts w:ascii="Verdana" w:eastAsia="Times New Roman" w:hAnsi="Verdana" w:cs="Arial"/>
          <w:kern w:val="3"/>
          <w:sz w:val="20"/>
          <w:szCs w:val="20"/>
          <w:lang w:val="es-ES" w:eastAsia="es-ES"/>
        </w:rPr>
        <w:t xml:space="preserve">. </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En caso de que no concurra la suplente o el suplente, la Comisión Edilicia acordará por mayoría relativa de votos la o el Edil que presidirá por única ocasión. Cuando se registre un empate en la votación, quien presida por única ocasión la sesión será la o el Edil que primero haya estado presente en la sesión.</w:t>
      </w:r>
    </w:p>
    <w:p>
      <w:pPr>
        <w:autoSpaceDE w:val="0"/>
        <w:autoSpaceDN w:val="0"/>
        <w:spacing w:after="0" w:line="240" w:lineRule="auto"/>
        <w:ind w:left="13"/>
        <w:jc w:val="right"/>
        <w:textAlignment w:val="baseline"/>
        <w:rPr>
          <w:rFonts w:ascii="Verdana" w:eastAsia="Times New Roman" w:hAnsi="Verdana" w:cs="Arial"/>
          <w:kern w:val="3"/>
          <w:sz w:val="20"/>
          <w:szCs w:val="20"/>
          <w:lang w:val="es-ES" w:eastAsia="es-ES"/>
        </w:rPr>
      </w:pPr>
      <w:r>
        <w:rPr>
          <w:rFonts w:ascii="Verdana" w:hAnsi="Verdana" w:cs="Tahoma"/>
          <w:b/>
          <w:i/>
          <w:sz w:val="18"/>
          <w:szCs w:val="18"/>
        </w:rPr>
        <w:t>(Reforma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Administración Pública;</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pStyle w:val="Prrafodelista"/>
        <w:rPr>
          <w:rFonts w:ascii="Verdana" w:hAnsi="Verdana" w:cs="Arial"/>
          <w:sz w:val="20"/>
          <w:szCs w:val="20"/>
        </w:rPr>
      </w:pPr>
    </w:p>
    <w:p>
      <w:pPr>
        <w:pStyle w:val="Prrafodelista"/>
        <w:ind w:left="0"/>
        <w:jc w:val="both"/>
        <w:rPr>
          <w:rFonts w:ascii="Verdana" w:hAnsi="Verdana"/>
          <w:b/>
          <w:color w:val="000000" w:themeColor="text1"/>
          <w:sz w:val="20"/>
          <w:szCs w:val="20"/>
        </w:rPr>
      </w:pPr>
      <w:r>
        <w:rPr>
          <w:rFonts w:ascii="Verdana" w:hAnsi="Verdana"/>
          <w:b/>
          <w:color w:val="000000" w:themeColor="text1"/>
          <w:sz w:val="20"/>
          <w:szCs w:val="20"/>
        </w:rPr>
        <w:t>IV Bis.- La Comisión Edilicia de Cultura de Paz;</w:t>
      </w:r>
    </w:p>
    <w:p>
      <w:pPr>
        <w:autoSpaceDE w:val="0"/>
        <w:autoSpaceDN w:val="0"/>
        <w:spacing w:after="0" w:line="240" w:lineRule="auto"/>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Educación, Innovación, Ciencia y Tecnología;</w:t>
      </w:r>
    </w:p>
    <w:p>
      <w:pPr>
        <w:suppressAutoHyphens/>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27 de julio del 2022)</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Igualdad de Género;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Juventud y Deportes;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i/>
          <w:kern w:val="1"/>
          <w:sz w:val="18"/>
          <w:szCs w:val="20"/>
          <w:lang w:val="es-ES" w:eastAsia="es-ES"/>
        </w:rPr>
      </w:pPr>
      <w:r>
        <w:rPr>
          <w:rFonts w:ascii="Verdana" w:eastAsia="Calibri" w:hAnsi="Verdana" w:cs="Arial"/>
          <w:b/>
          <w:i/>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hAnsi="Verdana"/>
          <w:b/>
          <w:sz w:val="20"/>
          <w:szCs w:val="20"/>
        </w:rPr>
        <w:t xml:space="preserve"> La Comisión Edilicia de Asuntos Metropolitanos y de Atención al Migrante tiene las facultades siguientes:</w:t>
      </w:r>
    </w:p>
    <w:p>
      <w:pPr>
        <w:tabs>
          <w:tab w:val="left" w:pos="8456"/>
        </w:tabs>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tabs>
          <w:tab w:val="left" w:pos="8456"/>
        </w:tabs>
        <w:autoSpaceDE w:val="0"/>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lastRenderedPageBreak/>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 </w:t>
      </w:r>
      <w:r>
        <w:rPr>
          <w:rFonts w:ascii="Verdana" w:hAnsi="Verdana"/>
          <w:b/>
          <w:color w:val="000000" w:themeColor="text1"/>
          <w:sz w:val="20"/>
          <w:szCs w:val="20"/>
        </w:rPr>
        <w:t>Estudiar, analizar, proponer y dictaminar los ordenamientos municipales, las políticas, programas y demás asuntos que tengan que ver con la materia de derechos humanos y demás derechos fundamentales que constituyen el bloque de constitucionalidad de derechos a favor de las personas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la perspectiva de derechos humanos, y del funcionamiento de los juzgados municipales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III.- </w:t>
      </w:r>
      <w:r>
        <w:rPr>
          <w:rFonts w:ascii="Verdana" w:hAnsi="Verdana"/>
          <w:b/>
          <w:color w:val="000000" w:themeColor="text1"/>
          <w:sz w:val="20"/>
          <w:szCs w:val="20"/>
        </w:rPr>
        <w:t>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sean discriminatorias o conculquen los derechos humanos, bajo los principios de universalidad, interdependencia, indivisibilidad y progresividad</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IV.- </w:t>
      </w:r>
      <w:r>
        <w:rPr>
          <w:rFonts w:ascii="Verdana" w:hAnsi="Verdana"/>
          <w:b/>
          <w:color w:val="000000" w:themeColor="text1"/>
          <w:sz w:val="20"/>
          <w:szCs w:val="20"/>
        </w:rPr>
        <w:t>Promover la coordinación y colaboración con las respectivas dependencias municipales e instancias estatales y federales, en materia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 </w:t>
      </w:r>
      <w:r>
        <w:rPr>
          <w:rFonts w:ascii="Verdana" w:hAnsi="Verdana"/>
          <w:b/>
          <w:color w:val="000000" w:themeColor="text1"/>
          <w:sz w:val="20"/>
          <w:szCs w:val="20"/>
        </w:rPr>
        <w:t>Vigilar la atención que se dan a las recomendaciones y procedimientos ante la Comisión Estatal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VI.- </w:t>
      </w:r>
      <w:r>
        <w:rPr>
          <w:rFonts w:ascii="Verdana" w:hAnsi="Verdana"/>
          <w:b/>
          <w:sz w:val="20"/>
          <w:szCs w:val="20"/>
        </w:rPr>
        <w:t>Conocer de la situación imperante de los centros de detención y custodia municipales, verificando que sean respetados los derechos humanos de las y los detenidos, víctimas y ofendidos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hAnsi="Verdana"/>
          <w:b/>
          <w:color w:val="000000" w:themeColor="text1"/>
          <w:sz w:val="20"/>
          <w:szCs w:val="20"/>
        </w:rPr>
      </w:pPr>
      <w:r>
        <w:rPr>
          <w:rFonts w:ascii="Verdana" w:eastAsia="Times New Roman" w:hAnsi="Verdana" w:cs="Arial"/>
          <w:b/>
          <w:kern w:val="3"/>
          <w:sz w:val="20"/>
          <w:szCs w:val="20"/>
          <w:lang w:val="es-ES" w:eastAsia="es-ES"/>
        </w:rPr>
        <w:t xml:space="preserve">VII.- </w:t>
      </w:r>
      <w:r>
        <w:rPr>
          <w:rFonts w:ascii="Verdana" w:hAnsi="Verdana"/>
          <w:b/>
          <w:color w:val="000000" w:themeColor="text1"/>
          <w:sz w:val="20"/>
          <w:szCs w:val="20"/>
        </w:rPr>
        <w:t>Impulsar el procedimiento para designar a las juezas o jueces municipales;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spacing w:after="0"/>
        <w:jc w:val="both"/>
        <w:rPr>
          <w:rFonts w:ascii="Verdana" w:hAnsi="Verdana"/>
          <w:b/>
          <w:color w:val="000000" w:themeColor="text1"/>
          <w:sz w:val="20"/>
          <w:szCs w:val="20"/>
        </w:rPr>
      </w:pPr>
    </w:p>
    <w:p>
      <w:pPr>
        <w:spacing w:after="0"/>
        <w:jc w:val="both"/>
        <w:rPr>
          <w:rFonts w:ascii="Verdana" w:hAnsi="Verdana"/>
          <w:b/>
          <w:color w:val="000000" w:themeColor="text1"/>
          <w:sz w:val="20"/>
          <w:szCs w:val="20"/>
        </w:rPr>
      </w:pPr>
      <w:r>
        <w:rPr>
          <w:rFonts w:ascii="Verdana" w:hAnsi="Verdana"/>
          <w:b/>
          <w:color w:val="000000" w:themeColor="text1"/>
          <w:sz w:val="20"/>
          <w:szCs w:val="20"/>
        </w:rPr>
        <w:t>VIII.- Dictaminar las demás iniciativas que le sean turnadas por el Ayuntamiento.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hAnsi="Verdana" w:cs="Arial"/>
          <w:b/>
          <w:sz w:val="18"/>
          <w:szCs w:val="20"/>
        </w:rPr>
      </w:pPr>
    </w:p>
    <w:p>
      <w:pPr>
        <w:spacing w:after="0"/>
        <w:jc w:val="both"/>
        <w:rPr>
          <w:rFonts w:ascii="Verdana" w:hAnsi="Verdana"/>
          <w:b/>
          <w:sz w:val="20"/>
          <w:szCs w:val="20"/>
        </w:rPr>
      </w:pPr>
      <w:r>
        <w:rPr>
          <w:rFonts w:ascii="Verdana" w:hAnsi="Verdana"/>
          <w:b/>
          <w:sz w:val="20"/>
          <w:szCs w:val="20"/>
        </w:rPr>
        <w:t>Artículo 68 Bis.- La Comisión Edilicia de Cultura de Paz tiene las facultades siguientes:</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ind w:left="567" w:hanging="425"/>
        <w:jc w:val="both"/>
        <w:rPr>
          <w:rFonts w:ascii="Verdana" w:hAnsi="Verdana"/>
          <w:b/>
          <w:sz w:val="20"/>
          <w:szCs w:val="20"/>
        </w:rPr>
      </w:pPr>
    </w:p>
    <w:p>
      <w:pPr>
        <w:spacing w:after="0"/>
        <w:contextualSpacing/>
        <w:jc w:val="both"/>
        <w:rPr>
          <w:rFonts w:ascii="Verdana" w:hAnsi="Verdana"/>
          <w:b/>
          <w:sz w:val="20"/>
          <w:szCs w:val="20"/>
        </w:rPr>
      </w:pPr>
      <w:r>
        <w:rPr>
          <w:rFonts w:ascii="Verdana" w:hAnsi="Verdana"/>
          <w:b/>
          <w:sz w:val="20"/>
          <w:szCs w:val="20"/>
        </w:rPr>
        <w:t>I.- Estudiar, analizar, proponer y dictaminar los ordenamientos municipales, las políticas, programas y demás asuntos que tengan que ver con la cultura de paz, desde el bloque de constitucionalidad;</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567"/>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lang w:val="es-ES"/>
        </w:rPr>
        <w:lastRenderedPageBreak/>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su funcionamiento con perspectiva para una cultura de paz;</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567"/>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III.- 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no contribuyan a generar condiciones de persecución para una cultura de paz;</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 xml:space="preserve">IV.- Promover la coordinación y colaboración con las respectivas dependencias municipales e instancias estatales y federales, para la programación, implementación, ejecución, seguimiento y valoración de acciones en materia de paz, así como colaborar en las políticas públicas e impulsar la </w:t>
      </w:r>
      <w:proofErr w:type="spellStart"/>
      <w:r>
        <w:rPr>
          <w:rFonts w:ascii="Verdana" w:hAnsi="Verdana"/>
          <w:b/>
          <w:color w:val="000000" w:themeColor="text1"/>
          <w:sz w:val="20"/>
          <w:szCs w:val="20"/>
        </w:rPr>
        <w:t>transversalización</w:t>
      </w:r>
      <w:proofErr w:type="spellEnd"/>
      <w:r>
        <w:rPr>
          <w:rFonts w:ascii="Verdana" w:hAnsi="Verdana"/>
          <w:b/>
          <w:color w:val="000000" w:themeColor="text1"/>
          <w:sz w:val="20"/>
          <w:szCs w:val="20"/>
        </w:rPr>
        <w:t xml:space="preserve"> del enfoque de cultura de paz en las demás acciones de gobierno;</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color w:val="000000" w:themeColor="text1"/>
          <w:sz w:val="20"/>
          <w:szCs w:val="20"/>
        </w:rPr>
        <w:t>V.- Vigilar que se respete, proteja, promueva y garantice la paz como un derecho humano en el territorio municipal;</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sz w:val="20"/>
          <w:szCs w:val="20"/>
        </w:rPr>
        <w:t>VI.- Participar en la elaboración, revisión, aprobación,  actualización y ejecución del Programa Municipal de Cultura de Paz; y</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right"/>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VII.- Dictaminar las demás iniciativas que le sean turnadas por el Ayuntamiento.</w:t>
      </w:r>
    </w:p>
    <w:p>
      <w:pPr>
        <w:autoSpaceDE w:val="0"/>
        <w:autoSpaceDN w:val="0"/>
        <w:spacing w:after="0" w:line="240" w:lineRule="auto"/>
        <w:ind w:left="567" w:hanging="425"/>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w:t>
      </w:r>
      <w:proofErr w:type="gramStart"/>
      <w:r>
        <w:rPr>
          <w:rFonts w:ascii="Verdana" w:eastAsia="Times New Roman" w:hAnsi="Verdana" w:cs="Arial"/>
          <w:bCs/>
          <w:kern w:val="3"/>
          <w:sz w:val="20"/>
          <w:szCs w:val="20"/>
          <w:lang w:val="es-ES" w:eastAsia="es-ES"/>
        </w:rPr>
        <w:t>la</w:t>
      </w:r>
      <w:proofErr w:type="gramEnd"/>
      <w:r>
        <w:rPr>
          <w:rFonts w:ascii="Verdana" w:eastAsia="Times New Roman" w:hAnsi="Verdana" w:cs="Arial"/>
          <w:bCs/>
          <w:kern w:val="3"/>
          <w:sz w:val="20"/>
          <w:szCs w:val="20"/>
          <w:lang w:val="es-ES" w:eastAsia="es-ES"/>
        </w:rPr>
        <w:t xml:space="preserve">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w:t>
      </w:r>
      <w:r>
        <w:rPr>
          <w:rFonts w:ascii="Verdana" w:eastAsia="Times New Roman" w:hAnsi="Verdana" w:cs="Arial"/>
          <w:sz w:val="20"/>
          <w:szCs w:val="20"/>
          <w:lang w:val="es-ES" w:eastAsia="es-ES"/>
        </w:rPr>
        <w:lastRenderedPageBreak/>
        <w:t>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kern w:val="3"/>
          <w:sz w:val="20"/>
          <w:szCs w:val="20"/>
          <w:lang w:val="es-ES" w:eastAsia="es-ES"/>
        </w:rPr>
        <w:t>La Comisión Edilicia de Igualdad de Género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La Comisión Edilicia de Juventud y Deportes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en materia de atención a las niñas, niños y adolescentes del </w:t>
      </w:r>
      <w:r>
        <w:rPr>
          <w:rFonts w:ascii="Verdana" w:eastAsia="Times New Roman" w:hAnsi="Verdana" w:cs="Arial"/>
          <w:kern w:val="3"/>
          <w:sz w:val="20"/>
          <w:szCs w:val="20"/>
          <w:lang w:val="es-ES" w:eastAsia="es-ES"/>
        </w:rPr>
        <w:lastRenderedPageBreak/>
        <w:t>Municipio, así como la materialización de sus derechos, particularmente cuando se encuentren en situación de vulnerabilidad;</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Analizar la situación de la contaminación que padece el Municipio para formular propuestas para la protección de los recursos naturales del Municipio, la restauración del equilibrio ecológico, la ejecución de acciones de mitigación frente al cambio climático;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 </w:t>
      </w:r>
      <w:r>
        <w:rPr>
          <w:rFonts w:ascii="Verdana" w:eastAsia="Times New Roman" w:hAnsi="Verdana" w:cs="Times New Roman"/>
          <w:sz w:val="20"/>
          <w:szCs w:val="20"/>
          <w:lang w:val="es-ES" w:eastAsia="es-ES"/>
        </w:rPr>
        <w:t>Vigilar y dictaminar sobre las políticas y programas que la administración ponga en práctica en las áreas naturales protegidas, de reserva ecológica, áreas verdes y protección forestal del Municipio en los términos de las disposiciones aplicables;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lastRenderedPageBreak/>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y demás asuntos que tengan que ver con el ordenamiento del territorio, de los asentamientos humanos y el desarrollo urbano del Municipio, así como de la movilidad en el territorio del Municipio,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 la dependencia pública municipal encargada de la planeación de desarrollo municipal, del desarrollo urbano, así como de vialidad y trasporte;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i/>
          <w:sz w:val="18"/>
          <w:szCs w:val="20"/>
        </w:rPr>
      </w:pPr>
      <w:r>
        <w:rPr>
          <w:rFonts w:ascii="Verdana" w:hAnsi="Verdana"/>
          <w:b/>
          <w:i/>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Prrafodelista"/>
        <w:tabs>
          <w:tab w:val="left" w:pos="426"/>
        </w:tabs>
        <w:autoSpaceDE w:val="0"/>
        <w:ind w:left="0"/>
        <w:jc w:val="both"/>
        <w:rPr>
          <w:rFonts w:ascii="Verdana" w:hAnsi="Verdana" w:cs="Arial"/>
          <w:b/>
          <w:sz w:val="20"/>
          <w:szCs w:val="20"/>
        </w:rPr>
      </w:pPr>
      <w:r>
        <w:rPr>
          <w:rFonts w:ascii="Verdana" w:eastAsia="Batang" w:hAnsi="Verdana" w:cs="Khmer UI"/>
          <w:b/>
          <w:bCs/>
          <w:sz w:val="20"/>
          <w:szCs w:val="20"/>
        </w:rPr>
        <w:t>I.- Estudiar, analizar, proponer y dictaminar los ordenamientos municipales y las políticas, programas y demás asuntos que tengan que ver con la materia de transparencia, acceso a la información, la protección de datos personales, así como anticorrupción, fiscalización y la rendición de cuentas y gobierno abierto</w:t>
      </w:r>
      <w:r>
        <w:rPr>
          <w:rFonts w:ascii="Verdana" w:hAnsi="Verdana" w:cs="Arial"/>
          <w:b/>
          <w:sz w:val="20"/>
          <w:szCs w:val="20"/>
        </w:rPr>
        <w:t>;</w:t>
      </w:r>
    </w:p>
    <w:p>
      <w:pPr>
        <w:spacing w:after="0"/>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pStyle w:val="Sinespaciado"/>
        <w:jc w:val="both"/>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Bis.- Contribuir al funcionamiento del Sistema Municipal Anticorrupción y Antisoborno del Municipio, en coordinación con las instancias que lo integran;</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Antisoborno del Municipio;</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Batang" w:hAnsi="Verdana" w:cs="Khmer UI"/>
          <w:b/>
          <w:bCs/>
          <w:sz w:val="20"/>
          <w:szCs w:val="20"/>
          <w:lang w:val="es-ES"/>
        </w:rPr>
        <w:t>Conocer y dar su opinión la Presidenta Municipal o Presidente Municipal y al Ayuntamiento, acerca del desempeño y operación de la Dirección de Transparencia;</w:t>
      </w:r>
    </w:p>
    <w:p>
      <w:pPr>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Impulsar las relaciones con los organismos competentes en materia de transparencia, así como las organizaciones de la sociedad civil especializadas en la materia;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Standard"/>
        <w:ind w:right="-37"/>
        <w:jc w:val="both"/>
        <w:rPr>
          <w:rFonts w:ascii="Verdana" w:eastAsia="Batang" w:hAnsi="Verdana" w:cs="Khmer UI"/>
          <w:b/>
          <w:bCs/>
          <w:sz w:val="20"/>
          <w:szCs w:val="20"/>
          <w:lang w:val="es-ES"/>
        </w:rPr>
      </w:pPr>
      <w:r>
        <w:rPr>
          <w:rFonts w:ascii="Verdana" w:eastAsia="Batang" w:hAnsi="Verdana" w:cs="Khmer UI"/>
          <w:b/>
          <w:bCs/>
          <w:sz w:val="20"/>
          <w:szCs w:val="20"/>
          <w:lang w:val="es-ES"/>
        </w:rPr>
        <w:t>IV Bis.- Promover la implementación de mecanismos de gobierno abierto en el Municipio; así como impulsar la suscripción de convenios en materia de gobierno abierto; y</w:t>
      </w:r>
    </w:p>
    <w:p>
      <w:pPr>
        <w:jc w:val="right"/>
        <w:rPr>
          <w:rFonts w:ascii="Verdana" w:hAnsi="Verdana" w:cs="Arial"/>
          <w:b/>
          <w:bCs/>
          <w:i/>
          <w:sz w:val="18"/>
          <w:szCs w:val="20"/>
        </w:rPr>
      </w:pPr>
      <w:r>
        <w:rPr>
          <w:rFonts w:ascii="Verdana" w:hAnsi="Verdana" w:cs="Arial"/>
          <w:b/>
          <w:bCs/>
          <w:i/>
          <w:sz w:val="18"/>
          <w:szCs w:val="20"/>
        </w:rPr>
        <w:t>(Adición publicada en la Gaceta Municipal de fecha 07 de abril del 2022)</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hAnsi="Verdana" w:cs="Arial"/>
          <w:b/>
          <w:sz w:val="20"/>
        </w:rPr>
      </w:pPr>
      <w:r>
        <w:rPr>
          <w:rFonts w:ascii="Verdana" w:eastAsia="Times New Roman" w:hAnsi="Verdana" w:cs="Arial"/>
          <w:b/>
          <w:bCs/>
          <w:kern w:val="3"/>
          <w:sz w:val="20"/>
          <w:lang w:val="es-ES" w:eastAsia="es-ES"/>
        </w:rPr>
        <w:t xml:space="preserve">Artículo 92.- </w:t>
      </w:r>
      <w:r>
        <w:rPr>
          <w:rFonts w:ascii="Verdana" w:hAnsi="Verdana" w:cs="Khmer UI"/>
          <w:iCs/>
          <w:sz w:val="20"/>
        </w:rPr>
        <w:t>Las sesiones que celebre el Ayuntamiento serán convocadas por la Presidenta Municipal o Presidente Municipal, a través de la Secretaría General del mismo, señalando el día, hora, lugar y carácter con que deba celebrarse, con las siguientes previsiones:</w:t>
      </w:r>
      <w:r>
        <w:rPr>
          <w:rFonts w:ascii="Verdana" w:hAnsi="Verdana" w:cs="Arial"/>
          <w:b/>
          <w:sz w:val="20"/>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hAnsi="Verdana" w:cs="Arial"/>
          <w:b/>
          <w:sz w:val="18"/>
          <w:szCs w:val="20"/>
        </w:rPr>
      </w:pPr>
      <w:r>
        <w:rPr>
          <w:rFonts w:ascii="Verdana" w:eastAsia="Times New Roman" w:hAnsi="Verdana" w:cs="Arial"/>
          <w:b/>
          <w:bCs/>
          <w:kern w:val="3"/>
          <w:sz w:val="20"/>
          <w:szCs w:val="20"/>
          <w:lang w:val="es-ES" w:eastAsia="es-ES"/>
        </w:rPr>
        <w:t xml:space="preserve">IV.- </w:t>
      </w:r>
      <w:r>
        <w:rPr>
          <w:rFonts w:ascii="Verdana" w:hAnsi="Verdana" w:cs="Khmer UI"/>
          <w:b/>
          <w:iCs/>
          <w:sz w:val="20"/>
          <w:szCs w:val="20"/>
        </w:rPr>
        <w:t>Las convocatorias a sesión serán entregadas de forma digital por medio de los correos electrónicos autorizados por las y los ediles; y</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hAnsi="Verdana" w:cs="Khmer UI"/>
          <w:b/>
          <w:iCs/>
          <w:sz w:val="20"/>
          <w:szCs w:val="20"/>
        </w:rPr>
      </w:pPr>
      <w:r>
        <w:rPr>
          <w:rFonts w:ascii="Verdana" w:eastAsia="Times New Roman" w:hAnsi="Verdana" w:cs="Arial"/>
          <w:b/>
          <w:bCs/>
          <w:kern w:val="3"/>
          <w:sz w:val="20"/>
          <w:szCs w:val="20"/>
          <w:lang w:val="es-ES" w:eastAsia="es-ES"/>
        </w:rPr>
        <w:t xml:space="preserve">V.- </w:t>
      </w:r>
      <w:r>
        <w:rPr>
          <w:rFonts w:ascii="Verdana" w:hAnsi="Verdana" w:cs="Khmer UI"/>
          <w:b/>
          <w:iCs/>
          <w:sz w:val="20"/>
          <w:szCs w:val="20"/>
        </w:rPr>
        <w:t>Ante el surgimiento de una situación de caso fortuito o fuerza mayor, la cual pudiera considerarse como causa suficiente para suspender los servicios de internet, energía eléctrica o cualquier otro servicio o mecanismos que pudieran causar la interrupción, del uso de tecnologías y medios electrónicos, las convocatorias a sesión serán entregadas en físico, en las oficinas públicas que las y los Munícipes tienen asignadas, o en su caso, en sus domicilios particulares, con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VI.- Se deroga.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b/>
          <w:kern w:val="3"/>
          <w:sz w:val="20"/>
          <w:szCs w:val="20"/>
          <w:lang w:val="es-ES" w:eastAsia="es-ES"/>
        </w:rPr>
        <w:t xml:space="preserve"> </w:t>
      </w:r>
      <w:r>
        <w:rPr>
          <w:rFonts w:ascii="Verdana" w:hAnsi="Verdana" w:cs="Arial"/>
          <w:b/>
          <w:kern w:val="3"/>
          <w:sz w:val="20"/>
          <w:szCs w:val="20"/>
        </w:rPr>
        <w:t>Las sesiones del Ayuntamiento se desarrollarán con sujeción a la convocatoria y al orden del día que haya sido aprobado por el Ayuntamiento, pudiéndose desarrollar de manera virtual por medios electrónicos y tecnologías de la información, y las previsiones siguientes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i/>
          <w:kern w:val="3"/>
          <w:sz w:val="18"/>
          <w:szCs w:val="18"/>
          <w:lang w:val="es-ES" w:eastAsia="es-ES"/>
        </w:rPr>
      </w:pPr>
      <w:r>
        <w:rPr>
          <w:rFonts w:ascii="Verdana" w:eastAsia="Times New Roman" w:hAnsi="Verdana" w:cs="Arial"/>
          <w:b/>
          <w:i/>
          <w:kern w:val="3"/>
          <w:sz w:val="18"/>
          <w:szCs w:val="18"/>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Durante el desarrollo de las sesiones deberá observarse el debido respeto y atención de quienes acudan a ellas;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 La distribución de escaños para las sesiones solemnes y de Cabildo Abierto que se celebren fuera de la sede oficial del Ayuntamiento, en principio se estará a lo previsto en el presente </w:t>
      </w:r>
      <w:r>
        <w:rPr>
          <w:rFonts w:ascii="Verdana" w:eastAsia="Times New Roman" w:hAnsi="Verdana" w:cs="Arial"/>
          <w:kern w:val="3"/>
          <w:sz w:val="20"/>
          <w:szCs w:val="20"/>
          <w:lang w:eastAsia="es-ES"/>
        </w:rPr>
        <w:lastRenderedPageBreak/>
        <w:t>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xml:space="preserve">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lastRenderedPageBreak/>
        <w:t>Artículo 112.-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La voluntad del Ayuntamiento se manifiesta mediante acuerdo, aprobado por el voto de las mayorías requeridas por la Ley del Gobierno, las leyes y los ordenamientos municipales </w:t>
      </w:r>
      <w:r>
        <w:rPr>
          <w:rFonts w:ascii="Verdana" w:eastAsia="Times New Roman" w:hAnsi="Verdana" w:cs="Arial"/>
          <w:kern w:val="3"/>
          <w:sz w:val="20"/>
          <w:szCs w:val="20"/>
          <w:lang w:val="es-ES" w:eastAsia="es-ES"/>
        </w:rPr>
        <w:lastRenderedPageBreak/>
        <w:t>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 xml:space="preserve">El Ayuntamiento tiene facultad para promover iniciativas de leyes o decretos, a propuesta de cualquiera de las o los Munícipes, o de las comisiones edilicias, emite para plantear al Congreso del Estado la creación, reforma, adición, derogación o abrogación de leyes o decretos en </w:t>
      </w:r>
      <w:r>
        <w:rPr>
          <w:rFonts w:ascii="Verdana" w:eastAsia="Times New Roman" w:hAnsi="Verdana" w:cs="Arial"/>
          <w:kern w:val="3"/>
          <w:sz w:val="20"/>
          <w:szCs w:val="20"/>
          <w:lang w:val="es-ES" w:eastAsia="es-ES"/>
        </w:rPr>
        <w:lastRenderedPageBreak/>
        <w:t>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Una parte expositiva o exposición de motivos que incluya: los fundamentos, razones y criterios que la sustenten; y</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Artículo 135.- </w:t>
      </w:r>
      <w:r>
        <w:rPr>
          <w:rFonts w:ascii="Verdana" w:hAnsi="Verdana" w:cs="Khmer UI"/>
          <w:b/>
          <w:iCs/>
          <w:sz w:val="20"/>
          <w:szCs w:val="20"/>
        </w:rPr>
        <w:t>Las iniciativas de acuerdos, iniciativas de acuerdo de urgente resolución, dictámenes, posicionamientos e informes podrán ser presentados al Ayuntamiento en el punto de asuntos generales del orden del día, siempre y cuando hayan sido pre registrados.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autoSpaceDE w:val="0"/>
        <w:autoSpaceDN w:val="0"/>
        <w:spacing w:after="0" w:line="240" w:lineRule="auto"/>
        <w:jc w:val="both"/>
        <w:textAlignment w:val="baseline"/>
        <w:rPr>
          <w:rFonts w:ascii="Verdana" w:hAnsi="Verdana" w:cs="Arial"/>
          <w:b/>
          <w:sz w:val="18"/>
          <w:szCs w:val="20"/>
        </w:rPr>
      </w:pPr>
      <w:r>
        <w:rPr>
          <w:rFonts w:ascii="Verdana" w:hAnsi="Verdana"/>
          <w:b/>
          <w:sz w:val="20"/>
          <w:szCs w:val="20"/>
        </w:rPr>
        <w:t>Para realizar el pre registro, las y los munícipes tendrán que hacer del conocimiento a la Secretaría General del Ayuntamiento desde el momento que se notificó la sesión hasta una hora antes a desahogar la sesión correspondiente, presentando la iniciativa, dictamen o informe, con los documentos que sean necesarios para su desahogo.</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lastRenderedPageBreak/>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d) 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 de acuerdo con el calendario de 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142.- </w:t>
      </w:r>
      <w:r>
        <w:rPr>
          <w:rFonts w:ascii="Verdana" w:eastAsia="Times New Roman" w:hAnsi="Verdana" w:cs="Arial"/>
          <w:kern w:val="3"/>
          <w:sz w:val="20"/>
          <w:szCs w:val="20"/>
          <w:lang w:val="es-ES" w:eastAsia="es-ES"/>
        </w:rPr>
        <w:t xml:space="preserve">Remitida la iniciativa ciudadana por el Consejo Municipal de Participación Ciudadana, la Secretaría General del Ayuntamiento verificará en los términos establecidos por el presente Reglamento. A falta de algún requisito, se requerirá a los promoventes previniéndolos </w:t>
      </w:r>
      <w:r>
        <w:rPr>
          <w:rFonts w:ascii="Verdana" w:eastAsia="Times New Roman" w:hAnsi="Verdana" w:cs="Arial"/>
          <w:kern w:val="3"/>
          <w:sz w:val="20"/>
          <w:szCs w:val="20"/>
          <w:lang w:val="es-ES" w:eastAsia="es-ES"/>
        </w:rPr>
        <w:lastRenderedPageBreak/>
        <w:t>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ind w:right="49"/>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ind w:left="348"/>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ind w:left="72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VI.- Solicitar que la o el orador concrete su intervención o propuesta;</w:t>
      </w:r>
    </w:p>
    <w:p>
      <w:pPr>
        <w:spacing w:after="0"/>
        <w:ind w:left="348"/>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val="es-ES"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lastRenderedPageBreak/>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En la siguiente sesión ordinaria del Ayuntamiento, se agendarán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lastRenderedPageBreak/>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ind w:left="720"/>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w:t>
      </w:r>
      <w:r>
        <w:rPr>
          <w:rFonts w:ascii="Verdana" w:eastAsia="Times New Roman" w:hAnsi="Verdana" w:cs="Arial"/>
          <w:kern w:val="3"/>
          <w:sz w:val="20"/>
          <w:szCs w:val="20"/>
          <w:lang w:val="es-ES" w:eastAsia="es-ES"/>
        </w:rPr>
        <w:lastRenderedPageBreak/>
        <w:t>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ind w:left="72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ind w:left="348"/>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Por falta absoluta o interdicción definitiva, legalmente declarada, de la Presidenta Municipal o Presidente Municipal;</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ind w:left="348"/>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i/>
          <w:kern w:val="3"/>
          <w:sz w:val="18"/>
          <w:szCs w:val="18"/>
          <w:lang w:eastAsia="es-ES"/>
        </w:rPr>
      </w:pPr>
      <w:r>
        <w:rPr>
          <w:rFonts w:ascii="Verdana" w:eastAsia="Times New Roman" w:hAnsi="Verdana" w:cs="Arial"/>
          <w:b/>
          <w:bCs/>
          <w:i/>
          <w:kern w:val="3"/>
          <w:sz w:val="18"/>
          <w:szCs w:val="18"/>
          <w:lang w:eastAsia="es-ES"/>
        </w:rPr>
        <w:t>(</w:t>
      </w:r>
      <w:r>
        <w:rPr>
          <w:rFonts w:ascii="Verdana" w:eastAsia="Lucida Sans Unicode" w:hAnsi="Verdana" w:cs="Arial"/>
          <w:b/>
          <w:bCs/>
          <w:i/>
          <w:color w:val="00000A"/>
          <w:sz w:val="18"/>
          <w:szCs w:val="18"/>
        </w:rPr>
        <w:t>Adición</w:t>
      </w:r>
      <w:r>
        <w:rPr>
          <w:rFonts w:ascii="Verdana" w:eastAsia="Times New Roman" w:hAnsi="Verdana" w:cs="Arial"/>
          <w:b/>
          <w:bCs/>
          <w:i/>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CAPÍTULO II</w:t>
      </w: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ind w:right="21"/>
        <w:jc w:val="both"/>
        <w:rPr>
          <w:rFonts w:ascii="Verdana" w:hAnsi="Verdana" w:cs="Times New Roman"/>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lastRenderedPageBreak/>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Quáter</w:t>
      </w:r>
      <w:proofErr w:type="spellEnd"/>
      <w:r>
        <w:rPr>
          <w:rFonts w:ascii="Verdana" w:hAnsi="Verdana" w:cs="Times New Roman"/>
          <w:b/>
          <w:sz w:val="20"/>
          <w:szCs w:val="20"/>
        </w:rPr>
        <w:t xml:space="preserve">.-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Quinquies</w:t>
      </w:r>
      <w:proofErr w:type="spellEnd"/>
      <w:r>
        <w:rPr>
          <w:rFonts w:ascii="Verdana" w:hAnsi="Verdana" w:cs="Times New Roman"/>
          <w:b/>
          <w:sz w:val="20"/>
          <w:szCs w:val="20"/>
        </w:rPr>
        <w:t>.- La Presidenta o el Presidente Municipal propondrá al Ayuntamiento una terna entre las personas registradas como candidatos al cargo de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Sexies</w:t>
      </w:r>
      <w:proofErr w:type="spellEnd"/>
      <w:r>
        <w:rPr>
          <w:rFonts w:ascii="Verdana" w:hAnsi="Verdana" w:cs="Times New Roman"/>
          <w:b/>
          <w:sz w:val="20"/>
          <w:szCs w:val="20"/>
        </w:rPr>
        <w:t>.-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Septies</w:t>
      </w:r>
      <w:proofErr w:type="spellEnd"/>
      <w:r>
        <w:rPr>
          <w:rFonts w:ascii="Verdana" w:hAnsi="Verdana" w:cs="Times New Roman"/>
          <w:b/>
          <w:sz w:val="20"/>
          <w:szCs w:val="20"/>
        </w:rPr>
        <w:t>.-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Octies</w:t>
      </w:r>
      <w:proofErr w:type="spellEnd"/>
      <w:r>
        <w:rPr>
          <w:rFonts w:ascii="Verdana" w:hAnsi="Verdana" w:cs="Times New Roman"/>
          <w:b/>
          <w:sz w:val="20"/>
          <w:szCs w:val="20"/>
        </w:rPr>
        <w:t>.-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lastRenderedPageBreak/>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transparencia.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n-US" w:eastAsia="es-ES"/>
        </w:rPr>
      </w:pPr>
      <w:r>
        <w:rPr>
          <w:rFonts w:ascii="Verdana" w:eastAsia="Times New Roman" w:hAnsi="Verdana" w:cs="Arial"/>
          <w:b/>
          <w:bCs/>
          <w:kern w:val="3"/>
          <w:sz w:val="20"/>
          <w:szCs w:val="20"/>
          <w:lang w:val="en-US"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val="en-U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 A la Comisión Edilicia de Administración Pública:</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Registro Civil;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A la Comisión Edilicia de Asuntos Metropolitanos:</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Gobernación;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A la Comisión Edilicia de Cultura e Identidad Tlajomulquense:</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Celebraciones Tradicionales;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Desarrollo Artesanal;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Turismo;</w:t>
      </w:r>
    </w:p>
    <w:p>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A la Comisión Edilicia de Derechos Humanos: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Justicia;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Desarrollo Económico: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Fomento Agropecuario, Forestal y Acuícola;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Promoción Económica;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Educación, Innovación y Tecnología: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Ciencia y Tecnología;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Educación;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 la Comisión Edilicia de Finanzas Públicas y Patrimonio: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Adquisiciones;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Catastro;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Deuda Pública;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Hacienda Pública y Presupuesto;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Patrimonio Municipal;</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Proyectos de Asociación Público-Privada;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g) La Comisión Edilicia de Vehículos;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A la Comisión Edilicia de Igualdad de Género: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Equidad de Género;</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A la Comisión Edilicia de Inspección y Vigilancia: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Espectáculos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Estacionamientos Públicos;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X.- A la Comisión Edilicia de Juventud y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Atención a la Juventud;</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 A la Comisión Edilicia de Medio Ambiente y Sustentabilidad: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Ecología;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 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XIII.- A la Comisión Edilicia de Participación Ciudadana y Gobernanza: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Medalla al Mérito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Participación Ciudadana y Vecinal;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XIV.- A la Comisión Edilicia de Planeación Socioeconómica y Urbana: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Desarrollo Urbano;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Planeación del Desarrollo Municipal;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Vialidad y Transporte;</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 A la Comisión Edilicia de Política Social: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Asistencia Social;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b) La Comisión Edilicia de Desarrollo Social;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 A la Comisión Edilicia de Protección Civil y Prevención en Salud: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Salud e Higiene, y Prevención de las Adicciones;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XVII.- A la Comisión Edilicia de Reglamentos y Puntos Constitucionales: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Puntos Constitucionales, Redacción y Estilo;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Reglamentos;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XVIII.- A la Comisión Edilicia de Seguridad Pública: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Reclusorios;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XIX.- A la Comisión Edilicia de Servicios Públicos: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Agua Potable y Saneamiento;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Alumbrado Público;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Calles y Calzadas;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Limpia, Recolección, Traslado, Tratamiento y Disposición Final de Residuos;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Mercados y Centrales de Abastos;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Nomenclatura;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g) La Comisión Edilicia de Panteones;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h) La Comisión Edilicia de Rastros y Servicios Complementarios; y</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XX.- A la Comisión Edilicia de Transparencia y Gobierno Abierto: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Fiscalización;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Transparencia e Información Pública;</w:t>
      </w:r>
    </w:p>
    <w:p>
      <w:pPr>
        <w:spacing w:after="0"/>
        <w:ind w:right="446"/>
        <w:jc w:val="both"/>
        <w:rPr>
          <w:rFonts w:ascii="Arial" w:hAnsi="Arial" w:cs="Arial"/>
          <w:i/>
          <w:sz w:val="21"/>
          <w:szCs w:val="21"/>
          <w:lang w:eastAsia="es-MX"/>
        </w:rPr>
      </w:pPr>
    </w:p>
    <w:p>
      <w:pPr>
        <w:spacing w:after="0"/>
        <w:ind w:right="446"/>
        <w:jc w:val="both"/>
        <w:rPr>
          <w:rFonts w:ascii="Arial" w:hAnsi="Arial" w:cs="Arial"/>
          <w:i/>
          <w:sz w:val="21"/>
          <w:szCs w:val="21"/>
          <w:lang w:eastAsia="es-MX"/>
        </w:rPr>
      </w:pPr>
    </w:p>
    <w:p>
      <w:pPr>
        <w:spacing w:after="0" w:line="240" w:lineRule="auto"/>
        <w:ind w:right="23"/>
        <w:jc w:val="center"/>
        <w:rPr>
          <w:rFonts w:ascii="Verdana" w:hAnsi="Verdana" w:cs="Rod"/>
          <w:b/>
          <w:sz w:val="24"/>
          <w:szCs w:val="24"/>
        </w:rPr>
      </w:pPr>
      <w:r>
        <w:rPr>
          <w:rFonts w:ascii="Verdana" w:hAnsi="Verdana" w:cs="Rod"/>
          <w:b/>
          <w:sz w:val="24"/>
          <w:szCs w:val="24"/>
        </w:rPr>
        <w:t>TABLA    DE    REFORMAS</w:t>
      </w: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lang w:val="en-US"/>
        </w:rPr>
      </w:pPr>
      <w:r>
        <w:rPr>
          <w:rFonts w:ascii="Verdana" w:hAnsi="Verdana" w:cs="Khmer UI"/>
          <w:b/>
          <w:kern w:val="3"/>
          <w:sz w:val="20"/>
          <w:szCs w:val="20"/>
          <w:lang w:val="en-US"/>
        </w:rPr>
        <w:t>T R A N S I T O R I O S</w:t>
      </w:r>
    </w:p>
    <w:p>
      <w:pPr>
        <w:spacing w:after="0" w:line="240" w:lineRule="auto"/>
        <w:ind w:right="23"/>
        <w:jc w:val="center"/>
        <w:rPr>
          <w:rFonts w:ascii="Verdana" w:hAnsi="Verdana" w:cs="Rod"/>
          <w:b/>
          <w:sz w:val="20"/>
          <w:szCs w:val="20"/>
        </w:rPr>
      </w:pPr>
      <w:r>
        <w:rPr>
          <w:rFonts w:ascii="Verdana" w:hAnsi="Verdana" w:cs="Rod"/>
          <w:b/>
          <w:sz w:val="20"/>
          <w:szCs w:val="20"/>
        </w:rPr>
        <w:t>(Publicados en la Gaceta Municipal de fecha 17 de abril del año 2020).</w:t>
      </w:r>
    </w:p>
    <w:p>
      <w:pPr>
        <w:spacing w:after="0"/>
        <w:ind w:right="21"/>
        <w:jc w:val="center"/>
        <w:rPr>
          <w:rFonts w:ascii="Verdana" w:hAnsi="Verdana" w:cs="Rod"/>
          <w:b/>
          <w:sz w:val="18"/>
          <w:szCs w:val="20"/>
        </w:rPr>
      </w:pPr>
    </w:p>
    <w:p>
      <w:pPr>
        <w:spacing w:after="0"/>
        <w:ind w:right="21"/>
        <w:jc w:val="center"/>
        <w:rPr>
          <w:rFonts w:ascii="Verdana" w:hAnsi="Verdana" w:cs="Rod"/>
          <w:b/>
          <w:sz w:val="18"/>
          <w:szCs w:val="20"/>
        </w:rPr>
      </w:pPr>
    </w:p>
    <w:p>
      <w:pPr>
        <w:spacing w:after="0"/>
        <w:ind w:right="21"/>
        <w:jc w:val="both"/>
        <w:rPr>
          <w:rFonts w:ascii="Verdana" w:hAnsi="Verdana" w:cs="Rod"/>
          <w:sz w:val="20"/>
          <w:szCs w:val="20"/>
        </w:rPr>
      </w:pPr>
      <w:r>
        <w:rPr>
          <w:rFonts w:ascii="Verdana" w:hAnsi="Verdana" w:cs="Rod"/>
          <w:b/>
          <w:sz w:val="20"/>
          <w:szCs w:val="20"/>
        </w:rPr>
        <w:t xml:space="preserve">Primero.- </w:t>
      </w:r>
      <w:r>
        <w:rPr>
          <w:rFonts w:ascii="Verdana" w:hAnsi="Verdana" w:cs="Rod"/>
          <w:sz w:val="20"/>
          <w:szCs w:val="20"/>
        </w:rPr>
        <w:t>El presente Decreto entrará en vigor al día siguiente de su publicación en la Gaceta Municipal.</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Cuarto.- </w:t>
      </w:r>
      <w:r>
        <w:rPr>
          <w:rFonts w:ascii="Verdana" w:hAnsi="Verdana" w:cs="Rod"/>
          <w:sz w:val="20"/>
          <w:szCs w:val="20"/>
        </w:rPr>
        <w:t>Los procedimientos, trámites y servicios iniciados previamente a la entrada en vigor del presente Decreto continuarán de acuerdo a las disposiciones vigentes al momento de su inicio, salvo que puedan migrar a un procedimiento seguido mediante el uso de medios electrónicos o tecnologías de la información.</w:t>
      </w:r>
    </w:p>
    <w:p>
      <w:pPr>
        <w:spacing w:after="0"/>
        <w:ind w:right="21"/>
        <w:jc w:val="both"/>
        <w:rPr>
          <w:rFonts w:ascii="Verdana" w:hAnsi="Verdana"/>
        </w:rPr>
      </w:pPr>
    </w:p>
    <w:p>
      <w:pPr>
        <w:pStyle w:val="Sinespaciado"/>
        <w:jc w:val="center"/>
        <w:rPr>
          <w:rFonts w:ascii="Verdana" w:hAnsi="Verdana"/>
          <w:sz w:val="20"/>
        </w:rPr>
      </w:pPr>
    </w:p>
    <w:p>
      <w:pPr>
        <w:pStyle w:val="Sinespaciado"/>
        <w:ind w:right="21"/>
        <w:jc w:val="center"/>
        <w:rPr>
          <w:rFonts w:ascii="Verdana" w:hAnsi="Verdana"/>
          <w:b/>
          <w:sz w:val="20"/>
          <w:lang w:val="en-US"/>
        </w:rPr>
      </w:pPr>
      <w:r>
        <w:rPr>
          <w:rFonts w:ascii="Verdana" w:hAnsi="Verdana" w:cs="Khmer UI"/>
          <w:b/>
          <w:sz w:val="20"/>
          <w:szCs w:val="20"/>
          <w:lang w:val="en-US"/>
        </w:rPr>
        <w:t>T R A N S I T O R I O S</w:t>
      </w:r>
    </w:p>
    <w:p>
      <w:pPr>
        <w:pStyle w:val="Sinespaciado"/>
        <w:ind w:right="21"/>
        <w:jc w:val="center"/>
        <w:rPr>
          <w:rFonts w:ascii="Verdana" w:hAnsi="Verdana"/>
          <w:b/>
          <w:sz w:val="20"/>
        </w:rPr>
      </w:pPr>
      <w:r>
        <w:rPr>
          <w:rFonts w:ascii="Verdana" w:hAnsi="Verdana"/>
          <w:b/>
          <w:sz w:val="20"/>
        </w:rPr>
        <w:t xml:space="preserve">(Publicados en la Gaceta Municipal de fecha 20 de julio del 2020). </w:t>
      </w:r>
    </w:p>
    <w:p>
      <w:pPr>
        <w:pStyle w:val="Sinespaciado"/>
        <w:ind w:right="21"/>
        <w:jc w:val="both"/>
        <w:rPr>
          <w:rFonts w:ascii="Verdana" w:hAnsi="Verdana"/>
          <w:b/>
          <w:sz w:val="20"/>
        </w:rPr>
      </w:pP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lastRenderedPageBreak/>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ind w:right="21"/>
        <w:jc w:val="both"/>
        <w:rPr>
          <w:rFonts w:ascii="Verdana" w:hAnsi="Verdana"/>
          <w:sz w:val="20"/>
        </w:rPr>
      </w:pPr>
    </w:p>
    <w:p>
      <w:pPr>
        <w:ind w:right="21"/>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ind w:right="21"/>
        <w:jc w:val="both"/>
        <w:rPr>
          <w:rFonts w:ascii="Verdana" w:hAnsi="Verdana" w:cs="Arial"/>
          <w:bCs/>
          <w:sz w:val="20"/>
        </w:rPr>
      </w:pPr>
      <w:r>
        <w:rPr>
          <w:rFonts w:ascii="Verdana" w:hAnsi="Verdana" w:cs="Arial"/>
          <w:b/>
          <w:sz w:val="20"/>
        </w:rPr>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ind w:right="21"/>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ind w:right="21"/>
        <w:jc w:val="both"/>
        <w:rPr>
          <w:rFonts w:ascii="Verdana" w:hAnsi="Verdana" w:cs="Arial"/>
          <w:bCs/>
          <w:sz w:val="20"/>
        </w:rPr>
      </w:pPr>
      <w:r>
        <w:rPr>
          <w:rFonts w:ascii="Verdana" w:hAnsi="Verdana" w:cs="Arial"/>
          <w:b/>
          <w:sz w:val="20"/>
        </w:rPr>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spacing w:after="0"/>
        <w:ind w:right="21"/>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spacing w:after="0"/>
        <w:ind w:right="21"/>
        <w:jc w:val="both"/>
        <w:rPr>
          <w:rFonts w:ascii="Courier" w:hAnsi="Courier"/>
          <w:sz w:val="24"/>
          <w:lang w:val="es-ES"/>
        </w:rPr>
      </w:pPr>
    </w:p>
    <w:p>
      <w:pPr>
        <w:spacing w:after="0"/>
        <w:ind w:right="21"/>
        <w:jc w:val="both"/>
        <w:rPr>
          <w:rFonts w:ascii="Courier" w:hAnsi="Courier"/>
          <w:sz w:val="24"/>
          <w:lang w:val="es-ES"/>
        </w:rPr>
      </w:pPr>
    </w:p>
    <w:p>
      <w:pPr>
        <w:pStyle w:val="Sinespaciado"/>
        <w:ind w:right="21"/>
        <w:jc w:val="center"/>
        <w:rPr>
          <w:rFonts w:ascii="Verdana" w:hAnsi="Verdana"/>
          <w:b/>
          <w:sz w:val="20"/>
          <w:lang w:val="en-US"/>
        </w:rPr>
      </w:pPr>
      <w:r>
        <w:rPr>
          <w:rFonts w:ascii="Verdana" w:hAnsi="Verdana" w:cs="Khmer UI"/>
          <w:b/>
          <w:sz w:val="20"/>
          <w:szCs w:val="20"/>
          <w:lang w:val="en-US"/>
        </w:rPr>
        <w:t>T R A N S I T O R I O S</w:t>
      </w:r>
    </w:p>
    <w:p>
      <w:pPr>
        <w:pStyle w:val="Sinespaciado"/>
        <w:ind w:right="21"/>
        <w:jc w:val="center"/>
        <w:rPr>
          <w:rFonts w:ascii="Verdana" w:hAnsi="Verdana"/>
          <w:b/>
          <w:sz w:val="20"/>
        </w:rPr>
      </w:pPr>
      <w:r>
        <w:rPr>
          <w:rFonts w:ascii="Verdana" w:hAnsi="Verdana"/>
          <w:b/>
          <w:sz w:val="20"/>
        </w:rPr>
        <w:t xml:space="preserve">Publicados en la Gaceta Municipal de fecha 22 de septiembre del 2021. </w:t>
      </w:r>
    </w:p>
    <w:p>
      <w:pPr>
        <w:pStyle w:val="Sinespaciado"/>
        <w:ind w:right="21"/>
        <w:jc w:val="center"/>
        <w:rPr>
          <w:rFonts w:ascii="Verdana" w:hAnsi="Verdana"/>
          <w:b/>
          <w:sz w:val="20"/>
        </w:rPr>
      </w:pPr>
    </w:p>
    <w:p>
      <w:pPr>
        <w:pStyle w:val="Sinespaciado"/>
        <w:ind w:right="21"/>
        <w:jc w:val="center"/>
        <w:rPr>
          <w:rFonts w:ascii="Verdana" w:hAnsi="Verdana"/>
          <w:b/>
          <w:sz w:val="20"/>
        </w:rPr>
      </w:pPr>
    </w:p>
    <w:p>
      <w:pPr>
        <w:pBdr>
          <w:top w:val="nil"/>
          <w:left w:val="nil"/>
          <w:bottom w:val="nil"/>
          <w:right w:val="nil"/>
          <w:between w:val="nil"/>
          <w:bar w:val="nil"/>
        </w:pBdr>
        <w:tabs>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ind w:right="21"/>
        <w:jc w:val="both"/>
        <w:rPr>
          <w:rFonts w:ascii="Verdana" w:eastAsia="Times New Roman" w:hAnsi="Verdana" w:cs="Tahoma"/>
          <w:sz w:val="20"/>
          <w:szCs w:val="20"/>
          <w:lang w:val="es-ES_tradnl"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ind w:right="21"/>
        <w:jc w:val="both"/>
        <w:rPr>
          <w:rFonts w:ascii="Verdana" w:eastAsia="MS Mincho" w:hAnsi="Verdana" w:cs="Arial"/>
          <w:bCs/>
          <w:sz w:val="20"/>
          <w:szCs w:val="20"/>
          <w:lang w:val="es-ES" w:eastAsia="zh-CN"/>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Calibri" w:hAnsi="Verdana" w:cs="Arial"/>
          <w:sz w:val="20"/>
          <w:szCs w:val="20"/>
          <w:lang w:eastAsia="es-MX"/>
        </w:rPr>
        <w:lastRenderedPageBreak/>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spacing w:after="0" w:line="240" w:lineRule="auto"/>
        <w:ind w:right="21"/>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Antigua Denominación</w:t>
            </w:r>
          </w:p>
        </w:tc>
        <w:tc>
          <w:tcPr>
            <w:tcW w:w="4536"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ind w:right="21"/>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Medio Ambiente y Ecología. (En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Protección Civil y Bomberos.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Seguridad Pública.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 xml:space="preserve">Instituto para el Mejoramiento del Hábitat del Municipio de Tlajomulco de Zúñiga, Jalisco. </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ind w:right="21"/>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ind w:right="21"/>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rPr>
          <w:rFonts w:ascii="Verdana" w:hAnsi="Verdana"/>
          <w:sz w:val="20"/>
          <w:szCs w:val="20"/>
          <w:lang w:val="es-ES"/>
        </w:rPr>
      </w:pPr>
    </w:p>
    <w:p>
      <w:pPr>
        <w:tabs>
          <w:tab w:val="left" w:pos="1560"/>
        </w:tabs>
        <w:spacing w:after="0"/>
        <w:ind w:right="21"/>
        <w:jc w:val="center"/>
        <w:rPr>
          <w:rFonts w:ascii="Verdana" w:eastAsia="Times New Roman" w:hAnsi="Verdana" w:cs="Tahoma"/>
          <w:b/>
          <w:sz w:val="20"/>
          <w:szCs w:val="20"/>
          <w:lang w:val="en-US" w:eastAsia="es-ES"/>
        </w:rPr>
      </w:pPr>
      <w:r>
        <w:rPr>
          <w:rFonts w:ascii="Verdana" w:hAnsi="Verdana" w:cs="Khmer UI"/>
          <w:b/>
          <w:kern w:val="3"/>
          <w:sz w:val="20"/>
          <w:szCs w:val="20"/>
          <w:lang w:val="en-US"/>
        </w:rPr>
        <w:t>T R A N S I T O R I O S</w:t>
      </w:r>
    </w:p>
    <w:p>
      <w:pPr>
        <w:pStyle w:val="Sinespaciado"/>
        <w:ind w:right="21"/>
        <w:jc w:val="center"/>
        <w:rPr>
          <w:rFonts w:ascii="Verdana" w:hAnsi="Verdana"/>
          <w:b/>
          <w:sz w:val="20"/>
          <w:szCs w:val="20"/>
        </w:rPr>
      </w:pPr>
      <w:r>
        <w:rPr>
          <w:rFonts w:ascii="Verdana" w:hAnsi="Verdana"/>
          <w:b/>
          <w:sz w:val="20"/>
          <w:szCs w:val="20"/>
        </w:rPr>
        <w:t xml:space="preserve">(Publicados en la Gaceta Municipal de fecha 15 de febrero del 2022). </w:t>
      </w:r>
    </w:p>
    <w:p>
      <w:pPr>
        <w:tabs>
          <w:tab w:val="left" w:pos="1560"/>
        </w:tabs>
        <w:spacing w:after="0"/>
        <w:ind w:right="21"/>
        <w:jc w:val="center"/>
        <w:rPr>
          <w:rFonts w:ascii="Verdana" w:eastAsia="Times New Roman" w:hAnsi="Verdana" w:cs="Tahoma"/>
          <w:b/>
          <w:sz w:val="20"/>
          <w:szCs w:val="20"/>
          <w:lang w:eastAsia="es-ES"/>
        </w:rPr>
      </w:pPr>
    </w:p>
    <w:p>
      <w:pPr>
        <w:tabs>
          <w:tab w:val="left" w:pos="1560"/>
        </w:tabs>
        <w:spacing w:after="0"/>
        <w:ind w:right="21"/>
        <w:jc w:val="center"/>
        <w:rPr>
          <w:rFonts w:ascii="Verdana" w:eastAsia="Times New Roman" w:hAnsi="Verdana" w:cs="Tahoma"/>
          <w:b/>
          <w:sz w:val="20"/>
          <w:szCs w:val="20"/>
          <w:lang w:eastAsia="es-ES"/>
        </w:rPr>
      </w:pPr>
    </w:p>
    <w:p>
      <w:pPr>
        <w:pStyle w:val="Cuerpo"/>
        <w:tabs>
          <w:tab w:val="left" w:pos="1560"/>
        </w:tabs>
        <w:suppressAutoHyphens w:val="0"/>
        <w:ind w:right="21"/>
        <w:jc w:val="both"/>
        <w:rPr>
          <w:rStyle w:val="Ninguno"/>
          <w:rFonts w:ascii="Verdana" w:eastAsia="Tahoma" w:hAnsi="Verdana" w:cs="Tahom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w:t>
      </w:r>
      <w:r>
        <w:rPr>
          <w:rStyle w:val="Ninguno"/>
          <w:rFonts w:ascii="Verdana" w:hAnsi="Verdana"/>
          <w:sz w:val="20"/>
          <w:szCs w:val="20"/>
        </w:rPr>
        <w:t xml:space="preserve"> publicación en la Gaceta Municipal. </w:t>
      </w:r>
    </w:p>
    <w:p>
      <w:pPr>
        <w:tabs>
          <w:tab w:val="left" w:pos="1560"/>
        </w:tabs>
        <w:spacing w:after="0"/>
        <w:ind w:right="21"/>
        <w:jc w:val="both"/>
        <w:rPr>
          <w:rFonts w:ascii="Verdana" w:eastAsia="Times New Roman" w:hAnsi="Verdana" w:cs="Tahoma"/>
          <w:b/>
          <w:sz w:val="20"/>
          <w:szCs w:val="20"/>
          <w:lang w:eastAsia="es-ES"/>
        </w:rPr>
      </w:pPr>
    </w:p>
    <w:p>
      <w:pPr>
        <w:tabs>
          <w:tab w:val="left" w:pos="1560"/>
        </w:tabs>
        <w:spacing w:after="0"/>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derogan todas las disposiciones en contrario al presente Decreto.</w:t>
      </w:r>
    </w:p>
    <w:p>
      <w:pPr>
        <w:ind w:right="21"/>
        <w:rPr>
          <w:rFonts w:ascii="Verdana" w:hAnsi="Verdana"/>
          <w:sz w:val="20"/>
          <w:szCs w:val="20"/>
          <w:lang w:val="es-ES"/>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spacing w:after="0"/>
        <w:ind w:right="21"/>
        <w:jc w:val="center"/>
        <w:rPr>
          <w:rFonts w:ascii="Verdana" w:hAnsi="Verdana" w:cs="Arial"/>
          <w:b/>
          <w:bCs/>
          <w:sz w:val="20"/>
          <w:szCs w:val="20"/>
        </w:rPr>
      </w:pPr>
      <w:r>
        <w:rPr>
          <w:rFonts w:ascii="Verdana" w:hAnsi="Verdana" w:cs="Arial"/>
          <w:b/>
          <w:bCs/>
          <w:sz w:val="20"/>
          <w:szCs w:val="20"/>
        </w:rPr>
        <w:t>(Reforma publicada en la Gaceta Municipal de fecha 07 de abril del 2022).</w:t>
      </w:r>
    </w:p>
    <w:p>
      <w:pPr>
        <w:pStyle w:val="Standard"/>
        <w:ind w:right="21"/>
        <w:jc w:val="center"/>
        <w:rPr>
          <w:rFonts w:ascii="Verdana" w:eastAsia="Batang" w:hAnsi="Verdana" w:cs="Khmer UI"/>
          <w:bCs/>
          <w:sz w:val="20"/>
          <w:szCs w:val="20"/>
          <w:lang w:val="es-ES"/>
        </w:rPr>
      </w:pPr>
    </w:p>
    <w:p>
      <w:pPr>
        <w:pStyle w:val="Standard"/>
        <w:ind w:right="21"/>
        <w:jc w:val="center"/>
        <w:rPr>
          <w:rFonts w:ascii="Verdana" w:eastAsia="Batang" w:hAnsi="Verdana" w:cs="Khmer UI"/>
          <w:bCs/>
          <w:sz w:val="20"/>
          <w:szCs w:val="20"/>
          <w:lang w:val="es-ES"/>
        </w:rPr>
      </w:pPr>
    </w:p>
    <w:p>
      <w:pPr>
        <w:spacing w:after="0" w:line="240" w:lineRule="auto"/>
        <w:ind w:right="21"/>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Primero.-</w:t>
      </w:r>
      <w:r>
        <w:rPr>
          <w:rFonts w:ascii="Verdana" w:eastAsia="Batang" w:hAnsi="Verdana" w:cs="Khmer UI"/>
          <w:bCs/>
          <w:kern w:val="1"/>
          <w:sz w:val="20"/>
          <w:szCs w:val="20"/>
          <w:lang w:val="es-ES" w:eastAsia="zh-CN" w:bidi="hi-IN"/>
        </w:rPr>
        <w:t xml:space="preserve"> El presente Decreto entrará en vigor al día siguiente de su publicación en la Gaceta Municipal.</w:t>
      </w:r>
    </w:p>
    <w:p>
      <w:pPr>
        <w:spacing w:after="0" w:line="240" w:lineRule="auto"/>
        <w:ind w:right="21"/>
        <w:jc w:val="both"/>
        <w:rPr>
          <w:rFonts w:ascii="Verdana" w:eastAsia="Batang" w:hAnsi="Verdana" w:cs="Khmer UI"/>
          <w:bCs/>
          <w:kern w:val="1"/>
          <w:sz w:val="20"/>
          <w:szCs w:val="20"/>
          <w:lang w:val="es-ES" w:eastAsia="zh-CN" w:bidi="hi-IN"/>
        </w:rPr>
      </w:pPr>
    </w:p>
    <w:p>
      <w:pPr>
        <w:spacing w:after="0"/>
        <w:ind w:right="21"/>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Segundo.-</w:t>
      </w:r>
      <w:r>
        <w:rPr>
          <w:rFonts w:ascii="Verdana" w:eastAsia="Batang" w:hAnsi="Verdana" w:cs="Khmer UI"/>
          <w:bCs/>
          <w:kern w:val="1"/>
          <w:sz w:val="20"/>
          <w:szCs w:val="20"/>
          <w:lang w:val="es-ES" w:eastAsia="zh-CN" w:bidi="hi-IN"/>
        </w:rPr>
        <w:t xml:space="preserve"> Se derogan todas las disposiciones en contrario al presente Decreto.</w:t>
      </w:r>
    </w:p>
    <w:p>
      <w:pPr>
        <w:spacing w:after="0"/>
        <w:ind w:right="21"/>
        <w:rPr>
          <w:rFonts w:ascii="Verdana" w:hAnsi="Verdana"/>
          <w:sz w:val="20"/>
          <w:szCs w:val="20"/>
          <w:lang w:val="es-ES"/>
        </w:rPr>
      </w:pPr>
    </w:p>
    <w:p>
      <w:pPr>
        <w:spacing w:after="0"/>
        <w:ind w:right="21"/>
        <w:rPr>
          <w:rFonts w:ascii="Verdana" w:hAnsi="Verdana"/>
          <w:sz w:val="20"/>
          <w:szCs w:val="20"/>
          <w:lang w:val="es-ES"/>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31 de mayo del 2022)</w:t>
      </w:r>
    </w:p>
    <w:p>
      <w:pPr>
        <w:tabs>
          <w:tab w:val="left" w:pos="0"/>
        </w:tabs>
        <w:spacing w:after="0" w:line="240" w:lineRule="auto"/>
        <w:ind w:right="21"/>
        <w:jc w:val="center"/>
        <w:rPr>
          <w:rFonts w:ascii="Verdana" w:eastAsia="Lucida Sans Unicode" w:hAnsi="Verdana" w:cs="Arial"/>
          <w:b/>
          <w:bCs/>
          <w:color w:val="00000A"/>
          <w:sz w:val="20"/>
          <w:szCs w:val="20"/>
        </w:rPr>
      </w:pPr>
    </w:p>
    <w:p>
      <w:pPr>
        <w:tabs>
          <w:tab w:val="left" w:pos="0"/>
        </w:tabs>
        <w:spacing w:after="0" w:line="240" w:lineRule="auto"/>
        <w:ind w:right="21"/>
        <w:jc w:val="center"/>
        <w:rPr>
          <w:rFonts w:ascii="Verdana" w:eastAsia="Lucida Sans Unicode" w:hAnsi="Verdana" w:cs="Arial"/>
          <w:b/>
          <w:bCs/>
          <w:color w:val="00000A"/>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ind w:right="21"/>
        <w:jc w:val="both"/>
        <w:rPr>
          <w:rFonts w:ascii="Verdana" w:hAnsi="Verdana" w:cs="Khmer UI"/>
          <w:b/>
          <w:bCs/>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27 de julio del 2022)</w:t>
      </w:r>
    </w:p>
    <w:p>
      <w:pPr>
        <w:tabs>
          <w:tab w:val="left" w:pos="0"/>
        </w:tabs>
        <w:spacing w:after="0" w:line="240" w:lineRule="auto"/>
        <w:ind w:right="21"/>
        <w:jc w:val="center"/>
        <w:rPr>
          <w:rFonts w:ascii="Verdana" w:eastAsia="Lucida Sans Unicode" w:hAnsi="Verdana" w:cs="Arial"/>
          <w:b/>
          <w:bCs/>
          <w:color w:val="00000A"/>
          <w:sz w:val="20"/>
          <w:szCs w:val="20"/>
        </w:rPr>
      </w:pPr>
    </w:p>
    <w:p>
      <w:pPr>
        <w:tabs>
          <w:tab w:val="left" w:pos="0"/>
        </w:tabs>
        <w:spacing w:after="0" w:line="240" w:lineRule="auto"/>
        <w:ind w:right="21"/>
        <w:jc w:val="center"/>
        <w:rPr>
          <w:rFonts w:ascii="Verdana" w:eastAsia="Lucida Sans Unicode" w:hAnsi="Verdana" w:cs="Arial"/>
          <w:b/>
          <w:bCs/>
          <w:color w:val="00000A"/>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ind w:right="21"/>
        <w:jc w:val="both"/>
        <w:rPr>
          <w:rFonts w:ascii="Verdana" w:hAnsi="Verdana" w:cs="Khmer UI"/>
          <w:b/>
          <w:bCs/>
          <w:sz w:val="20"/>
          <w:szCs w:val="20"/>
        </w:rPr>
      </w:pPr>
    </w:p>
    <w:p>
      <w:pPr>
        <w:spacing w:after="0"/>
        <w:ind w:right="21"/>
        <w:rPr>
          <w:rFonts w:ascii="Verdana" w:eastAsia="Verdana" w:hAnsi="Verdana" w:cs="Verdana"/>
          <w:b/>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lang w:val="en-US"/>
        </w:rPr>
      </w:pPr>
      <w:r>
        <w:rPr>
          <w:rFonts w:ascii="Verdana" w:hAnsi="Verdana" w:cs="Khmer UI"/>
          <w:b/>
          <w:kern w:val="3"/>
          <w:sz w:val="20"/>
          <w:szCs w:val="20"/>
          <w:lang w:val="en-US"/>
        </w:rPr>
        <w:t>T R A N S I T O R I O S</w:t>
      </w:r>
    </w:p>
    <w:p>
      <w:pPr>
        <w:spacing w:after="0"/>
        <w:ind w:right="21"/>
        <w:jc w:val="center"/>
        <w:rPr>
          <w:rFonts w:ascii="Verdana" w:eastAsia="Verdana" w:hAnsi="Verdana" w:cs="Verdana"/>
          <w:sz w:val="20"/>
          <w:szCs w:val="20"/>
        </w:rPr>
      </w:pPr>
      <w:r>
        <w:rPr>
          <w:rFonts w:ascii="Verdana" w:eastAsia="Lucida Sans Unicode" w:hAnsi="Verdana" w:cs="Arial"/>
          <w:b/>
          <w:bCs/>
          <w:color w:val="00000A"/>
          <w:sz w:val="20"/>
          <w:szCs w:val="20"/>
        </w:rPr>
        <w:t>(Reforma publicada en la Gaceta Municipal de fecha 07 de septiembre del 2022, con motivo del Decreto por el que se reforma el artículo 55, párrafo segundo)</w:t>
      </w:r>
    </w:p>
    <w:p>
      <w:pPr>
        <w:spacing w:after="0"/>
        <w:ind w:right="21"/>
        <w:jc w:val="center"/>
        <w:rPr>
          <w:rFonts w:ascii="Verdana" w:eastAsia="Verdana" w:hAnsi="Verdana" w:cs="Verdana"/>
          <w:sz w:val="20"/>
          <w:szCs w:val="20"/>
        </w:rPr>
      </w:pPr>
    </w:p>
    <w:p>
      <w:pPr>
        <w:spacing w:after="0"/>
        <w:ind w:right="21"/>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ind w:right="21"/>
        <w:jc w:val="both"/>
        <w:rPr>
          <w:rFonts w:ascii="Verdana" w:eastAsia="Verdana" w:hAnsi="Verdana" w:cs="Verdana"/>
          <w:color w:val="000000"/>
          <w:sz w:val="20"/>
          <w:szCs w:val="20"/>
        </w:rPr>
      </w:pPr>
    </w:p>
    <w:p>
      <w:pPr>
        <w:spacing w:after="0"/>
        <w:ind w:right="21"/>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lang w:val="en-US"/>
        </w:rPr>
      </w:pPr>
      <w:r>
        <w:rPr>
          <w:rFonts w:ascii="Verdana" w:hAnsi="Verdana" w:cs="Khmer UI"/>
          <w:b/>
          <w:kern w:val="3"/>
          <w:sz w:val="20"/>
          <w:szCs w:val="20"/>
          <w:lang w:val="en-US"/>
        </w:rPr>
        <w:t>T R A N S I T O R I O S</w:t>
      </w:r>
    </w:p>
    <w:p>
      <w:pPr>
        <w:spacing w:after="0"/>
        <w:ind w:right="21"/>
        <w:jc w:val="center"/>
        <w:rPr>
          <w:rFonts w:ascii="Verdana" w:eastAsia="Verdana" w:hAnsi="Verdana" w:cs="Verdana"/>
          <w:sz w:val="20"/>
          <w:szCs w:val="20"/>
        </w:rPr>
      </w:pPr>
      <w:r>
        <w:rPr>
          <w:rFonts w:ascii="Verdana" w:eastAsia="Lucida Sans Unicode" w:hAnsi="Verdana" w:cs="Arial"/>
          <w:b/>
          <w:bCs/>
          <w:color w:val="00000A"/>
          <w:sz w:val="20"/>
          <w:szCs w:val="20"/>
        </w:rPr>
        <w:t>(Reforma publicada en la Gaceta Municipal de fecha 07 de septiembre del 2022, con motivo del Decreto que reforma el artículo 68)</w:t>
      </w:r>
    </w:p>
    <w:p>
      <w:pPr>
        <w:spacing w:after="0"/>
        <w:ind w:right="21"/>
        <w:jc w:val="center"/>
        <w:rPr>
          <w:rFonts w:ascii="Verdana" w:eastAsia="Verdana" w:hAnsi="Verdana" w:cs="Verdana"/>
          <w:sz w:val="20"/>
          <w:szCs w:val="20"/>
        </w:rPr>
      </w:pPr>
    </w:p>
    <w:p>
      <w:pPr>
        <w:spacing w:after="0"/>
        <w:ind w:right="21"/>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ind w:right="21"/>
        <w:jc w:val="both"/>
        <w:rPr>
          <w:rFonts w:ascii="Verdana" w:eastAsia="Verdana" w:hAnsi="Verdana" w:cs="Verdana"/>
          <w:color w:val="000000"/>
          <w:sz w:val="20"/>
          <w:szCs w:val="20"/>
        </w:rPr>
      </w:pPr>
    </w:p>
    <w:p>
      <w:pPr>
        <w:spacing w:after="0"/>
        <w:ind w:right="21"/>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line="240" w:lineRule="auto"/>
        <w:ind w:right="21"/>
        <w:jc w:val="both"/>
        <w:rPr>
          <w:rFonts w:ascii="Verdana" w:hAnsi="Verdana"/>
          <w:sz w:val="20"/>
          <w:szCs w:val="20"/>
        </w:rPr>
      </w:pPr>
    </w:p>
    <w:p>
      <w:pPr>
        <w:pStyle w:val="Prrafodelista"/>
        <w:ind w:left="0" w:right="21"/>
        <w:jc w:val="center"/>
        <w:rPr>
          <w:rFonts w:ascii="Verdana" w:hAnsi="Verdana"/>
          <w:b/>
          <w:color w:val="000000" w:themeColor="text1"/>
          <w:sz w:val="20"/>
          <w:szCs w:val="20"/>
        </w:rPr>
      </w:pPr>
    </w:p>
    <w:p>
      <w:pPr>
        <w:pStyle w:val="Prrafodelista"/>
        <w:ind w:left="0" w:right="21"/>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07 de septiembre del 2022, con motivo del Decreto que adiciona la fracción IV Bis del artículo 64, y se adiciona el artículo 68 Bis)</w:t>
      </w:r>
    </w:p>
    <w:p>
      <w:pPr>
        <w:pStyle w:val="Prrafodelista"/>
        <w:ind w:left="0" w:right="21"/>
        <w:jc w:val="center"/>
        <w:rPr>
          <w:rFonts w:ascii="Verdana" w:hAnsi="Verdana"/>
          <w:b/>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lastRenderedPageBreak/>
        <w:t>PRIMERO.-</w:t>
      </w:r>
      <w:r>
        <w:rPr>
          <w:rFonts w:ascii="Verdana" w:hAnsi="Verdana"/>
          <w:color w:val="000000" w:themeColor="text1"/>
          <w:sz w:val="20"/>
          <w:szCs w:val="20"/>
        </w:rPr>
        <w:t xml:space="preserve"> El presente Decreto entrará al día siguiente de su publicación en la Gaceta Municipal.</w:t>
      </w:r>
    </w:p>
    <w:p>
      <w:pPr>
        <w:pStyle w:val="Prrafodelista"/>
        <w:ind w:left="0" w:right="21"/>
        <w:jc w:val="both"/>
        <w:rPr>
          <w:rFonts w:ascii="Verdana" w:hAnsi="Verdana"/>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t>SEGUNDO.-</w:t>
      </w:r>
      <w:r>
        <w:rPr>
          <w:rFonts w:ascii="Verdana" w:hAnsi="Verdana"/>
          <w:color w:val="000000" w:themeColor="text1"/>
          <w:sz w:val="20"/>
          <w:szCs w:val="20"/>
        </w:rPr>
        <w:t xml:space="preserve"> Se derogan todas las disposiciones contrarias al presente Decreto.</w:t>
      </w:r>
    </w:p>
    <w:p>
      <w:pPr>
        <w:pStyle w:val="Prrafodelista"/>
        <w:ind w:left="0" w:right="21"/>
        <w:jc w:val="both"/>
        <w:rPr>
          <w:rFonts w:ascii="Verdana" w:hAnsi="Verdana"/>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t xml:space="preserve">TERCERO.- </w:t>
      </w:r>
      <w:r>
        <w:rPr>
          <w:rFonts w:ascii="Verdana" w:hAnsi="Verdana"/>
          <w:color w:val="000000" w:themeColor="text1"/>
          <w:sz w:val="20"/>
          <w:szCs w:val="20"/>
        </w:rPr>
        <w:t xml:space="preserve">En la siguiente sesión del Ayuntamiento a la fecha de entrada en vigor del presente Dictamen, el Presidente Municipal propondrá al mismo la integración de la Comisión Edilicia de Cultura de Paz. </w:t>
      </w:r>
    </w:p>
    <w:p>
      <w:pPr>
        <w:ind w:left="-142" w:right="-37"/>
        <w:rPr>
          <w:rFonts w:ascii="Verdana" w:hAnsi="Verdana"/>
          <w:sz w:val="20"/>
          <w:szCs w:val="20"/>
          <w:lang w:val="es-ES"/>
        </w:rPr>
      </w:pPr>
    </w:p>
    <w:p>
      <w:pPr>
        <w:spacing w:after="0" w:line="240" w:lineRule="auto"/>
        <w:ind w:left="-142" w:right="-37"/>
        <w:rPr>
          <w:rFonts w:ascii="Verdana" w:hAnsi="Verdana"/>
          <w:sz w:val="20"/>
          <w:szCs w:val="20"/>
          <w:lang w:val="es-ES"/>
        </w:rPr>
      </w:pPr>
    </w:p>
    <w:p>
      <w:pPr>
        <w:spacing w:after="0" w:line="240" w:lineRule="auto"/>
        <w:ind w:left="-142" w:right="-37"/>
        <w:jc w:val="both"/>
        <w:rPr>
          <w:rStyle w:val="Fuentedeprrafopredeter2"/>
          <w:rFonts w:ascii="Verdana" w:hAnsi="Verdana" w:cs="Tahoma"/>
          <w:b/>
          <w:sz w:val="20"/>
          <w:szCs w:val="20"/>
          <w:u w:val="single"/>
        </w:rPr>
      </w:pPr>
    </w:p>
    <w:p>
      <w:pPr>
        <w:spacing w:after="0" w:line="240" w:lineRule="auto"/>
        <w:ind w:right="-37"/>
        <w:jc w:val="both"/>
        <w:rPr>
          <w:rFonts w:ascii="Verdana" w:hAnsi="Verdana" w:cs="Tahoma"/>
          <w:sz w:val="20"/>
          <w:szCs w:val="20"/>
          <w:u w:val="single"/>
        </w:rPr>
      </w:pPr>
      <w:r>
        <w:rPr>
          <w:rStyle w:val="Fuentedeprrafopredeter2"/>
          <w:rFonts w:ascii="Verdana" w:hAnsi="Verdana" w:cs="Tahoma"/>
          <w:b/>
          <w:sz w:val="20"/>
          <w:szCs w:val="20"/>
          <w:u w:val="single"/>
        </w:rPr>
        <w:t xml:space="preserve">Nota: </w:t>
      </w:r>
      <w:r>
        <w:rPr>
          <w:rStyle w:val="Fuentedeprrafopredeter2"/>
          <w:rFonts w:ascii="Verdana" w:hAnsi="Verdana" w:cs="Tahoma"/>
          <w:sz w:val="20"/>
          <w:szCs w:val="20"/>
          <w:u w:val="single"/>
        </w:rPr>
        <w:t xml:space="preserve">La presente versión fue elaborada en cumplimiento a lo dispuesto en el artículo 197 fracción I inciso e) del Reglamento del Ayuntamiento del Municipio de Tlajomulco de Zúñiga, Jalisco, sin embargo </w:t>
      </w:r>
      <w:r>
        <w:rPr>
          <w:rFonts w:ascii="Verdana" w:hAnsi="Verdana" w:cs="Tahoma"/>
          <w:sz w:val="20"/>
          <w:szCs w:val="20"/>
          <w:u w:val="single"/>
        </w:rPr>
        <w:t>la versión oficial es aquella que aparece publicada en la Gaceta Municipal.</w:t>
      </w:r>
    </w:p>
    <w:p>
      <w:pPr>
        <w:ind w:left="-142" w:right="-37"/>
        <w:rPr>
          <w:rFonts w:ascii="Verdana" w:hAnsi="Verdana"/>
        </w:rPr>
      </w:pPr>
    </w:p>
    <w:sectPr>
      <w:headerReference w:type="default" r:id="rId9"/>
      <w:footerReference w:type="even" r:id="rId10"/>
      <w:footerReference w:type="default" r:id="rId11"/>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1">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7">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C99748B"/>
    <w:multiLevelType w:val="hybridMultilevel"/>
    <w:tmpl w:val="9BC8CC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3">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6">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6">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3"/>
  </w:num>
  <w:num w:numId="2">
    <w:abstractNumId w:val="65"/>
  </w:num>
  <w:num w:numId="3">
    <w:abstractNumId w:val="173"/>
  </w:num>
  <w:num w:numId="4">
    <w:abstractNumId w:val="90"/>
  </w:num>
  <w:num w:numId="5">
    <w:abstractNumId w:val="170"/>
  </w:num>
  <w:num w:numId="6">
    <w:abstractNumId w:val="44"/>
  </w:num>
  <w:num w:numId="7">
    <w:abstractNumId w:val="60"/>
  </w:num>
  <w:num w:numId="8">
    <w:abstractNumId w:val="118"/>
  </w:num>
  <w:num w:numId="9">
    <w:abstractNumId w:val="111"/>
  </w:num>
  <w:num w:numId="10">
    <w:abstractNumId w:val="190"/>
  </w:num>
  <w:num w:numId="11">
    <w:abstractNumId w:val="113"/>
  </w:num>
  <w:num w:numId="12">
    <w:abstractNumId w:val="144"/>
  </w:num>
  <w:num w:numId="13">
    <w:abstractNumId w:val="6"/>
  </w:num>
  <w:num w:numId="14">
    <w:abstractNumId w:val="31"/>
  </w:num>
  <w:num w:numId="15">
    <w:abstractNumId w:val="16"/>
  </w:num>
  <w:num w:numId="16">
    <w:abstractNumId w:val="180"/>
  </w:num>
  <w:num w:numId="17">
    <w:abstractNumId w:val="18"/>
  </w:num>
  <w:num w:numId="18">
    <w:abstractNumId w:val="96"/>
  </w:num>
  <w:num w:numId="19">
    <w:abstractNumId w:val="176"/>
  </w:num>
  <w:num w:numId="20">
    <w:abstractNumId w:val="23"/>
  </w:num>
  <w:num w:numId="21">
    <w:abstractNumId w:val="94"/>
  </w:num>
  <w:num w:numId="22">
    <w:abstractNumId w:val="99"/>
  </w:num>
  <w:num w:numId="23">
    <w:abstractNumId w:val="0"/>
  </w:num>
  <w:num w:numId="24">
    <w:abstractNumId w:val="175"/>
  </w:num>
  <w:num w:numId="25">
    <w:abstractNumId w:val="70"/>
  </w:num>
  <w:num w:numId="26">
    <w:abstractNumId w:val="156"/>
  </w:num>
  <w:num w:numId="27">
    <w:abstractNumId w:val="9"/>
  </w:num>
  <w:num w:numId="28">
    <w:abstractNumId w:val="131"/>
  </w:num>
  <w:num w:numId="29">
    <w:abstractNumId w:val="158"/>
  </w:num>
  <w:num w:numId="30">
    <w:abstractNumId w:val="142"/>
  </w:num>
  <w:num w:numId="31">
    <w:abstractNumId w:val="121"/>
  </w:num>
  <w:num w:numId="32">
    <w:abstractNumId w:val="157"/>
  </w:num>
  <w:num w:numId="33">
    <w:abstractNumId w:val="83"/>
  </w:num>
  <w:num w:numId="34">
    <w:abstractNumId w:val="202"/>
  </w:num>
  <w:num w:numId="35">
    <w:abstractNumId w:val="188"/>
  </w:num>
  <w:num w:numId="36">
    <w:abstractNumId w:val="40"/>
  </w:num>
  <w:num w:numId="37">
    <w:abstractNumId w:val="138"/>
  </w:num>
  <w:num w:numId="38">
    <w:abstractNumId w:val="165"/>
  </w:num>
  <w:num w:numId="39">
    <w:abstractNumId w:val="3"/>
  </w:num>
  <w:num w:numId="40">
    <w:abstractNumId w:val="122"/>
  </w:num>
  <w:num w:numId="41">
    <w:abstractNumId w:val="184"/>
  </w:num>
  <w:num w:numId="42">
    <w:abstractNumId w:val="102"/>
  </w:num>
  <w:num w:numId="43">
    <w:abstractNumId w:val="178"/>
  </w:num>
  <w:num w:numId="44">
    <w:abstractNumId w:val="63"/>
  </w:num>
  <w:num w:numId="45">
    <w:abstractNumId w:val="146"/>
  </w:num>
  <w:num w:numId="46">
    <w:abstractNumId w:val="193"/>
  </w:num>
  <w:num w:numId="47">
    <w:abstractNumId w:val="8"/>
  </w:num>
  <w:num w:numId="48">
    <w:abstractNumId w:val="201"/>
  </w:num>
  <w:num w:numId="49">
    <w:abstractNumId w:val="210"/>
  </w:num>
  <w:num w:numId="50">
    <w:abstractNumId w:val="67"/>
  </w:num>
  <w:num w:numId="51">
    <w:abstractNumId w:val="133"/>
  </w:num>
  <w:num w:numId="52">
    <w:abstractNumId w:val="171"/>
  </w:num>
  <w:num w:numId="53">
    <w:abstractNumId w:val="53"/>
  </w:num>
  <w:num w:numId="54">
    <w:abstractNumId w:val="183"/>
  </w:num>
  <w:num w:numId="55">
    <w:abstractNumId w:val="86"/>
  </w:num>
  <w:num w:numId="56">
    <w:abstractNumId w:val="192"/>
  </w:num>
  <w:num w:numId="57">
    <w:abstractNumId w:val="95"/>
  </w:num>
  <w:num w:numId="58">
    <w:abstractNumId w:val="107"/>
  </w:num>
  <w:num w:numId="59">
    <w:abstractNumId w:val="71"/>
  </w:num>
  <w:num w:numId="60">
    <w:abstractNumId w:val="137"/>
  </w:num>
  <w:num w:numId="61">
    <w:abstractNumId w:val="43"/>
  </w:num>
  <w:num w:numId="62">
    <w:abstractNumId w:val="143"/>
  </w:num>
  <w:num w:numId="63">
    <w:abstractNumId w:val="197"/>
  </w:num>
  <w:num w:numId="64">
    <w:abstractNumId w:val="98"/>
  </w:num>
  <w:num w:numId="65">
    <w:abstractNumId w:val="125"/>
  </w:num>
  <w:num w:numId="66">
    <w:abstractNumId w:val="161"/>
  </w:num>
  <w:num w:numId="67">
    <w:abstractNumId w:val="2"/>
  </w:num>
  <w:num w:numId="68">
    <w:abstractNumId w:val="64"/>
  </w:num>
  <w:num w:numId="69">
    <w:abstractNumId w:val="41"/>
  </w:num>
  <w:num w:numId="70">
    <w:abstractNumId w:val="15"/>
  </w:num>
  <w:num w:numId="71">
    <w:abstractNumId w:val="28"/>
  </w:num>
  <w:num w:numId="72">
    <w:abstractNumId w:val="74"/>
  </w:num>
  <w:num w:numId="73">
    <w:abstractNumId w:val="194"/>
  </w:num>
  <w:num w:numId="74">
    <w:abstractNumId w:val="208"/>
  </w:num>
  <w:num w:numId="75">
    <w:abstractNumId w:val="5"/>
  </w:num>
  <w:num w:numId="76">
    <w:abstractNumId w:val="42"/>
  </w:num>
  <w:num w:numId="77">
    <w:abstractNumId w:val="92"/>
  </w:num>
  <w:num w:numId="78">
    <w:abstractNumId w:val="25"/>
  </w:num>
  <w:num w:numId="79">
    <w:abstractNumId w:val="103"/>
  </w:num>
  <w:num w:numId="80">
    <w:abstractNumId w:val="174"/>
  </w:num>
  <w:num w:numId="81">
    <w:abstractNumId w:val="33"/>
  </w:num>
  <w:num w:numId="82">
    <w:abstractNumId w:val="61"/>
  </w:num>
  <w:num w:numId="83">
    <w:abstractNumId w:val="34"/>
  </w:num>
  <w:num w:numId="84">
    <w:abstractNumId w:val="85"/>
  </w:num>
  <w:num w:numId="85">
    <w:abstractNumId w:val="49"/>
  </w:num>
  <w:num w:numId="86">
    <w:abstractNumId w:val="57"/>
  </w:num>
  <w:num w:numId="87">
    <w:abstractNumId w:val="195"/>
  </w:num>
  <w:num w:numId="88">
    <w:abstractNumId w:val="101"/>
  </w:num>
  <w:num w:numId="89">
    <w:abstractNumId w:val="47"/>
  </w:num>
  <w:num w:numId="90">
    <w:abstractNumId w:val="73"/>
  </w:num>
  <w:num w:numId="91">
    <w:abstractNumId w:val="46"/>
  </w:num>
  <w:num w:numId="92">
    <w:abstractNumId w:val="26"/>
  </w:num>
  <w:num w:numId="93">
    <w:abstractNumId w:val="30"/>
  </w:num>
  <w:num w:numId="94">
    <w:abstractNumId w:val="120"/>
  </w:num>
  <w:num w:numId="95">
    <w:abstractNumId w:val="153"/>
  </w:num>
  <w:num w:numId="96">
    <w:abstractNumId w:val="117"/>
  </w:num>
  <w:num w:numId="97">
    <w:abstractNumId w:val="24"/>
  </w:num>
  <w:num w:numId="98">
    <w:abstractNumId w:val="14"/>
  </w:num>
  <w:num w:numId="99">
    <w:abstractNumId w:val="51"/>
  </w:num>
  <w:num w:numId="100">
    <w:abstractNumId w:val="141"/>
  </w:num>
  <w:num w:numId="101">
    <w:abstractNumId w:val="160"/>
  </w:num>
  <w:num w:numId="102">
    <w:abstractNumId w:val="4"/>
  </w:num>
  <w:num w:numId="103">
    <w:abstractNumId w:val="89"/>
  </w:num>
  <w:num w:numId="104">
    <w:abstractNumId w:val="29"/>
  </w:num>
  <w:num w:numId="105">
    <w:abstractNumId w:val="54"/>
  </w:num>
  <w:num w:numId="106">
    <w:abstractNumId w:val="163"/>
  </w:num>
  <w:num w:numId="107">
    <w:abstractNumId w:val="155"/>
  </w:num>
  <w:num w:numId="108">
    <w:abstractNumId w:val="32"/>
  </w:num>
  <w:num w:numId="109">
    <w:abstractNumId w:val="132"/>
  </w:num>
  <w:num w:numId="110">
    <w:abstractNumId w:val="164"/>
  </w:num>
  <w:num w:numId="111">
    <w:abstractNumId w:val="139"/>
  </w:num>
  <w:num w:numId="112">
    <w:abstractNumId w:val="68"/>
  </w:num>
  <w:num w:numId="113">
    <w:abstractNumId w:val="36"/>
  </w:num>
  <w:num w:numId="114">
    <w:abstractNumId w:val="13"/>
  </w:num>
  <w:num w:numId="115">
    <w:abstractNumId w:val="45"/>
  </w:num>
  <w:num w:numId="116">
    <w:abstractNumId w:val="87"/>
  </w:num>
  <w:num w:numId="117">
    <w:abstractNumId w:val="10"/>
  </w:num>
  <w:num w:numId="118">
    <w:abstractNumId w:val="78"/>
  </w:num>
  <w:num w:numId="119">
    <w:abstractNumId w:val="39"/>
  </w:num>
  <w:num w:numId="120">
    <w:abstractNumId w:val="198"/>
  </w:num>
  <w:num w:numId="121">
    <w:abstractNumId w:val="1"/>
  </w:num>
  <w:num w:numId="122">
    <w:abstractNumId w:val="48"/>
  </w:num>
  <w:num w:numId="123">
    <w:abstractNumId w:val="123"/>
  </w:num>
  <w:num w:numId="124">
    <w:abstractNumId w:val="159"/>
  </w:num>
  <w:num w:numId="125">
    <w:abstractNumId w:val="154"/>
  </w:num>
  <w:num w:numId="126">
    <w:abstractNumId w:val="172"/>
  </w:num>
  <w:num w:numId="127">
    <w:abstractNumId w:val="145"/>
  </w:num>
  <w:num w:numId="128">
    <w:abstractNumId w:val="62"/>
  </w:num>
  <w:num w:numId="129">
    <w:abstractNumId w:val="148"/>
  </w:num>
  <w:num w:numId="130">
    <w:abstractNumId w:val="108"/>
  </w:num>
  <w:num w:numId="131">
    <w:abstractNumId w:val="11"/>
  </w:num>
  <w:num w:numId="132">
    <w:abstractNumId w:val="12"/>
  </w:num>
  <w:num w:numId="133">
    <w:abstractNumId w:val="17"/>
  </w:num>
  <w:num w:numId="134">
    <w:abstractNumId w:val="19"/>
  </w:num>
  <w:num w:numId="135">
    <w:abstractNumId w:val="20"/>
  </w:num>
  <w:num w:numId="136">
    <w:abstractNumId w:val="21"/>
  </w:num>
  <w:num w:numId="137">
    <w:abstractNumId w:val="22"/>
  </w:num>
  <w:num w:numId="138">
    <w:abstractNumId w:val="27"/>
  </w:num>
  <w:num w:numId="139">
    <w:abstractNumId w:val="35"/>
  </w:num>
  <w:num w:numId="140">
    <w:abstractNumId w:val="38"/>
  </w:num>
  <w:num w:numId="141">
    <w:abstractNumId w:val="50"/>
  </w:num>
  <w:num w:numId="142">
    <w:abstractNumId w:val="52"/>
  </w:num>
  <w:num w:numId="143">
    <w:abstractNumId w:val="55"/>
  </w:num>
  <w:num w:numId="144">
    <w:abstractNumId w:val="56"/>
  </w:num>
  <w:num w:numId="145">
    <w:abstractNumId w:val="58"/>
  </w:num>
  <w:num w:numId="146">
    <w:abstractNumId w:val="59"/>
  </w:num>
  <w:num w:numId="147">
    <w:abstractNumId w:val="66"/>
  </w:num>
  <w:num w:numId="148">
    <w:abstractNumId w:val="69"/>
  </w:num>
  <w:num w:numId="149">
    <w:abstractNumId w:val="72"/>
  </w:num>
  <w:num w:numId="150">
    <w:abstractNumId w:val="75"/>
  </w:num>
  <w:num w:numId="151">
    <w:abstractNumId w:val="76"/>
  </w:num>
  <w:num w:numId="152">
    <w:abstractNumId w:val="77"/>
  </w:num>
  <w:num w:numId="153">
    <w:abstractNumId w:val="79"/>
  </w:num>
  <w:num w:numId="154">
    <w:abstractNumId w:val="81"/>
  </w:num>
  <w:num w:numId="155">
    <w:abstractNumId w:val="82"/>
  </w:num>
  <w:num w:numId="156">
    <w:abstractNumId w:val="84"/>
  </w:num>
  <w:num w:numId="157">
    <w:abstractNumId w:val="88"/>
  </w:num>
  <w:num w:numId="158">
    <w:abstractNumId w:val="91"/>
  </w:num>
  <w:num w:numId="159">
    <w:abstractNumId w:val="97"/>
  </w:num>
  <w:num w:numId="160">
    <w:abstractNumId w:val="100"/>
  </w:num>
  <w:num w:numId="161">
    <w:abstractNumId w:val="104"/>
  </w:num>
  <w:num w:numId="162">
    <w:abstractNumId w:val="105"/>
  </w:num>
  <w:num w:numId="163">
    <w:abstractNumId w:val="106"/>
  </w:num>
  <w:num w:numId="164">
    <w:abstractNumId w:val="109"/>
  </w:num>
  <w:num w:numId="165">
    <w:abstractNumId w:val="112"/>
  </w:num>
  <w:num w:numId="166">
    <w:abstractNumId w:val="114"/>
  </w:num>
  <w:num w:numId="167">
    <w:abstractNumId w:val="115"/>
  </w:num>
  <w:num w:numId="168">
    <w:abstractNumId w:val="116"/>
  </w:num>
  <w:num w:numId="169">
    <w:abstractNumId w:val="119"/>
  </w:num>
  <w:num w:numId="170">
    <w:abstractNumId w:val="124"/>
  </w:num>
  <w:num w:numId="171">
    <w:abstractNumId w:val="126"/>
  </w:num>
  <w:num w:numId="172">
    <w:abstractNumId w:val="127"/>
  </w:num>
  <w:num w:numId="173">
    <w:abstractNumId w:val="128"/>
  </w:num>
  <w:num w:numId="174">
    <w:abstractNumId w:val="129"/>
  </w:num>
  <w:num w:numId="175">
    <w:abstractNumId w:val="130"/>
  </w:num>
  <w:num w:numId="176">
    <w:abstractNumId w:val="134"/>
  </w:num>
  <w:num w:numId="177">
    <w:abstractNumId w:val="135"/>
  </w:num>
  <w:num w:numId="178">
    <w:abstractNumId w:val="136"/>
  </w:num>
  <w:num w:numId="179">
    <w:abstractNumId w:val="140"/>
  </w:num>
  <w:num w:numId="180">
    <w:abstractNumId w:val="147"/>
  </w:num>
  <w:num w:numId="181">
    <w:abstractNumId w:val="149"/>
  </w:num>
  <w:num w:numId="182">
    <w:abstractNumId w:val="150"/>
  </w:num>
  <w:num w:numId="183">
    <w:abstractNumId w:val="151"/>
  </w:num>
  <w:num w:numId="184">
    <w:abstractNumId w:val="152"/>
  </w:num>
  <w:num w:numId="185">
    <w:abstractNumId w:val="162"/>
  </w:num>
  <w:num w:numId="186">
    <w:abstractNumId w:val="166"/>
  </w:num>
  <w:num w:numId="187">
    <w:abstractNumId w:val="167"/>
  </w:num>
  <w:num w:numId="188">
    <w:abstractNumId w:val="168"/>
  </w:num>
  <w:num w:numId="189">
    <w:abstractNumId w:val="177"/>
  </w:num>
  <w:num w:numId="190">
    <w:abstractNumId w:val="179"/>
  </w:num>
  <w:num w:numId="191">
    <w:abstractNumId w:val="181"/>
  </w:num>
  <w:num w:numId="192">
    <w:abstractNumId w:val="182"/>
  </w:num>
  <w:num w:numId="193">
    <w:abstractNumId w:val="185"/>
  </w:num>
  <w:num w:numId="194">
    <w:abstractNumId w:val="186"/>
  </w:num>
  <w:num w:numId="195">
    <w:abstractNumId w:val="187"/>
  </w:num>
  <w:num w:numId="196">
    <w:abstractNumId w:val="189"/>
  </w:num>
  <w:num w:numId="197">
    <w:abstractNumId w:val="191"/>
  </w:num>
  <w:num w:numId="198">
    <w:abstractNumId w:val="196"/>
  </w:num>
  <w:num w:numId="199">
    <w:abstractNumId w:val="199"/>
  </w:num>
  <w:num w:numId="200">
    <w:abstractNumId w:val="200"/>
  </w:num>
  <w:num w:numId="201">
    <w:abstractNumId w:val="203"/>
  </w:num>
  <w:num w:numId="202">
    <w:abstractNumId w:val="206"/>
  </w:num>
  <w:num w:numId="203">
    <w:abstractNumId w:val="207"/>
  </w:num>
  <w:num w:numId="204">
    <w:abstractNumId w:val="209"/>
  </w:num>
  <w:num w:numId="205">
    <w:abstractNumId w:val="74"/>
    <w:lvlOverride w:ilvl="0">
      <w:lvl w:ilvl="0">
        <w:start w:val="1"/>
        <w:numFmt w:val="upperRoman"/>
        <w:lvlText w:val="%1."/>
        <w:lvlJc w:val="left"/>
        <w:rPr>
          <w:b w:val="0"/>
        </w:rPr>
      </w:lvl>
    </w:lvlOverride>
  </w:num>
  <w:num w:numId="206">
    <w:abstractNumId w:val="194"/>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3"/>
    <w:lvlOverride w:ilvl="0">
      <w:lvl w:ilvl="0">
        <w:start w:val="1"/>
        <w:numFmt w:val="upperRoman"/>
        <w:lvlText w:val="%1."/>
        <w:lvlJc w:val="left"/>
        <w:rPr>
          <w:sz w:val="20"/>
          <w:szCs w:val="20"/>
        </w:rPr>
      </w:lvl>
    </w:lvlOverride>
  </w:num>
  <w:num w:numId="208">
    <w:abstractNumId w:val="171"/>
    <w:lvlOverride w:ilvl="0">
      <w:lvl w:ilvl="0">
        <w:start w:val="1"/>
        <w:numFmt w:val="upperRoman"/>
        <w:lvlText w:val="%1."/>
        <w:lvlJc w:val="left"/>
        <w:rPr>
          <w:sz w:val="20"/>
          <w:szCs w:val="20"/>
        </w:rPr>
      </w:lvl>
    </w:lvlOverride>
  </w:num>
  <w:num w:numId="209">
    <w:abstractNumId w:val="28"/>
    <w:lvlOverride w:ilvl="0">
      <w:lvl w:ilvl="0">
        <w:start w:val="1"/>
        <w:numFmt w:val="lowerLetter"/>
        <w:lvlText w:val="%1)"/>
        <w:lvlJc w:val="left"/>
      </w:lvl>
    </w:lvlOverride>
    <w:lvlOverride w:ilvl="1">
      <w:lvl w:ilvl="1">
        <w:start w:val="1"/>
        <w:numFmt w:val="upperRoman"/>
        <w:lvlText w:val="%2."/>
        <w:lvlJc w:val="left"/>
      </w:lvl>
    </w:lvlOverride>
  </w:num>
  <w:num w:numId="210">
    <w:abstractNumId w:val="15"/>
    <w:lvlOverride w:ilvl="0">
      <w:lvl w:ilvl="0">
        <w:start w:val="1"/>
        <w:numFmt w:val="upperRoman"/>
        <w:lvlText w:val="%1."/>
        <w:lvlJc w:val="left"/>
        <w:rPr>
          <w:b w:val="0"/>
          <w:sz w:val="20"/>
          <w:szCs w:val="20"/>
        </w:rPr>
      </w:lvl>
    </w:lvlOverride>
  </w:num>
  <w:num w:numId="211">
    <w:abstractNumId w:val="208"/>
    <w:lvlOverride w:ilvl="0">
      <w:startOverride w:val="1"/>
    </w:lvlOverride>
  </w:num>
  <w:num w:numId="212">
    <w:abstractNumId w:val="74"/>
    <w:lvlOverride w:ilvl="0">
      <w:startOverride w:val="1"/>
    </w:lvlOverride>
  </w:num>
  <w:num w:numId="213">
    <w:abstractNumId w:val="146"/>
    <w:lvlOverride w:ilvl="0">
      <w:startOverride w:val="1"/>
    </w:lvlOverride>
  </w:num>
  <w:num w:numId="214">
    <w:abstractNumId w:val="133"/>
    <w:lvlOverride w:ilvl="0">
      <w:startOverride w:val="1"/>
    </w:lvlOverride>
  </w:num>
  <w:num w:numId="215">
    <w:abstractNumId w:val="171"/>
    <w:lvlOverride w:ilvl="0">
      <w:startOverride w:val="1"/>
    </w:lvlOverride>
  </w:num>
  <w:num w:numId="216">
    <w:abstractNumId w:val="28"/>
    <w:lvlOverride w:ilvl="0">
      <w:startOverride w:val="1"/>
    </w:lvlOverride>
  </w:num>
  <w:num w:numId="217">
    <w:abstractNumId w:val="15"/>
    <w:lvlOverride w:ilvl="0">
      <w:startOverride w:val="1"/>
    </w:lvlOverride>
  </w:num>
  <w:num w:numId="218">
    <w:abstractNumId w:val="183"/>
    <w:lvlOverride w:ilvl="0">
      <w:startOverride w:val="1"/>
    </w:lvlOverride>
  </w:num>
  <w:num w:numId="219">
    <w:abstractNumId w:val="86"/>
    <w:lvlOverride w:ilvl="0">
      <w:startOverride w:val="1"/>
    </w:lvlOverride>
  </w:num>
  <w:num w:numId="220">
    <w:abstractNumId w:val="110"/>
  </w:num>
  <w:num w:numId="221">
    <w:abstractNumId w:val="205"/>
  </w:num>
  <w:num w:numId="222">
    <w:abstractNumId w:val="204"/>
  </w:num>
  <w:num w:numId="223">
    <w:abstractNumId w:val="80"/>
  </w:num>
  <w:num w:numId="224">
    <w:abstractNumId w:val="7"/>
  </w:num>
  <w:num w:numId="225">
    <w:abstractNumId w:val="37"/>
  </w:num>
  <w:num w:numId="2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24">
      <w:bodyDiv w:val="1"/>
      <w:marLeft w:val="0"/>
      <w:marRight w:val="0"/>
      <w:marTop w:val="0"/>
      <w:marBottom w:val="0"/>
      <w:divBdr>
        <w:top w:val="none" w:sz="0" w:space="0" w:color="auto"/>
        <w:left w:val="none" w:sz="0" w:space="0" w:color="auto"/>
        <w:bottom w:val="none" w:sz="0" w:space="0" w:color="auto"/>
        <w:right w:val="none" w:sz="0" w:space="0" w:color="auto"/>
      </w:divBdr>
    </w:div>
    <w:div w:id="185483742">
      <w:bodyDiv w:val="1"/>
      <w:marLeft w:val="0"/>
      <w:marRight w:val="0"/>
      <w:marTop w:val="0"/>
      <w:marBottom w:val="0"/>
      <w:divBdr>
        <w:top w:val="none" w:sz="0" w:space="0" w:color="auto"/>
        <w:left w:val="none" w:sz="0" w:space="0" w:color="auto"/>
        <w:bottom w:val="none" w:sz="0" w:space="0" w:color="auto"/>
        <w:right w:val="none" w:sz="0" w:space="0" w:color="auto"/>
      </w:divBdr>
    </w:div>
    <w:div w:id="300812454">
      <w:bodyDiv w:val="1"/>
      <w:marLeft w:val="0"/>
      <w:marRight w:val="0"/>
      <w:marTop w:val="0"/>
      <w:marBottom w:val="0"/>
      <w:divBdr>
        <w:top w:val="none" w:sz="0" w:space="0" w:color="auto"/>
        <w:left w:val="none" w:sz="0" w:space="0" w:color="auto"/>
        <w:bottom w:val="none" w:sz="0" w:space="0" w:color="auto"/>
        <w:right w:val="none" w:sz="0" w:space="0" w:color="auto"/>
      </w:divBdr>
    </w:div>
    <w:div w:id="645202017">
      <w:bodyDiv w:val="1"/>
      <w:marLeft w:val="0"/>
      <w:marRight w:val="0"/>
      <w:marTop w:val="0"/>
      <w:marBottom w:val="0"/>
      <w:divBdr>
        <w:top w:val="none" w:sz="0" w:space="0" w:color="auto"/>
        <w:left w:val="none" w:sz="0" w:space="0" w:color="auto"/>
        <w:bottom w:val="none" w:sz="0" w:space="0" w:color="auto"/>
        <w:right w:val="none" w:sz="0" w:space="0" w:color="auto"/>
      </w:divBdr>
    </w:div>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 w:id="1133524307">
      <w:bodyDiv w:val="1"/>
      <w:marLeft w:val="0"/>
      <w:marRight w:val="0"/>
      <w:marTop w:val="0"/>
      <w:marBottom w:val="0"/>
      <w:divBdr>
        <w:top w:val="none" w:sz="0" w:space="0" w:color="auto"/>
        <w:left w:val="none" w:sz="0" w:space="0" w:color="auto"/>
        <w:bottom w:val="none" w:sz="0" w:space="0" w:color="auto"/>
        <w:right w:val="none" w:sz="0" w:space="0" w:color="auto"/>
      </w:divBdr>
    </w:div>
    <w:div w:id="1475682977">
      <w:bodyDiv w:val="1"/>
      <w:marLeft w:val="0"/>
      <w:marRight w:val="0"/>
      <w:marTop w:val="0"/>
      <w:marBottom w:val="0"/>
      <w:divBdr>
        <w:top w:val="none" w:sz="0" w:space="0" w:color="auto"/>
        <w:left w:val="none" w:sz="0" w:space="0" w:color="auto"/>
        <w:bottom w:val="none" w:sz="0" w:space="0" w:color="auto"/>
        <w:right w:val="none" w:sz="0" w:space="0" w:color="auto"/>
      </w:divBdr>
    </w:div>
    <w:div w:id="1579633977">
      <w:bodyDiv w:val="1"/>
      <w:marLeft w:val="0"/>
      <w:marRight w:val="0"/>
      <w:marTop w:val="0"/>
      <w:marBottom w:val="0"/>
      <w:divBdr>
        <w:top w:val="none" w:sz="0" w:space="0" w:color="auto"/>
        <w:left w:val="none" w:sz="0" w:space="0" w:color="auto"/>
        <w:bottom w:val="none" w:sz="0" w:space="0" w:color="auto"/>
        <w:right w:val="none" w:sz="0" w:space="0" w:color="auto"/>
      </w:divBdr>
    </w:div>
    <w:div w:id="16439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A49ECB-1BB3-4580-AA01-883A733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30368</Words>
  <Characters>167024</Characters>
  <Application>Microsoft Office Word</Application>
  <DocSecurity>0</DocSecurity>
  <Lines>1391</Lines>
  <Paragraphs>393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196999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2</cp:revision>
  <cp:lastPrinted>2021-10-07T15:27:00Z</cp:lastPrinted>
  <dcterms:created xsi:type="dcterms:W3CDTF">2022-10-05T21:55:00Z</dcterms:created>
  <dcterms:modified xsi:type="dcterms:W3CDTF">2022-10-05T21:55:00Z</dcterms:modified>
</cp:coreProperties>
</file>