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ind w:right="-518"/>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18 de febrero de 2021.</w:t>
      </w:r>
      <w:r>
        <w:rPr>
          <w:rFonts w:ascii="Verdana" w:hAnsi="Verdana" w:cs="Tahoma"/>
          <w:b/>
          <w:sz w:val="20"/>
        </w:rPr>
        <w:t xml:space="preserve"> </w:t>
      </w:r>
    </w:p>
    <w:p>
      <w:pPr>
        <w:tabs>
          <w:tab w:val="left" w:pos="2552"/>
        </w:tabs>
        <w:spacing w:after="0" w:line="240" w:lineRule="auto"/>
        <w:ind w:right="-518" w:firstLine="709"/>
        <w:jc w:val="right"/>
        <w:outlineLvl w:val="0"/>
        <w:rPr>
          <w:rFonts w:ascii="Verdana" w:hAnsi="Verdana" w:cs="Tahoma"/>
          <w:sz w:val="20"/>
        </w:rPr>
      </w:pPr>
      <w:r>
        <w:rPr>
          <w:rFonts w:ascii="Verdana" w:hAnsi="Verdana" w:cs="Tahoma"/>
          <w:b/>
          <w:sz w:val="20"/>
        </w:rPr>
        <w:t xml:space="preserve">Publicado: </w:t>
      </w:r>
      <w:r>
        <w:rPr>
          <w:rFonts w:ascii="Verdana" w:hAnsi="Verdana" w:cs="Tahoma"/>
          <w:sz w:val="20"/>
        </w:rPr>
        <w:t>04 de marzo de 2021.</w:t>
      </w:r>
    </w:p>
    <w:p>
      <w:pPr>
        <w:tabs>
          <w:tab w:val="left" w:pos="2552"/>
        </w:tabs>
        <w:spacing w:after="0" w:line="240" w:lineRule="auto"/>
        <w:ind w:right="-518"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05 de marzo de 2021.</w:t>
      </w:r>
      <w:r>
        <w:rPr>
          <w:rFonts w:ascii="Verdana" w:hAnsi="Verdana" w:cs="Tahoma"/>
          <w:b/>
          <w:sz w:val="20"/>
        </w:rPr>
        <w:t xml:space="preserve"> </w:t>
      </w:r>
    </w:p>
    <w:p>
      <w:pPr>
        <w:spacing w:after="0" w:line="240" w:lineRule="auto"/>
        <w:jc w:val="both"/>
        <w:rPr>
          <w:rFonts w:ascii="Arial" w:hAnsi="Arial" w:cs="Arial"/>
          <w:color w:val="000000"/>
          <w:sz w:val="24"/>
          <w:szCs w:val="24"/>
        </w:rPr>
      </w:pPr>
    </w:p>
    <w:p>
      <w:pPr>
        <w:spacing w:after="0" w:line="240" w:lineRule="auto"/>
        <w:jc w:val="both"/>
        <w:rPr>
          <w:rFonts w:ascii="Arial" w:hAnsi="Arial" w:cs="Arial"/>
          <w:color w:val="000000"/>
          <w:sz w:val="24"/>
          <w:szCs w:val="24"/>
        </w:rPr>
      </w:pPr>
    </w:p>
    <w:p>
      <w:pPr>
        <w:spacing w:after="0"/>
        <w:jc w:val="center"/>
        <w:rPr>
          <w:rFonts w:ascii="Arial" w:hAnsi="Arial" w:cs="Arial"/>
          <w:b/>
          <w:sz w:val="24"/>
          <w:szCs w:val="24"/>
        </w:rPr>
      </w:pPr>
      <w:r>
        <w:rPr>
          <w:rFonts w:ascii="Arial" w:hAnsi="Arial" w:cs="Arial"/>
          <w:b/>
          <w:sz w:val="24"/>
          <w:szCs w:val="24"/>
        </w:rPr>
        <w:t xml:space="preserve">Reglas de Operación del </w:t>
      </w:r>
    </w:p>
    <w:p>
      <w:pPr>
        <w:spacing w:after="0"/>
        <w:jc w:val="center"/>
        <w:rPr>
          <w:rFonts w:ascii="Arial" w:hAnsi="Arial" w:cs="Arial"/>
          <w:b/>
          <w:sz w:val="24"/>
          <w:szCs w:val="24"/>
        </w:rPr>
      </w:pPr>
      <w:r>
        <w:rPr>
          <w:rFonts w:ascii="Arial" w:hAnsi="Arial" w:cs="Arial"/>
          <w:b/>
          <w:sz w:val="24"/>
          <w:szCs w:val="24"/>
        </w:rPr>
        <w:t>“Programa de Apoyo a las Tradiciones 2021”</w:t>
      </w:r>
    </w:p>
    <w:p>
      <w:pPr>
        <w:pBdr>
          <w:top w:val="nil"/>
          <w:left w:val="nil"/>
          <w:bottom w:val="nil"/>
          <w:right w:val="nil"/>
          <w:between w:val="nil"/>
        </w:pBdr>
        <w:spacing w:after="0"/>
        <w:ind w:right="-56"/>
        <w:jc w:val="both"/>
        <w:rPr>
          <w:rFonts w:ascii="Arial" w:eastAsia="Arial Narrow" w:hAnsi="Arial" w:cs="Arial"/>
          <w:b/>
          <w:color w:val="000000"/>
          <w:sz w:val="24"/>
          <w:szCs w:val="24"/>
        </w:rPr>
      </w:pPr>
      <w:bookmarkStart w:id="0" w:name="_gjdgxs" w:colFirst="0" w:colLast="0"/>
      <w:bookmarkEnd w:id="0"/>
    </w:p>
    <w:p>
      <w:pPr>
        <w:pBdr>
          <w:top w:val="nil"/>
          <w:left w:val="nil"/>
          <w:bottom w:val="nil"/>
          <w:right w:val="nil"/>
          <w:between w:val="nil"/>
        </w:pBdr>
        <w:spacing w:after="0"/>
        <w:ind w:right="-56"/>
        <w:jc w:val="center"/>
        <w:rPr>
          <w:rFonts w:ascii="Arial" w:eastAsia="Arial Narrow" w:hAnsi="Arial" w:cs="Arial"/>
          <w:b/>
          <w:color w:val="000000"/>
          <w:sz w:val="24"/>
          <w:szCs w:val="24"/>
        </w:rPr>
      </w:pPr>
      <w:r>
        <w:rPr>
          <w:rFonts w:ascii="Arial" w:eastAsia="Arial Narrow" w:hAnsi="Arial" w:cs="Arial"/>
          <w:b/>
          <w:color w:val="000000"/>
          <w:sz w:val="24"/>
          <w:szCs w:val="24"/>
        </w:rPr>
        <w:t>SECCIÓN I: ASPECTOS GENERALES</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pBdr>
          <w:top w:val="nil"/>
          <w:left w:val="nil"/>
          <w:bottom w:val="nil"/>
          <w:right w:val="nil"/>
          <w:between w:val="nil"/>
        </w:pBdr>
        <w:spacing w:after="0"/>
        <w:ind w:right="-56"/>
        <w:jc w:val="both"/>
        <w:rPr>
          <w:rFonts w:ascii="Arial" w:eastAsia="Arial Narrow" w:hAnsi="Arial" w:cs="Arial"/>
          <w:b/>
          <w:color w:val="000000"/>
          <w:sz w:val="24"/>
        </w:rPr>
      </w:pPr>
      <w:r>
        <w:rPr>
          <w:rFonts w:ascii="Arial" w:eastAsia="Arial Narrow" w:hAnsi="Arial" w:cs="Arial"/>
          <w:b/>
          <w:color w:val="000000"/>
          <w:sz w:val="24"/>
        </w:rPr>
        <w:t>1.1. Fundamentación jurídica.</w:t>
      </w:r>
    </w:p>
    <w:p>
      <w:pPr>
        <w:pBdr>
          <w:top w:val="nil"/>
          <w:left w:val="nil"/>
          <w:bottom w:val="nil"/>
          <w:right w:val="nil"/>
          <w:between w:val="nil"/>
        </w:pBdr>
        <w:spacing w:after="0"/>
        <w:ind w:right="-56"/>
        <w:jc w:val="both"/>
        <w:rPr>
          <w:rFonts w:ascii="Arial" w:eastAsia="Arial Narrow" w:hAnsi="Arial" w:cs="Arial"/>
          <w:color w:val="000000"/>
          <w:sz w:val="24"/>
        </w:rPr>
      </w:pPr>
    </w:p>
    <w:p>
      <w:pPr>
        <w:pBdr>
          <w:top w:val="nil"/>
          <w:left w:val="nil"/>
          <w:bottom w:val="nil"/>
          <w:right w:val="nil"/>
          <w:between w:val="nil"/>
        </w:pBdr>
        <w:spacing w:after="0"/>
        <w:ind w:right="-56"/>
        <w:jc w:val="both"/>
        <w:rPr>
          <w:rFonts w:ascii="Arial" w:eastAsia="Arial Narrow" w:hAnsi="Arial" w:cs="Arial"/>
          <w:color w:val="000000"/>
          <w:sz w:val="24"/>
        </w:rPr>
      </w:pPr>
      <w:r>
        <w:rPr>
          <w:rFonts w:ascii="Arial" w:eastAsia="Arial Narrow" w:hAnsi="Arial" w:cs="Arial"/>
          <w:color w:val="000000"/>
          <w:sz w:val="24"/>
        </w:rPr>
        <w:t xml:space="preserve">Con fundamento en lo dispuesto por los artículos 1, 4, 5, 25 y 115, fracción II de la Constitución Política de los Estados Unidos Mexicanos; los Objetivos de Desarrollo Sostenible número 1 “Fin a la Pobreza” y 8 “Trabajo Decente y Desarrollo Económico” </w:t>
      </w:r>
      <w:r>
        <w:rPr>
          <w:rFonts w:ascii="Arial" w:hAnsi="Arial" w:cs="Arial"/>
          <w:sz w:val="24"/>
          <w:szCs w:val="24"/>
        </w:rPr>
        <w:t xml:space="preserve">de la Agenda 2030, </w:t>
      </w:r>
      <w:r>
        <w:rPr>
          <w:rFonts w:ascii="Arial" w:eastAsia="Bookman Old Style" w:hAnsi="Arial" w:cs="Arial"/>
          <w:color w:val="000000"/>
          <w:sz w:val="24"/>
          <w:szCs w:val="24"/>
        </w:rPr>
        <w:t>2°, 4°, 15, fracciones VI y X, y 73 de la Constitución Política del Estado de Jalisco</w:t>
      </w:r>
      <w:r>
        <w:rPr>
          <w:rFonts w:ascii="Arial" w:eastAsia="Arial Narrow" w:hAnsi="Arial" w:cs="Arial"/>
          <w:color w:val="000000"/>
          <w:sz w:val="24"/>
        </w:rPr>
        <w:t>;  6, 8, 9, 19 fracción VIII y 42 de la Ley General de Desarrollo Social; 3 fracciones II y III, y 7 fracciones IV y V de la Ley Federal para el Fomento de la Microindustria y Actividad Artesanal; 5, 127, 128, fracciones VI, VII, VIII, XVII, XIX y XXIX, 129, fracción II, inciso a) y 131 fracciones V, XI y XII del Reglamento de la Administración Pública del Municipio de Tlajomulco de Zúñiga, Jalisco.</w:t>
      </w:r>
    </w:p>
    <w:p>
      <w:pPr>
        <w:pBdr>
          <w:top w:val="nil"/>
          <w:left w:val="nil"/>
          <w:bottom w:val="nil"/>
          <w:right w:val="nil"/>
          <w:between w:val="nil"/>
        </w:pBdr>
        <w:spacing w:after="0"/>
        <w:ind w:right="-56"/>
        <w:jc w:val="both"/>
        <w:rPr>
          <w:rFonts w:ascii="Arial" w:eastAsia="Arial Narrow" w:hAnsi="Arial" w:cs="Arial"/>
          <w:b/>
          <w:color w:val="000000"/>
          <w:sz w:val="24"/>
        </w:rPr>
      </w:pPr>
    </w:p>
    <w:p>
      <w:pPr>
        <w:pBdr>
          <w:top w:val="nil"/>
          <w:left w:val="nil"/>
          <w:bottom w:val="nil"/>
          <w:right w:val="nil"/>
          <w:between w:val="nil"/>
        </w:pBdr>
        <w:spacing w:after="0"/>
        <w:ind w:right="-56"/>
        <w:jc w:val="both"/>
        <w:rPr>
          <w:rFonts w:ascii="Arial" w:eastAsia="Arial Narrow" w:hAnsi="Arial" w:cs="Arial"/>
          <w:b/>
          <w:color w:val="000000"/>
          <w:sz w:val="24"/>
        </w:rPr>
      </w:pPr>
      <w:r>
        <w:rPr>
          <w:rFonts w:ascii="Arial" w:eastAsia="Arial Narrow" w:hAnsi="Arial" w:cs="Arial"/>
          <w:b/>
          <w:color w:val="000000"/>
          <w:sz w:val="24"/>
        </w:rPr>
        <w:t>1.2. Introducción.</w:t>
      </w:r>
    </w:p>
    <w:p>
      <w:pPr>
        <w:pBdr>
          <w:top w:val="nil"/>
          <w:left w:val="nil"/>
          <w:bottom w:val="nil"/>
          <w:right w:val="nil"/>
          <w:between w:val="nil"/>
        </w:pBdr>
        <w:spacing w:after="0"/>
        <w:ind w:right="-56"/>
        <w:jc w:val="both"/>
        <w:rPr>
          <w:rFonts w:ascii="Arial" w:eastAsia="Bookman Old Style" w:hAnsi="Arial" w:cs="Arial"/>
          <w:color w:val="000000"/>
          <w:sz w:val="24"/>
        </w:rPr>
      </w:pPr>
    </w:p>
    <w:p>
      <w:pPr>
        <w:pBdr>
          <w:top w:val="nil"/>
          <w:left w:val="nil"/>
          <w:bottom w:val="nil"/>
          <w:right w:val="nil"/>
          <w:between w:val="nil"/>
        </w:pBdr>
        <w:spacing w:after="0"/>
        <w:ind w:right="-56"/>
        <w:jc w:val="both"/>
        <w:rPr>
          <w:rFonts w:ascii="Arial" w:eastAsia="Bookman Old Style" w:hAnsi="Arial" w:cs="Arial"/>
          <w:color w:val="000000"/>
          <w:sz w:val="24"/>
        </w:rPr>
      </w:pPr>
      <w:r>
        <w:rPr>
          <w:rFonts w:ascii="Arial" w:eastAsia="Bookman Old Style" w:hAnsi="Arial" w:cs="Arial"/>
          <w:color w:val="000000"/>
          <w:sz w:val="24"/>
        </w:rPr>
        <w:t>El día 27 de marzo del año 2020, se publicó el Decreto por el que se declaran acciones extraordinarias en las regiones afectadas de todo el territorio nacional en materia de salubridad general para combatir la enfermedad grave de atención prioritaria generada por el virus SARS-CoV2 (COVID-19), expedido por el Presidente de la República.</w:t>
      </w:r>
    </w:p>
    <w:p>
      <w:pPr>
        <w:pBdr>
          <w:top w:val="nil"/>
          <w:left w:val="nil"/>
          <w:bottom w:val="nil"/>
          <w:right w:val="nil"/>
          <w:between w:val="nil"/>
        </w:pBdr>
        <w:spacing w:after="0"/>
        <w:ind w:right="-56" w:firstLine="708"/>
        <w:jc w:val="both"/>
        <w:rPr>
          <w:rFonts w:ascii="Arial" w:eastAsia="Bookman Old Style" w:hAnsi="Arial" w:cs="Arial"/>
          <w:color w:val="000000"/>
          <w:sz w:val="24"/>
          <w:szCs w:val="24"/>
        </w:rPr>
      </w:pP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color w:val="000000"/>
          <w:sz w:val="24"/>
          <w:szCs w:val="24"/>
        </w:rPr>
        <w:t>El día 3 de abril de 2020, el Ayuntamiento Constitucional del Municipio de Tlajomulco de Zúñiga, emitió la Declaratoria de Emergencia, ante la condición de alto riesgo sanitario y socio-organizativo, generada por el virus COVID-19, adoptando en todo el territorio municipal las acciones y medidas preventivas y de mitigación que determinadas por las autoridades sanitarias del Gobierno Federal, del Gobierno del Estado de Jalisco, así como del Consejo Municipal de Salud y el Comité Municipal de Emergencia.</w:t>
      </w:r>
    </w:p>
    <w:p>
      <w:pPr>
        <w:pBdr>
          <w:top w:val="nil"/>
          <w:left w:val="nil"/>
          <w:bottom w:val="nil"/>
          <w:right w:val="nil"/>
          <w:between w:val="nil"/>
        </w:pBdr>
        <w:spacing w:after="0"/>
        <w:ind w:right="-56"/>
        <w:jc w:val="both"/>
        <w:rPr>
          <w:rFonts w:ascii="Arial" w:eastAsia="Bookman Old Style" w:hAnsi="Arial" w:cs="Arial"/>
          <w:color w:val="000000"/>
          <w:sz w:val="24"/>
          <w:szCs w:val="24"/>
        </w:rPr>
      </w:pP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Las medidas sanitarias emergentes para la mitigación de la propagación del virus COVID-19, han tenido impacto económico en diferentes sectores de la sociedad, </w:t>
      </w:r>
      <w:r>
        <w:rPr>
          <w:rFonts w:ascii="Arial" w:eastAsia="Bookman Old Style" w:hAnsi="Arial" w:cs="Arial"/>
          <w:color w:val="000000"/>
          <w:sz w:val="24"/>
          <w:szCs w:val="24"/>
        </w:rPr>
        <w:lastRenderedPageBreak/>
        <w:t>principalmente uno de ellos como es la gente que vive del turismo, esta crisis pone en riesgo el sustento económico de las familias del Municipio.</w:t>
      </w:r>
    </w:p>
    <w:p>
      <w:pPr>
        <w:pBdr>
          <w:top w:val="nil"/>
          <w:left w:val="nil"/>
          <w:bottom w:val="nil"/>
          <w:right w:val="nil"/>
          <w:between w:val="nil"/>
        </w:pBdr>
        <w:spacing w:after="0"/>
        <w:ind w:right="-56"/>
        <w:jc w:val="both"/>
        <w:rPr>
          <w:rFonts w:ascii="Arial" w:eastAsia="Bookman Old Style" w:hAnsi="Arial" w:cs="Arial"/>
          <w:color w:val="000000"/>
          <w:sz w:val="24"/>
          <w:szCs w:val="24"/>
        </w:rPr>
      </w:pP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color w:val="000000"/>
          <w:sz w:val="24"/>
          <w:szCs w:val="24"/>
        </w:rPr>
        <w:t>Por otra parte, Municipio de Tlajomulco de Zúñiga cuenta con una gran tradición y legado artesanal, en el cual se elaboran desde hace varias generaciones, piezas de alta calidad y valor cultural. El sector artesanal, es parte de la cultura e identidad de los habitantes del Municipio. Es por ello que es importante generar las condiciones que contribuyan al desarrollo económico del sector, con el fin de que prevalezca esta actividad económica.</w:t>
      </w:r>
    </w:p>
    <w:p>
      <w:pPr>
        <w:pBdr>
          <w:top w:val="nil"/>
          <w:left w:val="nil"/>
          <w:bottom w:val="nil"/>
          <w:right w:val="nil"/>
          <w:between w:val="nil"/>
        </w:pBdr>
        <w:spacing w:after="0"/>
        <w:ind w:right="-56" w:firstLine="708"/>
        <w:jc w:val="both"/>
        <w:rPr>
          <w:rFonts w:ascii="Arial" w:eastAsia="Bookman Old Style" w:hAnsi="Arial" w:cs="Arial"/>
          <w:color w:val="000000"/>
          <w:sz w:val="24"/>
          <w:szCs w:val="24"/>
        </w:rPr>
      </w:pP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color w:val="000000"/>
          <w:sz w:val="24"/>
          <w:szCs w:val="24"/>
        </w:rPr>
        <w:t>Los artesanos se agrupan en Talleres Artesanales, donde de manera individual o en conjunto realizan los procesos necesarios para la elaboración de artesanías. Se tienen registrados 125 talleres, de los cuales el 95% de ellos se encuentran en la Ribera de Cajititlán.</w:t>
      </w:r>
    </w:p>
    <w:p>
      <w:pPr>
        <w:pBdr>
          <w:top w:val="nil"/>
          <w:left w:val="nil"/>
          <w:bottom w:val="nil"/>
          <w:right w:val="nil"/>
          <w:between w:val="nil"/>
        </w:pBdr>
        <w:spacing w:after="0"/>
        <w:ind w:right="-56" w:firstLine="708"/>
        <w:jc w:val="both"/>
        <w:rPr>
          <w:rFonts w:ascii="Arial" w:eastAsia="Bookman Old Style" w:hAnsi="Arial" w:cs="Arial"/>
          <w:color w:val="000000"/>
          <w:sz w:val="24"/>
          <w:szCs w:val="24"/>
        </w:rPr>
      </w:pP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color w:val="000000"/>
          <w:sz w:val="24"/>
          <w:szCs w:val="24"/>
        </w:rPr>
        <w:t>Ante la emergencia sanitaria generada en el mundo por el virus COVID-19, el sector artesanal de Tlajomulco de Zúñiga se ha visto afectado en sus ingresos económicos. Las principales afectaciones han sido la cancelación de eventos, cierre de espacios de venta, cancelación de pedidos, suspensión de recorridos turísticos y baja afluencia de visitantes a sus poblaciones, originado que los artesanos no estén vendiendo sus piezas, por lo cual su ingreso se redujo drásticamente. Aunado a esto la mayoría de personas de este sector no cuenta con otro ingreso y viven prácticamente al día.</w:t>
      </w:r>
    </w:p>
    <w:p>
      <w:pPr>
        <w:pBdr>
          <w:top w:val="nil"/>
          <w:left w:val="nil"/>
          <w:bottom w:val="nil"/>
          <w:right w:val="nil"/>
          <w:between w:val="nil"/>
        </w:pBdr>
        <w:spacing w:after="0"/>
        <w:ind w:right="-56" w:firstLine="708"/>
        <w:jc w:val="both"/>
        <w:rPr>
          <w:rFonts w:ascii="Arial" w:eastAsia="Arial Narrow" w:hAnsi="Arial" w:cs="Arial"/>
          <w:color w:val="000000"/>
          <w:sz w:val="24"/>
          <w:szCs w:val="24"/>
        </w:rPr>
      </w:pPr>
    </w:p>
    <w:p>
      <w:pPr>
        <w:pBdr>
          <w:top w:val="nil"/>
          <w:left w:val="nil"/>
          <w:bottom w:val="nil"/>
          <w:right w:val="nil"/>
          <w:between w:val="nil"/>
        </w:pBdr>
        <w:spacing w:after="0"/>
        <w:ind w:right="-56"/>
        <w:jc w:val="both"/>
        <w:rPr>
          <w:rFonts w:ascii="Arial" w:eastAsia="Arial Narrow" w:hAnsi="Arial" w:cs="Arial"/>
          <w:color w:val="000000"/>
          <w:sz w:val="24"/>
          <w:szCs w:val="24"/>
        </w:rPr>
      </w:pPr>
      <w:r>
        <w:rPr>
          <w:rFonts w:ascii="Arial" w:eastAsia="Arial Narrow" w:hAnsi="Arial" w:cs="Arial"/>
          <w:color w:val="000000"/>
          <w:sz w:val="24"/>
          <w:szCs w:val="24"/>
        </w:rPr>
        <w:t>Debido a que la situación sanitaria, social y económica antes expuesta continua agravando con el paso de los meses, se vuelve prioritario para el Gobierno Municipal dar continuidad al Programa de Protección al Ingreso del Sector Artesanal, ahora denominado Programa de Apoyo a las Tradiciones 2021, interviniendo de forma estratégica para proteger la estabilidad económica del sector artesanal, otorgando apoyos económicos que ayuden a generar un ingreso mínimo, para atender las necesidades básicas de las familias que dependen de esta actividad, preservando la tradición artesanal del Municipio.</w:t>
      </w:r>
    </w:p>
    <w:p>
      <w:pPr>
        <w:pBdr>
          <w:top w:val="nil"/>
          <w:left w:val="nil"/>
          <w:bottom w:val="nil"/>
          <w:right w:val="nil"/>
          <w:between w:val="nil"/>
        </w:pBdr>
        <w:spacing w:after="0"/>
        <w:ind w:right="-56"/>
        <w:jc w:val="both"/>
        <w:rPr>
          <w:rFonts w:ascii="Arial" w:eastAsia="Arial Narrow" w:hAnsi="Arial" w:cs="Arial"/>
          <w:color w:val="000000"/>
          <w:sz w:val="24"/>
          <w:szCs w:val="24"/>
        </w:rPr>
      </w:pPr>
    </w:p>
    <w:p>
      <w:pPr>
        <w:pBdr>
          <w:top w:val="nil"/>
          <w:left w:val="nil"/>
          <w:bottom w:val="nil"/>
          <w:right w:val="nil"/>
          <w:between w:val="nil"/>
        </w:pBdr>
        <w:spacing w:after="0"/>
        <w:ind w:right="-56"/>
        <w:jc w:val="both"/>
        <w:rPr>
          <w:rFonts w:ascii="Arial" w:eastAsia="Arial Narrow" w:hAnsi="Arial" w:cs="Arial"/>
          <w:b/>
          <w:color w:val="000000"/>
          <w:sz w:val="24"/>
          <w:szCs w:val="24"/>
        </w:rPr>
      </w:pPr>
      <w:r>
        <w:rPr>
          <w:rFonts w:ascii="Arial" w:eastAsia="Arial Narrow" w:hAnsi="Arial" w:cs="Arial"/>
          <w:b/>
          <w:color w:val="000000"/>
          <w:sz w:val="24"/>
          <w:szCs w:val="24"/>
        </w:rPr>
        <w:t>1.3. Descripción Básica del Programa.</w:t>
      </w:r>
    </w:p>
    <w:p>
      <w:pPr>
        <w:pBdr>
          <w:top w:val="nil"/>
          <w:left w:val="nil"/>
          <w:bottom w:val="nil"/>
          <w:right w:val="nil"/>
          <w:between w:val="nil"/>
        </w:pBdr>
        <w:spacing w:after="0"/>
        <w:ind w:right="-56"/>
        <w:jc w:val="both"/>
        <w:rPr>
          <w:rFonts w:ascii="Arial" w:eastAsia="Arial Narrow" w:hAnsi="Arial" w:cs="Arial"/>
          <w:color w:val="000000"/>
          <w:sz w:val="24"/>
          <w:szCs w:val="24"/>
        </w:rPr>
      </w:pPr>
    </w:p>
    <w:p>
      <w:pPr>
        <w:pBdr>
          <w:top w:val="nil"/>
          <w:left w:val="nil"/>
          <w:bottom w:val="nil"/>
          <w:right w:val="nil"/>
          <w:between w:val="nil"/>
        </w:pBdr>
        <w:ind w:right="-56"/>
        <w:jc w:val="both"/>
        <w:rPr>
          <w:rFonts w:ascii="Arial" w:hAnsi="Arial" w:cs="Arial"/>
          <w:sz w:val="24"/>
          <w:szCs w:val="24"/>
        </w:rPr>
      </w:pPr>
      <w:r>
        <w:rPr>
          <w:rFonts w:ascii="Arial" w:eastAsia="Arial Narrow" w:hAnsi="Arial" w:cs="Arial"/>
          <w:b/>
          <w:color w:val="000000"/>
          <w:sz w:val="24"/>
          <w:szCs w:val="24"/>
        </w:rPr>
        <w:t xml:space="preserve">1.3.1. Nombre del Programa: </w:t>
      </w:r>
      <w:r>
        <w:rPr>
          <w:rFonts w:ascii="Arial" w:hAnsi="Arial" w:cs="Arial"/>
          <w:sz w:val="24"/>
          <w:szCs w:val="24"/>
        </w:rPr>
        <w:t>Programa Apoyo a las Tradiciones 2021.</w:t>
      </w: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Arial Narrow" w:hAnsi="Arial" w:cs="Arial"/>
          <w:b/>
          <w:color w:val="000000"/>
          <w:sz w:val="24"/>
          <w:szCs w:val="24"/>
        </w:rPr>
        <w:t xml:space="preserve">1.3.2. Alineación con el Plan </w:t>
      </w:r>
      <w:r>
        <w:rPr>
          <w:rFonts w:ascii="Arial" w:eastAsia="Bookman Old Style" w:hAnsi="Arial" w:cs="Arial"/>
          <w:b/>
          <w:color w:val="000000"/>
          <w:sz w:val="24"/>
          <w:szCs w:val="24"/>
        </w:rPr>
        <w:t xml:space="preserve"> Municipal de Desarrollo y Gobernanza:</w:t>
      </w:r>
      <w:r>
        <w:rPr>
          <w:rFonts w:ascii="Arial" w:eastAsia="Bookman Old Style" w:hAnsi="Arial" w:cs="Arial"/>
          <w:color w:val="000000"/>
          <w:sz w:val="24"/>
          <w:szCs w:val="24"/>
        </w:rPr>
        <w:t xml:space="preserve"> Eje 6. Desarrollo Económico punto 6.2 “Fortalecimiento de proyectos socialmente estratégicos” y Eje 8. Ciudad culta, recreativa y participativa, punto 8.3 “Política social </w:t>
      </w:r>
      <w:r>
        <w:rPr>
          <w:rFonts w:ascii="Arial" w:eastAsia="Bookman Old Style" w:hAnsi="Arial" w:cs="Arial"/>
          <w:color w:val="000000"/>
          <w:sz w:val="24"/>
          <w:szCs w:val="24"/>
        </w:rPr>
        <w:lastRenderedPageBreak/>
        <w:t>y atención a grupos en situación de vulnerabilidad” del Plan Municipal de Desarrollo y Gobernanza Tlajomulco 2018 – 2021.</w:t>
      </w:r>
    </w:p>
    <w:p>
      <w:pPr>
        <w:pBdr>
          <w:top w:val="nil"/>
          <w:left w:val="nil"/>
          <w:bottom w:val="nil"/>
          <w:right w:val="nil"/>
          <w:between w:val="nil"/>
        </w:pBdr>
        <w:spacing w:after="0"/>
        <w:ind w:right="-56"/>
        <w:jc w:val="both"/>
        <w:rPr>
          <w:rFonts w:ascii="Arial" w:eastAsia="Arial Narrow" w:hAnsi="Arial" w:cs="Arial"/>
          <w:color w:val="000000"/>
          <w:sz w:val="24"/>
          <w:szCs w:val="24"/>
        </w:rPr>
      </w:pPr>
    </w:p>
    <w:p>
      <w:p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b/>
          <w:color w:val="000000"/>
          <w:sz w:val="24"/>
          <w:szCs w:val="24"/>
        </w:rPr>
        <w:t>1.3.3. Derecho para el Desarrollo Social que Atiende:</w:t>
      </w:r>
      <w:r>
        <w:rPr>
          <w:rFonts w:ascii="Arial" w:eastAsia="Arial Narrow" w:hAnsi="Arial" w:cs="Arial"/>
          <w:color w:val="000000"/>
          <w:sz w:val="24"/>
          <w:szCs w:val="24"/>
        </w:rPr>
        <w:t xml:space="preserve"> El derecho al trabajo y seguridad social, artículo 7 fracción VI de la Ley de Desarrollo Social para el Estado de Jalisco.</w:t>
      </w:r>
    </w:p>
    <w:p>
      <w:pPr>
        <w:autoSpaceDE w:val="0"/>
        <w:autoSpaceDN w:val="0"/>
        <w:adjustRightInd w:val="0"/>
        <w:jc w:val="both"/>
        <w:rPr>
          <w:rFonts w:ascii="Arial" w:hAnsi="Arial" w:cs="Arial"/>
          <w:color w:val="000000"/>
          <w:sz w:val="24"/>
          <w:szCs w:val="24"/>
        </w:rPr>
      </w:pPr>
      <w:r>
        <w:rPr>
          <w:rFonts w:ascii="Arial" w:hAnsi="Arial" w:cs="Arial"/>
          <w:b/>
          <w:color w:val="000000"/>
          <w:sz w:val="24"/>
          <w:szCs w:val="24"/>
        </w:rPr>
        <w:t>1.3.4.</w:t>
      </w:r>
      <w:r>
        <w:rPr>
          <w:rFonts w:ascii="Arial" w:hAnsi="Arial" w:cs="Arial"/>
          <w:color w:val="000000"/>
          <w:sz w:val="24"/>
          <w:szCs w:val="24"/>
        </w:rPr>
        <w:t xml:space="preserve"> </w:t>
      </w:r>
      <w:r>
        <w:rPr>
          <w:rFonts w:ascii="Arial" w:eastAsia="Bookman Old Style" w:hAnsi="Arial" w:cs="Arial"/>
          <w:b/>
          <w:color w:val="000000"/>
          <w:sz w:val="24"/>
          <w:szCs w:val="24"/>
        </w:rPr>
        <w:t>Dependencia o Entidad Responsable</w:t>
      </w:r>
      <w:r>
        <w:rPr>
          <w:rFonts w:ascii="Arial" w:hAnsi="Arial" w:cs="Arial"/>
          <w:b/>
          <w:color w:val="000000"/>
          <w:sz w:val="24"/>
          <w:szCs w:val="24"/>
        </w:rPr>
        <w:t>:</w:t>
      </w:r>
      <w:r>
        <w:rPr>
          <w:rFonts w:ascii="Arial" w:hAnsi="Arial" w:cs="Arial"/>
          <w:color w:val="000000"/>
          <w:sz w:val="24"/>
          <w:szCs w:val="24"/>
        </w:rPr>
        <w:t xml:space="preserve"> Coordinación General de Desarrollo Económico.</w:t>
      </w:r>
    </w:p>
    <w:p>
      <w:pPr>
        <w:autoSpaceDE w:val="0"/>
        <w:autoSpaceDN w:val="0"/>
        <w:adjustRightInd w:val="0"/>
        <w:jc w:val="both"/>
        <w:rPr>
          <w:rFonts w:ascii="Arial" w:hAnsi="Arial" w:cs="Arial"/>
          <w:color w:val="000000"/>
          <w:sz w:val="24"/>
          <w:szCs w:val="24"/>
        </w:rPr>
      </w:pPr>
      <w:r>
        <w:rPr>
          <w:rFonts w:ascii="Arial" w:eastAsia="Bookman Old Style" w:hAnsi="Arial" w:cs="Arial"/>
          <w:b/>
          <w:color w:val="000000"/>
          <w:sz w:val="24"/>
          <w:szCs w:val="24"/>
        </w:rPr>
        <w:t xml:space="preserve"> 1.3.5.</w:t>
      </w:r>
      <w:r>
        <w:rPr>
          <w:rFonts w:ascii="Arial" w:eastAsia="Bookman Old Style" w:hAnsi="Arial" w:cs="Arial"/>
          <w:color w:val="000000"/>
          <w:sz w:val="24"/>
          <w:szCs w:val="24"/>
        </w:rPr>
        <w:t xml:space="preserve"> </w:t>
      </w:r>
      <w:r>
        <w:rPr>
          <w:rFonts w:ascii="Arial" w:eastAsia="Bookman Old Style" w:hAnsi="Arial" w:cs="Arial"/>
          <w:b/>
          <w:color w:val="000000"/>
          <w:sz w:val="24"/>
          <w:szCs w:val="24"/>
        </w:rPr>
        <w:t>Dirección General o Área Interna Responsable</w:t>
      </w:r>
      <w:r>
        <w:rPr>
          <w:rFonts w:ascii="Arial" w:hAnsi="Arial" w:cs="Arial"/>
          <w:b/>
          <w:color w:val="000000"/>
          <w:sz w:val="24"/>
          <w:szCs w:val="24"/>
        </w:rPr>
        <w:t>:</w:t>
      </w:r>
      <w:r>
        <w:rPr>
          <w:rFonts w:ascii="Arial" w:hAnsi="Arial" w:cs="Arial"/>
          <w:color w:val="000000"/>
          <w:sz w:val="24"/>
          <w:szCs w:val="24"/>
        </w:rPr>
        <w:t xml:space="preserve"> </w:t>
      </w:r>
      <w:r>
        <w:rPr>
          <w:rFonts w:ascii="Arial" w:hAnsi="Arial" w:cs="Arial"/>
          <w:sz w:val="24"/>
          <w:szCs w:val="24"/>
        </w:rPr>
        <w:t>Dirección General de Turismo y Promoción a las Tradiciones, por medio de la Dirección de Artesanos y Traiciones.</w:t>
      </w:r>
    </w:p>
    <w:p>
      <w:p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b/>
          <w:color w:val="000000"/>
          <w:sz w:val="24"/>
          <w:szCs w:val="24"/>
        </w:rPr>
        <w:t xml:space="preserve">1.3.6. Modalidades de Apoyo: </w:t>
      </w:r>
      <w:r>
        <w:rPr>
          <w:rFonts w:ascii="Arial" w:eastAsia="Arial Narrow" w:hAnsi="Arial" w:cs="Arial"/>
          <w:color w:val="000000"/>
          <w:sz w:val="24"/>
          <w:szCs w:val="24"/>
        </w:rPr>
        <w:t>Apoyos económicos.</w:t>
      </w:r>
    </w:p>
    <w:p>
      <w:p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b/>
          <w:color w:val="000000"/>
          <w:sz w:val="24"/>
          <w:szCs w:val="24"/>
        </w:rPr>
        <w:t xml:space="preserve">1.3.7. </w:t>
      </w:r>
      <w:r>
        <w:rPr>
          <w:rFonts w:ascii="Arial" w:eastAsia="Bookman Old Style" w:hAnsi="Arial" w:cs="Arial"/>
          <w:b/>
          <w:color w:val="000000"/>
          <w:sz w:val="24"/>
          <w:szCs w:val="24"/>
        </w:rPr>
        <w:t xml:space="preserve">Monto del presupuesto requerido para el ejercicio correspondiente: </w:t>
      </w:r>
      <w:r>
        <w:rPr>
          <w:rFonts w:ascii="Arial" w:eastAsia="Bookman Old Style" w:hAnsi="Arial" w:cs="Arial"/>
          <w:color w:val="000000"/>
          <w:sz w:val="24"/>
          <w:szCs w:val="24"/>
        </w:rPr>
        <w:t>$400,000.00 (Cuatrocientos mil pesos 00/100 moneda nacional).</w:t>
      </w:r>
    </w:p>
    <w:p>
      <w:pPr>
        <w:pBdr>
          <w:top w:val="nil"/>
          <w:left w:val="nil"/>
          <w:bottom w:val="nil"/>
          <w:right w:val="nil"/>
          <w:between w:val="nil"/>
        </w:pBdr>
        <w:ind w:right="-56"/>
        <w:jc w:val="both"/>
        <w:rPr>
          <w:rFonts w:ascii="Arial" w:eastAsia="Bookman Old Style" w:hAnsi="Arial" w:cs="Arial"/>
          <w:color w:val="000000"/>
          <w:sz w:val="24"/>
          <w:szCs w:val="24"/>
        </w:rPr>
      </w:pPr>
      <w:r>
        <w:rPr>
          <w:rFonts w:ascii="Arial" w:eastAsia="Arial Narrow" w:hAnsi="Arial" w:cs="Arial"/>
          <w:b/>
          <w:color w:val="000000"/>
          <w:sz w:val="24"/>
          <w:szCs w:val="24"/>
        </w:rPr>
        <w:t xml:space="preserve">1.3.8. Clave numérica y denominación de la partida presupuestal afectada conforme al Presupuesto de Egresos del ejercicio correspondiente: </w:t>
      </w:r>
      <w:r>
        <w:rPr>
          <w:rFonts w:ascii="Arial" w:eastAsia="Bookman Old Style" w:hAnsi="Arial" w:cs="Arial"/>
          <w:color w:val="000000"/>
          <w:sz w:val="24"/>
          <w:szCs w:val="24"/>
        </w:rPr>
        <w:t>4311 “Subsidios a la Producción”.</w:t>
      </w:r>
    </w:p>
    <w:p>
      <w:pPr>
        <w:pBdr>
          <w:top w:val="nil"/>
          <w:left w:val="nil"/>
          <w:bottom w:val="nil"/>
          <w:right w:val="nil"/>
          <w:between w:val="nil"/>
        </w:pBdr>
        <w:spacing w:after="0"/>
        <w:ind w:right="-56"/>
        <w:jc w:val="both"/>
        <w:rPr>
          <w:rFonts w:ascii="Arial" w:eastAsia="Bookman Old Style" w:hAnsi="Arial" w:cs="Arial"/>
          <w:color w:val="000000"/>
          <w:sz w:val="24"/>
          <w:szCs w:val="24"/>
        </w:rPr>
      </w:pPr>
      <w:r>
        <w:rPr>
          <w:rFonts w:ascii="Arial" w:eastAsia="Bookman Old Style" w:hAnsi="Arial" w:cs="Arial"/>
          <w:b/>
          <w:color w:val="000000"/>
          <w:sz w:val="24"/>
          <w:szCs w:val="24"/>
        </w:rPr>
        <w:t>1.3.9.</w:t>
      </w:r>
      <w:r>
        <w:rPr>
          <w:rFonts w:ascii="Arial" w:eastAsia="Bookman Old Style" w:hAnsi="Arial" w:cs="Arial"/>
          <w:color w:val="000000"/>
          <w:sz w:val="24"/>
          <w:szCs w:val="24"/>
        </w:rPr>
        <w:t xml:space="preserve"> </w:t>
      </w:r>
      <w:r>
        <w:rPr>
          <w:rFonts w:ascii="Arial" w:eastAsia="Bookman Old Style" w:hAnsi="Arial" w:cs="Arial"/>
          <w:b/>
          <w:color w:val="000000"/>
          <w:sz w:val="24"/>
          <w:szCs w:val="24"/>
        </w:rPr>
        <w:t>La ejecución del Programa:</w:t>
      </w:r>
      <w:r>
        <w:rPr>
          <w:rFonts w:ascii="Arial" w:eastAsia="Bookman Old Style" w:hAnsi="Arial" w:cs="Arial"/>
          <w:color w:val="000000"/>
          <w:sz w:val="24"/>
          <w:szCs w:val="24"/>
        </w:rPr>
        <w:t xml:space="preserve"> Está sujeta al cumplimiento de las disposiciones constitucionales y legales en material electoral, así como a las medidas de prevención que emitan las autoridades sanitarias con el motivo de la emergencia por el virus COVID-19.</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pBdr>
          <w:top w:val="nil"/>
          <w:left w:val="nil"/>
          <w:bottom w:val="nil"/>
          <w:right w:val="nil"/>
          <w:between w:val="nil"/>
        </w:pBdr>
        <w:ind w:right="-56"/>
        <w:jc w:val="center"/>
        <w:rPr>
          <w:rFonts w:ascii="Arial" w:eastAsia="Arial Narrow" w:hAnsi="Arial" w:cs="Arial"/>
          <w:b/>
          <w:color w:val="000000"/>
          <w:sz w:val="24"/>
          <w:szCs w:val="24"/>
        </w:rPr>
      </w:pPr>
      <w:r>
        <w:rPr>
          <w:rFonts w:ascii="Arial" w:eastAsia="Arial Narrow" w:hAnsi="Arial" w:cs="Arial"/>
          <w:b/>
          <w:color w:val="000000"/>
          <w:sz w:val="24"/>
          <w:szCs w:val="24"/>
        </w:rPr>
        <w:t>SECCIÓN II: INCIDENCIA</w:t>
      </w:r>
    </w:p>
    <w:p>
      <w:pPr>
        <w:ind w:right="-56"/>
        <w:jc w:val="both"/>
        <w:rPr>
          <w:rFonts w:ascii="Arial" w:eastAsia="Arial Narrow" w:hAnsi="Arial" w:cs="Arial"/>
          <w:b/>
          <w:sz w:val="24"/>
          <w:szCs w:val="24"/>
        </w:rPr>
      </w:pPr>
      <w:r>
        <w:rPr>
          <w:rFonts w:ascii="Arial" w:eastAsia="Arial Narrow" w:hAnsi="Arial" w:cs="Arial"/>
          <w:b/>
          <w:sz w:val="24"/>
          <w:szCs w:val="24"/>
        </w:rPr>
        <w:t>2.1. Objetivos.</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2.1.1. Objetivo General:</w:t>
      </w:r>
    </w:p>
    <w:p>
      <w:p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color w:val="000000"/>
          <w:sz w:val="24"/>
          <w:szCs w:val="24"/>
        </w:rPr>
        <w:t xml:space="preserve">Apoyar al sector artesanal del Municipio de Tlajomulco de Zúñiga, Jalisco, afectado en su ingreso, debido a las medidas de prevención implementadas por las autoridades para atender la emergencia sanitaria provocada por la enfermedad originada por el </w:t>
      </w:r>
      <w:r>
        <w:rPr>
          <w:rFonts w:ascii="Arial" w:hAnsi="Arial" w:cs="Arial"/>
          <w:sz w:val="24"/>
          <w:szCs w:val="24"/>
        </w:rPr>
        <w:t>virus SARS-CoV2 (COVID-19)</w:t>
      </w:r>
      <w:r>
        <w:rPr>
          <w:rFonts w:ascii="Arial" w:eastAsia="Arial Narrow" w:hAnsi="Arial" w:cs="Arial"/>
          <w:color w:val="000000"/>
          <w:sz w:val="24"/>
          <w:szCs w:val="24"/>
        </w:rPr>
        <w:t>, quedando en vulnerabilidad económica; con la finalidad de preservar las técnicas artesanales del Municipio, en un entorno de paz y corresponsabilidad.</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2.1.2. Objetivo Específico:</w:t>
      </w:r>
    </w:p>
    <w:p>
      <w:pPr>
        <w:pStyle w:val="Prrafodelista"/>
        <w:numPr>
          <w:ilvl w:val="0"/>
          <w:numId w:val="33"/>
        </w:numPr>
        <w:pBdr>
          <w:top w:val="nil"/>
          <w:left w:val="nil"/>
          <w:bottom w:val="nil"/>
          <w:right w:val="nil"/>
          <w:between w:val="nil"/>
        </w:pBdr>
        <w:ind w:left="284" w:right="-56" w:hanging="284"/>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Entregar apoyos económicos a las y los artesanos que cuenten con Talleres Artesanales del Municipio, que les permita atender las necesidades básicas de las familias que dependen de esta actividad, durante la emergencia sanitaria provocada por la enfermedad originada por el </w:t>
      </w:r>
      <w:r>
        <w:rPr>
          <w:rFonts w:ascii="Arial" w:hAnsi="Arial" w:cs="Arial"/>
          <w:sz w:val="24"/>
          <w:szCs w:val="24"/>
        </w:rPr>
        <w:t>virus COVID-19</w:t>
      </w:r>
      <w:r>
        <w:rPr>
          <w:rFonts w:ascii="Arial" w:eastAsia="Arial Narrow" w:hAnsi="Arial" w:cs="Arial"/>
          <w:color w:val="000000"/>
          <w:sz w:val="24"/>
          <w:szCs w:val="24"/>
        </w:rPr>
        <w:t>.</w:t>
      </w:r>
    </w:p>
    <w:p>
      <w:pPr>
        <w:pStyle w:val="Prrafodelista"/>
        <w:pBdr>
          <w:top w:val="nil"/>
          <w:left w:val="nil"/>
          <w:bottom w:val="nil"/>
          <w:right w:val="nil"/>
          <w:between w:val="nil"/>
        </w:pBdr>
        <w:ind w:left="284" w:right="-56" w:hanging="284"/>
        <w:jc w:val="both"/>
        <w:rPr>
          <w:rFonts w:ascii="Arial" w:eastAsia="Arial Narrow" w:hAnsi="Arial" w:cs="Arial"/>
          <w:color w:val="000000"/>
          <w:sz w:val="24"/>
          <w:szCs w:val="24"/>
        </w:rPr>
      </w:pPr>
    </w:p>
    <w:p>
      <w:pPr>
        <w:pStyle w:val="Prrafodelista"/>
        <w:numPr>
          <w:ilvl w:val="0"/>
          <w:numId w:val="33"/>
        </w:numPr>
        <w:pBdr>
          <w:top w:val="nil"/>
          <w:left w:val="nil"/>
          <w:bottom w:val="nil"/>
          <w:right w:val="nil"/>
          <w:between w:val="nil"/>
        </w:pBdr>
        <w:ind w:left="284" w:right="-56" w:hanging="284"/>
        <w:jc w:val="both"/>
        <w:rPr>
          <w:rFonts w:ascii="Arial" w:eastAsia="Arial Narrow" w:hAnsi="Arial" w:cs="Arial"/>
          <w:color w:val="000000"/>
          <w:sz w:val="24"/>
          <w:szCs w:val="24"/>
        </w:rPr>
      </w:pPr>
      <w:r>
        <w:rPr>
          <w:rFonts w:ascii="Arial" w:eastAsia="Arial Narrow" w:hAnsi="Arial" w:cs="Arial"/>
          <w:color w:val="000000"/>
          <w:sz w:val="24"/>
          <w:szCs w:val="24"/>
        </w:rPr>
        <w:t>Incorporar a las personas beneficiarias del Programa a labores comunitarias.</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2.2. Cobertura Geográfica.</w:t>
      </w:r>
    </w:p>
    <w:p>
      <w:p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color w:val="000000"/>
          <w:sz w:val="24"/>
          <w:szCs w:val="24"/>
        </w:rPr>
        <w:t>El Programa tiene cobertura en las Delegaciones y Agencias Municipales que se caracterizan por su producción artesanal.</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2.3. Población Objetivo.</w:t>
      </w:r>
    </w:p>
    <w:p>
      <w:pPr>
        <w:pBdr>
          <w:top w:val="nil"/>
          <w:left w:val="nil"/>
          <w:bottom w:val="nil"/>
          <w:right w:val="nil"/>
          <w:between w:val="nil"/>
        </w:pBdr>
        <w:ind w:right="-56"/>
        <w:jc w:val="both"/>
        <w:rPr>
          <w:rFonts w:ascii="Arial" w:eastAsia="Bookman Old Style" w:hAnsi="Arial" w:cs="Arial"/>
          <w:b/>
          <w:color w:val="000000"/>
          <w:sz w:val="24"/>
          <w:szCs w:val="24"/>
        </w:rPr>
      </w:pPr>
      <w:r>
        <w:rPr>
          <w:rFonts w:ascii="Arial" w:eastAsia="Bookman Old Style" w:hAnsi="Arial" w:cs="Arial"/>
          <w:b/>
          <w:color w:val="000000"/>
          <w:sz w:val="24"/>
          <w:szCs w:val="24"/>
        </w:rPr>
        <w:t>2.3.1. Población Potencial:</w:t>
      </w:r>
    </w:p>
    <w:p>
      <w:pPr>
        <w:pBdr>
          <w:top w:val="nil"/>
          <w:left w:val="nil"/>
          <w:bottom w:val="nil"/>
          <w:right w:val="nil"/>
          <w:between w:val="nil"/>
        </w:pBdr>
        <w:ind w:right="-56"/>
        <w:jc w:val="both"/>
        <w:rPr>
          <w:rFonts w:ascii="Arial" w:eastAsia="Bookman Old Style" w:hAnsi="Arial" w:cs="Arial"/>
          <w:color w:val="000000"/>
          <w:sz w:val="24"/>
          <w:szCs w:val="24"/>
        </w:rPr>
      </w:pPr>
      <w:r>
        <w:rPr>
          <w:rFonts w:ascii="Arial" w:eastAsia="Bookman Old Style" w:hAnsi="Arial" w:cs="Arial"/>
          <w:color w:val="000000"/>
          <w:sz w:val="24"/>
          <w:szCs w:val="24"/>
        </w:rPr>
        <w:t>Las y los artesanos del Municipio Tlajomulco de Zúñiga, Jalisco.</w:t>
      </w:r>
    </w:p>
    <w:p>
      <w:pPr>
        <w:pBdr>
          <w:top w:val="nil"/>
          <w:left w:val="nil"/>
          <w:bottom w:val="nil"/>
          <w:right w:val="nil"/>
          <w:between w:val="nil"/>
        </w:pBdr>
        <w:ind w:right="-56"/>
        <w:jc w:val="both"/>
        <w:rPr>
          <w:rFonts w:ascii="Arial" w:eastAsia="Bookman Old Style" w:hAnsi="Arial" w:cs="Arial"/>
          <w:b/>
          <w:color w:val="000000"/>
          <w:sz w:val="24"/>
          <w:szCs w:val="24"/>
        </w:rPr>
      </w:pPr>
      <w:r>
        <w:rPr>
          <w:rFonts w:ascii="Arial" w:eastAsia="Bookman Old Style" w:hAnsi="Arial" w:cs="Arial"/>
          <w:b/>
          <w:color w:val="000000"/>
          <w:sz w:val="24"/>
          <w:szCs w:val="24"/>
        </w:rPr>
        <w:t>2.3.2. Población Objetivo:</w:t>
      </w:r>
    </w:p>
    <w:p>
      <w:pPr>
        <w:ind w:right="-56"/>
        <w:jc w:val="both"/>
        <w:rPr>
          <w:rFonts w:ascii="Arial" w:eastAsia="Arial Narrow" w:hAnsi="Arial" w:cs="Arial"/>
          <w:color w:val="000000"/>
          <w:sz w:val="24"/>
          <w:szCs w:val="24"/>
        </w:rPr>
      </w:pPr>
      <w:r>
        <w:rPr>
          <w:rFonts w:ascii="Arial" w:eastAsia="Arial Narrow" w:hAnsi="Arial" w:cs="Arial"/>
          <w:sz w:val="24"/>
          <w:szCs w:val="24"/>
        </w:rPr>
        <w:t xml:space="preserve">A las y los artesanos inscritos antes de las Declaratorias de Emergencia hechas por los distintos órdenes de gobierno, en el Padrón Artesanal del Municipio de Tlajomulco de Zúñiga, Jalisco; que </w:t>
      </w:r>
      <w:r>
        <w:rPr>
          <w:rFonts w:ascii="Arial" w:eastAsia="Arial Narrow" w:hAnsi="Arial" w:cs="Arial"/>
          <w:color w:val="000000"/>
          <w:sz w:val="24"/>
          <w:szCs w:val="24"/>
        </w:rPr>
        <w:t>son afectados en su ingreso familiar, debido a las acciones implementadas por las autoridades para atender la emergencia sanitaria provocada por la enfermedad originada por la enfermedad</w:t>
      </w:r>
      <w:r>
        <w:rPr>
          <w:rFonts w:ascii="Arial" w:hAnsi="Arial" w:cs="Arial"/>
          <w:sz w:val="24"/>
          <w:szCs w:val="24"/>
        </w:rPr>
        <w:t xml:space="preserve"> COVID-19</w:t>
      </w:r>
      <w:r>
        <w:rPr>
          <w:rFonts w:ascii="Arial" w:eastAsia="Arial Narrow" w:hAnsi="Arial" w:cs="Arial"/>
          <w:color w:val="000000"/>
          <w:sz w:val="24"/>
          <w:szCs w:val="24"/>
        </w:rPr>
        <w:t>.</w:t>
      </w:r>
    </w:p>
    <w:p>
      <w:pPr>
        <w:ind w:right="-56"/>
        <w:jc w:val="both"/>
        <w:rPr>
          <w:rFonts w:ascii="Arial" w:eastAsia="Arial Narrow" w:hAnsi="Arial" w:cs="Arial"/>
          <w:color w:val="000000"/>
          <w:sz w:val="24"/>
          <w:szCs w:val="24"/>
        </w:rPr>
      </w:pPr>
      <w:r>
        <w:rPr>
          <w:rFonts w:ascii="Arial" w:eastAsia="Arial Narrow" w:hAnsi="Arial" w:cs="Arial"/>
          <w:b/>
          <w:color w:val="000000"/>
          <w:sz w:val="24"/>
          <w:szCs w:val="24"/>
        </w:rPr>
        <w:t>2.4. Características de los Beneficios.</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2.4.1.  Características de los Apoyos:</w:t>
      </w:r>
    </w:p>
    <w:p>
      <w:pPr>
        <w:pBdr>
          <w:top w:val="nil"/>
          <w:left w:val="nil"/>
          <w:bottom w:val="nil"/>
          <w:right w:val="nil"/>
          <w:between w:val="nil"/>
        </w:pBdr>
        <w:shd w:val="clear" w:color="auto" w:fill="FFFFFF"/>
        <w:spacing w:after="0"/>
        <w:jc w:val="both"/>
        <w:rPr>
          <w:rFonts w:ascii="Arial" w:eastAsia="Bookman Old Style" w:hAnsi="Arial" w:cs="Arial"/>
          <w:color w:val="000000"/>
          <w:sz w:val="24"/>
          <w:szCs w:val="24"/>
        </w:rPr>
      </w:pPr>
      <w:r>
        <w:rPr>
          <w:rFonts w:ascii="Arial" w:eastAsia="Bookman Old Style" w:hAnsi="Arial" w:cs="Arial"/>
          <w:color w:val="000000"/>
          <w:sz w:val="24"/>
          <w:szCs w:val="24"/>
        </w:rPr>
        <w:t>Se entregará un sólo apoyo por cada Taller Artesanal beneficiario por la cantidad de</w:t>
      </w:r>
      <w:r>
        <w:rPr>
          <w:rFonts w:ascii="Arial" w:hAnsi="Arial" w:cs="Arial"/>
          <w:color w:val="000000"/>
          <w:sz w:val="24"/>
          <w:szCs w:val="24"/>
        </w:rPr>
        <w:t xml:space="preserve"> $3,200.00 (Tres mil doscientos pesos 00/100 moneda nacional)</w:t>
      </w:r>
      <w:r>
        <w:rPr>
          <w:rFonts w:ascii="Arial" w:eastAsia="Bookman Old Style" w:hAnsi="Arial" w:cs="Arial"/>
          <w:color w:val="000000"/>
          <w:sz w:val="24"/>
          <w:szCs w:val="24"/>
        </w:rPr>
        <w:t xml:space="preserve"> a través de un cheque a nombre de la o el artesano titular o designado como beneficiario de cada Taller Artesanal beneficiario.</w:t>
      </w:r>
    </w:p>
    <w:p>
      <w:pPr>
        <w:pStyle w:val="NormalWeb"/>
        <w:shd w:val="clear" w:color="auto" w:fill="FFFFFF"/>
        <w:spacing w:before="0" w:beforeAutospacing="0" w:after="0"/>
        <w:jc w:val="both"/>
        <w:rPr>
          <w:rFonts w:ascii="Arial" w:hAnsi="Arial" w:cs="Arial"/>
          <w:color w:val="000000"/>
        </w:rPr>
      </w:pPr>
    </w:p>
    <w:p>
      <w:pPr>
        <w:jc w:val="both"/>
        <w:rPr>
          <w:rFonts w:ascii="Arial" w:hAnsi="Arial" w:cs="Arial"/>
          <w:b/>
          <w:sz w:val="24"/>
          <w:szCs w:val="24"/>
        </w:rPr>
      </w:pPr>
      <w:r>
        <w:rPr>
          <w:rFonts w:ascii="Arial" w:eastAsia="Arial Narrow" w:hAnsi="Arial" w:cs="Arial"/>
          <w:b/>
          <w:color w:val="000000"/>
          <w:sz w:val="24"/>
          <w:szCs w:val="24"/>
        </w:rPr>
        <w:t xml:space="preserve">2.4.2. </w:t>
      </w:r>
      <w:r>
        <w:rPr>
          <w:rFonts w:ascii="Arial" w:hAnsi="Arial" w:cs="Arial"/>
          <w:b/>
          <w:sz w:val="24"/>
          <w:szCs w:val="24"/>
        </w:rPr>
        <w:t>Temporalidad:</w:t>
      </w:r>
    </w:p>
    <w:p>
      <w:pPr>
        <w:jc w:val="both"/>
        <w:rPr>
          <w:rFonts w:ascii="Arial" w:hAnsi="Arial" w:cs="Arial"/>
          <w:sz w:val="24"/>
          <w:szCs w:val="24"/>
        </w:rPr>
      </w:pPr>
      <w:r>
        <w:rPr>
          <w:rFonts w:ascii="Arial" w:hAnsi="Arial" w:cs="Arial"/>
          <w:sz w:val="24"/>
          <w:szCs w:val="24"/>
        </w:rPr>
        <w:t>Los apoyos serán entregados por única ocasión durante el año 2021.</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2.5. Personas Beneficiarias.</w:t>
      </w: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2.5.1 Criterios de Elegibilidad:</w:t>
      </w:r>
    </w:p>
    <w:p>
      <w:pPr>
        <w:spacing w:after="0"/>
        <w:ind w:right="-56"/>
        <w:jc w:val="both"/>
        <w:rPr>
          <w:rFonts w:ascii="Arial" w:eastAsia="Bookman Old Style" w:hAnsi="Arial" w:cs="Arial"/>
          <w:sz w:val="24"/>
          <w:szCs w:val="24"/>
        </w:rPr>
      </w:pPr>
      <w:r>
        <w:rPr>
          <w:rFonts w:ascii="Arial" w:eastAsia="Bookman Old Style" w:hAnsi="Arial" w:cs="Arial"/>
          <w:sz w:val="24"/>
          <w:szCs w:val="24"/>
        </w:rPr>
        <w:lastRenderedPageBreak/>
        <w:t>a) Los apoyos se asignarán en orden cronológico conforme al momento de registro, entre las personas solicitantes que cumplan en todo lo previsto en las presentes Reglas de Operación, dentro del período que se establezca en la convocatoria respectiva y hasta por el presupuesto asignado al Programa.</w:t>
      </w:r>
    </w:p>
    <w:p>
      <w:pPr>
        <w:spacing w:after="0"/>
        <w:ind w:right="-56" w:firstLine="708"/>
        <w:jc w:val="both"/>
        <w:rPr>
          <w:rFonts w:ascii="Arial" w:eastAsia="Bookman Old Style" w:hAnsi="Arial" w:cs="Arial"/>
          <w:sz w:val="24"/>
          <w:szCs w:val="24"/>
        </w:rPr>
      </w:pPr>
    </w:p>
    <w:p>
      <w:pPr>
        <w:pBdr>
          <w:top w:val="nil"/>
          <w:left w:val="nil"/>
          <w:bottom w:val="nil"/>
          <w:right w:val="nil"/>
          <w:between w:val="nil"/>
        </w:pBdr>
        <w:spacing w:after="0"/>
        <w:ind w:right="-56"/>
        <w:jc w:val="both"/>
        <w:rPr>
          <w:rFonts w:ascii="Arial" w:eastAsia="Arial Narrow" w:hAnsi="Arial" w:cs="Arial"/>
          <w:color w:val="000000"/>
          <w:sz w:val="24"/>
          <w:szCs w:val="24"/>
        </w:rPr>
      </w:pPr>
      <w:r>
        <w:rPr>
          <w:rFonts w:ascii="Arial" w:eastAsia="Arial Narrow" w:hAnsi="Arial" w:cs="Arial"/>
          <w:color w:val="000000"/>
          <w:sz w:val="24"/>
          <w:szCs w:val="24"/>
        </w:rPr>
        <w:t>b) La asignación de los apoyos se llevará a cabo por un Comité de Dictaminación entre aquellas solicitudes que considere viables, bajo los principios de imparcialidad, igualdad, honestidad, transparencia y racionalidad.</w:t>
      </w:r>
    </w:p>
    <w:p>
      <w:pPr>
        <w:pBdr>
          <w:top w:val="nil"/>
          <w:left w:val="nil"/>
          <w:bottom w:val="nil"/>
          <w:right w:val="nil"/>
          <w:between w:val="nil"/>
        </w:pBdr>
        <w:spacing w:after="0"/>
        <w:ind w:right="-56" w:firstLine="708"/>
        <w:jc w:val="both"/>
        <w:rPr>
          <w:rFonts w:ascii="Arial" w:eastAsia="Arial Narrow" w:hAnsi="Arial" w:cs="Arial"/>
          <w:color w:val="000000"/>
          <w:sz w:val="24"/>
          <w:szCs w:val="24"/>
        </w:rPr>
      </w:pPr>
    </w:p>
    <w:p>
      <w:pPr>
        <w:pBdr>
          <w:top w:val="nil"/>
          <w:left w:val="nil"/>
          <w:bottom w:val="nil"/>
          <w:right w:val="nil"/>
          <w:between w:val="nil"/>
        </w:pBdr>
        <w:spacing w:after="0"/>
        <w:ind w:right="-56"/>
        <w:jc w:val="both"/>
        <w:rPr>
          <w:rFonts w:ascii="Arial" w:eastAsia="Arial Narrow" w:hAnsi="Arial" w:cs="Arial"/>
          <w:color w:val="000000"/>
          <w:sz w:val="24"/>
          <w:szCs w:val="24"/>
        </w:rPr>
      </w:pPr>
      <w:r>
        <w:rPr>
          <w:rFonts w:ascii="Arial" w:eastAsia="Arial Narrow" w:hAnsi="Arial" w:cs="Arial"/>
          <w:color w:val="000000"/>
          <w:sz w:val="24"/>
          <w:szCs w:val="24"/>
        </w:rPr>
        <w:t>c) Las personas beneficiarias del Programa solo podrán recibir un apoyo de este Programa durante el ejercicio fiscal 2021.</w:t>
      </w:r>
    </w:p>
    <w:p>
      <w:pPr>
        <w:pBdr>
          <w:top w:val="nil"/>
          <w:left w:val="nil"/>
          <w:bottom w:val="nil"/>
          <w:right w:val="nil"/>
          <w:between w:val="nil"/>
        </w:pBdr>
        <w:spacing w:after="0"/>
        <w:ind w:right="-56" w:firstLine="708"/>
        <w:jc w:val="both"/>
        <w:rPr>
          <w:rFonts w:ascii="Arial" w:eastAsia="Arial Narrow" w:hAnsi="Arial" w:cs="Arial"/>
          <w:color w:val="000000"/>
          <w:sz w:val="24"/>
          <w:szCs w:val="24"/>
        </w:rPr>
      </w:pPr>
      <w:r>
        <w:rPr>
          <w:rFonts w:ascii="Arial" w:eastAsia="Arial Narrow" w:hAnsi="Arial" w:cs="Arial"/>
          <w:color w:val="000000"/>
          <w:sz w:val="24"/>
          <w:szCs w:val="24"/>
        </w:rPr>
        <w:t xml:space="preserve"> </w:t>
      </w:r>
    </w:p>
    <w:p>
      <w:pPr>
        <w:pBdr>
          <w:top w:val="nil"/>
          <w:left w:val="nil"/>
          <w:bottom w:val="nil"/>
          <w:right w:val="nil"/>
          <w:between w:val="nil"/>
        </w:pBdr>
        <w:spacing w:after="0"/>
        <w:ind w:right="-56"/>
        <w:jc w:val="both"/>
        <w:rPr>
          <w:rFonts w:ascii="Arial" w:eastAsia="Arial Narrow" w:hAnsi="Arial" w:cs="Arial"/>
          <w:color w:val="000000"/>
          <w:sz w:val="24"/>
          <w:szCs w:val="24"/>
        </w:rPr>
      </w:pPr>
      <w:r>
        <w:rPr>
          <w:rFonts w:ascii="Arial" w:eastAsia="Arial Narrow" w:hAnsi="Arial" w:cs="Arial"/>
          <w:color w:val="000000"/>
          <w:sz w:val="24"/>
          <w:szCs w:val="24"/>
        </w:rPr>
        <w:t>d) Solo se podrá recibir un apoyo por cada Taller Artesanal, registrado en el Padrón Artesanal del Municipio.</w:t>
      </w:r>
    </w:p>
    <w:p>
      <w:pPr>
        <w:pBdr>
          <w:top w:val="nil"/>
          <w:left w:val="nil"/>
          <w:bottom w:val="nil"/>
          <w:right w:val="nil"/>
          <w:between w:val="nil"/>
        </w:pBdr>
        <w:spacing w:after="0"/>
        <w:ind w:right="-56" w:firstLine="708"/>
        <w:jc w:val="both"/>
        <w:rPr>
          <w:rFonts w:ascii="Arial" w:eastAsia="Arial Narrow" w:hAnsi="Arial" w:cs="Arial"/>
          <w:color w:val="000000"/>
          <w:sz w:val="24"/>
          <w:szCs w:val="24"/>
        </w:rPr>
      </w:pPr>
    </w:p>
    <w:p>
      <w:pPr>
        <w:pBdr>
          <w:top w:val="nil"/>
          <w:left w:val="nil"/>
          <w:bottom w:val="nil"/>
          <w:right w:val="nil"/>
          <w:between w:val="nil"/>
        </w:pBdr>
        <w:spacing w:after="0"/>
        <w:ind w:right="-56"/>
        <w:jc w:val="both"/>
        <w:rPr>
          <w:rFonts w:ascii="Arial" w:eastAsia="Arial Narrow" w:hAnsi="Arial" w:cs="Arial"/>
          <w:color w:val="000000"/>
          <w:sz w:val="24"/>
          <w:szCs w:val="24"/>
        </w:rPr>
      </w:pPr>
      <w:r>
        <w:rPr>
          <w:rFonts w:ascii="Arial" w:eastAsia="Arial Narrow" w:hAnsi="Arial" w:cs="Arial"/>
          <w:color w:val="000000"/>
          <w:sz w:val="24"/>
          <w:szCs w:val="24"/>
        </w:rPr>
        <w:t>e) Se excluirá a juicio del Comité de Dictaminación a las personas solicitantes que incurran en:</w:t>
      </w:r>
    </w:p>
    <w:p>
      <w:pPr>
        <w:pBdr>
          <w:top w:val="nil"/>
          <w:left w:val="nil"/>
          <w:bottom w:val="nil"/>
          <w:right w:val="nil"/>
          <w:between w:val="nil"/>
        </w:pBdr>
        <w:spacing w:after="0"/>
        <w:ind w:right="-56"/>
        <w:jc w:val="both"/>
        <w:rPr>
          <w:rFonts w:ascii="Arial" w:eastAsia="Arial Narrow" w:hAnsi="Arial" w:cs="Arial"/>
          <w:color w:val="000000"/>
          <w:sz w:val="24"/>
          <w:szCs w:val="24"/>
        </w:rPr>
      </w:pPr>
    </w:p>
    <w:p>
      <w:pPr>
        <w:pStyle w:val="Prrafodelista"/>
        <w:numPr>
          <w:ilvl w:val="0"/>
          <w:numId w:val="30"/>
        </w:num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r>
        <w:rPr>
          <w:rFonts w:ascii="Arial" w:eastAsia="Arial Narrow" w:hAnsi="Arial" w:cs="Arial"/>
          <w:color w:val="000000"/>
          <w:sz w:val="24"/>
          <w:szCs w:val="24"/>
        </w:rPr>
        <w:t>Incumplimiento en alguno de los requisitos del Programa;</w:t>
      </w:r>
    </w:p>
    <w:p>
      <w:pPr>
        <w:pStyle w:val="Prrafodelista"/>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p>
    <w:p>
      <w:pPr>
        <w:pStyle w:val="Prrafodelista"/>
        <w:numPr>
          <w:ilvl w:val="0"/>
          <w:numId w:val="30"/>
        </w:num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r>
        <w:rPr>
          <w:rFonts w:ascii="Arial" w:eastAsia="Arial Narrow" w:hAnsi="Arial" w:cs="Arial"/>
          <w:color w:val="000000"/>
          <w:sz w:val="24"/>
          <w:szCs w:val="24"/>
        </w:rPr>
        <w:t>Que se conduzca con falsedad.</w:t>
      </w:r>
    </w:p>
    <w:p>
      <w:p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p>
    <w:p>
      <w:pPr>
        <w:pStyle w:val="Prrafodelista"/>
        <w:numPr>
          <w:ilvl w:val="0"/>
          <w:numId w:val="30"/>
        </w:num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r>
        <w:rPr>
          <w:rFonts w:ascii="Arial" w:eastAsia="Arial Narrow" w:hAnsi="Arial" w:cs="Arial"/>
          <w:color w:val="000000"/>
          <w:sz w:val="24"/>
          <w:szCs w:val="24"/>
        </w:rPr>
        <w:t>Quien haya obtenido apoyos del Programa en años previos y que haya hecho mal uso o desvío de los mismos.</w:t>
      </w:r>
    </w:p>
    <w:p>
      <w:p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p>
    <w:p>
      <w:pPr>
        <w:pStyle w:val="Prrafodelista"/>
        <w:numPr>
          <w:ilvl w:val="0"/>
          <w:numId w:val="30"/>
        </w:numPr>
        <w:pBdr>
          <w:top w:val="nil"/>
          <w:left w:val="nil"/>
          <w:bottom w:val="nil"/>
          <w:right w:val="nil"/>
          <w:between w:val="nil"/>
        </w:pBdr>
        <w:tabs>
          <w:tab w:val="left" w:pos="708"/>
        </w:tabs>
        <w:spacing w:after="0" w:line="100" w:lineRule="atLeast"/>
        <w:ind w:right="-56"/>
        <w:jc w:val="both"/>
        <w:rPr>
          <w:rFonts w:ascii="Arial" w:eastAsia="Arial Narrow" w:hAnsi="Arial" w:cs="Arial"/>
          <w:color w:val="000000"/>
          <w:sz w:val="24"/>
          <w:szCs w:val="24"/>
        </w:rPr>
      </w:pPr>
      <w:r>
        <w:rPr>
          <w:rFonts w:ascii="Arial" w:eastAsia="Arial Narrow" w:hAnsi="Arial" w:cs="Arial"/>
          <w:color w:val="000000"/>
          <w:sz w:val="24"/>
          <w:szCs w:val="24"/>
        </w:rPr>
        <w:t>Incumpla con sumarse a las labores comunitarias que se organicen en el marco de otros programas municipales</w:t>
      </w:r>
    </w:p>
    <w:p>
      <w:pPr>
        <w:pStyle w:val="Prrafodelista"/>
        <w:pBdr>
          <w:top w:val="nil"/>
          <w:left w:val="nil"/>
          <w:bottom w:val="nil"/>
          <w:right w:val="nil"/>
          <w:between w:val="nil"/>
        </w:pBdr>
        <w:tabs>
          <w:tab w:val="left" w:pos="708"/>
        </w:tabs>
        <w:spacing w:after="0" w:line="100" w:lineRule="atLeast"/>
        <w:ind w:right="-56"/>
        <w:contextualSpacing w:val="0"/>
        <w:jc w:val="both"/>
        <w:rPr>
          <w:rFonts w:ascii="Arial" w:eastAsia="Arial Narrow" w:hAnsi="Arial" w:cs="Arial"/>
          <w:color w:val="000000"/>
          <w:sz w:val="24"/>
          <w:szCs w:val="24"/>
        </w:rPr>
      </w:pPr>
    </w:p>
    <w:p>
      <w:pPr>
        <w:pStyle w:val="Prrafodelista"/>
        <w:pBdr>
          <w:top w:val="nil"/>
          <w:left w:val="nil"/>
          <w:bottom w:val="nil"/>
          <w:right w:val="nil"/>
          <w:between w:val="nil"/>
        </w:pBdr>
        <w:tabs>
          <w:tab w:val="left" w:pos="0"/>
        </w:tabs>
        <w:spacing w:after="0" w:line="100" w:lineRule="atLeast"/>
        <w:ind w:left="0"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f) Las personas beneficiarias podrán acceder a los apoyos de otros Programas.</w:t>
      </w:r>
    </w:p>
    <w:p>
      <w:pPr>
        <w:pStyle w:val="Prrafodelista"/>
        <w:pBdr>
          <w:top w:val="nil"/>
          <w:left w:val="nil"/>
          <w:bottom w:val="nil"/>
          <w:right w:val="nil"/>
          <w:between w:val="nil"/>
        </w:pBdr>
        <w:tabs>
          <w:tab w:val="left" w:pos="708"/>
        </w:tabs>
        <w:spacing w:after="0" w:line="100" w:lineRule="atLeast"/>
        <w:ind w:right="-56"/>
        <w:contextualSpacing w:val="0"/>
        <w:jc w:val="both"/>
        <w:rPr>
          <w:rFonts w:ascii="Arial" w:eastAsia="Arial Narrow" w:hAnsi="Arial" w:cs="Arial"/>
          <w:color w:val="000000"/>
          <w:sz w:val="24"/>
          <w:szCs w:val="24"/>
        </w:rPr>
      </w:pPr>
    </w:p>
    <w:p>
      <w:pPr>
        <w:pBdr>
          <w:top w:val="nil"/>
          <w:left w:val="nil"/>
          <w:bottom w:val="nil"/>
          <w:right w:val="nil"/>
          <w:between w:val="nil"/>
        </w:pBdr>
        <w:ind w:right="-56"/>
        <w:jc w:val="both"/>
        <w:rPr>
          <w:rFonts w:ascii="Arial" w:eastAsia="Arial Narrow" w:hAnsi="Arial" w:cs="Arial"/>
          <w:b/>
          <w:color w:val="000000"/>
          <w:sz w:val="24"/>
          <w:szCs w:val="24"/>
        </w:rPr>
      </w:pPr>
      <w:r>
        <w:rPr>
          <w:rFonts w:ascii="Arial" w:eastAsia="Arial Narrow" w:hAnsi="Arial" w:cs="Arial"/>
          <w:b/>
          <w:color w:val="000000"/>
          <w:sz w:val="24"/>
          <w:szCs w:val="24"/>
        </w:rPr>
        <w:t>2.5.2. Requisitos:</w:t>
      </w:r>
    </w:p>
    <w:p>
      <w:pPr>
        <w:ind w:right="-56"/>
        <w:jc w:val="both"/>
        <w:rPr>
          <w:rFonts w:ascii="Arial" w:eastAsia="Arial Narrow" w:hAnsi="Arial" w:cs="Arial"/>
          <w:sz w:val="24"/>
          <w:szCs w:val="24"/>
        </w:rPr>
      </w:pPr>
      <w:r>
        <w:rPr>
          <w:rFonts w:ascii="Arial" w:eastAsia="Arial Narrow" w:hAnsi="Arial" w:cs="Arial"/>
          <w:color w:val="000000"/>
          <w:sz w:val="24"/>
          <w:szCs w:val="24"/>
        </w:rPr>
        <w:t>Las y los artesanos solicitantes deberán presentar los siguientes documentos</w:t>
      </w:r>
      <w:r>
        <w:rPr>
          <w:rFonts w:ascii="Arial" w:eastAsia="Arial Narrow" w:hAnsi="Arial" w:cs="Arial"/>
          <w:sz w:val="24"/>
          <w:szCs w:val="24"/>
        </w:rPr>
        <w:t>:</w:t>
      </w:r>
    </w:p>
    <w:p>
      <w:pPr>
        <w:pStyle w:val="Prrafodelista"/>
        <w:numPr>
          <w:ilvl w:val="0"/>
          <w:numId w:val="12"/>
        </w:numPr>
        <w:pBdr>
          <w:top w:val="nil"/>
          <w:left w:val="nil"/>
          <w:bottom w:val="nil"/>
          <w:right w:val="nil"/>
          <w:between w:val="nil"/>
        </w:pBdr>
        <w:tabs>
          <w:tab w:val="left" w:pos="708"/>
        </w:tab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 xml:space="preserve">Elaborar la Solicitud del Programa, la cual será proporcionada por la Dirección de Artesanos y Tradiciones, o bien, descargable desde el portal de internet del Gobierno Municipal </w:t>
      </w:r>
      <w:r>
        <w:rPr>
          <w:rFonts w:ascii="Arial" w:eastAsia="Arial Narrow" w:hAnsi="Arial" w:cs="Arial"/>
          <w:color w:val="0000FF"/>
          <w:sz w:val="24"/>
          <w:szCs w:val="24"/>
          <w:u w:val="single"/>
        </w:rPr>
        <w:t>www.tlajomulco.gob.mx</w:t>
      </w:r>
      <w:r>
        <w:rPr>
          <w:rFonts w:ascii="Arial" w:eastAsia="Arial Narrow" w:hAnsi="Arial" w:cs="Arial"/>
          <w:color w:val="000000"/>
          <w:sz w:val="24"/>
          <w:szCs w:val="24"/>
        </w:rPr>
        <w:t>.</w:t>
      </w:r>
    </w:p>
    <w:p>
      <w:pPr>
        <w:pStyle w:val="Prrafodelista"/>
        <w:pBdr>
          <w:top w:val="nil"/>
          <w:left w:val="nil"/>
          <w:bottom w:val="nil"/>
          <w:right w:val="nil"/>
          <w:between w:val="nil"/>
        </w:pBdr>
        <w:ind w:right="-56"/>
        <w:jc w:val="both"/>
        <w:rPr>
          <w:rFonts w:ascii="Arial" w:eastAsia="Arial Narrow" w:hAnsi="Arial" w:cs="Arial"/>
          <w:color w:val="000000"/>
          <w:sz w:val="24"/>
          <w:szCs w:val="24"/>
        </w:rPr>
      </w:pPr>
    </w:p>
    <w:p>
      <w:pPr>
        <w:pStyle w:val="Prrafodelista"/>
        <w:numPr>
          <w:ilvl w:val="0"/>
          <w:numId w:val="12"/>
        </w:numPr>
        <w:pBdr>
          <w:top w:val="nil"/>
          <w:left w:val="nil"/>
          <w:bottom w:val="nil"/>
          <w:right w:val="nil"/>
          <w:between w:val="nil"/>
        </w:pBdr>
        <w:tabs>
          <w:tab w:val="left" w:pos="708"/>
        </w:tab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Una copia de Credencial de elector vigente con domicilio en el Municipio de Tlajomulco de Zúñiga, Jalisco.</w:t>
      </w:r>
    </w:p>
    <w:p>
      <w:pPr>
        <w:pStyle w:val="Prrafodelista"/>
        <w:rPr>
          <w:rFonts w:ascii="Arial" w:eastAsia="Arial Narrow" w:hAnsi="Arial" w:cs="Arial"/>
          <w:color w:val="000000"/>
          <w:sz w:val="24"/>
          <w:szCs w:val="24"/>
        </w:rPr>
      </w:pPr>
    </w:p>
    <w:p>
      <w:pPr>
        <w:pStyle w:val="Prrafodelista"/>
        <w:numPr>
          <w:ilvl w:val="0"/>
          <w:numId w:val="12"/>
        </w:numPr>
        <w:pBdr>
          <w:top w:val="nil"/>
          <w:left w:val="nil"/>
          <w:bottom w:val="nil"/>
          <w:right w:val="nil"/>
          <w:between w:val="nil"/>
        </w:pBdr>
        <w:ind w:right="-56"/>
        <w:jc w:val="both"/>
        <w:rPr>
          <w:rFonts w:ascii="Arial" w:eastAsia="Arial Narrow" w:hAnsi="Arial" w:cs="Arial"/>
          <w:color w:val="000000"/>
          <w:sz w:val="24"/>
          <w:szCs w:val="24"/>
        </w:rPr>
      </w:pPr>
      <w:r>
        <w:rPr>
          <w:rFonts w:ascii="Arial" w:eastAsia="Arial Narrow" w:hAnsi="Arial" w:cs="Arial"/>
          <w:color w:val="000000"/>
          <w:sz w:val="24"/>
          <w:szCs w:val="24"/>
        </w:rPr>
        <w:lastRenderedPageBreak/>
        <w:t>Señalar el domicilio o ubicación del Taller Artesanal por el que solicita el apoyo.</w:t>
      </w:r>
    </w:p>
    <w:p>
      <w:pPr>
        <w:pStyle w:val="Prrafodelista"/>
        <w:rPr>
          <w:rFonts w:ascii="Arial" w:eastAsia="Arial Narrow" w:hAnsi="Arial" w:cs="Arial"/>
          <w:color w:val="000000"/>
          <w:sz w:val="24"/>
          <w:szCs w:val="24"/>
        </w:rPr>
      </w:pPr>
    </w:p>
    <w:p>
      <w:pPr>
        <w:pStyle w:val="Prrafodelista"/>
        <w:numPr>
          <w:ilvl w:val="0"/>
          <w:numId w:val="12"/>
        </w:numPr>
        <w:ind w:right="-56"/>
        <w:jc w:val="both"/>
        <w:rPr>
          <w:rFonts w:ascii="Arial" w:eastAsia="Arial Narrow" w:hAnsi="Arial" w:cs="Arial"/>
          <w:sz w:val="24"/>
          <w:szCs w:val="24"/>
        </w:rPr>
      </w:pPr>
      <w:r>
        <w:rPr>
          <w:rFonts w:ascii="Arial" w:eastAsia="Arial Narrow" w:hAnsi="Arial" w:cs="Arial"/>
          <w:sz w:val="24"/>
          <w:szCs w:val="24"/>
        </w:rPr>
        <w:t>Designar un correo electrónico o un número telefónico móvil para recibir todo tipo de notificaciones.</w:t>
      </w:r>
    </w:p>
    <w:p>
      <w:pPr>
        <w:pStyle w:val="Prrafodelista"/>
        <w:pBdr>
          <w:top w:val="nil"/>
          <w:left w:val="nil"/>
          <w:bottom w:val="nil"/>
          <w:right w:val="nil"/>
          <w:between w:val="nil"/>
        </w:pBdr>
        <w:ind w:right="-56"/>
        <w:jc w:val="both"/>
        <w:rPr>
          <w:rFonts w:ascii="Arial" w:eastAsia="Arial Narrow" w:hAnsi="Arial" w:cs="Arial"/>
          <w:color w:val="000000"/>
          <w:sz w:val="24"/>
          <w:szCs w:val="24"/>
        </w:rPr>
      </w:pPr>
    </w:p>
    <w:p>
      <w:pPr>
        <w:pStyle w:val="Prrafodelista"/>
        <w:numPr>
          <w:ilvl w:val="0"/>
          <w:numId w:val="12"/>
        </w:numPr>
        <w:spacing w:after="0"/>
        <w:ind w:right="-56"/>
        <w:jc w:val="both"/>
        <w:rPr>
          <w:rFonts w:ascii="Arial" w:eastAsia="Arial Narrow" w:hAnsi="Arial" w:cs="Arial"/>
          <w:sz w:val="24"/>
          <w:szCs w:val="24"/>
        </w:rPr>
      </w:pPr>
      <w:r>
        <w:rPr>
          <w:rFonts w:ascii="Arial" w:eastAsia="Arial Narrow" w:hAnsi="Arial" w:cs="Arial"/>
          <w:sz w:val="24"/>
          <w:szCs w:val="24"/>
        </w:rPr>
        <w:t>Evidencia fotográfica del taller artesanal, en la cual se vea de manera clara la fachada del Taller Artesanal, así como sus áreas de trabajo.</w:t>
      </w:r>
    </w:p>
    <w:p>
      <w:pPr>
        <w:tabs>
          <w:tab w:val="left" w:pos="2812"/>
        </w:tabs>
        <w:spacing w:after="0"/>
        <w:ind w:right="-56"/>
        <w:jc w:val="both"/>
        <w:rPr>
          <w:rFonts w:ascii="Arial" w:eastAsia="Arial Narrow" w:hAnsi="Arial" w:cs="Arial"/>
          <w:sz w:val="24"/>
          <w:szCs w:val="24"/>
        </w:rPr>
      </w:pPr>
      <w:r>
        <w:rPr>
          <w:rFonts w:ascii="Arial" w:eastAsia="Arial Narrow" w:hAnsi="Arial" w:cs="Arial"/>
          <w:sz w:val="24"/>
          <w:szCs w:val="24"/>
        </w:rPr>
        <w:tab/>
      </w:r>
    </w:p>
    <w:p>
      <w:pPr>
        <w:pBdr>
          <w:top w:val="nil"/>
          <w:left w:val="nil"/>
          <w:bottom w:val="nil"/>
          <w:right w:val="nil"/>
          <w:between w:val="nil"/>
        </w:pBdr>
        <w:spacing w:after="0"/>
        <w:ind w:right="-56"/>
        <w:jc w:val="both"/>
        <w:rPr>
          <w:rFonts w:ascii="Arial" w:eastAsia="Arial Narrow" w:hAnsi="Arial" w:cs="Arial"/>
          <w:b/>
          <w:color w:val="000000"/>
          <w:sz w:val="24"/>
          <w:szCs w:val="24"/>
        </w:rPr>
      </w:pPr>
      <w:r>
        <w:rPr>
          <w:rFonts w:ascii="Arial" w:eastAsia="Arial Narrow" w:hAnsi="Arial" w:cs="Arial"/>
          <w:b/>
          <w:color w:val="000000"/>
          <w:sz w:val="24"/>
          <w:szCs w:val="24"/>
        </w:rPr>
        <w:t>2.5.3. Derechos y Obligaciones de las Personas Beneficiarias:</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numPr>
          <w:ilvl w:val="0"/>
          <w:numId w:val="9"/>
        </w:numPr>
        <w:suppressAutoHyphen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Todas las personas tienen derecho a recibir un trato digno, respetuoso, oportuno, con calidad y equitativo, sin discriminación alguna.</w:t>
      </w:r>
    </w:p>
    <w:p>
      <w:pPr>
        <w:autoSpaceDE w:val="0"/>
        <w:autoSpaceDN w:val="0"/>
        <w:adjustRightInd w:val="0"/>
        <w:spacing w:after="0"/>
        <w:jc w:val="both"/>
        <w:rPr>
          <w:rFonts w:ascii="Arial" w:hAnsi="Arial" w:cs="Arial"/>
          <w:color w:val="000000"/>
          <w:sz w:val="24"/>
          <w:szCs w:val="24"/>
        </w:rPr>
      </w:pPr>
    </w:p>
    <w:p>
      <w:pPr>
        <w:numPr>
          <w:ilvl w:val="0"/>
          <w:numId w:val="9"/>
        </w:numPr>
        <w:suppressAutoHyphen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Todas las personas tienen derecho a recibir información de manera clara y oportuna sobre la realización de trámites, requisitos y otras disposiciones para participar en el programa, y de forma gratuita. </w:t>
      </w:r>
    </w:p>
    <w:p>
      <w:pPr>
        <w:autoSpaceDE w:val="0"/>
        <w:autoSpaceDN w:val="0"/>
        <w:adjustRightInd w:val="0"/>
        <w:spacing w:after="0"/>
        <w:jc w:val="both"/>
        <w:rPr>
          <w:rFonts w:ascii="Arial" w:hAnsi="Arial" w:cs="Arial"/>
          <w:color w:val="000000"/>
          <w:sz w:val="24"/>
          <w:szCs w:val="24"/>
        </w:rPr>
      </w:pPr>
    </w:p>
    <w:p>
      <w:pPr>
        <w:numPr>
          <w:ilvl w:val="0"/>
          <w:numId w:val="9"/>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Las personas beneficiarias del Programa asumen la obligación de cumplir con todas las disposiciones establecidas en las presentes Reglas de Operación, así como las medidas de prevención establecidas o que determinen las autoridades sanitarias. </w:t>
      </w:r>
    </w:p>
    <w:p>
      <w:pPr>
        <w:pStyle w:val="Prrafodelista"/>
        <w:spacing w:after="0"/>
        <w:rPr>
          <w:rFonts w:ascii="Arial" w:hAnsi="Arial" w:cs="Arial"/>
          <w:sz w:val="24"/>
          <w:szCs w:val="24"/>
        </w:rPr>
      </w:pPr>
    </w:p>
    <w:p>
      <w:pPr>
        <w:numPr>
          <w:ilvl w:val="0"/>
          <w:numId w:val="9"/>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Las y los beneficiarios del Programa realizarán trabajo comunitario para el beneficio de la delegación, agencia, población, barrio o fraccionamiento en que habiten, siguiendo los lineamientos e indicaciones de la dependencia encargada del mismo.</w:t>
      </w:r>
    </w:p>
    <w:p>
      <w:pPr>
        <w:pStyle w:val="Prrafodelista"/>
        <w:spacing w:after="0"/>
        <w:rPr>
          <w:rFonts w:ascii="Arial" w:hAnsi="Arial" w:cs="Arial"/>
          <w:sz w:val="24"/>
          <w:szCs w:val="24"/>
        </w:rPr>
      </w:pPr>
    </w:p>
    <w:p>
      <w:pPr>
        <w:numPr>
          <w:ilvl w:val="0"/>
          <w:numId w:val="9"/>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Las y los beneficiarios de este Programa participarán en las actividades que otros programas municipales definan en beneficio para la población del Municipio. </w:t>
      </w:r>
    </w:p>
    <w:p>
      <w:pPr>
        <w:suppressAutoHyphens/>
        <w:autoSpaceDE w:val="0"/>
        <w:autoSpaceDN w:val="0"/>
        <w:adjustRightInd w:val="0"/>
        <w:spacing w:after="0" w:line="240" w:lineRule="auto"/>
        <w:ind w:left="360"/>
        <w:jc w:val="both"/>
        <w:rPr>
          <w:rFonts w:ascii="Arial" w:hAnsi="Arial" w:cs="Arial"/>
          <w:sz w:val="24"/>
          <w:szCs w:val="24"/>
        </w:rPr>
      </w:pPr>
    </w:p>
    <w:p>
      <w:pPr>
        <w:pBdr>
          <w:top w:val="nil"/>
          <w:left w:val="nil"/>
          <w:bottom w:val="nil"/>
          <w:right w:val="nil"/>
          <w:between w:val="nil"/>
        </w:pBdr>
        <w:spacing w:after="0"/>
        <w:ind w:right="-56"/>
        <w:jc w:val="both"/>
        <w:rPr>
          <w:rFonts w:ascii="Arial" w:eastAsia="Arial Narrow" w:hAnsi="Arial" w:cs="Arial"/>
          <w:b/>
          <w:color w:val="000000"/>
          <w:sz w:val="24"/>
          <w:szCs w:val="24"/>
        </w:rPr>
      </w:pPr>
      <w:r>
        <w:rPr>
          <w:rFonts w:ascii="Arial" w:eastAsia="Arial Narrow" w:hAnsi="Arial" w:cs="Arial"/>
          <w:b/>
          <w:color w:val="000000"/>
          <w:sz w:val="24"/>
          <w:szCs w:val="24"/>
        </w:rPr>
        <w:t>2.6. Procesos de Operación o Instrumentación.</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pBdr>
          <w:top w:val="nil"/>
          <w:left w:val="nil"/>
          <w:bottom w:val="nil"/>
          <w:right w:val="nil"/>
          <w:between w:val="nil"/>
        </w:pBdr>
        <w:spacing w:after="0"/>
        <w:ind w:right="-56"/>
        <w:jc w:val="both"/>
        <w:rPr>
          <w:rFonts w:ascii="Arial" w:eastAsia="Arial Narrow" w:hAnsi="Arial" w:cs="Arial"/>
          <w:b/>
          <w:color w:val="000000"/>
          <w:sz w:val="24"/>
          <w:szCs w:val="24"/>
        </w:rPr>
      </w:pPr>
      <w:r>
        <w:rPr>
          <w:rFonts w:ascii="Arial" w:eastAsia="Arial Narrow" w:hAnsi="Arial" w:cs="Arial"/>
          <w:b/>
          <w:color w:val="000000"/>
          <w:sz w:val="24"/>
          <w:szCs w:val="24"/>
        </w:rPr>
        <w:t>2.6.1. Convocatoria:</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pBdr>
          <w:top w:val="nil"/>
          <w:left w:val="nil"/>
          <w:bottom w:val="nil"/>
          <w:right w:val="nil"/>
          <w:between w:val="nil"/>
        </w:pBdr>
        <w:spacing w:after="0"/>
        <w:ind w:right="-56" w:firstLine="708"/>
        <w:jc w:val="both"/>
        <w:rPr>
          <w:rFonts w:ascii="Arial" w:eastAsia="Arial Narrow" w:hAnsi="Arial" w:cs="Arial"/>
          <w:color w:val="000000"/>
          <w:sz w:val="24"/>
          <w:szCs w:val="24"/>
        </w:rPr>
      </w:pPr>
      <w:r>
        <w:rPr>
          <w:rFonts w:ascii="Arial" w:eastAsia="Arial Narrow" w:hAnsi="Arial" w:cs="Arial"/>
          <w:color w:val="000000"/>
          <w:sz w:val="24"/>
          <w:szCs w:val="24"/>
        </w:rPr>
        <w:t>Se realizará la publicación de la convocatoria pública y abierta a la población objetivo del Programa en el portal de internet del Gobierno Municipal www.tlajomulco.gob.mx bajo los siguientes puntos:</w:t>
      </w:r>
    </w:p>
    <w:p>
      <w:pPr>
        <w:pBdr>
          <w:top w:val="nil"/>
          <w:left w:val="nil"/>
          <w:bottom w:val="nil"/>
          <w:right w:val="nil"/>
          <w:between w:val="nil"/>
        </w:pBdr>
        <w:spacing w:after="0"/>
        <w:ind w:right="-56" w:firstLine="708"/>
        <w:jc w:val="both"/>
        <w:rPr>
          <w:rFonts w:ascii="Arial" w:eastAsia="Arial Narrow" w:hAnsi="Arial" w:cs="Arial"/>
          <w:color w:val="000000"/>
          <w:sz w:val="24"/>
          <w:szCs w:val="24"/>
        </w:rPr>
      </w:pPr>
    </w:p>
    <w:p>
      <w:pPr>
        <w:pBdr>
          <w:top w:val="nil"/>
          <w:left w:val="nil"/>
          <w:bottom w:val="nil"/>
          <w:right w:val="nil"/>
          <w:between w:val="nil"/>
        </w:pBdr>
        <w:spacing w:after="0"/>
        <w:ind w:left="709" w:right="-56" w:hanging="283"/>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a) El Presidente Municipal emitirá una convocatoria para el otorgamiento de los apoyos que se publicarán en el portal del Gobierno Municipal: www.tlajomulco.gob.mx en la que se establecerán los medios tecnológicos, </w:t>
      </w:r>
      <w:r>
        <w:rPr>
          <w:rFonts w:ascii="Arial" w:eastAsia="Arial Narrow" w:hAnsi="Arial" w:cs="Arial"/>
          <w:sz w:val="24"/>
          <w:szCs w:val="24"/>
        </w:rPr>
        <w:t>a través de los cuales podrán llevar a cabo las gestiones del Programa, en la medida de lo posible y para cumplir con la medida de aislamiento social durante la emergencia sanitaria.</w:t>
      </w:r>
    </w:p>
    <w:p>
      <w:pPr>
        <w:pBdr>
          <w:top w:val="nil"/>
          <w:left w:val="nil"/>
          <w:bottom w:val="nil"/>
          <w:right w:val="nil"/>
          <w:between w:val="nil"/>
        </w:pBdr>
        <w:spacing w:after="0"/>
        <w:ind w:left="709" w:right="-56" w:hanging="283"/>
        <w:jc w:val="both"/>
        <w:rPr>
          <w:rFonts w:ascii="Arial" w:eastAsia="Arial Narrow" w:hAnsi="Arial" w:cs="Arial"/>
          <w:color w:val="000000"/>
          <w:sz w:val="24"/>
          <w:szCs w:val="24"/>
        </w:rPr>
      </w:pPr>
    </w:p>
    <w:p>
      <w:pPr>
        <w:pBdr>
          <w:top w:val="nil"/>
          <w:left w:val="nil"/>
          <w:bottom w:val="nil"/>
          <w:right w:val="nil"/>
          <w:between w:val="nil"/>
        </w:pBdr>
        <w:spacing w:after="0"/>
        <w:ind w:left="709" w:right="-56" w:hanging="283"/>
        <w:jc w:val="both"/>
        <w:rPr>
          <w:rFonts w:ascii="Arial" w:eastAsia="Arial Narrow" w:hAnsi="Arial" w:cs="Arial"/>
          <w:color w:val="000000"/>
          <w:sz w:val="24"/>
          <w:szCs w:val="24"/>
        </w:rPr>
      </w:pPr>
      <w:r>
        <w:rPr>
          <w:rFonts w:ascii="Arial" w:eastAsia="Arial Narrow" w:hAnsi="Arial" w:cs="Arial"/>
          <w:color w:val="000000"/>
          <w:sz w:val="24"/>
          <w:szCs w:val="24"/>
        </w:rPr>
        <w:t xml:space="preserve">b) La Dirección de Artesanos y Tradiciones será responsable de la difusión del Programa, la recepción de solicitudes, integración de expedientes de acuerdo a las disposiciones previstas en la legislación en materia de archivos, así como de la atención a las personas solicitantes. </w:t>
      </w:r>
    </w:p>
    <w:p>
      <w:pPr>
        <w:pBdr>
          <w:top w:val="nil"/>
          <w:left w:val="nil"/>
          <w:bottom w:val="nil"/>
          <w:right w:val="nil"/>
          <w:between w:val="nil"/>
        </w:pBdr>
        <w:spacing w:after="0"/>
        <w:ind w:left="709" w:right="-56" w:hanging="283"/>
        <w:jc w:val="both"/>
        <w:rPr>
          <w:rFonts w:ascii="Arial" w:eastAsia="Arial Narrow" w:hAnsi="Arial" w:cs="Arial"/>
          <w:color w:val="000000"/>
          <w:sz w:val="24"/>
          <w:szCs w:val="24"/>
        </w:rPr>
      </w:pPr>
    </w:p>
    <w:p>
      <w:pPr>
        <w:pBdr>
          <w:top w:val="nil"/>
          <w:left w:val="nil"/>
          <w:bottom w:val="nil"/>
          <w:right w:val="nil"/>
          <w:between w:val="nil"/>
        </w:pBdr>
        <w:spacing w:after="0"/>
        <w:ind w:right="-56"/>
        <w:jc w:val="both"/>
        <w:rPr>
          <w:rFonts w:ascii="Arial" w:eastAsia="Arial Narrow" w:hAnsi="Arial" w:cs="Arial"/>
          <w:b/>
          <w:color w:val="000000"/>
          <w:sz w:val="24"/>
          <w:szCs w:val="24"/>
        </w:rPr>
      </w:pPr>
      <w:r>
        <w:rPr>
          <w:rFonts w:ascii="Arial" w:hAnsi="Arial" w:cs="Arial"/>
          <w:b/>
          <w:sz w:val="24"/>
          <w:szCs w:val="24"/>
        </w:rPr>
        <w:t xml:space="preserve">2.6.2. </w:t>
      </w:r>
      <w:r>
        <w:rPr>
          <w:rFonts w:ascii="Arial" w:eastAsia="Arial Narrow" w:hAnsi="Arial" w:cs="Arial"/>
          <w:b/>
          <w:color w:val="000000"/>
          <w:sz w:val="24"/>
          <w:szCs w:val="24"/>
        </w:rPr>
        <w:t>Procedimiento para la Inscripción al Programa:</w:t>
      </w:r>
    </w:p>
    <w:p>
      <w:pPr>
        <w:pBdr>
          <w:top w:val="nil"/>
          <w:left w:val="nil"/>
          <w:bottom w:val="nil"/>
          <w:right w:val="nil"/>
          <w:between w:val="nil"/>
        </w:pBdr>
        <w:spacing w:after="0"/>
        <w:ind w:right="-56"/>
        <w:jc w:val="both"/>
        <w:rPr>
          <w:rFonts w:ascii="Arial" w:eastAsia="Arial Narrow" w:hAnsi="Arial" w:cs="Arial"/>
          <w:b/>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 xml:space="preserve">Dentro del periodo que se establezca en la convocatoria, las solicitudes se presentarán preferentemente a través del correo electrónico </w:t>
      </w:r>
      <w:r>
        <w:rPr>
          <w:rFonts w:ascii="Arial" w:eastAsia="Arial Narrow" w:hAnsi="Arial" w:cs="Arial"/>
          <w:sz w:val="24"/>
          <w:szCs w:val="24"/>
        </w:rPr>
        <w:t>daniel.acosta@outlook.com</w:t>
      </w:r>
      <w:r>
        <w:rPr>
          <w:rFonts w:ascii="Arial" w:eastAsia="Arial Narrow" w:hAnsi="Arial" w:cs="Arial"/>
          <w:color w:val="000000"/>
          <w:sz w:val="24"/>
          <w:szCs w:val="24"/>
        </w:rPr>
        <w:t xml:space="preserve"> o teléfono 33-32-83-44-00 extensión 3212 y 3213, mediante el uso de aplicaciones que lo permitan, sin embargo, podrán presentarse de forma presencial de manera excepcional previa cita concertada en los teléfonos que establezca la convocatoria,  en las oficinas de la Dirección </w:t>
      </w:r>
      <w:r>
        <w:rPr>
          <w:rFonts w:ascii="Arial" w:hAnsi="Arial" w:cs="Arial"/>
          <w:sz w:val="24"/>
          <w:szCs w:val="24"/>
        </w:rPr>
        <w:t>de Artesanos y Tradiciones,</w:t>
      </w:r>
      <w:r>
        <w:rPr>
          <w:rFonts w:ascii="Arial" w:eastAsia="Arial Narrow" w:hAnsi="Arial" w:cs="Arial"/>
          <w:color w:val="000000"/>
          <w:sz w:val="24"/>
          <w:szCs w:val="24"/>
        </w:rPr>
        <w:t xml:space="preserve"> ubicadas en la Calle Zaragoza #9 Casa de la Cultura en la Plaza Municipal de Tlajomulco de Zúñiga, Jalisco Colonia Centro dentro del horario de 9:00 AM a las 15:00 PM, de lunes a viernes.</w:t>
      </w:r>
    </w:p>
    <w:p>
      <w:pPr>
        <w:pStyle w:val="Prrafodelista"/>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Las y los artesanos solicitantes deberán entregarán la documentación requerida en las presentes Reglas de Operación al presentar sus respectivas solicitudes.</w:t>
      </w:r>
    </w:p>
    <w:p>
      <w:pPr>
        <w:pStyle w:val="Prrafodelista"/>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A cada solicitud se le asignará un número de registro.</w:t>
      </w:r>
    </w:p>
    <w:p>
      <w:pPr>
        <w:pStyle w:val="Prrafodelista"/>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 xml:space="preserve">Los solicitantes podrán validar su inscripción vía telefónica al teléfono 32834400, en la extensión 3212 o 3213. </w:t>
      </w:r>
    </w:p>
    <w:p>
      <w:pPr>
        <w:pStyle w:val="Prrafodelista"/>
        <w:pBdr>
          <w:top w:val="nil"/>
          <w:left w:val="nil"/>
          <w:bottom w:val="nil"/>
          <w:right w:val="nil"/>
          <w:between w:val="nil"/>
        </w:pBdr>
        <w:spacing w:after="0"/>
        <w:ind w:right="-56"/>
        <w:jc w:val="both"/>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Una vez realizado el registro y verificado que se cumpla con lo establecido en las Reglas de Operación del Programa, la Dirección de Artesanos y Tradiciones notificará vía correo electrónico la Constancia de Inscripción o también lo podrá realizar la notificación vía las plataformas de telecomunicaciones con las que cuente el número de teléfono móvil.</w:t>
      </w:r>
    </w:p>
    <w:p>
      <w:pPr>
        <w:pStyle w:val="Prrafodelista"/>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t>En caso de incumplir con algún requisito, le será requerido por dicha vía en el plazo de 5 días hábiles.</w:t>
      </w:r>
    </w:p>
    <w:p>
      <w:pPr>
        <w:pStyle w:val="Prrafodelista"/>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p>
    <w:p>
      <w:pPr>
        <w:pStyle w:val="Prrafodelista"/>
        <w:numPr>
          <w:ilvl w:val="0"/>
          <w:numId w:val="13"/>
        </w:numPr>
        <w:pBdr>
          <w:top w:val="nil"/>
          <w:left w:val="nil"/>
          <w:bottom w:val="nil"/>
          <w:right w:val="nil"/>
          <w:between w:val="nil"/>
        </w:pBdr>
        <w:tabs>
          <w:tab w:val="left" w:pos="708"/>
        </w:tabs>
        <w:suppressAutoHyphens/>
        <w:spacing w:after="0" w:line="100" w:lineRule="atLeast"/>
        <w:ind w:right="-56"/>
        <w:contextualSpacing w:val="0"/>
        <w:jc w:val="both"/>
        <w:rPr>
          <w:rFonts w:ascii="Arial" w:eastAsia="Arial Narrow" w:hAnsi="Arial" w:cs="Arial"/>
          <w:color w:val="000000"/>
          <w:sz w:val="24"/>
          <w:szCs w:val="24"/>
        </w:rPr>
      </w:pPr>
      <w:r>
        <w:rPr>
          <w:rFonts w:ascii="Arial" w:eastAsia="Arial Narrow" w:hAnsi="Arial" w:cs="Arial"/>
          <w:color w:val="000000"/>
          <w:sz w:val="24"/>
          <w:szCs w:val="24"/>
        </w:rPr>
        <w:lastRenderedPageBreak/>
        <w:t xml:space="preserve">De ser necesario la Dirección </w:t>
      </w:r>
      <w:r>
        <w:rPr>
          <w:rFonts w:ascii="Arial" w:hAnsi="Arial" w:cs="Arial"/>
          <w:sz w:val="24"/>
          <w:szCs w:val="24"/>
        </w:rPr>
        <w:t>de Artesanos y Tradiciones se comunicara vía telefónica para corroborar la información y personalidad del solicitante.</w:t>
      </w:r>
    </w:p>
    <w:p>
      <w:pPr>
        <w:pStyle w:val="Prrafodelista"/>
        <w:pBdr>
          <w:top w:val="nil"/>
          <w:left w:val="nil"/>
          <w:bottom w:val="nil"/>
          <w:right w:val="nil"/>
          <w:between w:val="nil"/>
        </w:pBdr>
        <w:spacing w:after="0"/>
        <w:ind w:right="-56"/>
        <w:jc w:val="both"/>
        <w:rPr>
          <w:rFonts w:ascii="Arial" w:eastAsia="Arial Narrow" w:hAnsi="Arial" w:cs="Arial"/>
          <w:color w:val="000000"/>
          <w:sz w:val="24"/>
          <w:szCs w:val="24"/>
        </w:rPr>
      </w:pPr>
    </w:p>
    <w:p>
      <w:pPr>
        <w:pStyle w:val="Prrafodelista"/>
        <w:numPr>
          <w:ilvl w:val="2"/>
          <w:numId w:val="23"/>
        </w:numPr>
        <w:pBdr>
          <w:top w:val="nil"/>
          <w:left w:val="nil"/>
          <w:bottom w:val="nil"/>
          <w:right w:val="nil"/>
          <w:between w:val="nil"/>
        </w:pBdr>
        <w:spacing w:after="0"/>
        <w:ind w:right="-56"/>
        <w:jc w:val="both"/>
        <w:rPr>
          <w:rFonts w:ascii="Arial" w:hAnsi="Arial" w:cs="Arial"/>
          <w:sz w:val="24"/>
          <w:szCs w:val="24"/>
        </w:rPr>
      </w:pPr>
      <w:r>
        <w:rPr>
          <w:rFonts w:ascii="Arial" w:hAnsi="Arial" w:cs="Arial"/>
          <w:b/>
          <w:sz w:val="24"/>
          <w:szCs w:val="24"/>
        </w:rPr>
        <w:t>Periodo de Inscripción al Programa.</w:t>
      </w:r>
    </w:p>
    <w:p>
      <w:pPr>
        <w:pBdr>
          <w:top w:val="nil"/>
          <w:left w:val="nil"/>
          <w:bottom w:val="nil"/>
          <w:right w:val="nil"/>
          <w:between w:val="nil"/>
        </w:pBdr>
        <w:spacing w:after="0"/>
        <w:ind w:right="-56"/>
        <w:jc w:val="both"/>
        <w:rPr>
          <w:rFonts w:ascii="Arial" w:hAnsi="Arial" w:cs="Arial"/>
          <w:sz w:val="24"/>
          <w:szCs w:val="24"/>
        </w:rPr>
      </w:pPr>
    </w:p>
    <w:p>
      <w:pPr>
        <w:pBdr>
          <w:top w:val="nil"/>
          <w:left w:val="nil"/>
          <w:bottom w:val="nil"/>
          <w:right w:val="nil"/>
          <w:between w:val="nil"/>
        </w:pBdr>
        <w:spacing w:after="0"/>
        <w:ind w:right="-56" w:firstLine="708"/>
        <w:jc w:val="both"/>
        <w:rPr>
          <w:rFonts w:ascii="Arial" w:eastAsia="Arial Narrow" w:hAnsi="Arial" w:cs="Arial"/>
          <w:color w:val="000000"/>
          <w:sz w:val="24"/>
          <w:szCs w:val="24"/>
        </w:rPr>
      </w:pPr>
      <w:r>
        <w:rPr>
          <w:rFonts w:ascii="Arial" w:hAnsi="Arial" w:cs="Arial"/>
          <w:sz w:val="24"/>
          <w:szCs w:val="24"/>
        </w:rPr>
        <w:t>A partir de la publicación de la convocatoria respectiva y dentro del periodo que se determine en la misma, la Dirección de Artesanos y Tradiciones, realizará la inscripción y recepción de la documentación de los solicitantes al Programa.</w:t>
      </w:r>
    </w:p>
    <w:p>
      <w:pPr>
        <w:spacing w:after="0"/>
        <w:ind w:right="49"/>
        <w:jc w:val="both"/>
        <w:rPr>
          <w:rFonts w:ascii="Arial" w:hAnsi="Arial" w:cs="Arial"/>
          <w:b/>
          <w:bCs/>
          <w:sz w:val="24"/>
          <w:szCs w:val="24"/>
        </w:rPr>
      </w:pPr>
    </w:p>
    <w:p>
      <w:pPr>
        <w:spacing w:after="0"/>
        <w:ind w:right="49"/>
        <w:jc w:val="both"/>
        <w:rPr>
          <w:rFonts w:ascii="Arial" w:hAnsi="Arial" w:cs="Arial"/>
          <w:b/>
          <w:sz w:val="24"/>
          <w:szCs w:val="24"/>
        </w:rPr>
      </w:pPr>
      <w:r>
        <w:rPr>
          <w:rFonts w:ascii="Arial" w:hAnsi="Arial" w:cs="Arial"/>
          <w:b/>
          <w:bCs/>
          <w:sz w:val="24"/>
          <w:szCs w:val="24"/>
        </w:rPr>
        <w:t xml:space="preserve">2.6.4. </w:t>
      </w:r>
      <w:r>
        <w:rPr>
          <w:rFonts w:ascii="Arial" w:hAnsi="Arial" w:cs="Arial"/>
          <w:b/>
          <w:sz w:val="24"/>
          <w:szCs w:val="24"/>
        </w:rPr>
        <w:t>Comité Dictaminador.</w:t>
      </w:r>
    </w:p>
    <w:p>
      <w:pPr>
        <w:spacing w:after="0"/>
        <w:ind w:right="49"/>
        <w:jc w:val="both"/>
        <w:rPr>
          <w:rFonts w:ascii="Arial" w:hAnsi="Arial" w:cs="Arial"/>
          <w:b/>
          <w:sz w:val="24"/>
          <w:szCs w:val="24"/>
        </w:rPr>
      </w:pPr>
    </w:p>
    <w:p>
      <w:pPr>
        <w:pStyle w:val="Prrafodelista"/>
        <w:numPr>
          <w:ilvl w:val="0"/>
          <w:numId w:val="20"/>
        </w:numPr>
        <w:spacing w:after="0"/>
        <w:ind w:left="0" w:right="49" w:firstLine="0"/>
        <w:jc w:val="both"/>
        <w:rPr>
          <w:rFonts w:ascii="Arial" w:hAnsi="Arial" w:cs="Arial"/>
          <w:b/>
          <w:bCs/>
          <w:sz w:val="24"/>
          <w:szCs w:val="24"/>
        </w:rPr>
      </w:pPr>
      <w:r>
        <w:rPr>
          <w:rFonts w:ascii="Arial" w:hAnsi="Arial" w:cs="Arial"/>
          <w:b/>
          <w:bCs/>
          <w:sz w:val="24"/>
          <w:szCs w:val="24"/>
        </w:rPr>
        <w:t>De la Integración:</w:t>
      </w:r>
    </w:p>
    <w:p>
      <w:pPr>
        <w:spacing w:after="0"/>
        <w:jc w:val="both"/>
        <w:rPr>
          <w:rFonts w:ascii="Arial" w:hAnsi="Arial" w:cs="Arial"/>
          <w:sz w:val="24"/>
          <w:szCs w:val="24"/>
        </w:rPr>
      </w:pPr>
    </w:p>
    <w:p>
      <w:pPr>
        <w:spacing w:after="0"/>
        <w:ind w:firstLine="709"/>
        <w:jc w:val="both"/>
        <w:rPr>
          <w:rFonts w:ascii="Arial" w:hAnsi="Arial" w:cs="Arial"/>
          <w:sz w:val="24"/>
          <w:szCs w:val="24"/>
        </w:rPr>
      </w:pPr>
      <w:r>
        <w:rPr>
          <w:rFonts w:ascii="Arial" w:hAnsi="Arial" w:cs="Arial"/>
          <w:sz w:val="24"/>
          <w:szCs w:val="24"/>
        </w:rPr>
        <w:t>El Programa cuenta con un Comité que tiene como objetivo dictaminar la entrega de los apoyos y evaluar los resultados del mismo, el cual está integrado de la siguiente manera:</w:t>
      </w:r>
    </w:p>
    <w:p>
      <w:pPr>
        <w:spacing w:after="0"/>
        <w:ind w:firstLine="709"/>
        <w:jc w:val="both"/>
        <w:rPr>
          <w:rFonts w:ascii="Arial" w:hAnsi="Arial" w:cs="Arial"/>
          <w:sz w:val="24"/>
          <w:szCs w:val="24"/>
        </w:rPr>
      </w:pPr>
    </w:p>
    <w:p>
      <w:pPr>
        <w:numPr>
          <w:ilvl w:val="0"/>
          <w:numId w:val="27"/>
        </w:numPr>
        <w:suppressAutoHyphens/>
        <w:spacing w:after="0" w:line="240" w:lineRule="auto"/>
        <w:contextualSpacing/>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La o el titular de la Coordinación General de Desarrollo Económico y Combate a la Desigualdad, quien presidirá el Comité.</w:t>
      </w:r>
    </w:p>
    <w:p>
      <w:pPr>
        <w:tabs>
          <w:tab w:val="left" w:pos="708"/>
        </w:tabs>
        <w:spacing w:after="0"/>
        <w:ind w:left="720"/>
        <w:contextualSpacing/>
        <w:jc w:val="both"/>
        <w:rPr>
          <w:rFonts w:ascii="Arial" w:eastAsia="Times New Roman" w:hAnsi="Arial" w:cs="Arial"/>
          <w:sz w:val="24"/>
          <w:szCs w:val="24"/>
          <w:lang w:val="es-ES" w:eastAsia="ar-SA"/>
        </w:rPr>
      </w:pPr>
    </w:p>
    <w:p>
      <w:pPr>
        <w:numPr>
          <w:ilvl w:val="0"/>
          <w:numId w:val="27"/>
        </w:numPr>
        <w:suppressAutoHyphens/>
        <w:spacing w:after="0" w:line="240" w:lineRule="auto"/>
        <w:contextualSpacing/>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 xml:space="preserve">La Regidora o Regidor, titular de la Presidencia de la Comisión Edilicia de Cultura e Identidad Tlajomulquense, con el carácter de Vocal. </w:t>
      </w:r>
    </w:p>
    <w:p>
      <w:pPr>
        <w:tabs>
          <w:tab w:val="left" w:pos="708"/>
        </w:tabs>
        <w:spacing w:after="0"/>
        <w:ind w:left="720"/>
        <w:contextualSpacing/>
        <w:jc w:val="both"/>
        <w:rPr>
          <w:rFonts w:ascii="Arial" w:eastAsia="Times New Roman" w:hAnsi="Arial" w:cs="Arial"/>
          <w:sz w:val="24"/>
          <w:szCs w:val="24"/>
          <w:lang w:val="es-ES" w:eastAsia="ar-SA"/>
        </w:rPr>
      </w:pPr>
    </w:p>
    <w:p>
      <w:pPr>
        <w:numPr>
          <w:ilvl w:val="0"/>
          <w:numId w:val="27"/>
        </w:numPr>
        <w:tabs>
          <w:tab w:val="left" w:pos="708"/>
        </w:tabs>
        <w:suppressAutoHyphens/>
        <w:spacing w:after="0" w:line="240" w:lineRule="auto"/>
        <w:contextualSpacing/>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La o el titular de la Tesorería Municipal, con el carácter de Vocal.</w:t>
      </w:r>
    </w:p>
    <w:p>
      <w:pPr>
        <w:spacing w:after="0"/>
        <w:ind w:left="720"/>
        <w:contextualSpacing/>
        <w:jc w:val="both"/>
        <w:rPr>
          <w:rFonts w:ascii="Arial" w:eastAsia="Times New Roman" w:hAnsi="Arial" w:cs="Arial"/>
          <w:sz w:val="24"/>
          <w:szCs w:val="24"/>
          <w:lang w:val="es-ES" w:eastAsia="ar-SA"/>
        </w:rPr>
      </w:pPr>
    </w:p>
    <w:p>
      <w:pPr>
        <w:numPr>
          <w:ilvl w:val="0"/>
          <w:numId w:val="27"/>
        </w:numPr>
        <w:suppressAutoHyphens/>
        <w:spacing w:after="0" w:line="240" w:lineRule="auto"/>
        <w:contextualSpacing/>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La o el titular de la Dirección General de Turismo y Promoción a las Tradiciones, con el carácter de Secretario Técnico.</w:t>
      </w:r>
    </w:p>
    <w:p>
      <w:pPr>
        <w:tabs>
          <w:tab w:val="left" w:pos="708"/>
        </w:tabs>
        <w:spacing w:after="0"/>
        <w:ind w:left="720"/>
        <w:contextualSpacing/>
        <w:jc w:val="both"/>
        <w:rPr>
          <w:rFonts w:ascii="Arial" w:eastAsia="Times New Roman" w:hAnsi="Arial" w:cs="Arial"/>
          <w:sz w:val="24"/>
          <w:szCs w:val="24"/>
          <w:lang w:val="es-ES" w:eastAsia="ar-SA"/>
        </w:rPr>
      </w:pPr>
    </w:p>
    <w:p>
      <w:pPr>
        <w:numPr>
          <w:ilvl w:val="0"/>
          <w:numId w:val="27"/>
        </w:numPr>
        <w:suppressAutoHyphens/>
        <w:spacing w:after="0" w:line="240" w:lineRule="auto"/>
        <w:contextualSpacing/>
        <w:jc w:val="both"/>
        <w:rPr>
          <w:rFonts w:ascii="Arial" w:eastAsia="Times New Roman" w:hAnsi="Arial" w:cs="Arial"/>
          <w:sz w:val="24"/>
          <w:szCs w:val="24"/>
          <w:lang w:val="es-ES" w:eastAsia="ar-SA"/>
        </w:rPr>
      </w:pPr>
      <w:r>
        <w:rPr>
          <w:rFonts w:ascii="Arial" w:eastAsia="Times New Roman" w:hAnsi="Arial" w:cs="Arial"/>
          <w:sz w:val="24"/>
          <w:szCs w:val="24"/>
          <w:lang w:val="es-ES" w:eastAsia="ar-SA"/>
        </w:rPr>
        <w:t>La o el titular de la Dirección de Artesanos y Tradiciones, con el carácter de Vocal.</w:t>
      </w:r>
    </w:p>
    <w:p>
      <w:pPr>
        <w:suppressAutoHyphens/>
        <w:spacing w:after="0" w:line="240" w:lineRule="auto"/>
        <w:contextualSpacing/>
        <w:jc w:val="both"/>
        <w:rPr>
          <w:rFonts w:ascii="Arial" w:eastAsia="Times New Roman" w:hAnsi="Arial" w:cs="Arial"/>
          <w:sz w:val="24"/>
          <w:szCs w:val="24"/>
          <w:lang w:val="es-ES" w:eastAsia="ar-SA"/>
        </w:rPr>
      </w:pPr>
    </w:p>
    <w:p>
      <w:pPr>
        <w:autoSpaceDE w:val="0"/>
        <w:autoSpaceDN w:val="0"/>
        <w:adjustRightInd w:val="0"/>
        <w:spacing w:after="0"/>
        <w:jc w:val="both"/>
        <w:rPr>
          <w:rFonts w:ascii="Arial" w:hAnsi="Arial" w:cs="Arial"/>
          <w:sz w:val="24"/>
          <w:szCs w:val="24"/>
        </w:rPr>
      </w:pPr>
      <w:r>
        <w:rPr>
          <w:rFonts w:ascii="Arial" w:hAnsi="Arial" w:cs="Arial"/>
          <w:sz w:val="24"/>
          <w:szCs w:val="24"/>
        </w:rPr>
        <w:t>Cada integrante del Comité podrá designar a un servidor público para que lo sustituya en sus funciones, para suplir la ausencia de la Regidora o Regidor que presida la Comisión Edilicia de Cultura e Identidad Tlajomulquense, dicha Comisión designará a un suplente de entre sus miembros.</w:t>
      </w:r>
    </w:p>
    <w:p>
      <w:pPr>
        <w:autoSpaceDE w:val="0"/>
        <w:autoSpaceDN w:val="0"/>
        <w:adjustRightInd w:val="0"/>
        <w:spacing w:after="0"/>
        <w:ind w:firstLine="360"/>
        <w:jc w:val="both"/>
        <w:rPr>
          <w:rFonts w:ascii="Arial" w:hAnsi="Arial" w:cs="Arial"/>
          <w:sz w:val="24"/>
          <w:szCs w:val="24"/>
        </w:rPr>
      </w:pPr>
    </w:p>
    <w:p>
      <w:pPr>
        <w:pStyle w:val="Prrafodelista"/>
        <w:numPr>
          <w:ilvl w:val="0"/>
          <w:numId w:val="20"/>
        </w:numPr>
        <w:autoSpaceDE w:val="0"/>
        <w:autoSpaceDN w:val="0"/>
        <w:adjustRightInd w:val="0"/>
        <w:spacing w:after="0"/>
        <w:ind w:left="0" w:firstLine="0"/>
        <w:jc w:val="both"/>
        <w:rPr>
          <w:rFonts w:ascii="Arial" w:hAnsi="Arial" w:cs="Arial"/>
          <w:b/>
          <w:bCs/>
          <w:sz w:val="24"/>
          <w:szCs w:val="24"/>
        </w:rPr>
      </w:pPr>
      <w:r>
        <w:rPr>
          <w:rFonts w:ascii="Arial" w:hAnsi="Arial" w:cs="Arial"/>
          <w:b/>
          <w:bCs/>
          <w:sz w:val="24"/>
          <w:szCs w:val="24"/>
        </w:rPr>
        <w:t>Facultades del Comité:</w:t>
      </w:r>
    </w:p>
    <w:p>
      <w:pPr>
        <w:autoSpaceDE w:val="0"/>
        <w:autoSpaceDN w:val="0"/>
        <w:adjustRightInd w:val="0"/>
        <w:spacing w:after="0"/>
        <w:ind w:firstLine="709"/>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Sesionar de manera presencial bajo las medidas sanitarias dictadas  por las autoridades competentes en la materia o de forma virtual, mediante el uso de </w:t>
      </w:r>
      <w:r>
        <w:rPr>
          <w:rFonts w:ascii="Arial" w:hAnsi="Arial" w:cs="Arial"/>
          <w:sz w:val="24"/>
          <w:szCs w:val="24"/>
        </w:rPr>
        <w:lastRenderedPageBreak/>
        <w:t>las tecnologías de la información que determine la Dirección General de Innovación Gubernamental.</w:t>
      </w:r>
    </w:p>
    <w:p>
      <w:pPr>
        <w:suppressAutoHyphens/>
        <w:autoSpaceDE w:val="0"/>
        <w:autoSpaceDN w:val="0"/>
        <w:adjustRightInd w:val="0"/>
        <w:spacing w:after="0" w:line="240" w:lineRule="auto"/>
        <w:ind w:left="720"/>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Requerir, estudiar y analizar la información, así como la documentación de los expedientes de las solicitudes del Programa, para dictaminar el resultado y designar a las y los beneficiarios. </w:t>
      </w:r>
    </w:p>
    <w:p>
      <w:pPr>
        <w:suppressAutoHyphens/>
        <w:autoSpaceDE w:val="0"/>
        <w:autoSpaceDN w:val="0"/>
        <w:adjustRightInd w:val="0"/>
        <w:spacing w:after="0" w:line="240" w:lineRule="auto"/>
        <w:ind w:left="720"/>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Autorizar la asignación de apoyos del Programa conforme a las Reglas de Operación del mismo.</w:t>
      </w:r>
    </w:p>
    <w:p>
      <w:pPr>
        <w:autoSpaceDE w:val="0"/>
        <w:autoSpaceDN w:val="0"/>
        <w:adjustRightInd w:val="0"/>
        <w:spacing w:after="0"/>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Conocer los avances y acciones del Programa, y en su caso, emitir las recomendaciones que estime pertinentes. </w:t>
      </w:r>
    </w:p>
    <w:p>
      <w:pPr>
        <w:suppressAutoHyphens/>
        <w:autoSpaceDE w:val="0"/>
        <w:autoSpaceDN w:val="0"/>
        <w:adjustRightInd w:val="0"/>
        <w:spacing w:after="0" w:line="240" w:lineRule="auto"/>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caso de existir algún saldo, proponer al Ayuntamiento el destino de los recursos, como complementarios para el sector artesanal del Municipio. </w:t>
      </w:r>
    </w:p>
    <w:p>
      <w:pPr>
        <w:autoSpaceDE w:val="0"/>
        <w:autoSpaceDN w:val="0"/>
        <w:adjustRightInd w:val="0"/>
        <w:spacing w:after="0"/>
        <w:jc w:val="both"/>
        <w:rPr>
          <w:rFonts w:ascii="Arial" w:hAnsi="Arial" w:cs="Arial"/>
          <w:sz w:val="24"/>
          <w:szCs w:val="24"/>
        </w:rPr>
      </w:pPr>
    </w:p>
    <w:p>
      <w:pPr>
        <w:numPr>
          <w:ilvl w:val="0"/>
          <w:numId w:val="11"/>
        </w:numPr>
        <w:suppressAutoHyphens/>
        <w:autoSpaceDE w:val="0"/>
        <w:autoSpaceDN w:val="0"/>
        <w:adjustRightInd w:val="0"/>
        <w:spacing w:after="0" w:line="240" w:lineRule="auto"/>
        <w:jc w:val="both"/>
        <w:rPr>
          <w:rFonts w:ascii="Arial" w:hAnsi="Arial" w:cs="Arial"/>
          <w:sz w:val="24"/>
          <w:szCs w:val="24"/>
        </w:rPr>
      </w:pPr>
      <w:r>
        <w:rPr>
          <w:rFonts w:ascii="Arial" w:hAnsi="Arial" w:cs="Arial"/>
          <w:sz w:val="24"/>
          <w:szCs w:val="24"/>
        </w:rPr>
        <w:t>Determinar todo lo no previsto en las presentes Reglas de Operación, así como la forma y plazos para que el la evaluación del Programa.</w:t>
      </w:r>
    </w:p>
    <w:p>
      <w:pPr>
        <w:suppressAutoHyphens/>
        <w:autoSpaceDE w:val="0"/>
        <w:autoSpaceDN w:val="0"/>
        <w:adjustRightInd w:val="0"/>
        <w:spacing w:after="0" w:line="240" w:lineRule="auto"/>
        <w:jc w:val="both"/>
        <w:rPr>
          <w:rFonts w:ascii="Arial" w:hAnsi="Arial" w:cs="Arial"/>
          <w:sz w:val="24"/>
          <w:szCs w:val="24"/>
        </w:rPr>
      </w:pPr>
    </w:p>
    <w:p>
      <w:pPr>
        <w:numPr>
          <w:ilvl w:val="0"/>
          <w:numId w:val="11"/>
        </w:numPr>
        <w:tabs>
          <w:tab w:val="left" w:pos="708"/>
        </w:tabs>
        <w:suppressAutoHyphens/>
        <w:spacing w:after="0" w:line="240" w:lineRule="auto"/>
        <w:rPr>
          <w:rFonts w:ascii="Arial" w:hAnsi="Arial" w:cs="Arial"/>
          <w:sz w:val="24"/>
          <w:szCs w:val="24"/>
        </w:rPr>
      </w:pPr>
      <w:r>
        <w:rPr>
          <w:rFonts w:ascii="Arial" w:hAnsi="Arial" w:cs="Arial"/>
          <w:sz w:val="24"/>
          <w:szCs w:val="24"/>
        </w:rPr>
        <w:t>Las demás previstas en las presentes Reglas de Operación.</w:t>
      </w:r>
    </w:p>
    <w:p>
      <w:pPr>
        <w:tabs>
          <w:tab w:val="left" w:pos="708"/>
        </w:tabs>
        <w:spacing w:after="0"/>
        <w:rPr>
          <w:rFonts w:ascii="Arial" w:eastAsia="Times New Roman" w:hAnsi="Arial" w:cs="Arial"/>
          <w:b/>
          <w:bCs/>
          <w:sz w:val="24"/>
          <w:szCs w:val="24"/>
          <w:lang w:val="es-ES" w:eastAsia="ar-SA"/>
        </w:rPr>
      </w:pPr>
    </w:p>
    <w:p>
      <w:pPr>
        <w:pStyle w:val="Prrafodelista"/>
        <w:numPr>
          <w:ilvl w:val="0"/>
          <w:numId w:val="20"/>
        </w:numPr>
        <w:autoSpaceDE w:val="0"/>
        <w:autoSpaceDN w:val="0"/>
        <w:adjustRightInd w:val="0"/>
        <w:spacing w:after="0"/>
        <w:ind w:left="0" w:firstLine="0"/>
        <w:jc w:val="both"/>
        <w:rPr>
          <w:rFonts w:ascii="Arial" w:hAnsi="Arial" w:cs="Arial"/>
          <w:b/>
          <w:bCs/>
          <w:sz w:val="24"/>
          <w:szCs w:val="24"/>
        </w:rPr>
      </w:pPr>
      <w:r>
        <w:rPr>
          <w:rFonts w:ascii="Arial" w:hAnsi="Arial" w:cs="Arial"/>
          <w:b/>
          <w:bCs/>
          <w:sz w:val="24"/>
          <w:szCs w:val="24"/>
        </w:rPr>
        <w:t>Del Funcionamiento del Comité:</w:t>
      </w:r>
    </w:p>
    <w:p>
      <w:pPr>
        <w:pStyle w:val="Prrafodelista"/>
        <w:autoSpaceDE w:val="0"/>
        <w:autoSpaceDN w:val="0"/>
        <w:adjustRightInd w:val="0"/>
        <w:spacing w:after="0"/>
        <w:jc w:val="both"/>
        <w:rPr>
          <w:rFonts w:ascii="Arial" w:hAnsi="Arial" w:cs="Arial"/>
          <w:b/>
          <w:bCs/>
          <w:sz w:val="24"/>
          <w:szCs w:val="24"/>
        </w:rPr>
      </w:pPr>
    </w:p>
    <w:p>
      <w:pPr>
        <w:pStyle w:val="Prrafodelista"/>
        <w:numPr>
          <w:ilvl w:val="0"/>
          <w:numId w:val="28"/>
        </w:numPr>
        <w:autoSpaceDE w:val="0"/>
        <w:autoSpaceDN w:val="0"/>
        <w:adjustRightInd w:val="0"/>
        <w:spacing w:after="0"/>
        <w:ind w:left="709"/>
        <w:jc w:val="both"/>
        <w:rPr>
          <w:rFonts w:ascii="Arial" w:hAnsi="Arial" w:cs="Arial"/>
          <w:color w:val="000000"/>
          <w:sz w:val="24"/>
          <w:szCs w:val="24"/>
        </w:rPr>
      </w:pPr>
      <w:r>
        <w:rPr>
          <w:rFonts w:ascii="Arial" w:hAnsi="Arial" w:cs="Arial"/>
          <w:sz w:val="24"/>
          <w:szCs w:val="24"/>
        </w:rPr>
        <w:t xml:space="preserve">Para el funcionamiento del Comité se aplicarán de forma supletoria las disposiciones previstas en el </w:t>
      </w:r>
      <w:r>
        <w:rPr>
          <w:rFonts w:ascii="Arial" w:hAnsi="Arial" w:cs="Arial"/>
          <w:color w:val="000000"/>
          <w:sz w:val="24"/>
          <w:szCs w:val="24"/>
        </w:rPr>
        <w:t>Reglamento de la Administración Pública del Municipio de Tlajomulco de Zúñiga, Jalisco, así como el Reglamento del Ayuntamiento del Municipio de Tlajomulco de Zúñiga, Jalisco.</w:t>
      </w:r>
    </w:p>
    <w:p>
      <w:pPr>
        <w:autoSpaceDE w:val="0"/>
        <w:autoSpaceDN w:val="0"/>
        <w:adjustRightInd w:val="0"/>
        <w:spacing w:after="0"/>
        <w:ind w:left="709" w:firstLine="708"/>
        <w:jc w:val="both"/>
        <w:rPr>
          <w:rFonts w:ascii="Arial" w:hAnsi="Arial" w:cs="Arial"/>
          <w:color w:val="000000"/>
          <w:sz w:val="24"/>
          <w:szCs w:val="24"/>
        </w:rPr>
      </w:pPr>
    </w:p>
    <w:p>
      <w:pPr>
        <w:pStyle w:val="Prrafodelista"/>
        <w:numPr>
          <w:ilvl w:val="0"/>
          <w:numId w:val="28"/>
        </w:numPr>
        <w:autoSpaceDE w:val="0"/>
        <w:autoSpaceDN w:val="0"/>
        <w:adjustRightInd w:val="0"/>
        <w:spacing w:after="0"/>
        <w:ind w:left="709"/>
        <w:jc w:val="both"/>
        <w:rPr>
          <w:rFonts w:ascii="Arial" w:hAnsi="Arial" w:cs="Arial"/>
          <w:sz w:val="24"/>
          <w:szCs w:val="24"/>
        </w:rPr>
      </w:pPr>
      <w:r>
        <w:rPr>
          <w:rFonts w:ascii="Arial" w:hAnsi="Arial" w:cs="Arial"/>
          <w:sz w:val="24"/>
          <w:szCs w:val="24"/>
        </w:rPr>
        <w:t xml:space="preserve">De cada reunión de trabajo, el Secretario Técnico elaborará un acta, la cual deberá firmarse por los integrantes asistentes a las mismas. </w:t>
      </w:r>
    </w:p>
    <w:p>
      <w:pPr>
        <w:autoSpaceDE w:val="0"/>
        <w:autoSpaceDN w:val="0"/>
        <w:adjustRightInd w:val="0"/>
        <w:spacing w:after="0"/>
        <w:ind w:firstLine="708"/>
        <w:jc w:val="both"/>
        <w:rPr>
          <w:rFonts w:ascii="Arial" w:hAnsi="Arial" w:cs="Arial"/>
          <w:sz w:val="24"/>
          <w:szCs w:val="24"/>
        </w:rPr>
      </w:pPr>
    </w:p>
    <w:p>
      <w:pPr>
        <w:spacing w:after="0"/>
        <w:jc w:val="both"/>
        <w:rPr>
          <w:rFonts w:ascii="Arial" w:eastAsia="Bookman Old Style" w:hAnsi="Arial" w:cs="Arial"/>
          <w:b/>
          <w:sz w:val="24"/>
          <w:szCs w:val="24"/>
        </w:rPr>
      </w:pPr>
      <w:r>
        <w:rPr>
          <w:rFonts w:ascii="Arial" w:hAnsi="Arial" w:cs="Arial"/>
          <w:b/>
          <w:color w:val="000000"/>
          <w:sz w:val="24"/>
          <w:szCs w:val="24"/>
        </w:rPr>
        <w:t xml:space="preserve">d)      </w:t>
      </w:r>
      <w:r>
        <w:rPr>
          <w:rFonts w:ascii="Arial" w:eastAsia="Bookman Old Style" w:hAnsi="Arial" w:cs="Arial"/>
          <w:b/>
          <w:sz w:val="24"/>
          <w:szCs w:val="24"/>
        </w:rPr>
        <w:t>Obligaciones de las y los Integrantes del Comité:</w:t>
      </w:r>
    </w:p>
    <w:p>
      <w:pPr>
        <w:spacing w:after="0"/>
        <w:jc w:val="both"/>
        <w:rPr>
          <w:rFonts w:ascii="Arial" w:eastAsia="Bookman Old Style" w:hAnsi="Arial" w:cs="Arial"/>
          <w:b/>
          <w:sz w:val="24"/>
          <w:szCs w:val="24"/>
        </w:rPr>
      </w:pPr>
    </w:p>
    <w:p>
      <w:pPr>
        <w:pStyle w:val="Prrafodelista"/>
        <w:numPr>
          <w:ilvl w:val="0"/>
          <w:numId w:val="29"/>
        </w:numPr>
        <w:spacing w:after="0"/>
        <w:jc w:val="both"/>
        <w:rPr>
          <w:rFonts w:ascii="Arial" w:eastAsia="Bookman Old Style" w:hAnsi="Arial" w:cs="Arial"/>
          <w:sz w:val="24"/>
          <w:szCs w:val="24"/>
        </w:rPr>
      </w:pPr>
      <w:r>
        <w:rPr>
          <w:rFonts w:ascii="Arial" w:eastAsia="Bookman Old Style" w:hAnsi="Arial" w:cs="Arial"/>
          <w:sz w:val="24"/>
          <w:szCs w:val="24"/>
        </w:rPr>
        <w:t>Respetar y cumplir, los tiempos establecidos en las presentes Reglas de Operación y en la convocatoria que se emita al respecto para este Programa.</w:t>
      </w:r>
    </w:p>
    <w:p>
      <w:pPr>
        <w:pStyle w:val="Prrafodelista"/>
        <w:spacing w:after="0"/>
        <w:ind w:left="644"/>
        <w:jc w:val="both"/>
        <w:rPr>
          <w:rFonts w:ascii="Arial" w:eastAsia="Bookman Old Style" w:hAnsi="Arial" w:cs="Arial"/>
          <w:sz w:val="24"/>
          <w:szCs w:val="24"/>
        </w:rPr>
      </w:pPr>
    </w:p>
    <w:p>
      <w:pPr>
        <w:pStyle w:val="Prrafodelista"/>
        <w:numPr>
          <w:ilvl w:val="0"/>
          <w:numId w:val="29"/>
        </w:numPr>
        <w:spacing w:after="0"/>
        <w:jc w:val="both"/>
        <w:rPr>
          <w:rFonts w:ascii="Arial" w:eastAsia="Bookman Old Style" w:hAnsi="Arial" w:cs="Arial"/>
          <w:sz w:val="24"/>
          <w:szCs w:val="24"/>
        </w:rPr>
      </w:pPr>
      <w:r>
        <w:rPr>
          <w:rFonts w:ascii="Arial" w:eastAsia="Bookman Old Style" w:hAnsi="Arial" w:cs="Arial"/>
          <w:sz w:val="24"/>
          <w:szCs w:val="24"/>
        </w:rPr>
        <w:t xml:space="preserve">Tomar decisiones objetivas, basadas en los criterios establecidos en estas Reglas de Operación. </w:t>
      </w:r>
    </w:p>
    <w:p>
      <w:pPr>
        <w:pStyle w:val="Prrafodelista"/>
        <w:rPr>
          <w:rFonts w:ascii="Arial" w:eastAsia="Bookman Old Style" w:hAnsi="Arial" w:cs="Arial"/>
          <w:sz w:val="24"/>
          <w:szCs w:val="24"/>
        </w:rPr>
      </w:pPr>
    </w:p>
    <w:p>
      <w:pPr>
        <w:pStyle w:val="Prrafodelista"/>
        <w:numPr>
          <w:ilvl w:val="0"/>
          <w:numId w:val="29"/>
        </w:numPr>
        <w:spacing w:after="0"/>
        <w:jc w:val="both"/>
        <w:rPr>
          <w:rFonts w:ascii="Arial" w:eastAsia="Bookman Old Style" w:hAnsi="Arial" w:cs="Arial"/>
          <w:sz w:val="24"/>
          <w:szCs w:val="24"/>
        </w:rPr>
      </w:pPr>
      <w:r>
        <w:rPr>
          <w:rFonts w:ascii="Arial" w:eastAsia="Arial Narrow" w:hAnsi="Arial" w:cs="Arial"/>
          <w:color w:val="000000"/>
          <w:sz w:val="24"/>
          <w:szCs w:val="24"/>
        </w:rPr>
        <w:t xml:space="preserve">Una vez asignados los apoyos, la Dirección General de Turismo y Promoción a las Tradiciones iniciará con los procedimientos administrativos para la entrega </w:t>
      </w:r>
      <w:r>
        <w:rPr>
          <w:rFonts w:ascii="Arial" w:eastAsia="Arial Narrow" w:hAnsi="Arial" w:cs="Arial"/>
          <w:color w:val="000000"/>
          <w:sz w:val="24"/>
          <w:szCs w:val="24"/>
        </w:rPr>
        <w:lastRenderedPageBreak/>
        <w:t xml:space="preserve">de los apoyos económicos a las  personas beneficiarias ante la Tesorería Municipal. </w:t>
      </w:r>
    </w:p>
    <w:p>
      <w:pPr>
        <w:pStyle w:val="Prrafodelista"/>
        <w:spacing w:after="0"/>
        <w:ind w:left="644"/>
        <w:jc w:val="both"/>
        <w:rPr>
          <w:rFonts w:ascii="Arial" w:eastAsia="Bookman Old Style" w:hAnsi="Arial" w:cs="Arial"/>
          <w:sz w:val="24"/>
          <w:szCs w:val="24"/>
        </w:rPr>
      </w:pPr>
    </w:p>
    <w:p>
      <w:pPr>
        <w:pStyle w:val="Prrafodelista"/>
        <w:numPr>
          <w:ilvl w:val="0"/>
          <w:numId w:val="29"/>
        </w:numPr>
        <w:spacing w:after="0"/>
        <w:jc w:val="both"/>
        <w:rPr>
          <w:rFonts w:ascii="Arial" w:eastAsia="Bookman Old Style" w:hAnsi="Arial" w:cs="Arial"/>
          <w:sz w:val="24"/>
          <w:szCs w:val="24"/>
        </w:rPr>
      </w:pPr>
      <w:r>
        <w:rPr>
          <w:rFonts w:ascii="Arial" w:eastAsia="Arial Narrow" w:hAnsi="Arial" w:cs="Arial"/>
          <w:color w:val="000000"/>
          <w:sz w:val="24"/>
          <w:szCs w:val="24"/>
        </w:rPr>
        <w:t>La Coordinación General de Desarrollo Económico y Combate a la Desigualdad llevará a cabo la supervisión del desarrollo de la entrega de los apoyos, estando facultada para requerir a las personas beneficiarias del Programa cualquier información relativa al cumplimiento de las obligaciones del Programa.</w:t>
      </w:r>
    </w:p>
    <w:p>
      <w:pPr>
        <w:pStyle w:val="Prrafodelista"/>
        <w:rPr>
          <w:rFonts w:ascii="Arial" w:eastAsia="Bookman Old Style" w:hAnsi="Arial" w:cs="Arial"/>
          <w:sz w:val="24"/>
          <w:szCs w:val="24"/>
        </w:rPr>
      </w:pPr>
    </w:p>
    <w:p>
      <w:pPr>
        <w:pStyle w:val="Prrafodelista"/>
        <w:spacing w:after="0"/>
        <w:ind w:left="644"/>
        <w:jc w:val="both"/>
        <w:rPr>
          <w:rFonts w:ascii="Arial" w:eastAsia="Bookman Old Style" w:hAnsi="Arial" w:cs="Arial"/>
          <w:sz w:val="24"/>
          <w:szCs w:val="24"/>
        </w:rPr>
      </w:pPr>
    </w:p>
    <w:p>
      <w:pPr>
        <w:pStyle w:val="Prrafodelista"/>
        <w:numPr>
          <w:ilvl w:val="0"/>
          <w:numId w:val="29"/>
        </w:numPr>
        <w:spacing w:after="0"/>
        <w:jc w:val="both"/>
        <w:rPr>
          <w:rFonts w:ascii="Arial" w:eastAsia="Bookman Old Style" w:hAnsi="Arial" w:cs="Arial"/>
          <w:sz w:val="24"/>
          <w:szCs w:val="24"/>
        </w:rPr>
      </w:pPr>
      <w:r>
        <w:rPr>
          <w:rFonts w:ascii="Arial" w:eastAsia="Arial Narrow" w:hAnsi="Arial" w:cs="Arial"/>
          <w:color w:val="000000"/>
          <w:sz w:val="24"/>
          <w:szCs w:val="24"/>
        </w:rPr>
        <w:t>Por correo electrónico o vía telefónica la Dirección de Artesanos y Tradiciones recabará la información necesaria para la evaluación del Programa.</w:t>
      </w:r>
    </w:p>
    <w:p>
      <w:pPr>
        <w:spacing w:after="0"/>
        <w:jc w:val="both"/>
        <w:rPr>
          <w:rFonts w:ascii="Arial" w:eastAsia="Bookman Old Style" w:hAnsi="Arial" w:cs="Arial"/>
          <w:sz w:val="24"/>
          <w:szCs w:val="24"/>
        </w:rPr>
      </w:pPr>
    </w:p>
    <w:p>
      <w:pPr>
        <w:spacing w:after="0"/>
        <w:jc w:val="both"/>
        <w:rPr>
          <w:rFonts w:ascii="Arial" w:eastAsia="Bookman Old Style" w:hAnsi="Arial" w:cs="Arial"/>
          <w:sz w:val="24"/>
          <w:szCs w:val="24"/>
        </w:rPr>
      </w:pPr>
      <w:r>
        <w:rPr>
          <w:rFonts w:ascii="Arial" w:eastAsia="Bookman Old Style" w:hAnsi="Arial" w:cs="Arial"/>
          <w:b/>
          <w:sz w:val="24"/>
          <w:szCs w:val="24"/>
        </w:rPr>
        <w:t>2.7. Labores comunitarias:</w:t>
      </w:r>
    </w:p>
    <w:p>
      <w:pPr>
        <w:spacing w:after="0"/>
        <w:jc w:val="both"/>
        <w:rPr>
          <w:rFonts w:ascii="Arial" w:eastAsia="Bookman Old Style" w:hAnsi="Arial" w:cs="Arial"/>
          <w:sz w:val="24"/>
          <w:szCs w:val="24"/>
        </w:rPr>
      </w:pPr>
    </w:p>
    <w:p>
      <w:pPr>
        <w:pStyle w:val="Prrafodelista"/>
        <w:numPr>
          <w:ilvl w:val="0"/>
          <w:numId w:val="34"/>
        </w:numPr>
        <w:spacing w:after="0"/>
        <w:ind w:left="284" w:hanging="284"/>
        <w:jc w:val="both"/>
        <w:rPr>
          <w:rFonts w:ascii="Arial" w:eastAsia="Bookman Old Style" w:hAnsi="Arial" w:cs="Arial"/>
          <w:sz w:val="24"/>
          <w:szCs w:val="24"/>
        </w:rPr>
      </w:pPr>
      <w:r>
        <w:rPr>
          <w:rFonts w:ascii="Arial" w:eastAsia="Bookman Old Style" w:hAnsi="Arial" w:cs="Arial"/>
          <w:sz w:val="24"/>
          <w:szCs w:val="24"/>
        </w:rPr>
        <w:t>Una vez que las personas solicitantes sean determinadas como beneficiarias del Programa, la Dirección de Artesanos, se coordinara con la Dirección General de Cultura de Paz y Gobernanza para programar las labores comunitarias que realizaran las personas beneficiarias.</w:t>
      </w:r>
    </w:p>
    <w:p>
      <w:pPr>
        <w:pStyle w:val="Prrafodelista"/>
        <w:spacing w:after="0"/>
        <w:ind w:left="284"/>
        <w:jc w:val="both"/>
        <w:rPr>
          <w:rFonts w:ascii="Arial" w:eastAsia="Bookman Old Style" w:hAnsi="Arial" w:cs="Arial"/>
          <w:sz w:val="24"/>
          <w:szCs w:val="24"/>
        </w:rPr>
      </w:pPr>
    </w:p>
    <w:p>
      <w:pPr>
        <w:pStyle w:val="Prrafodelista"/>
        <w:numPr>
          <w:ilvl w:val="0"/>
          <w:numId w:val="34"/>
        </w:numPr>
        <w:spacing w:after="0"/>
        <w:ind w:left="284" w:hanging="284"/>
        <w:jc w:val="both"/>
        <w:rPr>
          <w:rFonts w:ascii="Arial" w:eastAsia="Bookman Old Style" w:hAnsi="Arial" w:cs="Arial"/>
          <w:sz w:val="24"/>
          <w:szCs w:val="24"/>
        </w:rPr>
      </w:pPr>
      <w:r>
        <w:rPr>
          <w:rFonts w:ascii="Arial" w:eastAsia="Bookman Old Style" w:hAnsi="Arial" w:cs="Arial"/>
          <w:sz w:val="24"/>
          <w:szCs w:val="24"/>
        </w:rPr>
        <w:t>La Dirección de Artesanos y Tradiciones citará a las personas solicitantes en el lugar donde vayan a realizar las labores comunitarias, o bien, dará las indicaciones para ello en caso de que puedan realizarlas desde sus talleres o a distancia.</w:t>
      </w:r>
    </w:p>
    <w:p>
      <w:pPr>
        <w:pStyle w:val="Prrafodelista"/>
        <w:rPr>
          <w:rFonts w:ascii="Arial" w:eastAsia="Bookman Old Style" w:hAnsi="Arial" w:cs="Arial"/>
          <w:sz w:val="24"/>
          <w:szCs w:val="24"/>
        </w:rPr>
      </w:pPr>
    </w:p>
    <w:p>
      <w:pPr>
        <w:pStyle w:val="Prrafodelista"/>
        <w:numPr>
          <w:ilvl w:val="0"/>
          <w:numId w:val="34"/>
        </w:numPr>
        <w:spacing w:after="0"/>
        <w:ind w:left="284" w:hanging="284"/>
        <w:jc w:val="both"/>
        <w:rPr>
          <w:rFonts w:ascii="Arial" w:eastAsia="Bookman Old Style" w:hAnsi="Arial" w:cs="Arial"/>
          <w:sz w:val="24"/>
          <w:szCs w:val="24"/>
        </w:rPr>
      </w:pPr>
      <w:r>
        <w:rPr>
          <w:rFonts w:ascii="Arial" w:eastAsia="Bookman Old Style" w:hAnsi="Arial" w:cs="Arial"/>
          <w:sz w:val="24"/>
          <w:szCs w:val="24"/>
        </w:rPr>
        <w:t>Una vez que las personas solicitantes cumplan con las labores comunitarias asignadas se entregará a las personas beneficiarias su constancia de Buen Ciudadanos, de la cual se agregará una copia a su expediente a efecto de que se pueda realizar la entrega del apoyo.</w:t>
      </w:r>
    </w:p>
    <w:p>
      <w:pPr>
        <w:pStyle w:val="Prrafodelista"/>
        <w:autoSpaceDE w:val="0"/>
        <w:autoSpaceDN w:val="0"/>
        <w:adjustRightInd w:val="0"/>
        <w:ind w:left="0"/>
        <w:rPr>
          <w:rFonts w:ascii="Arial" w:hAnsi="Arial" w:cs="Arial"/>
          <w:b/>
          <w:sz w:val="24"/>
          <w:szCs w:val="24"/>
        </w:rPr>
      </w:pPr>
    </w:p>
    <w:p>
      <w:pPr>
        <w:pStyle w:val="Prrafodelista"/>
        <w:autoSpaceDE w:val="0"/>
        <w:autoSpaceDN w:val="0"/>
        <w:adjustRightInd w:val="0"/>
        <w:spacing w:after="0"/>
        <w:ind w:left="0"/>
        <w:jc w:val="center"/>
        <w:rPr>
          <w:rFonts w:ascii="Arial" w:hAnsi="Arial" w:cs="Arial"/>
          <w:b/>
          <w:color w:val="000000"/>
          <w:sz w:val="24"/>
          <w:szCs w:val="24"/>
        </w:rPr>
      </w:pPr>
      <w:r>
        <w:rPr>
          <w:rFonts w:ascii="Arial" w:hAnsi="Arial" w:cs="Arial"/>
          <w:b/>
          <w:sz w:val="24"/>
          <w:szCs w:val="24"/>
        </w:rPr>
        <w:t xml:space="preserve">SECCIÓN III: </w:t>
      </w:r>
      <w:r>
        <w:rPr>
          <w:rFonts w:ascii="Arial" w:hAnsi="Arial" w:cs="Arial"/>
          <w:b/>
          <w:color w:val="000000"/>
          <w:sz w:val="24"/>
          <w:szCs w:val="24"/>
        </w:rPr>
        <w:t>EVALUACIÓN</w:t>
      </w:r>
    </w:p>
    <w:p>
      <w:pPr>
        <w:spacing w:after="0"/>
        <w:jc w:val="both"/>
        <w:rPr>
          <w:rFonts w:ascii="Arial" w:hAnsi="Arial" w:cs="Arial"/>
          <w:b/>
          <w:color w:val="000000"/>
          <w:sz w:val="24"/>
          <w:szCs w:val="24"/>
        </w:rPr>
      </w:pPr>
    </w:p>
    <w:p>
      <w:pPr>
        <w:spacing w:after="0"/>
        <w:jc w:val="both"/>
        <w:rPr>
          <w:rFonts w:ascii="Arial" w:hAnsi="Arial" w:cs="Arial"/>
          <w:color w:val="000000"/>
          <w:sz w:val="24"/>
          <w:szCs w:val="24"/>
        </w:rPr>
      </w:pPr>
      <w:r>
        <w:rPr>
          <w:rFonts w:ascii="Arial" w:hAnsi="Arial" w:cs="Arial"/>
          <w:b/>
          <w:color w:val="000000"/>
          <w:sz w:val="24"/>
          <w:szCs w:val="24"/>
        </w:rPr>
        <w:t xml:space="preserve">3.1. </w:t>
      </w:r>
      <w:r>
        <w:rPr>
          <w:rFonts w:ascii="Arial" w:hAnsi="Arial" w:cs="Arial"/>
          <w:color w:val="000000"/>
          <w:sz w:val="24"/>
          <w:szCs w:val="24"/>
        </w:rPr>
        <w:t>La Dirección de Artesanos y Tradiciones proporcionará a</w:t>
      </w:r>
      <w:r>
        <w:rPr>
          <w:rFonts w:ascii="Arial" w:eastAsia="Bookman Old Style" w:hAnsi="Arial" w:cs="Arial"/>
          <w:color w:val="000000"/>
          <w:sz w:val="24"/>
          <w:szCs w:val="24"/>
        </w:rPr>
        <w:t xml:space="preserve"> la Dirección General de Políticas Públicas</w:t>
      </w:r>
      <w:r>
        <w:rPr>
          <w:rFonts w:ascii="Arial" w:hAnsi="Arial" w:cs="Arial"/>
          <w:color w:val="000000"/>
          <w:sz w:val="24"/>
          <w:szCs w:val="24"/>
        </w:rPr>
        <w:t xml:space="preserve"> la información necesaria para su análisis y validación cubriendo los aspectos siguientes: </w:t>
      </w:r>
    </w:p>
    <w:p>
      <w:pPr>
        <w:spacing w:after="0"/>
        <w:jc w:val="both"/>
        <w:rPr>
          <w:rFonts w:ascii="Arial" w:eastAsia="Bookman Old Style" w:hAnsi="Arial" w:cs="Arial"/>
          <w:color w:val="000000"/>
          <w:sz w:val="24"/>
          <w:szCs w:val="24"/>
        </w:rPr>
      </w:pPr>
    </w:p>
    <w:p>
      <w:pPr>
        <w:autoSpaceDE w:val="0"/>
        <w:autoSpaceDN w:val="0"/>
        <w:adjustRightInd w:val="0"/>
        <w:spacing w:after="0"/>
        <w:ind w:firstLine="1"/>
        <w:jc w:val="both"/>
        <w:rPr>
          <w:rFonts w:ascii="Arial" w:hAnsi="Arial" w:cs="Arial"/>
          <w:color w:val="000000"/>
          <w:sz w:val="24"/>
          <w:szCs w:val="24"/>
        </w:rPr>
      </w:pPr>
      <w:r>
        <w:rPr>
          <w:rFonts w:ascii="Arial" w:hAnsi="Arial" w:cs="Arial"/>
          <w:b/>
          <w:color w:val="000000"/>
          <w:sz w:val="24"/>
          <w:szCs w:val="24"/>
        </w:rPr>
        <w:t xml:space="preserve">3.1.1. </w:t>
      </w:r>
      <w:r>
        <w:rPr>
          <w:rFonts w:ascii="Arial" w:hAnsi="Arial" w:cs="Arial"/>
          <w:color w:val="000000"/>
          <w:sz w:val="24"/>
          <w:szCs w:val="24"/>
        </w:rPr>
        <w:t>Deberá realizarse con perspectiva de género, atendiendo al cumplimiento de los objetivos del Programa y al cumplimiento del Plan Municipal de Desarrollo y Gobernanza 2018 -  2021.</w:t>
      </w:r>
    </w:p>
    <w:p>
      <w:pPr>
        <w:autoSpaceDE w:val="0"/>
        <w:autoSpaceDN w:val="0"/>
        <w:adjustRightInd w:val="0"/>
        <w:spacing w:after="0"/>
        <w:ind w:firstLine="1"/>
        <w:jc w:val="both"/>
        <w:rPr>
          <w:rFonts w:ascii="Arial" w:hAnsi="Arial" w:cs="Arial"/>
          <w:color w:val="000000"/>
          <w:sz w:val="24"/>
          <w:szCs w:val="24"/>
        </w:rPr>
      </w:pPr>
    </w:p>
    <w:p>
      <w:pPr>
        <w:autoSpaceDE w:val="0"/>
        <w:autoSpaceDN w:val="0"/>
        <w:adjustRightInd w:val="0"/>
        <w:spacing w:after="0"/>
        <w:ind w:firstLine="1"/>
        <w:jc w:val="both"/>
        <w:rPr>
          <w:rFonts w:ascii="Arial" w:hAnsi="Arial" w:cs="Arial"/>
          <w:color w:val="000000"/>
          <w:sz w:val="24"/>
          <w:szCs w:val="24"/>
        </w:rPr>
      </w:pPr>
      <w:r>
        <w:rPr>
          <w:rFonts w:ascii="Arial" w:hAnsi="Arial" w:cs="Arial"/>
          <w:b/>
          <w:color w:val="000000"/>
          <w:sz w:val="24"/>
          <w:szCs w:val="24"/>
        </w:rPr>
        <w:t xml:space="preserve">3.1.2. </w:t>
      </w:r>
      <w:r>
        <w:rPr>
          <w:rFonts w:ascii="Arial" w:hAnsi="Arial" w:cs="Arial"/>
          <w:color w:val="000000"/>
          <w:sz w:val="24"/>
          <w:szCs w:val="24"/>
        </w:rPr>
        <w:t>Generará información del número de las personas beneficiadas, distribución de apoyos, número de Talleres Artesanales apoyados, localidades beneficiadas, presupuesto ejercido contra presupuesto autorizado, el destino que cada persona beneficiaría le dio a los apoyos y demás información de utilidad para la evaluación del Programa.</w:t>
      </w:r>
    </w:p>
    <w:p>
      <w:pPr>
        <w:autoSpaceDE w:val="0"/>
        <w:autoSpaceDN w:val="0"/>
        <w:adjustRightInd w:val="0"/>
        <w:spacing w:after="0"/>
        <w:ind w:firstLine="1"/>
        <w:jc w:val="both"/>
        <w:rPr>
          <w:rFonts w:ascii="Arial" w:eastAsia="Bookman Old Style" w:hAnsi="Arial" w:cs="Arial"/>
          <w:b/>
          <w:color w:val="000000"/>
          <w:sz w:val="24"/>
          <w:szCs w:val="24"/>
        </w:rPr>
      </w:pPr>
    </w:p>
    <w:p>
      <w:pPr>
        <w:autoSpaceDE w:val="0"/>
        <w:autoSpaceDN w:val="0"/>
        <w:adjustRightInd w:val="0"/>
        <w:spacing w:after="0"/>
        <w:ind w:firstLine="1"/>
        <w:jc w:val="both"/>
        <w:rPr>
          <w:rFonts w:ascii="Arial" w:eastAsia="Bookman Old Style" w:hAnsi="Arial" w:cs="Arial"/>
          <w:color w:val="000000"/>
          <w:sz w:val="24"/>
          <w:szCs w:val="24"/>
        </w:rPr>
      </w:pPr>
      <w:r>
        <w:rPr>
          <w:rFonts w:ascii="Arial" w:eastAsia="Bookman Old Style" w:hAnsi="Arial" w:cs="Arial"/>
          <w:b/>
          <w:color w:val="000000"/>
          <w:sz w:val="24"/>
          <w:szCs w:val="24"/>
        </w:rPr>
        <w:t>3.2</w:t>
      </w:r>
      <w:r>
        <w:rPr>
          <w:rFonts w:ascii="Arial" w:eastAsia="Bookman Old Style" w:hAnsi="Arial" w:cs="Arial"/>
          <w:color w:val="000000"/>
          <w:sz w:val="24"/>
          <w:szCs w:val="24"/>
        </w:rPr>
        <w:t xml:space="preserve"> Con base en la Matriz de Indicadores para Resultados (MIR) del Programa, la Dirección General de Turismo y Promoción a las Tradiciones, presentará al Comité el informe de resultados para la evaluación del Programa.</w:t>
      </w:r>
    </w:p>
    <w:p>
      <w:pPr>
        <w:autoSpaceDE w:val="0"/>
        <w:autoSpaceDN w:val="0"/>
        <w:adjustRightInd w:val="0"/>
        <w:spacing w:after="0"/>
        <w:ind w:firstLine="1"/>
        <w:jc w:val="both"/>
        <w:rPr>
          <w:rFonts w:ascii="Arial" w:eastAsia="Bookman Old Style" w:hAnsi="Arial" w:cs="Arial"/>
          <w:color w:val="000000"/>
          <w:sz w:val="24"/>
          <w:szCs w:val="24"/>
        </w:rPr>
      </w:pPr>
    </w:p>
    <w:p>
      <w:pPr>
        <w:autoSpaceDE w:val="0"/>
        <w:autoSpaceDN w:val="0"/>
        <w:adjustRightInd w:val="0"/>
        <w:spacing w:after="0"/>
        <w:ind w:firstLine="1"/>
        <w:jc w:val="both"/>
        <w:rPr>
          <w:rFonts w:ascii="Arial" w:hAnsi="Arial" w:cs="Arial"/>
          <w:color w:val="000000"/>
          <w:sz w:val="24"/>
          <w:szCs w:val="24"/>
        </w:rPr>
      </w:pPr>
      <w:r>
        <w:rPr>
          <w:rFonts w:ascii="Arial" w:eastAsia="Bookman Old Style" w:hAnsi="Arial" w:cs="Arial"/>
          <w:b/>
          <w:color w:val="000000"/>
          <w:sz w:val="24"/>
          <w:szCs w:val="24"/>
        </w:rPr>
        <w:t xml:space="preserve">3.3 </w:t>
      </w:r>
      <w:r>
        <w:rPr>
          <w:rFonts w:ascii="Arial" w:eastAsia="Bookman Old Style" w:hAnsi="Arial" w:cs="Arial"/>
          <w:color w:val="000000"/>
          <w:sz w:val="24"/>
          <w:szCs w:val="24"/>
        </w:rPr>
        <w:t>Con base en la evaluación del Programa, el Comité determinará la propuesta de continuidad del Programa para la ejecución fiscal 2022.</w:t>
      </w:r>
    </w:p>
    <w:p>
      <w:pPr>
        <w:spacing w:after="0"/>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 </w:t>
      </w:r>
    </w:p>
    <w:p>
      <w:pPr>
        <w:autoSpaceDE w:val="0"/>
        <w:autoSpaceDN w:val="0"/>
        <w:adjustRightInd w:val="0"/>
        <w:spacing w:after="0"/>
        <w:jc w:val="center"/>
        <w:rPr>
          <w:rFonts w:ascii="Arial" w:hAnsi="Arial" w:cs="Arial"/>
          <w:b/>
          <w:color w:val="000000"/>
          <w:sz w:val="24"/>
          <w:szCs w:val="24"/>
        </w:rPr>
      </w:pPr>
      <w:r>
        <w:rPr>
          <w:rFonts w:ascii="Arial" w:hAnsi="Arial" w:cs="Arial"/>
          <w:b/>
          <w:color w:val="000000"/>
          <w:sz w:val="24"/>
          <w:szCs w:val="24"/>
        </w:rPr>
        <w:t>SECCIÓN IV: DISPOSICIONES FINALES.</w:t>
      </w:r>
    </w:p>
    <w:p>
      <w:pPr>
        <w:autoSpaceDE w:val="0"/>
        <w:autoSpaceDN w:val="0"/>
        <w:adjustRightInd w:val="0"/>
        <w:spacing w:after="0"/>
        <w:jc w:val="both"/>
        <w:rPr>
          <w:rFonts w:ascii="Arial" w:hAnsi="Arial" w:cs="Arial"/>
          <w:b/>
          <w:color w:val="000000"/>
          <w:sz w:val="24"/>
          <w:szCs w:val="24"/>
        </w:rPr>
      </w:pPr>
    </w:p>
    <w:p>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4.1. Padrón de personas beneficiarias.</w:t>
      </w:r>
    </w:p>
    <w:p>
      <w:pPr>
        <w:autoSpaceDE w:val="0"/>
        <w:autoSpaceDN w:val="0"/>
        <w:adjustRightInd w:val="0"/>
        <w:spacing w:after="0"/>
        <w:ind w:firstLine="709"/>
        <w:jc w:val="both"/>
        <w:rPr>
          <w:rFonts w:ascii="Arial" w:hAnsi="Arial" w:cs="Arial"/>
          <w:color w:val="000000"/>
          <w:sz w:val="24"/>
          <w:szCs w:val="24"/>
        </w:rPr>
      </w:pPr>
    </w:p>
    <w:p>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El padrón de las y los beneficiarios del Programa será publicado en los términos de la legislación en materia de transparencia y protección de datos personales en el portal de Internet del Gobierno Municipal: </w:t>
      </w:r>
      <w:r>
        <w:rPr>
          <w:rFonts w:ascii="Arial" w:hAnsi="Arial" w:cs="Arial"/>
          <w:sz w:val="24"/>
          <w:szCs w:val="24"/>
        </w:rPr>
        <w:t>www.tlajomulco.gob.mx</w:t>
      </w:r>
    </w:p>
    <w:p>
      <w:pPr>
        <w:autoSpaceDE w:val="0"/>
        <w:autoSpaceDN w:val="0"/>
        <w:adjustRightInd w:val="0"/>
        <w:spacing w:after="0"/>
        <w:ind w:firstLine="709"/>
        <w:jc w:val="both"/>
        <w:rPr>
          <w:rFonts w:ascii="Arial" w:hAnsi="Arial" w:cs="Arial"/>
          <w:color w:val="000000"/>
          <w:sz w:val="24"/>
          <w:szCs w:val="24"/>
        </w:rPr>
      </w:pPr>
    </w:p>
    <w:p>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4.2. Quejas y Denuncias.</w:t>
      </w:r>
    </w:p>
    <w:p>
      <w:pPr>
        <w:autoSpaceDE w:val="0"/>
        <w:autoSpaceDN w:val="0"/>
        <w:adjustRightInd w:val="0"/>
        <w:spacing w:after="0"/>
        <w:jc w:val="both"/>
        <w:rPr>
          <w:rFonts w:ascii="Arial" w:hAnsi="Arial" w:cs="Arial"/>
          <w:b/>
          <w:color w:val="000000"/>
          <w:sz w:val="24"/>
          <w:szCs w:val="24"/>
        </w:rPr>
      </w:pPr>
    </w:p>
    <w:p>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Cualquier persona tendrán el derecho de presentar quejas y denuncias que puedan dar lugar al financiamiento de responsabilidades administrativas o penales, ante las instancias correspondientes, ya sea por el incumplimiento de las disposiciones contenidas en las presentes Reglas de Operación y demás legislación y normatividad que resulte aplicable.</w:t>
      </w:r>
    </w:p>
    <w:p>
      <w:pPr>
        <w:autoSpaceDE w:val="0"/>
        <w:autoSpaceDN w:val="0"/>
        <w:adjustRightInd w:val="0"/>
        <w:spacing w:after="0"/>
        <w:jc w:val="both"/>
        <w:rPr>
          <w:rFonts w:ascii="Arial" w:hAnsi="Arial" w:cs="Arial"/>
          <w:color w:val="000000"/>
          <w:sz w:val="24"/>
          <w:szCs w:val="24"/>
        </w:rPr>
      </w:pPr>
    </w:p>
    <w:p>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Las quejas y denuncias referentes a la implementación de este Programa podrán ser anónimas y confidenciales, se podrán presentar a través de: </w:t>
      </w:r>
    </w:p>
    <w:p>
      <w:pPr>
        <w:autoSpaceDE w:val="0"/>
        <w:autoSpaceDN w:val="0"/>
        <w:adjustRightInd w:val="0"/>
        <w:spacing w:after="0"/>
        <w:ind w:firstLine="360"/>
        <w:jc w:val="both"/>
        <w:rPr>
          <w:rFonts w:ascii="Arial" w:hAnsi="Arial" w:cs="Arial"/>
          <w:color w:val="000000"/>
          <w:sz w:val="24"/>
          <w:szCs w:val="24"/>
        </w:rPr>
      </w:pPr>
    </w:p>
    <w:p>
      <w:pPr>
        <w:numPr>
          <w:ilvl w:val="0"/>
          <w:numId w:val="7"/>
        </w:numPr>
        <w:suppressAutoHyphen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Directamente en las oficinas del órgano interno de control (Contraloría Municipal), ubicadas en la calle Independencia Sur número 105, colonia Tlajomulco Centro, código postal 45640</w:t>
      </w:r>
    </w:p>
    <w:p>
      <w:pPr>
        <w:suppressAutoHyphens/>
        <w:autoSpaceDE w:val="0"/>
        <w:autoSpaceDN w:val="0"/>
        <w:adjustRightInd w:val="0"/>
        <w:spacing w:after="0" w:line="240" w:lineRule="auto"/>
        <w:ind w:left="720"/>
        <w:rPr>
          <w:rFonts w:ascii="Arial" w:hAnsi="Arial" w:cs="Arial"/>
          <w:color w:val="000000"/>
          <w:sz w:val="24"/>
          <w:szCs w:val="24"/>
        </w:rPr>
      </w:pPr>
    </w:p>
    <w:p>
      <w:pPr>
        <w:numPr>
          <w:ilvl w:val="0"/>
          <w:numId w:val="7"/>
        </w:numPr>
        <w:suppressAutoHyphen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Vía telefónica: 33-32-83-44-68.</w:t>
      </w:r>
    </w:p>
    <w:p>
      <w:pPr>
        <w:suppressAutoHyphens/>
        <w:autoSpaceDE w:val="0"/>
        <w:autoSpaceDN w:val="0"/>
        <w:adjustRightInd w:val="0"/>
        <w:spacing w:after="0" w:line="240" w:lineRule="auto"/>
        <w:rPr>
          <w:rFonts w:ascii="Arial" w:hAnsi="Arial" w:cs="Arial"/>
          <w:color w:val="000000"/>
          <w:sz w:val="24"/>
          <w:szCs w:val="24"/>
        </w:rPr>
      </w:pPr>
    </w:p>
    <w:p>
      <w:pPr>
        <w:numPr>
          <w:ilvl w:val="0"/>
          <w:numId w:val="7"/>
        </w:numPr>
        <w:suppressAutoHyphen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Por internet en: </w:t>
      </w:r>
      <w:r>
        <w:rPr>
          <w:rFonts w:ascii="Arial" w:hAnsi="Arial" w:cs="Arial"/>
          <w:color w:val="0000FF" w:themeColor="hyperlink"/>
          <w:sz w:val="24"/>
          <w:szCs w:val="24"/>
          <w:u w:val="single"/>
        </w:rPr>
        <w:t>www.tlj.mx/denuncialos</w:t>
      </w:r>
    </w:p>
    <w:p>
      <w:pPr>
        <w:suppressAutoHyphens/>
        <w:autoSpaceDE w:val="0"/>
        <w:autoSpaceDN w:val="0"/>
        <w:adjustRightInd w:val="0"/>
        <w:spacing w:after="0" w:line="240" w:lineRule="auto"/>
        <w:rPr>
          <w:rFonts w:ascii="Arial" w:hAnsi="Arial" w:cs="Arial"/>
          <w:color w:val="000000"/>
          <w:sz w:val="24"/>
          <w:szCs w:val="24"/>
        </w:rPr>
      </w:pPr>
    </w:p>
    <w:p>
      <w:pPr>
        <w:numPr>
          <w:ilvl w:val="0"/>
          <w:numId w:val="7"/>
        </w:numPr>
        <w:suppressAutoHyphen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Por correo electrónico: </w:t>
      </w:r>
      <w:r>
        <w:rPr>
          <w:rFonts w:ascii="Arial" w:hAnsi="Arial" w:cs="Arial"/>
          <w:color w:val="0000FF" w:themeColor="hyperlink"/>
          <w:sz w:val="24"/>
          <w:szCs w:val="24"/>
          <w:u w:val="single"/>
        </w:rPr>
        <w:t>denuncialacorrupcion@tlajomulco.gob.mx</w:t>
      </w:r>
    </w:p>
    <w:p>
      <w:pPr>
        <w:suppressAutoHyphens/>
        <w:autoSpaceDE w:val="0"/>
        <w:autoSpaceDN w:val="0"/>
        <w:adjustRightInd w:val="0"/>
        <w:spacing w:after="0" w:line="240" w:lineRule="auto"/>
        <w:rPr>
          <w:rFonts w:ascii="Arial" w:hAnsi="Arial" w:cs="Arial"/>
          <w:color w:val="000000"/>
          <w:sz w:val="24"/>
          <w:szCs w:val="24"/>
        </w:rPr>
      </w:pPr>
    </w:p>
    <w:p>
      <w:pPr>
        <w:numPr>
          <w:ilvl w:val="0"/>
          <w:numId w:val="7"/>
        </w:numPr>
        <w:suppressAutoHyphen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 los buzones de quejas establecidos en el Centro Administrativo Tlajomulco (CAT), unidades administrativas, delegaciones y recaudadoras ubicadas en el territorio municipal.</w:t>
      </w:r>
    </w:p>
    <w:p>
      <w:pPr>
        <w:pStyle w:val="Prrafodelista"/>
        <w:rPr>
          <w:rFonts w:ascii="Arial" w:hAnsi="Arial" w:cs="Arial"/>
          <w:color w:val="000000"/>
          <w:sz w:val="24"/>
          <w:szCs w:val="24"/>
        </w:rPr>
      </w:pPr>
    </w:p>
    <w:p>
      <w:pPr>
        <w:pStyle w:val="Prrafodelista"/>
        <w:numPr>
          <w:ilvl w:val="0"/>
          <w:numId w:val="7"/>
        </w:numPr>
        <w:spacing w:after="0" w:line="240" w:lineRule="auto"/>
        <w:jc w:val="both"/>
        <w:rPr>
          <w:rFonts w:ascii="Arial" w:hAnsi="Arial" w:cs="Arial"/>
          <w:sz w:val="24"/>
        </w:rPr>
      </w:pPr>
      <w:r>
        <w:rPr>
          <w:rFonts w:ascii="Arial" w:hAnsi="Arial" w:cs="Arial"/>
          <w:sz w:val="24"/>
        </w:rPr>
        <w:t>En la Fiscalía Especializada en Delitos Electorales por internet: https://www.fepadenet.gob.mx/registro.aspx</w:t>
      </w:r>
    </w:p>
    <w:p>
      <w:pPr>
        <w:autoSpaceDE w:val="0"/>
        <w:autoSpaceDN w:val="0"/>
        <w:adjustRightInd w:val="0"/>
        <w:spacing w:after="0"/>
        <w:rPr>
          <w:rFonts w:ascii="Arial" w:hAnsi="Arial" w:cs="Arial"/>
          <w:b/>
          <w:color w:val="000000"/>
          <w:sz w:val="24"/>
          <w:szCs w:val="24"/>
        </w:rPr>
      </w:pPr>
    </w:p>
    <w:p>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4.3. De la Responsabilidad Administrativa.</w:t>
      </w:r>
    </w:p>
    <w:p>
      <w:pPr>
        <w:autoSpaceDE w:val="0"/>
        <w:autoSpaceDN w:val="0"/>
        <w:adjustRightInd w:val="0"/>
        <w:spacing w:after="0"/>
        <w:jc w:val="both"/>
        <w:rPr>
          <w:rFonts w:ascii="Arial" w:hAnsi="Arial" w:cs="Arial"/>
          <w:b/>
          <w:color w:val="000000"/>
          <w:sz w:val="24"/>
          <w:szCs w:val="24"/>
        </w:rPr>
      </w:pPr>
    </w:p>
    <w:p>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autoSpaceDE w:val="0"/>
        <w:autoSpaceDN w:val="0"/>
        <w:adjustRightInd w:val="0"/>
        <w:spacing w:after="0"/>
        <w:ind w:firstLine="708"/>
        <w:jc w:val="both"/>
        <w:rPr>
          <w:rFonts w:ascii="Arial" w:hAnsi="Arial" w:cs="Arial"/>
          <w:color w:val="000000"/>
          <w:sz w:val="24"/>
          <w:szCs w:val="24"/>
        </w:rPr>
      </w:pPr>
    </w:p>
    <w:p>
      <w:pPr>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4.4. Prohibición para Servidores Públicos.</w:t>
      </w:r>
    </w:p>
    <w:p>
      <w:pPr>
        <w:autoSpaceDE w:val="0"/>
        <w:autoSpaceDN w:val="0"/>
        <w:adjustRightInd w:val="0"/>
        <w:spacing w:after="0"/>
        <w:jc w:val="both"/>
        <w:rPr>
          <w:rFonts w:ascii="Arial" w:hAnsi="Arial" w:cs="Arial"/>
          <w:b/>
          <w:color w:val="000000"/>
          <w:sz w:val="24"/>
          <w:szCs w:val="24"/>
        </w:rPr>
      </w:pPr>
    </w:p>
    <w:p>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Las y los servidores públicos del Municipio que tengan injerencia en cualquier etapa del Programa, deberán de excusarse de recibir cualquier apoyo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autoSpaceDE w:val="0"/>
        <w:autoSpaceDN w:val="0"/>
        <w:adjustRightInd w:val="0"/>
        <w:spacing w:after="0"/>
        <w:jc w:val="both"/>
        <w:rPr>
          <w:rFonts w:ascii="Arial" w:hAnsi="Arial" w:cs="Arial"/>
          <w:color w:val="000000"/>
          <w:sz w:val="24"/>
          <w:szCs w:val="24"/>
        </w:rPr>
      </w:pPr>
    </w:p>
    <w:p>
      <w:pPr>
        <w:autoSpaceDE w:val="0"/>
        <w:autoSpaceDN w:val="0"/>
        <w:adjustRightInd w:val="0"/>
        <w:spacing w:after="0"/>
        <w:jc w:val="both"/>
        <w:rPr>
          <w:rFonts w:ascii="Arial" w:hAnsi="Arial" w:cs="Arial"/>
          <w:color w:val="000000"/>
          <w:sz w:val="24"/>
          <w:szCs w:val="24"/>
        </w:rPr>
      </w:pPr>
    </w:p>
    <w:p>
      <w:pPr>
        <w:autoSpaceDE w:val="0"/>
        <w:autoSpaceDN w:val="0"/>
        <w:adjustRightInd w:val="0"/>
        <w:spacing w:after="0"/>
        <w:jc w:val="both"/>
        <w:rPr>
          <w:rFonts w:ascii="Arial" w:hAnsi="Arial" w:cs="Arial"/>
          <w:color w:val="000000"/>
          <w:sz w:val="24"/>
          <w:szCs w:val="24"/>
        </w:rPr>
      </w:pPr>
      <w:bookmarkStart w:id="1" w:name="_GoBack"/>
      <w:bookmarkEnd w:id="1"/>
    </w:p>
    <w:p>
      <w:pPr>
        <w:ind w:right="-93"/>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u w:val="single"/>
        </w:rPr>
        <w:t>la versión oficial es aquella que aparece publicada en la Gaceta Municipal.</w:t>
      </w:r>
    </w:p>
    <w:p>
      <w:pPr>
        <w:pStyle w:val="Piedepgina"/>
        <w:rPr>
          <w:rFonts w:ascii="Arial" w:hAnsi="Arial" w:cs="Arial"/>
          <w:sz w:val="24"/>
          <w:szCs w:val="24"/>
        </w:rPr>
      </w:pPr>
    </w:p>
    <w:p>
      <w:pPr>
        <w:pStyle w:val="Piedepgina"/>
        <w:rPr>
          <w:rFonts w:ascii="Arial" w:hAnsi="Arial" w:cs="Arial"/>
          <w:sz w:val="24"/>
          <w:szCs w:val="24"/>
        </w:rPr>
      </w:pPr>
    </w:p>
    <w:p>
      <w:pPr>
        <w:pStyle w:val="Piedepgina"/>
        <w:jc w:val="both"/>
        <w:rPr>
          <w:rFonts w:ascii="Arial" w:hAnsi="Arial" w:cs="Arial"/>
          <w:szCs w:val="24"/>
        </w:rPr>
      </w:pPr>
    </w:p>
    <w:sectPr>
      <w:headerReference w:type="default" r:id="rId9"/>
      <w:footerReference w:type="default" r:id="rId10"/>
      <w:pgSz w:w="12240" w:h="15840"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jc w:val="right"/>
    </w:pPr>
  </w:p>
  <w:p>
    <w:pPr>
      <w:pStyle w:val="Piedepgina"/>
      <w:jc w:val="both"/>
      <w:rPr>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clear" w:pos="8838"/>
        <w:tab w:val="left" w:pos="-426"/>
        <w:tab w:val="right" w:pos="9356"/>
      </w:tabs>
      <w:ind w:left="-426" w:right="-518"/>
    </w:pPr>
    <w:r>
      <w:rPr>
        <w:rFonts w:ascii="Tahoma" w:hAnsi="Tahoma" w:cs="Tahoma"/>
        <w:noProof/>
        <w:lang w:eastAsia="es-MX"/>
      </w:rPr>
      <w:drawing>
        <wp:inline distT="0" distB="0" distL="0" distR="0">
          <wp:extent cx="552450" cy="619125"/>
          <wp:effectExtent l="0" t="0" r="0" b="9525"/>
          <wp:docPr id="2" name="Imagen 2" descr="Descripción: 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1912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85pt;height:48.2pt" o:ole="">
          <v:imagedata r:id="rId2" o:title=""/>
        </v:shape>
        <o:OLEObject Type="Embed" ProgID="PBrush" ShapeID="_x0000_i1025" DrawAspect="Content" ObjectID="_1676886729" r:id="rId3"/>
      </w:object>
    </w:r>
  </w:p>
  <w:p>
    <w:pPr>
      <w:pStyle w:val="Encabezado"/>
      <w:tabs>
        <w:tab w:val="clear" w:pos="8838"/>
        <w:tab w:val="right" w:pos="9356"/>
      </w:tabs>
      <w:ind w:right="-51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40DF"/>
    <w:multiLevelType w:val="hybridMultilevel"/>
    <w:tmpl w:val="DE8E7E2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06A5100F"/>
    <w:multiLevelType w:val="hybridMultilevel"/>
    <w:tmpl w:val="79B23E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9AB108D"/>
    <w:multiLevelType w:val="hybridMultilevel"/>
    <w:tmpl w:val="62D62C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765F56"/>
    <w:multiLevelType w:val="hybridMultilevel"/>
    <w:tmpl w:val="5EFECF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11589D"/>
    <w:multiLevelType w:val="multilevel"/>
    <w:tmpl w:val="F46A487A"/>
    <w:lvl w:ilvl="0">
      <w:start w:val="1"/>
      <w:numFmt w:val="decimal"/>
      <w:lvlText w:val="%1."/>
      <w:lvlJc w:val="left"/>
      <w:pPr>
        <w:ind w:left="720" w:hanging="360"/>
      </w:pPr>
    </w:lvl>
    <w:lvl w:ilvl="1">
      <w:start w:val="6"/>
      <w:numFmt w:val="decimal"/>
      <w:isLgl/>
      <w:lvlText w:val="%1.%2."/>
      <w:lvlJc w:val="left"/>
      <w:pPr>
        <w:ind w:left="1110" w:hanging="750"/>
      </w:pPr>
      <w:rPr>
        <w:rFonts w:hint="default"/>
        <w:b/>
      </w:rPr>
    </w:lvl>
    <w:lvl w:ilvl="2">
      <w:start w:val="3"/>
      <w:numFmt w:val="decimal"/>
      <w:isLgl/>
      <w:lvlText w:val="%1.%2.%3."/>
      <w:lvlJc w:val="left"/>
      <w:pPr>
        <w:ind w:left="1110" w:hanging="75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nsid w:val="21975E82"/>
    <w:multiLevelType w:val="hybridMultilevel"/>
    <w:tmpl w:val="BACA5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7601FE"/>
    <w:multiLevelType w:val="multilevel"/>
    <w:tmpl w:val="19623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9886E7B"/>
    <w:multiLevelType w:val="hybridMultilevel"/>
    <w:tmpl w:val="76668AB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31C17122"/>
    <w:multiLevelType w:val="hybridMultilevel"/>
    <w:tmpl w:val="17DEF044"/>
    <w:lvl w:ilvl="0" w:tplc="3DCAFCB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5246501"/>
    <w:multiLevelType w:val="hybridMultilevel"/>
    <w:tmpl w:val="593E0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5452C9"/>
    <w:multiLevelType w:val="hybridMultilevel"/>
    <w:tmpl w:val="7E807C14"/>
    <w:lvl w:ilvl="0" w:tplc="F1AE3A1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17395E"/>
    <w:multiLevelType w:val="hybridMultilevel"/>
    <w:tmpl w:val="F6C8F1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3BAE4185"/>
    <w:multiLevelType w:val="hybridMultilevel"/>
    <w:tmpl w:val="807A25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257DCF"/>
    <w:multiLevelType w:val="multilevel"/>
    <w:tmpl w:val="66BCCDB6"/>
    <w:lvl w:ilvl="0">
      <w:start w:val="2"/>
      <w:numFmt w:val="decimal"/>
      <w:lvlText w:val="%1"/>
      <w:lvlJc w:val="left"/>
      <w:pPr>
        <w:ind w:left="600" w:hanging="600"/>
      </w:pPr>
      <w:rPr>
        <w:rFonts w:hint="default"/>
        <w:b/>
      </w:rPr>
    </w:lvl>
    <w:lvl w:ilvl="1">
      <w:start w:val="6"/>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5D68D8"/>
    <w:multiLevelType w:val="hybridMultilevel"/>
    <w:tmpl w:val="FA346192"/>
    <w:lvl w:ilvl="0" w:tplc="1EF034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16865C5"/>
    <w:multiLevelType w:val="hybridMultilevel"/>
    <w:tmpl w:val="E5548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306411"/>
    <w:multiLevelType w:val="hybridMultilevel"/>
    <w:tmpl w:val="021679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A02ADD"/>
    <w:multiLevelType w:val="hybridMultilevel"/>
    <w:tmpl w:val="7DDE3A48"/>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4B460530"/>
    <w:multiLevelType w:val="hybridMultilevel"/>
    <w:tmpl w:val="9BB04C9C"/>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nsid w:val="52F1346F"/>
    <w:multiLevelType w:val="hybridMultilevel"/>
    <w:tmpl w:val="7F123D0A"/>
    <w:lvl w:ilvl="0" w:tplc="080A0017">
      <w:start w:val="1"/>
      <w:numFmt w:val="lowerLetter"/>
      <w:lvlText w:val="%1)"/>
      <w:lvlJc w:val="left"/>
      <w:pPr>
        <w:ind w:left="14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D194844"/>
    <w:multiLevelType w:val="hybridMultilevel"/>
    <w:tmpl w:val="864EF62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2">
    <w:nsid w:val="5F3259C9"/>
    <w:multiLevelType w:val="hybridMultilevel"/>
    <w:tmpl w:val="5FA48FE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96A42EF"/>
    <w:multiLevelType w:val="hybridMultilevel"/>
    <w:tmpl w:val="39445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E44AC7"/>
    <w:multiLevelType w:val="hybridMultilevel"/>
    <w:tmpl w:val="050E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B44858"/>
    <w:multiLevelType w:val="hybridMultilevel"/>
    <w:tmpl w:val="4844CE2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F67CA7"/>
    <w:multiLevelType w:val="hybridMultilevel"/>
    <w:tmpl w:val="92DEB99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8">
    <w:nsid w:val="7B1D5637"/>
    <w:multiLevelType w:val="hybridMultilevel"/>
    <w:tmpl w:val="883E16F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BA40DC8"/>
    <w:multiLevelType w:val="hybridMultilevel"/>
    <w:tmpl w:val="E5F0E8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604866"/>
    <w:multiLevelType w:val="multilevel"/>
    <w:tmpl w:val="2078F51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D3A6C07"/>
    <w:multiLevelType w:val="hybridMultilevel"/>
    <w:tmpl w:val="7DDE3A4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7EF00A81"/>
    <w:multiLevelType w:val="hybridMultilevel"/>
    <w:tmpl w:val="43DA91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2C18C5"/>
    <w:multiLevelType w:val="hybridMultilevel"/>
    <w:tmpl w:val="7DDE3A48"/>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7"/>
  </w:num>
  <w:num w:numId="2">
    <w:abstractNumId w:val="27"/>
  </w:num>
  <w:num w:numId="3">
    <w:abstractNumId w:val="0"/>
  </w:num>
  <w:num w:numId="4">
    <w:abstractNumId w:val="19"/>
  </w:num>
  <w:num w:numId="5">
    <w:abstractNumId w:val="33"/>
  </w:num>
  <w:num w:numId="6">
    <w:abstractNumId w:val="31"/>
  </w:num>
  <w:num w:numId="7">
    <w:abstractNumId w:val="23"/>
  </w:num>
  <w:num w:numId="8">
    <w:abstractNumId w:val="9"/>
  </w:num>
  <w:num w:numId="9">
    <w:abstractNumId w:val="14"/>
  </w:num>
  <w:num w:numId="10">
    <w:abstractNumId w:val="12"/>
  </w:num>
  <w:num w:numId="11">
    <w:abstractNumId w:val="17"/>
  </w:num>
  <w:num w:numId="12">
    <w:abstractNumId w:val="4"/>
  </w:num>
  <w:num w:numId="13">
    <w:abstractNumId w:val="24"/>
  </w:num>
  <w:num w:numId="14">
    <w:abstractNumId w:val="30"/>
  </w:num>
  <w:num w:numId="15">
    <w:abstractNumId w:val="16"/>
  </w:num>
  <w:num w:numId="16">
    <w:abstractNumId w:val="18"/>
  </w:num>
  <w:num w:numId="17">
    <w:abstractNumId w:val="21"/>
  </w:num>
  <w:num w:numId="18">
    <w:abstractNumId w:val="11"/>
  </w:num>
  <w:num w:numId="19">
    <w:abstractNumId w:val="6"/>
  </w:num>
  <w:num w:numId="20">
    <w:abstractNumId w:val="3"/>
  </w:num>
  <w:num w:numId="21">
    <w:abstractNumId w:val="29"/>
  </w:num>
  <w:num w:numId="22">
    <w:abstractNumId w:val="1"/>
  </w:num>
  <w:num w:numId="23">
    <w:abstractNumId w:val="13"/>
  </w:num>
  <w:num w:numId="24">
    <w:abstractNumId w:val="2"/>
  </w:num>
  <w:num w:numId="25">
    <w:abstractNumId w:val="26"/>
  </w:num>
  <w:num w:numId="26">
    <w:abstractNumId w:val="22"/>
  </w:num>
  <w:num w:numId="27">
    <w:abstractNumId w:val="25"/>
  </w:num>
  <w:num w:numId="28">
    <w:abstractNumId w:val="28"/>
  </w:num>
  <w:num w:numId="29">
    <w:abstractNumId w:val="8"/>
  </w:num>
  <w:num w:numId="30">
    <w:abstractNumId w:val="10"/>
  </w:num>
  <w:num w:numId="31">
    <w:abstractNumId w:val="15"/>
  </w:num>
  <w:num w:numId="32">
    <w:abstractNumId w:val="5"/>
  </w:num>
  <w:num w:numId="33">
    <w:abstractNumId w:val="3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pPr>
      <w:spacing w:before="100" w:beforeAutospacing="1" w:after="119" w:line="240" w:lineRule="auto"/>
    </w:pPr>
    <w:rPr>
      <w:rFonts w:ascii="Times New Roman" w:eastAsia="Times New Roman" w:hAnsi="Times New Roman" w:cs="Times New Roman"/>
      <w:sz w:val="24"/>
      <w:szCs w:val="24"/>
      <w:lang w:eastAsia="es-MX"/>
    </w:rPr>
  </w:style>
  <w:style w:type="paragraph" w:customStyle="1" w:styleId="Texto">
    <w:name w:val="Texto"/>
    <w:basedOn w:val="Normal"/>
    <w:pPr>
      <w:spacing w:after="101" w:line="216" w:lineRule="exact"/>
      <w:ind w:firstLine="288"/>
      <w:jc w:val="both"/>
    </w:pPr>
    <w:rPr>
      <w:rFonts w:ascii="Arial" w:eastAsia="Times New Roman" w:hAnsi="Arial" w:cs="Arial"/>
      <w:sz w:val="18"/>
      <w:szCs w:val="18"/>
      <w:lang w:eastAsia="es-ES"/>
    </w:r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Cuerpodetexto">
    <w:name w:val="Cuerpo de texto"/>
    <w:basedOn w:val="Normal"/>
    <w:pPr>
      <w:tabs>
        <w:tab w:val="left" w:pos="709"/>
      </w:tabs>
      <w:suppressAutoHyphens/>
      <w:spacing w:after="120"/>
    </w:pPr>
    <w:rPr>
      <w:rFonts w:ascii="Times New Roman" w:eastAsia="SimSun" w:hAnsi="Times New Roman" w:cs="Mangal"/>
      <w:color w:val="00000A"/>
      <w:sz w:val="24"/>
      <w:szCs w:val="24"/>
      <w:lang w:val="es-ES" w:eastAsia="zh-CN" w:bidi="hi-IN"/>
    </w:r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Pr>
      <w:color w:val="0000FF" w:themeColor="hyperlink"/>
      <w:u w:val="single"/>
    </w:rPr>
  </w:style>
  <w:style w:type="paragraph" w:styleId="Sinespaciado">
    <w:name w:val="No Spacing"/>
    <w:uiPriority w:val="1"/>
    <w:qFormat/>
    <w:pPr>
      <w:spacing w:after="0" w:line="240" w:lineRule="auto"/>
    </w:pPr>
  </w:style>
  <w:style w:type="paragraph" w:styleId="Textonotapie">
    <w:name w:val="footnote text"/>
    <w:basedOn w:val="Normal"/>
    <w:link w:val="TextonotapieCar"/>
    <w:uiPriority w:val="9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Pr>
      <w:rFonts w:ascii="Times New Roman" w:eastAsia="Times New Roman" w:hAnsi="Times New Roman" w:cs="Times New Roman"/>
      <w:sz w:val="20"/>
      <w:szCs w:val="20"/>
      <w:lang w:val="es-ES" w:eastAsia="es-ES"/>
    </w:rPr>
  </w:style>
  <w:style w:type="character" w:styleId="Refdenotaalpie">
    <w:name w:val="footnote reference"/>
    <w:uiPriority w:val="99"/>
    <w:rPr>
      <w:vertAlign w:val="superscript"/>
    </w:rPr>
  </w:style>
  <w:style w:type="character" w:customStyle="1" w:styleId="Fuentedeprrafopredeter2">
    <w:name w:val="Fuente de párrafo predeter.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qFormat/>
    <w:pPr>
      <w:spacing w:before="100" w:beforeAutospacing="1" w:after="119" w:line="240" w:lineRule="auto"/>
    </w:pPr>
    <w:rPr>
      <w:rFonts w:ascii="Times New Roman" w:eastAsia="Times New Roman" w:hAnsi="Times New Roman" w:cs="Times New Roman"/>
      <w:sz w:val="24"/>
      <w:szCs w:val="24"/>
      <w:lang w:eastAsia="es-MX"/>
    </w:rPr>
  </w:style>
  <w:style w:type="paragraph" w:customStyle="1" w:styleId="Texto">
    <w:name w:val="Texto"/>
    <w:basedOn w:val="Normal"/>
    <w:pPr>
      <w:spacing w:after="101" w:line="216" w:lineRule="exact"/>
      <w:ind w:firstLine="288"/>
      <w:jc w:val="both"/>
    </w:pPr>
    <w:rPr>
      <w:rFonts w:ascii="Arial" w:eastAsia="Times New Roman" w:hAnsi="Arial" w:cs="Arial"/>
      <w:sz w:val="18"/>
      <w:szCs w:val="18"/>
      <w:lang w:eastAsia="es-ES"/>
    </w:r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customStyle="1" w:styleId="Cuerpodetexto">
    <w:name w:val="Cuerpo de texto"/>
    <w:basedOn w:val="Normal"/>
    <w:pPr>
      <w:tabs>
        <w:tab w:val="left" w:pos="709"/>
      </w:tabs>
      <w:suppressAutoHyphens/>
      <w:spacing w:after="120"/>
    </w:pPr>
    <w:rPr>
      <w:rFonts w:ascii="Times New Roman" w:eastAsia="SimSun" w:hAnsi="Times New Roman" w:cs="Mangal"/>
      <w:color w:val="00000A"/>
      <w:sz w:val="24"/>
      <w:szCs w:val="24"/>
      <w:lang w:val="es-ES" w:eastAsia="zh-CN" w:bidi="hi-IN"/>
    </w:rP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Pr>
      <w:color w:val="0000FF" w:themeColor="hyperlink"/>
      <w:u w:val="single"/>
    </w:rPr>
  </w:style>
  <w:style w:type="paragraph" w:styleId="Sinespaciado">
    <w:name w:val="No Spacing"/>
    <w:uiPriority w:val="1"/>
    <w:qFormat/>
    <w:pPr>
      <w:spacing w:after="0" w:line="240" w:lineRule="auto"/>
    </w:pPr>
  </w:style>
  <w:style w:type="paragraph" w:styleId="Textonotapie">
    <w:name w:val="footnote text"/>
    <w:basedOn w:val="Normal"/>
    <w:link w:val="TextonotapieCar"/>
    <w:uiPriority w:val="9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Pr>
      <w:rFonts w:ascii="Times New Roman" w:eastAsia="Times New Roman" w:hAnsi="Times New Roman" w:cs="Times New Roman"/>
      <w:sz w:val="20"/>
      <w:szCs w:val="20"/>
      <w:lang w:val="es-ES" w:eastAsia="es-ES"/>
    </w:rPr>
  </w:style>
  <w:style w:type="character" w:styleId="Refdenotaalpie">
    <w:name w:val="footnote reference"/>
    <w:uiPriority w:val="99"/>
    <w:rPr>
      <w:vertAlign w:val="superscript"/>
    </w:rPr>
  </w:style>
  <w:style w:type="character" w:customStyle="1" w:styleId="Fuentedeprrafopredeter2">
    <w:name w:val="Fuente de párrafo predeter.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16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Sec203</b:Tag>
    <b:SourceType>InternetSite</b:SourceType>
    <b:Guid>{711D7D99-CF9C-439C-AC27-A172DB29DC75}</b:Guid>
    <b:Author>
      <b:Author>
        <b:Corporate>Secretaría de Salud del Gobierno de México</b:Corporate>
      </b:Author>
    </b:Author>
    <b:Title>Comunicado Técnico Diario Nuevo Coronavirus en el Mundo (COVID-19)</b:Title>
    <b:Year>2020</b:Year>
    <b:Month>marzo</b:Month>
    <b:Day>29</b:Day>
    <b:URL>https://www.gob.mx/cms/uploads/attachment/file/544088/Comunicado_Tecnico_Diario_COVID-19_2020.03.29.pdf</b:URL>
    <b:RefOrder>4</b:RefOrder>
  </b:Source>
  <b:Source>
    <b:Tag>OMS20</b:Tag>
    <b:SourceType>InternetSite</b:SourceType>
    <b:Guid>{04083714-E6F3-40F3-8516-CA9DEF692C2A}</b:Guid>
    <b:Author>
      <b:Author>
        <b:Corporate>OMS y OPS</b:Corporate>
      </b:Author>
    </b:Author>
    <b:Title>Actualización Epidemiológica</b:Title>
    <b:Year>2020</b:Year>
    <b:Month>Febrero</b:Month>
    <b:Day>28</b:Day>
    <b:URL>file:///C:/Users/TLJ0067/Downloads/1-2020-feb-28-phe-actualizacion-epi-covid19.pdf</b:URL>
    <b:RefOrder>1</b:RefOrder>
  </b:Source>
  <b:Source>
    <b:Tag>Sec20</b:Tag>
    <b:SourceType>InternetSite</b:SourceType>
    <b:Guid>{9CD41081-AEFB-4DA6-9026-A89531231305}</b:Guid>
    <b:Author>
      <b:Author>
        <b:Corporate>Secretaría de Salud</b:Corporate>
      </b:Author>
    </b:Author>
    <b:Title>COVID-19 PREGUNTAS FRECUENTES</b:Title>
    <b:Year>2020</b:Year>
    <b:Month>Marzo</b:Month>
    <b:Day>12</b:Day>
    <b:URL>https://www.gob.mx/salud/documentos/covid-19-preguntas-frecuentes?state=published</b:URL>
    <b:RefOrder>2</b:RefOrder>
  </b:Source>
  <b:Source>
    <b:Tag>Sec201</b:Tag>
    <b:SourceType>InternetSite</b:SourceType>
    <b:Guid>{1FD9D7FD-AD78-4B58-BFF5-9EE7BC455C09}</b:Guid>
    <b:Author>
      <b:Author>
        <b:Corporate>Secretaría de Salud del Gobierno de México</b:Corporate>
      </b:Author>
    </b:Author>
    <b:Title>Comunicado Técnico Diario Nuevo Coronavirus en el Mundo (COVID-19)</b:Title>
    <b:Year>2020</b:Year>
    <b:Month>Marzo</b:Month>
    <b:Day>16</b:Day>
    <b:URL>https://www.gob.mx/cms/uploads/attachment/file/541582/Comunicado_Tecnico_Diario_COVID-19_2020.03.16.pdf</b:URL>
    <b:RefOrder>3</b:RefOrder>
  </b:Source>
  <b:Source>
    <b:Tag>Sec204</b:Tag>
    <b:SourceType>InternetSite</b:SourceType>
    <b:Guid>{259FDBF4-0111-4036-84DE-B414234BF176}</b:Guid>
    <b:Author>
      <b:Author>
        <b:Corporate>Secretaría de Salud Jalisco</b:Corporate>
      </b:Author>
    </b:Author>
    <b:Title>Se acumulan otros once casos confirmados de COVID-19 en Jalisco</b:Title>
    <b:Year>2020</b:Year>
    <b:Month>marzo</b:Month>
    <b:Day>26</b:Day>
    <b:URL>https://ssj.jalisco.gob.mx/prensa/noticia/8943</b:URL>
    <b:RefOrder>5</b:RefOrder>
  </b:Source>
  <b:Source>
    <b:Tag>Sec202</b:Tag>
    <b:SourceType>InternetSite</b:SourceType>
    <b:Guid>{055A522F-CD6E-435D-9E2B-335E67895042}</b:Guid>
    <b:Author>
      <b:Author>
        <b:Corporate>Secretaría de Salud Jalisco</b:Corporate>
      </b:Author>
    </b:Author>
    <b:Title>Todo lo que Debes Saber sobre Coronavirus Aviso Preventivo</b:Title>
    <b:Year>2020</b:Year>
    <b:Month>Marzo</b:Month>
    <b:URL>https://www.jalisco.gob.mx/es/gobierno/comunicados/coronavirus</b:URL>
    <b:RefOrder>6</b:RefOrder>
  </b:Source>
</b:Sources>
</file>

<file path=customXml/itemProps1.xml><?xml version="1.0" encoding="utf-8"?>
<ds:datastoreItem xmlns:ds="http://schemas.openxmlformats.org/officeDocument/2006/customXml" ds:itemID="{B0CD2D74-47C7-4F22-B535-CF0C969E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3362</Words>
  <Characters>18494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Likuit Snake</Company>
  <LinksUpToDate>false</LinksUpToDate>
  <CharactersWithSpaces>21813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ESTEBAN SANCHEZ GONZALEZ</dc:creator>
  <cp:lastModifiedBy>Likuit</cp:lastModifiedBy>
  <cp:revision>3</cp:revision>
  <cp:lastPrinted>2021-02-25T19:08:00Z</cp:lastPrinted>
  <dcterms:created xsi:type="dcterms:W3CDTF">2021-03-10T17:24:00Z</dcterms:created>
  <dcterms:modified xsi:type="dcterms:W3CDTF">2021-03-10T19:06:00Z</dcterms:modified>
</cp:coreProperties>
</file>