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NormalWeb"/>
        <w:tabs>
          <w:tab w:val="left" w:pos="7905"/>
        </w:tabs>
        <w:spacing w:before="0" w:after="0"/>
        <w:ind w:right="49"/>
        <w:jc w:val="right"/>
        <w:rPr>
          <w:rFonts w:ascii="Verdana" w:hAnsi="Verdana"/>
          <w:sz w:val="22"/>
          <w:szCs w:val="22"/>
        </w:rPr>
      </w:pPr>
      <w:r>
        <w:rPr>
          <w:rFonts w:ascii="Verdana" w:hAnsi="Verdana"/>
          <w:b/>
          <w:sz w:val="22"/>
          <w:szCs w:val="22"/>
        </w:rPr>
        <w:t>Aprobación</w:t>
      </w:r>
      <w:r>
        <w:rPr>
          <w:rFonts w:ascii="Verdana" w:hAnsi="Verdana"/>
          <w:sz w:val="22"/>
          <w:szCs w:val="22"/>
        </w:rPr>
        <w:t xml:space="preserve">: 22 de febrero del año 2019. </w:t>
      </w:r>
    </w:p>
    <w:p>
      <w:pPr>
        <w:pStyle w:val="NormalWeb"/>
        <w:spacing w:before="0" w:after="0"/>
        <w:ind w:right="49"/>
        <w:jc w:val="right"/>
        <w:rPr>
          <w:rFonts w:ascii="Verdana" w:hAnsi="Verdana"/>
          <w:sz w:val="22"/>
          <w:szCs w:val="22"/>
        </w:rPr>
      </w:pPr>
      <w:r>
        <w:rPr>
          <w:rFonts w:ascii="Verdana" w:hAnsi="Verdana"/>
          <w:b/>
          <w:sz w:val="22"/>
          <w:szCs w:val="22"/>
        </w:rPr>
        <w:t>Punto de Acuerdo:</w:t>
      </w:r>
      <w:r>
        <w:rPr>
          <w:rFonts w:ascii="Verdana" w:hAnsi="Verdana"/>
          <w:sz w:val="22"/>
          <w:szCs w:val="22"/>
        </w:rPr>
        <w:t xml:space="preserve"> 022/2019.</w:t>
      </w:r>
    </w:p>
    <w:p>
      <w:pPr>
        <w:widowControl w:val="0"/>
        <w:tabs>
          <w:tab w:val="left" w:pos="708"/>
        </w:tabs>
        <w:spacing w:line="100" w:lineRule="atLeast"/>
        <w:ind w:left="5387" w:right="51" w:hanging="425"/>
        <w:jc w:val="right"/>
        <w:rPr>
          <w:rFonts w:ascii="Verdana" w:eastAsia="Times New Roman" w:hAnsi="Verdana"/>
          <w:b/>
          <w:sz w:val="22"/>
          <w:szCs w:val="22"/>
          <w:lang w:val="es-ES" w:eastAsia="es-ES" w:bidi="hi-IN"/>
        </w:rPr>
      </w:pPr>
    </w:p>
    <w:p>
      <w:pPr>
        <w:widowControl w:val="0"/>
        <w:tabs>
          <w:tab w:val="left" w:pos="708"/>
        </w:tabs>
        <w:spacing w:line="100" w:lineRule="atLeast"/>
        <w:ind w:left="5387" w:right="51" w:hanging="425"/>
        <w:jc w:val="right"/>
        <w:rPr>
          <w:rFonts w:ascii="Verdana" w:eastAsia="Times New Roman" w:hAnsi="Verdana"/>
          <w:b/>
          <w:sz w:val="22"/>
          <w:szCs w:val="22"/>
          <w:lang w:val="es-ES" w:eastAsia="es-ES" w:bidi="hi-IN"/>
        </w:rPr>
      </w:pPr>
    </w:p>
    <w:p>
      <w:pPr>
        <w:tabs>
          <w:tab w:val="left" w:pos="708"/>
        </w:tabs>
        <w:jc w:val="center"/>
        <w:rPr>
          <w:rFonts w:ascii="Verdana" w:eastAsia="Verdana" w:hAnsi="Verdana" w:cs="Verdana"/>
          <w:b/>
          <w:color w:val="262626"/>
          <w:sz w:val="22"/>
          <w:szCs w:val="22"/>
          <w:lang w:eastAsia="es-MX"/>
        </w:rPr>
      </w:pPr>
      <w:r>
        <w:rPr>
          <w:rFonts w:ascii="Verdana" w:eastAsia="Verdana" w:hAnsi="Verdana" w:cs="Verdana"/>
          <w:b/>
          <w:color w:val="262626"/>
          <w:sz w:val="22"/>
          <w:szCs w:val="22"/>
          <w:lang w:eastAsia="es-MX"/>
        </w:rPr>
        <w:t xml:space="preserve">REGLAS DE OPERACIÓN DEL </w:t>
      </w:r>
    </w:p>
    <w:p>
      <w:pPr>
        <w:tabs>
          <w:tab w:val="left" w:pos="708"/>
        </w:tabs>
        <w:jc w:val="center"/>
        <w:rPr>
          <w:rFonts w:ascii="Verdana" w:eastAsia="Verdana" w:hAnsi="Verdana" w:cs="Verdana"/>
          <w:b/>
          <w:sz w:val="22"/>
          <w:szCs w:val="22"/>
          <w:lang w:eastAsia="es-MX"/>
        </w:rPr>
      </w:pPr>
      <w:r>
        <w:rPr>
          <w:rFonts w:ascii="Verdana" w:eastAsia="Verdana" w:hAnsi="Verdana" w:cs="Verdana"/>
          <w:b/>
          <w:color w:val="262626"/>
          <w:sz w:val="22"/>
          <w:szCs w:val="22"/>
          <w:lang w:eastAsia="es-MX"/>
        </w:rPr>
        <w:t xml:space="preserve">“PROGRAMA DE </w:t>
      </w:r>
      <w:r>
        <w:rPr>
          <w:rFonts w:ascii="Verdana" w:eastAsia="Verdana" w:hAnsi="Verdana" w:cs="Verdana"/>
          <w:b/>
          <w:color w:val="000000"/>
          <w:sz w:val="22"/>
          <w:szCs w:val="22"/>
          <w:lang w:eastAsia="es-MX"/>
        </w:rPr>
        <w:t>APOYO PARA LA APLICACIÓN EN GANADO DE DISPOSITIVO DE IDENTIFICACIÓN OFICIAL</w:t>
      </w:r>
      <w:r>
        <w:rPr>
          <w:rFonts w:ascii="Verdana" w:eastAsia="Verdana" w:hAnsi="Verdana" w:cs="Verdana"/>
          <w:b/>
          <w:color w:val="FF0000"/>
          <w:sz w:val="22"/>
          <w:szCs w:val="22"/>
          <w:lang w:eastAsia="es-MX"/>
        </w:rPr>
        <w:t xml:space="preserve"> </w:t>
      </w:r>
      <w:r>
        <w:rPr>
          <w:rFonts w:ascii="Verdana" w:eastAsia="Verdana" w:hAnsi="Verdana" w:cs="Verdana"/>
          <w:b/>
          <w:sz w:val="22"/>
          <w:szCs w:val="22"/>
          <w:lang w:eastAsia="es-MX"/>
        </w:rPr>
        <w:t xml:space="preserve">2019”     </w:t>
      </w:r>
    </w:p>
    <w:p>
      <w:pPr>
        <w:tabs>
          <w:tab w:val="left" w:pos="708"/>
        </w:tabs>
        <w:rPr>
          <w:rFonts w:ascii="Verdana" w:eastAsia="Verdana" w:hAnsi="Verdana" w:cs="Verdana"/>
          <w:color w:val="000000"/>
          <w:sz w:val="22"/>
          <w:szCs w:val="22"/>
          <w:lang w:eastAsia="es-MX"/>
        </w:rPr>
      </w:pPr>
    </w:p>
    <w:p>
      <w:pPr>
        <w:tabs>
          <w:tab w:val="left" w:pos="708"/>
        </w:tabs>
        <w:rPr>
          <w:rFonts w:ascii="Verdana" w:eastAsia="Verdana" w:hAnsi="Verdana" w:cs="Verdana"/>
          <w:color w:val="000000"/>
          <w:sz w:val="22"/>
          <w:szCs w:val="22"/>
          <w:lang w:eastAsia="es-MX"/>
        </w:rPr>
      </w:pPr>
    </w:p>
    <w:p>
      <w:pPr>
        <w:numPr>
          <w:ilvl w:val="0"/>
          <w:numId w:val="24"/>
        </w:numPr>
        <w:pBdr>
          <w:top w:val="nil"/>
          <w:left w:val="nil"/>
          <w:bottom w:val="nil"/>
          <w:right w:val="nil"/>
          <w:between w:val="nil"/>
        </w:pBdr>
        <w:suppressAutoHyphens w:val="0"/>
        <w:ind w:left="426" w:right="51"/>
        <w:jc w:val="both"/>
        <w:rPr>
          <w:rFonts w:ascii="Verdana" w:eastAsia="Verdana" w:hAnsi="Verdana" w:cs="Verdana"/>
          <w:b/>
          <w:color w:val="000000"/>
          <w:sz w:val="22"/>
          <w:szCs w:val="22"/>
          <w:lang w:eastAsia="es-MX"/>
        </w:rPr>
      </w:pPr>
      <w:r>
        <w:rPr>
          <w:rFonts w:ascii="Verdana" w:eastAsia="Verdana" w:hAnsi="Verdana" w:cs="Verdana"/>
          <w:b/>
          <w:color w:val="000000"/>
          <w:sz w:val="22"/>
          <w:szCs w:val="22"/>
          <w:lang w:eastAsia="es-MX"/>
        </w:rPr>
        <w:t xml:space="preserve">ASPECTOS GENERALES. </w:t>
      </w:r>
    </w:p>
    <w:p>
      <w:pPr>
        <w:pBdr>
          <w:top w:val="nil"/>
          <w:left w:val="nil"/>
          <w:bottom w:val="nil"/>
          <w:right w:val="nil"/>
          <w:between w:val="nil"/>
        </w:pBdr>
        <w:ind w:right="51"/>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 xml:space="preserve"> </w:t>
      </w:r>
    </w:p>
    <w:p>
      <w:pPr>
        <w:pBdr>
          <w:top w:val="nil"/>
          <w:left w:val="nil"/>
          <w:bottom w:val="nil"/>
          <w:right w:val="nil"/>
          <w:between w:val="nil"/>
        </w:pBdr>
        <w:ind w:right="51"/>
        <w:rPr>
          <w:rFonts w:ascii="Verdana" w:eastAsia="Verdana" w:hAnsi="Verdana" w:cs="Verdana"/>
          <w:color w:val="000000"/>
          <w:sz w:val="22"/>
          <w:szCs w:val="22"/>
          <w:lang w:eastAsia="es-MX"/>
        </w:rPr>
      </w:pPr>
      <w:r>
        <w:rPr>
          <w:rFonts w:ascii="Verdana" w:eastAsia="Verdana" w:hAnsi="Verdana" w:cs="Verdana"/>
          <w:b/>
          <w:sz w:val="22"/>
          <w:szCs w:val="22"/>
          <w:lang w:eastAsia="es-MX"/>
        </w:rPr>
        <w:t xml:space="preserve">1.1. </w:t>
      </w:r>
      <w:r>
        <w:rPr>
          <w:rFonts w:ascii="Verdana" w:eastAsia="Verdana" w:hAnsi="Verdana" w:cs="Verdana"/>
          <w:b/>
          <w:color w:val="000000"/>
          <w:sz w:val="22"/>
          <w:szCs w:val="22"/>
          <w:lang w:eastAsia="es-MX"/>
        </w:rPr>
        <w:t>INTRODUCCIÓN</w:t>
      </w:r>
    </w:p>
    <w:p>
      <w:pPr>
        <w:tabs>
          <w:tab w:val="left" w:pos="708"/>
        </w:tabs>
        <w:jc w:val="both"/>
        <w:rPr>
          <w:rFonts w:ascii="Verdana" w:eastAsia="Verdana" w:hAnsi="Verdana" w:cs="Verdana"/>
          <w:b/>
          <w:color w:val="000000"/>
          <w:sz w:val="22"/>
          <w:szCs w:val="22"/>
          <w:lang w:eastAsia="es-MX"/>
        </w:rPr>
      </w:pPr>
    </w:p>
    <w:p>
      <w:pPr>
        <w:tabs>
          <w:tab w:val="left" w:pos="708"/>
        </w:tabs>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Con el fin de fortalecer los programas de control sanitario, la movilización de los animales, el manejo técnico de los hatos, el mejoramiento genético, el combate al abigeato y contrabando de ganado; optimización de procesos comerciales, planeación y evaluación de programas de sector pecuario, así como la salud pública se implementa a nivel el Sistema Nacional de Identificación Individual de Ganado (SINIIGA) desde 2012.</w:t>
      </w:r>
    </w:p>
    <w:p>
      <w:pPr>
        <w:tabs>
          <w:tab w:val="left" w:pos="708"/>
        </w:tabs>
        <w:jc w:val="both"/>
        <w:rPr>
          <w:rFonts w:ascii="Verdana" w:eastAsia="Verdana" w:hAnsi="Verdana" w:cs="Verdana"/>
          <w:b/>
          <w:color w:val="000000"/>
          <w:sz w:val="22"/>
          <w:szCs w:val="22"/>
          <w:lang w:eastAsia="es-MX"/>
        </w:rPr>
      </w:pPr>
    </w:p>
    <w:p>
      <w:pPr>
        <w:tabs>
          <w:tab w:val="left" w:pos="708"/>
        </w:tabs>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A partir del primero de diciembre de 2016, se volvió obligatorio que el ganado bovino y colmenas contar</w:t>
      </w:r>
      <w:r>
        <w:rPr>
          <w:rFonts w:ascii="Verdana" w:eastAsia="Verdana" w:hAnsi="Verdana" w:cs="Verdana"/>
          <w:sz w:val="22"/>
          <w:szCs w:val="22"/>
          <w:lang w:eastAsia="es-MX"/>
        </w:rPr>
        <w:t>á</w:t>
      </w:r>
      <w:r>
        <w:rPr>
          <w:rFonts w:ascii="Verdana" w:eastAsia="Verdana" w:hAnsi="Verdana" w:cs="Verdana"/>
          <w:color w:val="000000"/>
          <w:sz w:val="22"/>
          <w:szCs w:val="22"/>
          <w:lang w:eastAsia="es-MX"/>
        </w:rPr>
        <w:t>n con un Dispositivo de Identificador Oficial para poder lograr su comercialización y movilización. Para realizar dicho proceso, sobre todo en bovinos la o el productor tenía que realizar un pago de $30 pesos por identificador, más $30 de la aplicación, generando un gasto de $60 pesos por bovino identificado, situación que empezó a representar un obstáculo para que las y los productores cumplieran con dicha disposición.</w:t>
      </w:r>
    </w:p>
    <w:p>
      <w:pPr>
        <w:tabs>
          <w:tab w:val="left" w:pos="708"/>
        </w:tabs>
        <w:jc w:val="both"/>
        <w:rPr>
          <w:rFonts w:ascii="Verdana" w:eastAsia="Verdana" w:hAnsi="Verdana" w:cs="Verdana"/>
          <w:color w:val="000000"/>
          <w:sz w:val="22"/>
          <w:szCs w:val="22"/>
          <w:lang w:eastAsia="es-MX"/>
        </w:rPr>
      </w:pPr>
    </w:p>
    <w:p>
      <w:pPr>
        <w:pBdr>
          <w:top w:val="nil"/>
          <w:left w:val="nil"/>
          <w:bottom w:val="nil"/>
          <w:right w:val="nil"/>
          <w:between w:val="nil"/>
        </w:pBdr>
        <w:ind w:right="51"/>
        <w:jc w:val="both"/>
        <w:rPr>
          <w:rFonts w:ascii="Verdana" w:eastAsia="Verdana" w:hAnsi="Verdana" w:cs="Verdana"/>
          <w:b/>
          <w:color w:val="000000"/>
          <w:sz w:val="22"/>
          <w:szCs w:val="22"/>
          <w:lang w:eastAsia="es-MX"/>
        </w:rPr>
      </w:pPr>
      <w:r>
        <w:rPr>
          <w:rFonts w:ascii="Verdana" w:eastAsia="Verdana" w:hAnsi="Verdana" w:cs="Verdana"/>
          <w:b/>
          <w:sz w:val="22"/>
          <w:szCs w:val="22"/>
          <w:lang w:eastAsia="es-MX"/>
        </w:rPr>
        <w:t xml:space="preserve">1.2. </w:t>
      </w:r>
      <w:r>
        <w:rPr>
          <w:rFonts w:ascii="Verdana" w:eastAsia="Verdana" w:hAnsi="Verdana" w:cs="Verdana"/>
          <w:b/>
          <w:color w:val="000000"/>
          <w:sz w:val="22"/>
          <w:szCs w:val="22"/>
          <w:lang w:eastAsia="es-MX"/>
        </w:rPr>
        <w:t xml:space="preserve"> DESCRIPCIÓN DEL PROGRAMA.</w:t>
      </w:r>
    </w:p>
    <w:p>
      <w:pPr>
        <w:pBdr>
          <w:top w:val="nil"/>
          <w:left w:val="nil"/>
          <w:bottom w:val="nil"/>
          <w:right w:val="nil"/>
          <w:between w:val="nil"/>
        </w:pBdr>
        <w:ind w:left="284" w:right="51"/>
        <w:jc w:val="both"/>
        <w:rPr>
          <w:rFonts w:ascii="Verdana" w:eastAsia="Verdana" w:hAnsi="Verdana" w:cs="Verdana"/>
          <w:b/>
          <w:color w:val="000000"/>
          <w:sz w:val="22"/>
          <w:szCs w:val="22"/>
          <w:lang w:eastAsia="es-MX"/>
        </w:rPr>
      </w:pPr>
    </w:p>
    <w:p>
      <w:pPr>
        <w:pBdr>
          <w:top w:val="nil"/>
          <w:left w:val="nil"/>
          <w:bottom w:val="nil"/>
          <w:right w:val="nil"/>
          <w:between w:val="nil"/>
        </w:pBdr>
        <w:ind w:left="284" w:right="51"/>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1.2.1.</w:t>
      </w:r>
      <w:r>
        <w:rPr>
          <w:rFonts w:ascii="Verdana" w:eastAsia="Verdana" w:hAnsi="Verdana" w:cs="Verdana"/>
          <w:color w:val="000000"/>
          <w:sz w:val="22"/>
          <w:szCs w:val="22"/>
          <w:lang w:eastAsia="es-MX"/>
        </w:rPr>
        <w:t xml:space="preserve"> NOMBRE DEL PROGRAMA: P</w:t>
      </w:r>
      <w:r>
        <w:rPr>
          <w:rFonts w:ascii="Verdana" w:eastAsia="Verdana" w:hAnsi="Verdana" w:cs="Verdana"/>
          <w:color w:val="262626"/>
          <w:sz w:val="22"/>
          <w:szCs w:val="22"/>
          <w:lang w:eastAsia="es-MX"/>
        </w:rPr>
        <w:t>rograma de</w:t>
      </w:r>
      <w:r>
        <w:rPr>
          <w:rFonts w:ascii="Verdana" w:eastAsia="Verdana" w:hAnsi="Verdana" w:cs="Verdana"/>
          <w:b/>
          <w:color w:val="262626"/>
          <w:sz w:val="22"/>
          <w:szCs w:val="22"/>
          <w:lang w:eastAsia="es-MX"/>
        </w:rPr>
        <w:t xml:space="preserve"> </w:t>
      </w:r>
      <w:r>
        <w:rPr>
          <w:rFonts w:ascii="Verdana" w:eastAsia="Verdana" w:hAnsi="Verdana" w:cs="Verdana"/>
          <w:color w:val="000000"/>
          <w:sz w:val="22"/>
          <w:szCs w:val="22"/>
          <w:lang w:eastAsia="es-MX"/>
        </w:rPr>
        <w:t>Apoyo para la Aplicación de Ganado de Dispositivo de Identificación Oficial 2019.</w:t>
      </w:r>
    </w:p>
    <w:p>
      <w:pPr>
        <w:pBdr>
          <w:top w:val="nil"/>
          <w:left w:val="nil"/>
          <w:bottom w:val="nil"/>
          <w:right w:val="nil"/>
          <w:between w:val="nil"/>
        </w:pBdr>
        <w:ind w:left="284" w:right="51"/>
        <w:jc w:val="both"/>
        <w:rPr>
          <w:rFonts w:ascii="Verdana" w:eastAsia="Verdana" w:hAnsi="Verdana" w:cs="Verdana"/>
          <w:color w:val="000000"/>
          <w:sz w:val="22"/>
          <w:szCs w:val="22"/>
          <w:lang w:eastAsia="es-MX"/>
        </w:rPr>
      </w:pPr>
    </w:p>
    <w:p>
      <w:pPr>
        <w:pBdr>
          <w:top w:val="nil"/>
          <w:left w:val="nil"/>
          <w:bottom w:val="nil"/>
          <w:right w:val="nil"/>
          <w:between w:val="nil"/>
        </w:pBdr>
        <w:ind w:left="284" w:right="51"/>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1.2.2.</w:t>
      </w:r>
      <w:r>
        <w:rPr>
          <w:rFonts w:ascii="Verdana" w:eastAsia="Verdana" w:hAnsi="Verdana" w:cs="Verdana"/>
          <w:color w:val="000000"/>
          <w:sz w:val="22"/>
          <w:szCs w:val="22"/>
          <w:lang w:eastAsia="es-MX"/>
        </w:rPr>
        <w:t xml:space="preserve"> ALINEACIÓN CON EL PLAN: este programa contribuye con el eje estratégico 7 Desarrollo Económico Local, tema 7.1 Fortalecimiento del Campo y los Sectores Tradicionales del Plan Municipal de Desarrollo 2015-2018, que busca fortalecer las actividades del campo por medio del impulso a la producción agrícola, ganadera y pesquera con el uso de prácticas intensivas.</w:t>
      </w:r>
    </w:p>
    <w:p>
      <w:pPr>
        <w:pBdr>
          <w:top w:val="nil"/>
          <w:left w:val="nil"/>
          <w:bottom w:val="nil"/>
          <w:right w:val="nil"/>
          <w:between w:val="nil"/>
        </w:pBdr>
        <w:ind w:left="284" w:right="51"/>
        <w:jc w:val="both"/>
        <w:rPr>
          <w:rFonts w:ascii="Verdana" w:eastAsia="Verdana" w:hAnsi="Verdana" w:cs="Verdana"/>
          <w:color w:val="000000"/>
          <w:sz w:val="22"/>
          <w:szCs w:val="22"/>
          <w:lang w:eastAsia="es-MX"/>
        </w:rPr>
      </w:pPr>
    </w:p>
    <w:p>
      <w:pPr>
        <w:pBdr>
          <w:top w:val="nil"/>
          <w:left w:val="nil"/>
          <w:bottom w:val="nil"/>
          <w:right w:val="nil"/>
          <w:between w:val="nil"/>
        </w:pBdr>
        <w:ind w:left="284" w:right="51"/>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 xml:space="preserve">1.2.3. </w:t>
      </w:r>
      <w:r>
        <w:rPr>
          <w:rFonts w:ascii="Verdana" w:eastAsia="Verdana" w:hAnsi="Verdana" w:cs="Verdana"/>
          <w:color w:val="000000"/>
          <w:sz w:val="22"/>
          <w:szCs w:val="22"/>
          <w:lang w:eastAsia="es-MX"/>
        </w:rPr>
        <w:t>DERECHO PARA EL DESARROLLO SOCIAL QUE ATIENDE:</w:t>
      </w:r>
      <w:r>
        <w:rPr>
          <w:rFonts w:ascii="Verdana" w:eastAsia="Verdana" w:hAnsi="Verdana" w:cs="Verdana"/>
          <w:b/>
          <w:color w:val="000000"/>
          <w:sz w:val="22"/>
          <w:szCs w:val="22"/>
          <w:lang w:eastAsia="es-MX"/>
        </w:rPr>
        <w:t xml:space="preserve"> </w:t>
      </w:r>
      <w:r>
        <w:rPr>
          <w:rFonts w:ascii="Verdana" w:eastAsia="Verdana" w:hAnsi="Verdana" w:cs="Verdana"/>
          <w:color w:val="000000"/>
          <w:sz w:val="22"/>
          <w:szCs w:val="22"/>
          <w:lang w:eastAsia="es-MX"/>
        </w:rPr>
        <w:t xml:space="preserve">La interdependencia de los derechos de propiedad, al desarrollo económico y libertad de trabajo, profesión e industria, acorde con el Objetivo de Desarrollo Sostenible (ODS) 9.1 a desarrollar infraestructuras fiables, sostenibles, </w:t>
      </w:r>
      <w:proofErr w:type="spellStart"/>
      <w:r>
        <w:rPr>
          <w:rFonts w:ascii="Verdana" w:eastAsia="Verdana" w:hAnsi="Verdana" w:cs="Verdana"/>
          <w:color w:val="000000"/>
          <w:sz w:val="22"/>
          <w:szCs w:val="22"/>
          <w:lang w:eastAsia="es-MX"/>
        </w:rPr>
        <w:t>resilientes</w:t>
      </w:r>
      <w:proofErr w:type="spellEnd"/>
      <w:r>
        <w:rPr>
          <w:rFonts w:ascii="Verdana" w:eastAsia="Verdana" w:hAnsi="Verdana" w:cs="Verdana"/>
          <w:color w:val="000000"/>
          <w:sz w:val="22"/>
          <w:szCs w:val="22"/>
          <w:lang w:eastAsia="es-MX"/>
        </w:rPr>
        <w:t xml:space="preserve"> y de calidad, incluidas infraestructuras regionales y transfronterizas, para apoyar el desarrollo económico y el bienestar humano, haciendo especial hincapié en el acceso asequible y equitativo para todos.</w:t>
      </w:r>
    </w:p>
    <w:p>
      <w:pPr>
        <w:pBdr>
          <w:top w:val="nil"/>
          <w:left w:val="nil"/>
          <w:bottom w:val="nil"/>
          <w:right w:val="nil"/>
          <w:between w:val="nil"/>
        </w:pBdr>
        <w:ind w:left="284" w:right="51"/>
        <w:jc w:val="both"/>
        <w:rPr>
          <w:rFonts w:ascii="Verdana" w:eastAsia="Verdana" w:hAnsi="Verdana" w:cs="Verdana"/>
          <w:b/>
          <w:color w:val="000000"/>
          <w:sz w:val="22"/>
          <w:szCs w:val="22"/>
          <w:lang w:eastAsia="es-MX"/>
        </w:rPr>
      </w:pPr>
    </w:p>
    <w:p>
      <w:pPr>
        <w:pBdr>
          <w:top w:val="nil"/>
          <w:left w:val="nil"/>
          <w:bottom w:val="nil"/>
          <w:right w:val="nil"/>
          <w:between w:val="nil"/>
        </w:pBdr>
        <w:ind w:left="284" w:right="51"/>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1.2.4.</w:t>
      </w:r>
      <w:r>
        <w:rPr>
          <w:rFonts w:ascii="Verdana" w:eastAsia="Verdana" w:hAnsi="Verdana" w:cs="Verdana"/>
          <w:color w:val="000000"/>
          <w:sz w:val="22"/>
          <w:szCs w:val="22"/>
          <w:lang w:eastAsia="es-MX"/>
        </w:rPr>
        <w:t xml:space="preserve">  DEPENDENCIA RESPONSABLE: Coordinación General de Desarrollo Económico y Combate a la Desigualdad.</w:t>
      </w:r>
    </w:p>
    <w:p>
      <w:pPr>
        <w:pBdr>
          <w:top w:val="nil"/>
          <w:left w:val="nil"/>
          <w:bottom w:val="nil"/>
          <w:right w:val="nil"/>
          <w:between w:val="nil"/>
        </w:pBdr>
        <w:ind w:left="284" w:right="51"/>
        <w:jc w:val="both"/>
        <w:rPr>
          <w:rFonts w:ascii="Verdana" w:eastAsia="Verdana" w:hAnsi="Verdana" w:cs="Verdana"/>
          <w:color w:val="000000"/>
          <w:sz w:val="22"/>
          <w:szCs w:val="22"/>
          <w:lang w:eastAsia="es-MX"/>
        </w:rPr>
      </w:pPr>
    </w:p>
    <w:p>
      <w:pPr>
        <w:pBdr>
          <w:top w:val="nil"/>
          <w:left w:val="nil"/>
          <w:bottom w:val="nil"/>
          <w:right w:val="nil"/>
          <w:between w:val="nil"/>
        </w:pBdr>
        <w:ind w:left="284" w:right="51"/>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1.2.5.</w:t>
      </w:r>
      <w:r>
        <w:rPr>
          <w:rFonts w:ascii="Verdana" w:eastAsia="Verdana" w:hAnsi="Verdana" w:cs="Verdana"/>
          <w:color w:val="000000"/>
          <w:sz w:val="22"/>
          <w:szCs w:val="22"/>
          <w:lang w:eastAsia="es-MX"/>
        </w:rPr>
        <w:t xml:space="preserve"> DIRECCIÓN GENERAL RESPONSABLE: Dirección General de Desarrollo Rural.</w:t>
      </w:r>
    </w:p>
    <w:p>
      <w:pPr>
        <w:pBdr>
          <w:top w:val="nil"/>
          <w:left w:val="nil"/>
          <w:bottom w:val="nil"/>
          <w:right w:val="nil"/>
          <w:between w:val="nil"/>
        </w:pBdr>
        <w:ind w:left="284" w:right="51"/>
        <w:jc w:val="both"/>
        <w:rPr>
          <w:rFonts w:ascii="Verdana" w:eastAsia="Verdana" w:hAnsi="Verdana" w:cs="Verdana"/>
          <w:color w:val="000000"/>
          <w:sz w:val="22"/>
          <w:szCs w:val="22"/>
          <w:lang w:eastAsia="es-MX"/>
        </w:rPr>
      </w:pPr>
    </w:p>
    <w:p>
      <w:pPr>
        <w:pBdr>
          <w:top w:val="nil"/>
          <w:left w:val="nil"/>
          <w:bottom w:val="nil"/>
          <w:right w:val="nil"/>
          <w:between w:val="nil"/>
        </w:pBdr>
        <w:ind w:left="284" w:right="51"/>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1.2.6.</w:t>
      </w:r>
      <w:r>
        <w:rPr>
          <w:rFonts w:ascii="Verdana" w:eastAsia="Verdana" w:hAnsi="Verdana" w:cs="Verdana"/>
          <w:color w:val="000000"/>
          <w:sz w:val="22"/>
          <w:szCs w:val="22"/>
          <w:lang w:eastAsia="es-MX"/>
        </w:rPr>
        <w:t xml:space="preserve"> UNIDAD RESPONSABLE: Dirección de Desarrollo Pecuario.</w:t>
      </w:r>
    </w:p>
    <w:p>
      <w:pPr>
        <w:pBdr>
          <w:top w:val="nil"/>
          <w:left w:val="nil"/>
          <w:bottom w:val="nil"/>
          <w:right w:val="nil"/>
          <w:between w:val="nil"/>
        </w:pBdr>
        <w:ind w:left="284" w:right="51"/>
        <w:jc w:val="both"/>
        <w:rPr>
          <w:rFonts w:ascii="Verdana" w:eastAsia="Verdana" w:hAnsi="Verdana" w:cs="Verdana"/>
          <w:color w:val="000000"/>
          <w:sz w:val="22"/>
          <w:szCs w:val="22"/>
          <w:lang w:eastAsia="es-MX"/>
        </w:rPr>
      </w:pPr>
    </w:p>
    <w:p>
      <w:pPr>
        <w:pBdr>
          <w:top w:val="nil"/>
          <w:left w:val="nil"/>
          <w:bottom w:val="nil"/>
          <w:right w:val="nil"/>
          <w:between w:val="nil"/>
        </w:pBdr>
        <w:ind w:left="284" w:right="51"/>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1.2.7.</w:t>
      </w:r>
      <w:r>
        <w:rPr>
          <w:rFonts w:ascii="Verdana" w:eastAsia="Verdana" w:hAnsi="Verdana" w:cs="Verdana"/>
          <w:color w:val="000000"/>
          <w:sz w:val="22"/>
          <w:szCs w:val="22"/>
          <w:lang w:eastAsia="es-MX"/>
        </w:rPr>
        <w:t xml:space="preserve"> TIPO DE PROGRAMA: Municipal.</w:t>
      </w:r>
    </w:p>
    <w:p>
      <w:pPr>
        <w:pBdr>
          <w:top w:val="nil"/>
          <w:left w:val="nil"/>
          <w:bottom w:val="nil"/>
          <w:right w:val="nil"/>
          <w:between w:val="nil"/>
        </w:pBdr>
        <w:ind w:left="284" w:right="51"/>
        <w:jc w:val="both"/>
        <w:rPr>
          <w:rFonts w:ascii="Verdana" w:eastAsia="Verdana" w:hAnsi="Verdana" w:cs="Verdana"/>
          <w:color w:val="000000"/>
          <w:sz w:val="22"/>
          <w:szCs w:val="22"/>
          <w:lang w:eastAsia="es-MX"/>
        </w:rPr>
      </w:pPr>
    </w:p>
    <w:p>
      <w:pPr>
        <w:pBdr>
          <w:top w:val="nil"/>
          <w:left w:val="nil"/>
          <w:bottom w:val="nil"/>
          <w:right w:val="nil"/>
          <w:between w:val="nil"/>
        </w:pBdr>
        <w:ind w:left="284" w:right="51"/>
        <w:jc w:val="both"/>
        <w:rPr>
          <w:rFonts w:ascii="Verdana" w:eastAsia="Verdana" w:hAnsi="Verdana" w:cs="Verdana"/>
          <w:b/>
          <w:color w:val="000000"/>
          <w:sz w:val="22"/>
          <w:szCs w:val="22"/>
          <w:lang w:eastAsia="es-MX"/>
        </w:rPr>
      </w:pPr>
      <w:r>
        <w:rPr>
          <w:rFonts w:ascii="Verdana" w:eastAsia="Verdana" w:hAnsi="Verdana" w:cs="Verdana"/>
          <w:b/>
          <w:color w:val="000000"/>
          <w:sz w:val="22"/>
          <w:szCs w:val="22"/>
          <w:lang w:eastAsia="es-MX"/>
        </w:rPr>
        <w:t>1.2.8.</w:t>
      </w:r>
      <w:r>
        <w:rPr>
          <w:rFonts w:ascii="Verdana" w:eastAsia="Verdana" w:hAnsi="Verdana" w:cs="Verdana"/>
          <w:color w:val="000000"/>
          <w:sz w:val="22"/>
          <w:szCs w:val="22"/>
          <w:lang w:eastAsia="es-MX"/>
        </w:rPr>
        <w:t xml:space="preserve"> PRESUPUESTO A EJERCER: Hasta $100,000.00 (cien mil pesos 00/100 moneda nacional).</w:t>
      </w:r>
      <w:r>
        <w:rPr>
          <w:rFonts w:ascii="Verdana" w:eastAsia="Verdana" w:hAnsi="Verdana" w:cs="Verdana"/>
          <w:b/>
          <w:color w:val="000000"/>
          <w:sz w:val="22"/>
          <w:szCs w:val="22"/>
          <w:lang w:eastAsia="es-MX"/>
        </w:rPr>
        <w:t xml:space="preserve"> </w:t>
      </w:r>
    </w:p>
    <w:p>
      <w:pPr>
        <w:pBdr>
          <w:top w:val="nil"/>
          <w:left w:val="nil"/>
          <w:bottom w:val="nil"/>
          <w:right w:val="nil"/>
          <w:between w:val="nil"/>
        </w:pBdr>
        <w:ind w:left="284" w:right="51"/>
        <w:jc w:val="both"/>
        <w:rPr>
          <w:rFonts w:ascii="Verdana" w:eastAsia="Verdana" w:hAnsi="Verdana" w:cs="Verdana"/>
          <w:b/>
          <w:color w:val="000000"/>
          <w:sz w:val="22"/>
          <w:szCs w:val="22"/>
          <w:lang w:eastAsia="es-MX"/>
        </w:rPr>
      </w:pPr>
    </w:p>
    <w:p>
      <w:pPr>
        <w:pBdr>
          <w:top w:val="nil"/>
          <w:left w:val="nil"/>
          <w:bottom w:val="nil"/>
          <w:right w:val="nil"/>
          <w:between w:val="nil"/>
        </w:pBdr>
        <w:ind w:left="284" w:right="51"/>
        <w:jc w:val="both"/>
        <w:rPr>
          <w:rFonts w:ascii="Verdana" w:eastAsia="Verdana" w:hAnsi="Verdana" w:cs="Verdana"/>
          <w:color w:val="000000"/>
          <w:sz w:val="22"/>
          <w:szCs w:val="22"/>
          <w:lang w:eastAsia="es-MX"/>
        </w:rPr>
      </w:pPr>
      <w:r>
        <w:rPr>
          <w:rFonts w:ascii="Verdana" w:eastAsia="Verdana" w:hAnsi="Verdana" w:cs="Verdana"/>
          <w:b/>
          <w:color w:val="000000"/>
          <w:sz w:val="22"/>
          <w:szCs w:val="22"/>
          <w:lang w:eastAsia="es-MX"/>
        </w:rPr>
        <w:t>1.2.9.</w:t>
      </w:r>
      <w:r>
        <w:rPr>
          <w:rFonts w:ascii="Verdana" w:eastAsia="Verdana" w:hAnsi="Verdana" w:cs="Verdana"/>
          <w:color w:val="000000"/>
          <w:sz w:val="22"/>
          <w:szCs w:val="22"/>
          <w:lang w:eastAsia="es-MX"/>
        </w:rPr>
        <w:t xml:space="preserve"> PARTIDA PRESUPUESTAL: 4311, “Subsidios a la producción” del Presupuesto de Egresos del Municipio de Tlajomulco de Zúñiga, para el Ejercicio Fiscal de año 2019.</w:t>
      </w:r>
    </w:p>
    <w:p>
      <w:pPr>
        <w:tabs>
          <w:tab w:val="left" w:pos="708"/>
        </w:tabs>
        <w:jc w:val="both"/>
        <w:rPr>
          <w:rFonts w:ascii="Verdana" w:eastAsia="Verdana" w:hAnsi="Verdana" w:cs="Verdana"/>
          <w:color w:val="000000"/>
          <w:sz w:val="22"/>
          <w:szCs w:val="22"/>
          <w:lang w:eastAsia="es-MX"/>
        </w:rPr>
      </w:pPr>
    </w:p>
    <w:p>
      <w:pPr>
        <w:pBdr>
          <w:top w:val="nil"/>
          <w:left w:val="nil"/>
          <w:bottom w:val="nil"/>
          <w:right w:val="nil"/>
          <w:between w:val="nil"/>
        </w:pBdr>
        <w:ind w:right="51"/>
        <w:jc w:val="both"/>
        <w:rPr>
          <w:rFonts w:ascii="Verdana" w:eastAsia="Verdana" w:hAnsi="Verdana" w:cs="Verdana"/>
          <w:b/>
          <w:color w:val="000000"/>
          <w:sz w:val="22"/>
          <w:szCs w:val="22"/>
          <w:lang w:eastAsia="es-MX"/>
        </w:rPr>
      </w:pPr>
      <w:r>
        <w:rPr>
          <w:rFonts w:ascii="Verdana" w:eastAsia="Verdana" w:hAnsi="Verdana" w:cs="Verdana"/>
          <w:b/>
          <w:sz w:val="22"/>
          <w:szCs w:val="22"/>
          <w:lang w:eastAsia="es-MX"/>
        </w:rPr>
        <w:t xml:space="preserve">1.3. </w:t>
      </w:r>
      <w:r>
        <w:rPr>
          <w:rFonts w:ascii="Verdana" w:eastAsia="Verdana" w:hAnsi="Verdana" w:cs="Verdana"/>
          <w:b/>
          <w:color w:val="000000"/>
          <w:sz w:val="22"/>
          <w:szCs w:val="22"/>
          <w:lang w:eastAsia="es-MX"/>
        </w:rPr>
        <w:t xml:space="preserve">FUNDAMENTACIÓN Y MOTIVACIÓN JURÍDICA. </w:t>
      </w:r>
    </w:p>
    <w:p>
      <w:pPr>
        <w:tabs>
          <w:tab w:val="left" w:pos="708"/>
        </w:tabs>
        <w:jc w:val="both"/>
        <w:rPr>
          <w:rFonts w:ascii="Verdana" w:eastAsia="Verdana" w:hAnsi="Verdana" w:cs="Verdana"/>
          <w:color w:val="000000"/>
          <w:sz w:val="22"/>
          <w:szCs w:val="22"/>
          <w:lang w:eastAsia="es-MX"/>
        </w:rPr>
      </w:pPr>
    </w:p>
    <w:p>
      <w:pPr>
        <w:jc w:val="both"/>
        <w:rPr>
          <w:rFonts w:ascii="Verdana" w:eastAsia="Verdana" w:hAnsi="Verdana" w:cs="Verdana"/>
          <w:sz w:val="22"/>
          <w:szCs w:val="22"/>
          <w:lang w:eastAsia="es-MX"/>
        </w:rPr>
      </w:pPr>
      <w:r>
        <w:rPr>
          <w:rFonts w:ascii="Verdana" w:eastAsia="Verdana" w:hAnsi="Verdana" w:cs="Verdana"/>
          <w:sz w:val="22"/>
          <w:szCs w:val="22"/>
          <w:lang w:eastAsia="es-MX"/>
        </w:rPr>
        <w:t>Artículos 25, 27, fracción XX y 115 de la Constitución Política de los Estados Unidos Mexicanos; 1, 4, 6, 7, 11 y demás aplicables de la Ley de Desarrollo Rural Sustentable; Norma Oficial Mexicana NOM-001-SAG/GAN-2015; 1, 6, 8 fracción II, 23, fracciones VI, VII, 43, 46, 56, 133, 138 y demás aplicables de la Ley de Desarrollo Rural Sustentable del Estado de Jalisco; 5, 127, 128, fracciones VI, VII, XVII, inciso b) y XVIII, 129, fracción VI, inciso a), 135, fracciones V, VIII y demás aplicables del Reglamento de la Administración Pública del Municipio de Tlajomulco de Zúñiga, Jalisco; acorde con el apartado B Eje Estratégico 7.1 del Plan Municipal de Desarrollo 2015-2018 “Tlajomulco”; y demás aplicables en la materia.</w:t>
      </w:r>
    </w:p>
    <w:p>
      <w:pPr>
        <w:tabs>
          <w:tab w:val="left" w:pos="708"/>
        </w:tabs>
        <w:jc w:val="both"/>
        <w:rPr>
          <w:rFonts w:ascii="Verdana" w:eastAsia="Verdana" w:hAnsi="Verdana" w:cs="Verdana"/>
          <w:b/>
          <w:color w:val="000000"/>
          <w:sz w:val="22"/>
          <w:szCs w:val="22"/>
          <w:lang w:eastAsia="es-MX"/>
        </w:rPr>
      </w:pPr>
    </w:p>
    <w:p>
      <w:pPr>
        <w:jc w:val="both"/>
        <w:rPr>
          <w:rFonts w:ascii="Verdana" w:eastAsia="Verdana" w:hAnsi="Verdana" w:cs="Verdana"/>
          <w:b/>
          <w:sz w:val="22"/>
          <w:szCs w:val="22"/>
          <w:lang w:eastAsia="es-MX"/>
        </w:rPr>
      </w:pPr>
      <w:r>
        <w:rPr>
          <w:rFonts w:ascii="Verdana" w:eastAsia="Verdana" w:hAnsi="Verdana" w:cs="Verdana"/>
          <w:b/>
          <w:sz w:val="22"/>
          <w:szCs w:val="22"/>
          <w:lang w:eastAsia="es-MX"/>
        </w:rPr>
        <w:t xml:space="preserve">2. INCIDENCIA. </w:t>
      </w:r>
    </w:p>
    <w:p>
      <w:pPr>
        <w:jc w:val="both"/>
        <w:rPr>
          <w:rFonts w:ascii="Verdana" w:eastAsia="Verdana" w:hAnsi="Verdana" w:cs="Verdana"/>
          <w:sz w:val="22"/>
          <w:szCs w:val="22"/>
          <w:lang w:eastAsia="es-MX"/>
        </w:rPr>
      </w:pPr>
    </w:p>
    <w:p>
      <w:pPr>
        <w:pBdr>
          <w:top w:val="nil"/>
          <w:left w:val="nil"/>
          <w:bottom w:val="nil"/>
          <w:right w:val="nil"/>
          <w:between w:val="nil"/>
        </w:pBdr>
        <w:ind w:right="51"/>
        <w:rPr>
          <w:rFonts w:ascii="Verdana" w:eastAsia="Verdana" w:hAnsi="Verdana" w:cs="Verdana"/>
          <w:color w:val="000000"/>
          <w:sz w:val="22"/>
          <w:szCs w:val="22"/>
          <w:lang w:eastAsia="es-MX"/>
        </w:rPr>
      </w:pPr>
      <w:r>
        <w:rPr>
          <w:rFonts w:ascii="Verdana" w:eastAsia="Verdana" w:hAnsi="Verdana" w:cs="Verdana"/>
          <w:b/>
          <w:sz w:val="22"/>
          <w:szCs w:val="22"/>
          <w:lang w:eastAsia="es-MX"/>
        </w:rPr>
        <w:t xml:space="preserve">2.1. </w:t>
      </w:r>
      <w:r>
        <w:rPr>
          <w:rFonts w:ascii="Verdana" w:eastAsia="Verdana" w:hAnsi="Verdana" w:cs="Verdana"/>
          <w:b/>
          <w:color w:val="000000"/>
          <w:sz w:val="22"/>
          <w:szCs w:val="22"/>
          <w:lang w:eastAsia="es-MX"/>
        </w:rPr>
        <w:t>OBJETIVOS:</w:t>
      </w:r>
    </w:p>
    <w:p>
      <w:pPr>
        <w:tabs>
          <w:tab w:val="left" w:pos="708"/>
        </w:tabs>
        <w:jc w:val="both"/>
        <w:rPr>
          <w:rFonts w:ascii="Verdana" w:eastAsia="Verdana" w:hAnsi="Verdana" w:cs="Verdana"/>
          <w:b/>
          <w:color w:val="000000"/>
          <w:sz w:val="22"/>
          <w:szCs w:val="22"/>
          <w:lang w:eastAsia="es-MX"/>
        </w:rPr>
      </w:pPr>
    </w:p>
    <w:p>
      <w:pPr>
        <w:tabs>
          <w:tab w:val="left" w:pos="708"/>
        </w:tabs>
        <w:ind w:left="284"/>
        <w:jc w:val="both"/>
        <w:rPr>
          <w:rFonts w:ascii="Verdana" w:eastAsia="Verdana" w:hAnsi="Verdana" w:cs="Verdana"/>
          <w:color w:val="000000"/>
          <w:sz w:val="22"/>
          <w:szCs w:val="22"/>
          <w:lang w:eastAsia="es-MX"/>
        </w:rPr>
      </w:pPr>
      <w:r>
        <w:rPr>
          <w:rFonts w:ascii="Verdana" w:eastAsia="Verdana" w:hAnsi="Verdana" w:cs="Verdana"/>
          <w:b/>
          <w:sz w:val="22"/>
          <w:szCs w:val="22"/>
          <w:lang w:eastAsia="es-MX"/>
        </w:rPr>
        <w:t xml:space="preserve">2.1.1. </w:t>
      </w:r>
      <w:r>
        <w:rPr>
          <w:rFonts w:ascii="Verdana" w:eastAsia="Verdana" w:hAnsi="Verdana" w:cs="Verdana"/>
          <w:b/>
          <w:color w:val="000000"/>
          <w:sz w:val="22"/>
          <w:szCs w:val="22"/>
          <w:lang w:eastAsia="es-MX"/>
        </w:rPr>
        <w:t xml:space="preserve">Objetivo General.- </w:t>
      </w:r>
      <w:r>
        <w:rPr>
          <w:rFonts w:ascii="Verdana" w:eastAsia="Verdana" w:hAnsi="Verdana" w:cs="Verdana"/>
          <w:color w:val="000000"/>
          <w:sz w:val="22"/>
          <w:szCs w:val="22"/>
          <w:lang w:eastAsia="es-MX"/>
        </w:rPr>
        <w:t xml:space="preserve">Contribuir a la identificación de ganado de las y los productores establecidos en el Municipio de Tlajomulco de Zúñiga, con el Dispositivo de Identificación Oficial, para cumplir con la NOM-001-SAG/GAN-2015. </w:t>
      </w:r>
    </w:p>
    <w:p>
      <w:pPr>
        <w:tabs>
          <w:tab w:val="left" w:pos="708"/>
        </w:tabs>
        <w:jc w:val="both"/>
        <w:rPr>
          <w:rFonts w:ascii="Verdana" w:eastAsia="Verdana" w:hAnsi="Verdana" w:cs="Verdana"/>
          <w:color w:val="000000"/>
          <w:sz w:val="22"/>
          <w:szCs w:val="22"/>
          <w:lang w:eastAsia="es-MX"/>
        </w:rPr>
      </w:pPr>
    </w:p>
    <w:p>
      <w:pPr>
        <w:tabs>
          <w:tab w:val="left" w:pos="708"/>
        </w:tabs>
        <w:ind w:left="284"/>
        <w:jc w:val="both"/>
        <w:rPr>
          <w:rFonts w:ascii="Verdana" w:eastAsia="Verdana" w:hAnsi="Verdana" w:cs="Verdana"/>
          <w:color w:val="000000"/>
          <w:sz w:val="22"/>
          <w:szCs w:val="22"/>
          <w:lang w:eastAsia="es-MX"/>
        </w:rPr>
      </w:pPr>
      <w:r>
        <w:rPr>
          <w:rFonts w:ascii="Verdana" w:eastAsia="Verdana" w:hAnsi="Verdana" w:cs="Verdana"/>
          <w:b/>
          <w:sz w:val="22"/>
          <w:szCs w:val="22"/>
          <w:lang w:eastAsia="es-MX"/>
        </w:rPr>
        <w:t xml:space="preserve">2.1.2. </w:t>
      </w:r>
      <w:r>
        <w:rPr>
          <w:rFonts w:ascii="Verdana" w:eastAsia="Verdana" w:hAnsi="Verdana" w:cs="Verdana"/>
          <w:b/>
          <w:color w:val="000000"/>
          <w:sz w:val="22"/>
          <w:szCs w:val="22"/>
          <w:lang w:eastAsia="es-MX"/>
        </w:rPr>
        <w:t xml:space="preserve">Objetivo Específico.- </w:t>
      </w:r>
      <w:r>
        <w:rPr>
          <w:rFonts w:ascii="Verdana" w:eastAsia="Verdana" w:hAnsi="Verdana" w:cs="Verdana"/>
          <w:color w:val="000000"/>
          <w:sz w:val="22"/>
          <w:szCs w:val="22"/>
          <w:lang w:eastAsia="es-MX"/>
        </w:rPr>
        <w:t xml:space="preserve">Aplicar el Dispositivo de Identificación Oficial para bovinos, ovinos, caprinos y colmenas en el Municipio de Tlajomulco. </w:t>
      </w:r>
    </w:p>
    <w:p>
      <w:pPr>
        <w:tabs>
          <w:tab w:val="left" w:pos="708"/>
        </w:tabs>
        <w:rPr>
          <w:rFonts w:ascii="Verdana" w:eastAsia="Verdana" w:hAnsi="Verdana" w:cs="Verdana"/>
          <w:color w:val="000000"/>
          <w:sz w:val="22"/>
          <w:szCs w:val="22"/>
          <w:lang w:eastAsia="es-MX"/>
        </w:rPr>
      </w:pPr>
    </w:p>
    <w:p>
      <w:pPr>
        <w:pBdr>
          <w:top w:val="nil"/>
          <w:left w:val="nil"/>
          <w:bottom w:val="nil"/>
          <w:right w:val="nil"/>
          <w:between w:val="nil"/>
        </w:pBdr>
        <w:ind w:right="51"/>
        <w:jc w:val="both"/>
        <w:rPr>
          <w:rFonts w:ascii="Verdana" w:eastAsia="Verdana" w:hAnsi="Verdana" w:cs="Verdana"/>
          <w:b/>
          <w:color w:val="000000"/>
          <w:sz w:val="22"/>
          <w:szCs w:val="22"/>
          <w:lang w:eastAsia="es-MX"/>
        </w:rPr>
      </w:pPr>
      <w:r>
        <w:rPr>
          <w:rFonts w:ascii="Verdana" w:eastAsia="Verdana" w:hAnsi="Verdana" w:cs="Verdana"/>
          <w:b/>
          <w:sz w:val="22"/>
          <w:szCs w:val="22"/>
          <w:lang w:eastAsia="es-MX"/>
        </w:rPr>
        <w:t xml:space="preserve">2.2. </w:t>
      </w:r>
      <w:r>
        <w:rPr>
          <w:rFonts w:ascii="Verdana" w:eastAsia="Verdana" w:hAnsi="Verdana" w:cs="Verdana"/>
          <w:b/>
          <w:color w:val="000000"/>
          <w:sz w:val="22"/>
          <w:szCs w:val="22"/>
          <w:lang w:eastAsia="es-MX"/>
        </w:rPr>
        <w:t xml:space="preserve">COBERTURA </w:t>
      </w:r>
      <w:r>
        <w:rPr>
          <w:rFonts w:ascii="Verdana" w:eastAsia="Verdana" w:hAnsi="Verdana" w:cs="Verdana"/>
          <w:b/>
          <w:sz w:val="22"/>
          <w:szCs w:val="22"/>
          <w:lang w:eastAsia="es-MX"/>
        </w:rPr>
        <w:t>GEOGRÁFICA.</w:t>
      </w:r>
    </w:p>
    <w:p>
      <w:pPr>
        <w:pBdr>
          <w:top w:val="nil"/>
          <w:left w:val="nil"/>
          <w:bottom w:val="nil"/>
          <w:right w:val="nil"/>
          <w:between w:val="nil"/>
        </w:pBdr>
        <w:ind w:left="720" w:right="51"/>
        <w:jc w:val="both"/>
        <w:rPr>
          <w:rFonts w:ascii="Verdana" w:eastAsia="Verdana" w:hAnsi="Verdana" w:cs="Verdana"/>
          <w:b/>
          <w:color w:val="000000"/>
          <w:sz w:val="22"/>
          <w:szCs w:val="22"/>
          <w:lang w:eastAsia="es-MX"/>
        </w:rPr>
      </w:pPr>
    </w:p>
    <w:p>
      <w:pPr>
        <w:ind w:right="51"/>
        <w:jc w:val="both"/>
        <w:rPr>
          <w:rFonts w:ascii="Verdana" w:eastAsia="Verdana" w:hAnsi="Verdana" w:cs="Verdana"/>
          <w:sz w:val="22"/>
          <w:szCs w:val="22"/>
          <w:lang w:eastAsia="es-MX"/>
        </w:rPr>
      </w:pPr>
      <w:r>
        <w:rPr>
          <w:rFonts w:ascii="Verdana" w:eastAsia="Calibri" w:hAnsi="Verdana" w:cs="Tahoma"/>
          <w:color w:val="000000"/>
          <w:sz w:val="22"/>
          <w:szCs w:val="22"/>
          <w:lang w:bidi="hi-IN"/>
        </w:rPr>
        <w:t>Áreas o zonas de actividad pecuaria en el territorio del Municipio de Tlajomulco de Zúñiga, Jalisco</w:t>
      </w:r>
      <w:r>
        <w:rPr>
          <w:rFonts w:ascii="Verdana" w:eastAsia="Verdana" w:hAnsi="Verdana" w:cs="Verdana"/>
          <w:color w:val="000000"/>
          <w:sz w:val="22"/>
          <w:szCs w:val="22"/>
          <w:lang w:eastAsia="es-MX"/>
        </w:rPr>
        <w:t xml:space="preserve">. </w:t>
      </w:r>
    </w:p>
    <w:p>
      <w:pPr>
        <w:rPr>
          <w:rFonts w:ascii="Verdana" w:eastAsia="Times New Roman" w:hAnsi="Verdana"/>
          <w:sz w:val="22"/>
          <w:szCs w:val="22"/>
          <w:lang w:eastAsia="es-MX"/>
        </w:rPr>
      </w:pPr>
    </w:p>
    <w:p>
      <w:pPr>
        <w:ind w:right="51"/>
        <w:jc w:val="both"/>
        <w:rPr>
          <w:rFonts w:ascii="Verdana" w:eastAsia="Verdana" w:hAnsi="Verdana" w:cs="Verdana"/>
          <w:b/>
          <w:color w:val="000000"/>
          <w:sz w:val="22"/>
          <w:szCs w:val="22"/>
          <w:lang w:eastAsia="es-MX"/>
        </w:rPr>
      </w:pPr>
      <w:r>
        <w:rPr>
          <w:rFonts w:ascii="Verdana" w:eastAsia="Verdana" w:hAnsi="Verdana" w:cs="Verdana"/>
          <w:b/>
          <w:sz w:val="22"/>
          <w:szCs w:val="22"/>
          <w:lang w:eastAsia="es-MX"/>
        </w:rPr>
        <w:t xml:space="preserve">2.3. </w:t>
      </w:r>
      <w:r>
        <w:rPr>
          <w:rFonts w:ascii="Verdana" w:eastAsia="Verdana" w:hAnsi="Verdana" w:cs="Verdana"/>
          <w:b/>
          <w:color w:val="000000"/>
          <w:sz w:val="22"/>
          <w:szCs w:val="22"/>
          <w:lang w:eastAsia="es-MX"/>
        </w:rPr>
        <w:t>POBLACIÓN OBJETIVO.</w:t>
      </w:r>
    </w:p>
    <w:p>
      <w:pPr>
        <w:ind w:right="51"/>
        <w:rPr>
          <w:rFonts w:ascii="Verdana" w:eastAsia="Verdana" w:hAnsi="Verdana" w:cs="Verdana"/>
          <w:color w:val="000000"/>
          <w:sz w:val="22"/>
          <w:szCs w:val="22"/>
          <w:lang w:eastAsia="es-MX"/>
        </w:rPr>
      </w:pPr>
    </w:p>
    <w:p>
      <w:pPr>
        <w:tabs>
          <w:tab w:val="left" w:pos="708"/>
        </w:tabs>
        <w:jc w:val="both"/>
        <w:rPr>
          <w:rFonts w:ascii="Verdana" w:eastAsia="Verdana" w:hAnsi="Verdana" w:cs="Verdana"/>
          <w:color w:val="000000"/>
          <w:sz w:val="22"/>
          <w:szCs w:val="22"/>
          <w:lang w:eastAsia="es-MX"/>
        </w:rPr>
      </w:pPr>
      <w:r>
        <w:rPr>
          <w:rFonts w:ascii="Verdana" w:eastAsia="Verdana" w:hAnsi="Verdana" w:cs="Verdana"/>
          <w:sz w:val="22"/>
          <w:szCs w:val="22"/>
          <w:lang w:eastAsia="es-MX"/>
        </w:rPr>
        <w:t>Las y los criadores de bovinos, ovinos, caprinos, así como a los apicultores registrados en el Padrón Nacional Ganadero (PNG).</w:t>
      </w:r>
    </w:p>
    <w:p>
      <w:pPr>
        <w:tabs>
          <w:tab w:val="left" w:pos="708"/>
        </w:tabs>
        <w:rPr>
          <w:rFonts w:ascii="Verdana" w:eastAsia="Verdana" w:hAnsi="Verdana" w:cs="Verdana"/>
          <w:color w:val="000000"/>
          <w:sz w:val="22"/>
          <w:szCs w:val="22"/>
          <w:lang w:eastAsia="es-MX"/>
        </w:rPr>
      </w:pPr>
    </w:p>
    <w:p>
      <w:pPr>
        <w:pBdr>
          <w:top w:val="nil"/>
          <w:left w:val="nil"/>
          <w:bottom w:val="nil"/>
          <w:right w:val="nil"/>
          <w:between w:val="nil"/>
        </w:pBdr>
        <w:ind w:right="51"/>
        <w:jc w:val="both"/>
        <w:rPr>
          <w:rFonts w:ascii="Verdana" w:eastAsia="Verdana" w:hAnsi="Verdana" w:cs="Verdana"/>
          <w:b/>
          <w:color w:val="000000"/>
          <w:sz w:val="22"/>
          <w:szCs w:val="22"/>
          <w:lang w:eastAsia="es-MX"/>
        </w:rPr>
      </w:pPr>
      <w:r>
        <w:rPr>
          <w:rFonts w:ascii="Verdana" w:eastAsia="Verdana" w:hAnsi="Verdana" w:cs="Verdana"/>
          <w:b/>
          <w:sz w:val="22"/>
          <w:szCs w:val="22"/>
          <w:lang w:eastAsia="es-MX"/>
        </w:rPr>
        <w:lastRenderedPageBreak/>
        <w:t>2.4. CARACTERÍSTICAS</w:t>
      </w:r>
      <w:r>
        <w:rPr>
          <w:rFonts w:ascii="Verdana" w:eastAsia="Verdana" w:hAnsi="Verdana" w:cs="Verdana"/>
          <w:b/>
          <w:color w:val="000000"/>
          <w:sz w:val="22"/>
          <w:szCs w:val="22"/>
          <w:lang w:eastAsia="es-MX"/>
        </w:rPr>
        <w:t xml:space="preserve"> DE LOS BENEFICIOS:</w:t>
      </w:r>
    </w:p>
    <w:p>
      <w:pPr>
        <w:pBdr>
          <w:top w:val="nil"/>
          <w:left w:val="nil"/>
          <w:bottom w:val="nil"/>
          <w:right w:val="nil"/>
          <w:between w:val="nil"/>
        </w:pBdr>
        <w:ind w:left="284" w:right="51"/>
        <w:jc w:val="both"/>
        <w:rPr>
          <w:rFonts w:ascii="Verdana" w:eastAsia="Verdana" w:hAnsi="Verdana" w:cs="Verdana"/>
          <w:b/>
          <w:color w:val="000000"/>
          <w:sz w:val="22"/>
          <w:szCs w:val="22"/>
          <w:lang w:eastAsia="es-MX"/>
        </w:rPr>
      </w:pPr>
    </w:p>
    <w:p>
      <w:pPr>
        <w:tabs>
          <w:tab w:val="left" w:pos="426"/>
          <w:tab w:val="left" w:pos="708"/>
        </w:tabs>
        <w:ind w:left="426"/>
        <w:jc w:val="both"/>
        <w:rPr>
          <w:rFonts w:ascii="Verdana" w:eastAsia="Verdana" w:hAnsi="Verdana" w:cs="Verdana"/>
          <w:color w:val="000000"/>
          <w:sz w:val="22"/>
          <w:szCs w:val="22"/>
          <w:lang w:eastAsia="es-MX"/>
        </w:rPr>
      </w:pPr>
      <w:r>
        <w:rPr>
          <w:rFonts w:ascii="Verdana" w:eastAsia="Verdana" w:hAnsi="Verdana" w:cs="Verdana"/>
          <w:b/>
          <w:sz w:val="22"/>
          <w:szCs w:val="22"/>
          <w:lang w:eastAsia="es-MX"/>
        </w:rPr>
        <w:t>2.4.1.</w:t>
      </w:r>
      <w:r>
        <w:rPr>
          <w:rFonts w:ascii="Verdana" w:eastAsia="Verdana" w:hAnsi="Verdana" w:cs="Verdana"/>
          <w:b/>
          <w:color w:val="000000"/>
          <w:sz w:val="22"/>
          <w:szCs w:val="22"/>
          <w:lang w:eastAsia="es-MX"/>
        </w:rPr>
        <w:t xml:space="preserve"> Tipo de recursos.- </w:t>
      </w:r>
      <w:r>
        <w:rPr>
          <w:rFonts w:ascii="Verdana" w:eastAsia="Verdana" w:hAnsi="Verdana" w:cs="Verdana"/>
          <w:color w:val="000000"/>
          <w:sz w:val="22"/>
          <w:szCs w:val="22"/>
          <w:lang w:eastAsia="es-MX"/>
        </w:rPr>
        <w:t>Los recursos del Programa serán a fondo perdido.</w:t>
      </w:r>
    </w:p>
    <w:p>
      <w:pPr>
        <w:tabs>
          <w:tab w:val="left" w:pos="426"/>
          <w:tab w:val="left" w:pos="708"/>
        </w:tabs>
        <w:ind w:left="426"/>
        <w:jc w:val="both"/>
        <w:rPr>
          <w:rFonts w:ascii="Verdana" w:eastAsia="Verdana" w:hAnsi="Verdana" w:cs="Verdana"/>
          <w:b/>
          <w:sz w:val="22"/>
          <w:szCs w:val="22"/>
          <w:lang w:eastAsia="es-MX"/>
        </w:rPr>
      </w:pPr>
    </w:p>
    <w:p>
      <w:pPr>
        <w:tabs>
          <w:tab w:val="left" w:pos="426"/>
          <w:tab w:val="left" w:pos="708"/>
        </w:tabs>
        <w:ind w:left="426"/>
        <w:jc w:val="both"/>
        <w:rPr>
          <w:rFonts w:ascii="Verdana" w:eastAsia="Verdana" w:hAnsi="Verdana" w:cs="Verdana"/>
          <w:color w:val="000000"/>
          <w:sz w:val="22"/>
          <w:szCs w:val="22"/>
          <w:lang w:eastAsia="es-MX"/>
        </w:rPr>
      </w:pPr>
      <w:r>
        <w:rPr>
          <w:rFonts w:ascii="Verdana" w:eastAsia="Verdana" w:hAnsi="Verdana" w:cs="Verdana"/>
          <w:b/>
          <w:sz w:val="22"/>
          <w:szCs w:val="22"/>
          <w:lang w:eastAsia="es-MX"/>
        </w:rPr>
        <w:t>2.4.2.</w:t>
      </w:r>
      <w:r>
        <w:rPr>
          <w:rFonts w:ascii="Verdana" w:eastAsia="Verdana" w:hAnsi="Verdana" w:cs="Verdana"/>
          <w:b/>
          <w:color w:val="000000"/>
          <w:sz w:val="22"/>
          <w:szCs w:val="22"/>
          <w:lang w:eastAsia="es-MX"/>
        </w:rPr>
        <w:t xml:space="preserve"> Tipos de apoyo.- </w:t>
      </w:r>
      <w:r>
        <w:rPr>
          <w:rFonts w:ascii="Verdana" w:eastAsia="Verdana" w:hAnsi="Verdana" w:cs="Verdana"/>
          <w:color w:val="000000"/>
          <w:sz w:val="22"/>
          <w:szCs w:val="22"/>
          <w:lang w:eastAsia="es-MX"/>
        </w:rPr>
        <w:t>En especie, consistente en la asignación y aplicación en ganado del Dispositivo de Identificación Oficial, distribuidos de la manera siguiente:</w:t>
      </w:r>
    </w:p>
    <w:p>
      <w:pPr>
        <w:tabs>
          <w:tab w:val="left" w:pos="426"/>
          <w:tab w:val="left" w:pos="708"/>
        </w:tabs>
        <w:ind w:left="426"/>
        <w:jc w:val="both"/>
        <w:rPr>
          <w:rFonts w:ascii="Verdana" w:eastAsia="Verdana" w:hAnsi="Verdana" w:cs="Verdana"/>
          <w:color w:val="000000"/>
          <w:sz w:val="22"/>
          <w:szCs w:val="22"/>
          <w:lang w:eastAsia="es-MX"/>
        </w:rPr>
      </w:pPr>
    </w:p>
    <w:p>
      <w:pPr>
        <w:numPr>
          <w:ilvl w:val="0"/>
          <w:numId w:val="23"/>
        </w:numPr>
        <w:tabs>
          <w:tab w:val="left" w:pos="708"/>
        </w:tabs>
        <w:suppressAutoHyphens w:val="0"/>
        <w:ind w:left="1134"/>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Inicialmente se utilizaran los dispositivos de identificación oficial sobrantes del Programa Apoyo para la Aplicación en Ganado de Dispositivo de Identificación Oficial, de los ejercicios fiscales 2017 y 2018; y</w:t>
      </w:r>
    </w:p>
    <w:p>
      <w:pPr>
        <w:tabs>
          <w:tab w:val="left" w:pos="708"/>
        </w:tabs>
        <w:ind w:left="1134"/>
        <w:jc w:val="both"/>
        <w:rPr>
          <w:rFonts w:ascii="Verdana" w:eastAsia="Verdana" w:hAnsi="Verdana" w:cs="Verdana"/>
          <w:color w:val="000000"/>
          <w:sz w:val="22"/>
          <w:szCs w:val="22"/>
          <w:lang w:eastAsia="es-MX"/>
        </w:rPr>
      </w:pPr>
    </w:p>
    <w:p>
      <w:pPr>
        <w:numPr>
          <w:ilvl w:val="0"/>
          <w:numId w:val="23"/>
        </w:numPr>
        <w:tabs>
          <w:tab w:val="left" w:pos="708"/>
        </w:tabs>
        <w:suppressAutoHyphens w:val="0"/>
        <w:ind w:left="1134"/>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Los dispositivos de identificación oficial por adquirir del “Programa de Apoyo para la Aplicación en Ganado de Dispositivo de Identificación Oficial 2019”, se describen de la manera siguiente:</w:t>
      </w:r>
    </w:p>
    <w:p>
      <w:pPr>
        <w:tabs>
          <w:tab w:val="left" w:pos="708"/>
        </w:tabs>
        <w:ind w:left="426" w:firstLine="708"/>
        <w:jc w:val="both"/>
        <w:rPr>
          <w:rFonts w:ascii="Verdana" w:eastAsia="Verdana" w:hAnsi="Verdana" w:cs="Verdana"/>
          <w:sz w:val="22"/>
          <w:szCs w:val="22"/>
          <w:lang w:eastAsia="es-MX"/>
        </w:rPr>
      </w:pPr>
    </w:p>
    <w:tbl>
      <w:tblPr>
        <w:tblW w:w="8546" w:type="dxa"/>
        <w:jc w:val="center"/>
        <w:tblInd w:w="2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6"/>
        <w:gridCol w:w="2126"/>
        <w:gridCol w:w="2934"/>
      </w:tblGrid>
      <w:tr>
        <w:trPr>
          <w:jc w:val="center"/>
        </w:trPr>
        <w:tc>
          <w:tcPr>
            <w:tcW w:w="3486" w:type="dxa"/>
            <w:tcBorders>
              <w:top w:val="single" w:sz="4" w:space="0" w:color="000000"/>
              <w:left w:val="single" w:sz="4" w:space="0" w:color="000000"/>
              <w:bottom w:val="single" w:sz="4" w:space="0" w:color="000000"/>
              <w:right w:val="single" w:sz="4" w:space="0" w:color="000000"/>
            </w:tcBorders>
          </w:tcPr>
          <w:p>
            <w:pPr>
              <w:tabs>
                <w:tab w:val="left" w:pos="426"/>
                <w:tab w:val="left" w:pos="708"/>
                <w:tab w:val="left" w:pos="851"/>
              </w:tabs>
              <w:ind w:left="426"/>
              <w:jc w:val="center"/>
              <w:rPr>
                <w:rFonts w:ascii="Verdana" w:eastAsia="Verdana" w:hAnsi="Verdana" w:cs="Verdana"/>
                <w:b/>
                <w:color w:val="000000"/>
                <w:sz w:val="22"/>
                <w:szCs w:val="22"/>
                <w:lang w:eastAsia="es-MX"/>
              </w:rPr>
            </w:pPr>
            <w:r>
              <w:rPr>
                <w:rFonts w:ascii="Verdana" w:eastAsia="Verdana" w:hAnsi="Verdana" w:cs="Verdana"/>
                <w:b/>
                <w:color w:val="000000"/>
                <w:sz w:val="22"/>
                <w:szCs w:val="22"/>
                <w:lang w:eastAsia="es-MX"/>
              </w:rPr>
              <w:t>Cantidad</w:t>
            </w:r>
          </w:p>
        </w:tc>
        <w:tc>
          <w:tcPr>
            <w:tcW w:w="2126" w:type="dxa"/>
            <w:tcBorders>
              <w:top w:val="single" w:sz="4" w:space="0" w:color="000000"/>
              <w:left w:val="single" w:sz="4" w:space="0" w:color="000000"/>
              <w:bottom w:val="single" w:sz="4" w:space="0" w:color="000000"/>
              <w:right w:val="single" w:sz="4" w:space="0" w:color="000000"/>
            </w:tcBorders>
          </w:tcPr>
          <w:p>
            <w:pPr>
              <w:tabs>
                <w:tab w:val="left" w:pos="426"/>
                <w:tab w:val="left" w:pos="708"/>
                <w:tab w:val="left" w:pos="851"/>
              </w:tabs>
              <w:ind w:left="426"/>
              <w:jc w:val="center"/>
              <w:rPr>
                <w:rFonts w:ascii="Verdana" w:eastAsia="Verdana" w:hAnsi="Verdana" w:cs="Verdana"/>
                <w:b/>
                <w:color w:val="000000"/>
                <w:sz w:val="22"/>
                <w:szCs w:val="22"/>
                <w:lang w:eastAsia="es-MX"/>
              </w:rPr>
            </w:pPr>
            <w:r>
              <w:rPr>
                <w:rFonts w:ascii="Verdana" w:eastAsia="Verdana" w:hAnsi="Verdana" w:cs="Verdana"/>
                <w:b/>
                <w:color w:val="000000"/>
                <w:sz w:val="22"/>
                <w:szCs w:val="22"/>
                <w:lang w:eastAsia="es-MX"/>
              </w:rPr>
              <w:t>Precio unitario</w:t>
            </w:r>
          </w:p>
        </w:tc>
        <w:tc>
          <w:tcPr>
            <w:tcW w:w="2934" w:type="dxa"/>
            <w:tcBorders>
              <w:top w:val="single" w:sz="4" w:space="0" w:color="000000"/>
              <w:left w:val="single" w:sz="4" w:space="0" w:color="000000"/>
              <w:bottom w:val="single" w:sz="4" w:space="0" w:color="000000"/>
              <w:right w:val="single" w:sz="4" w:space="0" w:color="000000"/>
            </w:tcBorders>
          </w:tcPr>
          <w:p>
            <w:pPr>
              <w:tabs>
                <w:tab w:val="left" w:pos="426"/>
                <w:tab w:val="left" w:pos="708"/>
                <w:tab w:val="left" w:pos="851"/>
              </w:tabs>
              <w:ind w:left="426"/>
              <w:jc w:val="center"/>
              <w:rPr>
                <w:rFonts w:ascii="Verdana" w:eastAsia="Verdana" w:hAnsi="Verdana" w:cs="Verdana"/>
                <w:b/>
                <w:color w:val="000000"/>
                <w:sz w:val="22"/>
                <w:szCs w:val="22"/>
                <w:lang w:eastAsia="es-MX"/>
              </w:rPr>
            </w:pPr>
            <w:r>
              <w:rPr>
                <w:rFonts w:ascii="Verdana" w:eastAsia="Verdana" w:hAnsi="Verdana" w:cs="Verdana"/>
                <w:b/>
                <w:color w:val="000000"/>
                <w:sz w:val="22"/>
                <w:szCs w:val="22"/>
                <w:lang w:eastAsia="es-MX"/>
              </w:rPr>
              <w:t>Monto</w:t>
            </w:r>
          </w:p>
        </w:tc>
      </w:tr>
      <w:tr>
        <w:trPr>
          <w:jc w:val="center"/>
        </w:trPr>
        <w:tc>
          <w:tcPr>
            <w:tcW w:w="3486" w:type="dxa"/>
            <w:tcBorders>
              <w:top w:val="single" w:sz="4" w:space="0" w:color="000000"/>
              <w:left w:val="single" w:sz="4" w:space="0" w:color="000000"/>
              <w:bottom w:val="single" w:sz="4" w:space="0" w:color="000000"/>
              <w:right w:val="single" w:sz="4" w:space="0" w:color="000000"/>
            </w:tcBorders>
            <w:vAlign w:val="center"/>
          </w:tcPr>
          <w:p>
            <w:pPr>
              <w:tabs>
                <w:tab w:val="left" w:pos="426"/>
                <w:tab w:val="left" w:pos="708"/>
                <w:tab w:val="left" w:pos="851"/>
              </w:tabs>
              <w:ind w:left="426"/>
              <w:jc w:val="center"/>
              <w:rPr>
                <w:rFonts w:ascii="Verdana" w:eastAsia="Verdana" w:hAnsi="Verdana" w:cs="Verdana"/>
                <w:sz w:val="22"/>
                <w:szCs w:val="22"/>
                <w:lang w:eastAsia="es-MX"/>
              </w:rPr>
            </w:pPr>
            <w:r>
              <w:rPr>
                <w:rFonts w:ascii="Verdana" w:eastAsia="Verdana" w:hAnsi="Verdana" w:cs="Verdana"/>
                <w:sz w:val="22"/>
                <w:szCs w:val="22"/>
                <w:lang w:eastAsia="es-MX"/>
              </w:rPr>
              <w:t>3,333 Dispositivos para bovino</w:t>
            </w:r>
          </w:p>
        </w:tc>
        <w:tc>
          <w:tcPr>
            <w:tcW w:w="2126" w:type="dxa"/>
            <w:tcBorders>
              <w:top w:val="single" w:sz="4" w:space="0" w:color="000000"/>
              <w:left w:val="single" w:sz="4" w:space="0" w:color="000000"/>
              <w:bottom w:val="single" w:sz="4" w:space="0" w:color="000000"/>
              <w:right w:val="single" w:sz="4" w:space="0" w:color="000000"/>
            </w:tcBorders>
            <w:vAlign w:val="center"/>
          </w:tcPr>
          <w:p>
            <w:pPr>
              <w:tabs>
                <w:tab w:val="left" w:pos="426"/>
                <w:tab w:val="left" w:pos="708"/>
                <w:tab w:val="left" w:pos="851"/>
              </w:tabs>
              <w:ind w:left="426"/>
              <w:jc w:val="center"/>
              <w:rPr>
                <w:rFonts w:ascii="Verdana" w:eastAsia="Verdana" w:hAnsi="Verdana" w:cs="Verdana"/>
                <w:sz w:val="22"/>
                <w:szCs w:val="22"/>
                <w:lang w:eastAsia="es-MX"/>
              </w:rPr>
            </w:pPr>
            <w:r>
              <w:rPr>
                <w:rFonts w:ascii="Verdana" w:eastAsia="Verdana" w:hAnsi="Verdana" w:cs="Verdana"/>
                <w:sz w:val="22"/>
                <w:szCs w:val="22"/>
                <w:lang w:eastAsia="es-MX"/>
              </w:rPr>
              <w:t>$30.00 pesos</w:t>
            </w:r>
          </w:p>
        </w:tc>
        <w:tc>
          <w:tcPr>
            <w:tcW w:w="2934" w:type="dxa"/>
            <w:tcBorders>
              <w:top w:val="single" w:sz="4" w:space="0" w:color="000000"/>
              <w:left w:val="single" w:sz="4" w:space="0" w:color="000000"/>
              <w:bottom w:val="single" w:sz="4" w:space="0" w:color="000000"/>
              <w:right w:val="single" w:sz="4" w:space="0" w:color="000000"/>
            </w:tcBorders>
            <w:vAlign w:val="center"/>
          </w:tcPr>
          <w:p>
            <w:pPr>
              <w:tabs>
                <w:tab w:val="left" w:pos="426"/>
                <w:tab w:val="left" w:pos="708"/>
                <w:tab w:val="left" w:pos="851"/>
              </w:tabs>
              <w:ind w:left="426"/>
              <w:jc w:val="center"/>
              <w:rPr>
                <w:rFonts w:ascii="Verdana" w:eastAsia="Verdana" w:hAnsi="Verdana" w:cs="Verdana"/>
                <w:sz w:val="22"/>
                <w:szCs w:val="22"/>
                <w:lang w:eastAsia="es-MX"/>
              </w:rPr>
            </w:pPr>
            <w:r>
              <w:rPr>
                <w:rFonts w:ascii="Verdana" w:eastAsia="Verdana" w:hAnsi="Verdana" w:cs="Verdana"/>
                <w:sz w:val="22"/>
                <w:szCs w:val="22"/>
                <w:lang w:eastAsia="es-MX"/>
              </w:rPr>
              <w:t>$99,990.00 pesos</w:t>
            </w:r>
          </w:p>
        </w:tc>
      </w:tr>
      <w:tr>
        <w:trPr>
          <w:jc w:val="center"/>
        </w:trPr>
        <w:tc>
          <w:tcPr>
            <w:tcW w:w="3486" w:type="dxa"/>
            <w:tcBorders>
              <w:top w:val="single" w:sz="4" w:space="0" w:color="000000"/>
              <w:left w:val="single" w:sz="4" w:space="0" w:color="000000"/>
              <w:bottom w:val="single" w:sz="4" w:space="0" w:color="000000"/>
              <w:right w:val="single" w:sz="4" w:space="0" w:color="000000"/>
            </w:tcBorders>
            <w:vAlign w:val="center"/>
          </w:tcPr>
          <w:p>
            <w:pPr>
              <w:tabs>
                <w:tab w:val="left" w:pos="426"/>
                <w:tab w:val="left" w:pos="708"/>
                <w:tab w:val="left" w:pos="851"/>
              </w:tabs>
              <w:ind w:left="426"/>
              <w:jc w:val="center"/>
              <w:rPr>
                <w:rFonts w:ascii="Verdana" w:eastAsia="Verdana" w:hAnsi="Verdana" w:cs="Verdana"/>
                <w:sz w:val="22"/>
                <w:szCs w:val="22"/>
                <w:lang w:eastAsia="es-MX"/>
              </w:rPr>
            </w:pPr>
            <w:r>
              <w:rPr>
                <w:rFonts w:ascii="Verdana" w:eastAsia="Verdana" w:hAnsi="Verdana" w:cs="Verdana"/>
                <w:sz w:val="22"/>
                <w:szCs w:val="22"/>
                <w:lang w:eastAsia="es-MX"/>
              </w:rPr>
              <w:t>TOTAL</w:t>
            </w:r>
          </w:p>
        </w:tc>
        <w:tc>
          <w:tcPr>
            <w:tcW w:w="2126" w:type="dxa"/>
            <w:tcBorders>
              <w:top w:val="single" w:sz="4" w:space="0" w:color="000000"/>
              <w:left w:val="single" w:sz="4" w:space="0" w:color="000000"/>
              <w:bottom w:val="single" w:sz="4" w:space="0" w:color="000000"/>
              <w:right w:val="single" w:sz="4" w:space="0" w:color="000000"/>
            </w:tcBorders>
            <w:vAlign w:val="center"/>
          </w:tcPr>
          <w:p>
            <w:pPr>
              <w:tabs>
                <w:tab w:val="left" w:pos="426"/>
                <w:tab w:val="left" w:pos="708"/>
                <w:tab w:val="left" w:pos="851"/>
              </w:tabs>
              <w:ind w:left="426"/>
              <w:jc w:val="center"/>
              <w:rPr>
                <w:rFonts w:ascii="Verdana" w:eastAsia="Verdana" w:hAnsi="Verdana" w:cs="Verdana"/>
                <w:sz w:val="22"/>
                <w:szCs w:val="22"/>
                <w:lang w:eastAsia="es-MX"/>
              </w:rPr>
            </w:pPr>
          </w:p>
        </w:tc>
        <w:tc>
          <w:tcPr>
            <w:tcW w:w="2934" w:type="dxa"/>
            <w:tcBorders>
              <w:top w:val="single" w:sz="4" w:space="0" w:color="000000"/>
              <w:left w:val="single" w:sz="4" w:space="0" w:color="000000"/>
              <w:bottom w:val="single" w:sz="4" w:space="0" w:color="000000"/>
              <w:right w:val="single" w:sz="4" w:space="0" w:color="000000"/>
            </w:tcBorders>
            <w:vAlign w:val="center"/>
          </w:tcPr>
          <w:p>
            <w:pPr>
              <w:tabs>
                <w:tab w:val="left" w:pos="426"/>
                <w:tab w:val="left" w:pos="708"/>
                <w:tab w:val="left" w:pos="851"/>
              </w:tabs>
              <w:ind w:left="426"/>
              <w:jc w:val="center"/>
              <w:rPr>
                <w:rFonts w:ascii="Verdana" w:eastAsia="Verdana" w:hAnsi="Verdana" w:cs="Verdana"/>
                <w:sz w:val="22"/>
                <w:szCs w:val="22"/>
                <w:lang w:eastAsia="es-MX"/>
              </w:rPr>
            </w:pPr>
            <w:r>
              <w:rPr>
                <w:rFonts w:ascii="Verdana" w:eastAsia="Verdana" w:hAnsi="Verdana" w:cs="Verdana"/>
                <w:sz w:val="22"/>
                <w:szCs w:val="22"/>
                <w:lang w:eastAsia="es-MX"/>
              </w:rPr>
              <w:t>$99,990.00 pesos</w:t>
            </w:r>
          </w:p>
        </w:tc>
      </w:tr>
    </w:tbl>
    <w:p>
      <w:pPr>
        <w:tabs>
          <w:tab w:val="left" w:pos="426"/>
          <w:tab w:val="left" w:pos="708"/>
          <w:tab w:val="left" w:pos="1134"/>
        </w:tabs>
        <w:ind w:left="426"/>
        <w:jc w:val="both"/>
        <w:rPr>
          <w:rFonts w:ascii="Verdana" w:eastAsia="Verdana" w:hAnsi="Verdana" w:cs="Verdana"/>
          <w:b/>
          <w:color w:val="000000"/>
          <w:sz w:val="22"/>
          <w:szCs w:val="22"/>
          <w:lang w:eastAsia="es-MX"/>
        </w:rPr>
      </w:pPr>
    </w:p>
    <w:p>
      <w:pPr>
        <w:tabs>
          <w:tab w:val="left" w:pos="708"/>
        </w:tabs>
        <w:jc w:val="both"/>
        <w:rPr>
          <w:rFonts w:ascii="Verdana" w:eastAsia="Times New Roman" w:hAnsi="Verdana" w:cs="Arial"/>
          <w:sz w:val="22"/>
          <w:szCs w:val="22"/>
          <w:lang w:eastAsia="es-MX" w:bidi="hi-IN"/>
        </w:rPr>
      </w:pPr>
      <w:r>
        <w:rPr>
          <w:rFonts w:ascii="Verdana" w:eastAsia="Verdana" w:hAnsi="Verdana" w:cs="Verdana"/>
          <w:b/>
          <w:sz w:val="22"/>
          <w:szCs w:val="22"/>
          <w:lang w:eastAsia="es-MX"/>
        </w:rPr>
        <w:t xml:space="preserve">2.4.3. </w:t>
      </w:r>
      <w:r>
        <w:rPr>
          <w:rFonts w:ascii="Verdana" w:eastAsia="Verdana" w:hAnsi="Verdana" w:cs="Verdana"/>
          <w:b/>
          <w:color w:val="000000"/>
          <w:sz w:val="22"/>
          <w:szCs w:val="22"/>
          <w:lang w:eastAsia="es-MX"/>
        </w:rPr>
        <w:t>Destino de los apoyos:</w:t>
      </w:r>
      <w:r>
        <w:rPr>
          <w:rFonts w:ascii="Verdana" w:eastAsia="Verdana" w:hAnsi="Verdana" w:cs="Verdana"/>
          <w:color w:val="000000"/>
          <w:sz w:val="22"/>
          <w:szCs w:val="22"/>
          <w:lang w:eastAsia="es-MX"/>
        </w:rPr>
        <w:t xml:space="preserve"> </w:t>
      </w:r>
    </w:p>
    <w:tbl>
      <w:tblPr>
        <w:tblpPr w:leftFromText="141" w:rightFromText="141" w:vertAnchor="text" w:horzAnchor="margin" w:tblpXSpec="center" w:tblpY="245"/>
        <w:tblW w:w="8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2"/>
        <w:gridCol w:w="4505"/>
      </w:tblGrid>
      <w:tr>
        <w:tc>
          <w:tcPr>
            <w:tcW w:w="3862" w:type="dxa"/>
            <w:tcBorders>
              <w:top w:val="single" w:sz="4" w:space="0" w:color="auto"/>
              <w:left w:val="single" w:sz="4" w:space="0" w:color="auto"/>
              <w:bottom w:val="single" w:sz="4" w:space="0" w:color="auto"/>
              <w:right w:val="single" w:sz="4" w:space="0" w:color="auto"/>
            </w:tcBorders>
            <w:hideMark/>
          </w:tcPr>
          <w:p>
            <w:pPr>
              <w:tabs>
                <w:tab w:val="left" w:pos="708"/>
              </w:tabs>
              <w:jc w:val="center"/>
              <w:rPr>
                <w:rFonts w:ascii="Verdana" w:eastAsia="Calibri" w:hAnsi="Verdana" w:cs="Arial"/>
                <w:b/>
                <w:sz w:val="22"/>
                <w:szCs w:val="22"/>
                <w:lang w:eastAsia="es-MX" w:bidi="hi-IN"/>
              </w:rPr>
            </w:pPr>
            <w:r>
              <w:rPr>
                <w:rFonts w:ascii="Verdana" w:eastAsia="Calibri" w:hAnsi="Verdana" w:cs="Arial"/>
                <w:b/>
                <w:sz w:val="22"/>
                <w:szCs w:val="22"/>
                <w:lang w:bidi="hi-IN"/>
              </w:rPr>
              <w:t>Estatus productivo</w:t>
            </w:r>
          </w:p>
        </w:tc>
        <w:tc>
          <w:tcPr>
            <w:tcW w:w="4505" w:type="dxa"/>
            <w:tcBorders>
              <w:top w:val="single" w:sz="4" w:space="0" w:color="auto"/>
              <w:left w:val="single" w:sz="4" w:space="0" w:color="auto"/>
              <w:bottom w:val="single" w:sz="4" w:space="0" w:color="auto"/>
              <w:right w:val="single" w:sz="4" w:space="0" w:color="auto"/>
            </w:tcBorders>
            <w:hideMark/>
          </w:tcPr>
          <w:p>
            <w:pPr>
              <w:tabs>
                <w:tab w:val="left" w:pos="708"/>
              </w:tabs>
              <w:jc w:val="center"/>
              <w:rPr>
                <w:rFonts w:ascii="Verdana" w:eastAsia="Calibri" w:hAnsi="Verdana" w:cs="Arial"/>
                <w:b/>
                <w:sz w:val="22"/>
                <w:szCs w:val="22"/>
                <w:lang w:eastAsia="es-MX" w:bidi="hi-IN"/>
              </w:rPr>
            </w:pPr>
            <w:r>
              <w:rPr>
                <w:rFonts w:ascii="Verdana" w:eastAsia="Calibri" w:hAnsi="Verdana" w:cs="Arial"/>
                <w:b/>
                <w:sz w:val="22"/>
                <w:szCs w:val="22"/>
                <w:lang w:bidi="hi-IN"/>
              </w:rPr>
              <w:t>Apoyo</w:t>
            </w:r>
          </w:p>
        </w:tc>
      </w:tr>
      <w:tr>
        <w:tc>
          <w:tcPr>
            <w:tcW w:w="3862" w:type="dxa"/>
            <w:tcBorders>
              <w:top w:val="single" w:sz="4" w:space="0" w:color="auto"/>
              <w:left w:val="single" w:sz="4" w:space="0" w:color="auto"/>
              <w:bottom w:val="single" w:sz="4" w:space="0" w:color="auto"/>
              <w:right w:val="single" w:sz="4" w:space="0" w:color="auto"/>
            </w:tcBorders>
            <w:hideMark/>
          </w:tcPr>
          <w:p>
            <w:pPr>
              <w:tabs>
                <w:tab w:val="left" w:pos="708"/>
              </w:tabs>
              <w:jc w:val="both"/>
              <w:rPr>
                <w:rFonts w:ascii="Verdana" w:eastAsia="Calibri" w:hAnsi="Verdana" w:cs="Arial"/>
                <w:sz w:val="22"/>
                <w:szCs w:val="22"/>
                <w:lang w:eastAsia="es-MX" w:bidi="hi-IN"/>
              </w:rPr>
            </w:pPr>
            <w:r>
              <w:rPr>
                <w:rFonts w:ascii="Verdana" w:eastAsia="Calibri" w:hAnsi="Verdana" w:cs="Arial"/>
                <w:sz w:val="22"/>
                <w:szCs w:val="22"/>
                <w:lang w:bidi="hi-IN"/>
              </w:rPr>
              <w:t>Persona criadora de ganado y/o engordadora independiente.</w:t>
            </w:r>
          </w:p>
        </w:tc>
        <w:tc>
          <w:tcPr>
            <w:tcW w:w="4505" w:type="dxa"/>
            <w:tcBorders>
              <w:top w:val="single" w:sz="4" w:space="0" w:color="auto"/>
              <w:left w:val="single" w:sz="4" w:space="0" w:color="auto"/>
              <w:bottom w:val="single" w:sz="4" w:space="0" w:color="auto"/>
              <w:right w:val="single" w:sz="4" w:space="0" w:color="auto"/>
            </w:tcBorders>
          </w:tcPr>
          <w:p>
            <w:pPr>
              <w:tabs>
                <w:tab w:val="left" w:pos="708"/>
              </w:tabs>
              <w:jc w:val="both"/>
              <w:rPr>
                <w:rFonts w:ascii="Verdana" w:eastAsia="Calibri" w:hAnsi="Verdana" w:cs="Arial"/>
                <w:sz w:val="22"/>
                <w:szCs w:val="22"/>
                <w:lang w:eastAsia="es-MX" w:bidi="hi-IN"/>
              </w:rPr>
            </w:pPr>
            <w:r>
              <w:rPr>
                <w:rFonts w:ascii="Verdana" w:eastAsia="Calibri" w:hAnsi="Verdana" w:cs="Arial"/>
                <w:sz w:val="22"/>
                <w:szCs w:val="22"/>
                <w:lang w:bidi="hi-IN"/>
              </w:rPr>
              <w:t>Para cada uno de las personas beneficiarias:</w:t>
            </w:r>
          </w:p>
          <w:p>
            <w:pPr>
              <w:tabs>
                <w:tab w:val="left" w:pos="708"/>
              </w:tabs>
              <w:jc w:val="both"/>
              <w:rPr>
                <w:rFonts w:ascii="Verdana" w:eastAsia="Calibri" w:hAnsi="Verdana" w:cs="Arial"/>
                <w:sz w:val="22"/>
                <w:szCs w:val="22"/>
                <w:lang w:bidi="hi-IN"/>
              </w:rPr>
            </w:pPr>
          </w:p>
          <w:p>
            <w:pPr>
              <w:tabs>
                <w:tab w:val="left" w:pos="708"/>
              </w:tabs>
              <w:jc w:val="both"/>
              <w:rPr>
                <w:rFonts w:ascii="Verdana" w:eastAsia="Calibri" w:hAnsi="Verdana" w:cs="Arial"/>
                <w:sz w:val="22"/>
                <w:szCs w:val="22"/>
                <w:lang w:bidi="hi-IN"/>
              </w:rPr>
            </w:pPr>
            <w:r>
              <w:rPr>
                <w:rFonts w:ascii="Verdana" w:eastAsia="Calibri" w:hAnsi="Verdana" w:cs="Arial"/>
                <w:sz w:val="22"/>
                <w:szCs w:val="22"/>
                <w:lang w:bidi="hi-IN"/>
              </w:rPr>
              <w:t>a) Hasta un máximo de 50 Dispositivos de Identificación Oficial para bovinos;</w:t>
            </w:r>
          </w:p>
          <w:p>
            <w:pPr>
              <w:tabs>
                <w:tab w:val="left" w:pos="708"/>
              </w:tabs>
              <w:jc w:val="both"/>
              <w:rPr>
                <w:rFonts w:ascii="Verdana" w:eastAsia="Calibri" w:hAnsi="Verdana" w:cs="Arial"/>
                <w:sz w:val="22"/>
                <w:szCs w:val="22"/>
                <w:lang w:bidi="hi-IN"/>
              </w:rPr>
            </w:pPr>
          </w:p>
          <w:p>
            <w:pPr>
              <w:tabs>
                <w:tab w:val="left" w:pos="708"/>
              </w:tabs>
              <w:jc w:val="both"/>
              <w:rPr>
                <w:rFonts w:ascii="Verdana" w:eastAsia="Calibri" w:hAnsi="Verdana" w:cs="Arial"/>
                <w:sz w:val="22"/>
                <w:szCs w:val="22"/>
                <w:lang w:bidi="hi-IN"/>
              </w:rPr>
            </w:pPr>
            <w:r>
              <w:rPr>
                <w:rFonts w:ascii="Verdana" w:eastAsia="Calibri" w:hAnsi="Verdana" w:cs="Arial"/>
                <w:sz w:val="22"/>
                <w:szCs w:val="22"/>
                <w:lang w:bidi="hi-IN"/>
              </w:rPr>
              <w:t xml:space="preserve">b) Hasta un máximo de 35 Dispositivos de Identificación Oficial para caprinos; y </w:t>
            </w:r>
          </w:p>
          <w:p>
            <w:pPr>
              <w:tabs>
                <w:tab w:val="left" w:pos="708"/>
              </w:tabs>
              <w:jc w:val="both"/>
              <w:rPr>
                <w:rFonts w:ascii="Verdana" w:eastAsia="Calibri" w:hAnsi="Verdana" w:cs="Arial"/>
                <w:sz w:val="22"/>
                <w:szCs w:val="22"/>
                <w:lang w:bidi="hi-IN"/>
              </w:rPr>
            </w:pPr>
          </w:p>
          <w:p>
            <w:pPr>
              <w:tabs>
                <w:tab w:val="left" w:pos="708"/>
              </w:tabs>
              <w:jc w:val="both"/>
              <w:rPr>
                <w:rFonts w:ascii="Verdana" w:eastAsia="Calibri" w:hAnsi="Verdana" w:cs="Arial"/>
                <w:sz w:val="22"/>
                <w:szCs w:val="22"/>
                <w:lang w:eastAsia="es-MX" w:bidi="hi-IN"/>
              </w:rPr>
            </w:pPr>
            <w:r>
              <w:rPr>
                <w:rFonts w:ascii="Verdana" w:eastAsia="Calibri" w:hAnsi="Verdana" w:cs="Arial"/>
                <w:sz w:val="22"/>
                <w:szCs w:val="22"/>
                <w:lang w:bidi="hi-IN"/>
              </w:rPr>
              <w:t>c) Hasta un máximo de 35 Dispositivos de Identificación Oficial para ovinos.</w:t>
            </w:r>
          </w:p>
        </w:tc>
      </w:tr>
      <w:tr>
        <w:tc>
          <w:tcPr>
            <w:tcW w:w="3862" w:type="dxa"/>
            <w:tcBorders>
              <w:top w:val="single" w:sz="4" w:space="0" w:color="auto"/>
              <w:left w:val="single" w:sz="4" w:space="0" w:color="auto"/>
              <w:bottom w:val="single" w:sz="4" w:space="0" w:color="auto"/>
              <w:right w:val="single" w:sz="4" w:space="0" w:color="auto"/>
            </w:tcBorders>
            <w:hideMark/>
          </w:tcPr>
          <w:p>
            <w:pPr>
              <w:tabs>
                <w:tab w:val="left" w:pos="708"/>
              </w:tabs>
              <w:jc w:val="both"/>
              <w:rPr>
                <w:rFonts w:ascii="Verdana" w:eastAsia="Calibri" w:hAnsi="Verdana" w:cs="Arial"/>
                <w:sz w:val="22"/>
                <w:szCs w:val="22"/>
                <w:lang w:eastAsia="es-MX" w:bidi="hi-IN"/>
              </w:rPr>
            </w:pPr>
            <w:r>
              <w:rPr>
                <w:rFonts w:ascii="Verdana" w:eastAsia="Calibri" w:hAnsi="Verdana" w:cs="Arial"/>
                <w:sz w:val="22"/>
                <w:szCs w:val="22"/>
                <w:lang w:bidi="hi-IN"/>
              </w:rPr>
              <w:t>Apicultores</w:t>
            </w:r>
          </w:p>
        </w:tc>
        <w:tc>
          <w:tcPr>
            <w:tcW w:w="4505" w:type="dxa"/>
            <w:tcBorders>
              <w:top w:val="single" w:sz="4" w:space="0" w:color="auto"/>
              <w:left w:val="single" w:sz="4" w:space="0" w:color="auto"/>
              <w:bottom w:val="single" w:sz="4" w:space="0" w:color="auto"/>
              <w:right w:val="single" w:sz="4" w:space="0" w:color="auto"/>
            </w:tcBorders>
          </w:tcPr>
          <w:p>
            <w:pPr>
              <w:tabs>
                <w:tab w:val="left" w:pos="708"/>
              </w:tabs>
              <w:jc w:val="both"/>
              <w:rPr>
                <w:rFonts w:ascii="Verdana" w:eastAsia="Calibri" w:hAnsi="Verdana" w:cs="Arial"/>
                <w:sz w:val="22"/>
                <w:szCs w:val="22"/>
                <w:lang w:eastAsia="es-MX" w:bidi="hi-IN"/>
              </w:rPr>
            </w:pPr>
            <w:r>
              <w:rPr>
                <w:rFonts w:ascii="Verdana" w:eastAsia="Calibri" w:hAnsi="Verdana" w:cs="Arial"/>
                <w:sz w:val="22"/>
                <w:szCs w:val="22"/>
                <w:lang w:bidi="hi-IN"/>
              </w:rPr>
              <w:t>Para cada uno de las personas  beneficiarias:</w:t>
            </w:r>
          </w:p>
          <w:p>
            <w:pPr>
              <w:tabs>
                <w:tab w:val="left" w:pos="708"/>
              </w:tabs>
              <w:jc w:val="both"/>
              <w:rPr>
                <w:rFonts w:ascii="Verdana" w:eastAsia="Calibri" w:hAnsi="Verdana" w:cs="Arial"/>
                <w:sz w:val="22"/>
                <w:szCs w:val="22"/>
                <w:lang w:bidi="hi-IN"/>
              </w:rPr>
            </w:pPr>
          </w:p>
          <w:p>
            <w:pPr>
              <w:tabs>
                <w:tab w:val="left" w:pos="708"/>
              </w:tabs>
              <w:jc w:val="both"/>
              <w:rPr>
                <w:rFonts w:ascii="Verdana" w:eastAsia="Calibri" w:hAnsi="Verdana" w:cs="Arial"/>
                <w:sz w:val="22"/>
                <w:szCs w:val="22"/>
                <w:lang w:eastAsia="es-MX" w:bidi="hi-IN"/>
              </w:rPr>
            </w:pPr>
            <w:r>
              <w:rPr>
                <w:rFonts w:ascii="Verdana" w:eastAsia="Calibri" w:hAnsi="Verdana" w:cs="Arial"/>
                <w:sz w:val="22"/>
                <w:szCs w:val="22"/>
                <w:lang w:bidi="hi-IN"/>
              </w:rPr>
              <w:t>a) Hasta máximo de 50 Dispositivos de Identificación Oficial para colmenas.</w:t>
            </w:r>
          </w:p>
        </w:tc>
      </w:tr>
    </w:tbl>
    <w:p>
      <w:pPr>
        <w:tabs>
          <w:tab w:val="left" w:pos="708"/>
        </w:tabs>
        <w:jc w:val="both"/>
        <w:rPr>
          <w:rFonts w:ascii="Verdana" w:eastAsia="Calibri" w:hAnsi="Verdana" w:cs="Tahoma"/>
          <w:b/>
          <w:bCs/>
          <w:sz w:val="22"/>
          <w:szCs w:val="22"/>
          <w:lang w:bidi="hi-IN"/>
        </w:rPr>
      </w:pPr>
    </w:p>
    <w:p>
      <w:pPr>
        <w:tabs>
          <w:tab w:val="left" w:pos="708"/>
        </w:tabs>
        <w:rPr>
          <w:rFonts w:ascii="Verdana" w:eastAsia="Verdana" w:hAnsi="Verdana" w:cs="Verdana"/>
          <w:sz w:val="22"/>
          <w:szCs w:val="22"/>
          <w:lang w:eastAsia="es-MX"/>
        </w:rPr>
      </w:pPr>
    </w:p>
    <w:p>
      <w:pPr>
        <w:tabs>
          <w:tab w:val="left" w:pos="708"/>
        </w:tabs>
        <w:jc w:val="both"/>
        <w:rPr>
          <w:rFonts w:ascii="Verdana" w:eastAsia="Verdana" w:hAnsi="Verdana" w:cs="Verdana"/>
          <w:b/>
          <w:color w:val="000000"/>
          <w:sz w:val="22"/>
          <w:szCs w:val="22"/>
          <w:lang w:eastAsia="es-MX"/>
        </w:rPr>
      </w:pPr>
      <w:r>
        <w:rPr>
          <w:rFonts w:ascii="Verdana" w:eastAsia="Verdana" w:hAnsi="Verdana" w:cs="Verdana"/>
          <w:sz w:val="22"/>
          <w:szCs w:val="22"/>
          <w:lang w:eastAsia="es-MX"/>
        </w:rPr>
        <w:t xml:space="preserve">Los </w:t>
      </w:r>
      <w:r>
        <w:rPr>
          <w:rFonts w:ascii="Verdana" w:eastAsia="Verdana" w:hAnsi="Verdana" w:cs="Verdana"/>
          <w:sz w:val="22"/>
          <w:szCs w:val="22"/>
          <w:lang w:eastAsia="es-MX"/>
        </w:rPr>
        <w:lastRenderedPageBreak/>
        <w:t>apoyos se entregarán conforme al orden en que se ingresen las solicitudes y hasta agotar existencias, el productor sólo puede ser beneficiario una vez al año durante el presente ejercicio fiscal.</w:t>
      </w:r>
    </w:p>
    <w:p>
      <w:pPr>
        <w:ind w:right="51"/>
        <w:jc w:val="both"/>
        <w:rPr>
          <w:rFonts w:ascii="Verdana" w:eastAsia="Verdana" w:hAnsi="Verdana" w:cs="Verdana"/>
          <w:sz w:val="22"/>
          <w:szCs w:val="22"/>
          <w:lang w:eastAsia="es-MX"/>
        </w:rPr>
      </w:pPr>
    </w:p>
    <w:p>
      <w:pPr>
        <w:jc w:val="both"/>
        <w:rPr>
          <w:rFonts w:ascii="Verdana" w:eastAsia="Verdana" w:hAnsi="Verdana" w:cs="Verdana"/>
          <w:sz w:val="22"/>
          <w:szCs w:val="22"/>
          <w:lang w:eastAsia="es-MX"/>
        </w:rPr>
      </w:pPr>
      <w:r>
        <w:rPr>
          <w:rFonts w:ascii="Verdana" w:eastAsia="Verdana" w:hAnsi="Verdana" w:cs="Verdana"/>
          <w:b/>
          <w:sz w:val="22"/>
          <w:szCs w:val="22"/>
          <w:highlight w:val="white"/>
          <w:lang w:eastAsia="es-MX"/>
        </w:rPr>
        <w:t>2.4.4.</w:t>
      </w:r>
      <w:r>
        <w:rPr>
          <w:rFonts w:ascii="Verdana" w:eastAsia="Verdana" w:hAnsi="Verdana" w:cs="Verdana"/>
          <w:sz w:val="22"/>
          <w:szCs w:val="22"/>
          <w:highlight w:val="white"/>
          <w:lang w:eastAsia="es-MX"/>
        </w:rPr>
        <w:t xml:space="preserve"> El periodo de entrega y la distribución del apoyo antes citados estará marcado en la respectiva convocatoria.</w:t>
      </w:r>
    </w:p>
    <w:p>
      <w:pPr>
        <w:pBdr>
          <w:top w:val="nil"/>
          <w:left w:val="nil"/>
          <w:bottom w:val="nil"/>
          <w:right w:val="nil"/>
          <w:between w:val="nil"/>
        </w:pBdr>
        <w:ind w:left="720" w:right="51"/>
        <w:rPr>
          <w:rFonts w:ascii="Verdana" w:eastAsia="Verdana" w:hAnsi="Verdana" w:cs="Verdana"/>
          <w:b/>
          <w:sz w:val="22"/>
          <w:szCs w:val="22"/>
          <w:lang w:eastAsia="es-MX"/>
        </w:rPr>
      </w:pPr>
    </w:p>
    <w:p>
      <w:pPr>
        <w:pBdr>
          <w:top w:val="nil"/>
          <w:left w:val="nil"/>
          <w:bottom w:val="nil"/>
          <w:right w:val="nil"/>
          <w:between w:val="nil"/>
        </w:pBdr>
        <w:ind w:right="51"/>
        <w:rPr>
          <w:rFonts w:ascii="Verdana" w:eastAsia="Verdana" w:hAnsi="Verdana" w:cs="Verdana"/>
          <w:b/>
          <w:color w:val="000000"/>
          <w:sz w:val="22"/>
          <w:szCs w:val="22"/>
          <w:lang w:eastAsia="es-MX"/>
        </w:rPr>
      </w:pPr>
      <w:r>
        <w:rPr>
          <w:rFonts w:ascii="Verdana" w:eastAsia="Verdana" w:hAnsi="Verdana" w:cs="Verdana"/>
          <w:b/>
          <w:sz w:val="22"/>
          <w:szCs w:val="22"/>
          <w:lang w:eastAsia="es-MX"/>
        </w:rPr>
        <w:t xml:space="preserve">2.5. </w:t>
      </w:r>
      <w:r>
        <w:rPr>
          <w:rFonts w:ascii="Verdana" w:eastAsia="Verdana" w:hAnsi="Verdana" w:cs="Verdana"/>
          <w:b/>
          <w:color w:val="000000"/>
          <w:sz w:val="22"/>
          <w:szCs w:val="22"/>
          <w:lang w:eastAsia="es-MX"/>
        </w:rPr>
        <w:t xml:space="preserve">Personas Beneficiarias: </w:t>
      </w:r>
    </w:p>
    <w:p>
      <w:pPr>
        <w:pBdr>
          <w:top w:val="nil"/>
          <w:left w:val="nil"/>
          <w:bottom w:val="nil"/>
          <w:right w:val="nil"/>
          <w:between w:val="nil"/>
        </w:pBdr>
        <w:ind w:right="51"/>
        <w:rPr>
          <w:rFonts w:ascii="Verdana" w:eastAsia="Verdana" w:hAnsi="Verdana" w:cs="Verdana"/>
          <w:b/>
          <w:color w:val="000000"/>
          <w:sz w:val="22"/>
          <w:szCs w:val="22"/>
          <w:lang w:eastAsia="es-MX"/>
        </w:rPr>
      </w:pPr>
    </w:p>
    <w:p>
      <w:pPr>
        <w:pBdr>
          <w:top w:val="nil"/>
          <w:left w:val="nil"/>
          <w:bottom w:val="nil"/>
          <w:right w:val="nil"/>
          <w:between w:val="nil"/>
        </w:pBdr>
        <w:ind w:right="51"/>
        <w:jc w:val="both"/>
        <w:rPr>
          <w:rFonts w:ascii="Verdana" w:eastAsia="Verdana" w:hAnsi="Verdana" w:cs="Verdana"/>
          <w:color w:val="000000"/>
          <w:sz w:val="22"/>
          <w:szCs w:val="22"/>
          <w:lang w:eastAsia="es-MX"/>
        </w:rPr>
      </w:pPr>
      <w:r>
        <w:rPr>
          <w:rFonts w:ascii="Verdana" w:eastAsia="Verdana" w:hAnsi="Verdana" w:cs="Verdana"/>
          <w:b/>
          <w:sz w:val="22"/>
          <w:szCs w:val="22"/>
          <w:lang w:eastAsia="es-MX"/>
        </w:rPr>
        <w:t>2.5.1.</w:t>
      </w:r>
      <w:r>
        <w:rPr>
          <w:rFonts w:ascii="Verdana" w:eastAsia="Verdana" w:hAnsi="Verdana" w:cs="Verdana"/>
          <w:sz w:val="22"/>
          <w:szCs w:val="22"/>
          <w:lang w:eastAsia="es-MX"/>
        </w:rPr>
        <w:t xml:space="preserve"> </w:t>
      </w:r>
      <w:r>
        <w:rPr>
          <w:rFonts w:ascii="Verdana" w:eastAsia="Verdana" w:hAnsi="Verdana" w:cs="Verdana"/>
          <w:color w:val="000000"/>
          <w:sz w:val="22"/>
          <w:szCs w:val="22"/>
          <w:lang w:eastAsia="es-MX"/>
        </w:rPr>
        <w:t xml:space="preserve">Las y los solicitantes deberán cumplir con los siguientes requisitos: </w:t>
      </w:r>
    </w:p>
    <w:p>
      <w:pPr>
        <w:tabs>
          <w:tab w:val="left" w:pos="708"/>
        </w:tabs>
        <w:jc w:val="both"/>
        <w:rPr>
          <w:rFonts w:ascii="Verdana" w:eastAsia="Verdana" w:hAnsi="Verdana" w:cs="Verdana"/>
          <w:b/>
          <w:color w:val="000000"/>
          <w:sz w:val="22"/>
          <w:szCs w:val="22"/>
          <w:lang w:eastAsia="es-MX"/>
        </w:rPr>
      </w:pPr>
    </w:p>
    <w:p>
      <w:pPr>
        <w:numPr>
          <w:ilvl w:val="0"/>
          <w:numId w:val="21"/>
        </w:numPr>
        <w:tabs>
          <w:tab w:val="left" w:pos="851"/>
        </w:tabs>
        <w:suppressAutoHyphens w:val="0"/>
        <w:ind w:left="709"/>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Solicitud en el formato que determine la Dirección General de Desarrollo Rural</w:t>
      </w:r>
      <w:bookmarkStart w:id="0" w:name="_GoBack"/>
      <w:r>
        <w:rPr>
          <w:rFonts w:ascii="Verdana" w:eastAsia="Verdana" w:hAnsi="Verdana" w:cs="Verdana"/>
          <w:color w:val="000000"/>
          <w:sz w:val="22"/>
          <w:szCs w:val="22"/>
          <w:lang w:eastAsia="es-MX"/>
        </w:rPr>
        <w:t>, firmada por el solicitante donde indique el número de Dispositivos de Identificación Oficial requeridos.</w:t>
      </w:r>
    </w:p>
    <w:p>
      <w:pPr>
        <w:tabs>
          <w:tab w:val="left" w:pos="851"/>
        </w:tabs>
        <w:ind w:left="709"/>
        <w:jc w:val="both"/>
        <w:rPr>
          <w:rFonts w:ascii="Verdana" w:eastAsia="Verdana" w:hAnsi="Verdana" w:cs="Verdana"/>
          <w:color w:val="000000"/>
          <w:sz w:val="22"/>
          <w:szCs w:val="22"/>
          <w:lang w:eastAsia="es-MX"/>
        </w:rPr>
      </w:pPr>
    </w:p>
    <w:p>
      <w:pPr>
        <w:numPr>
          <w:ilvl w:val="0"/>
          <w:numId w:val="21"/>
        </w:numPr>
        <w:tabs>
          <w:tab w:val="left" w:pos="851"/>
        </w:tabs>
        <w:suppressAutoHyphens w:val="0"/>
        <w:ind w:left="709"/>
        <w:jc w:val="both"/>
        <w:rPr>
          <w:rFonts w:ascii="Verdana" w:eastAsia="Verdana" w:hAnsi="Verdana" w:cs="Verdana"/>
          <w:sz w:val="22"/>
          <w:szCs w:val="22"/>
          <w:lang w:eastAsia="es-MX"/>
        </w:rPr>
      </w:pPr>
      <w:r>
        <w:rPr>
          <w:rFonts w:ascii="Verdana" w:eastAsia="Verdana" w:hAnsi="Verdana" w:cs="Verdana"/>
          <w:color w:val="000000"/>
          <w:sz w:val="22"/>
          <w:szCs w:val="22"/>
          <w:lang w:eastAsia="es-MX"/>
        </w:rPr>
        <w:t xml:space="preserve">Copia de </w:t>
      </w:r>
      <w:r>
        <w:rPr>
          <w:rFonts w:ascii="Verdana" w:eastAsia="Verdana" w:hAnsi="Verdana" w:cs="Verdana"/>
          <w:sz w:val="22"/>
          <w:szCs w:val="22"/>
          <w:lang w:eastAsia="es-MX"/>
        </w:rPr>
        <w:t>Credencial Agroalimentaria, del Acta del Sistema de Credencialización Única V1.0, de la Credencial de ganadero o de Productor Pecuario vigente.</w:t>
      </w:r>
    </w:p>
    <w:p>
      <w:pPr>
        <w:tabs>
          <w:tab w:val="left" w:pos="851"/>
        </w:tabs>
        <w:ind w:left="709"/>
        <w:jc w:val="both"/>
        <w:rPr>
          <w:rFonts w:ascii="Verdana" w:eastAsia="Verdana" w:hAnsi="Verdana" w:cs="Verdana"/>
          <w:color w:val="000000"/>
          <w:sz w:val="22"/>
          <w:szCs w:val="22"/>
          <w:lang w:eastAsia="es-MX"/>
        </w:rPr>
      </w:pPr>
    </w:p>
    <w:p>
      <w:pPr>
        <w:numPr>
          <w:ilvl w:val="0"/>
          <w:numId w:val="21"/>
        </w:numPr>
        <w:tabs>
          <w:tab w:val="left" w:pos="851"/>
        </w:tabs>
        <w:suppressAutoHyphens w:val="0"/>
        <w:ind w:left="709"/>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Copia de identificación oficial con fotografía.</w:t>
      </w:r>
    </w:p>
    <w:p>
      <w:pPr>
        <w:tabs>
          <w:tab w:val="left" w:pos="851"/>
        </w:tabs>
        <w:ind w:left="709"/>
        <w:jc w:val="both"/>
        <w:rPr>
          <w:rFonts w:ascii="Verdana" w:eastAsia="Verdana" w:hAnsi="Verdana" w:cs="Verdana"/>
          <w:color w:val="000000"/>
          <w:sz w:val="22"/>
          <w:szCs w:val="22"/>
          <w:lang w:eastAsia="es-MX"/>
        </w:rPr>
      </w:pPr>
    </w:p>
    <w:p>
      <w:pPr>
        <w:numPr>
          <w:ilvl w:val="0"/>
          <w:numId w:val="21"/>
        </w:numPr>
        <w:tabs>
          <w:tab w:val="left" w:pos="851"/>
        </w:tabs>
        <w:suppressAutoHyphens w:val="0"/>
        <w:ind w:left="709"/>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Copia</w:t>
      </w:r>
      <w:bookmarkEnd w:id="0"/>
      <w:r>
        <w:rPr>
          <w:rFonts w:ascii="Verdana" w:eastAsia="Verdana" w:hAnsi="Verdana" w:cs="Verdana"/>
          <w:color w:val="000000"/>
          <w:sz w:val="22"/>
          <w:szCs w:val="22"/>
          <w:lang w:eastAsia="es-MX"/>
        </w:rPr>
        <w:t xml:space="preserve"> de registro de Unidad de Producción Pecuaria Actualizada (UPP), ubicada dentro del territorio del Municipio de Tlajomulco de Zúñiga, donde indique los Dispositivos de Identificación Oficial que requiere.</w:t>
      </w:r>
    </w:p>
    <w:p>
      <w:pPr>
        <w:tabs>
          <w:tab w:val="left" w:pos="708"/>
        </w:tabs>
        <w:jc w:val="both"/>
        <w:rPr>
          <w:rFonts w:ascii="Verdana" w:eastAsia="Verdana" w:hAnsi="Verdana" w:cs="Verdana"/>
          <w:b/>
          <w:color w:val="000000"/>
          <w:sz w:val="22"/>
          <w:szCs w:val="22"/>
          <w:lang w:eastAsia="es-MX"/>
        </w:rPr>
      </w:pPr>
    </w:p>
    <w:p>
      <w:pPr>
        <w:tabs>
          <w:tab w:val="left" w:pos="708"/>
        </w:tabs>
        <w:jc w:val="both"/>
        <w:rPr>
          <w:rFonts w:ascii="Verdana" w:eastAsia="Verdana" w:hAnsi="Verdana" w:cs="Verdana"/>
          <w:color w:val="000000"/>
          <w:sz w:val="22"/>
          <w:szCs w:val="22"/>
          <w:lang w:eastAsia="es-MX"/>
        </w:rPr>
      </w:pPr>
      <w:r>
        <w:rPr>
          <w:rFonts w:ascii="Verdana" w:eastAsia="Verdana" w:hAnsi="Verdana" w:cs="Verdana"/>
          <w:b/>
          <w:sz w:val="22"/>
          <w:szCs w:val="22"/>
          <w:lang w:eastAsia="es-MX"/>
        </w:rPr>
        <w:t>2.5.2.</w:t>
      </w:r>
      <w:r>
        <w:rPr>
          <w:rFonts w:ascii="Verdana" w:eastAsia="Verdana" w:hAnsi="Verdana" w:cs="Verdana"/>
          <w:color w:val="000000"/>
          <w:sz w:val="22"/>
          <w:szCs w:val="22"/>
          <w:lang w:eastAsia="es-MX"/>
        </w:rPr>
        <w:t xml:space="preserve"> </w:t>
      </w:r>
      <w:r>
        <w:rPr>
          <w:rFonts w:ascii="Verdana" w:eastAsia="Verdana" w:hAnsi="Verdana" w:cs="Verdana"/>
          <w:b/>
          <w:color w:val="000000"/>
          <w:sz w:val="22"/>
          <w:szCs w:val="22"/>
          <w:lang w:eastAsia="es-MX"/>
        </w:rPr>
        <w:t>Periodo de entrega de requisitos.-</w:t>
      </w:r>
      <w:r>
        <w:rPr>
          <w:rFonts w:ascii="Verdana" w:eastAsia="Verdana" w:hAnsi="Verdana" w:cs="Verdana"/>
          <w:color w:val="000000"/>
          <w:sz w:val="22"/>
          <w:szCs w:val="22"/>
          <w:lang w:eastAsia="es-MX"/>
        </w:rPr>
        <w:t xml:space="preserve"> A partir de la publicación de la convocatoria respectiva y </w:t>
      </w:r>
      <w:r>
        <w:rPr>
          <w:rFonts w:ascii="Verdana" w:eastAsia="Verdana" w:hAnsi="Verdana" w:cs="Verdana"/>
          <w:sz w:val="22"/>
          <w:szCs w:val="22"/>
          <w:lang w:eastAsia="es-MX"/>
        </w:rPr>
        <w:t>hasta la fecha que se determine en la misma</w:t>
      </w:r>
      <w:r>
        <w:rPr>
          <w:rFonts w:ascii="Verdana" w:eastAsia="Verdana" w:hAnsi="Verdana" w:cs="Verdana"/>
          <w:color w:val="000000"/>
          <w:sz w:val="22"/>
          <w:szCs w:val="22"/>
          <w:lang w:eastAsia="es-MX"/>
        </w:rPr>
        <w:t xml:space="preserve">, en la oficina de la Dirección de Desarrollo Pecuario, ubicada en el segundo piso del Centro Administrativo Tlajomulco, con domicilio en la calle Higuera número 70, en la Cabecera Municipal, con horario de 09:00 a 15:00 horas. </w:t>
      </w:r>
    </w:p>
    <w:p>
      <w:pPr>
        <w:pBdr>
          <w:top w:val="nil"/>
          <w:left w:val="nil"/>
          <w:bottom w:val="nil"/>
          <w:right w:val="nil"/>
          <w:between w:val="nil"/>
        </w:pBdr>
        <w:ind w:right="51"/>
        <w:rPr>
          <w:rFonts w:ascii="Verdana" w:eastAsia="Verdana" w:hAnsi="Verdana" w:cs="Verdana"/>
          <w:b/>
          <w:sz w:val="22"/>
          <w:szCs w:val="22"/>
          <w:lang w:eastAsia="es-MX"/>
        </w:rPr>
      </w:pPr>
    </w:p>
    <w:p>
      <w:pPr>
        <w:pBdr>
          <w:top w:val="nil"/>
          <w:left w:val="nil"/>
          <w:bottom w:val="nil"/>
          <w:right w:val="nil"/>
          <w:between w:val="nil"/>
        </w:pBdr>
        <w:ind w:right="51"/>
        <w:rPr>
          <w:rFonts w:ascii="Verdana" w:eastAsia="Verdana" w:hAnsi="Verdana" w:cs="Verdana"/>
          <w:b/>
          <w:color w:val="000000"/>
          <w:sz w:val="22"/>
          <w:szCs w:val="22"/>
          <w:lang w:eastAsia="es-MX"/>
        </w:rPr>
      </w:pPr>
      <w:r>
        <w:rPr>
          <w:rFonts w:ascii="Verdana" w:eastAsia="Verdana" w:hAnsi="Verdana" w:cs="Verdana"/>
          <w:b/>
          <w:sz w:val="22"/>
          <w:szCs w:val="22"/>
          <w:lang w:eastAsia="es-MX"/>
        </w:rPr>
        <w:t xml:space="preserve">2.5.3. </w:t>
      </w:r>
      <w:r>
        <w:rPr>
          <w:rFonts w:ascii="Verdana" w:eastAsia="Verdana" w:hAnsi="Verdana" w:cs="Verdana"/>
          <w:b/>
          <w:color w:val="000000"/>
          <w:sz w:val="22"/>
          <w:szCs w:val="22"/>
          <w:lang w:eastAsia="es-MX"/>
        </w:rPr>
        <w:t>Derechos y obligaciones de los solicitantes:</w:t>
      </w:r>
    </w:p>
    <w:p>
      <w:pPr>
        <w:pBdr>
          <w:top w:val="nil"/>
          <w:left w:val="nil"/>
          <w:bottom w:val="nil"/>
          <w:right w:val="nil"/>
          <w:between w:val="nil"/>
        </w:pBdr>
        <w:ind w:right="51" w:firstLine="709"/>
        <w:jc w:val="both"/>
        <w:rPr>
          <w:rFonts w:ascii="Verdana" w:eastAsia="Verdana" w:hAnsi="Verdana" w:cs="Verdana"/>
          <w:color w:val="000000"/>
          <w:sz w:val="22"/>
          <w:szCs w:val="22"/>
          <w:lang w:eastAsia="es-MX"/>
        </w:rPr>
      </w:pPr>
    </w:p>
    <w:p>
      <w:pPr>
        <w:numPr>
          <w:ilvl w:val="0"/>
          <w:numId w:val="7"/>
        </w:numPr>
        <w:pBdr>
          <w:top w:val="nil"/>
          <w:left w:val="nil"/>
          <w:bottom w:val="nil"/>
          <w:right w:val="nil"/>
          <w:between w:val="nil"/>
        </w:pBdr>
        <w:suppressAutoHyphens w:val="0"/>
        <w:ind w:right="51"/>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Todas las personas tienen derecho a recibir un trato digno, respetuoso, oportuno, con calidad y equitativo, sin discriminación alguna.</w:t>
      </w:r>
    </w:p>
    <w:p>
      <w:pPr>
        <w:pBdr>
          <w:top w:val="nil"/>
          <w:left w:val="nil"/>
          <w:bottom w:val="nil"/>
          <w:right w:val="nil"/>
          <w:between w:val="nil"/>
        </w:pBdr>
        <w:ind w:right="51"/>
        <w:jc w:val="both"/>
        <w:rPr>
          <w:rFonts w:ascii="Verdana" w:eastAsia="Verdana" w:hAnsi="Verdana" w:cs="Verdana"/>
          <w:color w:val="000000"/>
          <w:sz w:val="22"/>
          <w:szCs w:val="22"/>
          <w:lang w:eastAsia="es-MX"/>
        </w:rPr>
      </w:pPr>
    </w:p>
    <w:p>
      <w:pPr>
        <w:numPr>
          <w:ilvl w:val="0"/>
          <w:numId w:val="7"/>
        </w:numPr>
        <w:pBdr>
          <w:top w:val="nil"/>
          <w:left w:val="nil"/>
          <w:bottom w:val="nil"/>
          <w:right w:val="nil"/>
          <w:between w:val="nil"/>
        </w:pBdr>
        <w:suppressAutoHyphens w:val="0"/>
        <w:ind w:right="51"/>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 xml:space="preserve">Así mismo todas las personas tienen derecho a recibir información de manera clara y oportuna sobre la realización de trámites, requisitos y otras disposiciones para participar en el programa. </w:t>
      </w:r>
    </w:p>
    <w:p>
      <w:pPr>
        <w:pBdr>
          <w:top w:val="nil"/>
          <w:left w:val="nil"/>
          <w:bottom w:val="nil"/>
          <w:right w:val="nil"/>
          <w:between w:val="nil"/>
        </w:pBdr>
        <w:ind w:right="51"/>
        <w:jc w:val="both"/>
        <w:rPr>
          <w:rFonts w:ascii="Verdana" w:eastAsia="Verdana" w:hAnsi="Verdana" w:cs="Verdana"/>
          <w:color w:val="000000"/>
          <w:sz w:val="22"/>
          <w:szCs w:val="22"/>
          <w:lang w:eastAsia="es-MX"/>
        </w:rPr>
      </w:pPr>
    </w:p>
    <w:p>
      <w:pPr>
        <w:numPr>
          <w:ilvl w:val="0"/>
          <w:numId w:val="7"/>
        </w:numPr>
        <w:pBdr>
          <w:top w:val="nil"/>
          <w:left w:val="nil"/>
          <w:bottom w:val="nil"/>
          <w:right w:val="nil"/>
          <w:between w:val="nil"/>
        </w:pBdr>
        <w:suppressAutoHyphens w:val="0"/>
        <w:ind w:right="51"/>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Las y los beneficiarios del Programa podrán acceder a cualquier tipo de apoyos de otros programas.</w:t>
      </w:r>
    </w:p>
    <w:p>
      <w:pPr>
        <w:pBdr>
          <w:top w:val="nil"/>
          <w:left w:val="nil"/>
          <w:bottom w:val="nil"/>
          <w:right w:val="nil"/>
          <w:between w:val="nil"/>
        </w:pBdr>
        <w:ind w:right="51"/>
        <w:jc w:val="both"/>
        <w:rPr>
          <w:rFonts w:ascii="Verdana" w:eastAsia="Verdana" w:hAnsi="Verdana" w:cs="Verdana"/>
          <w:color w:val="000000"/>
          <w:sz w:val="22"/>
          <w:szCs w:val="22"/>
          <w:lang w:eastAsia="es-MX"/>
        </w:rPr>
      </w:pPr>
    </w:p>
    <w:p>
      <w:pPr>
        <w:numPr>
          <w:ilvl w:val="0"/>
          <w:numId w:val="7"/>
        </w:numPr>
        <w:tabs>
          <w:tab w:val="left" w:pos="708"/>
        </w:tabs>
        <w:suppressAutoHyphens w:val="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 xml:space="preserve">La persona beneficiaria que haya recibido el apoyo y no cumpla con las disposiciones descritas en las presentes Reglas de Operación, deberá al momento de su requerimiento, reintegrar el costo del dispositivo recibido, en caso de no hacerlo, la Tesorería Municipal determinará los créditos fiscales correspondientes y los ejecutará en términos de la Ley de Hacienda Municipal </w:t>
      </w:r>
      <w:r>
        <w:rPr>
          <w:rFonts w:ascii="Verdana" w:eastAsia="Verdana" w:hAnsi="Verdana" w:cs="Verdana"/>
          <w:color w:val="000000"/>
          <w:sz w:val="22"/>
          <w:szCs w:val="22"/>
          <w:lang w:eastAsia="es-MX"/>
        </w:rPr>
        <w:lastRenderedPageBreak/>
        <w:t>del Estado de Jalisco. Lo anterior con independencia de las distintas sanciones y acciones jurídicas que se puedan generar para la recuperación del mismo.</w:t>
      </w:r>
    </w:p>
    <w:p>
      <w:pPr>
        <w:tabs>
          <w:tab w:val="left" w:pos="708"/>
        </w:tabs>
        <w:jc w:val="both"/>
        <w:rPr>
          <w:rFonts w:ascii="Verdana" w:eastAsia="Verdana" w:hAnsi="Verdana" w:cs="Verdana"/>
          <w:b/>
          <w:sz w:val="22"/>
          <w:szCs w:val="22"/>
          <w:lang w:eastAsia="es-MX"/>
        </w:rPr>
      </w:pPr>
    </w:p>
    <w:p>
      <w:pPr>
        <w:tabs>
          <w:tab w:val="left" w:pos="708"/>
        </w:tabs>
        <w:jc w:val="both"/>
        <w:rPr>
          <w:rFonts w:ascii="Verdana" w:eastAsia="Verdana" w:hAnsi="Verdana" w:cs="Verdana"/>
          <w:color w:val="000000"/>
          <w:sz w:val="22"/>
          <w:szCs w:val="22"/>
          <w:lang w:eastAsia="es-MX"/>
        </w:rPr>
      </w:pPr>
      <w:r>
        <w:rPr>
          <w:rFonts w:ascii="Verdana" w:eastAsia="Verdana" w:hAnsi="Verdana" w:cs="Verdana"/>
          <w:b/>
          <w:sz w:val="22"/>
          <w:szCs w:val="22"/>
          <w:lang w:eastAsia="es-MX"/>
        </w:rPr>
        <w:t>2.6. PROCESOS DE OPERACIÓN E INSTRUMENTACIÓN:</w:t>
      </w:r>
    </w:p>
    <w:p>
      <w:pPr>
        <w:tabs>
          <w:tab w:val="left" w:pos="708"/>
        </w:tabs>
        <w:jc w:val="both"/>
        <w:rPr>
          <w:rFonts w:ascii="Verdana" w:eastAsia="Verdana" w:hAnsi="Verdana" w:cs="Verdana"/>
          <w:b/>
          <w:color w:val="000000"/>
          <w:sz w:val="22"/>
          <w:szCs w:val="22"/>
          <w:lang w:eastAsia="es-MX"/>
        </w:rPr>
      </w:pPr>
    </w:p>
    <w:p>
      <w:pPr>
        <w:tabs>
          <w:tab w:val="left" w:pos="708"/>
        </w:tabs>
        <w:jc w:val="both"/>
        <w:rPr>
          <w:rFonts w:ascii="Verdana" w:eastAsia="Verdana" w:hAnsi="Verdana" w:cs="Verdana"/>
          <w:b/>
          <w:sz w:val="22"/>
          <w:szCs w:val="22"/>
          <w:lang w:eastAsia="es-MX"/>
        </w:rPr>
      </w:pPr>
      <w:r>
        <w:rPr>
          <w:rFonts w:ascii="Verdana" w:eastAsia="Verdana" w:hAnsi="Verdana" w:cs="Verdana"/>
          <w:b/>
          <w:sz w:val="22"/>
          <w:szCs w:val="22"/>
          <w:lang w:eastAsia="es-MX"/>
        </w:rPr>
        <w:t>2.6.1. Convocatoria.</w:t>
      </w:r>
    </w:p>
    <w:p>
      <w:pPr>
        <w:tabs>
          <w:tab w:val="left" w:pos="708"/>
        </w:tabs>
        <w:jc w:val="both"/>
        <w:rPr>
          <w:rFonts w:ascii="Verdana" w:eastAsia="Verdana" w:hAnsi="Verdana" w:cs="Verdana"/>
          <w:sz w:val="22"/>
          <w:szCs w:val="22"/>
          <w:u w:val="single"/>
          <w:lang w:eastAsia="es-MX"/>
        </w:rPr>
      </w:pPr>
      <w:r>
        <w:rPr>
          <w:rFonts w:ascii="Verdana" w:eastAsia="Verdana" w:hAnsi="Verdana" w:cs="Verdana"/>
          <w:sz w:val="22"/>
          <w:szCs w:val="22"/>
          <w:lang w:eastAsia="es-MX"/>
        </w:rPr>
        <w:t xml:space="preserve">El Presidente Municipal emitirá una convocatoria pública y abierta, dirigida a la población objetivo del Programa, con base a las presentes Reglas de Operación del Programa. La convocatoria se publicará, en el portal de internet del Gobierno Municipal: </w:t>
      </w:r>
      <w:hyperlink r:id="rId8">
        <w:r>
          <w:rPr>
            <w:rFonts w:ascii="Verdana" w:eastAsia="Verdana" w:hAnsi="Verdana" w:cs="Verdana"/>
            <w:sz w:val="22"/>
            <w:szCs w:val="22"/>
            <w:u w:val="single"/>
            <w:lang w:eastAsia="es-MX"/>
          </w:rPr>
          <w:t>www.tlajomulco.gob</w:t>
        </w:r>
      </w:hyperlink>
      <w:r>
        <w:rPr>
          <w:rFonts w:ascii="Verdana" w:eastAsia="Verdana" w:hAnsi="Verdana" w:cs="Verdana"/>
          <w:sz w:val="22"/>
          <w:szCs w:val="22"/>
          <w:u w:val="single"/>
          <w:lang w:eastAsia="es-MX"/>
        </w:rPr>
        <w:t xml:space="preserve">.mx </w:t>
      </w:r>
    </w:p>
    <w:p>
      <w:pPr>
        <w:tabs>
          <w:tab w:val="left" w:pos="708"/>
        </w:tabs>
        <w:ind w:left="426" w:hanging="284"/>
        <w:jc w:val="both"/>
        <w:rPr>
          <w:rFonts w:ascii="Verdana" w:eastAsia="Verdana" w:hAnsi="Verdana" w:cs="Verdana"/>
          <w:color w:val="000000"/>
          <w:sz w:val="22"/>
          <w:szCs w:val="22"/>
          <w:lang w:eastAsia="es-MX"/>
        </w:rPr>
      </w:pPr>
    </w:p>
    <w:p>
      <w:pPr>
        <w:numPr>
          <w:ilvl w:val="0"/>
          <w:numId w:val="9"/>
        </w:numPr>
        <w:tabs>
          <w:tab w:val="left" w:pos="708"/>
        </w:tabs>
        <w:suppressAutoHyphens w:val="0"/>
        <w:ind w:left="72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La Dirección General de Desarrollo Rural, a través de la Dirección de Desarrollo Pecuario, será responsable de la difusión del Programa, recepción de solicitudes, captura de datos y actividades de campo.</w:t>
      </w:r>
    </w:p>
    <w:p>
      <w:pPr>
        <w:tabs>
          <w:tab w:val="left" w:pos="708"/>
        </w:tabs>
        <w:ind w:left="720"/>
        <w:jc w:val="both"/>
        <w:rPr>
          <w:rFonts w:ascii="Verdana" w:eastAsia="Verdana" w:hAnsi="Verdana" w:cs="Verdana"/>
          <w:color w:val="000000"/>
          <w:sz w:val="22"/>
          <w:szCs w:val="22"/>
          <w:lang w:eastAsia="es-MX"/>
        </w:rPr>
      </w:pPr>
    </w:p>
    <w:p>
      <w:pPr>
        <w:numPr>
          <w:ilvl w:val="0"/>
          <w:numId w:val="9"/>
        </w:numPr>
        <w:tabs>
          <w:tab w:val="left" w:pos="708"/>
        </w:tabs>
        <w:suppressAutoHyphens w:val="0"/>
        <w:ind w:left="72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 xml:space="preserve">La convocatoria del Programa estará disponible para su consulta en las delegaciones del Municipio, oficinas de la Asociación Ganadera Local de Tlajomulco y en el portal Web: </w:t>
      </w:r>
      <w:hyperlink r:id="rId9">
        <w:r>
          <w:rPr>
            <w:rFonts w:ascii="Verdana" w:eastAsia="Verdana" w:hAnsi="Verdana" w:cs="Verdana"/>
            <w:color w:val="0000FF"/>
            <w:sz w:val="22"/>
            <w:szCs w:val="22"/>
            <w:u w:val="single"/>
            <w:lang w:eastAsia="es-MX"/>
          </w:rPr>
          <w:t>www.tlajomulco.gob.mx</w:t>
        </w:r>
      </w:hyperlink>
    </w:p>
    <w:p>
      <w:pPr>
        <w:tabs>
          <w:tab w:val="left" w:pos="708"/>
        </w:tabs>
        <w:ind w:left="720"/>
        <w:jc w:val="both"/>
        <w:rPr>
          <w:rFonts w:ascii="Verdana" w:eastAsia="Verdana" w:hAnsi="Verdana" w:cs="Verdana"/>
          <w:color w:val="000000"/>
          <w:sz w:val="22"/>
          <w:szCs w:val="22"/>
          <w:lang w:eastAsia="es-MX"/>
        </w:rPr>
      </w:pPr>
    </w:p>
    <w:p>
      <w:pPr>
        <w:numPr>
          <w:ilvl w:val="0"/>
          <w:numId w:val="9"/>
        </w:numPr>
        <w:tabs>
          <w:tab w:val="left" w:pos="708"/>
        </w:tabs>
        <w:suppressAutoHyphens w:val="0"/>
        <w:ind w:left="72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La Dirección General de Desarrollo Rural remitirá las solicitudes que hayan cumplido con los requisitos para la inscripción del Programa a la Coordinación General de Desarrollo Económico y Combate a la Desigualdad.</w:t>
      </w:r>
    </w:p>
    <w:p>
      <w:pPr>
        <w:tabs>
          <w:tab w:val="left" w:pos="708"/>
        </w:tabs>
        <w:ind w:left="720"/>
        <w:rPr>
          <w:rFonts w:ascii="Verdana" w:eastAsia="Verdana" w:hAnsi="Verdana" w:cs="Verdana"/>
          <w:sz w:val="22"/>
          <w:szCs w:val="22"/>
          <w:lang w:eastAsia="es-MX"/>
        </w:rPr>
      </w:pPr>
    </w:p>
    <w:p>
      <w:pPr>
        <w:numPr>
          <w:ilvl w:val="0"/>
          <w:numId w:val="9"/>
        </w:numPr>
        <w:tabs>
          <w:tab w:val="left" w:pos="708"/>
        </w:tabs>
        <w:suppressAutoHyphens w:val="0"/>
        <w:ind w:left="72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 xml:space="preserve">La Coordinación General de Desarrollo Económico y Combate a la Desigualdad,  periódicamente emitirá la lista de beneficiarios, </w:t>
      </w:r>
      <w:r>
        <w:rPr>
          <w:rFonts w:ascii="Verdana" w:eastAsia="Verdana" w:hAnsi="Verdana" w:cs="Verdana"/>
          <w:sz w:val="22"/>
          <w:szCs w:val="22"/>
          <w:lang w:eastAsia="es-MX"/>
        </w:rPr>
        <w:t>remitiéndose</w:t>
      </w:r>
      <w:r>
        <w:rPr>
          <w:rFonts w:ascii="Verdana" w:eastAsia="Verdana" w:hAnsi="Verdana" w:cs="Verdana"/>
          <w:color w:val="000000"/>
          <w:sz w:val="22"/>
          <w:szCs w:val="22"/>
          <w:lang w:eastAsia="es-MX"/>
        </w:rPr>
        <w:t xml:space="preserve"> a la Unión Ganadera Regional de Jalisco o la Asociación Ganadera Local de Tlajomulco.</w:t>
      </w:r>
    </w:p>
    <w:p>
      <w:pPr>
        <w:tabs>
          <w:tab w:val="left" w:pos="708"/>
        </w:tabs>
        <w:ind w:left="720"/>
        <w:jc w:val="both"/>
        <w:rPr>
          <w:rFonts w:ascii="Verdana" w:eastAsia="Verdana" w:hAnsi="Verdana" w:cs="Verdana"/>
          <w:color w:val="000000"/>
          <w:sz w:val="22"/>
          <w:szCs w:val="22"/>
          <w:lang w:eastAsia="es-MX"/>
        </w:rPr>
      </w:pPr>
    </w:p>
    <w:p>
      <w:pPr>
        <w:numPr>
          <w:ilvl w:val="0"/>
          <w:numId w:val="9"/>
        </w:numPr>
        <w:tabs>
          <w:tab w:val="left" w:pos="708"/>
        </w:tabs>
        <w:suppressAutoHyphens w:val="0"/>
        <w:ind w:left="72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Con base en el padrón mensual de beneficiarios, en coordinación con las organizaciones de la sociedad rural autorizadas por la Secretaría de Agricultura y Desarrollo Rural, se aplicarán los Dispositivos de Identificación Oficial, con el personal técnico de la Dirección de Desarrollo Pecuario.</w:t>
      </w:r>
    </w:p>
    <w:p>
      <w:pPr>
        <w:tabs>
          <w:tab w:val="left" w:pos="708"/>
        </w:tabs>
        <w:ind w:left="720" w:firstLine="75"/>
        <w:jc w:val="both"/>
        <w:rPr>
          <w:rFonts w:ascii="Verdana" w:eastAsia="Verdana" w:hAnsi="Verdana" w:cs="Verdana"/>
          <w:color w:val="000000"/>
          <w:sz w:val="22"/>
          <w:szCs w:val="22"/>
          <w:lang w:eastAsia="es-MX"/>
        </w:rPr>
      </w:pPr>
    </w:p>
    <w:p>
      <w:pPr>
        <w:numPr>
          <w:ilvl w:val="0"/>
          <w:numId w:val="9"/>
        </w:numPr>
        <w:tabs>
          <w:tab w:val="left" w:pos="708"/>
        </w:tabs>
        <w:suppressAutoHyphens w:val="0"/>
        <w:ind w:left="72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La Dirección de Desarrollo Pecuario deberá tomar medidas para que mujeres accedan a los beneficios del Programa.</w:t>
      </w:r>
    </w:p>
    <w:p>
      <w:pPr>
        <w:tabs>
          <w:tab w:val="left" w:pos="708"/>
        </w:tabs>
        <w:ind w:left="720"/>
        <w:rPr>
          <w:rFonts w:ascii="Verdana" w:eastAsia="Verdana" w:hAnsi="Verdana" w:cs="Verdana"/>
          <w:sz w:val="22"/>
          <w:szCs w:val="22"/>
          <w:lang w:eastAsia="es-MX"/>
        </w:rPr>
      </w:pPr>
    </w:p>
    <w:p>
      <w:pPr>
        <w:numPr>
          <w:ilvl w:val="0"/>
          <w:numId w:val="9"/>
        </w:numPr>
        <w:tabs>
          <w:tab w:val="left" w:pos="708"/>
        </w:tabs>
        <w:suppressAutoHyphens w:val="0"/>
        <w:ind w:left="72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 xml:space="preserve">La Dirección de Desarrollo Pecuario recabará la información para la evaluación del Programa. </w:t>
      </w:r>
    </w:p>
    <w:p>
      <w:pPr>
        <w:tabs>
          <w:tab w:val="left" w:pos="708"/>
        </w:tabs>
        <w:ind w:left="720"/>
        <w:rPr>
          <w:rFonts w:ascii="Verdana" w:eastAsia="Verdana" w:hAnsi="Verdana" w:cs="Verdana"/>
          <w:color w:val="000000"/>
          <w:sz w:val="22"/>
          <w:szCs w:val="22"/>
          <w:lang w:eastAsia="es-MX"/>
        </w:rPr>
      </w:pPr>
    </w:p>
    <w:p>
      <w:pPr>
        <w:tabs>
          <w:tab w:val="left" w:pos="708"/>
        </w:tabs>
        <w:jc w:val="both"/>
        <w:rPr>
          <w:rFonts w:ascii="Verdana" w:eastAsia="Verdana" w:hAnsi="Verdana" w:cs="Verdana"/>
          <w:b/>
          <w:color w:val="000000"/>
          <w:sz w:val="22"/>
          <w:szCs w:val="22"/>
          <w:lang w:eastAsia="es-MX"/>
        </w:rPr>
      </w:pPr>
      <w:r>
        <w:rPr>
          <w:rFonts w:ascii="Verdana" w:eastAsia="Verdana" w:hAnsi="Verdana" w:cs="Verdana"/>
          <w:b/>
          <w:sz w:val="22"/>
          <w:szCs w:val="22"/>
          <w:lang w:eastAsia="es-MX"/>
        </w:rPr>
        <w:t>2.6.2.</w:t>
      </w:r>
      <w:r>
        <w:rPr>
          <w:rFonts w:ascii="Verdana" w:eastAsia="Verdana" w:hAnsi="Verdana" w:cs="Verdana"/>
          <w:b/>
          <w:color w:val="000000"/>
          <w:sz w:val="22"/>
          <w:szCs w:val="22"/>
          <w:lang w:eastAsia="es-MX"/>
        </w:rPr>
        <w:t xml:space="preserve"> COMITÉ DICTAMINADOR.</w:t>
      </w:r>
    </w:p>
    <w:p>
      <w:pPr>
        <w:tabs>
          <w:tab w:val="left" w:pos="708"/>
        </w:tabs>
        <w:jc w:val="both"/>
        <w:rPr>
          <w:rFonts w:ascii="Verdana" w:eastAsia="Verdana" w:hAnsi="Verdana" w:cs="Verdana"/>
          <w:b/>
          <w:color w:val="000000"/>
          <w:sz w:val="22"/>
          <w:szCs w:val="22"/>
          <w:lang w:eastAsia="es-MX"/>
        </w:rPr>
      </w:pPr>
    </w:p>
    <w:p>
      <w:pPr>
        <w:tabs>
          <w:tab w:val="left" w:pos="708"/>
        </w:tabs>
        <w:jc w:val="both"/>
        <w:rPr>
          <w:rFonts w:ascii="Verdana" w:eastAsia="Verdana" w:hAnsi="Verdana" w:cs="Verdana"/>
          <w:b/>
          <w:color w:val="000000"/>
          <w:sz w:val="22"/>
          <w:szCs w:val="22"/>
          <w:lang w:eastAsia="es-MX"/>
        </w:rPr>
      </w:pPr>
      <w:r>
        <w:rPr>
          <w:rFonts w:ascii="Verdana" w:eastAsia="Verdana" w:hAnsi="Verdana" w:cs="Verdana"/>
          <w:b/>
          <w:sz w:val="22"/>
          <w:szCs w:val="22"/>
          <w:lang w:eastAsia="es-MX"/>
        </w:rPr>
        <w:t>2.6.2.1.</w:t>
      </w:r>
      <w:r>
        <w:rPr>
          <w:rFonts w:ascii="Verdana" w:eastAsia="Verdana" w:hAnsi="Verdana" w:cs="Verdana"/>
          <w:b/>
          <w:color w:val="000000"/>
          <w:sz w:val="22"/>
          <w:szCs w:val="22"/>
          <w:lang w:eastAsia="es-MX"/>
        </w:rPr>
        <w:t xml:space="preserve"> </w:t>
      </w:r>
      <w:r>
        <w:rPr>
          <w:rFonts w:ascii="Verdana" w:eastAsia="Verdana" w:hAnsi="Verdana" w:cs="Verdana"/>
          <w:color w:val="000000"/>
          <w:sz w:val="22"/>
          <w:szCs w:val="22"/>
          <w:lang w:eastAsia="es-MX"/>
        </w:rPr>
        <w:t xml:space="preserve"> </w:t>
      </w:r>
      <w:r>
        <w:rPr>
          <w:rFonts w:ascii="Verdana" w:eastAsia="Verdana" w:hAnsi="Verdana" w:cs="Verdana"/>
          <w:b/>
          <w:color w:val="000000"/>
          <w:sz w:val="22"/>
          <w:szCs w:val="22"/>
          <w:lang w:eastAsia="es-MX"/>
        </w:rPr>
        <w:t>Integración.</w:t>
      </w:r>
    </w:p>
    <w:p>
      <w:pPr>
        <w:tabs>
          <w:tab w:val="left" w:pos="708"/>
        </w:tabs>
        <w:jc w:val="both"/>
        <w:rPr>
          <w:rFonts w:ascii="Verdana" w:eastAsia="Verdana" w:hAnsi="Verdana" w:cs="Verdana"/>
          <w:b/>
          <w:color w:val="000000"/>
          <w:sz w:val="22"/>
          <w:szCs w:val="22"/>
          <w:lang w:eastAsia="es-MX"/>
        </w:rPr>
      </w:pPr>
    </w:p>
    <w:p>
      <w:pPr>
        <w:tabs>
          <w:tab w:val="left" w:pos="708"/>
        </w:tabs>
        <w:jc w:val="both"/>
        <w:rPr>
          <w:rFonts w:ascii="Verdana" w:eastAsia="Verdana" w:hAnsi="Verdana" w:cs="Verdana"/>
          <w:sz w:val="22"/>
          <w:szCs w:val="22"/>
          <w:lang w:eastAsia="es-MX"/>
        </w:rPr>
      </w:pPr>
      <w:r>
        <w:rPr>
          <w:rFonts w:ascii="Verdana" w:eastAsia="Verdana" w:hAnsi="Verdana" w:cs="Verdana"/>
          <w:color w:val="000000"/>
          <w:sz w:val="22"/>
          <w:szCs w:val="22"/>
          <w:lang w:eastAsia="es-MX"/>
        </w:rPr>
        <w:t xml:space="preserve">El Programa, contará con un Comité, que tendrá como objetivo dictaminar la entrega de los apoyos y evaluar </w:t>
      </w:r>
      <w:r>
        <w:rPr>
          <w:rFonts w:ascii="Verdana" w:eastAsia="Verdana" w:hAnsi="Verdana" w:cs="Verdana"/>
          <w:sz w:val="22"/>
          <w:szCs w:val="22"/>
          <w:lang w:eastAsia="es-MX"/>
        </w:rPr>
        <w:t>los</w:t>
      </w:r>
      <w:r>
        <w:rPr>
          <w:rFonts w:ascii="Verdana" w:eastAsia="Verdana" w:hAnsi="Verdana" w:cs="Verdana"/>
          <w:color w:val="000000"/>
          <w:sz w:val="22"/>
          <w:szCs w:val="22"/>
          <w:lang w:eastAsia="es-MX"/>
        </w:rPr>
        <w:t xml:space="preserve"> resultados del mismo. El cual estará integrado de la siguiente manera:</w:t>
      </w:r>
    </w:p>
    <w:p>
      <w:pPr>
        <w:tabs>
          <w:tab w:val="left" w:pos="708"/>
        </w:tabs>
        <w:ind w:left="720"/>
        <w:jc w:val="both"/>
        <w:rPr>
          <w:rFonts w:ascii="Verdana" w:eastAsia="Verdana" w:hAnsi="Verdana" w:cs="Verdana"/>
          <w:color w:val="000000"/>
          <w:sz w:val="22"/>
          <w:szCs w:val="22"/>
          <w:lang w:eastAsia="es-MX"/>
        </w:rPr>
      </w:pPr>
    </w:p>
    <w:p>
      <w:pPr>
        <w:numPr>
          <w:ilvl w:val="0"/>
          <w:numId w:val="10"/>
        </w:numPr>
        <w:tabs>
          <w:tab w:val="left" w:pos="708"/>
        </w:tabs>
        <w:suppressAutoHyphens w:val="0"/>
        <w:ind w:left="709" w:hanging="283"/>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La o el titular de la Coordinación General de Desarrollo Económico y Combate a la Desigualdad, quien presidirá el Comité;</w:t>
      </w:r>
    </w:p>
    <w:p>
      <w:pPr>
        <w:ind w:left="709"/>
        <w:jc w:val="both"/>
        <w:rPr>
          <w:rFonts w:ascii="Verdana" w:eastAsia="Verdana" w:hAnsi="Verdana" w:cs="Verdana"/>
          <w:color w:val="000000"/>
          <w:sz w:val="22"/>
          <w:szCs w:val="22"/>
          <w:lang w:eastAsia="es-MX"/>
        </w:rPr>
      </w:pPr>
    </w:p>
    <w:p>
      <w:pPr>
        <w:numPr>
          <w:ilvl w:val="0"/>
          <w:numId w:val="10"/>
        </w:numPr>
        <w:tabs>
          <w:tab w:val="left" w:pos="708"/>
        </w:tabs>
        <w:suppressAutoHyphens w:val="0"/>
        <w:ind w:left="709" w:hanging="283"/>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La Regidora o el Regidor, titular de la Presidencia de la Comisión Edilicia de Desarrollo Económico, con el carácter de vocal;</w:t>
      </w:r>
    </w:p>
    <w:p>
      <w:pPr>
        <w:jc w:val="both"/>
        <w:rPr>
          <w:rFonts w:ascii="Verdana" w:eastAsia="Verdana" w:hAnsi="Verdana" w:cs="Verdana"/>
          <w:color w:val="000000"/>
          <w:sz w:val="22"/>
          <w:szCs w:val="22"/>
          <w:lang w:eastAsia="es-MX"/>
        </w:rPr>
      </w:pPr>
    </w:p>
    <w:p>
      <w:pPr>
        <w:numPr>
          <w:ilvl w:val="0"/>
          <w:numId w:val="10"/>
        </w:numPr>
        <w:tabs>
          <w:tab w:val="left" w:pos="708"/>
        </w:tabs>
        <w:suppressAutoHyphens w:val="0"/>
        <w:ind w:left="709" w:hanging="283"/>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La o el Titular de la Tesorería Municipal, con el carácter de vocal;</w:t>
      </w:r>
    </w:p>
    <w:p>
      <w:pPr>
        <w:jc w:val="both"/>
        <w:rPr>
          <w:rFonts w:ascii="Verdana" w:eastAsia="Verdana" w:hAnsi="Verdana" w:cs="Verdana"/>
          <w:color w:val="000000"/>
          <w:sz w:val="22"/>
          <w:szCs w:val="22"/>
          <w:lang w:eastAsia="es-MX"/>
        </w:rPr>
      </w:pPr>
    </w:p>
    <w:p>
      <w:pPr>
        <w:numPr>
          <w:ilvl w:val="0"/>
          <w:numId w:val="10"/>
        </w:numPr>
        <w:tabs>
          <w:tab w:val="left" w:pos="708"/>
        </w:tabs>
        <w:suppressAutoHyphens w:val="0"/>
        <w:ind w:left="709" w:hanging="283"/>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La o el Titular de la Dirección General de Desarrollo Rural, con el carácter de Secretario Técnico; y</w:t>
      </w:r>
    </w:p>
    <w:p>
      <w:pPr>
        <w:tabs>
          <w:tab w:val="left" w:pos="6173"/>
        </w:tabs>
        <w:jc w:val="both"/>
        <w:rPr>
          <w:rFonts w:ascii="Verdana" w:eastAsia="Verdana" w:hAnsi="Verdana" w:cs="Verdana"/>
          <w:color w:val="000000"/>
          <w:sz w:val="22"/>
          <w:szCs w:val="22"/>
          <w:lang w:eastAsia="es-MX"/>
        </w:rPr>
      </w:pPr>
    </w:p>
    <w:p>
      <w:pPr>
        <w:numPr>
          <w:ilvl w:val="0"/>
          <w:numId w:val="10"/>
        </w:numPr>
        <w:tabs>
          <w:tab w:val="left" w:pos="708"/>
        </w:tabs>
        <w:suppressAutoHyphens w:val="0"/>
        <w:ind w:left="709" w:hanging="283"/>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La o el Titular de la Dirección de Desarrollo Pecuario, con el carácter de vocal.</w:t>
      </w:r>
    </w:p>
    <w:p>
      <w:pPr>
        <w:tabs>
          <w:tab w:val="left" w:pos="708"/>
        </w:tabs>
        <w:ind w:left="1080"/>
        <w:jc w:val="both"/>
        <w:rPr>
          <w:rFonts w:ascii="Verdana" w:eastAsia="Verdana" w:hAnsi="Verdana" w:cs="Verdana"/>
          <w:color w:val="000000"/>
          <w:sz w:val="22"/>
          <w:szCs w:val="22"/>
          <w:lang w:eastAsia="es-MX"/>
        </w:rPr>
      </w:pPr>
    </w:p>
    <w:p>
      <w:pPr>
        <w:tabs>
          <w:tab w:val="left" w:pos="708"/>
        </w:tabs>
        <w:jc w:val="both"/>
        <w:rPr>
          <w:rFonts w:ascii="Verdana" w:eastAsia="Verdana" w:hAnsi="Verdana" w:cs="Verdana"/>
          <w:sz w:val="22"/>
          <w:szCs w:val="22"/>
          <w:lang w:eastAsia="es-MX"/>
        </w:rPr>
      </w:pPr>
      <w:r>
        <w:rPr>
          <w:rFonts w:ascii="Verdana" w:eastAsia="Verdana" w:hAnsi="Verdana" w:cs="Verdana"/>
          <w:b/>
          <w:sz w:val="22"/>
          <w:szCs w:val="22"/>
          <w:lang w:eastAsia="es-MX"/>
        </w:rPr>
        <w:t>2.6.2.2.</w:t>
      </w:r>
      <w:r>
        <w:rPr>
          <w:rFonts w:ascii="Verdana" w:eastAsia="Verdana" w:hAnsi="Verdana" w:cs="Verdana"/>
          <w:b/>
          <w:color w:val="000000"/>
          <w:sz w:val="22"/>
          <w:szCs w:val="22"/>
          <w:lang w:eastAsia="es-MX"/>
        </w:rPr>
        <w:t xml:space="preserve"> </w:t>
      </w:r>
      <w:r>
        <w:rPr>
          <w:rFonts w:ascii="Verdana" w:eastAsia="Verdana" w:hAnsi="Verdana" w:cs="Verdana"/>
          <w:color w:val="000000"/>
          <w:sz w:val="22"/>
          <w:szCs w:val="22"/>
          <w:lang w:eastAsia="es-MX"/>
        </w:rPr>
        <w:t>Cada integrante del Comité podrá designar, a un servidor público para que lo sustituya en sus funciones.</w:t>
      </w:r>
    </w:p>
    <w:p>
      <w:pPr>
        <w:tabs>
          <w:tab w:val="left" w:pos="708"/>
        </w:tabs>
        <w:ind w:left="108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 xml:space="preserve"> </w:t>
      </w:r>
    </w:p>
    <w:p>
      <w:pPr>
        <w:tabs>
          <w:tab w:val="left" w:pos="708"/>
        </w:tabs>
        <w:jc w:val="both"/>
        <w:rPr>
          <w:rFonts w:ascii="Verdana" w:eastAsia="Verdana" w:hAnsi="Verdana" w:cs="Verdana"/>
          <w:color w:val="000000"/>
          <w:sz w:val="22"/>
          <w:szCs w:val="22"/>
          <w:lang w:eastAsia="es-MX"/>
        </w:rPr>
      </w:pPr>
      <w:r>
        <w:rPr>
          <w:rFonts w:ascii="Verdana" w:eastAsia="Verdana" w:hAnsi="Verdana" w:cs="Verdana"/>
          <w:b/>
          <w:sz w:val="22"/>
          <w:szCs w:val="22"/>
          <w:lang w:eastAsia="es-MX"/>
        </w:rPr>
        <w:t>2.6.2.3.</w:t>
      </w:r>
      <w:r>
        <w:rPr>
          <w:rFonts w:ascii="Verdana" w:eastAsia="Verdana" w:hAnsi="Verdana" w:cs="Verdana"/>
          <w:b/>
          <w:color w:val="000000"/>
          <w:sz w:val="22"/>
          <w:szCs w:val="22"/>
          <w:lang w:eastAsia="es-MX"/>
        </w:rPr>
        <w:t xml:space="preserve"> Funciones del Comité.- </w:t>
      </w:r>
      <w:r>
        <w:rPr>
          <w:rFonts w:ascii="Verdana" w:eastAsia="Verdana" w:hAnsi="Verdana" w:cs="Verdana"/>
          <w:color w:val="000000"/>
          <w:sz w:val="22"/>
          <w:szCs w:val="22"/>
          <w:lang w:eastAsia="es-MX"/>
        </w:rPr>
        <w:t>El Comité está facultado para:</w:t>
      </w:r>
    </w:p>
    <w:p>
      <w:pPr>
        <w:tabs>
          <w:tab w:val="left" w:pos="708"/>
        </w:tabs>
        <w:ind w:left="720"/>
        <w:jc w:val="both"/>
        <w:rPr>
          <w:rFonts w:ascii="Verdana" w:eastAsia="Verdana" w:hAnsi="Verdana" w:cs="Verdana"/>
          <w:color w:val="000000"/>
          <w:sz w:val="22"/>
          <w:szCs w:val="22"/>
          <w:lang w:eastAsia="es-MX"/>
        </w:rPr>
      </w:pPr>
    </w:p>
    <w:p>
      <w:pPr>
        <w:numPr>
          <w:ilvl w:val="0"/>
          <w:numId w:val="22"/>
        </w:numPr>
        <w:tabs>
          <w:tab w:val="left" w:pos="708"/>
        </w:tabs>
        <w:suppressAutoHyphens w:val="0"/>
        <w:ind w:left="709" w:hanging="283"/>
        <w:jc w:val="both"/>
        <w:rPr>
          <w:rFonts w:ascii="Verdana" w:eastAsia="Verdana" w:hAnsi="Verdana" w:cs="Verdana"/>
          <w:sz w:val="22"/>
          <w:szCs w:val="22"/>
          <w:lang w:eastAsia="es-MX"/>
        </w:rPr>
      </w:pPr>
      <w:r>
        <w:rPr>
          <w:rFonts w:ascii="Verdana" w:eastAsia="Verdana" w:hAnsi="Verdana" w:cs="Verdana"/>
          <w:sz w:val="22"/>
          <w:szCs w:val="22"/>
          <w:lang w:eastAsia="es-MX"/>
        </w:rPr>
        <w:t>Determinar el padrón de personas beneficiarias del Programa, así como las altas y bajas que puedan surgir.</w:t>
      </w:r>
    </w:p>
    <w:p>
      <w:pPr>
        <w:tabs>
          <w:tab w:val="left" w:pos="708"/>
        </w:tabs>
        <w:ind w:left="1080"/>
        <w:jc w:val="both"/>
        <w:rPr>
          <w:rFonts w:ascii="Verdana" w:eastAsia="Verdana" w:hAnsi="Verdana" w:cs="Verdana"/>
          <w:sz w:val="22"/>
          <w:szCs w:val="22"/>
          <w:lang w:eastAsia="es-MX"/>
        </w:rPr>
      </w:pPr>
    </w:p>
    <w:p>
      <w:pPr>
        <w:numPr>
          <w:ilvl w:val="0"/>
          <w:numId w:val="22"/>
        </w:numPr>
        <w:tabs>
          <w:tab w:val="left" w:pos="708"/>
        </w:tabs>
        <w:suppressAutoHyphens w:val="0"/>
        <w:ind w:left="709" w:hanging="283"/>
        <w:jc w:val="both"/>
        <w:rPr>
          <w:rFonts w:ascii="Verdana" w:eastAsia="Verdana" w:hAnsi="Verdana" w:cs="Verdana"/>
          <w:sz w:val="22"/>
          <w:szCs w:val="22"/>
          <w:lang w:eastAsia="es-MX"/>
        </w:rPr>
      </w:pPr>
      <w:r>
        <w:rPr>
          <w:rFonts w:ascii="Verdana" w:eastAsia="Verdana" w:hAnsi="Verdana" w:cs="Verdana"/>
          <w:sz w:val="22"/>
          <w:szCs w:val="22"/>
          <w:lang w:eastAsia="es-MX"/>
        </w:rPr>
        <w:t>Conocer los avances y acciones del Programa, y en su caso, emitir las recomendaciones que estime pertinentes.</w:t>
      </w:r>
    </w:p>
    <w:p>
      <w:pPr>
        <w:tabs>
          <w:tab w:val="left" w:pos="708"/>
        </w:tabs>
        <w:ind w:left="1080"/>
        <w:jc w:val="both"/>
        <w:rPr>
          <w:rFonts w:ascii="Verdana" w:eastAsia="Verdana" w:hAnsi="Verdana" w:cs="Verdana"/>
          <w:sz w:val="22"/>
          <w:szCs w:val="22"/>
          <w:lang w:eastAsia="es-MX"/>
        </w:rPr>
      </w:pPr>
    </w:p>
    <w:p>
      <w:pPr>
        <w:numPr>
          <w:ilvl w:val="0"/>
          <w:numId w:val="22"/>
        </w:numPr>
        <w:tabs>
          <w:tab w:val="left" w:pos="708"/>
        </w:tabs>
        <w:suppressAutoHyphens w:val="0"/>
        <w:ind w:left="709"/>
        <w:jc w:val="both"/>
        <w:rPr>
          <w:rFonts w:ascii="Verdana" w:eastAsia="Verdana" w:hAnsi="Verdana" w:cs="Verdana"/>
          <w:sz w:val="22"/>
          <w:szCs w:val="22"/>
          <w:lang w:eastAsia="es-MX"/>
        </w:rPr>
      </w:pPr>
      <w:r>
        <w:rPr>
          <w:rFonts w:ascii="Verdana" w:eastAsia="Verdana" w:hAnsi="Verdana" w:cs="Verdana"/>
          <w:sz w:val="22"/>
          <w:szCs w:val="22"/>
          <w:lang w:eastAsia="es-MX"/>
        </w:rPr>
        <w:t>Requerir, estudiar, revisar, analizar cualquier información y/o  documentación inherente al Programa o de las personas beneficiarias.</w:t>
      </w:r>
    </w:p>
    <w:p>
      <w:pPr>
        <w:tabs>
          <w:tab w:val="left" w:pos="708"/>
        </w:tabs>
        <w:ind w:left="709"/>
        <w:jc w:val="both"/>
        <w:rPr>
          <w:rFonts w:ascii="Verdana" w:eastAsia="Verdana" w:hAnsi="Verdana" w:cs="Verdana"/>
          <w:sz w:val="22"/>
          <w:szCs w:val="22"/>
          <w:lang w:eastAsia="es-MX"/>
        </w:rPr>
      </w:pPr>
    </w:p>
    <w:p>
      <w:pPr>
        <w:numPr>
          <w:ilvl w:val="0"/>
          <w:numId w:val="22"/>
        </w:numPr>
        <w:tabs>
          <w:tab w:val="left" w:pos="708"/>
        </w:tabs>
        <w:suppressAutoHyphens w:val="0"/>
        <w:ind w:left="709"/>
        <w:jc w:val="both"/>
        <w:rPr>
          <w:rFonts w:ascii="Verdana" w:eastAsia="Verdana" w:hAnsi="Verdana" w:cs="Verdana"/>
          <w:sz w:val="22"/>
          <w:szCs w:val="22"/>
          <w:lang w:eastAsia="es-MX"/>
        </w:rPr>
      </w:pPr>
      <w:r>
        <w:rPr>
          <w:rFonts w:ascii="Verdana" w:eastAsia="Verdana" w:hAnsi="Verdana" w:cs="Verdana"/>
          <w:sz w:val="22"/>
          <w:szCs w:val="22"/>
          <w:lang w:eastAsia="es-MX"/>
        </w:rPr>
        <w:t>Ordenar las supervisiones en los tiempos que estime pertinentes, de cualquier acción inherente al Programa.</w:t>
      </w:r>
    </w:p>
    <w:p>
      <w:pPr>
        <w:pBdr>
          <w:top w:val="nil"/>
          <w:left w:val="nil"/>
          <w:bottom w:val="nil"/>
          <w:right w:val="nil"/>
          <w:between w:val="nil"/>
        </w:pBdr>
        <w:tabs>
          <w:tab w:val="left" w:pos="708"/>
        </w:tabs>
        <w:ind w:left="709" w:hanging="708"/>
        <w:rPr>
          <w:rFonts w:ascii="Verdana" w:eastAsia="Verdana" w:hAnsi="Verdana" w:cs="Verdana"/>
          <w:color w:val="000000"/>
          <w:sz w:val="22"/>
          <w:szCs w:val="22"/>
          <w:lang w:eastAsia="es-MX"/>
        </w:rPr>
      </w:pPr>
    </w:p>
    <w:p>
      <w:pPr>
        <w:numPr>
          <w:ilvl w:val="0"/>
          <w:numId w:val="22"/>
        </w:numPr>
        <w:tabs>
          <w:tab w:val="left" w:pos="708"/>
        </w:tabs>
        <w:suppressAutoHyphens w:val="0"/>
        <w:ind w:left="709"/>
        <w:jc w:val="both"/>
        <w:rPr>
          <w:rFonts w:ascii="Verdana" w:eastAsia="Verdana" w:hAnsi="Verdana" w:cs="Verdana"/>
          <w:sz w:val="22"/>
          <w:szCs w:val="22"/>
          <w:lang w:eastAsia="es-MX"/>
        </w:rPr>
      </w:pPr>
      <w:r>
        <w:rPr>
          <w:rFonts w:ascii="Verdana" w:eastAsia="Verdana" w:hAnsi="Verdana" w:cs="Verdana"/>
          <w:sz w:val="22"/>
          <w:szCs w:val="22"/>
          <w:lang w:eastAsia="es-MX"/>
        </w:rPr>
        <w:t xml:space="preserve">Verificar la aplicación del inventario de los dispositivos de identificación oficial del Programa </w:t>
      </w:r>
      <w:r>
        <w:rPr>
          <w:rFonts w:ascii="Verdana" w:eastAsia="Verdana" w:hAnsi="Verdana" w:cs="Verdana"/>
          <w:color w:val="000000"/>
          <w:sz w:val="22"/>
          <w:szCs w:val="22"/>
          <w:lang w:eastAsia="es-MX"/>
        </w:rPr>
        <w:t>“Apoyo para la Aplicación en Ganado de Dispositivo de Identificación Oficial” de los ejercicios fiscales 2017 y 2018.</w:t>
      </w:r>
    </w:p>
    <w:p>
      <w:pPr>
        <w:tabs>
          <w:tab w:val="left" w:pos="708"/>
        </w:tabs>
        <w:ind w:left="709"/>
        <w:jc w:val="both"/>
        <w:rPr>
          <w:rFonts w:ascii="Verdana" w:eastAsia="Verdana" w:hAnsi="Verdana" w:cs="Verdana"/>
          <w:sz w:val="22"/>
          <w:szCs w:val="22"/>
          <w:lang w:eastAsia="es-MX"/>
        </w:rPr>
      </w:pPr>
    </w:p>
    <w:p>
      <w:pPr>
        <w:numPr>
          <w:ilvl w:val="0"/>
          <w:numId w:val="22"/>
        </w:numPr>
        <w:tabs>
          <w:tab w:val="left" w:pos="708"/>
        </w:tabs>
        <w:suppressAutoHyphens w:val="0"/>
        <w:ind w:left="709"/>
        <w:jc w:val="both"/>
        <w:rPr>
          <w:rFonts w:ascii="Verdana" w:eastAsia="Verdana" w:hAnsi="Verdana" w:cs="Verdana"/>
          <w:sz w:val="22"/>
          <w:szCs w:val="22"/>
          <w:lang w:eastAsia="es-MX"/>
        </w:rPr>
      </w:pPr>
      <w:r>
        <w:rPr>
          <w:rFonts w:ascii="Verdana" w:eastAsia="Verdana" w:hAnsi="Verdana" w:cs="Verdana"/>
          <w:sz w:val="22"/>
          <w:szCs w:val="22"/>
          <w:lang w:eastAsia="es-MX"/>
        </w:rPr>
        <w:t>Analizar y en su caso aprobar la evaluación del Programa, con el fin de verificar el cumplimiento de los objetivos del mismo, para determinar su continuidad, así como posibles ajustes a las Reglas de Operación para el año 2020.</w:t>
      </w:r>
    </w:p>
    <w:p>
      <w:pPr>
        <w:tabs>
          <w:tab w:val="left" w:pos="708"/>
        </w:tabs>
        <w:ind w:left="709"/>
        <w:jc w:val="both"/>
        <w:rPr>
          <w:rFonts w:ascii="Verdana" w:eastAsia="Verdana" w:hAnsi="Verdana" w:cs="Verdana"/>
          <w:sz w:val="22"/>
          <w:szCs w:val="22"/>
          <w:lang w:eastAsia="es-MX"/>
        </w:rPr>
      </w:pPr>
    </w:p>
    <w:p>
      <w:pPr>
        <w:numPr>
          <w:ilvl w:val="0"/>
          <w:numId w:val="22"/>
        </w:numPr>
        <w:tabs>
          <w:tab w:val="left" w:pos="708"/>
        </w:tabs>
        <w:suppressAutoHyphens w:val="0"/>
        <w:ind w:left="709"/>
        <w:jc w:val="both"/>
        <w:rPr>
          <w:rFonts w:ascii="Verdana" w:eastAsia="Verdana" w:hAnsi="Verdana" w:cs="Verdana"/>
          <w:sz w:val="22"/>
          <w:szCs w:val="22"/>
          <w:lang w:eastAsia="es-MX"/>
        </w:rPr>
      </w:pPr>
      <w:r>
        <w:rPr>
          <w:rFonts w:ascii="Verdana" w:eastAsia="Verdana" w:hAnsi="Verdana" w:cs="Verdana"/>
          <w:sz w:val="22"/>
          <w:szCs w:val="22"/>
          <w:lang w:eastAsia="es-MX"/>
        </w:rPr>
        <w:t>Formular la propuesta para la asignación de recursos para la continuidad del Programa en relación al ejercicio fiscal del año 2020, así como el proyecto de Reglas de Operación.</w:t>
      </w:r>
    </w:p>
    <w:p>
      <w:pPr>
        <w:tabs>
          <w:tab w:val="left" w:pos="708"/>
        </w:tabs>
        <w:ind w:left="709"/>
        <w:jc w:val="both"/>
        <w:rPr>
          <w:rFonts w:ascii="Verdana" w:eastAsia="Verdana" w:hAnsi="Verdana" w:cs="Verdana"/>
          <w:sz w:val="22"/>
          <w:szCs w:val="22"/>
          <w:lang w:eastAsia="es-MX"/>
        </w:rPr>
      </w:pPr>
    </w:p>
    <w:p>
      <w:pPr>
        <w:numPr>
          <w:ilvl w:val="0"/>
          <w:numId w:val="22"/>
        </w:numPr>
        <w:tabs>
          <w:tab w:val="left" w:pos="708"/>
        </w:tabs>
        <w:suppressAutoHyphens w:val="0"/>
        <w:ind w:left="709"/>
        <w:jc w:val="both"/>
        <w:rPr>
          <w:rFonts w:ascii="Verdana" w:eastAsia="Verdana" w:hAnsi="Verdana" w:cs="Verdana"/>
          <w:sz w:val="22"/>
          <w:szCs w:val="22"/>
          <w:lang w:eastAsia="es-MX"/>
        </w:rPr>
      </w:pPr>
      <w:r>
        <w:rPr>
          <w:rFonts w:ascii="Verdana" w:eastAsia="Verdana" w:hAnsi="Verdana" w:cs="Verdana"/>
          <w:sz w:val="22"/>
          <w:szCs w:val="22"/>
          <w:lang w:eastAsia="es-MX"/>
        </w:rPr>
        <w:t>Las demás previstas en las presentes Reglas de Operación.</w:t>
      </w:r>
    </w:p>
    <w:p>
      <w:pPr>
        <w:tabs>
          <w:tab w:val="left" w:pos="708"/>
        </w:tabs>
        <w:ind w:left="709"/>
        <w:jc w:val="both"/>
        <w:rPr>
          <w:rFonts w:ascii="Verdana" w:eastAsia="Verdana" w:hAnsi="Verdana" w:cs="Verdana"/>
          <w:sz w:val="22"/>
          <w:szCs w:val="22"/>
          <w:lang w:eastAsia="es-MX"/>
        </w:rPr>
      </w:pPr>
    </w:p>
    <w:p>
      <w:pPr>
        <w:numPr>
          <w:ilvl w:val="0"/>
          <w:numId w:val="22"/>
        </w:numPr>
        <w:tabs>
          <w:tab w:val="left" w:pos="708"/>
        </w:tabs>
        <w:suppressAutoHyphens w:val="0"/>
        <w:ind w:left="709"/>
        <w:jc w:val="both"/>
        <w:rPr>
          <w:rFonts w:ascii="Verdana" w:eastAsia="Verdana" w:hAnsi="Verdana" w:cs="Verdana"/>
          <w:sz w:val="22"/>
          <w:szCs w:val="22"/>
          <w:lang w:eastAsia="es-MX"/>
        </w:rPr>
      </w:pPr>
      <w:r>
        <w:rPr>
          <w:rFonts w:ascii="Verdana" w:eastAsia="Verdana" w:hAnsi="Verdana" w:cs="Verdana"/>
          <w:sz w:val="22"/>
          <w:szCs w:val="22"/>
          <w:lang w:eastAsia="es-MX"/>
        </w:rPr>
        <w:t>Para los casos no previstos, se estará a lo que resuelva el Comité del Programa.</w:t>
      </w:r>
    </w:p>
    <w:p>
      <w:pPr>
        <w:tabs>
          <w:tab w:val="left" w:pos="708"/>
        </w:tabs>
        <w:jc w:val="both"/>
        <w:rPr>
          <w:rFonts w:ascii="Verdana" w:eastAsia="Verdana" w:hAnsi="Verdana" w:cs="Verdana"/>
          <w:color w:val="000000"/>
          <w:sz w:val="22"/>
          <w:szCs w:val="22"/>
          <w:lang w:eastAsia="es-MX"/>
        </w:rPr>
      </w:pPr>
    </w:p>
    <w:p>
      <w:pPr>
        <w:widowControl w:val="0"/>
        <w:tabs>
          <w:tab w:val="left" w:pos="708"/>
        </w:tabs>
        <w:rPr>
          <w:rFonts w:ascii="Verdana" w:eastAsia="Verdana" w:hAnsi="Verdana" w:cs="Verdana"/>
          <w:b/>
          <w:sz w:val="22"/>
          <w:szCs w:val="22"/>
          <w:lang w:eastAsia="es-MX"/>
        </w:rPr>
      </w:pPr>
      <w:r>
        <w:rPr>
          <w:rFonts w:ascii="Verdana" w:eastAsia="Verdana" w:hAnsi="Verdana" w:cs="Verdana"/>
          <w:b/>
          <w:sz w:val="22"/>
          <w:szCs w:val="22"/>
          <w:lang w:eastAsia="es-MX"/>
        </w:rPr>
        <w:t>2.6.2.4.</w:t>
      </w:r>
      <w:r>
        <w:rPr>
          <w:rFonts w:ascii="Verdana" w:eastAsia="Verdana" w:hAnsi="Verdana" w:cs="Verdana"/>
          <w:b/>
          <w:color w:val="000000"/>
          <w:sz w:val="22"/>
          <w:szCs w:val="22"/>
          <w:lang w:eastAsia="es-MX"/>
        </w:rPr>
        <w:t xml:space="preserve"> Del Funcionamiento del Comité.</w:t>
      </w:r>
    </w:p>
    <w:p>
      <w:pPr>
        <w:tabs>
          <w:tab w:val="left" w:pos="708"/>
          <w:tab w:val="left" w:pos="960"/>
        </w:tabs>
        <w:jc w:val="both"/>
        <w:rPr>
          <w:rFonts w:ascii="Verdana" w:eastAsia="Verdana" w:hAnsi="Verdana" w:cs="Verdana"/>
          <w:b/>
          <w:color w:val="000000"/>
          <w:sz w:val="22"/>
          <w:szCs w:val="22"/>
          <w:lang w:eastAsia="es-MX"/>
        </w:rPr>
      </w:pPr>
      <w:r>
        <w:rPr>
          <w:rFonts w:ascii="Verdana" w:eastAsia="Verdana" w:hAnsi="Verdana" w:cs="Verdana"/>
          <w:b/>
          <w:color w:val="000000"/>
          <w:sz w:val="22"/>
          <w:szCs w:val="22"/>
          <w:lang w:eastAsia="es-MX"/>
        </w:rPr>
        <w:tab/>
      </w:r>
    </w:p>
    <w:p>
      <w:pPr>
        <w:numPr>
          <w:ilvl w:val="0"/>
          <w:numId w:val="11"/>
        </w:numPr>
        <w:pBdr>
          <w:top w:val="nil"/>
          <w:left w:val="nil"/>
          <w:bottom w:val="nil"/>
          <w:right w:val="nil"/>
          <w:between w:val="nil"/>
        </w:pBdr>
        <w:tabs>
          <w:tab w:val="left" w:pos="709"/>
        </w:tabs>
        <w:suppressAutoHyphens w:val="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lastRenderedPageBreak/>
        <w:t>Para el funcionamiento del Comité se aplicarán de forma supletoria las disposiciones previstas para el Ayuntamiento de este Municipio, previstas en el Reglamento del Ayuntamiento del Municipio de Tlajomulco de Zúñiga, Jalisco.</w:t>
      </w:r>
    </w:p>
    <w:p>
      <w:pPr>
        <w:tabs>
          <w:tab w:val="left" w:pos="708"/>
          <w:tab w:val="left" w:pos="2755"/>
        </w:tabs>
        <w:jc w:val="both"/>
        <w:rPr>
          <w:rFonts w:ascii="Verdana" w:eastAsia="Verdana" w:hAnsi="Verdana" w:cs="Verdana"/>
          <w:color w:val="000000"/>
          <w:sz w:val="22"/>
          <w:szCs w:val="22"/>
          <w:lang w:eastAsia="es-MX"/>
        </w:rPr>
      </w:pPr>
    </w:p>
    <w:p>
      <w:pPr>
        <w:numPr>
          <w:ilvl w:val="0"/>
          <w:numId w:val="11"/>
        </w:numPr>
        <w:pBdr>
          <w:top w:val="nil"/>
          <w:left w:val="nil"/>
          <w:bottom w:val="nil"/>
          <w:right w:val="nil"/>
          <w:between w:val="nil"/>
        </w:pBdr>
        <w:tabs>
          <w:tab w:val="left" w:pos="709"/>
        </w:tabs>
        <w:suppressAutoHyphens w:val="0"/>
        <w:jc w:val="both"/>
        <w:rPr>
          <w:rFonts w:ascii="Verdana" w:eastAsia="Verdana" w:hAnsi="Verdana" w:cs="Verdana"/>
          <w:color w:val="000000"/>
          <w:sz w:val="22"/>
          <w:szCs w:val="22"/>
          <w:lang w:eastAsia="es-MX"/>
        </w:rPr>
      </w:pPr>
      <w:r>
        <w:rPr>
          <w:rFonts w:ascii="Verdana" w:eastAsia="Verdana" w:hAnsi="Verdana" w:cs="Verdana"/>
          <w:color w:val="000000"/>
          <w:sz w:val="22"/>
          <w:szCs w:val="22"/>
          <w:lang w:eastAsia="es-MX"/>
        </w:rPr>
        <w:t>De cada reunión de trabajo, el Secretario Técnico elaborará un acta, la cual deberá firmarse por los integrantes asistentes a las mismas.</w:t>
      </w:r>
    </w:p>
    <w:p>
      <w:pPr>
        <w:pBdr>
          <w:top w:val="nil"/>
          <w:left w:val="nil"/>
          <w:bottom w:val="nil"/>
          <w:right w:val="nil"/>
          <w:between w:val="nil"/>
        </w:pBdr>
        <w:ind w:right="51"/>
        <w:jc w:val="both"/>
        <w:rPr>
          <w:rFonts w:ascii="Verdana" w:eastAsia="Verdana" w:hAnsi="Verdana" w:cs="Verdana"/>
          <w:b/>
          <w:color w:val="000000"/>
          <w:sz w:val="22"/>
          <w:szCs w:val="22"/>
          <w:lang w:eastAsia="es-MX"/>
        </w:rPr>
      </w:pPr>
    </w:p>
    <w:p>
      <w:pPr>
        <w:pBdr>
          <w:top w:val="nil"/>
          <w:left w:val="nil"/>
          <w:bottom w:val="nil"/>
          <w:right w:val="nil"/>
          <w:between w:val="nil"/>
        </w:pBdr>
        <w:ind w:right="51"/>
        <w:jc w:val="both"/>
        <w:rPr>
          <w:rFonts w:ascii="Verdana" w:eastAsia="Verdana" w:hAnsi="Verdana" w:cs="Verdana"/>
          <w:b/>
          <w:color w:val="000000"/>
          <w:sz w:val="22"/>
          <w:szCs w:val="22"/>
          <w:lang w:eastAsia="es-MX"/>
        </w:rPr>
      </w:pPr>
      <w:r>
        <w:rPr>
          <w:rFonts w:ascii="Verdana" w:eastAsia="Verdana" w:hAnsi="Verdana" w:cs="Verdana"/>
          <w:b/>
          <w:sz w:val="22"/>
          <w:szCs w:val="22"/>
          <w:lang w:eastAsia="es-MX"/>
        </w:rPr>
        <w:t xml:space="preserve">3. </w:t>
      </w:r>
      <w:r>
        <w:rPr>
          <w:rFonts w:ascii="Verdana" w:eastAsia="Verdana" w:hAnsi="Verdana" w:cs="Verdana"/>
          <w:b/>
          <w:color w:val="000000"/>
          <w:sz w:val="22"/>
          <w:szCs w:val="22"/>
          <w:lang w:eastAsia="es-MX"/>
        </w:rPr>
        <w:t>EVALUACIÓN:</w:t>
      </w:r>
    </w:p>
    <w:p>
      <w:pPr>
        <w:pBdr>
          <w:top w:val="nil"/>
          <w:left w:val="nil"/>
          <w:bottom w:val="nil"/>
          <w:right w:val="nil"/>
          <w:between w:val="nil"/>
        </w:pBdr>
        <w:ind w:right="51"/>
        <w:jc w:val="both"/>
        <w:rPr>
          <w:rFonts w:ascii="Verdana" w:eastAsia="Verdana" w:hAnsi="Verdana" w:cs="Verdana"/>
          <w:color w:val="000000"/>
          <w:sz w:val="22"/>
          <w:szCs w:val="22"/>
          <w:lang w:eastAsia="es-MX"/>
        </w:rPr>
      </w:pPr>
    </w:p>
    <w:p>
      <w:pPr>
        <w:pBdr>
          <w:top w:val="nil"/>
          <w:left w:val="nil"/>
          <w:bottom w:val="nil"/>
          <w:right w:val="nil"/>
          <w:between w:val="nil"/>
        </w:pBdr>
        <w:ind w:right="51"/>
        <w:jc w:val="both"/>
        <w:rPr>
          <w:rFonts w:ascii="Verdana" w:eastAsia="Verdana" w:hAnsi="Verdana" w:cs="Verdana"/>
          <w:sz w:val="22"/>
          <w:szCs w:val="22"/>
          <w:lang w:eastAsia="es-MX"/>
        </w:rPr>
      </w:pPr>
      <w:r>
        <w:rPr>
          <w:rFonts w:ascii="Verdana" w:eastAsia="Verdana" w:hAnsi="Verdana" w:cs="Verdana"/>
          <w:b/>
          <w:sz w:val="22"/>
          <w:szCs w:val="22"/>
          <w:lang w:eastAsia="es-MX"/>
        </w:rPr>
        <w:t>3.1.-</w:t>
      </w:r>
      <w:r>
        <w:rPr>
          <w:rFonts w:ascii="Verdana" w:eastAsia="Verdana" w:hAnsi="Verdana" w:cs="Verdana"/>
          <w:sz w:val="22"/>
          <w:szCs w:val="22"/>
          <w:lang w:eastAsia="es-MX"/>
        </w:rPr>
        <w:t xml:space="preserve"> La </w:t>
      </w:r>
      <w:r>
        <w:rPr>
          <w:rFonts w:ascii="Verdana" w:eastAsia="Verdana" w:hAnsi="Verdana" w:cs="Verdana"/>
          <w:color w:val="000000"/>
          <w:sz w:val="22"/>
          <w:szCs w:val="22"/>
          <w:lang w:eastAsia="es-MX"/>
        </w:rPr>
        <w:t xml:space="preserve">Dirección de Desarrollo Pecuario proporcionará a </w:t>
      </w:r>
      <w:r>
        <w:rPr>
          <w:rFonts w:ascii="Verdana" w:eastAsia="Verdana" w:hAnsi="Verdana" w:cs="Verdana"/>
          <w:sz w:val="22"/>
          <w:szCs w:val="22"/>
          <w:lang w:eastAsia="es-MX"/>
        </w:rPr>
        <w:t xml:space="preserve">la Dirección General de Políticas Públicas la información necesaria para su análisis y validación cubriendo los aspectos siguientes: </w:t>
      </w:r>
    </w:p>
    <w:p>
      <w:pPr>
        <w:pBdr>
          <w:top w:val="nil"/>
          <w:left w:val="nil"/>
          <w:bottom w:val="nil"/>
          <w:right w:val="nil"/>
          <w:between w:val="nil"/>
        </w:pBdr>
        <w:ind w:right="51"/>
        <w:jc w:val="both"/>
        <w:rPr>
          <w:rFonts w:ascii="Verdana" w:eastAsia="Verdana" w:hAnsi="Verdana" w:cs="Verdana"/>
          <w:sz w:val="22"/>
          <w:szCs w:val="22"/>
          <w:lang w:eastAsia="es-MX"/>
        </w:rPr>
      </w:pPr>
    </w:p>
    <w:p>
      <w:pPr>
        <w:pBdr>
          <w:top w:val="nil"/>
          <w:left w:val="nil"/>
          <w:bottom w:val="nil"/>
          <w:right w:val="nil"/>
          <w:between w:val="nil"/>
        </w:pBdr>
        <w:ind w:right="51"/>
        <w:jc w:val="both"/>
        <w:rPr>
          <w:rFonts w:ascii="Verdana" w:eastAsia="Verdana" w:hAnsi="Verdana" w:cs="Verdana"/>
          <w:sz w:val="22"/>
          <w:szCs w:val="22"/>
          <w:lang w:eastAsia="es-MX"/>
        </w:rPr>
      </w:pPr>
      <w:r>
        <w:rPr>
          <w:rFonts w:ascii="Verdana" w:eastAsia="Verdana" w:hAnsi="Verdana" w:cs="Verdana"/>
          <w:b/>
          <w:sz w:val="22"/>
          <w:szCs w:val="22"/>
          <w:lang w:eastAsia="es-MX"/>
        </w:rPr>
        <w:t>3.2.-</w:t>
      </w:r>
      <w:r>
        <w:rPr>
          <w:rFonts w:ascii="Verdana" w:eastAsia="Verdana" w:hAnsi="Verdana" w:cs="Verdana"/>
          <w:sz w:val="22"/>
          <w:szCs w:val="22"/>
          <w:lang w:eastAsia="es-MX"/>
        </w:rPr>
        <w:t xml:space="preserve"> Deberá realizarse con perspectiva de género y atendiendo al cumplimiento de los objetivos del Programa.</w:t>
      </w:r>
    </w:p>
    <w:p>
      <w:pPr>
        <w:pBdr>
          <w:top w:val="nil"/>
          <w:left w:val="nil"/>
          <w:bottom w:val="nil"/>
          <w:right w:val="nil"/>
          <w:between w:val="nil"/>
        </w:pBdr>
        <w:ind w:right="51"/>
        <w:jc w:val="both"/>
        <w:rPr>
          <w:rFonts w:ascii="Verdana" w:eastAsia="Verdana" w:hAnsi="Verdana" w:cs="Verdana"/>
          <w:sz w:val="22"/>
          <w:szCs w:val="22"/>
          <w:lang w:eastAsia="es-MX"/>
        </w:rPr>
      </w:pPr>
    </w:p>
    <w:p>
      <w:pPr>
        <w:pBdr>
          <w:top w:val="nil"/>
          <w:left w:val="nil"/>
          <w:bottom w:val="nil"/>
          <w:right w:val="nil"/>
          <w:between w:val="nil"/>
        </w:pBdr>
        <w:ind w:right="51"/>
        <w:jc w:val="both"/>
        <w:rPr>
          <w:rFonts w:ascii="Verdana" w:eastAsia="Verdana" w:hAnsi="Verdana" w:cs="Verdana"/>
          <w:sz w:val="22"/>
          <w:szCs w:val="22"/>
          <w:lang w:eastAsia="es-MX"/>
        </w:rPr>
      </w:pPr>
      <w:r>
        <w:rPr>
          <w:rFonts w:ascii="Verdana" w:eastAsia="Verdana" w:hAnsi="Verdana" w:cs="Verdana"/>
          <w:b/>
          <w:sz w:val="22"/>
          <w:szCs w:val="22"/>
          <w:lang w:eastAsia="es-MX"/>
        </w:rPr>
        <w:t>3.3.-</w:t>
      </w:r>
      <w:r>
        <w:rPr>
          <w:rFonts w:ascii="Verdana" w:eastAsia="Verdana" w:hAnsi="Verdana" w:cs="Verdana"/>
          <w:sz w:val="22"/>
          <w:szCs w:val="22"/>
          <w:lang w:eastAsia="es-MX"/>
        </w:rPr>
        <w:t xml:space="preserve"> Generará información del número de dispositivos de identificación oficial aplicados, número de las y los productores beneficiados, distribución de apoyos, localidades beneficiadas y presupuesto ejercido contra presupuesto autorizado, y demás información de utilidad para la continuidad del Programa.</w:t>
      </w:r>
    </w:p>
    <w:p>
      <w:pPr>
        <w:pBdr>
          <w:top w:val="nil"/>
          <w:left w:val="nil"/>
          <w:bottom w:val="nil"/>
          <w:right w:val="nil"/>
          <w:between w:val="nil"/>
        </w:pBdr>
        <w:ind w:right="51"/>
        <w:jc w:val="both"/>
        <w:rPr>
          <w:rFonts w:ascii="Verdana" w:eastAsia="Verdana" w:hAnsi="Verdana" w:cs="Verdana"/>
          <w:sz w:val="22"/>
          <w:szCs w:val="22"/>
          <w:lang w:eastAsia="es-MX"/>
        </w:rPr>
      </w:pPr>
    </w:p>
    <w:p>
      <w:pPr>
        <w:pBdr>
          <w:top w:val="nil"/>
          <w:left w:val="nil"/>
          <w:bottom w:val="nil"/>
          <w:right w:val="nil"/>
          <w:between w:val="nil"/>
        </w:pBdr>
        <w:ind w:right="51"/>
        <w:jc w:val="both"/>
        <w:rPr>
          <w:rFonts w:ascii="Verdana" w:eastAsia="Verdana" w:hAnsi="Verdana" w:cs="Verdana"/>
          <w:sz w:val="22"/>
          <w:szCs w:val="22"/>
          <w:lang w:eastAsia="es-MX"/>
        </w:rPr>
      </w:pPr>
      <w:r>
        <w:rPr>
          <w:rFonts w:ascii="Verdana" w:eastAsia="Verdana" w:hAnsi="Verdana" w:cs="Verdana"/>
          <w:b/>
          <w:sz w:val="22"/>
          <w:szCs w:val="22"/>
          <w:lang w:eastAsia="es-MX"/>
        </w:rPr>
        <w:t>3.4.-</w:t>
      </w:r>
      <w:r>
        <w:rPr>
          <w:rFonts w:ascii="Verdana" w:eastAsia="Verdana" w:hAnsi="Verdana" w:cs="Verdana"/>
          <w:sz w:val="22"/>
          <w:szCs w:val="22"/>
          <w:lang w:eastAsia="es-MX"/>
        </w:rPr>
        <w:t xml:space="preserve"> Con la información se generará la Matriz de Indicadores para Resultados (MIR) del Programa.</w:t>
      </w:r>
    </w:p>
    <w:p>
      <w:pPr>
        <w:pBdr>
          <w:top w:val="nil"/>
          <w:left w:val="nil"/>
          <w:bottom w:val="nil"/>
          <w:right w:val="nil"/>
          <w:between w:val="nil"/>
        </w:pBdr>
        <w:ind w:right="51"/>
        <w:jc w:val="both"/>
        <w:rPr>
          <w:rFonts w:ascii="Verdana" w:eastAsia="Verdana" w:hAnsi="Verdana" w:cs="Verdana"/>
          <w:sz w:val="22"/>
          <w:szCs w:val="22"/>
          <w:lang w:eastAsia="es-MX"/>
        </w:rPr>
      </w:pPr>
    </w:p>
    <w:p>
      <w:pPr>
        <w:pBdr>
          <w:top w:val="nil"/>
          <w:left w:val="nil"/>
          <w:bottom w:val="nil"/>
          <w:right w:val="nil"/>
          <w:between w:val="nil"/>
        </w:pBdr>
        <w:ind w:right="51"/>
        <w:jc w:val="both"/>
        <w:rPr>
          <w:rFonts w:ascii="Verdana" w:eastAsia="Verdana" w:hAnsi="Verdana" w:cs="Verdana"/>
          <w:sz w:val="22"/>
          <w:szCs w:val="22"/>
          <w:lang w:eastAsia="es-MX"/>
        </w:rPr>
      </w:pPr>
      <w:r>
        <w:rPr>
          <w:rFonts w:ascii="Verdana" w:eastAsia="Verdana" w:hAnsi="Verdana" w:cs="Verdana"/>
          <w:b/>
          <w:sz w:val="22"/>
          <w:szCs w:val="22"/>
          <w:lang w:eastAsia="es-MX"/>
        </w:rPr>
        <w:t>3.5.-</w:t>
      </w:r>
      <w:r>
        <w:rPr>
          <w:rFonts w:ascii="Verdana" w:eastAsia="Verdana" w:hAnsi="Verdana" w:cs="Verdana"/>
          <w:sz w:val="22"/>
          <w:szCs w:val="22"/>
          <w:lang w:eastAsia="es-MX"/>
        </w:rPr>
        <w:t xml:space="preserve">  Con base Matriz de Indicadores para Resultados (MIR) del Programa, la </w:t>
      </w:r>
      <w:r>
        <w:rPr>
          <w:rFonts w:ascii="Verdana" w:eastAsia="Verdana" w:hAnsi="Verdana" w:cs="Verdana"/>
          <w:color w:val="000000"/>
          <w:sz w:val="22"/>
          <w:szCs w:val="22"/>
          <w:lang w:eastAsia="es-MX"/>
        </w:rPr>
        <w:t>Dirección de Desarrollo Pecuario presentará al Comité el informe de resultados</w:t>
      </w:r>
      <w:r>
        <w:rPr>
          <w:rFonts w:ascii="Verdana" w:eastAsia="Verdana" w:hAnsi="Verdana" w:cs="Verdana"/>
          <w:sz w:val="22"/>
          <w:szCs w:val="22"/>
          <w:lang w:eastAsia="es-MX"/>
        </w:rPr>
        <w:t xml:space="preserve"> para la elaboración de la evaluación del Programa.</w:t>
      </w:r>
    </w:p>
    <w:p>
      <w:pPr>
        <w:pBdr>
          <w:top w:val="nil"/>
          <w:left w:val="nil"/>
          <w:bottom w:val="nil"/>
          <w:right w:val="nil"/>
          <w:between w:val="nil"/>
        </w:pBdr>
        <w:ind w:right="51"/>
        <w:jc w:val="both"/>
        <w:rPr>
          <w:rFonts w:ascii="Verdana" w:eastAsia="Verdana" w:hAnsi="Verdana" w:cs="Verdana"/>
          <w:sz w:val="22"/>
          <w:szCs w:val="22"/>
          <w:lang w:eastAsia="es-MX"/>
        </w:rPr>
      </w:pPr>
    </w:p>
    <w:p>
      <w:pPr>
        <w:pBdr>
          <w:top w:val="nil"/>
          <w:left w:val="nil"/>
          <w:bottom w:val="nil"/>
          <w:right w:val="nil"/>
          <w:between w:val="nil"/>
        </w:pBdr>
        <w:ind w:right="51"/>
        <w:jc w:val="both"/>
        <w:rPr>
          <w:rFonts w:ascii="Verdana" w:eastAsia="Verdana" w:hAnsi="Verdana" w:cs="Verdana"/>
          <w:sz w:val="22"/>
          <w:szCs w:val="22"/>
          <w:lang w:eastAsia="es-MX"/>
        </w:rPr>
      </w:pPr>
      <w:r>
        <w:rPr>
          <w:rFonts w:ascii="Verdana" w:eastAsia="Verdana" w:hAnsi="Verdana" w:cs="Verdana"/>
          <w:b/>
          <w:sz w:val="22"/>
          <w:szCs w:val="22"/>
          <w:lang w:eastAsia="es-MX"/>
        </w:rPr>
        <w:t xml:space="preserve">3.6.- </w:t>
      </w:r>
      <w:r>
        <w:rPr>
          <w:rFonts w:ascii="Verdana" w:eastAsia="Verdana" w:hAnsi="Verdana" w:cs="Verdana"/>
          <w:sz w:val="22"/>
          <w:szCs w:val="22"/>
          <w:lang w:eastAsia="es-MX"/>
        </w:rPr>
        <w:t>En base a la evaluación presentada, el Comité Dictaminador determinará la propuesta de la continuidad del Programa para el ejercicio fiscal 2020.</w:t>
      </w:r>
    </w:p>
    <w:p>
      <w:pPr>
        <w:pBdr>
          <w:top w:val="nil"/>
          <w:left w:val="nil"/>
          <w:bottom w:val="nil"/>
          <w:right w:val="nil"/>
          <w:between w:val="nil"/>
        </w:pBdr>
        <w:ind w:right="51"/>
        <w:jc w:val="both"/>
        <w:rPr>
          <w:rFonts w:ascii="Verdana" w:eastAsia="Verdana" w:hAnsi="Verdana" w:cs="Verdana"/>
          <w:b/>
          <w:color w:val="000000"/>
          <w:sz w:val="22"/>
          <w:szCs w:val="22"/>
          <w:lang w:eastAsia="es-MX"/>
        </w:rPr>
      </w:pPr>
    </w:p>
    <w:p>
      <w:pPr>
        <w:pBdr>
          <w:top w:val="nil"/>
          <w:left w:val="nil"/>
          <w:bottom w:val="nil"/>
          <w:right w:val="nil"/>
          <w:between w:val="nil"/>
        </w:pBdr>
        <w:ind w:right="51"/>
        <w:jc w:val="both"/>
        <w:rPr>
          <w:rFonts w:ascii="Verdana" w:eastAsia="Verdana" w:hAnsi="Verdana" w:cs="Verdana"/>
          <w:color w:val="000000"/>
          <w:sz w:val="22"/>
          <w:szCs w:val="22"/>
          <w:lang w:eastAsia="es-MX"/>
        </w:rPr>
      </w:pPr>
      <w:r>
        <w:rPr>
          <w:rFonts w:ascii="Verdana" w:eastAsia="Verdana" w:hAnsi="Verdana" w:cs="Verdana"/>
          <w:b/>
          <w:sz w:val="22"/>
          <w:szCs w:val="22"/>
          <w:lang w:eastAsia="es-MX"/>
        </w:rPr>
        <w:t>4. DISPOSICIONES FINALES:</w:t>
      </w:r>
    </w:p>
    <w:p>
      <w:pPr>
        <w:spacing w:before="28" w:after="119"/>
        <w:ind w:right="51"/>
        <w:jc w:val="both"/>
        <w:rPr>
          <w:rFonts w:ascii="Verdana" w:eastAsia="Verdana" w:hAnsi="Verdana" w:cs="Verdana"/>
          <w:b/>
          <w:sz w:val="22"/>
          <w:szCs w:val="22"/>
          <w:lang w:eastAsia="es-MX"/>
        </w:rPr>
      </w:pPr>
    </w:p>
    <w:p>
      <w:pPr>
        <w:pBdr>
          <w:top w:val="nil"/>
          <w:left w:val="nil"/>
          <w:bottom w:val="nil"/>
          <w:right w:val="nil"/>
          <w:between w:val="nil"/>
        </w:pBdr>
        <w:spacing w:before="28" w:after="119"/>
        <w:ind w:right="51"/>
        <w:jc w:val="both"/>
        <w:rPr>
          <w:rFonts w:ascii="Verdana" w:eastAsia="Verdana" w:hAnsi="Verdana" w:cs="Verdana"/>
          <w:b/>
          <w:sz w:val="22"/>
          <w:szCs w:val="22"/>
          <w:lang w:eastAsia="es-MX"/>
        </w:rPr>
      </w:pPr>
      <w:r>
        <w:rPr>
          <w:rFonts w:ascii="Verdana" w:eastAsia="Verdana" w:hAnsi="Verdana" w:cs="Verdana"/>
          <w:b/>
          <w:sz w:val="22"/>
          <w:szCs w:val="22"/>
          <w:lang w:eastAsia="es-MX"/>
        </w:rPr>
        <w:t>4.1. Padrón de Beneficiarios.</w:t>
      </w:r>
    </w:p>
    <w:p>
      <w:pPr>
        <w:ind w:right="51"/>
        <w:jc w:val="both"/>
        <w:rPr>
          <w:rFonts w:ascii="Verdana" w:eastAsia="Verdana" w:hAnsi="Verdana" w:cs="Verdana"/>
          <w:b/>
          <w:sz w:val="22"/>
          <w:szCs w:val="22"/>
          <w:lang w:eastAsia="es-MX"/>
        </w:rPr>
      </w:pPr>
      <w:r>
        <w:rPr>
          <w:rFonts w:ascii="Verdana" w:eastAsia="Verdana" w:hAnsi="Verdana" w:cs="Verdana"/>
          <w:sz w:val="22"/>
          <w:szCs w:val="22"/>
          <w:lang w:eastAsia="es-MX"/>
        </w:rPr>
        <w:t>El padrón de beneficiarios del Programa será publicado en los términos de la Ley de Transparencia y Acceso a la Información Pública del Estado de Jalisco y sus Municipios en el portal de Internet del Gobierno Municipal</w:t>
      </w:r>
      <w:r>
        <w:rPr>
          <w:rFonts w:ascii="Verdana" w:eastAsia="Verdana" w:hAnsi="Verdana" w:cs="Verdana"/>
          <w:b/>
          <w:sz w:val="22"/>
          <w:szCs w:val="22"/>
          <w:lang w:eastAsia="es-MX"/>
        </w:rPr>
        <w:t xml:space="preserve">: </w:t>
      </w:r>
      <w:r>
        <w:rPr>
          <w:rFonts w:ascii="Verdana" w:eastAsia="Verdana" w:hAnsi="Verdana" w:cs="Verdana"/>
          <w:sz w:val="22"/>
          <w:szCs w:val="22"/>
          <w:lang w:eastAsia="es-MX"/>
        </w:rPr>
        <w:t>www.tlajomulco.gob.mx</w:t>
      </w:r>
    </w:p>
    <w:p>
      <w:pPr>
        <w:spacing w:before="28" w:after="119"/>
        <w:ind w:right="51"/>
        <w:jc w:val="both"/>
        <w:rPr>
          <w:rFonts w:ascii="Verdana" w:eastAsia="Verdana" w:hAnsi="Verdana" w:cs="Verdana"/>
          <w:b/>
          <w:sz w:val="22"/>
          <w:szCs w:val="22"/>
          <w:lang w:eastAsia="es-MX"/>
        </w:rPr>
      </w:pPr>
    </w:p>
    <w:p>
      <w:pPr>
        <w:spacing w:before="28" w:after="119"/>
        <w:ind w:right="51"/>
        <w:jc w:val="both"/>
        <w:rPr>
          <w:rFonts w:ascii="Verdana" w:eastAsia="Verdana" w:hAnsi="Verdana" w:cs="Verdana"/>
          <w:b/>
          <w:sz w:val="22"/>
          <w:szCs w:val="22"/>
          <w:lang w:eastAsia="es-MX"/>
        </w:rPr>
      </w:pPr>
      <w:r>
        <w:rPr>
          <w:rFonts w:ascii="Verdana" w:eastAsia="Verdana" w:hAnsi="Verdana" w:cs="Verdana"/>
          <w:b/>
          <w:sz w:val="22"/>
          <w:szCs w:val="22"/>
          <w:lang w:eastAsia="es-MX"/>
        </w:rPr>
        <w:t>4.2. Quejas y Denuncias</w:t>
      </w:r>
    </w:p>
    <w:p>
      <w:pPr>
        <w:pStyle w:val="NormalWeb"/>
        <w:tabs>
          <w:tab w:val="left" w:pos="0"/>
        </w:tabs>
        <w:spacing w:before="0" w:after="0"/>
        <w:jc w:val="both"/>
        <w:rPr>
          <w:rFonts w:ascii="Verdana" w:eastAsia="Calibri" w:hAnsi="Verdana" w:cs="Arial"/>
          <w:color w:val="000000"/>
          <w:sz w:val="22"/>
          <w:szCs w:val="22"/>
        </w:rPr>
      </w:pPr>
      <w:r>
        <w:rPr>
          <w:rFonts w:ascii="Verdana" w:eastAsia="Calibri" w:hAnsi="Verdana" w:cs="Arial"/>
          <w:color w:val="000000"/>
          <w:sz w:val="22"/>
          <w:szCs w:val="22"/>
        </w:rPr>
        <w:t>Cualquier persona tendrán el derecho de presentar quejas y denuncias que puedan dar lugar al financiamiento de responsabilidades administrativas y/o penales, ante las instancias correspondientes, ya sea por el incumplimiento de las disposiciones contenidas en las presentes Reglas de Operación y demás legislación y normatividad que resulte aplicable.</w:t>
      </w:r>
    </w:p>
    <w:p>
      <w:pPr>
        <w:pStyle w:val="NormalWeb"/>
        <w:tabs>
          <w:tab w:val="left" w:pos="0"/>
        </w:tabs>
        <w:spacing w:before="0" w:after="0"/>
        <w:jc w:val="both"/>
        <w:rPr>
          <w:rFonts w:ascii="Verdana" w:eastAsia="Calibri" w:hAnsi="Verdana" w:cs="Arial"/>
          <w:color w:val="000000"/>
          <w:sz w:val="22"/>
          <w:szCs w:val="22"/>
        </w:rPr>
      </w:pPr>
    </w:p>
    <w:p>
      <w:pPr>
        <w:pStyle w:val="NormalWeb"/>
        <w:tabs>
          <w:tab w:val="left" w:pos="0"/>
        </w:tabs>
        <w:spacing w:before="0" w:after="0"/>
        <w:jc w:val="both"/>
        <w:rPr>
          <w:rFonts w:ascii="Verdana" w:eastAsia="Calibri" w:hAnsi="Verdana" w:cs="Arial"/>
          <w:color w:val="000000"/>
          <w:sz w:val="22"/>
          <w:szCs w:val="22"/>
        </w:rPr>
      </w:pPr>
      <w:r>
        <w:rPr>
          <w:rFonts w:ascii="Verdana" w:eastAsia="Calibri" w:hAnsi="Verdana" w:cs="Arial"/>
          <w:color w:val="000000"/>
          <w:sz w:val="22"/>
          <w:szCs w:val="22"/>
        </w:rPr>
        <w:lastRenderedPageBreak/>
        <w:t xml:space="preserve">Las quejas y denuncias referentes a la implementación de este Programa deberán presentarse ante la Contraloría Municipal, las cuales podrán ser anónimas y confidenciales a través de: </w:t>
      </w:r>
    </w:p>
    <w:p>
      <w:pPr>
        <w:pStyle w:val="NormalWeb"/>
        <w:tabs>
          <w:tab w:val="left" w:pos="0"/>
        </w:tabs>
        <w:spacing w:before="0" w:after="0"/>
        <w:jc w:val="both"/>
        <w:rPr>
          <w:rFonts w:ascii="Verdana" w:eastAsia="Calibri" w:hAnsi="Verdana" w:cs="Arial"/>
          <w:color w:val="000000"/>
          <w:sz w:val="22"/>
          <w:szCs w:val="22"/>
        </w:rPr>
      </w:pPr>
    </w:p>
    <w:p>
      <w:pPr>
        <w:pStyle w:val="NormalWeb"/>
        <w:numPr>
          <w:ilvl w:val="0"/>
          <w:numId w:val="1"/>
        </w:numPr>
        <w:spacing w:before="0" w:after="0" w:line="240" w:lineRule="auto"/>
        <w:ind w:left="709" w:hanging="709"/>
        <w:jc w:val="both"/>
        <w:rPr>
          <w:rFonts w:ascii="Verdana" w:eastAsia="Calibri" w:hAnsi="Verdana" w:cs="Arial"/>
          <w:color w:val="000000"/>
          <w:sz w:val="22"/>
          <w:szCs w:val="22"/>
        </w:rPr>
      </w:pPr>
      <w:r>
        <w:rPr>
          <w:rFonts w:ascii="Verdana" w:eastAsia="Calibri" w:hAnsi="Verdana" w:cs="Arial"/>
          <w:color w:val="000000"/>
          <w:sz w:val="22"/>
          <w:szCs w:val="22"/>
        </w:rPr>
        <w:t>Directamente en las oficinas de la Contraloría Municipal, ubicadas en la calle Independencia Sur número 105, colonia Tlajomulco Centro, código postal 45640</w:t>
      </w:r>
    </w:p>
    <w:p>
      <w:pPr>
        <w:pStyle w:val="NormalWeb"/>
        <w:spacing w:before="0" w:after="0"/>
        <w:jc w:val="both"/>
        <w:rPr>
          <w:rFonts w:ascii="Verdana" w:eastAsia="Calibri" w:hAnsi="Verdana" w:cs="Arial"/>
          <w:color w:val="000000"/>
          <w:sz w:val="22"/>
          <w:szCs w:val="22"/>
        </w:rPr>
      </w:pPr>
    </w:p>
    <w:p>
      <w:pPr>
        <w:pStyle w:val="NormalWeb"/>
        <w:numPr>
          <w:ilvl w:val="0"/>
          <w:numId w:val="1"/>
        </w:numPr>
        <w:spacing w:before="0" w:after="0" w:line="240" w:lineRule="auto"/>
        <w:ind w:left="0" w:firstLine="0"/>
        <w:jc w:val="both"/>
        <w:rPr>
          <w:rFonts w:ascii="Verdana" w:eastAsia="Calibri" w:hAnsi="Verdana" w:cs="Arial"/>
          <w:color w:val="000000"/>
          <w:sz w:val="22"/>
          <w:szCs w:val="22"/>
        </w:rPr>
      </w:pPr>
      <w:r>
        <w:rPr>
          <w:rFonts w:ascii="Verdana" w:eastAsia="Calibri" w:hAnsi="Verdana" w:cs="Arial"/>
          <w:color w:val="000000"/>
          <w:sz w:val="22"/>
          <w:szCs w:val="22"/>
        </w:rPr>
        <w:t>Vía telefónica: 32-83-44-68.</w:t>
      </w:r>
    </w:p>
    <w:p>
      <w:pPr>
        <w:pStyle w:val="NormalWeb"/>
        <w:spacing w:before="0" w:after="0"/>
        <w:jc w:val="both"/>
        <w:rPr>
          <w:rFonts w:ascii="Verdana" w:eastAsia="Calibri" w:hAnsi="Verdana" w:cs="Arial"/>
          <w:color w:val="000000"/>
          <w:sz w:val="22"/>
          <w:szCs w:val="22"/>
        </w:rPr>
      </w:pPr>
    </w:p>
    <w:p>
      <w:pPr>
        <w:pStyle w:val="NormalWeb"/>
        <w:numPr>
          <w:ilvl w:val="0"/>
          <w:numId w:val="1"/>
        </w:numPr>
        <w:tabs>
          <w:tab w:val="left" w:pos="709"/>
        </w:tabs>
        <w:spacing w:before="0" w:after="0" w:line="240" w:lineRule="auto"/>
        <w:ind w:left="709" w:right="77" w:hanging="709"/>
        <w:jc w:val="both"/>
        <w:rPr>
          <w:rFonts w:ascii="Verdana" w:eastAsia="Calibri" w:hAnsi="Verdana" w:cs="Arial"/>
          <w:color w:val="000000"/>
          <w:sz w:val="22"/>
          <w:szCs w:val="22"/>
        </w:rPr>
      </w:pPr>
      <w:r>
        <w:rPr>
          <w:rFonts w:ascii="Verdana" w:hAnsi="Verdana" w:cs="Arial"/>
          <w:sz w:val="22"/>
          <w:szCs w:val="22"/>
        </w:rPr>
        <w:t xml:space="preserve">Por internet </w:t>
      </w:r>
      <w:r>
        <w:rPr>
          <w:rFonts w:ascii="Verdana" w:eastAsia="Calibri" w:hAnsi="Verdana" w:cs="Arial"/>
          <w:color w:val="000000"/>
          <w:sz w:val="22"/>
          <w:szCs w:val="22"/>
        </w:rPr>
        <w:t xml:space="preserve">en: </w:t>
      </w:r>
      <w:hyperlink r:id="rId10" w:tgtFrame="_blank" w:history="1">
        <w:r>
          <w:rPr>
            <w:rFonts w:ascii="Verdana" w:eastAsia="Calibri" w:hAnsi="Verdana" w:cs="Arial"/>
            <w:color w:val="000000"/>
            <w:sz w:val="22"/>
            <w:szCs w:val="22"/>
          </w:rPr>
          <w:t>www.tlj.mx/denuncialos</w:t>
        </w:r>
      </w:hyperlink>
    </w:p>
    <w:p>
      <w:pPr>
        <w:pStyle w:val="NormalWeb"/>
        <w:tabs>
          <w:tab w:val="left" w:pos="1134"/>
        </w:tabs>
        <w:spacing w:before="0" w:after="0"/>
        <w:ind w:right="77"/>
        <w:jc w:val="both"/>
        <w:rPr>
          <w:rFonts w:ascii="Verdana" w:eastAsia="Calibri" w:hAnsi="Verdana" w:cs="Arial"/>
          <w:color w:val="000000"/>
          <w:sz w:val="22"/>
          <w:szCs w:val="22"/>
        </w:rPr>
      </w:pPr>
    </w:p>
    <w:p>
      <w:pPr>
        <w:pStyle w:val="NormalWeb"/>
        <w:numPr>
          <w:ilvl w:val="0"/>
          <w:numId w:val="1"/>
        </w:numPr>
        <w:tabs>
          <w:tab w:val="left" w:pos="709"/>
        </w:tabs>
        <w:spacing w:before="0" w:after="0" w:line="240" w:lineRule="auto"/>
        <w:ind w:left="0" w:right="77" w:firstLine="0"/>
        <w:jc w:val="both"/>
        <w:rPr>
          <w:rFonts w:ascii="Verdana" w:eastAsia="Calibri" w:hAnsi="Verdana" w:cs="Arial"/>
          <w:color w:val="000000"/>
          <w:sz w:val="22"/>
          <w:szCs w:val="22"/>
        </w:rPr>
      </w:pPr>
      <w:r>
        <w:rPr>
          <w:rFonts w:ascii="Verdana" w:eastAsia="Calibri" w:hAnsi="Verdana" w:cs="Arial"/>
          <w:color w:val="000000"/>
          <w:sz w:val="22"/>
          <w:szCs w:val="22"/>
        </w:rPr>
        <w:t>Por correo electrónico: </w:t>
      </w:r>
      <w:hyperlink r:id="rId11" w:tgtFrame="_blank" w:history="1">
        <w:r>
          <w:rPr>
            <w:rFonts w:ascii="Verdana" w:eastAsia="Calibri" w:hAnsi="Verdana" w:cs="Arial"/>
            <w:color w:val="000000"/>
            <w:sz w:val="22"/>
            <w:szCs w:val="22"/>
          </w:rPr>
          <w:t>denuncialacorrupcion@tlajomulco.gob.mx</w:t>
        </w:r>
      </w:hyperlink>
    </w:p>
    <w:p>
      <w:pPr>
        <w:pStyle w:val="NormalWeb"/>
        <w:tabs>
          <w:tab w:val="left" w:pos="1134"/>
        </w:tabs>
        <w:spacing w:before="0" w:after="0"/>
        <w:ind w:right="77"/>
        <w:jc w:val="both"/>
        <w:rPr>
          <w:rFonts w:ascii="Verdana" w:eastAsia="Calibri" w:hAnsi="Verdana" w:cs="Arial"/>
          <w:color w:val="000000"/>
          <w:sz w:val="22"/>
          <w:szCs w:val="22"/>
        </w:rPr>
      </w:pPr>
    </w:p>
    <w:p>
      <w:pPr>
        <w:pStyle w:val="NormalWeb"/>
        <w:numPr>
          <w:ilvl w:val="0"/>
          <w:numId w:val="1"/>
        </w:numPr>
        <w:tabs>
          <w:tab w:val="left" w:pos="709"/>
        </w:tabs>
        <w:spacing w:before="0" w:after="0" w:line="240" w:lineRule="auto"/>
        <w:ind w:left="709" w:right="77" w:hanging="709"/>
        <w:jc w:val="both"/>
        <w:rPr>
          <w:rFonts w:ascii="Verdana" w:eastAsia="Calibri" w:hAnsi="Verdana" w:cs="Arial"/>
          <w:color w:val="000000"/>
          <w:sz w:val="22"/>
          <w:szCs w:val="22"/>
        </w:rPr>
      </w:pPr>
      <w:r>
        <w:rPr>
          <w:rFonts w:ascii="Verdana" w:eastAsia="Calibri" w:hAnsi="Verdana" w:cs="Arial"/>
          <w:color w:val="000000"/>
          <w:sz w:val="22"/>
          <w:szCs w:val="22"/>
        </w:rPr>
        <w:t>En los buzones de quejas establecidos en el Centro Administrativo Tlajomulco (CAT), unidades administrativas, delegaciones y recaudadoras ubicadas en el territorio municipal.</w:t>
      </w:r>
    </w:p>
    <w:p>
      <w:pPr>
        <w:pStyle w:val="Prrafodelista"/>
        <w:rPr>
          <w:rFonts w:ascii="Verdana" w:eastAsia="Calibri" w:hAnsi="Verdana" w:cs="Arial"/>
          <w:color w:val="000000"/>
          <w:sz w:val="22"/>
          <w:szCs w:val="22"/>
        </w:rPr>
      </w:pPr>
    </w:p>
    <w:p>
      <w:pPr>
        <w:pBdr>
          <w:top w:val="nil"/>
          <w:left w:val="nil"/>
          <w:bottom w:val="nil"/>
          <w:right w:val="nil"/>
          <w:between w:val="nil"/>
        </w:pBdr>
        <w:spacing w:before="28" w:after="119"/>
        <w:ind w:right="51"/>
        <w:jc w:val="both"/>
        <w:rPr>
          <w:rFonts w:ascii="Verdana" w:eastAsia="Verdana" w:hAnsi="Verdana" w:cs="Verdana"/>
          <w:b/>
          <w:sz w:val="22"/>
          <w:szCs w:val="22"/>
          <w:lang w:eastAsia="es-MX"/>
        </w:rPr>
      </w:pPr>
      <w:r>
        <w:rPr>
          <w:rFonts w:ascii="Verdana" w:eastAsia="Verdana" w:hAnsi="Verdana" w:cs="Verdana"/>
          <w:b/>
          <w:sz w:val="22"/>
          <w:szCs w:val="22"/>
          <w:lang w:eastAsia="es-MX"/>
        </w:rPr>
        <w:t>4.3. De la Responsabilidad Administrativa</w:t>
      </w:r>
    </w:p>
    <w:p>
      <w:pPr>
        <w:pBdr>
          <w:top w:val="nil"/>
          <w:left w:val="nil"/>
          <w:bottom w:val="nil"/>
          <w:right w:val="nil"/>
          <w:between w:val="nil"/>
        </w:pBdr>
        <w:spacing w:before="28" w:after="119"/>
        <w:ind w:right="51"/>
        <w:jc w:val="both"/>
        <w:rPr>
          <w:rFonts w:ascii="Verdana" w:eastAsia="Verdana" w:hAnsi="Verdana" w:cs="Verdana"/>
          <w:sz w:val="22"/>
          <w:szCs w:val="22"/>
          <w:lang w:eastAsia="es-MX"/>
        </w:rPr>
      </w:pPr>
      <w:r>
        <w:rPr>
          <w:rFonts w:ascii="Verdana" w:eastAsia="Verdana" w:hAnsi="Verdana" w:cs="Verdana"/>
          <w:sz w:val="22"/>
          <w:szCs w:val="22"/>
          <w:lang w:eastAsia="es-MX"/>
        </w:rPr>
        <w:t>Las y los servidores públicos municipales y los particulares quedarán sujetos a lo dispuesto por la Ley General de Responsabilidades Administrativas en todas las materias que regula, de conformidad a lo establecido en los artículos 46, 47, 48 y 49 de la Ley de Responsabilidades Políticas y Administrativas del Estado de Jalisco.</w:t>
      </w:r>
    </w:p>
    <w:p>
      <w:pPr>
        <w:pBdr>
          <w:top w:val="nil"/>
          <w:left w:val="nil"/>
          <w:bottom w:val="nil"/>
          <w:right w:val="nil"/>
          <w:between w:val="nil"/>
        </w:pBdr>
        <w:spacing w:before="28" w:after="119"/>
        <w:ind w:right="51"/>
        <w:jc w:val="both"/>
        <w:rPr>
          <w:rFonts w:ascii="Verdana" w:eastAsia="Verdana" w:hAnsi="Verdana" w:cs="Verdana"/>
          <w:b/>
          <w:sz w:val="22"/>
          <w:szCs w:val="22"/>
          <w:lang w:eastAsia="es-MX"/>
        </w:rPr>
      </w:pPr>
      <w:r>
        <w:rPr>
          <w:rFonts w:ascii="Verdana" w:eastAsia="Verdana" w:hAnsi="Verdana" w:cs="Verdana"/>
          <w:b/>
          <w:sz w:val="22"/>
          <w:szCs w:val="22"/>
          <w:lang w:eastAsia="es-MX"/>
        </w:rPr>
        <w:t>4.4. Prohibición para Servidores Públicos</w:t>
      </w:r>
    </w:p>
    <w:p>
      <w:pPr>
        <w:pBdr>
          <w:top w:val="nil"/>
          <w:left w:val="nil"/>
          <w:bottom w:val="nil"/>
          <w:right w:val="nil"/>
          <w:between w:val="nil"/>
        </w:pBdr>
        <w:spacing w:before="28" w:after="119"/>
        <w:ind w:right="51"/>
        <w:jc w:val="both"/>
        <w:rPr>
          <w:rFonts w:ascii="Verdana" w:eastAsia="Verdana" w:hAnsi="Verdana" w:cs="Verdana"/>
          <w:sz w:val="22"/>
          <w:szCs w:val="22"/>
          <w:lang w:eastAsia="es-MX"/>
        </w:rPr>
      </w:pPr>
      <w:r>
        <w:rPr>
          <w:rFonts w:ascii="Verdana" w:eastAsia="Verdana" w:hAnsi="Verdana" w:cs="Verdana"/>
          <w:sz w:val="22"/>
          <w:szCs w:val="22"/>
          <w:lang w:eastAsia="es-MX"/>
        </w:rPr>
        <w:t>Las y los servidores públicos del Municipio, deberán de excusarse de recibir cualquier subsidio en especie o económico derivado del presente Programa. Asimismo, no podrán intervenir de cualquier forma en la atención, tramitación o resolución de asuntos en los que tenga interés personal, familiar o de negocios, incluyendo aquellos en los que pueda resultar algún beneficio para su cónyuge o parientes consanguíneos hasta el cuarto grado, por afinidad o civiles, o para terceros con los que tenga relaciones profesionales, laborales o de negocios, o para socios o sociedades de las que el servidor o las personas antes referidas formen o hayan formado parte.</w:t>
      </w:r>
    </w:p>
    <w:p>
      <w:pPr>
        <w:autoSpaceDE w:val="0"/>
        <w:autoSpaceDN w:val="0"/>
        <w:adjustRightInd w:val="0"/>
        <w:ind w:firstLine="708"/>
        <w:jc w:val="both"/>
        <w:rPr>
          <w:rFonts w:ascii="Verdana" w:hAnsi="Verdana" w:cs="Arial"/>
          <w:b/>
          <w:bCs/>
          <w:color w:val="000000"/>
          <w:sz w:val="22"/>
          <w:szCs w:val="22"/>
        </w:rPr>
      </w:pPr>
    </w:p>
    <w:p>
      <w:pPr>
        <w:widowControl w:val="0"/>
        <w:tabs>
          <w:tab w:val="left" w:pos="708"/>
        </w:tabs>
        <w:spacing w:line="100" w:lineRule="atLeast"/>
        <w:ind w:left="5387" w:right="51" w:hanging="425"/>
        <w:jc w:val="right"/>
        <w:rPr>
          <w:rFonts w:ascii="Verdana" w:eastAsia="Times New Roman" w:hAnsi="Verdana"/>
          <w:b/>
          <w:sz w:val="22"/>
          <w:szCs w:val="22"/>
          <w:lang w:val="es-ES" w:eastAsia="es-ES" w:bidi="hi-IN"/>
        </w:rPr>
      </w:pPr>
    </w:p>
    <w:sectPr>
      <w:headerReference w:type="default" r:id="rId12"/>
      <w:footerReference w:type="default" r:id="rId13"/>
      <w:pgSz w:w="12240" w:h="15840" w:code="1"/>
      <w:pgMar w:top="1525" w:right="1418" w:bottom="1134" w:left="1418" w:header="425" w:footer="539" w:gutter="0"/>
      <w:paperSrc w:first="259" w:other="2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tabs>
        <w:tab w:val="clear" w:pos="4419"/>
        <w:tab w:val="clear" w:pos="8838"/>
        <w:tab w:val="center" w:pos="5174"/>
        <w:tab w:val="right" w:pos="10348"/>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2483"/>
      <w:gridCol w:w="4434"/>
    </w:tblGrid>
    <w:tr>
      <w:tc>
        <w:tcPr>
          <w:tcW w:w="3495" w:type="dxa"/>
        </w:tcPr>
        <w:p>
          <w:pPr>
            <w:pStyle w:val="Encabezado"/>
          </w:pPr>
          <w:r>
            <w:rPr>
              <w:rFonts w:ascii="Tahoma" w:hAnsi="Tahoma" w:cs="Tahoma"/>
              <w:noProof/>
              <w:sz w:val="22"/>
              <w:szCs w:val="22"/>
              <w:lang w:eastAsia="es-MX"/>
            </w:rPr>
            <w:drawing>
              <wp:inline distT="0" distB="0" distL="0" distR="0">
                <wp:extent cx="448574" cy="557872"/>
                <wp:effectExtent l="0" t="0" r="8890" b="0"/>
                <wp:docPr id="2" name="Imagen 2"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692" cy="570456"/>
                        </a:xfrm>
                        <a:prstGeom prst="rect">
                          <a:avLst/>
                        </a:prstGeom>
                        <a:noFill/>
                        <a:ln>
                          <a:noFill/>
                        </a:ln>
                      </pic:spPr>
                    </pic:pic>
                  </a:graphicData>
                </a:graphic>
              </wp:inline>
            </w:drawing>
          </w:r>
        </w:p>
      </w:tc>
      <w:tc>
        <w:tcPr>
          <w:tcW w:w="3495" w:type="dxa"/>
        </w:tcPr>
        <w:p>
          <w:pPr>
            <w:pStyle w:val="Encabezado"/>
            <w:jc w:val="center"/>
          </w:pPr>
        </w:p>
      </w:tc>
      <w:tc>
        <w:tcPr>
          <w:tcW w:w="3496" w:type="dxa"/>
        </w:tcPr>
        <w:p>
          <w:pPr>
            <w:pStyle w:val="Encabezado"/>
            <w:jc w:val="right"/>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38.8pt" o:ole="">
                <v:imagedata r:id="rId2" o:title=""/>
              </v:shape>
              <o:OLEObject Type="Embed" ProgID="PBrush" ShapeID="_x0000_i1025" DrawAspect="Content" ObjectID="_1613563012" r:id="rId3"/>
            </w:object>
          </w:r>
        </w:p>
      </w:tc>
    </w:tr>
  </w:tbl>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36CA6"/>
    <w:multiLevelType w:val="multilevel"/>
    <w:tmpl w:val="D29057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237499"/>
    <w:multiLevelType w:val="multilevel"/>
    <w:tmpl w:val="DF789556"/>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nsid w:val="10931AEB"/>
    <w:multiLevelType w:val="multilevel"/>
    <w:tmpl w:val="C57CAB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0E9676E"/>
    <w:multiLevelType w:val="multilevel"/>
    <w:tmpl w:val="83D28FB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136832F6"/>
    <w:multiLevelType w:val="multilevel"/>
    <w:tmpl w:val="935814B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
    <w:nsid w:val="149E160A"/>
    <w:multiLevelType w:val="multilevel"/>
    <w:tmpl w:val="9D7050F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833761"/>
    <w:multiLevelType w:val="multilevel"/>
    <w:tmpl w:val="897CD0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0C90707"/>
    <w:multiLevelType w:val="multilevel"/>
    <w:tmpl w:val="17F6C056"/>
    <w:lvl w:ilvl="0">
      <w:start w:val="1"/>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1080" w:hanging="1080"/>
      </w:pPr>
      <w:rPr>
        <w:b/>
      </w:r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8">
    <w:nsid w:val="219E51DA"/>
    <w:multiLevelType w:val="multilevel"/>
    <w:tmpl w:val="D81058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2A54F4B"/>
    <w:multiLevelType w:val="multilevel"/>
    <w:tmpl w:val="9D7050F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C0E4CFC"/>
    <w:multiLevelType w:val="multilevel"/>
    <w:tmpl w:val="2FB20E6C"/>
    <w:lvl w:ilvl="0">
      <w:start w:val="2"/>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
    <w:nsid w:val="355529E4"/>
    <w:multiLevelType w:val="multilevel"/>
    <w:tmpl w:val="87F09EE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D2858CB"/>
    <w:multiLevelType w:val="hybridMultilevel"/>
    <w:tmpl w:val="578E3B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E351DB2"/>
    <w:multiLevelType w:val="multilevel"/>
    <w:tmpl w:val="F9001D0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nsid w:val="53AB10B0"/>
    <w:multiLevelType w:val="multilevel"/>
    <w:tmpl w:val="CF2EBB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84D48C7"/>
    <w:multiLevelType w:val="multilevel"/>
    <w:tmpl w:val="9E00EA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D9B4370"/>
    <w:multiLevelType w:val="multilevel"/>
    <w:tmpl w:val="B91052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63B40C8"/>
    <w:multiLevelType w:val="hybridMultilevel"/>
    <w:tmpl w:val="D4F2E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B34738A"/>
    <w:multiLevelType w:val="hybridMultilevel"/>
    <w:tmpl w:val="86F2773E"/>
    <w:lvl w:ilvl="0" w:tplc="080A0017">
      <w:start w:val="1"/>
      <w:numFmt w:val="low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9">
    <w:nsid w:val="76CC4935"/>
    <w:multiLevelType w:val="multilevel"/>
    <w:tmpl w:val="88C0CBD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7C325815"/>
    <w:multiLevelType w:val="multilevel"/>
    <w:tmpl w:val="CFAA65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EFB2D23"/>
    <w:multiLevelType w:val="multilevel"/>
    <w:tmpl w:val="DF72BB50"/>
    <w:lvl w:ilvl="0">
      <w:start w:val="2"/>
      <w:numFmt w:val="decimal"/>
      <w:lvlText w:val="%1."/>
      <w:lvlJc w:val="left"/>
      <w:pPr>
        <w:ind w:left="480" w:hanging="480"/>
      </w:pPr>
      <w:rPr>
        <w:rFonts w:hint="default"/>
        <w:b/>
      </w:rPr>
    </w:lvl>
    <w:lvl w:ilvl="1">
      <w:start w:val="7"/>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num w:numId="1">
    <w:abstractNumId w:val="17"/>
  </w:num>
  <w:num w:numId="2">
    <w:abstractNumId w:val="11"/>
  </w:num>
  <w:num w:numId="3">
    <w:abstractNumId w:val="7"/>
  </w:num>
  <w:num w:numId="4">
    <w:abstractNumId w:val="8"/>
  </w:num>
  <w:num w:numId="5">
    <w:abstractNumId w:val="9"/>
  </w:num>
  <w:num w:numId="6">
    <w:abstractNumId w:val="5"/>
  </w:num>
  <w:num w:numId="7">
    <w:abstractNumId w:val="12"/>
  </w:num>
  <w:num w:numId="8">
    <w:abstractNumId w:val="21"/>
  </w:num>
  <w:num w:numId="9">
    <w:abstractNumId w:val="18"/>
  </w:num>
  <w:num w:numId="10">
    <w:abstractNumId w:val="3"/>
  </w:num>
  <w:num w:numId="11">
    <w:abstractNumId w:val="20"/>
  </w:num>
  <w:num w:numId="12">
    <w:abstractNumId w:val="10"/>
  </w:num>
  <w:num w:numId="13">
    <w:abstractNumId w:val="13"/>
  </w:num>
  <w:num w:numId="14">
    <w:abstractNumId w:val="1"/>
  </w:num>
  <w:num w:numId="15">
    <w:abstractNumId w:val="15"/>
  </w:num>
  <w:num w:numId="16">
    <w:abstractNumId w:val="14"/>
  </w:num>
  <w:num w:numId="17">
    <w:abstractNumId w:val="16"/>
  </w:num>
  <w:num w:numId="18">
    <w:abstractNumId w:val="4"/>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9"/>
  </w:num>
  <w:num w:numId="23">
    <w:abstractNumId w:val="6"/>
  </w:num>
  <w:num w:numId="2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ajomulco.gob"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denuncialacorrupcion@tlajomulco.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lj.mx/denuncialos" TargetMode="External"/><Relationship Id="rId4" Type="http://schemas.openxmlformats.org/officeDocument/2006/relationships/settings" Target="settings.xml"/><Relationship Id="rId9" Type="http://schemas.openxmlformats.org/officeDocument/2006/relationships/hyperlink" Target="http://www.tlajomulc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2459</Words>
  <Characters>13528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15956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PADILLA PEREZ</dc:creator>
  <cp:lastModifiedBy>Likuit</cp:lastModifiedBy>
  <cp:revision>5</cp:revision>
  <cp:lastPrinted>2019-03-08T21:10:00Z</cp:lastPrinted>
  <dcterms:created xsi:type="dcterms:W3CDTF">2019-03-06T18:35:00Z</dcterms:created>
  <dcterms:modified xsi:type="dcterms:W3CDTF">2019-03-08T21:10:00Z</dcterms:modified>
</cp:coreProperties>
</file>