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NormalWeb"/>
        <w:tabs>
          <w:tab w:val="left" w:pos="7905"/>
        </w:tabs>
        <w:spacing w:before="0" w:after="0"/>
        <w:ind w:right="49"/>
        <w:jc w:val="right"/>
        <w:rPr>
          <w:rFonts w:ascii="Verdana" w:hAnsi="Verdana"/>
          <w:sz w:val="22"/>
          <w:szCs w:val="22"/>
        </w:rPr>
      </w:pPr>
      <w:r>
        <w:rPr>
          <w:rFonts w:ascii="Verdana" w:hAnsi="Verdana"/>
          <w:b/>
          <w:sz w:val="22"/>
          <w:szCs w:val="22"/>
        </w:rPr>
        <w:t>Aprobación</w:t>
      </w:r>
      <w:r>
        <w:rPr>
          <w:rFonts w:ascii="Verdana" w:hAnsi="Verdana"/>
          <w:sz w:val="22"/>
          <w:szCs w:val="22"/>
        </w:rPr>
        <w:t xml:space="preserve">: 22 de febrero del año 2019. </w:t>
      </w:r>
    </w:p>
    <w:p>
      <w:pPr>
        <w:pStyle w:val="NormalWeb"/>
        <w:spacing w:before="0" w:after="0"/>
        <w:ind w:right="49"/>
        <w:jc w:val="right"/>
        <w:rPr>
          <w:rFonts w:ascii="Verdana" w:hAnsi="Verdana"/>
          <w:sz w:val="22"/>
          <w:szCs w:val="22"/>
        </w:rPr>
      </w:pPr>
      <w:r>
        <w:rPr>
          <w:rFonts w:ascii="Verdana" w:hAnsi="Verdana"/>
          <w:b/>
          <w:sz w:val="22"/>
          <w:szCs w:val="22"/>
        </w:rPr>
        <w:t>Punto de Acuerdo:</w:t>
      </w:r>
      <w:r>
        <w:rPr>
          <w:rFonts w:ascii="Verdana" w:hAnsi="Verdana"/>
          <w:sz w:val="22"/>
          <w:szCs w:val="22"/>
        </w:rPr>
        <w:t xml:space="preserve"> 021/2019.</w:t>
      </w: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p>
      <w:pPr>
        <w:jc w:val="center"/>
        <w:rPr>
          <w:rFonts w:ascii="Verdana" w:eastAsia="Verdana" w:hAnsi="Verdana" w:cs="Arial"/>
          <w:sz w:val="22"/>
          <w:szCs w:val="22"/>
        </w:rPr>
      </w:pPr>
      <w:r>
        <w:rPr>
          <w:rFonts w:ascii="Verdana" w:eastAsia="Verdana" w:hAnsi="Verdana" w:cs="Arial"/>
          <w:b/>
          <w:sz w:val="22"/>
          <w:szCs w:val="22"/>
        </w:rPr>
        <w:t>REGLAS DE OPERACIÓN DEL</w:t>
      </w:r>
    </w:p>
    <w:p>
      <w:pPr>
        <w:jc w:val="center"/>
        <w:rPr>
          <w:rFonts w:ascii="Verdana" w:eastAsia="Verdana" w:hAnsi="Verdana" w:cs="Arial"/>
          <w:b/>
          <w:sz w:val="22"/>
          <w:szCs w:val="22"/>
        </w:rPr>
      </w:pPr>
      <w:r>
        <w:rPr>
          <w:rFonts w:ascii="Verdana" w:eastAsia="Verdana" w:hAnsi="Verdana" w:cs="Arial"/>
          <w:b/>
          <w:sz w:val="22"/>
          <w:szCs w:val="22"/>
        </w:rPr>
        <w:t>“PROGRAMA DE INDEMNIZACIÓN Y ADQUISICIÓN DE SEMOVIENTES”</w:t>
      </w:r>
    </w:p>
    <w:p>
      <w:pPr>
        <w:jc w:val="center"/>
        <w:rPr>
          <w:rFonts w:ascii="Verdana" w:eastAsia="Verdana" w:hAnsi="Verdana" w:cs="Arial"/>
          <w:b/>
          <w:sz w:val="22"/>
          <w:szCs w:val="22"/>
        </w:rPr>
      </w:pPr>
      <w:r>
        <w:rPr>
          <w:rFonts w:ascii="Verdana" w:eastAsia="Verdana" w:hAnsi="Verdana" w:cs="Arial"/>
          <w:b/>
          <w:sz w:val="22"/>
          <w:szCs w:val="22"/>
        </w:rPr>
        <w:t>EN TLAJOMULCO DE ZÚÑIGA, JALISCO</w:t>
      </w:r>
    </w:p>
    <w:p>
      <w:pPr>
        <w:jc w:val="center"/>
        <w:rPr>
          <w:rFonts w:ascii="Verdana" w:eastAsia="Verdana" w:hAnsi="Verdana" w:cs="Arial"/>
          <w:b/>
          <w:sz w:val="22"/>
          <w:szCs w:val="22"/>
        </w:rPr>
      </w:pPr>
      <w:r>
        <w:rPr>
          <w:rFonts w:ascii="Verdana" w:eastAsia="Verdana" w:hAnsi="Verdana" w:cs="Arial"/>
          <w:b/>
          <w:sz w:val="22"/>
          <w:szCs w:val="22"/>
        </w:rPr>
        <w:t>PARA EL EJERCICIO FISCAL 2019</w:t>
      </w:r>
    </w:p>
    <w:p>
      <w:pPr>
        <w:jc w:val="center"/>
        <w:rPr>
          <w:rFonts w:ascii="Verdana" w:eastAsia="Verdana" w:hAnsi="Verdana" w:cs="Arial"/>
          <w:b/>
          <w:sz w:val="22"/>
          <w:szCs w:val="22"/>
        </w:rPr>
      </w:pPr>
    </w:p>
    <w:p>
      <w:pPr>
        <w:jc w:val="center"/>
        <w:rPr>
          <w:rFonts w:ascii="Verdana" w:eastAsia="Verdana" w:hAnsi="Verdana" w:cs="Arial"/>
          <w:b/>
          <w:sz w:val="22"/>
          <w:szCs w:val="22"/>
        </w:rPr>
      </w:pPr>
    </w:p>
    <w:p>
      <w:pPr>
        <w:pStyle w:val="Prrafodelista"/>
        <w:pBdr>
          <w:top w:val="nil"/>
          <w:left w:val="nil"/>
          <w:bottom w:val="nil"/>
          <w:right w:val="nil"/>
          <w:between w:val="nil"/>
        </w:pBdr>
        <w:ind w:left="0" w:right="51"/>
        <w:jc w:val="both"/>
        <w:rPr>
          <w:rFonts w:ascii="Verdana" w:eastAsia="Verdana" w:hAnsi="Verdana" w:cs="Arial"/>
          <w:b/>
          <w:color w:val="000000"/>
          <w:sz w:val="22"/>
          <w:szCs w:val="22"/>
        </w:rPr>
      </w:pPr>
      <w:r>
        <w:rPr>
          <w:rFonts w:ascii="Verdana" w:eastAsia="Verdana" w:hAnsi="Verdana" w:cs="Arial"/>
          <w:b/>
          <w:color w:val="000000"/>
          <w:sz w:val="22"/>
          <w:szCs w:val="22"/>
        </w:rPr>
        <w:t>1.  ASPECTOS GENERALES:</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rPr>
          <w:rFonts w:ascii="Verdana" w:eastAsia="Verdana" w:hAnsi="Verdana" w:cs="Arial"/>
          <w:color w:val="000000"/>
          <w:sz w:val="22"/>
          <w:szCs w:val="22"/>
        </w:rPr>
      </w:pPr>
      <w:r>
        <w:rPr>
          <w:rFonts w:ascii="Verdana" w:eastAsia="Verdana" w:hAnsi="Verdana" w:cs="Arial"/>
          <w:b/>
          <w:sz w:val="22"/>
          <w:szCs w:val="22"/>
        </w:rPr>
        <w:t xml:space="preserve">1.1. </w:t>
      </w:r>
      <w:r>
        <w:rPr>
          <w:rFonts w:ascii="Verdana" w:eastAsia="Verdana" w:hAnsi="Verdana" w:cs="Arial"/>
          <w:b/>
          <w:color w:val="000000"/>
          <w:sz w:val="22"/>
          <w:szCs w:val="22"/>
        </w:rPr>
        <w:t>INTRODUCCIÓN.</w:t>
      </w:r>
    </w:p>
    <w:p>
      <w:pPr>
        <w:pBdr>
          <w:top w:val="nil"/>
          <w:left w:val="nil"/>
          <w:bottom w:val="nil"/>
          <w:right w:val="nil"/>
          <w:between w:val="nil"/>
        </w:pBdr>
        <w:ind w:right="51"/>
        <w:rPr>
          <w:rFonts w:ascii="Verdana" w:eastAsia="Verdana" w:hAnsi="Verdana" w:cs="Arial"/>
          <w:b/>
          <w:color w:val="000000"/>
          <w:sz w:val="22"/>
          <w:szCs w:val="22"/>
        </w:rPr>
      </w:pPr>
    </w:p>
    <w:p>
      <w:pPr>
        <w:jc w:val="both"/>
        <w:rPr>
          <w:rFonts w:ascii="Verdana" w:eastAsia="Verdana" w:hAnsi="Verdana" w:cs="Arial"/>
          <w:sz w:val="22"/>
          <w:szCs w:val="22"/>
        </w:rPr>
      </w:pPr>
      <w:r>
        <w:rPr>
          <w:rFonts w:ascii="Verdana" w:eastAsia="Verdana" w:hAnsi="Verdana" w:cs="Arial"/>
          <w:sz w:val="22"/>
          <w:szCs w:val="22"/>
        </w:rPr>
        <w:t xml:space="preserve">La ganadería es una actividad económica que se encuentra dentro de las actividades del sector primario y es la fuente de producción de carne, leche y subproductos; pero también es un vulnerable a factores como el cambio climático, el crecimiento demográfico y el contagio de enfermedades </w:t>
      </w:r>
      <w:proofErr w:type="spellStart"/>
      <w:r>
        <w:rPr>
          <w:rFonts w:ascii="Verdana" w:eastAsia="Verdana" w:hAnsi="Verdana" w:cs="Arial"/>
          <w:sz w:val="22"/>
          <w:szCs w:val="22"/>
        </w:rPr>
        <w:t>zoonóticas</w:t>
      </w:r>
      <w:proofErr w:type="spellEnd"/>
      <w:r>
        <w:rPr>
          <w:rFonts w:ascii="Verdana" w:eastAsia="Verdana" w:hAnsi="Verdana" w:cs="Arial"/>
          <w:sz w:val="22"/>
          <w:szCs w:val="22"/>
        </w:rPr>
        <w:t>.</w:t>
      </w:r>
    </w:p>
    <w:p>
      <w:pPr>
        <w:jc w:val="both"/>
        <w:rPr>
          <w:rFonts w:ascii="Verdana" w:eastAsia="Verdana" w:hAnsi="Verdana" w:cs="Arial"/>
          <w:sz w:val="22"/>
          <w:szCs w:val="22"/>
        </w:rPr>
      </w:pPr>
    </w:p>
    <w:p>
      <w:pPr>
        <w:jc w:val="both"/>
        <w:rPr>
          <w:rFonts w:ascii="Verdana" w:eastAsia="Verdana" w:hAnsi="Verdana" w:cs="Arial"/>
          <w:sz w:val="22"/>
          <w:szCs w:val="22"/>
        </w:rPr>
      </w:pPr>
      <w:r>
        <w:rPr>
          <w:rFonts w:ascii="Verdana" w:eastAsia="Verdana" w:hAnsi="Verdana" w:cs="Arial"/>
          <w:sz w:val="22"/>
          <w:szCs w:val="22"/>
        </w:rPr>
        <w:t xml:space="preserve">Con respecto a las enfermedades </w:t>
      </w:r>
      <w:proofErr w:type="spellStart"/>
      <w:r>
        <w:rPr>
          <w:rFonts w:ascii="Verdana" w:eastAsia="Verdana" w:hAnsi="Verdana" w:cs="Arial"/>
          <w:sz w:val="22"/>
          <w:szCs w:val="22"/>
        </w:rPr>
        <w:t>zoonóticas</w:t>
      </w:r>
      <w:proofErr w:type="spellEnd"/>
      <w:r>
        <w:rPr>
          <w:rFonts w:ascii="Verdana" w:eastAsia="Verdana" w:hAnsi="Verdana" w:cs="Arial"/>
          <w:sz w:val="22"/>
          <w:szCs w:val="22"/>
        </w:rPr>
        <w:t xml:space="preserve"> como la brucelosis y tuberculosis, a nivel nacional se implementan campañas zoosanitarias, con el fin de identificar unidades de producción con ganado infectado y controlar la transmisión de dichas enfermedades hacia las personas que están en contacto con el ganado o que consumen los productos alimenticios derivados de estos. Una de las principales medidas de control de zoonosis es el sacrificio de animales infectados, situación que afecta económicamente a las y los propietarios del ganado, pues se realiza el decomiso parcial o total de la canal del animal sacrificado y la o el productor dejan de percibir ingresos por disminución en su producción, además a la unidad de producción también se le implementaba una cuarentena sanitaria, con lo que se restringe la comercialización del ganado para crianza.</w:t>
      </w:r>
    </w:p>
    <w:p>
      <w:pPr>
        <w:jc w:val="both"/>
        <w:rPr>
          <w:rFonts w:ascii="Verdana" w:eastAsia="Verdana" w:hAnsi="Verdana" w:cs="Arial"/>
          <w:sz w:val="22"/>
          <w:szCs w:val="22"/>
        </w:rPr>
      </w:pPr>
    </w:p>
    <w:p>
      <w:pPr>
        <w:pBdr>
          <w:top w:val="nil"/>
          <w:left w:val="nil"/>
          <w:bottom w:val="nil"/>
          <w:right w:val="nil"/>
          <w:between w:val="nil"/>
        </w:pBdr>
        <w:ind w:right="51"/>
        <w:jc w:val="both"/>
        <w:rPr>
          <w:rFonts w:ascii="Verdana" w:eastAsia="Verdana" w:hAnsi="Verdana" w:cs="Arial"/>
          <w:b/>
          <w:color w:val="000000"/>
          <w:sz w:val="22"/>
          <w:szCs w:val="22"/>
        </w:rPr>
      </w:pPr>
      <w:r>
        <w:rPr>
          <w:rFonts w:ascii="Verdana" w:eastAsia="Verdana" w:hAnsi="Verdana" w:cs="Arial"/>
          <w:b/>
          <w:sz w:val="22"/>
          <w:szCs w:val="22"/>
        </w:rPr>
        <w:t xml:space="preserve">1.2. </w:t>
      </w:r>
      <w:r>
        <w:rPr>
          <w:rFonts w:ascii="Verdana" w:eastAsia="Verdana" w:hAnsi="Verdana" w:cs="Arial"/>
          <w:b/>
          <w:color w:val="000000"/>
          <w:sz w:val="22"/>
          <w:szCs w:val="22"/>
        </w:rPr>
        <w:t>DESCRIPCIÓN DEL PROGRAMA.</w:t>
      </w:r>
    </w:p>
    <w:p>
      <w:pPr>
        <w:pBdr>
          <w:top w:val="nil"/>
          <w:left w:val="nil"/>
          <w:bottom w:val="nil"/>
          <w:right w:val="nil"/>
          <w:between w:val="nil"/>
        </w:pBdr>
        <w:ind w:right="51"/>
        <w:jc w:val="both"/>
        <w:rPr>
          <w:rFonts w:ascii="Verdana" w:eastAsia="Verdana" w:hAnsi="Verdana" w:cs="Arial"/>
          <w:b/>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sz w:val="22"/>
          <w:szCs w:val="22"/>
        </w:rPr>
        <w:t xml:space="preserve">1.2.1. </w:t>
      </w:r>
      <w:r>
        <w:rPr>
          <w:rFonts w:ascii="Verdana" w:eastAsia="Verdana" w:hAnsi="Verdana" w:cs="Arial"/>
          <w:color w:val="000000"/>
          <w:sz w:val="22"/>
          <w:szCs w:val="22"/>
        </w:rPr>
        <w:t>NOMBRE OFICIAL DEL PROGRAMA: Indemnización y Adquisición de Semovientes</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sz w:val="22"/>
          <w:szCs w:val="22"/>
        </w:rPr>
        <w:t xml:space="preserve">1.2.2. </w:t>
      </w:r>
      <w:r>
        <w:rPr>
          <w:rFonts w:ascii="Verdana" w:eastAsia="Verdana" w:hAnsi="Verdana" w:cs="Arial"/>
          <w:color w:val="000000"/>
          <w:sz w:val="22"/>
          <w:szCs w:val="22"/>
        </w:rPr>
        <w:t>ALINEACIÓN CON EL PLAN ESTATAL DE DESARROLLO: este programa contribuye con el eje estratégico 7 Desarrollo Económico Local, tema 7.1 Fortalecimiento del Campo y los Sectores Tradicionales del Plan Municipal de Desarrollo 2015-2018, que busca fortalecer las actividades del campo por medio del impulso a la producción agrícola, ganadera y pesquera con el uso de prácticas intensivas.</w:t>
      </w:r>
    </w:p>
    <w:p>
      <w:pPr>
        <w:pBdr>
          <w:top w:val="nil"/>
          <w:left w:val="nil"/>
          <w:bottom w:val="nil"/>
          <w:right w:val="nil"/>
          <w:between w:val="nil"/>
        </w:pBdr>
        <w:ind w:right="51"/>
        <w:jc w:val="both"/>
        <w:rPr>
          <w:rFonts w:ascii="Verdana" w:eastAsia="Verdana" w:hAnsi="Verdana" w:cs="Arial"/>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sz w:val="22"/>
          <w:szCs w:val="22"/>
        </w:rPr>
        <w:t xml:space="preserve">1.2.3. </w:t>
      </w:r>
      <w:r>
        <w:rPr>
          <w:rFonts w:ascii="Verdana" w:eastAsia="Verdana" w:hAnsi="Verdana" w:cs="Arial"/>
          <w:color w:val="000000"/>
          <w:sz w:val="22"/>
          <w:szCs w:val="22"/>
        </w:rPr>
        <w:t>DEPENDENCIA RESPONSABLE: Coordinación General de Desarrollo Económico y Combate a la Desigualdad.</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sz w:val="22"/>
          <w:szCs w:val="22"/>
        </w:rPr>
        <w:t xml:space="preserve">1.2.4. </w:t>
      </w:r>
      <w:r>
        <w:rPr>
          <w:rFonts w:ascii="Verdana" w:eastAsia="Verdana" w:hAnsi="Verdana" w:cs="Arial"/>
          <w:color w:val="000000"/>
          <w:sz w:val="22"/>
          <w:szCs w:val="22"/>
        </w:rPr>
        <w:t>DIRECCIÓN GENERAL RESPONSABLE: Dirección General de Desarrollo Rural.</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sz w:val="22"/>
          <w:szCs w:val="22"/>
        </w:rPr>
        <w:t xml:space="preserve">1.2.5 </w:t>
      </w:r>
      <w:r>
        <w:rPr>
          <w:rFonts w:ascii="Verdana" w:eastAsia="Verdana" w:hAnsi="Verdana" w:cs="Arial"/>
          <w:color w:val="000000"/>
          <w:sz w:val="22"/>
          <w:szCs w:val="22"/>
        </w:rPr>
        <w:t>UNIDAD RESPONSABLE: Dirección de Desarrollo Pecuario.</w:t>
      </w: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sz w:val="22"/>
          <w:szCs w:val="22"/>
        </w:rPr>
        <w:lastRenderedPageBreak/>
        <w:t xml:space="preserve">1.2.6. </w:t>
      </w:r>
      <w:r>
        <w:rPr>
          <w:rFonts w:ascii="Verdana" w:eastAsia="Verdana" w:hAnsi="Verdana" w:cs="Arial"/>
          <w:color w:val="000000"/>
          <w:sz w:val="22"/>
          <w:szCs w:val="22"/>
        </w:rPr>
        <w:t>TIPO DE PROGRAMA: Municipal.</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b/>
          <w:color w:val="000000"/>
          <w:sz w:val="22"/>
          <w:szCs w:val="22"/>
        </w:rPr>
      </w:pPr>
      <w:r>
        <w:rPr>
          <w:rFonts w:ascii="Verdana" w:eastAsia="Verdana" w:hAnsi="Verdana" w:cs="Arial"/>
          <w:sz w:val="22"/>
          <w:szCs w:val="22"/>
        </w:rPr>
        <w:t xml:space="preserve">1.2.7. </w:t>
      </w:r>
      <w:r>
        <w:rPr>
          <w:rFonts w:ascii="Verdana" w:eastAsia="Verdana" w:hAnsi="Verdana" w:cs="Arial"/>
          <w:color w:val="000000"/>
          <w:sz w:val="22"/>
          <w:szCs w:val="22"/>
        </w:rPr>
        <w:t xml:space="preserve">PRESUPUESTO A EJERCER: $400,000 (cuatrocientos mil pesos 00/100  moneda nacional). </w:t>
      </w:r>
      <w:r>
        <w:rPr>
          <w:rFonts w:ascii="Verdana" w:eastAsia="Verdana" w:hAnsi="Verdana" w:cs="Arial"/>
          <w:b/>
          <w:color w:val="000000"/>
          <w:sz w:val="22"/>
          <w:szCs w:val="22"/>
        </w:rPr>
        <w:t xml:space="preserve"> </w:t>
      </w:r>
    </w:p>
    <w:p>
      <w:pPr>
        <w:pBdr>
          <w:top w:val="nil"/>
          <w:left w:val="nil"/>
          <w:bottom w:val="nil"/>
          <w:right w:val="nil"/>
          <w:between w:val="nil"/>
        </w:pBdr>
        <w:ind w:right="51"/>
        <w:jc w:val="both"/>
        <w:rPr>
          <w:rFonts w:ascii="Verdana" w:eastAsia="Verdana" w:hAnsi="Verdana" w:cs="Arial"/>
          <w:b/>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sz w:val="22"/>
          <w:szCs w:val="22"/>
        </w:rPr>
        <w:t xml:space="preserve">1.2.8. </w:t>
      </w:r>
      <w:r>
        <w:rPr>
          <w:rFonts w:ascii="Verdana" w:eastAsia="Verdana" w:hAnsi="Verdana" w:cs="Arial"/>
          <w:color w:val="000000"/>
          <w:sz w:val="22"/>
          <w:szCs w:val="22"/>
        </w:rPr>
        <w:t>PARTIDA PRESUPUESTAL: 4311,  “Subsidios a la producción” del Presupuesto de Egresos del Municipio de Tlajomulco de Zúñiga, para el Ejercicio Fiscal de año 2019.</w:t>
      </w:r>
    </w:p>
    <w:p>
      <w:pPr>
        <w:pBdr>
          <w:top w:val="nil"/>
          <w:left w:val="nil"/>
          <w:bottom w:val="nil"/>
          <w:right w:val="nil"/>
          <w:between w:val="nil"/>
        </w:pBdr>
        <w:ind w:right="51"/>
        <w:jc w:val="both"/>
        <w:rPr>
          <w:rFonts w:ascii="Verdana" w:eastAsia="Verdana" w:hAnsi="Verdana" w:cs="Arial"/>
          <w:b/>
          <w:color w:val="000000"/>
          <w:sz w:val="22"/>
          <w:szCs w:val="22"/>
        </w:rPr>
      </w:pPr>
    </w:p>
    <w:p>
      <w:pPr>
        <w:pBdr>
          <w:top w:val="nil"/>
          <w:left w:val="nil"/>
          <w:bottom w:val="nil"/>
          <w:right w:val="nil"/>
          <w:between w:val="nil"/>
        </w:pBdr>
        <w:ind w:right="51"/>
        <w:jc w:val="both"/>
        <w:rPr>
          <w:rFonts w:ascii="Verdana" w:eastAsia="Verdana" w:hAnsi="Verdana" w:cs="Arial"/>
          <w:b/>
          <w:color w:val="000000"/>
          <w:sz w:val="22"/>
          <w:szCs w:val="22"/>
        </w:rPr>
      </w:pPr>
      <w:r>
        <w:rPr>
          <w:rFonts w:ascii="Verdana" w:eastAsia="Verdana" w:hAnsi="Verdana" w:cs="Arial"/>
          <w:b/>
          <w:sz w:val="22"/>
          <w:szCs w:val="22"/>
        </w:rPr>
        <w:t xml:space="preserve">1.3. </w:t>
      </w:r>
      <w:r>
        <w:rPr>
          <w:rFonts w:ascii="Verdana" w:eastAsia="Verdana" w:hAnsi="Verdana" w:cs="Arial"/>
          <w:b/>
          <w:color w:val="000000"/>
          <w:sz w:val="22"/>
          <w:szCs w:val="22"/>
        </w:rPr>
        <w:t>FUNDAMENTACIÓN Y MOTIVACIÓN JURÍDICA.</w:t>
      </w:r>
    </w:p>
    <w:p>
      <w:pPr>
        <w:pBdr>
          <w:top w:val="nil"/>
          <w:left w:val="nil"/>
          <w:bottom w:val="nil"/>
          <w:right w:val="nil"/>
          <w:between w:val="nil"/>
        </w:pBdr>
        <w:ind w:right="51" w:firstLine="709"/>
        <w:jc w:val="both"/>
        <w:rPr>
          <w:rFonts w:ascii="Verdana" w:eastAsia="Verdana" w:hAnsi="Verdana" w:cs="Arial"/>
          <w:color w:val="000000"/>
          <w:sz w:val="22"/>
          <w:szCs w:val="22"/>
        </w:rPr>
      </w:pPr>
    </w:p>
    <w:p>
      <w:pPr>
        <w:ind w:right="60"/>
        <w:jc w:val="both"/>
        <w:rPr>
          <w:rFonts w:ascii="Verdana" w:eastAsia="Verdana" w:hAnsi="Verdana" w:cs="Arial"/>
          <w:sz w:val="22"/>
          <w:szCs w:val="22"/>
        </w:rPr>
      </w:pPr>
      <w:r>
        <w:rPr>
          <w:rFonts w:ascii="Verdana" w:eastAsia="Verdana" w:hAnsi="Verdana" w:cs="Arial"/>
          <w:sz w:val="22"/>
          <w:szCs w:val="22"/>
        </w:rPr>
        <w:t>Con fundamento en lo dispuesto por el artículo 25, 27 fracción XX y 115 fracción II de la Constitución Política de los Estados Unidos Mexicanos; artículos 1, 4, 6, 7, 18 y 56 de la Ley de Desarrollo Rural Sustentable; artículos 1, 2, 6, fracciones XXV, XXXI, XLVII, LXIII y párrafo último, 7, 10, 54, 63, 78, 125,136, 165 de la Ley Federal de Sanidad Animal, artículos 7, fracción VI, 14, fracciones II, III y IV, 84, 87 fracciones I y II, 90, 94, 95, 105 fracción V, 106, 107, 113 y demás relativos a la Ley de Fomento y Desarrollo Pecuario del Estado de Jalisco, Eje Estratégico 7, “Desarrollo Económico Local”, del  Plan Municipal de Desarrollo 2015-2018 “Tlajomulco”, artículos 5, 129 fracción VI, 135 fracciones IV y V y demás aplicables del Reglamento de la Administración Pública del Municipio de Tlajomulco de Zúñiga, Jalisco y artículos 89 al 97 del Reglamento de los Rastros y de la Inspección Sanitaria del Municipio de Tlajomulco de Zúñiga, Jalisco.</w:t>
      </w:r>
    </w:p>
    <w:p>
      <w:pPr>
        <w:jc w:val="both"/>
        <w:rPr>
          <w:rFonts w:ascii="Verdana" w:eastAsia="Verdana" w:hAnsi="Verdana" w:cs="Arial"/>
          <w:b/>
          <w:sz w:val="22"/>
          <w:szCs w:val="22"/>
        </w:rPr>
      </w:pPr>
    </w:p>
    <w:p>
      <w:pPr>
        <w:jc w:val="both"/>
        <w:rPr>
          <w:rFonts w:ascii="Verdana" w:eastAsia="Verdana" w:hAnsi="Verdana" w:cs="Arial"/>
          <w:b/>
          <w:sz w:val="22"/>
          <w:szCs w:val="22"/>
        </w:rPr>
      </w:pPr>
      <w:r>
        <w:rPr>
          <w:rFonts w:ascii="Verdana" w:eastAsia="Verdana" w:hAnsi="Verdana" w:cs="Arial"/>
          <w:b/>
          <w:sz w:val="22"/>
          <w:szCs w:val="22"/>
        </w:rPr>
        <w:t>2. INCIDENCIA:</w:t>
      </w:r>
    </w:p>
    <w:p>
      <w:pPr>
        <w:jc w:val="both"/>
        <w:rPr>
          <w:rFonts w:ascii="Verdana" w:eastAsia="Verdana" w:hAnsi="Verdana" w:cs="Arial"/>
          <w:sz w:val="22"/>
          <w:szCs w:val="22"/>
        </w:rPr>
      </w:pPr>
    </w:p>
    <w:p>
      <w:pPr>
        <w:pBdr>
          <w:top w:val="nil"/>
          <w:left w:val="nil"/>
          <w:bottom w:val="nil"/>
          <w:right w:val="nil"/>
          <w:between w:val="nil"/>
        </w:pBdr>
        <w:ind w:right="51"/>
        <w:rPr>
          <w:rFonts w:ascii="Verdana" w:eastAsia="Verdana" w:hAnsi="Verdana" w:cs="Arial"/>
          <w:color w:val="000000"/>
          <w:sz w:val="22"/>
          <w:szCs w:val="22"/>
        </w:rPr>
      </w:pPr>
      <w:r>
        <w:rPr>
          <w:rFonts w:ascii="Verdana" w:eastAsia="Verdana" w:hAnsi="Verdana" w:cs="Arial"/>
          <w:b/>
          <w:sz w:val="22"/>
          <w:szCs w:val="22"/>
        </w:rPr>
        <w:t>2.1.</w:t>
      </w:r>
      <w:r>
        <w:rPr>
          <w:rFonts w:ascii="Verdana" w:eastAsia="Verdana" w:hAnsi="Verdana" w:cs="Arial"/>
          <w:sz w:val="22"/>
          <w:szCs w:val="22"/>
        </w:rPr>
        <w:t xml:space="preserve"> </w:t>
      </w:r>
      <w:r>
        <w:rPr>
          <w:rFonts w:ascii="Verdana" w:eastAsia="Verdana" w:hAnsi="Verdana" w:cs="Arial"/>
          <w:b/>
          <w:color w:val="000000"/>
          <w:sz w:val="22"/>
          <w:szCs w:val="22"/>
        </w:rPr>
        <w:t>OBJETIVOS:</w:t>
      </w:r>
    </w:p>
    <w:p>
      <w:pPr>
        <w:pBdr>
          <w:top w:val="nil"/>
          <w:left w:val="nil"/>
          <w:bottom w:val="nil"/>
          <w:right w:val="nil"/>
          <w:between w:val="nil"/>
        </w:pBdr>
        <w:ind w:right="51"/>
        <w:jc w:val="both"/>
        <w:rPr>
          <w:rFonts w:ascii="Verdana" w:eastAsia="Verdana" w:hAnsi="Verdana" w:cs="Arial"/>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b/>
          <w:sz w:val="22"/>
          <w:szCs w:val="22"/>
        </w:rPr>
        <w:t>2.1.1.</w:t>
      </w:r>
      <w:r>
        <w:rPr>
          <w:rFonts w:ascii="Verdana" w:eastAsia="Verdana" w:hAnsi="Verdana" w:cs="Arial"/>
          <w:sz w:val="22"/>
          <w:szCs w:val="22"/>
        </w:rPr>
        <w:tab/>
      </w:r>
      <w:r>
        <w:rPr>
          <w:rFonts w:ascii="Verdana" w:eastAsia="Verdana" w:hAnsi="Verdana" w:cs="Arial"/>
          <w:b/>
          <w:color w:val="000000"/>
          <w:sz w:val="22"/>
          <w:szCs w:val="22"/>
        </w:rPr>
        <w:t xml:space="preserve">Objetivo General.- </w:t>
      </w:r>
      <w:r>
        <w:rPr>
          <w:rFonts w:ascii="Verdana" w:eastAsia="Verdana" w:hAnsi="Verdana" w:cs="Arial"/>
          <w:color w:val="000000"/>
          <w:sz w:val="22"/>
          <w:szCs w:val="22"/>
        </w:rPr>
        <w:t xml:space="preserve">Incentivar la continuidad de la actividad ganadera, a través de un fondo para indemnización y adquisición de semovientes, en el Municipio. </w:t>
      </w:r>
    </w:p>
    <w:p>
      <w:pPr>
        <w:pBdr>
          <w:top w:val="nil"/>
          <w:left w:val="nil"/>
          <w:bottom w:val="nil"/>
          <w:right w:val="nil"/>
          <w:between w:val="nil"/>
        </w:pBdr>
        <w:ind w:right="51"/>
        <w:rPr>
          <w:rFonts w:ascii="Verdana" w:eastAsia="Verdana" w:hAnsi="Verdana" w:cs="Arial"/>
          <w:color w:val="000000"/>
          <w:sz w:val="22"/>
          <w:szCs w:val="22"/>
        </w:rPr>
      </w:pPr>
    </w:p>
    <w:p>
      <w:pPr>
        <w:pBdr>
          <w:top w:val="nil"/>
          <w:left w:val="nil"/>
          <w:bottom w:val="nil"/>
          <w:right w:val="nil"/>
          <w:between w:val="nil"/>
        </w:pBdr>
        <w:ind w:right="51"/>
        <w:rPr>
          <w:rFonts w:ascii="Verdana" w:eastAsia="Verdana" w:hAnsi="Verdana" w:cs="Arial"/>
          <w:color w:val="000000"/>
          <w:sz w:val="22"/>
          <w:szCs w:val="22"/>
        </w:rPr>
      </w:pPr>
      <w:r>
        <w:rPr>
          <w:rFonts w:ascii="Verdana" w:eastAsia="Verdana" w:hAnsi="Verdana" w:cs="Arial"/>
          <w:b/>
          <w:sz w:val="22"/>
          <w:szCs w:val="22"/>
        </w:rPr>
        <w:t>2.1.2.</w:t>
      </w:r>
      <w:r>
        <w:rPr>
          <w:rFonts w:ascii="Verdana" w:eastAsia="Verdana" w:hAnsi="Verdana" w:cs="Arial"/>
          <w:sz w:val="22"/>
          <w:szCs w:val="22"/>
        </w:rPr>
        <w:t xml:space="preserve"> </w:t>
      </w:r>
      <w:r>
        <w:rPr>
          <w:rFonts w:ascii="Verdana" w:eastAsia="Verdana" w:hAnsi="Verdana" w:cs="Arial"/>
          <w:b/>
          <w:color w:val="000000"/>
          <w:sz w:val="22"/>
          <w:szCs w:val="22"/>
        </w:rPr>
        <w:t>Objetivos Específicos:</w:t>
      </w:r>
    </w:p>
    <w:p>
      <w:pPr>
        <w:pBdr>
          <w:top w:val="nil"/>
          <w:left w:val="nil"/>
          <w:bottom w:val="nil"/>
          <w:right w:val="nil"/>
          <w:between w:val="nil"/>
        </w:pBdr>
        <w:ind w:right="51" w:firstLine="709"/>
        <w:rPr>
          <w:rFonts w:ascii="Verdana" w:eastAsia="Verdana" w:hAnsi="Verdana" w:cs="Arial"/>
          <w:color w:val="000000"/>
          <w:sz w:val="22"/>
          <w:szCs w:val="22"/>
        </w:rPr>
      </w:pPr>
      <w:r>
        <w:rPr>
          <w:rFonts w:ascii="Verdana" w:eastAsia="Verdana" w:hAnsi="Verdana" w:cs="Arial"/>
          <w:b/>
          <w:color w:val="000000"/>
          <w:sz w:val="22"/>
          <w:szCs w:val="22"/>
        </w:rPr>
        <w:t xml:space="preserve"> </w:t>
      </w:r>
    </w:p>
    <w:p>
      <w:pPr>
        <w:numPr>
          <w:ilvl w:val="0"/>
          <w:numId w:val="15"/>
        </w:numPr>
        <w:pBdr>
          <w:top w:val="nil"/>
          <w:left w:val="nil"/>
          <w:bottom w:val="nil"/>
          <w:right w:val="nil"/>
          <w:between w:val="nil"/>
        </w:pBdr>
        <w:tabs>
          <w:tab w:val="left" w:pos="708"/>
        </w:tabs>
        <w:suppressAutoHyphens w:val="0"/>
        <w:spacing w:line="276" w:lineRule="auto"/>
        <w:ind w:right="51"/>
        <w:jc w:val="both"/>
        <w:rPr>
          <w:rFonts w:ascii="Verdana" w:eastAsia="Verdana" w:hAnsi="Verdana" w:cs="Arial"/>
          <w:color w:val="000000"/>
          <w:sz w:val="22"/>
          <w:szCs w:val="22"/>
        </w:rPr>
      </w:pPr>
      <w:r>
        <w:rPr>
          <w:rFonts w:ascii="Verdana" w:eastAsia="Verdana" w:hAnsi="Verdana" w:cs="Arial"/>
          <w:color w:val="000000"/>
          <w:sz w:val="22"/>
          <w:szCs w:val="22"/>
        </w:rPr>
        <w:t xml:space="preserve">Disponer de un fondo que disminuya las pérdidas económicas de los ganaderos de Tlajomulco, por la eliminación de animales reactores positivos a </w:t>
      </w:r>
      <w:proofErr w:type="spellStart"/>
      <w:r>
        <w:rPr>
          <w:rFonts w:ascii="Verdana" w:eastAsia="Verdana" w:hAnsi="Verdana" w:cs="Arial"/>
          <w:color w:val="000000"/>
          <w:sz w:val="22"/>
          <w:szCs w:val="22"/>
        </w:rPr>
        <w:t>br</w:t>
      </w:r>
      <w:r>
        <w:rPr>
          <w:rFonts w:ascii="Verdana" w:eastAsia="Verdana" w:hAnsi="Verdana" w:cs="Arial"/>
          <w:sz w:val="22"/>
          <w:szCs w:val="22"/>
        </w:rPr>
        <w:t>u</w:t>
      </w:r>
      <w:r>
        <w:rPr>
          <w:rFonts w:ascii="Verdana" w:eastAsia="Verdana" w:hAnsi="Verdana" w:cs="Arial"/>
          <w:color w:val="000000"/>
          <w:sz w:val="22"/>
          <w:szCs w:val="22"/>
        </w:rPr>
        <w:t>cella</w:t>
      </w:r>
      <w:proofErr w:type="spellEnd"/>
      <w:r>
        <w:rPr>
          <w:rFonts w:ascii="Verdana" w:eastAsia="Verdana" w:hAnsi="Verdana" w:cs="Arial"/>
          <w:color w:val="000000"/>
          <w:sz w:val="22"/>
          <w:szCs w:val="22"/>
        </w:rPr>
        <w:t xml:space="preserve"> o tuberculosis.</w:t>
      </w:r>
    </w:p>
    <w:p>
      <w:pPr>
        <w:pBdr>
          <w:top w:val="nil"/>
          <w:left w:val="nil"/>
          <w:bottom w:val="nil"/>
          <w:right w:val="nil"/>
          <w:between w:val="nil"/>
        </w:pBdr>
        <w:ind w:left="720" w:right="51"/>
        <w:jc w:val="both"/>
        <w:rPr>
          <w:rFonts w:ascii="Verdana" w:eastAsia="Verdana" w:hAnsi="Verdana" w:cs="Arial"/>
          <w:color w:val="000000"/>
          <w:sz w:val="22"/>
          <w:szCs w:val="22"/>
        </w:rPr>
      </w:pPr>
      <w:r>
        <w:rPr>
          <w:rFonts w:ascii="Verdana" w:eastAsia="Verdana" w:hAnsi="Verdana" w:cs="Arial"/>
          <w:color w:val="000000"/>
          <w:sz w:val="22"/>
          <w:szCs w:val="22"/>
        </w:rPr>
        <w:t xml:space="preserve"> </w:t>
      </w:r>
    </w:p>
    <w:p>
      <w:pPr>
        <w:numPr>
          <w:ilvl w:val="0"/>
          <w:numId w:val="15"/>
        </w:numPr>
        <w:pBdr>
          <w:top w:val="nil"/>
          <w:left w:val="nil"/>
          <w:bottom w:val="nil"/>
          <w:right w:val="nil"/>
          <w:between w:val="nil"/>
        </w:pBdr>
        <w:tabs>
          <w:tab w:val="left" w:pos="708"/>
        </w:tabs>
        <w:suppressAutoHyphens w:val="0"/>
        <w:spacing w:line="276" w:lineRule="auto"/>
        <w:ind w:right="51"/>
        <w:jc w:val="both"/>
        <w:rPr>
          <w:rFonts w:ascii="Verdana" w:eastAsia="Verdana" w:hAnsi="Verdana" w:cs="Arial"/>
          <w:color w:val="000000"/>
          <w:sz w:val="22"/>
          <w:szCs w:val="22"/>
        </w:rPr>
      </w:pPr>
      <w:r>
        <w:rPr>
          <w:rFonts w:ascii="Verdana" w:eastAsia="Verdana" w:hAnsi="Verdana" w:cs="Arial"/>
          <w:color w:val="000000"/>
          <w:sz w:val="22"/>
          <w:szCs w:val="22"/>
        </w:rPr>
        <w:t xml:space="preserve">Preservar la salud animal mediante la eliminación de ganado bovino, ovino y caprino, infectado por </w:t>
      </w:r>
      <w:proofErr w:type="spellStart"/>
      <w:r>
        <w:rPr>
          <w:rFonts w:ascii="Verdana" w:eastAsia="Verdana" w:hAnsi="Verdana" w:cs="Arial"/>
          <w:color w:val="000000"/>
          <w:sz w:val="22"/>
          <w:szCs w:val="22"/>
        </w:rPr>
        <w:t>brucella</w:t>
      </w:r>
      <w:proofErr w:type="spellEnd"/>
      <w:r>
        <w:rPr>
          <w:rFonts w:ascii="Verdana" w:eastAsia="Verdana" w:hAnsi="Verdana" w:cs="Arial"/>
          <w:color w:val="000000"/>
          <w:sz w:val="22"/>
          <w:szCs w:val="22"/>
        </w:rPr>
        <w:t xml:space="preserve"> o tuberculosis.</w:t>
      </w:r>
    </w:p>
    <w:p>
      <w:pPr>
        <w:pBdr>
          <w:top w:val="nil"/>
          <w:left w:val="nil"/>
          <w:bottom w:val="nil"/>
          <w:right w:val="nil"/>
          <w:between w:val="nil"/>
        </w:pBdr>
        <w:ind w:left="720" w:right="51"/>
        <w:jc w:val="both"/>
        <w:rPr>
          <w:rFonts w:ascii="Verdana" w:eastAsia="Verdana" w:hAnsi="Verdana" w:cs="Arial"/>
          <w:color w:val="000000"/>
          <w:sz w:val="22"/>
          <w:szCs w:val="22"/>
        </w:rPr>
      </w:pPr>
    </w:p>
    <w:p>
      <w:pPr>
        <w:numPr>
          <w:ilvl w:val="0"/>
          <w:numId w:val="15"/>
        </w:numPr>
        <w:pBdr>
          <w:top w:val="nil"/>
          <w:left w:val="nil"/>
          <w:bottom w:val="nil"/>
          <w:right w:val="nil"/>
          <w:between w:val="nil"/>
        </w:pBdr>
        <w:tabs>
          <w:tab w:val="left" w:pos="708"/>
        </w:tabs>
        <w:suppressAutoHyphens w:val="0"/>
        <w:spacing w:line="276" w:lineRule="auto"/>
        <w:ind w:right="51"/>
        <w:jc w:val="both"/>
        <w:rPr>
          <w:rFonts w:ascii="Verdana" w:eastAsia="Verdana" w:hAnsi="Verdana" w:cs="Arial"/>
          <w:color w:val="000000"/>
          <w:sz w:val="22"/>
          <w:szCs w:val="22"/>
        </w:rPr>
      </w:pPr>
      <w:r>
        <w:rPr>
          <w:rFonts w:ascii="Verdana" w:eastAsia="Verdana" w:hAnsi="Verdana" w:cs="Arial"/>
          <w:color w:val="000000"/>
          <w:sz w:val="22"/>
          <w:szCs w:val="22"/>
        </w:rPr>
        <w:t xml:space="preserve">Repoblar Unidades de Producción de bovinos, ovinos o caprinos sin problemas de </w:t>
      </w:r>
      <w:proofErr w:type="spellStart"/>
      <w:r>
        <w:rPr>
          <w:rFonts w:ascii="Verdana" w:eastAsia="Verdana" w:hAnsi="Verdana" w:cs="Arial"/>
          <w:color w:val="000000"/>
          <w:sz w:val="22"/>
          <w:szCs w:val="22"/>
        </w:rPr>
        <w:t>brucela</w:t>
      </w:r>
      <w:proofErr w:type="spellEnd"/>
      <w:r>
        <w:rPr>
          <w:rFonts w:ascii="Verdana" w:eastAsia="Verdana" w:hAnsi="Verdana" w:cs="Arial"/>
          <w:color w:val="000000"/>
          <w:sz w:val="22"/>
          <w:szCs w:val="22"/>
        </w:rPr>
        <w:t xml:space="preserve"> o tuberculosis, con hembras o sementales sanos y de buena calidad genética</w:t>
      </w:r>
    </w:p>
    <w:p>
      <w:pPr>
        <w:pBdr>
          <w:top w:val="nil"/>
          <w:left w:val="nil"/>
          <w:bottom w:val="nil"/>
          <w:right w:val="nil"/>
          <w:between w:val="nil"/>
        </w:pBdr>
        <w:ind w:right="51" w:firstLine="709"/>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b/>
          <w:color w:val="000000"/>
          <w:sz w:val="22"/>
          <w:szCs w:val="22"/>
        </w:rPr>
      </w:pPr>
      <w:r>
        <w:rPr>
          <w:rFonts w:ascii="Verdana" w:eastAsia="Verdana" w:hAnsi="Verdana" w:cs="Arial"/>
          <w:b/>
          <w:sz w:val="22"/>
          <w:szCs w:val="22"/>
        </w:rPr>
        <w:t xml:space="preserve">2.2. </w:t>
      </w:r>
      <w:r>
        <w:rPr>
          <w:rFonts w:ascii="Verdana" w:eastAsia="Verdana" w:hAnsi="Verdana" w:cs="Arial"/>
          <w:b/>
          <w:color w:val="000000"/>
          <w:sz w:val="22"/>
          <w:szCs w:val="22"/>
        </w:rPr>
        <w:t xml:space="preserve">COBERTURA </w:t>
      </w:r>
      <w:r>
        <w:rPr>
          <w:rFonts w:ascii="Verdana" w:eastAsia="Verdana" w:hAnsi="Verdana" w:cs="Arial"/>
          <w:b/>
          <w:sz w:val="22"/>
          <w:szCs w:val="22"/>
        </w:rPr>
        <w:t>GEOGRÁFICA.</w:t>
      </w:r>
    </w:p>
    <w:p>
      <w:pPr>
        <w:pBdr>
          <w:top w:val="nil"/>
          <w:left w:val="nil"/>
          <w:bottom w:val="nil"/>
          <w:right w:val="nil"/>
          <w:between w:val="nil"/>
        </w:pBdr>
        <w:ind w:left="720" w:right="51"/>
        <w:jc w:val="both"/>
        <w:rPr>
          <w:rFonts w:ascii="Verdana" w:eastAsia="Verdana" w:hAnsi="Verdana" w:cs="Arial"/>
          <w:b/>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color w:val="000000"/>
          <w:sz w:val="22"/>
          <w:szCs w:val="22"/>
        </w:rPr>
        <w:lastRenderedPageBreak/>
        <w:t xml:space="preserve">Este programa está dirigido a </w:t>
      </w:r>
      <w:proofErr w:type="gramStart"/>
      <w:r>
        <w:rPr>
          <w:rFonts w:ascii="Verdana" w:eastAsia="Verdana" w:hAnsi="Verdana" w:cs="Arial"/>
          <w:color w:val="000000"/>
          <w:sz w:val="22"/>
          <w:szCs w:val="22"/>
        </w:rPr>
        <w:t>todas las</w:t>
      </w:r>
      <w:proofErr w:type="gramEnd"/>
      <w:r>
        <w:rPr>
          <w:rFonts w:ascii="Verdana" w:eastAsia="Verdana" w:hAnsi="Verdana" w:cs="Arial"/>
          <w:color w:val="000000"/>
          <w:sz w:val="22"/>
          <w:szCs w:val="22"/>
        </w:rPr>
        <w:t xml:space="preserve"> y los criadores de ganado bovino, ovino y caprino que tengan su unidad de producción pecuaria establecida en el territorio de Tlajomulco de Zúñiga, Jalisco. </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b/>
          <w:color w:val="000000"/>
          <w:sz w:val="22"/>
          <w:szCs w:val="22"/>
        </w:rPr>
      </w:pPr>
      <w:r>
        <w:rPr>
          <w:rFonts w:ascii="Verdana" w:eastAsia="Verdana" w:hAnsi="Verdana" w:cs="Arial"/>
          <w:b/>
          <w:sz w:val="22"/>
          <w:szCs w:val="22"/>
        </w:rPr>
        <w:t xml:space="preserve">2.3. </w:t>
      </w:r>
      <w:r>
        <w:rPr>
          <w:rFonts w:ascii="Verdana" w:eastAsia="Verdana" w:hAnsi="Verdana" w:cs="Arial"/>
          <w:b/>
          <w:color w:val="000000"/>
          <w:sz w:val="22"/>
          <w:szCs w:val="22"/>
        </w:rPr>
        <w:t>POBLACIÓN OBJETIVO.</w:t>
      </w:r>
    </w:p>
    <w:p>
      <w:pPr>
        <w:pBdr>
          <w:top w:val="nil"/>
          <w:left w:val="nil"/>
          <w:bottom w:val="nil"/>
          <w:right w:val="nil"/>
          <w:between w:val="nil"/>
        </w:pBdr>
        <w:ind w:right="51"/>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color w:val="000000"/>
          <w:sz w:val="22"/>
          <w:szCs w:val="22"/>
        </w:rPr>
        <w:t xml:space="preserve">Las y los productores con animales infectados por </w:t>
      </w:r>
      <w:proofErr w:type="spellStart"/>
      <w:r>
        <w:rPr>
          <w:rFonts w:ascii="Verdana" w:eastAsia="Verdana" w:hAnsi="Verdana" w:cs="Arial"/>
          <w:color w:val="000000"/>
          <w:sz w:val="22"/>
          <w:szCs w:val="22"/>
        </w:rPr>
        <w:t>br</w:t>
      </w:r>
      <w:r>
        <w:rPr>
          <w:rFonts w:ascii="Verdana" w:eastAsia="Verdana" w:hAnsi="Verdana" w:cs="Arial"/>
          <w:sz w:val="22"/>
          <w:szCs w:val="22"/>
        </w:rPr>
        <w:t>u</w:t>
      </w:r>
      <w:r>
        <w:rPr>
          <w:rFonts w:ascii="Verdana" w:eastAsia="Verdana" w:hAnsi="Verdana" w:cs="Arial"/>
          <w:color w:val="000000"/>
          <w:sz w:val="22"/>
          <w:szCs w:val="22"/>
        </w:rPr>
        <w:t>cella</w:t>
      </w:r>
      <w:proofErr w:type="spellEnd"/>
      <w:r>
        <w:rPr>
          <w:rFonts w:ascii="Verdana" w:eastAsia="Verdana" w:hAnsi="Verdana" w:cs="Arial"/>
          <w:color w:val="000000"/>
          <w:sz w:val="22"/>
          <w:szCs w:val="22"/>
        </w:rPr>
        <w:t xml:space="preserve"> o tuberculosis, que  realicen el sacrificio de dichos animales.</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b/>
          <w:color w:val="000000"/>
          <w:sz w:val="22"/>
          <w:szCs w:val="22"/>
        </w:rPr>
      </w:pPr>
      <w:r>
        <w:rPr>
          <w:rFonts w:ascii="Verdana" w:eastAsia="Verdana" w:hAnsi="Verdana" w:cs="Arial"/>
          <w:b/>
          <w:sz w:val="22"/>
          <w:szCs w:val="22"/>
        </w:rPr>
        <w:t>2.4. CARACTERÍSTICAS</w:t>
      </w:r>
      <w:r>
        <w:rPr>
          <w:rFonts w:ascii="Verdana" w:eastAsia="Verdana" w:hAnsi="Verdana" w:cs="Arial"/>
          <w:b/>
          <w:color w:val="000000"/>
          <w:sz w:val="22"/>
          <w:szCs w:val="22"/>
        </w:rPr>
        <w:t xml:space="preserve"> DE LOS BENEFICIOS:</w:t>
      </w:r>
    </w:p>
    <w:p>
      <w:pPr>
        <w:pBdr>
          <w:top w:val="nil"/>
          <w:left w:val="nil"/>
          <w:bottom w:val="nil"/>
          <w:right w:val="nil"/>
          <w:between w:val="nil"/>
        </w:pBdr>
        <w:ind w:left="284" w:right="51"/>
        <w:jc w:val="both"/>
        <w:rPr>
          <w:rFonts w:ascii="Verdana" w:eastAsia="Verdana" w:hAnsi="Verdana" w:cs="Arial"/>
          <w:b/>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b/>
          <w:sz w:val="22"/>
          <w:szCs w:val="22"/>
        </w:rPr>
        <w:t>2.4.1.</w:t>
      </w:r>
      <w:r>
        <w:rPr>
          <w:rFonts w:ascii="Verdana" w:eastAsia="Verdana" w:hAnsi="Verdana" w:cs="Arial"/>
          <w:b/>
          <w:color w:val="000000"/>
          <w:sz w:val="22"/>
          <w:szCs w:val="22"/>
        </w:rPr>
        <w:t xml:space="preserve"> Tipo de recursos.- </w:t>
      </w:r>
      <w:r>
        <w:rPr>
          <w:rFonts w:ascii="Verdana" w:eastAsia="Verdana" w:hAnsi="Verdana" w:cs="Arial"/>
          <w:color w:val="000000"/>
          <w:sz w:val="22"/>
          <w:szCs w:val="22"/>
        </w:rPr>
        <w:t>Los apoyos del Programa son económicos a fondo perdido.</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b/>
          <w:color w:val="000000"/>
          <w:sz w:val="22"/>
          <w:szCs w:val="22"/>
        </w:rPr>
      </w:pPr>
      <w:r>
        <w:rPr>
          <w:rFonts w:ascii="Verdana" w:eastAsia="Verdana" w:hAnsi="Verdana" w:cs="Arial"/>
          <w:b/>
          <w:color w:val="000000"/>
          <w:sz w:val="22"/>
          <w:szCs w:val="22"/>
        </w:rPr>
        <w:t>2.4.2. Tipos de apoyo:</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b/>
          <w:i/>
          <w:color w:val="000000"/>
          <w:sz w:val="22"/>
          <w:szCs w:val="22"/>
        </w:rPr>
      </w:pPr>
      <w:r>
        <w:rPr>
          <w:rFonts w:ascii="Verdana" w:eastAsia="Verdana" w:hAnsi="Verdana" w:cs="Arial"/>
          <w:b/>
          <w:i/>
          <w:sz w:val="22"/>
          <w:szCs w:val="22"/>
        </w:rPr>
        <w:t>A)</w:t>
      </w:r>
      <w:r>
        <w:rPr>
          <w:rFonts w:ascii="Verdana" w:eastAsia="Verdana" w:hAnsi="Verdana" w:cs="Arial"/>
          <w:b/>
          <w:i/>
          <w:color w:val="000000"/>
          <w:sz w:val="22"/>
          <w:szCs w:val="22"/>
        </w:rPr>
        <w:t xml:space="preserve"> Modalidad de indemnización:</w:t>
      </w:r>
    </w:p>
    <w:p>
      <w:pPr>
        <w:pBdr>
          <w:top w:val="nil"/>
          <w:left w:val="nil"/>
          <w:bottom w:val="nil"/>
          <w:right w:val="nil"/>
          <w:between w:val="nil"/>
        </w:pBdr>
        <w:ind w:right="51" w:firstLine="709"/>
        <w:rPr>
          <w:rFonts w:ascii="Verdana" w:eastAsia="Verdana" w:hAnsi="Verdana" w:cs="Arial"/>
          <w:b/>
          <w:color w:val="000000"/>
          <w:sz w:val="22"/>
          <w:szCs w:val="22"/>
        </w:rPr>
      </w:pPr>
    </w:p>
    <w:tbl>
      <w:tblPr>
        <w:tblW w:w="5244" w:type="dxa"/>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6"/>
        <w:gridCol w:w="2968"/>
      </w:tblGrid>
      <w:tr>
        <w:tc>
          <w:tcPr>
            <w:tcW w:w="2276" w:type="dxa"/>
            <w:shd w:val="clear" w:color="auto" w:fill="D9D9D9"/>
          </w:tcPr>
          <w:p>
            <w:pPr>
              <w:pBdr>
                <w:top w:val="nil"/>
                <w:left w:val="nil"/>
                <w:bottom w:val="nil"/>
                <w:right w:val="nil"/>
                <w:between w:val="nil"/>
              </w:pBdr>
              <w:ind w:right="184" w:firstLine="709"/>
              <w:rPr>
                <w:rFonts w:ascii="Verdana" w:eastAsia="Verdana" w:hAnsi="Verdana" w:cs="Arial"/>
                <w:b/>
                <w:color w:val="000000"/>
                <w:sz w:val="22"/>
                <w:szCs w:val="22"/>
              </w:rPr>
            </w:pPr>
            <w:r>
              <w:rPr>
                <w:rFonts w:ascii="Verdana" w:eastAsia="Verdana" w:hAnsi="Verdana" w:cs="Arial"/>
                <w:b/>
                <w:color w:val="000000"/>
                <w:sz w:val="22"/>
                <w:szCs w:val="22"/>
              </w:rPr>
              <w:t>Especie</w:t>
            </w:r>
          </w:p>
        </w:tc>
        <w:tc>
          <w:tcPr>
            <w:tcW w:w="2968" w:type="dxa"/>
            <w:shd w:val="clear" w:color="auto" w:fill="D9D9D9"/>
          </w:tcPr>
          <w:p>
            <w:pPr>
              <w:pBdr>
                <w:top w:val="nil"/>
                <w:left w:val="nil"/>
                <w:bottom w:val="nil"/>
                <w:right w:val="nil"/>
                <w:between w:val="nil"/>
              </w:pBdr>
              <w:ind w:right="51"/>
              <w:jc w:val="center"/>
              <w:rPr>
                <w:rFonts w:ascii="Verdana" w:eastAsia="Verdana" w:hAnsi="Verdana" w:cs="Arial"/>
                <w:b/>
                <w:color w:val="000000"/>
                <w:sz w:val="22"/>
                <w:szCs w:val="22"/>
              </w:rPr>
            </w:pPr>
            <w:r>
              <w:rPr>
                <w:rFonts w:ascii="Verdana" w:eastAsia="Verdana" w:hAnsi="Verdana" w:cs="Arial"/>
                <w:b/>
                <w:color w:val="000000"/>
                <w:sz w:val="22"/>
                <w:szCs w:val="22"/>
              </w:rPr>
              <w:t>Monto de subsidio (económico)</w:t>
            </w:r>
          </w:p>
        </w:tc>
      </w:tr>
      <w:tr>
        <w:tc>
          <w:tcPr>
            <w:tcW w:w="2276" w:type="dxa"/>
          </w:tcPr>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color w:val="000000"/>
                <w:sz w:val="22"/>
                <w:szCs w:val="22"/>
              </w:rPr>
              <w:t>Bovinos reactores positivos a tuberculosis</w:t>
            </w:r>
          </w:p>
        </w:tc>
        <w:tc>
          <w:tcPr>
            <w:tcW w:w="2968" w:type="dxa"/>
          </w:tcPr>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b/>
                <w:color w:val="000000"/>
                <w:sz w:val="22"/>
                <w:szCs w:val="22"/>
              </w:rPr>
              <w:t>$16,000.00</w:t>
            </w:r>
            <w:r>
              <w:rPr>
                <w:rFonts w:ascii="Verdana" w:eastAsia="Verdana" w:hAnsi="Verdana" w:cs="Arial"/>
                <w:color w:val="000000"/>
                <w:sz w:val="22"/>
                <w:szCs w:val="22"/>
              </w:rPr>
              <w:t xml:space="preserve"> por animal enfermo.</w:t>
            </w:r>
          </w:p>
        </w:tc>
      </w:tr>
      <w:tr>
        <w:tc>
          <w:tcPr>
            <w:tcW w:w="2276" w:type="dxa"/>
          </w:tcPr>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color w:val="000000"/>
                <w:sz w:val="22"/>
                <w:szCs w:val="22"/>
              </w:rPr>
              <w:t>Bovinos positivos a brucelosis</w:t>
            </w:r>
          </w:p>
        </w:tc>
        <w:tc>
          <w:tcPr>
            <w:tcW w:w="2968" w:type="dxa"/>
          </w:tcPr>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b/>
                <w:color w:val="000000"/>
                <w:sz w:val="22"/>
                <w:szCs w:val="22"/>
              </w:rPr>
              <w:t xml:space="preserve">$9,000.00 </w:t>
            </w:r>
            <w:r>
              <w:rPr>
                <w:rFonts w:ascii="Verdana" w:eastAsia="Verdana" w:hAnsi="Verdana" w:cs="Arial"/>
                <w:color w:val="000000"/>
                <w:sz w:val="22"/>
                <w:szCs w:val="22"/>
              </w:rPr>
              <w:t>por animal enfermo.</w:t>
            </w:r>
          </w:p>
        </w:tc>
      </w:tr>
      <w:tr>
        <w:tc>
          <w:tcPr>
            <w:tcW w:w="2276" w:type="dxa"/>
          </w:tcPr>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color w:val="000000"/>
                <w:sz w:val="22"/>
                <w:szCs w:val="22"/>
              </w:rPr>
              <w:t>Ovinos y/o caprinos positivos a brucelosis</w:t>
            </w:r>
          </w:p>
        </w:tc>
        <w:tc>
          <w:tcPr>
            <w:tcW w:w="2968" w:type="dxa"/>
          </w:tcPr>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b/>
                <w:color w:val="000000"/>
                <w:sz w:val="22"/>
                <w:szCs w:val="22"/>
              </w:rPr>
              <w:t>$2,500.00</w:t>
            </w:r>
            <w:r>
              <w:rPr>
                <w:rFonts w:ascii="Verdana" w:eastAsia="Verdana" w:hAnsi="Verdana" w:cs="Arial"/>
                <w:color w:val="000000"/>
                <w:sz w:val="22"/>
                <w:szCs w:val="22"/>
              </w:rPr>
              <w:t xml:space="preserve"> por animal enfermo.</w:t>
            </w:r>
          </w:p>
        </w:tc>
      </w:tr>
    </w:tbl>
    <w:p>
      <w:pPr>
        <w:pBdr>
          <w:top w:val="nil"/>
          <w:left w:val="nil"/>
          <w:bottom w:val="nil"/>
          <w:right w:val="nil"/>
          <w:between w:val="nil"/>
        </w:pBdr>
        <w:ind w:right="51"/>
        <w:rPr>
          <w:rFonts w:ascii="Verdana" w:eastAsia="Verdana" w:hAnsi="Verdana" w:cs="Arial"/>
          <w:b/>
          <w:color w:val="000000"/>
          <w:sz w:val="22"/>
          <w:szCs w:val="22"/>
        </w:rPr>
      </w:pPr>
    </w:p>
    <w:p>
      <w:pPr>
        <w:pBdr>
          <w:top w:val="nil"/>
          <w:left w:val="nil"/>
          <w:bottom w:val="nil"/>
          <w:right w:val="nil"/>
          <w:between w:val="nil"/>
        </w:pBdr>
        <w:tabs>
          <w:tab w:val="left" w:pos="567"/>
        </w:tabs>
        <w:ind w:right="51"/>
        <w:jc w:val="both"/>
        <w:rPr>
          <w:rFonts w:ascii="Verdana" w:eastAsia="Verdana" w:hAnsi="Verdana" w:cs="Arial"/>
          <w:b/>
          <w:color w:val="000000"/>
          <w:sz w:val="22"/>
          <w:szCs w:val="22"/>
        </w:rPr>
      </w:pPr>
      <w:r>
        <w:rPr>
          <w:rFonts w:ascii="Verdana" w:eastAsia="Verdana" w:hAnsi="Verdana" w:cs="Arial"/>
          <w:b/>
          <w:i/>
          <w:color w:val="000000"/>
          <w:sz w:val="22"/>
          <w:szCs w:val="22"/>
        </w:rPr>
        <w:t xml:space="preserve"> B)  Modalidad de adquisición de semovientes:</w:t>
      </w:r>
      <w:r>
        <w:rPr>
          <w:rFonts w:ascii="Verdana" w:eastAsia="Verdana" w:hAnsi="Verdana" w:cs="Arial"/>
          <w:color w:val="000000"/>
          <w:sz w:val="22"/>
          <w:szCs w:val="22"/>
        </w:rPr>
        <w:t xml:space="preserve">  </w:t>
      </w:r>
    </w:p>
    <w:p>
      <w:pPr>
        <w:pBdr>
          <w:top w:val="nil"/>
          <w:left w:val="nil"/>
          <w:bottom w:val="nil"/>
          <w:right w:val="nil"/>
          <w:between w:val="nil"/>
        </w:pBdr>
        <w:ind w:right="51" w:firstLine="709"/>
        <w:rPr>
          <w:rFonts w:ascii="Verdana" w:eastAsia="Verdana" w:hAnsi="Verdana" w:cs="Arial"/>
          <w:b/>
          <w:color w:val="000000"/>
          <w:sz w:val="22"/>
          <w:szCs w:val="22"/>
        </w:rPr>
      </w:pPr>
    </w:p>
    <w:tbl>
      <w:tblPr>
        <w:tblW w:w="6273" w:type="dxa"/>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2"/>
        <w:gridCol w:w="2321"/>
        <w:gridCol w:w="1790"/>
      </w:tblGrid>
      <w:tr>
        <w:tc>
          <w:tcPr>
            <w:tcW w:w="2162" w:type="dxa"/>
            <w:shd w:val="clear" w:color="auto" w:fill="D9D9D9"/>
            <w:vAlign w:val="center"/>
          </w:tcPr>
          <w:p>
            <w:pPr>
              <w:pBdr>
                <w:top w:val="nil"/>
                <w:left w:val="nil"/>
                <w:bottom w:val="nil"/>
                <w:right w:val="nil"/>
                <w:between w:val="nil"/>
              </w:pBdr>
              <w:ind w:right="51" w:firstLine="709"/>
              <w:jc w:val="center"/>
              <w:rPr>
                <w:rFonts w:ascii="Verdana" w:eastAsia="Verdana" w:hAnsi="Verdana" w:cs="Arial"/>
                <w:b/>
                <w:color w:val="000000"/>
                <w:sz w:val="22"/>
                <w:szCs w:val="22"/>
              </w:rPr>
            </w:pPr>
            <w:r>
              <w:rPr>
                <w:rFonts w:ascii="Verdana" w:eastAsia="Verdana" w:hAnsi="Verdana" w:cs="Arial"/>
                <w:b/>
                <w:color w:val="000000"/>
                <w:sz w:val="22"/>
                <w:szCs w:val="22"/>
              </w:rPr>
              <w:t>Especie</w:t>
            </w:r>
          </w:p>
        </w:tc>
        <w:tc>
          <w:tcPr>
            <w:tcW w:w="2321" w:type="dxa"/>
            <w:shd w:val="clear" w:color="auto" w:fill="D9D9D9"/>
          </w:tcPr>
          <w:p>
            <w:pPr>
              <w:pBdr>
                <w:top w:val="nil"/>
                <w:left w:val="nil"/>
                <w:bottom w:val="nil"/>
                <w:right w:val="nil"/>
                <w:between w:val="nil"/>
              </w:pBdr>
              <w:ind w:right="51" w:firstLine="76"/>
              <w:jc w:val="center"/>
              <w:rPr>
                <w:rFonts w:ascii="Verdana" w:eastAsia="Verdana" w:hAnsi="Verdana" w:cs="Arial"/>
                <w:b/>
                <w:color w:val="000000"/>
                <w:sz w:val="22"/>
                <w:szCs w:val="22"/>
              </w:rPr>
            </w:pPr>
            <w:r>
              <w:rPr>
                <w:rFonts w:ascii="Verdana" w:eastAsia="Verdana" w:hAnsi="Verdana" w:cs="Arial"/>
                <w:b/>
                <w:color w:val="000000"/>
                <w:sz w:val="22"/>
                <w:szCs w:val="22"/>
              </w:rPr>
              <w:t>Monto de subsidio (económico)</w:t>
            </w:r>
          </w:p>
        </w:tc>
        <w:tc>
          <w:tcPr>
            <w:tcW w:w="1790" w:type="dxa"/>
            <w:shd w:val="clear" w:color="auto" w:fill="D9D9D9"/>
            <w:vAlign w:val="center"/>
          </w:tcPr>
          <w:p>
            <w:pPr>
              <w:pBdr>
                <w:top w:val="nil"/>
                <w:left w:val="nil"/>
                <w:bottom w:val="nil"/>
                <w:right w:val="nil"/>
                <w:between w:val="nil"/>
              </w:pBdr>
              <w:ind w:right="51"/>
              <w:jc w:val="center"/>
              <w:rPr>
                <w:rFonts w:ascii="Verdana" w:eastAsia="Verdana" w:hAnsi="Verdana" w:cs="Arial"/>
                <w:b/>
                <w:color w:val="000000"/>
                <w:sz w:val="22"/>
                <w:szCs w:val="22"/>
              </w:rPr>
            </w:pPr>
            <w:r>
              <w:rPr>
                <w:rFonts w:ascii="Verdana" w:eastAsia="Verdana" w:hAnsi="Verdana" w:cs="Arial"/>
                <w:b/>
                <w:color w:val="000000"/>
                <w:sz w:val="22"/>
                <w:szCs w:val="22"/>
              </w:rPr>
              <w:t>Ejemplares</w:t>
            </w:r>
          </w:p>
        </w:tc>
      </w:tr>
      <w:tr>
        <w:trPr>
          <w:trHeight w:val="320"/>
        </w:trPr>
        <w:tc>
          <w:tcPr>
            <w:tcW w:w="2162" w:type="dxa"/>
            <w:vAlign w:val="center"/>
          </w:tcPr>
          <w:p>
            <w:pPr>
              <w:pBdr>
                <w:top w:val="nil"/>
                <w:left w:val="nil"/>
                <w:bottom w:val="nil"/>
                <w:right w:val="nil"/>
                <w:between w:val="nil"/>
              </w:pBdr>
              <w:ind w:right="51"/>
              <w:jc w:val="center"/>
              <w:rPr>
                <w:rFonts w:ascii="Verdana" w:eastAsia="Verdana" w:hAnsi="Verdana" w:cs="Arial"/>
                <w:color w:val="000000"/>
                <w:sz w:val="22"/>
                <w:szCs w:val="22"/>
              </w:rPr>
            </w:pPr>
            <w:r>
              <w:rPr>
                <w:rFonts w:ascii="Verdana" w:eastAsia="Verdana" w:hAnsi="Verdana" w:cs="Arial"/>
                <w:color w:val="000000"/>
                <w:sz w:val="22"/>
                <w:szCs w:val="22"/>
              </w:rPr>
              <w:t>Semental ovino</w:t>
            </w:r>
          </w:p>
        </w:tc>
        <w:tc>
          <w:tcPr>
            <w:tcW w:w="2321" w:type="dxa"/>
          </w:tcPr>
          <w:p>
            <w:pPr>
              <w:pBdr>
                <w:top w:val="nil"/>
                <w:left w:val="nil"/>
                <w:bottom w:val="nil"/>
                <w:right w:val="nil"/>
                <w:between w:val="nil"/>
              </w:pBdr>
              <w:ind w:right="51"/>
              <w:rPr>
                <w:rFonts w:ascii="Verdana" w:eastAsia="Verdana" w:hAnsi="Verdana" w:cs="Arial"/>
                <w:color w:val="000000"/>
                <w:sz w:val="22"/>
                <w:szCs w:val="22"/>
              </w:rPr>
            </w:pPr>
            <w:r>
              <w:rPr>
                <w:rFonts w:ascii="Verdana" w:eastAsia="Verdana" w:hAnsi="Verdana" w:cs="Arial"/>
                <w:color w:val="000000"/>
                <w:sz w:val="22"/>
                <w:szCs w:val="22"/>
              </w:rPr>
              <w:t xml:space="preserve">Hasta </w:t>
            </w:r>
            <w:r>
              <w:rPr>
                <w:rFonts w:ascii="Verdana" w:eastAsia="Verdana" w:hAnsi="Verdana" w:cs="Arial"/>
                <w:b/>
                <w:color w:val="000000"/>
                <w:sz w:val="22"/>
                <w:szCs w:val="22"/>
              </w:rPr>
              <w:t xml:space="preserve">$7,000.00 </w:t>
            </w:r>
            <w:r>
              <w:rPr>
                <w:rFonts w:ascii="Verdana" w:eastAsia="Verdana" w:hAnsi="Verdana" w:cs="Arial"/>
                <w:color w:val="000000"/>
                <w:sz w:val="22"/>
                <w:szCs w:val="22"/>
              </w:rPr>
              <w:t xml:space="preserve"> por solicitud</w:t>
            </w:r>
          </w:p>
        </w:tc>
        <w:tc>
          <w:tcPr>
            <w:tcW w:w="1790" w:type="dxa"/>
            <w:vAlign w:val="center"/>
          </w:tcPr>
          <w:p>
            <w:pPr>
              <w:pBdr>
                <w:top w:val="nil"/>
                <w:left w:val="nil"/>
                <w:bottom w:val="nil"/>
                <w:right w:val="nil"/>
                <w:between w:val="nil"/>
              </w:pBdr>
              <w:ind w:right="51"/>
              <w:jc w:val="center"/>
              <w:rPr>
                <w:rFonts w:ascii="Verdana" w:eastAsia="Verdana" w:hAnsi="Verdana" w:cs="Arial"/>
                <w:color w:val="000000"/>
                <w:sz w:val="22"/>
                <w:szCs w:val="22"/>
              </w:rPr>
            </w:pPr>
            <w:r>
              <w:rPr>
                <w:rFonts w:ascii="Verdana" w:eastAsia="Verdana" w:hAnsi="Verdana" w:cs="Arial"/>
                <w:color w:val="000000"/>
                <w:sz w:val="22"/>
                <w:szCs w:val="22"/>
              </w:rPr>
              <w:t>1</w:t>
            </w:r>
          </w:p>
        </w:tc>
      </w:tr>
      <w:tr>
        <w:trPr>
          <w:trHeight w:val="320"/>
        </w:trPr>
        <w:tc>
          <w:tcPr>
            <w:tcW w:w="2162" w:type="dxa"/>
            <w:vAlign w:val="center"/>
          </w:tcPr>
          <w:p>
            <w:pPr>
              <w:pBdr>
                <w:top w:val="nil"/>
                <w:left w:val="nil"/>
                <w:bottom w:val="nil"/>
                <w:right w:val="nil"/>
                <w:between w:val="nil"/>
              </w:pBdr>
              <w:ind w:right="51"/>
              <w:jc w:val="center"/>
              <w:rPr>
                <w:rFonts w:ascii="Verdana" w:eastAsia="Verdana" w:hAnsi="Verdana" w:cs="Arial"/>
                <w:color w:val="000000"/>
                <w:sz w:val="22"/>
                <w:szCs w:val="22"/>
              </w:rPr>
            </w:pPr>
            <w:r>
              <w:rPr>
                <w:rFonts w:ascii="Verdana" w:eastAsia="Verdana" w:hAnsi="Verdana" w:cs="Arial"/>
                <w:color w:val="000000"/>
                <w:sz w:val="22"/>
                <w:szCs w:val="22"/>
              </w:rPr>
              <w:t>Hembra ovino</w:t>
            </w:r>
          </w:p>
        </w:tc>
        <w:tc>
          <w:tcPr>
            <w:tcW w:w="2321" w:type="dxa"/>
          </w:tcPr>
          <w:p>
            <w:pPr>
              <w:pBdr>
                <w:top w:val="nil"/>
                <w:left w:val="nil"/>
                <w:bottom w:val="nil"/>
                <w:right w:val="nil"/>
                <w:between w:val="nil"/>
              </w:pBdr>
              <w:ind w:right="51"/>
              <w:rPr>
                <w:rFonts w:ascii="Verdana" w:eastAsia="Verdana" w:hAnsi="Verdana" w:cs="Arial"/>
                <w:color w:val="000000"/>
                <w:sz w:val="22"/>
                <w:szCs w:val="22"/>
              </w:rPr>
            </w:pPr>
            <w:r>
              <w:rPr>
                <w:rFonts w:ascii="Verdana" w:eastAsia="Verdana" w:hAnsi="Verdana" w:cs="Arial"/>
                <w:color w:val="000000"/>
                <w:sz w:val="22"/>
                <w:szCs w:val="22"/>
              </w:rPr>
              <w:t xml:space="preserve">Hasta </w:t>
            </w:r>
            <w:r>
              <w:rPr>
                <w:rFonts w:ascii="Verdana" w:eastAsia="Verdana" w:hAnsi="Verdana" w:cs="Arial"/>
                <w:b/>
                <w:color w:val="000000"/>
                <w:sz w:val="22"/>
                <w:szCs w:val="22"/>
              </w:rPr>
              <w:t xml:space="preserve">$8,000.00 </w:t>
            </w:r>
            <w:r>
              <w:rPr>
                <w:rFonts w:ascii="Verdana" w:eastAsia="Verdana" w:hAnsi="Verdana" w:cs="Arial"/>
                <w:color w:val="000000"/>
                <w:sz w:val="22"/>
                <w:szCs w:val="22"/>
              </w:rPr>
              <w:t xml:space="preserve"> por solicitud</w:t>
            </w:r>
          </w:p>
        </w:tc>
        <w:tc>
          <w:tcPr>
            <w:tcW w:w="1790" w:type="dxa"/>
            <w:vAlign w:val="center"/>
          </w:tcPr>
          <w:p>
            <w:pPr>
              <w:pBdr>
                <w:top w:val="nil"/>
                <w:left w:val="nil"/>
                <w:bottom w:val="nil"/>
                <w:right w:val="nil"/>
                <w:between w:val="nil"/>
              </w:pBdr>
              <w:ind w:right="51"/>
              <w:jc w:val="center"/>
              <w:rPr>
                <w:rFonts w:ascii="Verdana" w:eastAsia="Verdana" w:hAnsi="Verdana" w:cs="Arial"/>
                <w:color w:val="000000"/>
                <w:sz w:val="22"/>
                <w:szCs w:val="22"/>
              </w:rPr>
            </w:pPr>
            <w:r>
              <w:rPr>
                <w:rFonts w:ascii="Verdana" w:eastAsia="Verdana" w:hAnsi="Verdana" w:cs="Arial"/>
                <w:color w:val="000000"/>
                <w:sz w:val="22"/>
                <w:szCs w:val="22"/>
              </w:rPr>
              <w:t>2</w:t>
            </w:r>
          </w:p>
        </w:tc>
      </w:tr>
      <w:tr>
        <w:trPr>
          <w:trHeight w:val="380"/>
        </w:trPr>
        <w:tc>
          <w:tcPr>
            <w:tcW w:w="2162" w:type="dxa"/>
            <w:vAlign w:val="center"/>
          </w:tcPr>
          <w:p>
            <w:pPr>
              <w:pBdr>
                <w:top w:val="nil"/>
                <w:left w:val="nil"/>
                <w:bottom w:val="nil"/>
                <w:right w:val="nil"/>
                <w:between w:val="nil"/>
              </w:pBdr>
              <w:ind w:right="51"/>
              <w:jc w:val="center"/>
              <w:rPr>
                <w:rFonts w:ascii="Verdana" w:eastAsia="Verdana" w:hAnsi="Verdana" w:cs="Arial"/>
                <w:color w:val="000000"/>
                <w:sz w:val="22"/>
                <w:szCs w:val="22"/>
              </w:rPr>
            </w:pPr>
            <w:r>
              <w:rPr>
                <w:rFonts w:ascii="Verdana" w:eastAsia="Verdana" w:hAnsi="Verdana" w:cs="Arial"/>
                <w:color w:val="000000"/>
                <w:sz w:val="22"/>
                <w:szCs w:val="22"/>
              </w:rPr>
              <w:t>Semental caprino</w:t>
            </w:r>
          </w:p>
        </w:tc>
        <w:tc>
          <w:tcPr>
            <w:tcW w:w="2321" w:type="dxa"/>
          </w:tcPr>
          <w:p>
            <w:pPr>
              <w:pBdr>
                <w:top w:val="nil"/>
                <w:left w:val="nil"/>
                <w:bottom w:val="nil"/>
                <w:right w:val="nil"/>
                <w:between w:val="nil"/>
              </w:pBdr>
              <w:ind w:right="51"/>
              <w:rPr>
                <w:rFonts w:ascii="Verdana" w:eastAsia="Verdana" w:hAnsi="Verdana" w:cs="Arial"/>
                <w:color w:val="000000"/>
                <w:sz w:val="22"/>
                <w:szCs w:val="22"/>
              </w:rPr>
            </w:pPr>
            <w:r>
              <w:rPr>
                <w:rFonts w:ascii="Verdana" w:eastAsia="Verdana" w:hAnsi="Verdana" w:cs="Arial"/>
                <w:color w:val="000000"/>
                <w:sz w:val="22"/>
                <w:szCs w:val="22"/>
              </w:rPr>
              <w:t xml:space="preserve">Hasta </w:t>
            </w:r>
            <w:r>
              <w:rPr>
                <w:rFonts w:ascii="Verdana" w:eastAsia="Verdana" w:hAnsi="Verdana" w:cs="Arial"/>
                <w:b/>
                <w:color w:val="000000"/>
                <w:sz w:val="22"/>
                <w:szCs w:val="22"/>
              </w:rPr>
              <w:t xml:space="preserve">$6,000.00  </w:t>
            </w:r>
            <w:r>
              <w:rPr>
                <w:rFonts w:ascii="Verdana" w:eastAsia="Verdana" w:hAnsi="Verdana" w:cs="Arial"/>
                <w:color w:val="000000"/>
                <w:sz w:val="22"/>
                <w:szCs w:val="22"/>
              </w:rPr>
              <w:t xml:space="preserve">por solicitud </w:t>
            </w:r>
          </w:p>
        </w:tc>
        <w:tc>
          <w:tcPr>
            <w:tcW w:w="1790" w:type="dxa"/>
            <w:vAlign w:val="center"/>
          </w:tcPr>
          <w:p>
            <w:pPr>
              <w:pBdr>
                <w:top w:val="nil"/>
                <w:left w:val="nil"/>
                <w:bottom w:val="nil"/>
                <w:right w:val="nil"/>
                <w:between w:val="nil"/>
              </w:pBdr>
              <w:ind w:right="51"/>
              <w:jc w:val="center"/>
              <w:rPr>
                <w:rFonts w:ascii="Verdana" w:eastAsia="Verdana" w:hAnsi="Verdana" w:cs="Arial"/>
                <w:color w:val="000000"/>
                <w:sz w:val="22"/>
                <w:szCs w:val="22"/>
              </w:rPr>
            </w:pPr>
            <w:r>
              <w:rPr>
                <w:rFonts w:ascii="Verdana" w:eastAsia="Verdana" w:hAnsi="Verdana" w:cs="Arial"/>
                <w:color w:val="000000"/>
                <w:sz w:val="22"/>
                <w:szCs w:val="22"/>
              </w:rPr>
              <w:t>1</w:t>
            </w:r>
          </w:p>
        </w:tc>
      </w:tr>
      <w:tr>
        <w:trPr>
          <w:trHeight w:val="380"/>
        </w:trPr>
        <w:tc>
          <w:tcPr>
            <w:tcW w:w="2162" w:type="dxa"/>
            <w:vAlign w:val="center"/>
          </w:tcPr>
          <w:p>
            <w:pPr>
              <w:pBdr>
                <w:top w:val="nil"/>
                <w:left w:val="nil"/>
                <w:bottom w:val="nil"/>
                <w:right w:val="nil"/>
                <w:between w:val="nil"/>
              </w:pBdr>
              <w:ind w:right="51"/>
              <w:jc w:val="center"/>
              <w:rPr>
                <w:rFonts w:ascii="Verdana" w:eastAsia="Verdana" w:hAnsi="Verdana" w:cs="Arial"/>
                <w:color w:val="000000"/>
                <w:sz w:val="22"/>
                <w:szCs w:val="22"/>
              </w:rPr>
            </w:pPr>
            <w:r>
              <w:rPr>
                <w:rFonts w:ascii="Verdana" w:eastAsia="Verdana" w:hAnsi="Verdana" w:cs="Arial"/>
                <w:color w:val="000000"/>
                <w:sz w:val="22"/>
                <w:szCs w:val="22"/>
              </w:rPr>
              <w:t>Hembra caprino</w:t>
            </w:r>
          </w:p>
        </w:tc>
        <w:tc>
          <w:tcPr>
            <w:tcW w:w="2321" w:type="dxa"/>
          </w:tcPr>
          <w:p>
            <w:pPr>
              <w:pBdr>
                <w:top w:val="nil"/>
                <w:left w:val="nil"/>
                <w:bottom w:val="nil"/>
                <w:right w:val="nil"/>
                <w:between w:val="nil"/>
              </w:pBdr>
              <w:ind w:right="51"/>
              <w:rPr>
                <w:rFonts w:ascii="Verdana" w:eastAsia="Verdana" w:hAnsi="Verdana" w:cs="Arial"/>
                <w:color w:val="000000"/>
                <w:sz w:val="22"/>
                <w:szCs w:val="22"/>
              </w:rPr>
            </w:pPr>
            <w:r>
              <w:rPr>
                <w:rFonts w:ascii="Verdana" w:eastAsia="Verdana" w:hAnsi="Verdana" w:cs="Arial"/>
                <w:color w:val="000000"/>
                <w:sz w:val="22"/>
                <w:szCs w:val="22"/>
              </w:rPr>
              <w:t xml:space="preserve">Hasta </w:t>
            </w:r>
            <w:r>
              <w:rPr>
                <w:rFonts w:ascii="Verdana" w:eastAsia="Verdana" w:hAnsi="Verdana" w:cs="Arial"/>
                <w:b/>
                <w:color w:val="000000"/>
                <w:sz w:val="22"/>
                <w:szCs w:val="22"/>
              </w:rPr>
              <w:t xml:space="preserve">$8,000.00 </w:t>
            </w:r>
            <w:r>
              <w:rPr>
                <w:rFonts w:ascii="Verdana" w:eastAsia="Verdana" w:hAnsi="Verdana" w:cs="Arial"/>
                <w:color w:val="000000"/>
                <w:sz w:val="22"/>
                <w:szCs w:val="22"/>
              </w:rPr>
              <w:t xml:space="preserve"> por solicitud</w:t>
            </w:r>
          </w:p>
        </w:tc>
        <w:tc>
          <w:tcPr>
            <w:tcW w:w="1790" w:type="dxa"/>
            <w:vAlign w:val="center"/>
          </w:tcPr>
          <w:p>
            <w:pPr>
              <w:pBdr>
                <w:top w:val="nil"/>
                <w:left w:val="nil"/>
                <w:bottom w:val="nil"/>
                <w:right w:val="nil"/>
                <w:between w:val="nil"/>
              </w:pBdr>
              <w:ind w:right="51"/>
              <w:jc w:val="center"/>
              <w:rPr>
                <w:rFonts w:ascii="Verdana" w:eastAsia="Verdana" w:hAnsi="Verdana" w:cs="Arial"/>
                <w:color w:val="000000"/>
                <w:sz w:val="22"/>
                <w:szCs w:val="22"/>
              </w:rPr>
            </w:pPr>
            <w:r>
              <w:rPr>
                <w:rFonts w:ascii="Verdana" w:eastAsia="Verdana" w:hAnsi="Verdana" w:cs="Arial"/>
                <w:color w:val="000000"/>
                <w:sz w:val="22"/>
                <w:szCs w:val="22"/>
              </w:rPr>
              <w:t>2</w:t>
            </w:r>
          </w:p>
        </w:tc>
      </w:tr>
      <w:tr>
        <w:trPr>
          <w:trHeight w:val="380"/>
        </w:trPr>
        <w:tc>
          <w:tcPr>
            <w:tcW w:w="2162" w:type="dxa"/>
            <w:vAlign w:val="center"/>
          </w:tcPr>
          <w:p>
            <w:pPr>
              <w:pBdr>
                <w:top w:val="nil"/>
                <w:left w:val="nil"/>
                <w:bottom w:val="nil"/>
                <w:right w:val="nil"/>
                <w:between w:val="nil"/>
              </w:pBdr>
              <w:ind w:right="51"/>
              <w:jc w:val="center"/>
              <w:rPr>
                <w:rFonts w:ascii="Verdana" w:eastAsia="Verdana" w:hAnsi="Verdana" w:cs="Arial"/>
                <w:color w:val="000000"/>
                <w:sz w:val="22"/>
                <w:szCs w:val="22"/>
              </w:rPr>
            </w:pPr>
            <w:r>
              <w:rPr>
                <w:rFonts w:ascii="Verdana" w:eastAsia="Verdana" w:hAnsi="Verdana" w:cs="Arial"/>
                <w:color w:val="000000"/>
                <w:sz w:val="22"/>
                <w:szCs w:val="22"/>
              </w:rPr>
              <w:t>Hembra bovino</w:t>
            </w:r>
          </w:p>
        </w:tc>
        <w:tc>
          <w:tcPr>
            <w:tcW w:w="2321" w:type="dxa"/>
          </w:tcPr>
          <w:p>
            <w:pPr>
              <w:pBdr>
                <w:top w:val="nil"/>
                <w:left w:val="nil"/>
                <w:bottom w:val="nil"/>
                <w:right w:val="nil"/>
                <w:between w:val="nil"/>
              </w:pBdr>
              <w:ind w:right="51"/>
              <w:rPr>
                <w:rFonts w:ascii="Verdana" w:eastAsia="Verdana" w:hAnsi="Verdana" w:cs="Arial"/>
                <w:color w:val="000000"/>
                <w:sz w:val="22"/>
                <w:szCs w:val="22"/>
              </w:rPr>
            </w:pPr>
            <w:r>
              <w:rPr>
                <w:rFonts w:ascii="Verdana" w:eastAsia="Verdana" w:hAnsi="Verdana" w:cs="Arial"/>
                <w:color w:val="000000"/>
                <w:sz w:val="22"/>
                <w:szCs w:val="22"/>
              </w:rPr>
              <w:t xml:space="preserve">Hasta </w:t>
            </w:r>
            <w:r>
              <w:rPr>
                <w:rFonts w:ascii="Verdana" w:eastAsia="Verdana" w:hAnsi="Verdana" w:cs="Arial"/>
                <w:b/>
                <w:color w:val="000000"/>
                <w:sz w:val="22"/>
                <w:szCs w:val="22"/>
              </w:rPr>
              <w:t xml:space="preserve">$10,000.00 </w:t>
            </w:r>
            <w:r>
              <w:rPr>
                <w:rFonts w:ascii="Verdana" w:eastAsia="Verdana" w:hAnsi="Verdana" w:cs="Arial"/>
                <w:color w:val="000000"/>
                <w:sz w:val="22"/>
                <w:szCs w:val="22"/>
              </w:rPr>
              <w:t xml:space="preserve"> por solicitud</w:t>
            </w:r>
          </w:p>
        </w:tc>
        <w:tc>
          <w:tcPr>
            <w:tcW w:w="1790" w:type="dxa"/>
            <w:vAlign w:val="center"/>
          </w:tcPr>
          <w:p>
            <w:pPr>
              <w:pBdr>
                <w:top w:val="nil"/>
                <w:left w:val="nil"/>
                <w:bottom w:val="nil"/>
                <w:right w:val="nil"/>
                <w:between w:val="nil"/>
              </w:pBdr>
              <w:ind w:right="51"/>
              <w:jc w:val="center"/>
              <w:rPr>
                <w:rFonts w:ascii="Verdana" w:eastAsia="Verdana" w:hAnsi="Verdana" w:cs="Arial"/>
                <w:color w:val="000000"/>
                <w:sz w:val="22"/>
                <w:szCs w:val="22"/>
              </w:rPr>
            </w:pPr>
            <w:r>
              <w:rPr>
                <w:rFonts w:ascii="Verdana" w:eastAsia="Verdana" w:hAnsi="Verdana" w:cs="Arial"/>
                <w:color w:val="000000"/>
                <w:sz w:val="22"/>
                <w:szCs w:val="22"/>
              </w:rPr>
              <w:t>1</w:t>
            </w:r>
          </w:p>
        </w:tc>
      </w:tr>
    </w:tbl>
    <w:p>
      <w:pPr>
        <w:pBdr>
          <w:top w:val="nil"/>
          <w:left w:val="nil"/>
          <w:bottom w:val="nil"/>
          <w:right w:val="nil"/>
          <w:between w:val="nil"/>
        </w:pBdr>
        <w:ind w:right="51"/>
        <w:rPr>
          <w:rFonts w:ascii="Verdana" w:eastAsia="Verdana" w:hAnsi="Verdana" w:cs="Arial"/>
          <w:b/>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b/>
          <w:color w:val="000000"/>
          <w:sz w:val="22"/>
          <w:szCs w:val="22"/>
        </w:rPr>
        <w:t>2.4.3</w:t>
      </w:r>
      <w:r>
        <w:rPr>
          <w:rFonts w:ascii="Verdana" w:eastAsia="Verdana" w:hAnsi="Verdana" w:cs="Arial"/>
          <w:color w:val="000000"/>
          <w:sz w:val="22"/>
          <w:szCs w:val="22"/>
        </w:rPr>
        <w:t xml:space="preserve">. En la modalidad de adquisición de semovientes, los recursos sólo serán entregados  en una sola ocasión durante el ejercicio fiscal,  mientras que para </w:t>
      </w:r>
      <w:r>
        <w:rPr>
          <w:rFonts w:ascii="Verdana" w:eastAsia="Verdana" w:hAnsi="Verdana" w:cs="Arial"/>
          <w:color w:val="000000"/>
          <w:sz w:val="22"/>
          <w:szCs w:val="22"/>
        </w:rPr>
        <w:lastRenderedPageBreak/>
        <w:t>indemnización el apoyo se podrá requerir conforme se identifiquen y sacrifique los animales infectados hasta agotar el recurso del Programa.</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b/>
          <w:color w:val="000000"/>
          <w:sz w:val="22"/>
          <w:szCs w:val="22"/>
        </w:rPr>
        <w:t>2.4.4</w:t>
      </w:r>
      <w:r>
        <w:rPr>
          <w:rFonts w:ascii="Verdana" w:eastAsia="Verdana" w:hAnsi="Verdana" w:cs="Arial"/>
          <w:color w:val="000000"/>
          <w:sz w:val="22"/>
          <w:szCs w:val="22"/>
        </w:rPr>
        <w:t>. Los apoyos se entregarán conforme se ingresen las solicitudes, sin embargo el Comité de Dictaminación y Evaluación procurará una mayor distribución de los apoyos entre los productores; siendo prioridad la modalidad de indemnización.</w:t>
      </w:r>
    </w:p>
    <w:p>
      <w:pPr>
        <w:pBdr>
          <w:top w:val="nil"/>
          <w:left w:val="nil"/>
          <w:bottom w:val="nil"/>
          <w:right w:val="nil"/>
          <w:between w:val="nil"/>
        </w:pBdr>
        <w:ind w:right="51"/>
        <w:rPr>
          <w:rFonts w:ascii="Verdana" w:eastAsia="Verdana" w:hAnsi="Verdana" w:cs="Arial"/>
          <w:b/>
          <w:sz w:val="22"/>
          <w:szCs w:val="22"/>
        </w:rPr>
      </w:pPr>
    </w:p>
    <w:p>
      <w:pPr>
        <w:ind w:right="51"/>
        <w:jc w:val="both"/>
        <w:rPr>
          <w:rFonts w:ascii="Verdana" w:eastAsia="Verdana" w:hAnsi="Verdana" w:cs="Arial"/>
          <w:sz w:val="22"/>
          <w:szCs w:val="22"/>
        </w:rPr>
      </w:pPr>
      <w:r>
        <w:rPr>
          <w:rFonts w:ascii="Verdana" w:eastAsia="Verdana" w:hAnsi="Verdana" w:cs="Arial"/>
          <w:b/>
          <w:sz w:val="22"/>
          <w:szCs w:val="22"/>
        </w:rPr>
        <w:t xml:space="preserve">2.4.5. Presupuesto.- </w:t>
      </w:r>
      <w:r>
        <w:rPr>
          <w:rFonts w:ascii="Verdana" w:eastAsia="Verdana" w:hAnsi="Verdana" w:cs="Arial"/>
          <w:sz w:val="22"/>
          <w:szCs w:val="22"/>
        </w:rPr>
        <w:t>El presente Programa cuenta con recursos a fondo perdido por un monto total de $400,000.00 (Cuatrocientos mil pesos 00/100 moneda nacional), asignado en la partida 4311, proyecto 105, “Subsidios a la producción” del Presupuesto de Egresos del Municipio de Tlajomulco de Zúñiga, para el Ejercicio Fiscal de año 2019.</w:t>
      </w:r>
    </w:p>
    <w:p>
      <w:pPr>
        <w:pBdr>
          <w:top w:val="nil"/>
          <w:left w:val="nil"/>
          <w:bottom w:val="nil"/>
          <w:right w:val="nil"/>
          <w:between w:val="nil"/>
        </w:pBdr>
        <w:ind w:right="51"/>
        <w:rPr>
          <w:rFonts w:ascii="Verdana" w:eastAsia="Verdana" w:hAnsi="Verdana" w:cs="Arial"/>
          <w:b/>
          <w:sz w:val="22"/>
          <w:szCs w:val="22"/>
        </w:rPr>
      </w:pPr>
    </w:p>
    <w:p>
      <w:pPr>
        <w:pBdr>
          <w:top w:val="nil"/>
          <w:left w:val="nil"/>
          <w:bottom w:val="nil"/>
          <w:right w:val="nil"/>
          <w:between w:val="nil"/>
        </w:pBdr>
        <w:ind w:right="51"/>
        <w:rPr>
          <w:rFonts w:ascii="Verdana" w:eastAsia="Verdana" w:hAnsi="Verdana" w:cs="Arial"/>
          <w:b/>
          <w:color w:val="000000"/>
          <w:sz w:val="22"/>
          <w:szCs w:val="22"/>
        </w:rPr>
      </w:pPr>
      <w:r>
        <w:rPr>
          <w:rFonts w:ascii="Verdana" w:eastAsia="Verdana" w:hAnsi="Verdana" w:cs="Arial"/>
          <w:b/>
          <w:sz w:val="22"/>
          <w:szCs w:val="22"/>
        </w:rPr>
        <w:t xml:space="preserve">2.5. </w:t>
      </w:r>
      <w:r>
        <w:rPr>
          <w:rFonts w:ascii="Verdana" w:eastAsia="Verdana" w:hAnsi="Verdana" w:cs="Arial"/>
          <w:b/>
          <w:color w:val="000000"/>
          <w:sz w:val="22"/>
          <w:szCs w:val="22"/>
        </w:rPr>
        <w:t>BENEFICIARIOS:</w:t>
      </w:r>
    </w:p>
    <w:p>
      <w:pPr>
        <w:pBdr>
          <w:top w:val="nil"/>
          <w:left w:val="nil"/>
          <w:bottom w:val="nil"/>
          <w:right w:val="nil"/>
          <w:between w:val="nil"/>
        </w:pBdr>
        <w:ind w:right="51"/>
        <w:rPr>
          <w:rFonts w:ascii="Verdana" w:eastAsia="Verdana" w:hAnsi="Verdana" w:cs="Arial"/>
          <w:b/>
          <w:color w:val="000000"/>
          <w:sz w:val="22"/>
          <w:szCs w:val="22"/>
        </w:rPr>
      </w:pPr>
    </w:p>
    <w:p>
      <w:pPr>
        <w:pBdr>
          <w:top w:val="nil"/>
          <w:left w:val="nil"/>
          <w:bottom w:val="nil"/>
          <w:right w:val="nil"/>
          <w:between w:val="nil"/>
        </w:pBdr>
        <w:ind w:right="51"/>
        <w:rPr>
          <w:rFonts w:ascii="Verdana" w:eastAsia="Verdana" w:hAnsi="Verdana" w:cs="Arial"/>
          <w:b/>
          <w:color w:val="000000"/>
          <w:sz w:val="22"/>
          <w:szCs w:val="22"/>
        </w:rPr>
      </w:pPr>
      <w:r>
        <w:rPr>
          <w:rFonts w:ascii="Verdana" w:eastAsia="Verdana" w:hAnsi="Verdana" w:cs="Arial"/>
          <w:b/>
          <w:color w:val="000000"/>
          <w:sz w:val="22"/>
          <w:szCs w:val="22"/>
        </w:rPr>
        <w:t>2.5.1. Requisitos:</w:t>
      </w:r>
    </w:p>
    <w:p>
      <w:pPr>
        <w:pBdr>
          <w:top w:val="nil"/>
          <w:left w:val="nil"/>
          <w:bottom w:val="nil"/>
          <w:right w:val="nil"/>
          <w:between w:val="nil"/>
        </w:pBdr>
        <w:ind w:right="51" w:firstLine="709"/>
        <w:jc w:val="both"/>
        <w:rPr>
          <w:rFonts w:ascii="Verdana" w:eastAsia="Verdana" w:hAnsi="Verdana" w:cs="Arial"/>
          <w:color w:val="000000"/>
          <w:sz w:val="22"/>
          <w:szCs w:val="22"/>
        </w:rPr>
      </w:pPr>
    </w:p>
    <w:p>
      <w:pPr>
        <w:numPr>
          <w:ilvl w:val="0"/>
          <w:numId w:val="17"/>
        </w:numPr>
        <w:pBdr>
          <w:top w:val="nil"/>
          <w:left w:val="nil"/>
          <w:bottom w:val="nil"/>
          <w:right w:val="nil"/>
          <w:between w:val="nil"/>
        </w:pBdr>
        <w:tabs>
          <w:tab w:val="left" w:pos="708"/>
        </w:tabs>
        <w:suppressAutoHyphens w:val="0"/>
        <w:spacing w:line="276" w:lineRule="auto"/>
        <w:ind w:right="51"/>
        <w:jc w:val="both"/>
        <w:rPr>
          <w:rFonts w:ascii="Verdana" w:eastAsia="Verdana" w:hAnsi="Verdana" w:cs="Arial"/>
          <w:color w:val="000000"/>
          <w:sz w:val="22"/>
          <w:szCs w:val="22"/>
        </w:rPr>
      </w:pPr>
      <w:r>
        <w:rPr>
          <w:rFonts w:ascii="Verdana" w:eastAsia="Verdana" w:hAnsi="Verdana" w:cs="Arial"/>
          <w:color w:val="000000"/>
          <w:sz w:val="22"/>
          <w:szCs w:val="22"/>
        </w:rPr>
        <w:t xml:space="preserve">Solicitud en formato oficial que determine la Dirección  General de Desarrollo Rural firmada, donde indiquen el apoyo que requiere. </w:t>
      </w:r>
    </w:p>
    <w:p>
      <w:pPr>
        <w:numPr>
          <w:ilvl w:val="0"/>
          <w:numId w:val="17"/>
        </w:numPr>
        <w:pBdr>
          <w:top w:val="nil"/>
          <w:left w:val="nil"/>
          <w:bottom w:val="nil"/>
          <w:right w:val="nil"/>
          <w:between w:val="nil"/>
        </w:pBdr>
        <w:tabs>
          <w:tab w:val="left" w:pos="708"/>
        </w:tabs>
        <w:suppressAutoHyphens w:val="0"/>
        <w:spacing w:line="276" w:lineRule="auto"/>
        <w:ind w:right="51"/>
        <w:jc w:val="both"/>
        <w:rPr>
          <w:rFonts w:ascii="Verdana" w:eastAsia="Verdana" w:hAnsi="Verdana" w:cs="Arial"/>
          <w:color w:val="000000"/>
          <w:sz w:val="22"/>
          <w:szCs w:val="22"/>
        </w:rPr>
      </w:pPr>
      <w:r>
        <w:rPr>
          <w:rFonts w:ascii="Verdana" w:eastAsia="Verdana" w:hAnsi="Verdana" w:cs="Arial"/>
          <w:color w:val="000000"/>
          <w:sz w:val="22"/>
          <w:szCs w:val="22"/>
        </w:rPr>
        <w:t xml:space="preserve">Copia de identificación oficial de la o el productor. </w:t>
      </w:r>
    </w:p>
    <w:p>
      <w:pPr>
        <w:pBdr>
          <w:top w:val="nil"/>
          <w:left w:val="nil"/>
          <w:bottom w:val="nil"/>
          <w:right w:val="nil"/>
          <w:between w:val="nil"/>
        </w:pBdr>
        <w:ind w:right="51" w:firstLine="709"/>
        <w:jc w:val="both"/>
        <w:rPr>
          <w:rFonts w:ascii="Verdana" w:eastAsia="Verdana" w:hAnsi="Verdana" w:cs="Arial"/>
          <w:sz w:val="22"/>
          <w:szCs w:val="22"/>
        </w:rPr>
      </w:pPr>
    </w:p>
    <w:p>
      <w:pPr>
        <w:pBdr>
          <w:top w:val="nil"/>
          <w:left w:val="nil"/>
          <w:bottom w:val="nil"/>
          <w:right w:val="nil"/>
          <w:between w:val="nil"/>
        </w:pBdr>
        <w:ind w:right="51"/>
        <w:jc w:val="both"/>
        <w:rPr>
          <w:rFonts w:ascii="Verdana" w:eastAsia="Verdana" w:hAnsi="Verdana" w:cs="Arial"/>
          <w:b/>
          <w:color w:val="000000"/>
          <w:sz w:val="22"/>
          <w:szCs w:val="22"/>
        </w:rPr>
      </w:pPr>
      <w:r>
        <w:rPr>
          <w:rFonts w:ascii="Verdana" w:eastAsia="Verdana" w:hAnsi="Verdana" w:cs="Arial"/>
          <w:b/>
          <w:sz w:val="22"/>
          <w:szCs w:val="22"/>
        </w:rPr>
        <w:t xml:space="preserve">2.5.1.1 </w:t>
      </w:r>
      <w:r>
        <w:rPr>
          <w:rFonts w:ascii="Verdana" w:eastAsia="Verdana" w:hAnsi="Verdana" w:cs="Arial"/>
          <w:b/>
          <w:color w:val="000000"/>
          <w:sz w:val="22"/>
          <w:szCs w:val="22"/>
        </w:rPr>
        <w:t>En el caso de indemnización, incluir:</w:t>
      </w:r>
    </w:p>
    <w:p>
      <w:pPr>
        <w:pBdr>
          <w:top w:val="nil"/>
          <w:left w:val="nil"/>
          <w:bottom w:val="nil"/>
          <w:right w:val="nil"/>
          <w:between w:val="nil"/>
        </w:pBdr>
        <w:ind w:right="51"/>
        <w:jc w:val="both"/>
        <w:rPr>
          <w:rFonts w:ascii="Verdana" w:eastAsia="Verdana" w:hAnsi="Verdana" w:cs="Arial"/>
          <w:b/>
          <w:color w:val="000000"/>
          <w:sz w:val="22"/>
          <w:szCs w:val="22"/>
        </w:rPr>
      </w:pPr>
    </w:p>
    <w:p>
      <w:pPr>
        <w:numPr>
          <w:ilvl w:val="0"/>
          <w:numId w:val="18"/>
        </w:numPr>
        <w:pBdr>
          <w:top w:val="nil"/>
          <w:left w:val="nil"/>
          <w:bottom w:val="nil"/>
          <w:right w:val="nil"/>
          <w:between w:val="nil"/>
        </w:pBdr>
        <w:tabs>
          <w:tab w:val="left" w:pos="708"/>
        </w:tabs>
        <w:suppressAutoHyphens w:val="0"/>
        <w:spacing w:line="276" w:lineRule="auto"/>
        <w:ind w:left="709" w:right="51" w:hanging="425"/>
        <w:jc w:val="both"/>
        <w:rPr>
          <w:rFonts w:ascii="Verdana" w:eastAsia="Verdana" w:hAnsi="Verdana" w:cs="Arial"/>
          <w:color w:val="000000"/>
          <w:sz w:val="22"/>
          <w:szCs w:val="22"/>
        </w:rPr>
      </w:pPr>
      <w:r>
        <w:rPr>
          <w:rFonts w:ascii="Verdana" w:eastAsia="Verdana" w:hAnsi="Verdana" w:cs="Arial"/>
          <w:color w:val="000000"/>
          <w:sz w:val="22"/>
          <w:szCs w:val="22"/>
        </w:rPr>
        <w:t xml:space="preserve">Copia de los dictámenes de </w:t>
      </w:r>
      <w:proofErr w:type="spellStart"/>
      <w:r>
        <w:rPr>
          <w:rFonts w:ascii="Verdana" w:eastAsia="Verdana" w:hAnsi="Verdana" w:cs="Arial"/>
          <w:color w:val="000000"/>
          <w:sz w:val="22"/>
          <w:szCs w:val="22"/>
        </w:rPr>
        <w:t>brucella</w:t>
      </w:r>
      <w:proofErr w:type="spellEnd"/>
      <w:r>
        <w:rPr>
          <w:rFonts w:ascii="Verdana" w:eastAsia="Verdana" w:hAnsi="Verdana" w:cs="Arial"/>
          <w:color w:val="000000"/>
          <w:sz w:val="22"/>
          <w:szCs w:val="22"/>
        </w:rPr>
        <w:t xml:space="preserve"> y/o tuberculosis emitidos por los médicos autorizados por el Municipio, donde se señalen los animales reactores positivos.</w:t>
      </w:r>
    </w:p>
    <w:p>
      <w:pPr>
        <w:numPr>
          <w:ilvl w:val="0"/>
          <w:numId w:val="18"/>
        </w:numPr>
        <w:pBdr>
          <w:top w:val="nil"/>
          <w:left w:val="nil"/>
          <w:bottom w:val="nil"/>
          <w:right w:val="nil"/>
          <w:between w:val="nil"/>
        </w:pBdr>
        <w:tabs>
          <w:tab w:val="left" w:pos="708"/>
        </w:tabs>
        <w:suppressAutoHyphens w:val="0"/>
        <w:spacing w:line="276" w:lineRule="auto"/>
        <w:ind w:left="709" w:right="51" w:hanging="425"/>
        <w:jc w:val="both"/>
        <w:rPr>
          <w:rFonts w:ascii="Verdana" w:eastAsia="Verdana" w:hAnsi="Verdana" w:cs="Arial"/>
          <w:color w:val="000000"/>
          <w:sz w:val="22"/>
          <w:szCs w:val="22"/>
        </w:rPr>
      </w:pPr>
      <w:r>
        <w:rPr>
          <w:rFonts w:ascii="Verdana" w:eastAsia="Verdana" w:hAnsi="Verdana" w:cs="Arial"/>
          <w:color w:val="000000"/>
          <w:sz w:val="22"/>
          <w:szCs w:val="22"/>
        </w:rPr>
        <w:t>Factura original a nombre del Municipio.</w:t>
      </w:r>
    </w:p>
    <w:p>
      <w:pPr>
        <w:numPr>
          <w:ilvl w:val="0"/>
          <w:numId w:val="18"/>
        </w:numPr>
        <w:pBdr>
          <w:top w:val="nil"/>
          <w:left w:val="nil"/>
          <w:bottom w:val="nil"/>
          <w:right w:val="nil"/>
          <w:between w:val="nil"/>
        </w:pBdr>
        <w:tabs>
          <w:tab w:val="left" w:pos="708"/>
        </w:tabs>
        <w:suppressAutoHyphens w:val="0"/>
        <w:spacing w:line="276" w:lineRule="auto"/>
        <w:ind w:left="709" w:right="51" w:hanging="425"/>
        <w:jc w:val="both"/>
        <w:rPr>
          <w:rFonts w:ascii="Verdana" w:eastAsia="Verdana" w:hAnsi="Verdana" w:cs="Arial"/>
          <w:color w:val="000000"/>
          <w:sz w:val="22"/>
          <w:szCs w:val="22"/>
        </w:rPr>
      </w:pPr>
      <w:r>
        <w:rPr>
          <w:rFonts w:ascii="Verdana" w:eastAsia="Verdana" w:hAnsi="Verdana" w:cs="Arial"/>
          <w:color w:val="000000"/>
          <w:sz w:val="22"/>
          <w:szCs w:val="22"/>
        </w:rPr>
        <w:t>Copia de Guía de tránsito que indique el rastro al que se envió.</w:t>
      </w:r>
    </w:p>
    <w:p>
      <w:pPr>
        <w:numPr>
          <w:ilvl w:val="0"/>
          <w:numId w:val="18"/>
        </w:numPr>
        <w:pBdr>
          <w:top w:val="nil"/>
          <w:left w:val="nil"/>
          <w:bottom w:val="nil"/>
          <w:right w:val="nil"/>
          <w:between w:val="nil"/>
        </w:pBdr>
        <w:tabs>
          <w:tab w:val="left" w:pos="708"/>
        </w:tabs>
        <w:suppressAutoHyphens w:val="0"/>
        <w:spacing w:line="276" w:lineRule="auto"/>
        <w:ind w:left="709" w:right="51" w:hanging="425"/>
        <w:jc w:val="both"/>
        <w:rPr>
          <w:rFonts w:ascii="Verdana" w:eastAsia="Verdana" w:hAnsi="Verdana" w:cs="Arial"/>
          <w:color w:val="000000"/>
          <w:sz w:val="22"/>
          <w:szCs w:val="22"/>
        </w:rPr>
      </w:pPr>
      <w:r>
        <w:rPr>
          <w:rFonts w:ascii="Verdana" w:eastAsia="Verdana" w:hAnsi="Verdana" w:cs="Arial"/>
          <w:color w:val="000000"/>
          <w:sz w:val="22"/>
          <w:szCs w:val="22"/>
        </w:rPr>
        <w:t>Copia de orden de sacrificio expedida por el Rastro donde se realizó el sacrificio (en casos de tuberculosis, el sacrificio sólo se realizará en el Rastro Municipal de Tlajomulco).</w:t>
      </w:r>
    </w:p>
    <w:p>
      <w:pPr>
        <w:numPr>
          <w:ilvl w:val="0"/>
          <w:numId w:val="18"/>
        </w:numPr>
        <w:pBdr>
          <w:top w:val="nil"/>
          <w:left w:val="nil"/>
          <w:bottom w:val="nil"/>
          <w:right w:val="nil"/>
          <w:between w:val="nil"/>
        </w:pBdr>
        <w:tabs>
          <w:tab w:val="left" w:pos="708"/>
        </w:tabs>
        <w:suppressAutoHyphens w:val="0"/>
        <w:spacing w:line="276" w:lineRule="auto"/>
        <w:ind w:left="709" w:right="51" w:hanging="425"/>
        <w:jc w:val="both"/>
        <w:rPr>
          <w:rFonts w:ascii="Verdana" w:eastAsia="Verdana" w:hAnsi="Verdana" w:cs="Arial"/>
          <w:color w:val="000000"/>
          <w:sz w:val="22"/>
          <w:szCs w:val="22"/>
        </w:rPr>
      </w:pPr>
      <w:r>
        <w:rPr>
          <w:rFonts w:ascii="Verdana" w:eastAsia="Verdana" w:hAnsi="Verdana" w:cs="Arial"/>
          <w:color w:val="000000"/>
          <w:sz w:val="22"/>
          <w:szCs w:val="22"/>
        </w:rPr>
        <w:t>Constancia de sacrificio expedida por el Médico Veterinario responsable de la inspección en el Rastro del Municipio, señalando número de arete y figura de herrar.</w:t>
      </w:r>
    </w:p>
    <w:p>
      <w:pPr>
        <w:numPr>
          <w:ilvl w:val="0"/>
          <w:numId w:val="18"/>
        </w:numPr>
        <w:pBdr>
          <w:top w:val="nil"/>
          <w:left w:val="nil"/>
          <w:bottom w:val="nil"/>
          <w:right w:val="nil"/>
          <w:between w:val="nil"/>
        </w:pBdr>
        <w:tabs>
          <w:tab w:val="left" w:pos="708"/>
        </w:tabs>
        <w:suppressAutoHyphens w:val="0"/>
        <w:spacing w:line="276" w:lineRule="auto"/>
        <w:ind w:left="709" w:right="51" w:hanging="425"/>
        <w:jc w:val="both"/>
        <w:rPr>
          <w:rFonts w:ascii="Verdana" w:eastAsia="Verdana" w:hAnsi="Verdana" w:cs="Arial"/>
          <w:color w:val="000000"/>
          <w:sz w:val="22"/>
          <w:szCs w:val="22"/>
        </w:rPr>
      </w:pPr>
      <w:r>
        <w:rPr>
          <w:rFonts w:ascii="Verdana" w:eastAsia="Verdana" w:hAnsi="Verdana" w:cs="Arial"/>
          <w:color w:val="000000"/>
          <w:sz w:val="22"/>
          <w:szCs w:val="22"/>
        </w:rPr>
        <w:t xml:space="preserve">Para animales positivos a </w:t>
      </w:r>
      <w:proofErr w:type="spellStart"/>
      <w:r>
        <w:rPr>
          <w:rFonts w:ascii="Verdana" w:eastAsia="Verdana" w:hAnsi="Verdana" w:cs="Arial"/>
          <w:color w:val="000000"/>
          <w:sz w:val="22"/>
          <w:szCs w:val="22"/>
        </w:rPr>
        <w:t>brucella</w:t>
      </w:r>
      <w:proofErr w:type="spellEnd"/>
      <w:r>
        <w:rPr>
          <w:rFonts w:ascii="Verdana" w:eastAsia="Verdana" w:hAnsi="Verdana" w:cs="Arial"/>
          <w:color w:val="000000"/>
          <w:sz w:val="22"/>
          <w:szCs w:val="22"/>
        </w:rPr>
        <w:t>, la constancia de sacrificio puede llevar el nombre de la persona que compra la canal, por lo que deberá anexar copia de la factura del comprador.</w:t>
      </w:r>
    </w:p>
    <w:p>
      <w:pPr>
        <w:pBdr>
          <w:top w:val="nil"/>
          <w:left w:val="nil"/>
          <w:bottom w:val="nil"/>
          <w:right w:val="nil"/>
          <w:between w:val="nil"/>
        </w:pBdr>
        <w:ind w:right="51"/>
        <w:rPr>
          <w:rFonts w:ascii="Verdana" w:eastAsia="Verdana" w:hAnsi="Verdana" w:cs="Arial"/>
          <w:color w:val="000000"/>
          <w:sz w:val="22"/>
          <w:szCs w:val="22"/>
        </w:rPr>
      </w:pPr>
    </w:p>
    <w:p>
      <w:pPr>
        <w:pBdr>
          <w:top w:val="nil"/>
          <w:left w:val="nil"/>
          <w:bottom w:val="nil"/>
          <w:right w:val="nil"/>
          <w:between w:val="nil"/>
        </w:pBdr>
        <w:ind w:right="51"/>
        <w:rPr>
          <w:rFonts w:ascii="Verdana" w:eastAsia="Verdana" w:hAnsi="Verdana" w:cs="Arial"/>
          <w:b/>
          <w:color w:val="000000"/>
          <w:sz w:val="22"/>
          <w:szCs w:val="22"/>
        </w:rPr>
      </w:pPr>
      <w:r>
        <w:rPr>
          <w:rFonts w:ascii="Verdana" w:eastAsia="Verdana" w:hAnsi="Verdana" w:cs="Arial"/>
          <w:b/>
          <w:sz w:val="22"/>
          <w:szCs w:val="22"/>
        </w:rPr>
        <w:t xml:space="preserve">2.5.1.2 </w:t>
      </w:r>
      <w:r>
        <w:rPr>
          <w:rFonts w:ascii="Verdana" w:eastAsia="Verdana" w:hAnsi="Verdana" w:cs="Arial"/>
          <w:b/>
          <w:color w:val="000000"/>
          <w:sz w:val="22"/>
          <w:szCs w:val="22"/>
        </w:rPr>
        <w:t>En el caso de adquisición de semovientes, incluir:</w:t>
      </w:r>
    </w:p>
    <w:p>
      <w:pPr>
        <w:pBdr>
          <w:top w:val="nil"/>
          <w:left w:val="nil"/>
          <w:bottom w:val="nil"/>
          <w:right w:val="nil"/>
          <w:between w:val="nil"/>
        </w:pBdr>
        <w:ind w:right="51"/>
        <w:rPr>
          <w:rFonts w:ascii="Verdana" w:eastAsia="Verdana" w:hAnsi="Verdana" w:cs="Arial"/>
          <w:b/>
          <w:color w:val="000000"/>
          <w:sz w:val="22"/>
          <w:szCs w:val="22"/>
        </w:rPr>
      </w:pPr>
    </w:p>
    <w:p>
      <w:pPr>
        <w:numPr>
          <w:ilvl w:val="0"/>
          <w:numId w:val="13"/>
        </w:numPr>
        <w:pBdr>
          <w:top w:val="nil"/>
          <w:left w:val="nil"/>
          <w:bottom w:val="nil"/>
          <w:right w:val="nil"/>
          <w:between w:val="nil"/>
        </w:pBdr>
        <w:tabs>
          <w:tab w:val="left" w:pos="709"/>
        </w:tabs>
        <w:suppressAutoHyphens w:val="0"/>
        <w:spacing w:line="276" w:lineRule="auto"/>
        <w:ind w:left="709" w:right="51" w:hanging="425"/>
        <w:jc w:val="both"/>
        <w:rPr>
          <w:rFonts w:ascii="Verdana" w:eastAsia="Verdana" w:hAnsi="Verdana" w:cs="Arial"/>
          <w:color w:val="000000"/>
          <w:sz w:val="22"/>
          <w:szCs w:val="22"/>
        </w:rPr>
      </w:pPr>
      <w:r>
        <w:rPr>
          <w:rFonts w:ascii="Verdana" w:eastAsia="Verdana" w:hAnsi="Verdana" w:cs="Arial"/>
          <w:color w:val="000000"/>
          <w:sz w:val="22"/>
          <w:szCs w:val="22"/>
        </w:rPr>
        <w:t xml:space="preserve">Copia de dictámenes de </w:t>
      </w:r>
      <w:proofErr w:type="spellStart"/>
      <w:r>
        <w:rPr>
          <w:rFonts w:ascii="Verdana" w:eastAsia="Verdana" w:hAnsi="Verdana" w:cs="Arial"/>
          <w:color w:val="000000"/>
          <w:sz w:val="22"/>
          <w:szCs w:val="22"/>
        </w:rPr>
        <w:t>br</w:t>
      </w:r>
      <w:r>
        <w:rPr>
          <w:rFonts w:ascii="Verdana" w:eastAsia="Verdana" w:hAnsi="Verdana" w:cs="Arial"/>
          <w:sz w:val="22"/>
          <w:szCs w:val="22"/>
        </w:rPr>
        <w:t>u</w:t>
      </w:r>
      <w:r>
        <w:rPr>
          <w:rFonts w:ascii="Verdana" w:eastAsia="Verdana" w:hAnsi="Verdana" w:cs="Arial"/>
          <w:color w:val="000000"/>
          <w:sz w:val="22"/>
          <w:szCs w:val="22"/>
        </w:rPr>
        <w:t>cella</w:t>
      </w:r>
      <w:proofErr w:type="spellEnd"/>
      <w:r>
        <w:rPr>
          <w:rFonts w:ascii="Verdana" w:eastAsia="Verdana" w:hAnsi="Verdana" w:cs="Arial"/>
          <w:color w:val="000000"/>
          <w:sz w:val="22"/>
          <w:szCs w:val="22"/>
        </w:rPr>
        <w:t xml:space="preserve"> y tuberculosis vigentes, con mínimo 05 hembras mayores de 8 meses (en ovinos o caprinos, sólo el de </w:t>
      </w:r>
      <w:proofErr w:type="spellStart"/>
      <w:r>
        <w:rPr>
          <w:rFonts w:ascii="Verdana" w:eastAsia="Verdana" w:hAnsi="Verdana" w:cs="Arial"/>
          <w:color w:val="000000"/>
          <w:sz w:val="22"/>
          <w:szCs w:val="22"/>
        </w:rPr>
        <w:t>brucela</w:t>
      </w:r>
      <w:proofErr w:type="spellEnd"/>
      <w:r>
        <w:rPr>
          <w:rFonts w:ascii="Verdana" w:eastAsia="Verdana" w:hAnsi="Verdana" w:cs="Arial"/>
          <w:color w:val="000000"/>
          <w:sz w:val="22"/>
          <w:szCs w:val="22"/>
        </w:rPr>
        <w:t>).</w:t>
      </w:r>
    </w:p>
    <w:p>
      <w:pPr>
        <w:numPr>
          <w:ilvl w:val="0"/>
          <w:numId w:val="13"/>
        </w:numPr>
        <w:pBdr>
          <w:top w:val="nil"/>
          <w:left w:val="nil"/>
          <w:bottom w:val="nil"/>
          <w:right w:val="nil"/>
          <w:between w:val="nil"/>
        </w:pBdr>
        <w:tabs>
          <w:tab w:val="left" w:pos="709"/>
        </w:tabs>
        <w:suppressAutoHyphens w:val="0"/>
        <w:spacing w:line="276" w:lineRule="auto"/>
        <w:ind w:left="709" w:right="51" w:hanging="425"/>
        <w:jc w:val="both"/>
        <w:rPr>
          <w:rFonts w:ascii="Verdana" w:eastAsia="Verdana" w:hAnsi="Verdana" w:cs="Arial"/>
          <w:color w:val="000000"/>
          <w:sz w:val="22"/>
          <w:szCs w:val="22"/>
        </w:rPr>
      </w:pPr>
      <w:r>
        <w:rPr>
          <w:rFonts w:ascii="Verdana" w:eastAsia="Verdana" w:hAnsi="Verdana" w:cs="Arial"/>
          <w:color w:val="000000"/>
          <w:sz w:val="22"/>
          <w:szCs w:val="22"/>
        </w:rPr>
        <w:t>Cotización del semoviente, proveniente de unidades de producción sin cuarentena por brucelosis o tuberculosis</w:t>
      </w:r>
    </w:p>
    <w:p>
      <w:pPr>
        <w:numPr>
          <w:ilvl w:val="0"/>
          <w:numId w:val="13"/>
        </w:numPr>
        <w:pBdr>
          <w:top w:val="nil"/>
          <w:left w:val="nil"/>
          <w:bottom w:val="nil"/>
          <w:right w:val="nil"/>
          <w:between w:val="nil"/>
        </w:pBdr>
        <w:tabs>
          <w:tab w:val="left" w:pos="709"/>
        </w:tabs>
        <w:suppressAutoHyphens w:val="0"/>
        <w:spacing w:line="276" w:lineRule="auto"/>
        <w:ind w:left="709" w:right="51" w:hanging="425"/>
        <w:jc w:val="both"/>
        <w:rPr>
          <w:rFonts w:ascii="Verdana" w:eastAsia="Verdana" w:hAnsi="Verdana" w:cs="Arial"/>
          <w:color w:val="000000"/>
          <w:sz w:val="22"/>
          <w:szCs w:val="22"/>
        </w:rPr>
      </w:pPr>
      <w:r>
        <w:rPr>
          <w:rFonts w:ascii="Verdana" w:eastAsia="Verdana" w:hAnsi="Verdana" w:cs="Arial"/>
          <w:color w:val="000000"/>
          <w:sz w:val="22"/>
          <w:szCs w:val="22"/>
        </w:rPr>
        <w:t xml:space="preserve">Fotografías del semoviente a adquirir </w:t>
      </w:r>
    </w:p>
    <w:p>
      <w:pPr>
        <w:numPr>
          <w:ilvl w:val="0"/>
          <w:numId w:val="13"/>
        </w:numPr>
        <w:pBdr>
          <w:top w:val="nil"/>
          <w:left w:val="nil"/>
          <w:bottom w:val="nil"/>
          <w:right w:val="nil"/>
          <w:between w:val="nil"/>
        </w:pBdr>
        <w:tabs>
          <w:tab w:val="left" w:pos="709"/>
        </w:tabs>
        <w:suppressAutoHyphens w:val="0"/>
        <w:spacing w:line="276" w:lineRule="auto"/>
        <w:ind w:left="709" w:right="51" w:hanging="425"/>
        <w:jc w:val="both"/>
        <w:rPr>
          <w:rFonts w:ascii="Verdana" w:eastAsia="Verdana" w:hAnsi="Verdana" w:cs="Arial"/>
          <w:color w:val="000000"/>
          <w:sz w:val="22"/>
          <w:szCs w:val="22"/>
        </w:rPr>
      </w:pPr>
      <w:r>
        <w:rPr>
          <w:rFonts w:ascii="Verdana" w:eastAsia="Verdana" w:hAnsi="Verdana" w:cs="Arial"/>
          <w:color w:val="000000"/>
          <w:sz w:val="22"/>
          <w:szCs w:val="22"/>
        </w:rPr>
        <w:lastRenderedPageBreak/>
        <w:t>Carta compromiso de conservar el semoviente por mínimo tres años.</w:t>
      </w:r>
    </w:p>
    <w:p>
      <w:pPr>
        <w:pBdr>
          <w:top w:val="nil"/>
          <w:left w:val="nil"/>
          <w:bottom w:val="nil"/>
          <w:right w:val="nil"/>
          <w:between w:val="nil"/>
        </w:pBdr>
        <w:tabs>
          <w:tab w:val="left" w:pos="851"/>
        </w:tabs>
        <w:ind w:right="51"/>
        <w:jc w:val="both"/>
        <w:rPr>
          <w:rFonts w:ascii="Verdana" w:eastAsia="Verdana" w:hAnsi="Verdana" w:cs="Arial"/>
          <w:color w:val="000000"/>
          <w:sz w:val="22"/>
          <w:szCs w:val="22"/>
        </w:rPr>
      </w:pPr>
    </w:p>
    <w:p>
      <w:pPr>
        <w:pBdr>
          <w:top w:val="nil"/>
          <w:left w:val="nil"/>
          <w:bottom w:val="nil"/>
          <w:right w:val="nil"/>
          <w:between w:val="nil"/>
        </w:pBdr>
        <w:tabs>
          <w:tab w:val="left" w:pos="851"/>
        </w:tabs>
        <w:ind w:left="567" w:right="51"/>
        <w:rPr>
          <w:rFonts w:ascii="Verdana" w:eastAsia="Verdana" w:hAnsi="Verdana" w:cs="Arial"/>
          <w:b/>
          <w:color w:val="000000"/>
          <w:sz w:val="22"/>
          <w:szCs w:val="22"/>
        </w:rPr>
      </w:pPr>
    </w:p>
    <w:p>
      <w:pPr>
        <w:pBdr>
          <w:top w:val="nil"/>
          <w:left w:val="nil"/>
          <w:bottom w:val="nil"/>
          <w:right w:val="nil"/>
          <w:between w:val="nil"/>
        </w:pBdr>
        <w:ind w:right="51"/>
        <w:rPr>
          <w:rFonts w:ascii="Verdana" w:eastAsia="Verdana" w:hAnsi="Verdana" w:cs="Arial"/>
          <w:b/>
          <w:color w:val="000000"/>
          <w:sz w:val="22"/>
          <w:szCs w:val="22"/>
        </w:rPr>
      </w:pPr>
      <w:r>
        <w:rPr>
          <w:rFonts w:ascii="Verdana" w:eastAsia="Verdana" w:hAnsi="Verdana" w:cs="Arial"/>
          <w:b/>
          <w:sz w:val="22"/>
          <w:szCs w:val="22"/>
        </w:rPr>
        <w:t xml:space="preserve">2.5.3 </w:t>
      </w:r>
      <w:r>
        <w:rPr>
          <w:rFonts w:ascii="Verdana" w:eastAsia="Verdana" w:hAnsi="Verdana" w:cs="Arial"/>
          <w:b/>
          <w:color w:val="000000"/>
          <w:sz w:val="22"/>
          <w:szCs w:val="22"/>
        </w:rPr>
        <w:t>Periodo de entrega de requisitos.</w:t>
      </w:r>
    </w:p>
    <w:p>
      <w:pPr>
        <w:pBdr>
          <w:top w:val="nil"/>
          <w:left w:val="nil"/>
          <w:bottom w:val="nil"/>
          <w:right w:val="nil"/>
          <w:between w:val="nil"/>
        </w:pBdr>
        <w:ind w:right="51" w:firstLine="709"/>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color w:val="000000"/>
          <w:sz w:val="22"/>
          <w:szCs w:val="22"/>
        </w:rPr>
        <w:t>La recepción de solicitudes será a partir de la publicación de la convocatoria respectiva.</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color w:val="000000"/>
          <w:sz w:val="22"/>
          <w:szCs w:val="22"/>
        </w:rPr>
        <w:t>Todas las solicitudes se entregar</w:t>
      </w:r>
      <w:r>
        <w:rPr>
          <w:rFonts w:ascii="Verdana" w:eastAsia="Verdana" w:hAnsi="Verdana" w:cs="Arial"/>
          <w:sz w:val="22"/>
          <w:szCs w:val="22"/>
        </w:rPr>
        <w:t>á</w:t>
      </w:r>
      <w:r>
        <w:rPr>
          <w:rFonts w:ascii="Verdana" w:eastAsia="Verdana" w:hAnsi="Verdana" w:cs="Arial"/>
          <w:color w:val="000000"/>
          <w:sz w:val="22"/>
          <w:szCs w:val="22"/>
        </w:rPr>
        <w:t>n en la oficina de la Dirección Desarrollo Pecuario, ubicada en el segundo piso del Centro Administrativo Tlajomulco, con domicilio en la calle Higuera número 70, en la Cabecera Municipal, con horario de 09:00 a 15:00 horas.</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rPr>
          <w:rFonts w:ascii="Verdana" w:eastAsia="Verdana" w:hAnsi="Verdana" w:cs="Arial"/>
          <w:b/>
          <w:color w:val="000000"/>
          <w:sz w:val="22"/>
          <w:szCs w:val="22"/>
        </w:rPr>
      </w:pPr>
      <w:r>
        <w:rPr>
          <w:rFonts w:ascii="Verdana" w:eastAsia="Verdana" w:hAnsi="Verdana" w:cs="Arial"/>
          <w:b/>
          <w:sz w:val="22"/>
          <w:szCs w:val="22"/>
        </w:rPr>
        <w:t>2.5.4.</w:t>
      </w:r>
      <w:r>
        <w:rPr>
          <w:rFonts w:ascii="Verdana" w:eastAsia="Verdana" w:hAnsi="Verdana" w:cs="Arial"/>
          <w:b/>
          <w:color w:val="000000"/>
          <w:sz w:val="22"/>
          <w:szCs w:val="22"/>
        </w:rPr>
        <w:t xml:space="preserve"> Derechos y obligaciones de los solicitantes</w:t>
      </w:r>
    </w:p>
    <w:p>
      <w:pPr>
        <w:pBdr>
          <w:top w:val="nil"/>
          <w:left w:val="nil"/>
          <w:bottom w:val="nil"/>
          <w:right w:val="nil"/>
          <w:between w:val="nil"/>
        </w:pBdr>
        <w:ind w:right="51" w:firstLine="709"/>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color w:val="000000"/>
          <w:sz w:val="22"/>
          <w:szCs w:val="22"/>
        </w:rPr>
        <w:t>a).- Todas las personas tienen derecho a recibir un trato digno, respetuoso, oportuno, con calidad y equitativo, sin discriminación alguna.</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color w:val="000000"/>
          <w:sz w:val="22"/>
          <w:szCs w:val="22"/>
        </w:rPr>
        <w:t xml:space="preserve">b).- Así mismo todas las personas tienen derecho a recibir información de manera clara y oportuna sobre la realización de trámites, requisitos y otras disposiciones para participar en el programa </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color w:val="000000"/>
          <w:sz w:val="22"/>
          <w:szCs w:val="22"/>
        </w:rPr>
        <w:t>c).- Se podrá otorgar los apoyos del programa por animales diagnosticados con brucelosis o tuberculosis y sacrificados posteriormente al cierre del programa 2018 y que cumplan con los requisitos del Programa 2019.</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color w:val="000000"/>
          <w:sz w:val="22"/>
          <w:szCs w:val="22"/>
        </w:rPr>
        <w:t>d).- Las y los beneficiarios del Programa podrán acceder a cualquier tipo de apoyos de otros programas.</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color w:val="000000"/>
          <w:sz w:val="22"/>
          <w:szCs w:val="22"/>
        </w:rPr>
        <w:t xml:space="preserve">e).- Las y los beneficiarios en la modalidad de adquisición de semovientes tendrán la obligación de conservar el semoviente que adquiera con el subsidio por un mínimo de tres años, en caso de muerte del animal deberá notificar a la Dirección de Desarrollo Pecuario para que personal técnico de fe del suceso y causa en una acta circunstanciada.  </w:t>
      </w:r>
    </w:p>
    <w:p>
      <w:pPr>
        <w:pBdr>
          <w:top w:val="nil"/>
          <w:left w:val="nil"/>
          <w:bottom w:val="nil"/>
          <w:right w:val="nil"/>
          <w:between w:val="nil"/>
        </w:pBdr>
        <w:ind w:right="51" w:firstLine="709"/>
        <w:rPr>
          <w:rFonts w:ascii="Verdana" w:eastAsia="Verdana" w:hAnsi="Verdana" w:cs="Arial"/>
          <w:color w:val="000000"/>
          <w:sz w:val="22"/>
          <w:szCs w:val="22"/>
        </w:rPr>
      </w:pPr>
    </w:p>
    <w:p>
      <w:pPr>
        <w:pBdr>
          <w:top w:val="nil"/>
          <w:left w:val="nil"/>
          <w:bottom w:val="nil"/>
          <w:right w:val="nil"/>
          <w:between w:val="nil"/>
        </w:pBdr>
        <w:ind w:right="51"/>
        <w:rPr>
          <w:rFonts w:ascii="Verdana" w:eastAsia="Verdana" w:hAnsi="Verdana" w:cs="Arial"/>
          <w:b/>
          <w:color w:val="000000"/>
          <w:sz w:val="22"/>
          <w:szCs w:val="22"/>
        </w:rPr>
      </w:pPr>
      <w:r>
        <w:rPr>
          <w:rFonts w:ascii="Verdana" w:eastAsia="Verdana" w:hAnsi="Verdana" w:cs="Arial"/>
          <w:b/>
          <w:sz w:val="22"/>
          <w:szCs w:val="22"/>
        </w:rPr>
        <w:t xml:space="preserve">2.6. </w:t>
      </w:r>
      <w:r>
        <w:rPr>
          <w:rFonts w:ascii="Verdana" w:eastAsia="Verdana" w:hAnsi="Verdana" w:cs="Arial"/>
          <w:b/>
          <w:color w:val="000000"/>
          <w:sz w:val="22"/>
          <w:szCs w:val="22"/>
        </w:rPr>
        <w:t xml:space="preserve">PROCESOS DE OPERACIÓN E </w:t>
      </w:r>
      <w:r>
        <w:rPr>
          <w:rFonts w:ascii="Verdana" w:eastAsia="Verdana" w:hAnsi="Verdana" w:cs="Arial"/>
          <w:b/>
          <w:sz w:val="22"/>
          <w:szCs w:val="22"/>
        </w:rPr>
        <w:t>INSTRUMENTACIÓN:</w:t>
      </w:r>
    </w:p>
    <w:p>
      <w:pPr>
        <w:pBdr>
          <w:top w:val="nil"/>
          <w:left w:val="nil"/>
          <w:bottom w:val="nil"/>
          <w:right w:val="nil"/>
          <w:between w:val="nil"/>
        </w:pBdr>
        <w:ind w:right="51" w:firstLine="709"/>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sz w:val="22"/>
          <w:szCs w:val="22"/>
        </w:rPr>
      </w:pPr>
      <w:r>
        <w:rPr>
          <w:rFonts w:ascii="Verdana" w:eastAsia="Verdana" w:hAnsi="Verdana" w:cs="Arial"/>
          <w:b/>
          <w:sz w:val="22"/>
          <w:szCs w:val="22"/>
        </w:rPr>
        <w:t xml:space="preserve">2.6.1. Convocatoria: </w:t>
      </w:r>
      <w:r>
        <w:rPr>
          <w:rFonts w:ascii="Verdana" w:eastAsia="Verdana" w:hAnsi="Verdana" w:cs="Arial"/>
          <w:color w:val="000000"/>
          <w:sz w:val="22"/>
          <w:szCs w:val="22"/>
        </w:rPr>
        <w:t xml:space="preserve">El Presidente Municipal emitirá la convocatoria pública y abierta para el otorgamiento de los apoyos del Programa, que se publicarán en el portal de internet del Gobierno </w:t>
      </w:r>
      <w:hyperlink r:id="rId8">
        <w:r>
          <w:rPr>
            <w:rFonts w:ascii="Verdana" w:eastAsia="Verdana" w:hAnsi="Verdana" w:cs="Arial"/>
            <w:color w:val="0000FF"/>
            <w:sz w:val="22"/>
            <w:szCs w:val="22"/>
            <w:u w:val="single"/>
          </w:rPr>
          <w:t>www.tlajomulco.gob.mx</w:t>
        </w:r>
      </w:hyperlink>
    </w:p>
    <w:p>
      <w:pPr>
        <w:pBdr>
          <w:top w:val="nil"/>
          <w:left w:val="nil"/>
          <w:bottom w:val="nil"/>
          <w:right w:val="nil"/>
          <w:between w:val="nil"/>
        </w:pBdr>
        <w:ind w:right="51"/>
        <w:jc w:val="both"/>
        <w:rPr>
          <w:rFonts w:ascii="Verdana" w:eastAsia="Verdana" w:hAnsi="Verdana" w:cs="Arial"/>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b/>
          <w:color w:val="000000"/>
          <w:sz w:val="22"/>
          <w:szCs w:val="22"/>
        </w:rPr>
        <w:t>2.6.2</w:t>
      </w:r>
      <w:r>
        <w:rPr>
          <w:rFonts w:ascii="Verdana" w:eastAsia="Verdana" w:hAnsi="Verdana" w:cs="Arial"/>
          <w:color w:val="000000"/>
          <w:sz w:val="22"/>
          <w:szCs w:val="22"/>
        </w:rPr>
        <w:t xml:space="preserve">. La Dirección de Desarrollo Pecuario será la responsable de la difusión del Programa, de la orientación de los solicitantes, así como de la toma de muestras para las pruebas de </w:t>
      </w:r>
      <w:proofErr w:type="spellStart"/>
      <w:r>
        <w:rPr>
          <w:rFonts w:ascii="Verdana" w:eastAsia="Verdana" w:hAnsi="Verdana" w:cs="Arial"/>
          <w:color w:val="000000"/>
          <w:sz w:val="22"/>
          <w:szCs w:val="22"/>
        </w:rPr>
        <w:t>brucela</w:t>
      </w:r>
      <w:proofErr w:type="spellEnd"/>
      <w:r>
        <w:rPr>
          <w:rFonts w:ascii="Verdana" w:eastAsia="Verdana" w:hAnsi="Verdana" w:cs="Arial"/>
          <w:color w:val="000000"/>
          <w:sz w:val="22"/>
          <w:szCs w:val="22"/>
        </w:rPr>
        <w:t xml:space="preserve"> y tuberculosis, diagnóstico y en general la ejecución del Programa.</w:t>
      </w:r>
    </w:p>
    <w:p>
      <w:pPr>
        <w:pBdr>
          <w:top w:val="nil"/>
          <w:left w:val="nil"/>
          <w:bottom w:val="nil"/>
          <w:right w:val="nil"/>
          <w:between w:val="nil"/>
        </w:pBdr>
        <w:ind w:left="720" w:hanging="720"/>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b/>
          <w:sz w:val="22"/>
          <w:szCs w:val="22"/>
        </w:rPr>
        <w:lastRenderedPageBreak/>
        <w:t>2.6.3.</w:t>
      </w:r>
      <w:r>
        <w:rPr>
          <w:rFonts w:ascii="Verdana" w:eastAsia="Verdana" w:hAnsi="Verdana" w:cs="Arial"/>
          <w:sz w:val="22"/>
          <w:szCs w:val="22"/>
        </w:rPr>
        <w:t xml:space="preserve"> </w:t>
      </w:r>
      <w:r>
        <w:rPr>
          <w:rFonts w:ascii="Verdana" w:eastAsia="Verdana" w:hAnsi="Verdana" w:cs="Arial"/>
          <w:color w:val="000000"/>
          <w:sz w:val="22"/>
          <w:szCs w:val="22"/>
        </w:rPr>
        <w:t>Para la adquisición de semovientes, concluido el periodo de entrega, los expedientes debidamente integrados serán revisados y valorados por el Comité de Dictaminación y Evaluación para designar a los beneficiados.</w:t>
      </w:r>
    </w:p>
    <w:p>
      <w:pPr>
        <w:pBdr>
          <w:top w:val="nil"/>
          <w:left w:val="nil"/>
          <w:bottom w:val="nil"/>
          <w:right w:val="nil"/>
          <w:between w:val="nil"/>
        </w:pBdr>
        <w:ind w:right="51"/>
        <w:jc w:val="both"/>
        <w:rPr>
          <w:rFonts w:ascii="Verdana" w:eastAsia="Verdana" w:hAnsi="Verdana" w:cs="Arial"/>
          <w:sz w:val="22"/>
          <w:szCs w:val="22"/>
        </w:rPr>
      </w:pPr>
    </w:p>
    <w:p>
      <w:pPr>
        <w:pBdr>
          <w:top w:val="nil"/>
          <w:left w:val="nil"/>
          <w:bottom w:val="nil"/>
          <w:right w:val="nil"/>
          <w:between w:val="nil"/>
        </w:pBdr>
        <w:ind w:right="51"/>
        <w:jc w:val="both"/>
        <w:rPr>
          <w:rFonts w:ascii="Verdana" w:eastAsia="Verdana" w:hAnsi="Verdana" w:cs="Arial"/>
          <w:b/>
          <w:sz w:val="22"/>
          <w:szCs w:val="22"/>
        </w:rPr>
      </w:pPr>
      <w:r>
        <w:rPr>
          <w:rFonts w:ascii="Verdana" w:eastAsia="Verdana" w:hAnsi="Verdana" w:cs="Arial"/>
          <w:b/>
          <w:sz w:val="22"/>
          <w:szCs w:val="22"/>
        </w:rPr>
        <w:t>2.6.4</w:t>
      </w:r>
      <w:r>
        <w:rPr>
          <w:rFonts w:ascii="Verdana" w:eastAsia="Verdana" w:hAnsi="Verdana" w:cs="Arial"/>
          <w:sz w:val="22"/>
          <w:szCs w:val="22"/>
        </w:rPr>
        <w:t>. Criterios de elegibilidad (prioridad  recurso para indemnizar y por orden como vayan llegando las solicitudes hecho el cierre de ventanilla).</w:t>
      </w:r>
    </w:p>
    <w:p>
      <w:pPr>
        <w:pBdr>
          <w:top w:val="nil"/>
          <w:left w:val="nil"/>
          <w:bottom w:val="nil"/>
          <w:right w:val="nil"/>
          <w:between w:val="nil"/>
        </w:pBdr>
        <w:ind w:right="51"/>
        <w:jc w:val="both"/>
        <w:rPr>
          <w:rFonts w:ascii="Verdana" w:eastAsia="Verdana" w:hAnsi="Verdana" w:cs="Arial"/>
          <w:b/>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b/>
          <w:color w:val="000000"/>
          <w:sz w:val="22"/>
          <w:szCs w:val="22"/>
        </w:rPr>
        <w:t>2.6.5.</w:t>
      </w:r>
      <w:r>
        <w:rPr>
          <w:rFonts w:ascii="Verdana" w:eastAsia="Verdana" w:hAnsi="Verdana" w:cs="Arial"/>
          <w:color w:val="000000"/>
          <w:sz w:val="22"/>
          <w:szCs w:val="22"/>
        </w:rPr>
        <w:t xml:space="preserve"> El Padrón de beneficiarios del Programa será publicado en los términos de la legislación y normatividad en materia de transparencia en el portal de Internet del Gobierno Municipal.</w:t>
      </w:r>
    </w:p>
    <w:p>
      <w:pPr>
        <w:pBdr>
          <w:top w:val="nil"/>
          <w:left w:val="nil"/>
          <w:bottom w:val="nil"/>
          <w:right w:val="nil"/>
          <w:between w:val="nil"/>
        </w:pBdr>
        <w:ind w:right="51" w:firstLine="709"/>
        <w:jc w:val="both"/>
        <w:rPr>
          <w:rFonts w:ascii="Verdana" w:eastAsia="Verdana" w:hAnsi="Verdana" w:cs="Arial"/>
          <w:b/>
          <w:color w:val="000000"/>
          <w:sz w:val="22"/>
          <w:szCs w:val="22"/>
        </w:rPr>
      </w:pPr>
    </w:p>
    <w:p>
      <w:pPr>
        <w:pBdr>
          <w:top w:val="nil"/>
          <w:left w:val="nil"/>
          <w:bottom w:val="nil"/>
          <w:right w:val="nil"/>
          <w:between w:val="nil"/>
        </w:pBdr>
        <w:ind w:right="51" w:firstLine="709"/>
        <w:jc w:val="both"/>
        <w:rPr>
          <w:rFonts w:ascii="Verdana" w:eastAsia="Verdana" w:hAnsi="Verdana" w:cs="Arial"/>
          <w:b/>
          <w:color w:val="000000"/>
          <w:sz w:val="22"/>
          <w:szCs w:val="22"/>
        </w:rPr>
      </w:pPr>
    </w:p>
    <w:p>
      <w:pPr>
        <w:pBdr>
          <w:top w:val="nil"/>
          <w:left w:val="nil"/>
          <w:bottom w:val="nil"/>
          <w:right w:val="nil"/>
          <w:between w:val="nil"/>
        </w:pBdr>
        <w:ind w:right="51"/>
        <w:rPr>
          <w:rFonts w:ascii="Verdana" w:eastAsia="Verdana" w:hAnsi="Verdana" w:cs="Arial"/>
          <w:color w:val="000000"/>
          <w:sz w:val="22"/>
          <w:szCs w:val="22"/>
        </w:rPr>
      </w:pPr>
      <w:r>
        <w:rPr>
          <w:rFonts w:ascii="Verdana" w:eastAsia="Verdana" w:hAnsi="Verdana" w:cs="Arial"/>
          <w:b/>
          <w:sz w:val="22"/>
          <w:szCs w:val="22"/>
        </w:rPr>
        <w:t>2.6.4.</w:t>
      </w:r>
      <w:r>
        <w:rPr>
          <w:rFonts w:ascii="Verdana" w:eastAsia="Verdana" w:hAnsi="Verdana" w:cs="Arial"/>
          <w:b/>
          <w:color w:val="000000"/>
          <w:sz w:val="22"/>
          <w:szCs w:val="22"/>
        </w:rPr>
        <w:t xml:space="preserve"> COMITÉ DE DICTAMINACIÓN Y EVALUACIÓN.</w:t>
      </w:r>
      <w:r>
        <w:rPr>
          <w:rFonts w:ascii="Verdana" w:eastAsia="Verdana" w:hAnsi="Verdana" w:cs="Arial"/>
          <w:color w:val="000000"/>
          <w:sz w:val="22"/>
          <w:szCs w:val="22"/>
        </w:rPr>
        <w:t xml:space="preserve"> </w:t>
      </w:r>
    </w:p>
    <w:p>
      <w:pPr>
        <w:pBdr>
          <w:top w:val="nil"/>
          <w:left w:val="nil"/>
          <w:bottom w:val="nil"/>
          <w:right w:val="nil"/>
          <w:between w:val="nil"/>
        </w:pBdr>
        <w:ind w:right="51" w:firstLine="709"/>
        <w:rPr>
          <w:rFonts w:ascii="Verdana" w:eastAsia="Verdana" w:hAnsi="Verdana" w:cs="Arial"/>
          <w:b/>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b/>
          <w:sz w:val="22"/>
          <w:szCs w:val="22"/>
        </w:rPr>
        <w:t xml:space="preserve">2.6.4.1. </w:t>
      </w:r>
      <w:r>
        <w:rPr>
          <w:rFonts w:ascii="Verdana" w:eastAsia="Verdana" w:hAnsi="Verdana" w:cs="Arial"/>
          <w:b/>
          <w:color w:val="000000"/>
          <w:sz w:val="22"/>
          <w:szCs w:val="22"/>
        </w:rPr>
        <w:t xml:space="preserve">De la Integración del Comité: </w:t>
      </w:r>
      <w:r>
        <w:rPr>
          <w:rFonts w:ascii="Verdana" w:eastAsia="Verdana" w:hAnsi="Verdana" w:cs="Arial"/>
          <w:color w:val="000000"/>
          <w:sz w:val="22"/>
          <w:szCs w:val="22"/>
        </w:rPr>
        <w:t xml:space="preserve">Se establece un Comité de Dictaminación y Evaluación del Programa integrado por: </w:t>
      </w:r>
    </w:p>
    <w:p>
      <w:pPr>
        <w:pBdr>
          <w:top w:val="nil"/>
          <w:left w:val="nil"/>
          <w:bottom w:val="nil"/>
          <w:right w:val="nil"/>
          <w:between w:val="nil"/>
        </w:pBdr>
        <w:ind w:right="51"/>
        <w:jc w:val="both"/>
        <w:rPr>
          <w:rFonts w:ascii="Verdana" w:eastAsia="Verdana" w:hAnsi="Verdana" w:cs="Arial"/>
          <w:color w:val="000000"/>
          <w:sz w:val="22"/>
          <w:szCs w:val="22"/>
        </w:rPr>
      </w:pPr>
    </w:p>
    <w:p>
      <w:pPr>
        <w:numPr>
          <w:ilvl w:val="0"/>
          <w:numId w:val="16"/>
        </w:numPr>
        <w:pBdr>
          <w:top w:val="nil"/>
          <w:left w:val="nil"/>
          <w:bottom w:val="nil"/>
          <w:right w:val="nil"/>
          <w:between w:val="nil"/>
        </w:pBdr>
        <w:tabs>
          <w:tab w:val="left" w:pos="708"/>
        </w:tabs>
        <w:suppressAutoHyphens w:val="0"/>
        <w:spacing w:line="276" w:lineRule="auto"/>
        <w:ind w:right="51"/>
        <w:jc w:val="both"/>
        <w:rPr>
          <w:rFonts w:ascii="Verdana" w:eastAsia="Verdana" w:hAnsi="Verdana" w:cs="Arial"/>
          <w:color w:val="000000"/>
          <w:sz w:val="22"/>
          <w:szCs w:val="22"/>
        </w:rPr>
      </w:pPr>
      <w:r>
        <w:rPr>
          <w:rFonts w:ascii="Verdana" w:eastAsia="Verdana" w:hAnsi="Verdana" w:cs="Arial"/>
          <w:color w:val="000000"/>
          <w:sz w:val="22"/>
          <w:szCs w:val="22"/>
        </w:rPr>
        <w:t>Coordinadora o Coordinador General de Desarrollo Económico y Combate a la Desigualdad, quien presidirá el Comité;</w:t>
      </w:r>
    </w:p>
    <w:p>
      <w:pPr>
        <w:pBdr>
          <w:top w:val="nil"/>
          <w:left w:val="nil"/>
          <w:bottom w:val="nil"/>
          <w:right w:val="nil"/>
          <w:between w:val="nil"/>
        </w:pBdr>
        <w:ind w:right="51" w:firstLine="45"/>
        <w:jc w:val="both"/>
        <w:rPr>
          <w:rFonts w:ascii="Verdana" w:eastAsia="Verdana" w:hAnsi="Verdana" w:cs="Arial"/>
          <w:color w:val="000000"/>
          <w:sz w:val="22"/>
          <w:szCs w:val="22"/>
        </w:rPr>
      </w:pPr>
    </w:p>
    <w:p>
      <w:pPr>
        <w:numPr>
          <w:ilvl w:val="0"/>
          <w:numId w:val="16"/>
        </w:numPr>
        <w:pBdr>
          <w:top w:val="nil"/>
          <w:left w:val="nil"/>
          <w:bottom w:val="nil"/>
          <w:right w:val="nil"/>
          <w:between w:val="nil"/>
        </w:pBdr>
        <w:tabs>
          <w:tab w:val="left" w:pos="708"/>
        </w:tabs>
        <w:suppressAutoHyphens w:val="0"/>
        <w:spacing w:line="276" w:lineRule="auto"/>
        <w:ind w:right="51"/>
        <w:jc w:val="both"/>
        <w:rPr>
          <w:rFonts w:ascii="Verdana" w:eastAsia="Verdana" w:hAnsi="Verdana" w:cs="Arial"/>
          <w:color w:val="000000"/>
          <w:sz w:val="22"/>
          <w:szCs w:val="22"/>
        </w:rPr>
      </w:pPr>
      <w:r>
        <w:rPr>
          <w:rFonts w:ascii="Verdana" w:eastAsia="Verdana" w:hAnsi="Verdana" w:cs="Arial"/>
          <w:color w:val="000000"/>
          <w:sz w:val="22"/>
          <w:szCs w:val="22"/>
        </w:rPr>
        <w:t>Directora o Director General de Desarrollo Rural, con el carácter de Secretario Técnico;</w:t>
      </w:r>
    </w:p>
    <w:p>
      <w:pPr>
        <w:pBdr>
          <w:top w:val="nil"/>
          <w:left w:val="nil"/>
          <w:bottom w:val="nil"/>
          <w:right w:val="nil"/>
          <w:between w:val="nil"/>
        </w:pBdr>
        <w:ind w:right="51"/>
        <w:jc w:val="both"/>
        <w:rPr>
          <w:rFonts w:ascii="Verdana" w:eastAsia="Verdana" w:hAnsi="Verdana" w:cs="Arial"/>
          <w:color w:val="000000"/>
          <w:sz w:val="22"/>
          <w:szCs w:val="22"/>
        </w:rPr>
      </w:pPr>
    </w:p>
    <w:p>
      <w:pPr>
        <w:numPr>
          <w:ilvl w:val="0"/>
          <w:numId w:val="16"/>
        </w:numPr>
        <w:pBdr>
          <w:top w:val="nil"/>
          <w:left w:val="nil"/>
          <w:bottom w:val="nil"/>
          <w:right w:val="nil"/>
          <w:between w:val="nil"/>
        </w:pBdr>
        <w:tabs>
          <w:tab w:val="left" w:pos="708"/>
        </w:tabs>
        <w:suppressAutoHyphens w:val="0"/>
        <w:spacing w:line="276" w:lineRule="auto"/>
        <w:ind w:right="51"/>
        <w:jc w:val="both"/>
        <w:rPr>
          <w:rFonts w:ascii="Verdana" w:eastAsia="Verdana" w:hAnsi="Verdana" w:cs="Arial"/>
          <w:color w:val="000000"/>
          <w:sz w:val="22"/>
          <w:szCs w:val="22"/>
        </w:rPr>
      </w:pPr>
      <w:r>
        <w:rPr>
          <w:rFonts w:ascii="Verdana" w:eastAsia="Verdana" w:hAnsi="Verdana" w:cs="Arial"/>
          <w:color w:val="000000"/>
          <w:sz w:val="22"/>
          <w:szCs w:val="22"/>
        </w:rPr>
        <w:t>Tesorera o Tesorero Municipal, en el carácter de Vocal;</w:t>
      </w:r>
    </w:p>
    <w:p>
      <w:pPr>
        <w:pBdr>
          <w:top w:val="nil"/>
          <w:left w:val="nil"/>
          <w:bottom w:val="nil"/>
          <w:right w:val="nil"/>
          <w:between w:val="nil"/>
        </w:pBdr>
        <w:ind w:left="720" w:right="51"/>
        <w:jc w:val="both"/>
        <w:rPr>
          <w:rFonts w:ascii="Verdana" w:eastAsia="Verdana" w:hAnsi="Verdana" w:cs="Arial"/>
          <w:color w:val="000000"/>
          <w:sz w:val="22"/>
          <w:szCs w:val="22"/>
        </w:rPr>
      </w:pPr>
    </w:p>
    <w:p>
      <w:pPr>
        <w:numPr>
          <w:ilvl w:val="0"/>
          <w:numId w:val="16"/>
        </w:numPr>
        <w:pBdr>
          <w:top w:val="nil"/>
          <w:left w:val="nil"/>
          <w:bottom w:val="nil"/>
          <w:right w:val="nil"/>
          <w:between w:val="nil"/>
        </w:pBdr>
        <w:tabs>
          <w:tab w:val="left" w:pos="708"/>
        </w:tabs>
        <w:suppressAutoHyphens w:val="0"/>
        <w:spacing w:line="276" w:lineRule="auto"/>
        <w:ind w:right="51"/>
        <w:jc w:val="both"/>
        <w:rPr>
          <w:rFonts w:ascii="Verdana" w:eastAsia="Verdana" w:hAnsi="Verdana" w:cs="Arial"/>
          <w:color w:val="000000"/>
          <w:sz w:val="22"/>
          <w:szCs w:val="22"/>
        </w:rPr>
      </w:pPr>
      <w:r>
        <w:rPr>
          <w:rFonts w:ascii="Verdana" w:eastAsia="Verdana" w:hAnsi="Verdana" w:cs="Arial"/>
          <w:color w:val="000000"/>
          <w:sz w:val="22"/>
          <w:szCs w:val="22"/>
        </w:rPr>
        <w:t xml:space="preserve"> Presidenta o Presidente e de la Comisión Edilicia de Desarrollo Económico , en el carácter de Vocal; y</w:t>
      </w:r>
    </w:p>
    <w:p>
      <w:pPr>
        <w:pBdr>
          <w:top w:val="nil"/>
          <w:left w:val="nil"/>
          <w:bottom w:val="nil"/>
          <w:right w:val="nil"/>
          <w:between w:val="nil"/>
        </w:pBdr>
        <w:ind w:right="51"/>
        <w:jc w:val="both"/>
        <w:rPr>
          <w:rFonts w:ascii="Verdana" w:eastAsia="Verdana" w:hAnsi="Verdana" w:cs="Arial"/>
          <w:color w:val="000000"/>
          <w:sz w:val="22"/>
          <w:szCs w:val="22"/>
        </w:rPr>
      </w:pPr>
    </w:p>
    <w:p>
      <w:pPr>
        <w:numPr>
          <w:ilvl w:val="0"/>
          <w:numId w:val="16"/>
        </w:numPr>
        <w:pBdr>
          <w:top w:val="nil"/>
          <w:left w:val="nil"/>
          <w:bottom w:val="nil"/>
          <w:right w:val="nil"/>
          <w:between w:val="nil"/>
        </w:pBdr>
        <w:tabs>
          <w:tab w:val="left" w:pos="708"/>
        </w:tabs>
        <w:suppressAutoHyphens w:val="0"/>
        <w:spacing w:line="276" w:lineRule="auto"/>
        <w:ind w:right="51"/>
        <w:jc w:val="both"/>
        <w:rPr>
          <w:rFonts w:ascii="Verdana" w:eastAsia="Verdana" w:hAnsi="Verdana" w:cs="Arial"/>
          <w:color w:val="000000"/>
          <w:sz w:val="22"/>
          <w:szCs w:val="22"/>
        </w:rPr>
      </w:pPr>
      <w:r>
        <w:rPr>
          <w:rFonts w:ascii="Verdana" w:eastAsia="Verdana" w:hAnsi="Verdana" w:cs="Arial"/>
          <w:color w:val="000000"/>
          <w:sz w:val="22"/>
          <w:szCs w:val="22"/>
        </w:rPr>
        <w:t xml:space="preserve"> Directora o Director de Desarrollo Pecuario, en el carácter de Vocal.</w:t>
      </w:r>
    </w:p>
    <w:p>
      <w:pPr>
        <w:pBdr>
          <w:top w:val="nil"/>
          <w:left w:val="nil"/>
          <w:bottom w:val="nil"/>
          <w:right w:val="nil"/>
          <w:between w:val="nil"/>
        </w:pBdr>
        <w:ind w:right="51"/>
        <w:jc w:val="both"/>
        <w:rPr>
          <w:rFonts w:ascii="Verdana" w:eastAsia="Verdana" w:hAnsi="Verdana" w:cs="Arial"/>
          <w:color w:val="000000"/>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color w:val="000000"/>
          <w:sz w:val="22"/>
          <w:szCs w:val="22"/>
        </w:rPr>
        <w:t xml:space="preserve">Los integrantes del Comité podrán designar suplentes. </w:t>
      </w:r>
    </w:p>
    <w:p>
      <w:pPr>
        <w:pBdr>
          <w:top w:val="nil"/>
          <w:left w:val="nil"/>
          <w:bottom w:val="nil"/>
          <w:right w:val="nil"/>
          <w:between w:val="nil"/>
        </w:pBdr>
        <w:ind w:right="51"/>
        <w:jc w:val="both"/>
        <w:rPr>
          <w:rFonts w:ascii="Verdana" w:eastAsia="Verdana" w:hAnsi="Verdana" w:cs="Arial"/>
          <w:b/>
          <w:sz w:val="22"/>
          <w:szCs w:val="22"/>
        </w:rPr>
      </w:pPr>
    </w:p>
    <w:p>
      <w:pPr>
        <w:pBdr>
          <w:top w:val="nil"/>
          <w:left w:val="nil"/>
          <w:bottom w:val="nil"/>
          <w:right w:val="nil"/>
          <w:between w:val="nil"/>
        </w:pBdr>
        <w:ind w:right="51"/>
        <w:jc w:val="both"/>
        <w:rPr>
          <w:rFonts w:ascii="Verdana" w:eastAsia="Verdana" w:hAnsi="Verdana" w:cs="Arial"/>
          <w:color w:val="000000"/>
          <w:sz w:val="22"/>
          <w:szCs w:val="22"/>
        </w:rPr>
      </w:pPr>
      <w:r>
        <w:rPr>
          <w:rFonts w:ascii="Verdana" w:eastAsia="Verdana" w:hAnsi="Verdana" w:cs="Arial"/>
          <w:b/>
          <w:sz w:val="22"/>
          <w:szCs w:val="22"/>
        </w:rPr>
        <w:t xml:space="preserve">2.6.4.2. </w:t>
      </w:r>
      <w:r>
        <w:rPr>
          <w:rFonts w:ascii="Verdana" w:eastAsia="Verdana" w:hAnsi="Verdana" w:cs="Arial"/>
          <w:b/>
          <w:color w:val="000000"/>
          <w:sz w:val="22"/>
          <w:szCs w:val="22"/>
        </w:rPr>
        <w:t xml:space="preserve">Facultades del Comité de Dictaminación y Evaluación: </w:t>
      </w:r>
      <w:r>
        <w:rPr>
          <w:rFonts w:ascii="Verdana" w:eastAsia="Verdana" w:hAnsi="Verdana" w:cs="Arial"/>
          <w:color w:val="000000"/>
          <w:sz w:val="22"/>
          <w:szCs w:val="22"/>
        </w:rPr>
        <w:t xml:space="preserve">El Comité de Dictaminación y Evaluación está facultado para: </w:t>
      </w:r>
    </w:p>
    <w:p>
      <w:pPr>
        <w:pBdr>
          <w:top w:val="nil"/>
          <w:left w:val="nil"/>
          <w:bottom w:val="nil"/>
          <w:right w:val="nil"/>
          <w:between w:val="nil"/>
        </w:pBdr>
        <w:ind w:right="51" w:firstLine="709"/>
        <w:jc w:val="both"/>
        <w:rPr>
          <w:rFonts w:ascii="Verdana" w:eastAsia="Verdana" w:hAnsi="Verdana" w:cs="Arial"/>
          <w:color w:val="000000"/>
          <w:sz w:val="22"/>
          <w:szCs w:val="22"/>
        </w:rPr>
      </w:pPr>
    </w:p>
    <w:p>
      <w:pPr>
        <w:numPr>
          <w:ilvl w:val="0"/>
          <w:numId w:val="14"/>
        </w:numPr>
        <w:pBdr>
          <w:top w:val="nil"/>
          <w:left w:val="nil"/>
          <w:bottom w:val="nil"/>
          <w:right w:val="nil"/>
          <w:between w:val="nil"/>
        </w:pBdr>
        <w:tabs>
          <w:tab w:val="left" w:pos="708"/>
        </w:tabs>
        <w:suppressAutoHyphens w:val="0"/>
        <w:spacing w:line="276" w:lineRule="auto"/>
        <w:ind w:left="709" w:right="51" w:hanging="283"/>
        <w:jc w:val="both"/>
        <w:rPr>
          <w:rFonts w:ascii="Verdana" w:eastAsia="Verdana" w:hAnsi="Verdana" w:cs="Arial"/>
          <w:color w:val="000000"/>
          <w:sz w:val="22"/>
          <w:szCs w:val="22"/>
        </w:rPr>
      </w:pPr>
      <w:r>
        <w:rPr>
          <w:rFonts w:ascii="Verdana" w:eastAsia="Verdana" w:hAnsi="Verdana" w:cs="Arial"/>
          <w:color w:val="000000"/>
          <w:sz w:val="22"/>
          <w:szCs w:val="22"/>
        </w:rPr>
        <w:t xml:space="preserve">Requerir, estudiar y analizar la información, así como la documentación de los expedientes de los solicitantes que hayan cumplido con los requisitos de las presentes Reglas de Operación para designar los apoyos del Programa; </w:t>
      </w:r>
    </w:p>
    <w:p>
      <w:pPr>
        <w:pBdr>
          <w:top w:val="nil"/>
          <w:left w:val="nil"/>
          <w:bottom w:val="nil"/>
          <w:right w:val="nil"/>
          <w:between w:val="nil"/>
        </w:pBdr>
        <w:ind w:right="51" w:firstLine="709"/>
        <w:rPr>
          <w:rFonts w:ascii="Verdana" w:eastAsia="Verdana" w:hAnsi="Verdana" w:cs="Arial"/>
          <w:color w:val="000000"/>
          <w:sz w:val="22"/>
          <w:szCs w:val="22"/>
        </w:rPr>
      </w:pPr>
    </w:p>
    <w:p>
      <w:pPr>
        <w:numPr>
          <w:ilvl w:val="0"/>
          <w:numId w:val="14"/>
        </w:numPr>
        <w:pBdr>
          <w:top w:val="nil"/>
          <w:left w:val="nil"/>
          <w:bottom w:val="nil"/>
          <w:right w:val="nil"/>
          <w:between w:val="nil"/>
        </w:pBdr>
        <w:tabs>
          <w:tab w:val="left" w:pos="708"/>
        </w:tabs>
        <w:suppressAutoHyphens w:val="0"/>
        <w:spacing w:line="276" w:lineRule="auto"/>
        <w:ind w:left="709" w:right="51" w:hanging="283"/>
        <w:jc w:val="both"/>
        <w:rPr>
          <w:rFonts w:ascii="Verdana" w:eastAsia="Verdana" w:hAnsi="Verdana" w:cs="Arial"/>
          <w:color w:val="000000"/>
          <w:sz w:val="22"/>
          <w:szCs w:val="22"/>
        </w:rPr>
      </w:pPr>
      <w:r>
        <w:rPr>
          <w:rFonts w:ascii="Verdana" w:eastAsia="Verdana" w:hAnsi="Verdana" w:cs="Arial"/>
          <w:color w:val="000000"/>
          <w:sz w:val="22"/>
          <w:szCs w:val="22"/>
        </w:rPr>
        <w:t>En caso de detectarse algún brote severo de brucelosis o tuberculosis en hatos ubicados en el territorio municipal, podrá destinar la totalidad del presupuesto del Programa a la erradicación de dichas enfermedades.</w:t>
      </w:r>
    </w:p>
    <w:p>
      <w:pPr>
        <w:pBdr>
          <w:top w:val="nil"/>
          <w:left w:val="nil"/>
          <w:bottom w:val="nil"/>
          <w:right w:val="nil"/>
          <w:between w:val="nil"/>
        </w:pBdr>
        <w:ind w:right="51"/>
        <w:jc w:val="both"/>
        <w:rPr>
          <w:rFonts w:ascii="Verdana" w:eastAsia="Verdana" w:hAnsi="Verdana" w:cs="Arial"/>
          <w:color w:val="000000"/>
          <w:sz w:val="22"/>
          <w:szCs w:val="22"/>
        </w:rPr>
      </w:pPr>
    </w:p>
    <w:p>
      <w:pPr>
        <w:numPr>
          <w:ilvl w:val="0"/>
          <w:numId w:val="14"/>
        </w:numPr>
        <w:pBdr>
          <w:top w:val="nil"/>
          <w:left w:val="nil"/>
          <w:bottom w:val="nil"/>
          <w:right w:val="nil"/>
          <w:between w:val="nil"/>
        </w:pBdr>
        <w:tabs>
          <w:tab w:val="left" w:pos="708"/>
        </w:tabs>
        <w:suppressAutoHyphens w:val="0"/>
        <w:spacing w:line="276" w:lineRule="auto"/>
        <w:ind w:left="709" w:right="51" w:hanging="283"/>
        <w:jc w:val="both"/>
        <w:rPr>
          <w:rFonts w:ascii="Verdana" w:eastAsia="Verdana" w:hAnsi="Verdana" w:cs="Arial"/>
          <w:color w:val="000000"/>
          <w:sz w:val="22"/>
          <w:szCs w:val="22"/>
        </w:rPr>
      </w:pPr>
      <w:r>
        <w:rPr>
          <w:rFonts w:ascii="Verdana" w:eastAsia="Verdana" w:hAnsi="Verdana" w:cs="Arial"/>
          <w:color w:val="000000"/>
          <w:sz w:val="22"/>
          <w:szCs w:val="22"/>
        </w:rPr>
        <w:t xml:space="preserve">Determinar todo lo no previsto en las presentes Reglas de Operación, así como la forma y plazos para la evaluación del Programa, con el fin de verificar el cumplimiento de los objetivos del mismo; </w:t>
      </w:r>
    </w:p>
    <w:p>
      <w:pPr>
        <w:pBdr>
          <w:top w:val="nil"/>
          <w:left w:val="nil"/>
          <w:bottom w:val="nil"/>
          <w:right w:val="nil"/>
          <w:between w:val="nil"/>
        </w:pBdr>
        <w:ind w:right="51" w:firstLine="709"/>
        <w:rPr>
          <w:rFonts w:ascii="Verdana" w:eastAsia="Verdana" w:hAnsi="Verdana" w:cs="Arial"/>
          <w:color w:val="000000"/>
          <w:sz w:val="22"/>
          <w:szCs w:val="22"/>
        </w:rPr>
      </w:pPr>
    </w:p>
    <w:p>
      <w:pPr>
        <w:numPr>
          <w:ilvl w:val="0"/>
          <w:numId w:val="14"/>
        </w:numPr>
        <w:pBdr>
          <w:top w:val="nil"/>
          <w:left w:val="nil"/>
          <w:bottom w:val="nil"/>
          <w:right w:val="nil"/>
          <w:between w:val="nil"/>
        </w:pBdr>
        <w:tabs>
          <w:tab w:val="left" w:pos="708"/>
        </w:tabs>
        <w:suppressAutoHyphens w:val="0"/>
        <w:spacing w:line="276" w:lineRule="auto"/>
        <w:ind w:left="709" w:right="51" w:hanging="283"/>
        <w:jc w:val="both"/>
        <w:rPr>
          <w:rFonts w:ascii="Verdana" w:eastAsia="Verdana" w:hAnsi="Verdana" w:cs="Arial"/>
          <w:color w:val="000000"/>
          <w:sz w:val="22"/>
          <w:szCs w:val="22"/>
        </w:rPr>
      </w:pPr>
      <w:r>
        <w:rPr>
          <w:rFonts w:ascii="Verdana" w:eastAsia="Verdana" w:hAnsi="Verdana" w:cs="Arial"/>
          <w:color w:val="000000"/>
          <w:sz w:val="22"/>
          <w:szCs w:val="22"/>
        </w:rPr>
        <w:t xml:space="preserve">En caso de existir algún saldo, el Comité podrá proponer al Ayuntamiento el destino como complementarios en la actividad ganadera; y </w:t>
      </w:r>
    </w:p>
    <w:p>
      <w:pPr>
        <w:pBdr>
          <w:top w:val="nil"/>
          <w:left w:val="nil"/>
          <w:bottom w:val="nil"/>
          <w:right w:val="nil"/>
          <w:between w:val="nil"/>
        </w:pBdr>
        <w:ind w:right="51" w:firstLine="709"/>
        <w:rPr>
          <w:rFonts w:ascii="Verdana" w:eastAsia="Verdana" w:hAnsi="Verdana" w:cs="Arial"/>
          <w:color w:val="000000"/>
          <w:sz w:val="22"/>
          <w:szCs w:val="22"/>
        </w:rPr>
      </w:pPr>
    </w:p>
    <w:p>
      <w:pPr>
        <w:pBdr>
          <w:top w:val="nil"/>
          <w:left w:val="nil"/>
          <w:bottom w:val="nil"/>
          <w:right w:val="nil"/>
          <w:between w:val="nil"/>
        </w:pBdr>
        <w:ind w:left="709" w:right="51" w:hanging="283"/>
        <w:jc w:val="both"/>
        <w:rPr>
          <w:rFonts w:ascii="Verdana" w:eastAsia="Verdana" w:hAnsi="Verdana" w:cs="Arial"/>
          <w:color w:val="000000"/>
          <w:sz w:val="22"/>
          <w:szCs w:val="22"/>
        </w:rPr>
      </w:pPr>
      <w:r>
        <w:rPr>
          <w:rFonts w:ascii="Verdana" w:eastAsia="Verdana" w:hAnsi="Verdana" w:cs="Arial"/>
          <w:color w:val="000000"/>
          <w:sz w:val="22"/>
          <w:szCs w:val="22"/>
        </w:rPr>
        <w:t xml:space="preserve">d) Formular la propuesta para la asignación de recursos para la continuidad del Programa para el ejercicio fiscal del año 2020, así como el proyecto de Reglas de Operación. </w:t>
      </w:r>
    </w:p>
    <w:p>
      <w:pPr>
        <w:pBdr>
          <w:top w:val="nil"/>
          <w:left w:val="nil"/>
          <w:bottom w:val="nil"/>
          <w:right w:val="nil"/>
          <w:between w:val="nil"/>
        </w:pBdr>
        <w:ind w:left="1418" w:right="51" w:hanging="284"/>
        <w:jc w:val="both"/>
        <w:rPr>
          <w:rFonts w:ascii="Verdana" w:eastAsia="Verdana" w:hAnsi="Verdana" w:cs="Arial"/>
          <w:color w:val="000000"/>
          <w:sz w:val="22"/>
          <w:szCs w:val="22"/>
        </w:rPr>
      </w:pPr>
    </w:p>
    <w:p>
      <w:pPr>
        <w:pBdr>
          <w:top w:val="nil"/>
          <w:left w:val="nil"/>
          <w:bottom w:val="nil"/>
          <w:right w:val="nil"/>
          <w:between w:val="nil"/>
        </w:pBdr>
        <w:ind w:left="709" w:right="51" w:hanging="283"/>
        <w:jc w:val="both"/>
        <w:rPr>
          <w:rFonts w:ascii="Verdana" w:eastAsia="Verdana" w:hAnsi="Verdana" w:cs="Arial"/>
          <w:color w:val="000000"/>
          <w:sz w:val="22"/>
          <w:szCs w:val="22"/>
        </w:rPr>
      </w:pPr>
      <w:r>
        <w:rPr>
          <w:rFonts w:ascii="Verdana" w:eastAsia="Verdana" w:hAnsi="Verdana" w:cs="Arial"/>
          <w:color w:val="000000"/>
          <w:sz w:val="22"/>
          <w:szCs w:val="22"/>
        </w:rPr>
        <w:t xml:space="preserve">e) Conocer los avances y acciones del Programa y en su caso emitir recomendaciones que estime pertinentes. </w:t>
      </w:r>
    </w:p>
    <w:p>
      <w:pPr>
        <w:pBdr>
          <w:top w:val="nil"/>
          <w:left w:val="nil"/>
          <w:bottom w:val="nil"/>
          <w:right w:val="nil"/>
          <w:between w:val="nil"/>
        </w:pBdr>
        <w:ind w:right="51"/>
        <w:jc w:val="both"/>
        <w:rPr>
          <w:rFonts w:ascii="Verdana" w:eastAsia="Verdana" w:hAnsi="Verdana" w:cs="Arial"/>
          <w:color w:val="000000"/>
          <w:sz w:val="22"/>
          <w:szCs w:val="22"/>
        </w:rPr>
      </w:pPr>
    </w:p>
    <w:p>
      <w:pPr>
        <w:tabs>
          <w:tab w:val="left" w:pos="708"/>
        </w:tabs>
        <w:jc w:val="both"/>
        <w:rPr>
          <w:rFonts w:ascii="Verdana" w:eastAsia="Verdana" w:hAnsi="Verdana" w:cs="Arial"/>
          <w:color w:val="000000"/>
          <w:sz w:val="22"/>
          <w:szCs w:val="22"/>
          <w:lang w:eastAsia="es-MX"/>
        </w:rPr>
      </w:pPr>
      <w:r>
        <w:rPr>
          <w:rFonts w:ascii="Verdana" w:eastAsia="Verdana" w:hAnsi="Verdana" w:cs="Arial"/>
          <w:b/>
          <w:sz w:val="22"/>
          <w:szCs w:val="22"/>
          <w:lang w:eastAsia="es-MX"/>
        </w:rPr>
        <w:t>2.6.2.3.</w:t>
      </w:r>
      <w:r>
        <w:rPr>
          <w:rFonts w:ascii="Verdana" w:eastAsia="Verdana" w:hAnsi="Verdana" w:cs="Arial"/>
          <w:b/>
          <w:color w:val="000000"/>
          <w:sz w:val="22"/>
          <w:szCs w:val="22"/>
          <w:lang w:eastAsia="es-MX"/>
        </w:rPr>
        <w:t xml:space="preserve"> Funciones del Comité.- </w:t>
      </w:r>
      <w:r>
        <w:rPr>
          <w:rFonts w:ascii="Verdana" w:eastAsia="Verdana" w:hAnsi="Verdana" w:cs="Arial"/>
          <w:color w:val="000000"/>
          <w:sz w:val="22"/>
          <w:szCs w:val="22"/>
          <w:lang w:eastAsia="es-MX"/>
        </w:rPr>
        <w:t>El Comité está facultado para:</w:t>
      </w:r>
    </w:p>
    <w:p>
      <w:pPr>
        <w:tabs>
          <w:tab w:val="left" w:pos="708"/>
        </w:tabs>
        <w:ind w:left="720"/>
        <w:jc w:val="both"/>
        <w:rPr>
          <w:rFonts w:ascii="Verdana" w:eastAsia="Verdana" w:hAnsi="Verdana" w:cs="Arial"/>
          <w:color w:val="000000"/>
          <w:sz w:val="22"/>
          <w:szCs w:val="22"/>
          <w:lang w:eastAsia="es-MX"/>
        </w:rPr>
      </w:pPr>
    </w:p>
    <w:p>
      <w:pPr>
        <w:numPr>
          <w:ilvl w:val="0"/>
          <w:numId w:val="19"/>
        </w:numPr>
        <w:tabs>
          <w:tab w:val="left" w:pos="708"/>
        </w:tabs>
        <w:suppressAutoHyphens w:val="0"/>
        <w:spacing w:line="276" w:lineRule="auto"/>
        <w:ind w:left="709" w:hanging="283"/>
        <w:jc w:val="both"/>
        <w:rPr>
          <w:rFonts w:ascii="Verdana" w:eastAsia="Verdana" w:hAnsi="Verdana" w:cs="Arial"/>
          <w:sz w:val="22"/>
          <w:szCs w:val="22"/>
          <w:lang w:eastAsia="es-MX"/>
        </w:rPr>
      </w:pPr>
      <w:r>
        <w:rPr>
          <w:rFonts w:ascii="Verdana" w:eastAsia="Verdana" w:hAnsi="Verdana" w:cs="Arial"/>
          <w:sz w:val="22"/>
          <w:szCs w:val="22"/>
          <w:lang w:eastAsia="es-MX"/>
        </w:rPr>
        <w:t>Determinar el padrón de personas beneficiarias del Programa, así como las altas y bajas que puedan surgir.</w:t>
      </w:r>
    </w:p>
    <w:p>
      <w:pPr>
        <w:tabs>
          <w:tab w:val="left" w:pos="708"/>
        </w:tabs>
        <w:ind w:left="1080"/>
        <w:jc w:val="both"/>
        <w:rPr>
          <w:rFonts w:ascii="Verdana" w:eastAsia="Verdana" w:hAnsi="Verdana" w:cs="Arial"/>
          <w:sz w:val="22"/>
          <w:szCs w:val="22"/>
          <w:lang w:eastAsia="es-MX"/>
        </w:rPr>
      </w:pPr>
    </w:p>
    <w:p>
      <w:pPr>
        <w:numPr>
          <w:ilvl w:val="0"/>
          <w:numId w:val="19"/>
        </w:numPr>
        <w:tabs>
          <w:tab w:val="left" w:pos="708"/>
        </w:tabs>
        <w:suppressAutoHyphens w:val="0"/>
        <w:spacing w:line="276" w:lineRule="auto"/>
        <w:ind w:left="709" w:hanging="283"/>
        <w:jc w:val="both"/>
        <w:rPr>
          <w:rFonts w:ascii="Verdana" w:eastAsia="Verdana" w:hAnsi="Verdana" w:cs="Arial"/>
          <w:sz w:val="22"/>
          <w:szCs w:val="22"/>
          <w:lang w:eastAsia="es-MX"/>
        </w:rPr>
      </w:pPr>
      <w:r>
        <w:rPr>
          <w:rFonts w:ascii="Verdana" w:eastAsia="Verdana" w:hAnsi="Verdana" w:cs="Arial"/>
          <w:sz w:val="22"/>
          <w:szCs w:val="22"/>
          <w:lang w:eastAsia="es-MX"/>
        </w:rPr>
        <w:t>Conocer los avances y acciones del Programa, y en su caso, emitir las recomendaciones que estime pertinentes.</w:t>
      </w:r>
    </w:p>
    <w:p>
      <w:pPr>
        <w:tabs>
          <w:tab w:val="left" w:pos="708"/>
        </w:tabs>
        <w:ind w:left="1080"/>
        <w:jc w:val="both"/>
        <w:rPr>
          <w:rFonts w:ascii="Verdana" w:eastAsia="Verdana" w:hAnsi="Verdana" w:cs="Arial"/>
          <w:sz w:val="22"/>
          <w:szCs w:val="22"/>
          <w:lang w:eastAsia="es-MX"/>
        </w:rPr>
      </w:pPr>
    </w:p>
    <w:p>
      <w:pPr>
        <w:numPr>
          <w:ilvl w:val="0"/>
          <w:numId w:val="19"/>
        </w:numPr>
        <w:tabs>
          <w:tab w:val="left" w:pos="708"/>
        </w:tabs>
        <w:suppressAutoHyphens w:val="0"/>
        <w:spacing w:line="276" w:lineRule="auto"/>
        <w:ind w:left="709"/>
        <w:jc w:val="both"/>
        <w:rPr>
          <w:rFonts w:ascii="Verdana" w:eastAsia="Verdana" w:hAnsi="Verdana" w:cs="Arial"/>
          <w:sz w:val="22"/>
          <w:szCs w:val="22"/>
          <w:lang w:eastAsia="es-MX"/>
        </w:rPr>
      </w:pPr>
      <w:r>
        <w:rPr>
          <w:rFonts w:ascii="Verdana" w:eastAsia="Verdana" w:hAnsi="Verdana" w:cs="Arial"/>
          <w:sz w:val="22"/>
          <w:szCs w:val="22"/>
          <w:lang w:eastAsia="es-MX"/>
        </w:rPr>
        <w:t>Requerir, estudiar, revisar, analizar cualquier información y/o  documentación inherente al Programa o de las personas beneficiarias.</w:t>
      </w:r>
    </w:p>
    <w:p>
      <w:pPr>
        <w:tabs>
          <w:tab w:val="left" w:pos="708"/>
        </w:tabs>
        <w:ind w:left="709"/>
        <w:jc w:val="both"/>
        <w:rPr>
          <w:rFonts w:ascii="Verdana" w:eastAsia="Verdana" w:hAnsi="Verdana" w:cs="Arial"/>
          <w:sz w:val="22"/>
          <w:szCs w:val="22"/>
          <w:lang w:eastAsia="es-MX"/>
        </w:rPr>
      </w:pPr>
    </w:p>
    <w:p>
      <w:pPr>
        <w:numPr>
          <w:ilvl w:val="0"/>
          <w:numId w:val="19"/>
        </w:numPr>
        <w:tabs>
          <w:tab w:val="left" w:pos="708"/>
        </w:tabs>
        <w:suppressAutoHyphens w:val="0"/>
        <w:spacing w:line="276" w:lineRule="auto"/>
        <w:ind w:left="709"/>
        <w:jc w:val="both"/>
        <w:rPr>
          <w:rFonts w:ascii="Verdana" w:eastAsia="Verdana" w:hAnsi="Verdana" w:cs="Arial"/>
          <w:sz w:val="22"/>
          <w:szCs w:val="22"/>
          <w:lang w:eastAsia="es-MX"/>
        </w:rPr>
      </w:pPr>
      <w:r>
        <w:rPr>
          <w:rFonts w:ascii="Verdana" w:eastAsia="Verdana" w:hAnsi="Verdana" w:cs="Arial"/>
          <w:sz w:val="22"/>
          <w:szCs w:val="22"/>
          <w:lang w:eastAsia="es-MX"/>
        </w:rPr>
        <w:t>Ordenar las supervisiones en los tiempos que estime pertinentes, de cualquier acción inherente al Programa.</w:t>
      </w:r>
    </w:p>
    <w:p>
      <w:pPr>
        <w:tabs>
          <w:tab w:val="left" w:pos="708"/>
        </w:tabs>
        <w:ind w:left="709" w:hanging="708"/>
        <w:rPr>
          <w:rFonts w:ascii="Verdana" w:eastAsia="Verdana" w:hAnsi="Verdana" w:cs="Arial"/>
          <w:color w:val="000000"/>
          <w:sz w:val="22"/>
          <w:szCs w:val="22"/>
          <w:lang w:eastAsia="es-MX"/>
        </w:rPr>
      </w:pPr>
    </w:p>
    <w:p>
      <w:pPr>
        <w:numPr>
          <w:ilvl w:val="0"/>
          <w:numId w:val="19"/>
        </w:numPr>
        <w:tabs>
          <w:tab w:val="left" w:pos="708"/>
        </w:tabs>
        <w:suppressAutoHyphens w:val="0"/>
        <w:spacing w:line="276" w:lineRule="auto"/>
        <w:ind w:left="709"/>
        <w:jc w:val="both"/>
        <w:rPr>
          <w:rFonts w:ascii="Verdana" w:eastAsia="Verdana" w:hAnsi="Verdana" w:cs="Arial"/>
          <w:sz w:val="22"/>
          <w:szCs w:val="22"/>
          <w:lang w:eastAsia="es-MX"/>
        </w:rPr>
      </w:pPr>
      <w:r>
        <w:rPr>
          <w:rFonts w:ascii="Verdana" w:eastAsia="Verdana" w:hAnsi="Verdana" w:cs="Arial"/>
          <w:sz w:val="22"/>
          <w:szCs w:val="22"/>
          <w:lang w:eastAsia="es-MX"/>
        </w:rPr>
        <w:t xml:space="preserve">Verificar la aplicación del inventario de los dispositivos de identificación oficial del Programa </w:t>
      </w:r>
      <w:r>
        <w:rPr>
          <w:rFonts w:ascii="Verdana" w:eastAsia="Verdana" w:hAnsi="Verdana" w:cs="Arial"/>
          <w:color w:val="000000"/>
          <w:sz w:val="22"/>
          <w:szCs w:val="22"/>
          <w:lang w:eastAsia="es-MX"/>
        </w:rPr>
        <w:t>“Apoyo para la Aplicación en Ganado de Dispositivo de Identificación Oficial” de los ejercicios fiscales 2017 y 2018.</w:t>
      </w:r>
    </w:p>
    <w:p>
      <w:pPr>
        <w:tabs>
          <w:tab w:val="left" w:pos="708"/>
        </w:tabs>
        <w:ind w:left="709"/>
        <w:jc w:val="both"/>
        <w:rPr>
          <w:rFonts w:ascii="Verdana" w:eastAsia="Verdana" w:hAnsi="Verdana" w:cs="Arial"/>
          <w:sz w:val="22"/>
          <w:szCs w:val="22"/>
          <w:lang w:eastAsia="es-MX"/>
        </w:rPr>
      </w:pPr>
    </w:p>
    <w:p>
      <w:pPr>
        <w:numPr>
          <w:ilvl w:val="0"/>
          <w:numId w:val="19"/>
        </w:numPr>
        <w:tabs>
          <w:tab w:val="left" w:pos="708"/>
        </w:tabs>
        <w:suppressAutoHyphens w:val="0"/>
        <w:spacing w:line="276" w:lineRule="auto"/>
        <w:ind w:left="709"/>
        <w:jc w:val="both"/>
        <w:rPr>
          <w:rFonts w:ascii="Verdana" w:eastAsia="Verdana" w:hAnsi="Verdana" w:cs="Arial"/>
          <w:sz w:val="22"/>
          <w:szCs w:val="22"/>
          <w:lang w:eastAsia="es-MX"/>
        </w:rPr>
      </w:pPr>
      <w:r>
        <w:rPr>
          <w:rFonts w:ascii="Verdana" w:eastAsia="Verdana" w:hAnsi="Verdana" w:cs="Arial"/>
          <w:sz w:val="22"/>
          <w:szCs w:val="22"/>
          <w:lang w:eastAsia="es-MX"/>
        </w:rPr>
        <w:t>Analizar y en su caso aprobar la evaluación del Programa, con el fin de verificar el cumplimiento de los objetivos del mismo, para determinar su continuidad, así como posibles ajustes a las Reglas de Operación para el año 2020.</w:t>
      </w:r>
    </w:p>
    <w:p>
      <w:pPr>
        <w:tabs>
          <w:tab w:val="left" w:pos="708"/>
        </w:tabs>
        <w:ind w:left="709"/>
        <w:jc w:val="both"/>
        <w:rPr>
          <w:rFonts w:ascii="Verdana" w:eastAsia="Verdana" w:hAnsi="Verdana" w:cs="Arial"/>
          <w:sz w:val="22"/>
          <w:szCs w:val="22"/>
          <w:lang w:eastAsia="es-MX"/>
        </w:rPr>
      </w:pPr>
    </w:p>
    <w:p>
      <w:pPr>
        <w:numPr>
          <w:ilvl w:val="0"/>
          <w:numId w:val="19"/>
        </w:numPr>
        <w:tabs>
          <w:tab w:val="left" w:pos="708"/>
        </w:tabs>
        <w:suppressAutoHyphens w:val="0"/>
        <w:spacing w:line="276" w:lineRule="auto"/>
        <w:ind w:left="709"/>
        <w:jc w:val="both"/>
        <w:rPr>
          <w:rFonts w:ascii="Verdana" w:eastAsia="Verdana" w:hAnsi="Verdana" w:cs="Arial"/>
          <w:sz w:val="22"/>
          <w:szCs w:val="22"/>
          <w:lang w:eastAsia="es-MX"/>
        </w:rPr>
      </w:pPr>
      <w:r>
        <w:rPr>
          <w:rFonts w:ascii="Verdana" w:eastAsia="Verdana" w:hAnsi="Verdana" w:cs="Arial"/>
          <w:sz w:val="22"/>
          <w:szCs w:val="22"/>
          <w:lang w:eastAsia="es-MX"/>
        </w:rPr>
        <w:t>Formular la propuesta para la asignación de recursos para la continuidad del Programa en relación al ejercicio fiscal del año 2020, así como el proyecto de Reglas de Operación.</w:t>
      </w:r>
    </w:p>
    <w:p>
      <w:pPr>
        <w:tabs>
          <w:tab w:val="left" w:pos="708"/>
        </w:tabs>
        <w:ind w:left="709"/>
        <w:jc w:val="both"/>
        <w:rPr>
          <w:rFonts w:ascii="Verdana" w:eastAsia="Verdana" w:hAnsi="Verdana" w:cs="Arial"/>
          <w:sz w:val="22"/>
          <w:szCs w:val="22"/>
          <w:lang w:eastAsia="es-MX"/>
        </w:rPr>
      </w:pPr>
    </w:p>
    <w:p>
      <w:pPr>
        <w:numPr>
          <w:ilvl w:val="0"/>
          <w:numId w:val="19"/>
        </w:numPr>
        <w:tabs>
          <w:tab w:val="left" w:pos="708"/>
        </w:tabs>
        <w:suppressAutoHyphens w:val="0"/>
        <w:spacing w:line="276" w:lineRule="auto"/>
        <w:ind w:left="709"/>
        <w:jc w:val="both"/>
        <w:rPr>
          <w:rFonts w:ascii="Verdana" w:eastAsia="Verdana" w:hAnsi="Verdana" w:cs="Arial"/>
          <w:sz w:val="22"/>
          <w:szCs w:val="22"/>
          <w:lang w:eastAsia="es-MX"/>
        </w:rPr>
      </w:pPr>
      <w:r>
        <w:rPr>
          <w:rFonts w:ascii="Verdana" w:eastAsia="Verdana" w:hAnsi="Verdana" w:cs="Arial"/>
          <w:sz w:val="22"/>
          <w:szCs w:val="22"/>
          <w:lang w:eastAsia="es-MX"/>
        </w:rPr>
        <w:t>Las demás previstas en las presentes Reglas de Operación.</w:t>
      </w:r>
    </w:p>
    <w:p>
      <w:pPr>
        <w:tabs>
          <w:tab w:val="left" w:pos="708"/>
        </w:tabs>
        <w:ind w:left="709"/>
        <w:jc w:val="both"/>
        <w:rPr>
          <w:rFonts w:ascii="Verdana" w:eastAsia="Verdana" w:hAnsi="Verdana" w:cs="Arial"/>
          <w:sz w:val="22"/>
          <w:szCs w:val="22"/>
          <w:lang w:eastAsia="es-MX"/>
        </w:rPr>
      </w:pPr>
    </w:p>
    <w:p>
      <w:pPr>
        <w:numPr>
          <w:ilvl w:val="0"/>
          <w:numId w:val="19"/>
        </w:numPr>
        <w:tabs>
          <w:tab w:val="left" w:pos="708"/>
        </w:tabs>
        <w:suppressAutoHyphens w:val="0"/>
        <w:spacing w:line="276" w:lineRule="auto"/>
        <w:ind w:left="709"/>
        <w:jc w:val="both"/>
        <w:rPr>
          <w:rFonts w:ascii="Verdana" w:eastAsia="Verdana" w:hAnsi="Verdana" w:cs="Arial"/>
          <w:sz w:val="22"/>
          <w:szCs w:val="22"/>
          <w:lang w:eastAsia="es-MX"/>
        </w:rPr>
      </w:pPr>
      <w:r>
        <w:rPr>
          <w:rFonts w:ascii="Verdana" w:eastAsia="Verdana" w:hAnsi="Verdana" w:cs="Arial"/>
          <w:sz w:val="22"/>
          <w:szCs w:val="22"/>
          <w:lang w:eastAsia="es-MX"/>
        </w:rPr>
        <w:t>Para los casos no previstos, se estará a lo que resuelva el Comité del Programa.</w:t>
      </w:r>
    </w:p>
    <w:p>
      <w:pPr>
        <w:tabs>
          <w:tab w:val="left" w:pos="708"/>
        </w:tabs>
        <w:jc w:val="both"/>
        <w:rPr>
          <w:rFonts w:ascii="Verdana" w:eastAsia="Verdana" w:hAnsi="Verdana" w:cs="Arial"/>
          <w:color w:val="000000"/>
          <w:sz w:val="22"/>
          <w:szCs w:val="22"/>
          <w:lang w:eastAsia="es-MX"/>
        </w:rPr>
      </w:pPr>
    </w:p>
    <w:p>
      <w:pPr>
        <w:widowControl w:val="0"/>
        <w:tabs>
          <w:tab w:val="left" w:pos="708"/>
        </w:tabs>
        <w:jc w:val="both"/>
        <w:rPr>
          <w:rFonts w:ascii="Verdana" w:eastAsia="Verdana" w:hAnsi="Verdana" w:cs="Arial"/>
          <w:b/>
          <w:sz w:val="22"/>
          <w:szCs w:val="22"/>
          <w:lang w:eastAsia="es-MX"/>
        </w:rPr>
      </w:pPr>
      <w:r>
        <w:rPr>
          <w:rFonts w:ascii="Verdana" w:eastAsia="Verdana" w:hAnsi="Verdana" w:cs="Arial"/>
          <w:b/>
          <w:sz w:val="22"/>
          <w:szCs w:val="22"/>
          <w:lang w:eastAsia="es-MX"/>
        </w:rPr>
        <w:t>2.6.2.4.</w:t>
      </w:r>
      <w:r>
        <w:rPr>
          <w:rFonts w:ascii="Verdana" w:eastAsia="Verdana" w:hAnsi="Verdana" w:cs="Arial"/>
          <w:b/>
          <w:color w:val="000000"/>
          <w:sz w:val="22"/>
          <w:szCs w:val="22"/>
          <w:lang w:eastAsia="es-MX"/>
        </w:rPr>
        <w:t xml:space="preserve"> Del Funcionamiento del Comité.</w:t>
      </w:r>
    </w:p>
    <w:p>
      <w:pPr>
        <w:tabs>
          <w:tab w:val="left" w:pos="708"/>
          <w:tab w:val="left" w:pos="960"/>
        </w:tabs>
        <w:jc w:val="both"/>
        <w:rPr>
          <w:rFonts w:ascii="Verdana" w:eastAsia="Verdana" w:hAnsi="Verdana" w:cs="Arial"/>
          <w:b/>
          <w:color w:val="000000"/>
          <w:sz w:val="22"/>
          <w:szCs w:val="22"/>
          <w:lang w:eastAsia="es-MX"/>
        </w:rPr>
      </w:pPr>
      <w:r>
        <w:rPr>
          <w:rFonts w:ascii="Verdana" w:eastAsia="Verdana" w:hAnsi="Verdana" w:cs="Arial"/>
          <w:b/>
          <w:color w:val="000000"/>
          <w:sz w:val="22"/>
          <w:szCs w:val="22"/>
          <w:lang w:eastAsia="es-MX"/>
        </w:rPr>
        <w:tab/>
      </w:r>
    </w:p>
    <w:p>
      <w:pPr>
        <w:numPr>
          <w:ilvl w:val="0"/>
          <w:numId w:val="20"/>
        </w:numPr>
        <w:tabs>
          <w:tab w:val="left" w:pos="709"/>
        </w:tabs>
        <w:suppressAutoHyphens w:val="0"/>
        <w:spacing w:line="276" w:lineRule="auto"/>
        <w:jc w:val="both"/>
        <w:rPr>
          <w:rFonts w:ascii="Verdana" w:eastAsia="Verdana" w:hAnsi="Verdana" w:cs="Arial"/>
          <w:color w:val="000000"/>
          <w:sz w:val="22"/>
          <w:szCs w:val="22"/>
          <w:lang w:eastAsia="es-MX"/>
        </w:rPr>
      </w:pPr>
      <w:r>
        <w:rPr>
          <w:rFonts w:ascii="Verdana" w:eastAsia="Verdana" w:hAnsi="Verdana" w:cs="Arial"/>
          <w:color w:val="000000"/>
          <w:sz w:val="22"/>
          <w:szCs w:val="22"/>
          <w:lang w:eastAsia="es-MX"/>
        </w:rPr>
        <w:lastRenderedPageBreak/>
        <w:t>Para el funcionamiento del Comité se aplicarán de forma supletoria las disposiciones previstas para el Ayuntamiento de este Municipio, previstas en el Reglamento del Ayuntamiento del Municipio de Tlajomulco de Zúñiga, Jalisco.</w:t>
      </w:r>
    </w:p>
    <w:p>
      <w:pPr>
        <w:tabs>
          <w:tab w:val="left" w:pos="708"/>
          <w:tab w:val="left" w:pos="2755"/>
        </w:tabs>
        <w:jc w:val="both"/>
        <w:rPr>
          <w:rFonts w:ascii="Verdana" w:eastAsia="Verdana" w:hAnsi="Verdana" w:cs="Arial"/>
          <w:color w:val="000000"/>
          <w:sz w:val="22"/>
          <w:szCs w:val="22"/>
          <w:lang w:eastAsia="es-MX"/>
        </w:rPr>
      </w:pPr>
    </w:p>
    <w:p>
      <w:pPr>
        <w:numPr>
          <w:ilvl w:val="0"/>
          <w:numId w:val="20"/>
        </w:numPr>
        <w:tabs>
          <w:tab w:val="left" w:pos="709"/>
        </w:tabs>
        <w:suppressAutoHyphens w:val="0"/>
        <w:spacing w:line="276" w:lineRule="auto"/>
        <w:jc w:val="both"/>
        <w:rPr>
          <w:rFonts w:ascii="Verdana" w:eastAsia="Verdana" w:hAnsi="Verdana" w:cs="Arial"/>
          <w:color w:val="000000"/>
          <w:sz w:val="22"/>
          <w:szCs w:val="22"/>
          <w:lang w:eastAsia="es-MX"/>
        </w:rPr>
      </w:pPr>
      <w:r>
        <w:rPr>
          <w:rFonts w:ascii="Verdana" w:eastAsia="Verdana" w:hAnsi="Verdana" w:cs="Arial"/>
          <w:color w:val="000000"/>
          <w:sz w:val="22"/>
          <w:szCs w:val="22"/>
          <w:lang w:eastAsia="es-MX"/>
        </w:rPr>
        <w:t>De cada reunión de trabajo, el Secretario Técnico elaborará un acta, la cual deberá firmarse por los integrantes asistentes a las mismas.</w:t>
      </w:r>
    </w:p>
    <w:p>
      <w:pPr>
        <w:ind w:right="51"/>
        <w:jc w:val="both"/>
        <w:rPr>
          <w:rFonts w:ascii="Verdana" w:eastAsia="Verdana" w:hAnsi="Verdana" w:cs="Arial"/>
          <w:b/>
          <w:color w:val="000000"/>
          <w:sz w:val="22"/>
          <w:szCs w:val="22"/>
          <w:lang w:eastAsia="es-MX"/>
        </w:rPr>
      </w:pPr>
    </w:p>
    <w:p>
      <w:pPr>
        <w:ind w:right="51"/>
        <w:jc w:val="both"/>
        <w:rPr>
          <w:rFonts w:ascii="Verdana" w:eastAsia="Verdana" w:hAnsi="Verdana" w:cs="Arial"/>
          <w:b/>
          <w:color w:val="000000"/>
          <w:sz w:val="22"/>
          <w:szCs w:val="22"/>
          <w:lang w:eastAsia="es-MX"/>
        </w:rPr>
      </w:pPr>
      <w:r>
        <w:rPr>
          <w:rFonts w:ascii="Verdana" w:eastAsia="Verdana" w:hAnsi="Verdana" w:cs="Arial"/>
          <w:b/>
          <w:sz w:val="22"/>
          <w:szCs w:val="22"/>
          <w:lang w:eastAsia="es-MX"/>
        </w:rPr>
        <w:t xml:space="preserve">3. </w:t>
      </w:r>
      <w:r>
        <w:rPr>
          <w:rFonts w:ascii="Verdana" w:eastAsia="Verdana" w:hAnsi="Verdana" w:cs="Arial"/>
          <w:b/>
          <w:color w:val="000000"/>
          <w:sz w:val="22"/>
          <w:szCs w:val="22"/>
          <w:lang w:eastAsia="es-MX"/>
        </w:rPr>
        <w:t>EVALUACIÓN:</w:t>
      </w:r>
    </w:p>
    <w:p>
      <w:pPr>
        <w:ind w:right="51"/>
        <w:jc w:val="both"/>
        <w:rPr>
          <w:rFonts w:ascii="Verdana" w:eastAsia="Verdana" w:hAnsi="Verdana" w:cs="Arial"/>
          <w:b/>
          <w:sz w:val="22"/>
          <w:szCs w:val="22"/>
          <w:lang w:eastAsia="es-MX"/>
        </w:rPr>
      </w:pPr>
    </w:p>
    <w:p>
      <w:pPr>
        <w:ind w:right="51"/>
        <w:jc w:val="both"/>
        <w:rPr>
          <w:rFonts w:ascii="Verdana" w:eastAsia="Verdana" w:hAnsi="Verdana" w:cs="Arial"/>
          <w:sz w:val="22"/>
          <w:szCs w:val="22"/>
          <w:lang w:eastAsia="es-MX"/>
        </w:rPr>
      </w:pPr>
      <w:bookmarkStart w:id="0" w:name="_GoBack"/>
      <w:bookmarkEnd w:id="0"/>
      <w:r>
        <w:rPr>
          <w:rFonts w:ascii="Verdana" w:eastAsia="Verdana" w:hAnsi="Verdana" w:cs="Arial"/>
          <w:b/>
          <w:sz w:val="22"/>
          <w:szCs w:val="22"/>
          <w:lang w:eastAsia="es-MX"/>
        </w:rPr>
        <w:t>3.1</w:t>
      </w:r>
      <w:r>
        <w:rPr>
          <w:rFonts w:ascii="Verdana" w:eastAsia="Verdana" w:hAnsi="Verdana" w:cs="Arial"/>
          <w:sz w:val="22"/>
          <w:szCs w:val="22"/>
          <w:lang w:eastAsia="es-MX"/>
        </w:rPr>
        <w:t xml:space="preserve">.- La </w:t>
      </w:r>
      <w:r>
        <w:rPr>
          <w:rFonts w:ascii="Verdana" w:eastAsia="Verdana" w:hAnsi="Verdana" w:cs="Arial"/>
          <w:color w:val="000000"/>
          <w:sz w:val="22"/>
          <w:szCs w:val="22"/>
          <w:lang w:eastAsia="es-MX"/>
        </w:rPr>
        <w:t xml:space="preserve">Dirección de Desarrollo Pecuario proporcionará a </w:t>
      </w:r>
      <w:r>
        <w:rPr>
          <w:rFonts w:ascii="Verdana" w:eastAsia="Verdana" w:hAnsi="Verdana" w:cs="Arial"/>
          <w:sz w:val="22"/>
          <w:szCs w:val="22"/>
          <w:lang w:eastAsia="es-MX"/>
        </w:rPr>
        <w:t xml:space="preserve">la Dirección General de Políticas Públicas la información necesaria para su análisis y validación cubriendo los aspectos siguientes: </w:t>
      </w:r>
    </w:p>
    <w:p>
      <w:pPr>
        <w:ind w:right="51"/>
        <w:jc w:val="both"/>
        <w:rPr>
          <w:rFonts w:ascii="Verdana" w:eastAsia="Verdana" w:hAnsi="Verdana" w:cs="Arial"/>
          <w:sz w:val="22"/>
          <w:szCs w:val="22"/>
          <w:lang w:eastAsia="es-MX"/>
        </w:rPr>
      </w:pPr>
    </w:p>
    <w:p>
      <w:pPr>
        <w:ind w:right="51"/>
        <w:jc w:val="both"/>
        <w:rPr>
          <w:rFonts w:ascii="Verdana" w:eastAsia="Verdana" w:hAnsi="Verdana" w:cs="Arial"/>
          <w:sz w:val="22"/>
          <w:szCs w:val="22"/>
          <w:lang w:eastAsia="es-MX"/>
        </w:rPr>
      </w:pPr>
      <w:r>
        <w:rPr>
          <w:rFonts w:ascii="Verdana" w:eastAsia="Verdana" w:hAnsi="Verdana" w:cs="Arial"/>
          <w:b/>
          <w:sz w:val="22"/>
          <w:szCs w:val="22"/>
          <w:lang w:eastAsia="es-MX"/>
        </w:rPr>
        <w:t>3.1.1.</w:t>
      </w:r>
      <w:r>
        <w:rPr>
          <w:rFonts w:ascii="Verdana" w:eastAsia="Verdana" w:hAnsi="Verdana" w:cs="Arial"/>
          <w:sz w:val="22"/>
          <w:szCs w:val="22"/>
          <w:lang w:eastAsia="es-MX"/>
        </w:rPr>
        <w:t>- Deberá realizarse con perspectiva de género y atendiendo al cumplimiento de los objetivos del Programa.</w:t>
      </w:r>
    </w:p>
    <w:p>
      <w:pPr>
        <w:ind w:right="51"/>
        <w:jc w:val="both"/>
        <w:rPr>
          <w:rFonts w:ascii="Verdana" w:eastAsia="Verdana" w:hAnsi="Verdana" w:cs="Arial"/>
          <w:sz w:val="22"/>
          <w:szCs w:val="22"/>
          <w:lang w:eastAsia="es-MX"/>
        </w:rPr>
      </w:pPr>
    </w:p>
    <w:p>
      <w:pPr>
        <w:ind w:right="51"/>
        <w:jc w:val="both"/>
        <w:rPr>
          <w:rFonts w:ascii="Verdana" w:eastAsia="Verdana" w:hAnsi="Verdana" w:cs="Arial"/>
          <w:sz w:val="22"/>
          <w:szCs w:val="22"/>
          <w:lang w:eastAsia="es-MX"/>
        </w:rPr>
      </w:pPr>
      <w:r>
        <w:rPr>
          <w:rFonts w:ascii="Verdana" w:eastAsia="Verdana" w:hAnsi="Verdana" w:cs="Arial"/>
          <w:b/>
          <w:sz w:val="22"/>
          <w:szCs w:val="22"/>
          <w:lang w:eastAsia="es-MX"/>
        </w:rPr>
        <w:t>3.1.2.</w:t>
      </w:r>
      <w:r>
        <w:rPr>
          <w:rFonts w:ascii="Verdana" w:eastAsia="Verdana" w:hAnsi="Verdana" w:cs="Arial"/>
          <w:sz w:val="22"/>
          <w:szCs w:val="22"/>
          <w:lang w:eastAsia="es-MX"/>
        </w:rPr>
        <w:t>- Generará información del número de dispositivos de identificación oficial aplicados, número de las y los productores beneficiados, distribución de apoyos, localidades beneficiadas y presupuesto ejercido contra presupuesto autorizado, y demás información de utilidad para la continuidad del Programa.</w:t>
      </w:r>
    </w:p>
    <w:p>
      <w:pPr>
        <w:ind w:right="51"/>
        <w:jc w:val="both"/>
        <w:rPr>
          <w:rFonts w:ascii="Verdana" w:eastAsia="Verdana" w:hAnsi="Verdana" w:cs="Arial"/>
          <w:sz w:val="22"/>
          <w:szCs w:val="22"/>
          <w:lang w:eastAsia="es-MX"/>
        </w:rPr>
      </w:pPr>
    </w:p>
    <w:p>
      <w:pPr>
        <w:ind w:right="51"/>
        <w:jc w:val="both"/>
        <w:rPr>
          <w:rFonts w:ascii="Verdana" w:eastAsia="Verdana" w:hAnsi="Verdana" w:cs="Arial"/>
          <w:sz w:val="22"/>
          <w:szCs w:val="22"/>
          <w:lang w:eastAsia="es-MX"/>
        </w:rPr>
      </w:pPr>
      <w:r>
        <w:rPr>
          <w:rFonts w:ascii="Verdana" w:eastAsia="Verdana" w:hAnsi="Verdana" w:cs="Arial"/>
          <w:b/>
          <w:sz w:val="22"/>
          <w:szCs w:val="22"/>
          <w:lang w:eastAsia="es-MX"/>
        </w:rPr>
        <w:t>3.2</w:t>
      </w:r>
      <w:r>
        <w:rPr>
          <w:rFonts w:ascii="Verdana" w:eastAsia="Verdana" w:hAnsi="Verdana" w:cs="Arial"/>
          <w:sz w:val="22"/>
          <w:szCs w:val="22"/>
          <w:lang w:eastAsia="es-MX"/>
        </w:rPr>
        <w:t>.- Con la información se generará la Matriz de Indicadores para Resultados (MIR) del Programa.</w:t>
      </w:r>
    </w:p>
    <w:p>
      <w:pPr>
        <w:ind w:right="51"/>
        <w:jc w:val="both"/>
        <w:rPr>
          <w:rFonts w:ascii="Verdana" w:eastAsia="Verdana" w:hAnsi="Verdana" w:cs="Arial"/>
          <w:sz w:val="22"/>
          <w:szCs w:val="22"/>
          <w:lang w:eastAsia="es-MX"/>
        </w:rPr>
      </w:pPr>
    </w:p>
    <w:p>
      <w:pPr>
        <w:ind w:right="51"/>
        <w:jc w:val="both"/>
        <w:rPr>
          <w:rFonts w:ascii="Verdana" w:eastAsia="Verdana" w:hAnsi="Verdana" w:cs="Arial"/>
          <w:sz w:val="22"/>
          <w:szCs w:val="22"/>
          <w:lang w:eastAsia="es-MX"/>
        </w:rPr>
      </w:pPr>
      <w:r>
        <w:rPr>
          <w:rFonts w:ascii="Verdana" w:eastAsia="Verdana" w:hAnsi="Verdana" w:cs="Arial"/>
          <w:b/>
          <w:sz w:val="22"/>
          <w:szCs w:val="22"/>
          <w:lang w:eastAsia="es-MX"/>
        </w:rPr>
        <w:t>3.3</w:t>
      </w:r>
      <w:r>
        <w:rPr>
          <w:rFonts w:ascii="Verdana" w:eastAsia="Verdana" w:hAnsi="Verdana" w:cs="Arial"/>
          <w:sz w:val="22"/>
          <w:szCs w:val="22"/>
          <w:lang w:eastAsia="es-MX"/>
        </w:rPr>
        <w:t xml:space="preserve">.- Con base Matriz de Indicadores para Resultados (MIR) del Programa, la </w:t>
      </w:r>
      <w:r>
        <w:rPr>
          <w:rFonts w:ascii="Verdana" w:eastAsia="Verdana" w:hAnsi="Verdana" w:cs="Arial"/>
          <w:color w:val="000000"/>
          <w:sz w:val="22"/>
          <w:szCs w:val="22"/>
          <w:lang w:eastAsia="es-MX"/>
        </w:rPr>
        <w:t>Dirección de Desarrollo Pecuario presentará al Comité el informe de resultados</w:t>
      </w:r>
      <w:r>
        <w:rPr>
          <w:rFonts w:ascii="Verdana" w:eastAsia="Verdana" w:hAnsi="Verdana" w:cs="Arial"/>
          <w:sz w:val="22"/>
          <w:szCs w:val="22"/>
          <w:lang w:eastAsia="es-MX"/>
        </w:rPr>
        <w:t xml:space="preserve"> para la elaboración de la evaluación del Programa.</w:t>
      </w:r>
    </w:p>
    <w:p>
      <w:pPr>
        <w:ind w:right="51"/>
        <w:jc w:val="both"/>
        <w:rPr>
          <w:rFonts w:ascii="Verdana" w:eastAsia="Verdana" w:hAnsi="Verdana" w:cs="Arial"/>
          <w:sz w:val="22"/>
          <w:szCs w:val="22"/>
          <w:lang w:eastAsia="es-MX"/>
        </w:rPr>
      </w:pPr>
    </w:p>
    <w:p>
      <w:pPr>
        <w:ind w:right="51"/>
        <w:jc w:val="both"/>
        <w:rPr>
          <w:rFonts w:ascii="Verdana" w:eastAsia="Verdana" w:hAnsi="Verdana" w:cs="Arial"/>
          <w:sz w:val="22"/>
          <w:szCs w:val="22"/>
          <w:lang w:eastAsia="es-MX"/>
        </w:rPr>
      </w:pPr>
      <w:r>
        <w:rPr>
          <w:rFonts w:ascii="Verdana" w:eastAsia="Verdana" w:hAnsi="Verdana" w:cs="Arial"/>
          <w:sz w:val="22"/>
          <w:szCs w:val="22"/>
          <w:lang w:eastAsia="es-MX"/>
        </w:rPr>
        <w:t>3.4.-En base a la evaluación presentada, el Comité Dictaminador determinará la propuesta de la continuidad del Programa para el ejercicio fiscal 2020.</w:t>
      </w:r>
    </w:p>
    <w:p>
      <w:pPr>
        <w:ind w:right="51"/>
        <w:jc w:val="both"/>
        <w:rPr>
          <w:rFonts w:ascii="Verdana" w:eastAsia="Verdana" w:hAnsi="Verdana" w:cs="Arial"/>
          <w:b/>
          <w:color w:val="000000"/>
          <w:sz w:val="22"/>
          <w:szCs w:val="22"/>
          <w:lang w:eastAsia="es-MX"/>
        </w:rPr>
      </w:pPr>
    </w:p>
    <w:p>
      <w:pPr>
        <w:ind w:right="51"/>
        <w:jc w:val="both"/>
        <w:rPr>
          <w:rFonts w:ascii="Verdana" w:eastAsia="Verdana" w:hAnsi="Verdana" w:cs="Arial"/>
          <w:color w:val="000000"/>
          <w:sz w:val="22"/>
          <w:szCs w:val="22"/>
          <w:lang w:eastAsia="es-MX"/>
        </w:rPr>
      </w:pPr>
      <w:r>
        <w:rPr>
          <w:rFonts w:ascii="Verdana" w:eastAsia="Verdana" w:hAnsi="Verdana" w:cs="Arial"/>
          <w:b/>
          <w:sz w:val="22"/>
          <w:szCs w:val="22"/>
          <w:lang w:eastAsia="es-MX"/>
        </w:rPr>
        <w:t>4. DISPOSICIONES FINALES:</w:t>
      </w:r>
    </w:p>
    <w:p>
      <w:pPr>
        <w:ind w:right="51"/>
        <w:jc w:val="both"/>
        <w:rPr>
          <w:rFonts w:ascii="Verdana" w:eastAsia="Verdana" w:hAnsi="Verdana" w:cs="Arial"/>
          <w:b/>
          <w:sz w:val="22"/>
          <w:szCs w:val="22"/>
          <w:lang w:eastAsia="es-MX"/>
        </w:rPr>
      </w:pPr>
    </w:p>
    <w:p>
      <w:pPr>
        <w:ind w:right="51"/>
        <w:jc w:val="both"/>
        <w:rPr>
          <w:rFonts w:ascii="Verdana" w:eastAsia="Verdana" w:hAnsi="Verdana" w:cs="Arial"/>
          <w:b/>
          <w:sz w:val="22"/>
          <w:szCs w:val="22"/>
          <w:lang w:eastAsia="es-MX"/>
        </w:rPr>
      </w:pPr>
      <w:r>
        <w:rPr>
          <w:rFonts w:ascii="Verdana" w:eastAsia="Verdana" w:hAnsi="Verdana" w:cs="Arial"/>
          <w:b/>
          <w:sz w:val="22"/>
          <w:szCs w:val="22"/>
          <w:lang w:eastAsia="es-MX"/>
        </w:rPr>
        <w:t>4.1. Padrón de Beneficiarios.</w:t>
      </w:r>
    </w:p>
    <w:p>
      <w:pPr>
        <w:ind w:right="51"/>
        <w:jc w:val="both"/>
        <w:rPr>
          <w:rFonts w:ascii="Verdana" w:eastAsia="Verdana" w:hAnsi="Verdana" w:cs="Arial"/>
          <w:b/>
          <w:sz w:val="22"/>
          <w:szCs w:val="22"/>
          <w:lang w:eastAsia="es-MX"/>
        </w:rPr>
      </w:pPr>
      <w:r>
        <w:rPr>
          <w:rFonts w:ascii="Verdana" w:eastAsia="Verdana" w:hAnsi="Verdana" w:cs="Arial"/>
          <w:sz w:val="22"/>
          <w:szCs w:val="22"/>
          <w:lang w:eastAsia="es-MX"/>
        </w:rPr>
        <w:t>El padrón de beneficiarios del Programa será publicado en los términos de la Ley de Transparencia y Acceso a la Información Pública del Estado de Jalisco y sus Municipios en el portal de Internet del Gobierno Municipal</w:t>
      </w:r>
      <w:r>
        <w:rPr>
          <w:rFonts w:ascii="Verdana" w:eastAsia="Verdana" w:hAnsi="Verdana" w:cs="Arial"/>
          <w:b/>
          <w:sz w:val="22"/>
          <w:szCs w:val="22"/>
          <w:lang w:eastAsia="es-MX"/>
        </w:rPr>
        <w:t xml:space="preserve">: </w:t>
      </w:r>
      <w:r>
        <w:rPr>
          <w:rFonts w:ascii="Verdana" w:eastAsia="Verdana" w:hAnsi="Verdana" w:cs="Arial"/>
          <w:sz w:val="22"/>
          <w:szCs w:val="22"/>
          <w:lang w:eastAsia="es-MX"/>
        </w:rPr>
        <w:t>www.tlajomulco.gob.mx</w:t>
      </w:r>
    </w:p>
    <w:p>
      <w:pPr>
        <w:ind w:right="51"/>
        <w:jc w:val="both"/>
        <w:rPr>
          <w:rFonts w:ascii="Verdana" w:eastAsia="Verdana" w:hAnsi="Verdana" w:cs="Arial"/>
          <w:b/>
          <w:sz w:val="22"/>
          <w:szCs w:val="22"/>
          <w:lang w:eastAsia="es-MX"/>
        </w:rPr>
      </w:pPr>
    </w:p>
    <w:p>
      <w:pPr>
        <w:ind w:right="51"/>
        <w:jc w:val="both"/>
        <w:rPr>
          <w:rFonts w:ascii="Verdana" w:eastAsia="Verdana" w:hAnsi="Verdana" w:cs="Arial"/>
          <w:b/>
          <w:sz w:val="22"/>
          <w:szCs w:val="22"/>
          <w:lang w:eastAsia="es-MX"/>
        </w:rPr>
      </w:pPr>
      <w:r>
        <w:rPr>
          <w:rFonts w:ascii="Verdana" w:eastAsia="Verdana" w:hAnsi="Verdana" w:cs="Arial"/>
          <w:b/>
          <w:sz w:val="22"/>
          <w:szCs w:val="22"/>
          <w:lang w:eastAsia="es-MX"/>
        </w:rPr>
        <w:t>4.2. Quejas y Denuncias</w:t>
      </w:r>
    </w:p>
    <w:p>
      <w:pPr>
        <w:pStyle w:val="NormalWeb"/>
        <w:tabs>
          <w:tab w:val="left" w:pos="0"/>
        </w:tabs>
        <w:spacing w:before="0" w:after="0" w:line="276" w:lineRule="auto"/>
        <w:jc w:val="both"/>
        <w:rPr>
          <w:rFonts w:ascii="Verdana" w:eastAsia="Calibri" w:hAnsi="Verdana" w:cs="Arial"/>
          <w:color w:val="000000"/>
          <w:sz w:val="22"/>
          <w:szCs w:val="22"/>
        </w:rPr>
      </w:pPr>
      <w:r>
        <w:rPr>
          <w:rFonts w:ascii="Verdana" w:eastAsia="Calibri" w:hAnsi="Verdana" w:cs="Arial"/>
          <w:color w:val="000000"/>
          <w:sz w:val="22"/>
          <w:szCs w:val="22"/>
        </w:rPr>
        <w:t>Cualquier persona tendrán el derecho de presentar quejas y denuncias que puedan dar lugar al financiamiento de responsabilidades administrativas y/o penales, ante las instancias correspondientes, ya sea por el incumplimiento de las disposiciones contenidas en las presentes Reglas de Operación y demás legislación y normatividad que resulte aplicable.</w:t>
      </w:r>
    </w:p>
    <w:p>
      <w:pPr>
        <w:pStyle w:val="NormalWeb"/>
        <w:tabs>
          <w:tab w:val="left" w:pos="0"/>
        </w:tabs>
        <w:spacing w:before="0" w:after="0" w:line="276" w:lineRule="auto"/>
        <w:jc w:val="both"/>
        <w:rPr>
          <w:rFonts w:ascii="Verdana" w:eastAsia="Calibri" w:hAnsi="Verdana" w:cs="Arial"/>
          <w:color w:val="000000"/>
          <w:sz w:val="22"/>
          <w:szCs w:val="22"/>
        </w:rPr>
      </w:pPr>
    </w:p>
    <w:p>
      <w:pPr>
        <w:pStyle w:val="NormalWeb"/>
        <w:tabs>
          <w:tab w:val="left" w:pos="0"/>
        </w:tabs>
        <w:spacing w:before="0" w:after="0" w:line="276" w:lineRule="auto"/>
        <w:jc w:val="both"/>
        <w:rPr>
          <w:rFonts w:ascii="Verdana" w:eastAsia="Calibri" w:hAnsi="Verdana" w:cs="Arial"/>
          <w:color w:val="000000"/>
          <w:sz w:val="22"/>
          <w:szCs w:val="22"/>
        </w:rPr>
      </w:pPr>
      <w:r>
        <w:rPr>
          <w:rFonts w:ascii="Verdana" w:eastAsia="Calibri" w:hAnsi="Verdana" w:cs="Arial"/>
          <w:color w:val="000000"/>
          <w:sz w:val="22"/>
          <w:szCs w:val="22"/>
        </w:rPr>
        <w:lastRenderedPageBreak/>
        <w:t xml:space="preserve">Las quejas y denuncias referentes a la implementación de este Programa deberán presentarse ante la Contraloría Municipal, las cuales podrán ser anónimas y confidenciales a través de: </w:t>
      </w:r>
    </w:p>
    <w:p>
      <w:pPr>
        <w:pStyle w:val="NormalWeb"/>
        <w:tabs>
          <w:tab w:val="left" w:pos="0"/>
        </w:tabs>
        <w:spacing w:before="0" w:after="0" w:line="276" w:lineRule="auto"/>
        <w:jc w:val="both"/>
        <w:rPr>
          <w:rFonts w:ascii="Verdana" w:eastAsia="Calibri" w:hAnsi="Verdana" w:cs="Arial"/>
          <w:color w:val="000000"/>
          <w:sz w:val="22"/>
          <w:szCs w:val="22"/>
        </w:rPr>
      </w:pPr>
    </w:p>
    <w:p>
      <w:pPr>
        <w:pStyle w:val="NormalWeb"/>
        <w:numPr>
          <w:ilvl w:val="0"/>
          <w:numId w:val="1"/>
        </w:numPr>
        <w:spacing w:before="0" w:after="0" w:line="276" w:lineRule="auto"/>
        <w:ind w:left="709" w:hanging="709"/>
        <w:jc w:val="both"/>
        <w:rPr>
          <w:rFonts w:ascii="Verdana" w:eastAsia="Calibri" w:hAnsi="Verdana" w:cs="Arial"/>
          <w:color w:val="000000"/>
          <w:sz w:val="22"/>
          <w:szCs w:val="22"/>
        </w:rPr>
      </w:pPr>
      <w:r>
        <w:rPr>
          <w:rFonts w:ascii="Verdana" w:eastAsia="Calibri" w:hAnsi="Verdana" w:cs="Arial"/>
          <w:color w:val="000000"/>
          <w:sz w:val="22"/>
          <w:szCs w:val="22"/>
        </w:rPr>
        <w:t>Directamente en las oficinas de la Contraloría Municipal, ubicadas en la calle Independencia Sur número 105, colonia Tlajomulco Centro, código postal 45640</w:t>
      </w:r>
    </w:p>
    <w:p>
      <w:pPr>
        <w:pStyle w:val="NormalWeb"/>
        <w:spacing w:before="0" w:after="0" w:line="276" w:lineRule="auto"/>
        <w:jc w:val="both"/>
        <w:rPr>
          <w:rFonts w:ascii="Verdana" w:eastAsia="Calibri" w:hAnsi="Verdana" w:cs="Arial"/>
          <w:color w:val="000000"/>
          <w:sz w:val="22"/>
          <w:szCs w:val="22"/>
        </w:rPr>
      </w:pPr>
    </w:p>
    <w:p>
      <w:pPr>
        <w:pStyle w:val="NormalWeb"/>
        <w:numPr>
          <w:ilvl w:val="0"/>
          <w:numId w:val="1"/>
        </w:numPr>
        <w:spacing w:before="0" w:after="0" w:line="276" w:lineRule="auto"/>
        <w:ind w:left="0" w:firstLine="0"/>
        <w:jc w:val="both"/>
        <w:rPr>
          <w:rFonts w:ascii="Verdana" w:eastAsia="Calibri" w:hAnsi="Verdana" w:cs="Arial"/>
          <w:color w:val="000000"/>
          <w:sz w:val="22"/>
          <w:szCs w:val="22"/>
        </w:rPr>
      </w:pPr>
      <w:r>
        <w:rPr>
          <w:rFonts w:ascii="Verdana" w:eastAsia="Calibri" w:hAnsi="Verdana" w:cs="Arial"/>
          <w:color w:val="000000"/>
          <w:sz w:val="22"/>
          <w:szCs w:val="22"/>
        </w:rPr>
        <w:t>Vía telefónica: 32-83-44-68.</w:t>
      </w:r>
    </w:p>
    <w:p>
      <w:pPr>
        <w:pStyle w:val="NormalWeb"/>
        <w:spacing w:before="0" w:after="0" w:line="276" w:lineRule="auto"/>
        <w:jc w:val="both"/>
        <w:rPr>
          <w:rFonts w:ascii="Verdana" w:eastAsia="Calibri" w:hAnsi="Verdana" w:cs="Arial"/>
          <w:color w:val="000000"/>
          <w:sz w:val="22"/>
          <w:szCs w:val="22"/>
        </w:rPr>
      </w:pPr>
    </w:p>
    <w:p>
      <w:pPr>
        <w:pStyle w:val="NormalWeb"/>
        <w:numPr>
          <w:ilvl w:val="0"/>
          <w:numId w:val="1"/>
        </w:numPr>
        <w:tabs>
          <w:tab w:val="left" w:pos="709"/>
        </w:tabs>
        <w:spacing w:before="0" w:after="0" w:line="276" w:lineRule="auto"/>
        <w:ind w:left="709" w:right="77" w:hanging="709"/>
        <w:jc w:val="both"/>
        <w:rPr>
          <w:rFonts w:ascii="Verdana" w:eastAsia="Calibri" w:hAnsi="Verdana" w:cs="Arial"/>
          <w:color w:val="000000"/>
          <w:sz w:val="22"/>
          <w:szCs w:val="22"/>
        </w:rPr>
      </w:pPr>
      <w:r>
        <w:rPr>
          <w:rFonts w:ascii="Verdana" w:hAnsi="Verdana" w:cs="Arial"/>
          <w:sz w:val="22"/>
          <w:szCs w:val="22"/>
        </w:rPr>
        <w:t xml:space="preserve">Por internet </w:t>
      </w:r>
      <w:r>
        <w:rPr>
          <w:rFonts w:ascii="Verdana" w:eastAsia="Calibri" w:hAnsi="Verdana" w:cs="Arial"/>
          <w:color w:val="000000"/>
          <w:sz w:val="22"/>
          <w:szCs w:val="22"/>
        </w:rPr>
        <w:t xml:space="preserve">en: </w:t>
      </w:r>
      <w:hyperlink r:id="rId9" w:tgtFrame="_blank" w:history="1">
        <w:r>
          <w:rPr>
            <w:rStyle w:val="Hipervnculo"/>
            <w:rFonts w:ascii="Verdana" w:eastAsia="Calibri" w:hAnsi="Verdana" w:cs="Arial"/>
            <w:color w:val="000000"/>
            <w:sz w:val="22"/>
            <w:szCs w:val="22"/>
          </w:rPr>
          <w:t>www.tlj.mx/denuncialos</w:t>
        </w:r>
      </w:hyperlink>
    </w:p>
    <w:p>
      <w:pPr>
        <w:pStyle w:val="NormalWeb"/>
        <w:tabs>
          <w:tab w:val="left" w:pos="1134"/>
        </w:tabs>
        <w:spacing w:before="0" w:after="0" w:line="276" w:lineRule="auto"/>
        <w:ind w:right="77"/>
        <w:jc w:val="both"/>
        <w:rPr>
          <w:rFonts w:ascii="Verdana" w:eastAsia="Calibri" w:hAnsi="Verdana" w:cs="Arial"/>
          <w:color w:val="000000"/>
          <w:sz w:val="22"/>
          <w:szCs w:val="22"/>
        </w:rPr>
      </w:pPr>
    </w:p>
    <w:p>
      <w:pPr>
        <w:pStyle w:val="NormalWeb"/>
        <w:numPr>
          <w:ilvl w:val="0"/>
          <w:numId w:val="1"/>
        </w:numPr>
        <w:tabs>
          <w:tab w:val="left" w:pos="709"/>
        </w:tabs>
        <w:spacing w:before="0" w:after="0" w:line="276" w:lineRule="auto"/>
        <w:ind w:left="0" w:right="77" w:firstLine="0"/>
        <w:jc w:val="both"/>
        <w:rPr>
          <w:rFonts w:ascii="Verdana" w:eastAsia="Calibri" w:hAnsi="Verdana" w:cs="Arial"/>
          <w:color w:val="000000"/>
          <w:sz w:val="22"/>
          <w:szCs w:val="22"/>
        </w:rPr>
      </w:pPr>
      <w:r>
        <w:rPr>
          <w:rFonts w:ascii="Verdana" w:eastAsia="Calibri" w:hAnsi="Verdana" w:cs="Arial"/>
          <w:color w:val="000000"/>
          <w:sz w:val="22"/>
          <w:szCs w:val="22"/>
        </w:rPr>
        <w:t>Por correo electrónico: </w:t>
      </w:r>
      <w:hyperlink r:id="rId10" w:tgtFrame="_blank" w:history="1">
        <w:r>
          <w:rPr>
            <w:rStyle w:val="Hipervnculo"/>
            <w:rFonts w:ascii="Verdana" w:eastAsia="Calibri" w:hAnsi="Verdana" w:cs="Arial"/>
            <w:color w:val="000000"/>
            <w:sz w:val="22"/>
            <w:szCs w:val="22"/>
          </w:rPr>
          <w:t>denuncialacorrupcion@tlajomulco.gob.mx</w:t>
        </w:r>
      </w:hyperlink>
    </w:p>
    <w:p>
      <w:pPr>
        <w:pStyle w:val="NormalWeb"/>
        <w:tabs>
          <w:tab w:val="left" w:pos="1134"/>
        </w:tabs>
        <w:spacing w:before="0" w:after="0" w:line="276" w:lineRule="auto"/>
        <w:ind w:right="77"/>
        <w:jc w:val="both"/>
        <w:rPr>
          <w:rFonts w:ascii="Verdana" w:eastAsia="Calibri" w:hAnsi="Verdana" w:cs="Arial"/>
          <w:color w:val="000000"/>
          <w:sz w:val="22"/>
          <w:szCs w:val="22"/>
        </w:rPr>
      </w:pPr>
    </w:p>
    <w:p>
      <w:pPr>
        <w:pStyle w:val="NormalWeb"/>
        <w:numPr>
          <w:ilvl w:val="0"/>
          <w:numId w:val="1"/>
        </w:numPr>
        <w:tabs>
          <w:tab w:val="left" w:pos="709"/>
        </w:tabs>
        <w:spacing w:before="0" w:after="0" w:line="276" w:lineRule="auto"/>
        <w:ind w:left="709" w:right="77" w:hanging="709"/>
        <w:jc w:val="both"/>
        <w:rPr>
          <w:rFonts w:ascii="Verdana" w:eastAsia="Calibri" w:hAnsi="Verdana" w:cs="Arial"/>
          <w:color w:val="000000"/>
          <w:sz w:val="22"/>
          <w:szCs w:val="22"/>
        </w:rPr>
      </w:pPr>
      <w:r>
        <w:rPr>
          <w:rFonts w:ascii="Verdana" w:eastAsia="Calibri" w:hAnsi="Verdana" w:cs="Arial"/>
          <w:color w:val="000000"/>
          <w:sz w:val="22"/>
          <w:szCs w:val="22"/>
        </w:rPr>
        <w:t>En los buzones de quejas establecidos en el Centro Administrativo Tlajomulco (CAT), unidades administrativas, delegaciones y recaudadoras ubicadas en el territorio municipal.</w:t>
      </w:r>
    </w:p>
    <w:p>
      <w:pPr>
        <w:pStyle w:val="Prrafodelista"/>
        <w:jc w:val="both"/>
        <w:rPr>
          <w:rFonts w:ascii="Verdana" w:eastAsia="Calibri" w:hAnsi="Verdana" w:cs="Arial"/>
          <w:color w:val="000000"/>
          <w:sz w:val="22"/>
          <w:szCs w:val="22"/>
        </w:rPr>
      </w:pPr>
    </w:p>
    <w:p>
      <w:pPr>
        <w:ind w:right="51"/>
        <w:jc w:val="both"/>
        <w:rPr>
          <w:rFonts w:ascii="Verdana" w:eastAsia="Verdana" w:hAnsi="Verdana" w:cs="Arial"/>
          <w:b/>
          <w:sz w:val="22"/>
          <w:szCs w:val="22"/>
          <w:lang w:eastAsia="es-MX"/>
        </w:rPr>
      </w:pPr>
      <w:r>
        <w:rPr>
          <w:rFonts w:ascii="Verdana" w:eastAsia="Verdana" w:hAnsi="Verdana" w:cs="Arial"/>
          <w:b/>
          <w:sz w:val="22"/>
          <w:szCs w:val="22"/>
          <w:lang w:eastAsia="es-MX"/>
        </w:rPr>
        <w:t>4.3. De la Responsabilidad Administrativa</w:t>
      </w:r>
    </w:p>
    <w:p>
      <w:pPr>
        <w:ind w:right="51"/>
        <w:jc w:val="both"/>
        <w:rPr>
          <w:rFonts w:ascii="Verdana" w:eastAsia="Verdana" w:hAnsi="Verdana" w:cs="Arial"/>
          <w:sz w:val="22"/>
          <w:szCs w:val="22"/>
          <w:lang w:eastAsia="es-MX"/>
        </w:rPr>
      </w:pPr>
      <w:r>
        <w:rPr>
          <w:rFonts w:ascii="Verdana" w:eastAsia="Verdana" w:hAnsi="Verdana" w:cs="Arial"/>
          <w:sz w:val="22"/>
          <w:szCs w:val="22"/>
          <w:lang w:eastAsia="es-MX"/>
        </w:rPr>
        <w:t>Las y los servidores públicos municipales y los particulares quedarán sujetos a lo dispuesto por la Ley General de Responsabilidades Administrativas en todas las materias que regula, de conformidad a lo establecido en los artículos 46, 47, 48 y 49 de la Ley de Responsabilidades Políticas y Administrativas del Estado de Jalisco.</w:t>
      </w:r>
    </w:p>
    <w:p>
      <w:pPr>
        <w:ind w:right="51"/>
        <w:jc w:val="both"/>
        <w:rPr>
          <w:rFonts w:ascii="Verdana" w:eastAsia="Verdana" w:hAnsi="Verdana" w:cs="Arial"/>
          <w:sz w:val="22"/>
          <w:szCs w:val="22"/>
          <w:lang w:eastAsia="es-MX"/>
        </w:rPr>
      </w:pPr>
    </w:p>
    <w:p>
      <w:pPr>
        <w:ind w:right="51"/>
        <w:jc w:val="both"/>
        <w:rPr>
          <w:rFonts w:ascii="Verdana" w:eastAsia="Verdana" w:hAnsi="Verdana" w:cs="Arial"/>
          <w:b/>
          <w:sz w:val="22"/>
          <w:szCs w:val="22"/>
          <w:lang w:eastAsia="es-MX"/>
        </w:rPr>
      </w:pPr>
      <w:r>
        <w:rPr>
          <w:rFonts w:ascii="Verdana" w:eastAsia="Verdana" w:hAnsi="Verdana" w:cs="Arial"/>
          <w:b/>
          <w:sz w:val="22"/>
          <w:szCs w:val="22"/>
          <w:lang w:eastAsia="es-MX"/>
        </w:rPr>
        <w:t>4.4. Prohibición para Servidores Públicos</w:t>
      </w:r>
    </w:p>
    <w:p>
      <w:pPr>
        <w:ind w:right="51"/>
        <w:jc w:val="both"/>
        <w:rPr>
          <w:rFonts w:ascii="Verdana" w:eastAsia="Verdana" w:hAnsi="Verdana" w:cs="Arial"/>
          <w:sz w:val="22"/>
          <w:szCs w:val="22"/>
          <w:lang w:eastAsia="es-MX"/>
        </w:rPr>
      </w:pPr>
      <w:r>
        <w:rPr>
          <w:rFonts w:ascii="Verdana" w:eastAsia="Verdana" w:hAnsi="Verdana" w:cs="Arial"/>
          <w:sz w:val="22"/>
          <w:szCs w:val="22"/>
          <w:lang w:eastAsia="es-MX"/>
        </w:rPr>
        <w:t>Las y los servidores públicos del Municipio, deberán de excusarse de recibir cualquier subsidio en especie o económico derivado del presente Programa. Asimismo, no podrán intervenir de cualquier forma en la atención, tramitación o resolución de asuntos en los que tenga interés personal, familiar o de negocios, incluyendo aquellos en los que pueda resultar algún beneficio para su cónyuge o parientes consanguíneos hasta el cuarto grado, por afinidad o civiles, o para terceros con los que tenga relaciones profesionales, laborales o de negocios, o para socios o sociedades de las que el servidor o las personas antes referidas formen o hayan formado parte.</w:t>
      </w:r>
    </w:p>
    <w:p>
      <w:pPr>
        <w:widowControl w:val="0"/>
        <w:tabs>
          <w:tab w:val="left" w:pos="708"/>
        </w:tabs>
        <w:spacing w:line="100" w:lineRule="atLeast"/>
        <w:ind w:left="5387" w:right="51" w:hanging="425"/>
        <w:jc w:val="right"/>
        <w:rPr>
          <w:rFonts w:ascii="Verdana" w:eastAsia="Times New Roman" w:hAnsi="Verdana"/>
          <w:b/>
          <w:sz w:val="22"/>
          <w:szCs w:val="22"/>
          <w:lang w:val="es-ES" w:eastAsia="es-ES" w:bidi="hi-IN"/>
        </w:rPr>
      </w:pPr>
    </w:p>
    <w:sectPr>
      <w:headerReference w:type="default" r:id="rId11"/>
      <w:footerReference w:type="default" r:id="rId12"/>
      <w:pgSz w:w="12240" w:h="15840" w:code="1"/>
      <w:pgMar w:top="1525" w:right="1418" w:bottom="1134" w:left="1418" w:header="425" w:footer="363" w:gutter="0"/>
      <w:paperSrc w:first="259" w:other="25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color w:val="943634" w:themeColor="accent2" w:themeShade="BF"/>
        <w:sz w:val="22"/>
        <w:szCs w:val="22"/>
        <w:lang w:val="es-ES"/>
      </w:rPr>
      <w:t>“</w:t>
    </w:r>
    <w:r>
      <w:rPr>
        <w:rFonts w:ascii="Calibri Light" w:hAnsi="Calibri Light"/>
        <w:b/>
        <w:i/>
        <w:iCs/>
        <w:color w:val="943634" w:themeColor="accent2" w:themeShade="BF"/>
        <w:sz w:val="22"/>
        <w:szCs w:val="22"/>
        <w:lang w:val="es-ES"/>
      </w:rPr>
      <w:t xml:space="preserve">Este Programa es público, ajeno a cualquier partido político. </w:t>
    </w:r>
  </w:p>
  <w:p>
    <w:pPr>
      <w:pStyle w:val="NormalWeb"/>
      <w:spacing w:before="0" w:after="0"/>
      <w:ind w:right="-11"/>
      <w:jc w:val="center"/>
      <w:rPr>
        <w:rFonts w:ascii="Calibri Light" w:hAnsi="Calibri Light"/>
        <w:b/>
        <w:i/>
        <w:iCs/>
        <w:color w:val="943634" w:themeColor="accent2" w:themeShade="BF"/>
        <w:sz w:val="22"/>
        <w:szCs w:val="22"/>
        <w:lang w:val="es-ES"/>
      </w:rPr>
    </w:pPr>
    <w:r>
      <w:rPr>
        <w:rFonts w:ascii="Calibri Light" w:hAnsi="Calibri Light"/>
        <w:b/>
        <w:i/>
        <w:iCs/>
        <w:color w:val="943634" w:themeColor="accent2" w:themeShade="BF"/>
        <w:sz w:val="22"/>
        <w:szCs w:val="22"/>
        <w:lang w:val="es-ES"/>
      </w:rPr>
      <w:t>Queda prohibido el uso para fines distintos al desarrollo social”</w:t>
    </w:r>
  </w:p>
  <w:p>
    <w:pPr>
      <w:pStyle w:val="Piedepgina"/>
      <w:tabs>
        <w:tab w:val="clear" w:pos="4419"/>
        <w:tab w:val="clear" w:pos="8838"/>
        <w:tab w:val="center" w:pos="5174"/>
        <w:tab w:val="right" w:pos="1034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8"/>
      <w:gridCol w:w="2498"/>
      <w:gridCol w:w="4434"/>
    </w:tblGrid>
    <w:tr>
      <w:tc>
        <w:tcPr>
          <w:tcW w:w="2688" w:type="dxa"/>
        </w:tcPr>
        <w:p>
          <w:pPr>
            <w:pStyle w:val="Encabezado"/>
          </w:pPr>
          <w:r>
            <w:rPr>
              <w:rFonts w:ascii="Tahoma" w:hAnsi="Tahoma" w:cs="Tahoma"/>
              <w:noProof/>
              <w:sz w:val="22"/>
              <w:szCs w:val="22"/>
              <w:lang w:eastAsia="es-MX"/>
            </w:rPr>
            <w:drawing>
              <wp:inline distT="0" distB="0" distL="0" distR="0">
                <wp:extent cx="396272" cy="492826"/>
                <wp:effectExtent l="0" t="0" r="3810" b="2540"/>
                <wp:docPr id="2" name="Imagen 2"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379" cy="507883"/>
                        </a:xfrm>
                        <a:prstGeom prst="rect">
                          <a:avLst/>
                        </a:prstGeom>
                        <a:noFill/>
                        <a:ln>
                          <a:noFill/>
                        </a:ln>
                      </pic:spPr>
                    </pic:pic>
                  </a:graphicData>
                </a:graphic>
              </wp:inline>
            </w:drawing>
          </w:r>
        </w:p>
      </w:tc>
      <w:tc>
        <w:tcPr>
          <w:tcW w:w="2498" w:type="dxa"/>
        </w:tcPr>
        <w:p>
          <w:pPr>
            <w:pStyle w:val="Encabezado"/>
            <w:jc w:val="center"/>
          </w:pPr>
        </w:p>
      </w:tc>
      <w:tc>
        <w:tcPr>
          <w:tcW w:w="4434" w:type="dxa"/>
        </w:tcPr>
        <w:p>
          <w:pPr>
            <w:pStyle w:val="Encabezado"/>
            <w:jc w:val="center"/>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pt;height:38.8pt" o:ole="">
                <v:imagedata r:id="rId2" o:title=""/>
              </v:shape>
              <o:OLEObject Type="Embed" ProgID="PBrush" ShapeID="_x0000_i1025" DrawAspect="Content" ObjectID="_1613564692" r:id="rId3"/>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7499"/>
    <w:multiLevelType w:val="multilevel"/>
    <w:tmpl w:val="DF789556"/>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nsid w:val="10E9676E"/>
    <w:multiLevelType w:val="multilevel"/>
    <w:tmpl w:val="83D28FB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136832F6"/>
    <w:multiLevelType w:val="multilevel"/>
    <w:tmpl w:val="935814B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nsid w:val="149E160A"/>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0C90707"/>
    <w:multiLevelType w:val="multilevel"/>
    <w:tmpl w:val="17F6C056"/>
    <w:lvl w:ilvl="0">
      <w:start w:val="1"/>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1080" w:hanging="1080"/>
      </w:pPr>
      <w:rPr>
        <w:b/>
      </w:rPr>
    </w:lvl>
    <w:lvl w:ilvl="3">
      <w:start w:val="1"/>
      <w:numFmt w:val="decimal"/>
      <w:lvlText w:val="%1.%2.%3.%4."/>
      <w:lvlJc w:val="left"/>
      <w:pPr>
        <w:ind w:left="1440" w:hanging="144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520" w:hanging="2520"/>
      </w:pPr>
    </w:lvl>
    <w:lvl w:ilvl="8">
      <w:start w:val="1"/>
      <w:numFmt w:val="decimal"/>
      <w:lvlText w:val="%1.%2.%3.%4.%5.%6.%7.%8.%9."/>
      <w:lvlJc w:val="left"/>
      <w:pPr>
        <w:ind w:left="2520" w:hanging="2520"/>
      </w:pPr>
    </w:lvl>
  </w:abstractNum>
  <w:abstractNum w:abstractNumId="5">
    <w:nsid w:val="219E51DA"/>
    <w:multiLevelType w:val="multilevel"/>
    <w:tmpl w:val="D8105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2A54F4B"/>
    <w:multiLevelType w:val="multilevel"/>
    <w:tmpl w:val="9D7050F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C0E4CFC"/>
    <w:multiLevelType w:val="multilevel"/>
    <w:tmpl w:val="2FB20E6C"/>
    <w:lvl w:ilvl="0">
      <w:start w:val="2"/>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nsid w:val="355529E4"/>
    <w:multiLevelType w:val="multilevel"/>
    <w:tmpl w:val="87F09EE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D2858CB"/>
    <w:multiLevelType w:val="hybridMultilevel"/>
    <w:tmpl w:val="578E3B9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E351DB2"/>
    <w:multiLevelType w:val="multilevel"/>
    <w:tmpl w:val="F9001D0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nsid w:val="53AB10B0"/>
    <w:multiLevelType w:val="multilevel"/>
    <w:tmpl w:val="CF2EBB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84D48C7"/>
    <w:multiLevelType w:val="multilevel"/>
    <w:tmpl w:val="9E00EA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D9B4370"/>
    <w:multiLevelType w:val="multilevel"/>
    <w:tmpl w:val="B910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63B40C8"/>
    <w:multiLevelType w:val="hybridMultilevel"/>
    <w:tmpl w:val="D4F2E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B34738A"/>
    <w:multiLevelType w:val="hybridMultilevel"/>
    <w:tmpl w:val="86F2773E"/>
    <w:lvl w:ilvl="0" w:tplc="080A0017">
      <w:start w:val="1"/>
      <w:numFmt w:val="low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6">
    <w:nsid w:val="76CC4935"/>
    <w:multiLevelType w:val="multilevel"/>
    <w:tmpl w:val="88C0CBD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7C325815"/>
    <w:multiLevelType w:val="multilevel"/>
    <w:tmpl w:val="CFAA65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EFB2D23"/>
    <w:multiLevelType w:val="multilevel"/>
    <w:tmpl w:val="DF72BB50"/>
    <w:lvl w:ilvl="0">
      <w:start w:val="2"/>
      <w:numFmt w:val="decimal"/>
      <w:lvlText w:val="%1."/>
      <w:lvlJc w:val="left"/>
      <w:pPr>
        <w:ind w:left="480" w:hanging="480"/>
      </w:pPr>
      <w:rPr>
        <w:rFonts w:hint="default"/>
        <w:b/>
      </w:rPr>
    </w:lvl>
    <w:lvl w:ilvl="1">
      <w:start w:val="7"/>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num w:numId="1">
    <w:abstractNumId w:val="14"/>
  </w:num>
  <w:num w:numId="2">
    <w:abstractNumId w:val="8"/>
  </w:num>
  <w:num w:numId="3">
    <w:abstractNumId w:val="4"/>
  </w:num>
  <w:num w:numId="4">
    <w:abstractNumId w:val="5"/>
  </w:num>
  <w:num w:numId="5">
    <w:abstractNumId w:val="6"/>
  </w:num>
  <w:num w:numId="6">
    <w:abstractNumId w:val="3"/>
  </w:num>
  <w:num w:numId="7">
    <w:abstractNumId w:val="9"/>
  </w:num>
  <w:num w:numId="8">
    <w:abstractNumId w:val="18"/>
  </w:num>
  <w:num w:numId="9">
    <w:abstractNumId w:val="15"/>
  </w:num>
  <w:num w:numId="10">
    <w:abstractNumId w:val="1"/>
  </w:num>
  <w:num w:numId="11">
    <w:abstractNumId w:val="17"/>
  </w:num>
  <w:num w:numId="12">
    <w:abstractNumId w:val="7"/>
  </w:num>
  <w:num w:numId="13">
    <w:abstractNumId w:val="10"/>
  </w:num>
  <w:num w:numId="14">
    <w:abstractNumId w:val="0"/>
  </w:num>
  <w:num w:numId="15">
    <w:abstractNumId w:val="12"/>
  </w:num>
  <w:num w:numId="16">
    <w:abstractNumId w:val="11"/>
  </w:num>
  <w:num w:numId="17">
    <w:abstractNumId w:val="13"/>
  </w:num>
  <w:num w:numId="18">
    <w:abstractNumId w:val="2"/>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0" w:line="240" w:lineRule="auto"/>
    </w:pPr>
    <w:rPr>
      <w:rFonts w:ascii="Times New Roman" w:eastAsia="MS Mincho" w:hAnsi="Times New Roman" w:cs="Times New Roman"/>
      <w:kern w:val="1"/>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MS Mincho" w:hAnsi="Times New Roman" w:cs="Times New Roman"/>
      <w:kern w:val="1"/>
      <w:sz w:val="24"/>
      <w:szCs w:val="24"/>
      <w:lang w:eastAsia="zh-CN"/>
    </w:rPr>
  </w:style>
  <w:style w:type="paragraph" w:styleId="Piedepgina">
    <w:name w:val="footer"/>
    <w:basedOn w:val="Normal"/>
    <w:link w:val="PiedepginaCar"/>
    <w:uiPriority w:val="99"/>
    <w:unhideWhenUsed/>
    <w:pPr>
      <w:tabs>
        <w:tab w:val="center" w:pos="4419"/>
        <w:tab w:val="right" w:pos="8838"/>
      </w:tabs>
    </w:pPr>
  </w:style>
  <w:style w:type="character" w:customStyle="1" w:styleId="PiedepginaCar">
    <w:name w:val="Pie de página Car"/>
    <w:basedOn w:val="Fuentedeprrafopredeter"/>
    <w:link w:val="Piedepgina"/>
    <w:uiPriority w:val="99"/>
    <w:rPr>
      <w:rFonts w:ascii="Times New Roman" w:eastAsia="MS Mincho" w:hAnsi="Times New Roman" w:cs="Times New Roman"/>
      <w:kern w:val="1"/>
      <w:sz w:val="24"/>
      <w:szCs w:val="24"/>
      <w:lang w:eastAsia="zh-CN"/>
    </w:rPr>
  </w:style>
  <w:style w:type="paragraph" w:styleId="NormalWeb">
    <w:name w:val="Normal (Web)"/>
    <w:basedOn w:val="Normal"/>
    <w:uiPriority w:val="99"/>
    <w:qFormat/>
    <w:pPr>
      <w:spacing w:before="28" w:after="119" w:line="100" w:lineRule="atLeast"/>
    </w:pPr>
    <w:rPr>
      <w:rFonts w:eastAsia="Times New Roman"/>
    </w:rPr>
  </w:style>
  <w:style w:type="table" w:styleId="Tablaconcuadrcula">
    <w:name w:val="Table Grid"/>
    <w:basedOn w:val="Tabla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tabs>
        <w:tab w:val="left" w:pos="708"/>
      </w:tabs>
      <w:spacing w:line="100" w:lineRule="atLeast"/>
      <w:ind w:left="708"/>
    </w:pPr>
    <w:rPr>
      <w:rFonts w:eastAsia="Times New Roman"/>
      <w:kern w:val="0"/>
      <w:lang w:val="es-ES" w:eastAsia="ar-SA"/>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MS Mincho" w:hAnsi="Tahoma" w:cs="Tahoma"/>
      <w:kern w:val="1"/>
      <w:sz w:val="16"/>
      <w:szCs w:val="16"/>
      <w:lang w:eastAsia="zh-CN"/>
    </w:rPr>
  </w:style>
  <w:style w:type="character" w:styleId="Hipervnculo">
    <w:name w:val="Hyperlink"/>
    <w:uiPriority w:val="99"/>
    <w:unhideWhenUsed/>
    <w:rPr>
      <w:color w:val="0000FF"/>
      <w:u w:val="single"/>
    </w:rPr>
  </w:style>
  <w:style w:type="paragraph" w:customStyle="1" w:styleId="Predeterminado">
    <w:name w:val="Predeterminado"/>
    <w:uiPriority w:val="99"/>
    <w:pPr>
      <w:tabs>
        <w:tab w:val="left" w:pos="708"/>
      </w:tabs>
      <w:suppressAutoHyphens/>
      <w:spacing w:after="0" w:line="100" w:lineRule="atLeast"/>
    </w:pPr>
    <w:rPr>
      <w:rFonts w:ascii="Times New Roman" w:eastAsia="Times New Roman" w:hAnsi="Times New Roman" w:cs="Times New Roman"/>
      <w:sz w:val="24"/>
      <w:szCs w:val="24"/>
      <w:lang w:eastAsia="es-MX"/>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jomulco.gob.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denuncialacorrupcion@tlajomulco.gob.mx" TargetMode="External"/><Relationship Id="rId4" Type="http://schemas.openxmlformats.org/officeDocument/2006/relationships/settings" Target="settings.xml"/><Relationship Id="rId9" Type="http://schemas.openxmlformats.org/officeDocument/2006/relationships/hyperlink" Target="http://www.tlj.mx/denuncialo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9</Pages>
  <Words>2683</Words>
  <Characters>14761</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17410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cp:lastModifiedBy>
  <cp:revision>4</cp:revision>
  <cp:lastPrinted>2019-03-08T21:38:00Z</cp:lastPrinted>
  <dcterms:created xsi:type="dcterms:W3CDTF">2019-03-06T18:32:00Z</dcterms:created>
  <dcterms:modified xsi:type="dcterms:W3CDTF">2019-03-08T21:38:00Z</dcterms:modified>
</cp:coreProperties>
</file>