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NormalWeb"/>
        <w:tabs>
          <w:tab w:val="left" w:pos="7905"/>
        </w:tabs>
        <w:spacing w:before="0" w:after="0"/>
        <w:ind w:right="49"/>
        <w:jc w:val="right"/>
        <w:rPr>
          <w:rFonts w:ascii="Verdana" w:hAnsi="Verdana"/>
          <w:sz w:val="22"/>
          <w:szCs w:val="22"/>
        </w:rPr>
      </w:pPr>
      <w:r>
        <w:rPr>
          <w:rFonts w:ascii="Verdana" w:hAnsi="Verdana"/>
          <w:b/>
          <w:sz w:val="22"/>
          <w:szCs w:val="22"/>
        </w:rPr>
        <w:t>Aprobación</w:t>
      </w:r>
      <w:r>
        <w:rPr>
          <w:rFonts w:ascii="Verdana" w:hAnsi="Verdana"/>
          <w:sz w:val="22"/>
          <w:szCs w:val="22"/>
        </w:rPr>
        <w:t xml:space="preserve">: 30 de enero del año 2019. </w:t>
      </w:r>
    </w:p>
    <w:p>
      <w:pPr>
        <w:pStyle w:val="NormalWeb"/>
        <w:spacing w:before="0" w:after="0"/>
        <w:ind w:right="49"/>
        <w:jc w:val="right"/>
        <w:rPr>
          <w:rFonts w:ascii="Verdana" w:hAnsi="Verdana"/>
          <w:sz w:val="22"/>
          <w:szCs w:val="22"/>
        </w:rPr>
      </w:pPr>
      <w:r>
        <w:rPr>
          <w:rFonts w:ascii="Verdana" w:hAnsi="Verdana"/>
          <w:b/>
          <w:sz w:val="22"/>
          <w:szCs w:val="22"/>
        </w:rPr>
        <w:t>Punto de Acuerdo:</w:t>
      </w:r>
      <w:r>
        <w:rPr>
          <w:rFonts w:ascii="Verdana" w:hAnsi="Verdana"/>
          <w:sz w:val="22"/>
          <w:szCs w:val="22"/>
        </w:rPr>
        <w:t xml:space="preserve"> 010/2019.</w:t>
      </w:r>
    </w:p>
    <w:p>
      <w:pPr>
        <w:widowControl w:val="0"/>
        <w:tabs>
          <w:tab w:val="left" w:pos="708"/>
        </w:tabs>
        <w:spacing w:line="100" w:lineRule="atLeast"/>
        <w:ind w:left="5387" w:right="51" w:hanging="425"/>
        <w:jc w:val="right"/>
        <w:rPr>
          <w:rFonts w:ascii="Verdana" w:eastAsia="Times New Roman" w:hAnsi="Verdana"/>
          <w:b/>
          <w:sz w:val="22"/>
          <w:szCs w:val="22"/>
          <w:lang w:val="es-ES" w:eastAsia="es-ES" w:bidi="hi-IN"/>
        </w:rPr>
      </w:pPr>
    </w:p>
    <w:p>
      <w:pPr>
        <w:widowControl w:val="0"/>
        <w:autoSpaceDN w:val="0"/>
        <w:jc w:val="both"/>
        <w:textAlignment w:val="baseline"/>
        <w:rPr>
          <w:rFonts w:ascii="Verdana" w:eastAsia="SimSun" w:hAnsi="Verdana" w:cs="Arial"/>
          <w:kern w:val="3"/>
          <w:lang w:val="es-ES" w:bidi="hi-IN"/>
        </w:rPr>
      </w:pPr>
    </w:p>
    <w:p>
      <w:pPr>
        <w:jc w:val="center"/>
        <w:rPr>
          <w:rFonts w:ascii="Verdana" w:eastAsia="Calibri" w:hAnsi="Verdana" w:cs="Arial"/>
          <w:b/>
          <w:sz w:val="28"/>
          <w:szCs w:val="28"/>
        </w:rPr>
      </w:pPr>
      <w:r>
        <w:rPr>
          <w:rFonts w:ascii="Verdana" w:eastAsia="Calibri" w:hAnsi="Verdana" w:cs="Arial"/>
          <w:b/>
          <w:sz w:val="28"/>
          <w:szCs w:val="28"/>
        </w:rPr>
        <w:t xml:space="preserve">Reglas de Operación del </w:t>
      </w:r>
    </w:p>
    <w:p>
      <w:pPr>
        <w:jc w:val="center"/>
        <w:rPr>
          <w:rFonts w:ascii="Verdana" w:eastAsia="Calibri" w:hAnsi="Verdana" w:cs="Arial"/>
          <w:b/>
          <w:sz w:val="28"/>
          <w:szCs w:val="28"/>
        </w:rPr>
      </w:pPr>
      <w:r>
        <w:rPr>
          <w:rFonts w:ascii="Verdana" w:eastAsia="Calibri" w:hAnsi="Verdana" w:cs="Arial"/>
          <w:b/>
          <w:sz w:val="28"/>
          <w:szCs w:val="28"/>
        </w:rPr>
        <w:t>Program</w:t>
      </w:r>
      <w:r>
        <w:rPr>
          <w:rFonts w:ascii="Verdana" w:eastAsia="Calibri" w:hAnsi="Verdana" w:cs="Arial"/>
          <w:b/>
          <w:sz w:val="28"/>
          <w:szCs w:val="28"/>
        </w:rPr>
        <w:t>a Apoyo a Jefas de Familia 2019</w:t>
      </w:r>
      <w:r>
        <w:rPr>
          <w:rFonts w:ascii="Verdana" w:eastAsia="Calibri" w:hAnsi="Verdana" w:cs="Arial"/>
          <w:b/>
          <w:sz w:val="28"/>
          <w:szCs w:val="28"/>
        </w:rPr>
        <w:t xml:space="preserve"> </w:t>
      </w:r>
    </w:p>
    <w:p>
      <w:pPr>
        <w:jc w:val="center"/>
        <w:rPr>
          <w:rFonts w:ascii="Verdana" w:eastAsia="Calibri" w:hAnsi="Verdana" w:cs="Arial"/>
          <w:b/>
        </w:rPr>
      </w:pPr>
    </w:p>
    <w:p>
      <w:pPr>
        <w:jc w:val="center"/>
        <w:rPr>
          <w:rFonts w:ascii="Verdana" w:eastAsia="Calibri" w:hAnsi="Verdana" w:cs="Arial"/>
          <w:b/>
        </w:rPr>
      </w:pPr>
    </w:p>
    <w:p>
      <w:pPr>
        <w:numPr>
          <w:ilvl w:val="0"/>
          <w:numId w:val="29"/>
        </w:numPr>
        <w:suppressAutoHyphens w:val="0"/>
        <w:ind w:left="0" w:firstLine="0"/>
        <w:contextualSpacing/>
        <w:jc w:val="both"/>
        <w:rPr>
          <w:rFonts w:ascii="Verdana" w:eastAsia="Calibri" w:hAnsi="Verdana" w:cs="Arial"/>
          <w:b/>
        </w:rPr>
      </w:pPr>
      <w:r>
        <w:rPr>
          <w:rFonts w:ascii="Verdana" w:eastAsia="Calibri" w:hAnsi="Verdana" w:cs="Arial"/>
          <w:b/>
        </w:rPr>
        <w:t xml:space="preserve">Fundamentación y motivación jurídica. </w:t>
      </w:r>
    </w:p>
    <w:p>
      <w:pPr>
        <w:contextualSpacing/>
        <w:jc w:val="both"/>
        <w:rPr>
          <w:rFonts w:ascii="Verdana" w:eastAsia="Calibri" w:hAnsi="Verdana" w:cs="Arial"/>
          <w:b/>
        </w:rPr>
      </w:pPr>
    </w:p>
    <w:p>
      <w:pPr>
        <w:contextualSpacing/>
        <w:jc w:val="both"/>
        <w:rPr>
          <w:rFonts w:ascii="Verdana" w:eastAsia="Calibri" w:hAnsi="Verdana" w:cs="Arial"/>
        </w:rPr>
      </w:pPr>
      <w:r>
        <w:rPr>
          <w:rFonts w:ascii="Verdana" w:eastAsia="Calibri" w:hAnsi="Verdana" w:cs="Arial"/>
        </w:rPr>
        <w:t>Las presentes reglas de operación se emiten con fundamento en las siguientes disposiciones legales y reglamentarias vigentes con base en los artículos 4, 25 y 115 de la Constitución Política de los Estados Unidos Mexicanos; artículo 73 de la Constitución Política del Estado de Jalisco; artículos 10 y 37 fracción II y IX de la Ley del Gobierno y la Administración Pública Municipal del Estado de Jalisco; artículos 5, 6, 7 fracción VII, 9, 10 11, 12, 17 y 18 de la Ley de Desarrollo Social para el Estado de Jalisco; artículos 5, 38, 107, 150, 151 y 155 del Reglamento de la Administración Pública del Municipio de Tlajomulco de Zúñiga, Jalisco.</w:t>
      </w:r>
    </w:p>
    <w:p>
      <w:pPr>
        <w:jc w:val="center"/>
        <w:rPr>
          <w:rFonts w:ascii="Verdana" w:eastAsia="Calibri" w:hAnsi="Verdana" w:cs="Arial"/>
          <w:b/>
        </w:rPr>
      </w:pPr>
    </w:p>
    <w:p>
      <w:pPr>
        <w:jc w:val="center"/>
        <w:rPr>
          <w:rFonts w:ascii="Verdana" w:eastAsia="Calibri" w:hAnsi="Verdana" w:cs="Arial"/>
          <w:b/>
        </w:rPr>
      </w:pPr>
      <w:r>
        <w:rPr>
          <w:rFonts w:ascii="Verdana" w:eastAsia="Calibri" w:hAnsi="Verdana" w:cs="Arial"/>
          <w:b/>
        </w:rPr>
        <w:t>SECCIÓN I. ASPECTOS GENERALES.</w:t>
      </w:r>
    </w:p>
    <w:p>
      <w:pPr>
        <w:jc w:val="center"/>
        <w:rPr>
          <w:rFonts w:ascii="Verdana" w:eastAsia="Calibri" w:hAnsi="Verdana" w:cs="Arial"/>
          <w:b/>
        </w:rPr>
      </w:pPr>
    </w:p>
    <w:p>
      <w:pPr>
        <w:numPr>
          <w:ilvl w:val="0"/>
          <w:numId w:val="29"/>
        </w:numPr>
        <w:suppressAutoHyphens w:val="0"/>
        <w:ind w:left="0" w:firstLine="0"/>
        <w:contextualSpacing/>
        <w:jc w:val="both"/>
        <w:rPr>
          <w:rFonts w:ascii="Verdana" w:eastAsia="Calibri" w:hAnsi="Verdana" w:cs="Arial"/>
        </w:rPr>
      </w:pPr>
      <w:r>
        <w:rPr>
          <w:rFonts w:ascii="Verdana" w:eastAsia="Calibri" w:hAnsi="Verdana" w:cs="Arial"/>
          <w:b/>
        </w:rPr>
        <w:t>Introducción.</w:t>
      </w:r>
    </w:p>
    <w:p>
      <w:pPr>
        <w:contextualSpacing/>
        <w:jc w:val="both"/>
        <w:rPr>
          <w:rFonts w:ascii="Verdana" w:eastAsia="Calibri" w:hAnsi="Verdana" w:cs="Arial"/>
        </w:rPr>
      </w:pPr>
    </w:p>
    <w:p>
      <w:pPr>
        <w:jc w:val="both"/>
        <w:rPr>
          <w:rFonts w:ascii="Verdana" w:eastAsia="Calibri" w:hAnsi="Verdana" w:cs="Arial"/>
        </w:rPr>
      </w:pPr>
      <w:r>
        <w:rPr>
          <w:rFonts w:ascii="Verdana" w:eastAsia="Calibri" w:hAnsi="Verdana" w:cs="Arial"/>
        </w:rPr>
        <w:t>Uno de los enfoques aplicados estratégicamente por el Gobierno Municipal de Tlajomulco de Zúñiga, en el rubro del desarrollo social,</w:t>
      </w:r>
      <w:r>
        <w:rPr>
          <w:rFonts w:ascii="Verdana" w:eastAsia="Calibri" w:hAnsi="Verdana"/>
        </w:rPr>
        <w:t xml:space="preserve"> </w:t>
      </w:r>
      <w:r>
        <w:rPr>
          <w:rFonts w:ascii="Verdana" w:eastAsia="Calibri" w:hAnsi="Verdana" w:cs="Arial"/>
        </w:rPr>
        <w:t>es promover y motivar el mejoramiento de la dinámica familiar creando accesos a apoyos económicos, así como a actividades en materia cultural, recreativa y formativa, que generen una mejora en las condiciones de vida digna.</w:t>
      </w:r>
    </w:p>
    <w:p>
      <w:pPr>
        <w:jc w:val="both"/>
        <w:rPr>
          <w:rFonts w:ascii="Verdana" w:eastAsia="Times New Roman" w:hAnsi="Verdana" w:cs="Arial"/>
          <w:kern w:val="2"/>
        </w:rPr>
      </w:pPr>
    </w:p>
    <w:p>
      <w:pPr>
        <w:jc w:val="both"/>
        <w:rPr>
          <w:rFonts w:ascii="Verdana" w:eastAsia="Times New Roman" w:hAnsi="Verdana" w:cs="Arial"/>
          <w:kern w:val="2"/>
        </w:rPr>
      </w:pPr>
      <w:r>
        <w:rPr>
          <w:rFonts w:ascii="Verdana" w:eastAsia="Times New Roman" w:hAnsi="Verdana" w:cs="Arial"/>
          <w:kern w:val="2"/>
        </w:rPr>
        <w:t>Es por lo anterior que mediante políticas públicas incluyentes, el Municipio hace suyas las preocupaciones y necesidades de sus habitantes, e impulsa y da continuidad al "</w:t>
      </w:r>
      <w:r>
        <w:rPr>
          <w:rFonts w:ascii="Verdana" w:eastAsia="Times New Roman" w:hAnsi="Verdana" w:cs="Arial"/>
          <w:bCs/>
          <w:kern w:val="2"/>
        </w:rPr>
        <w:t>Programa</w:t>
      </w:r>
      <w:r>
        <w:rPr>
          <w:rFonts w:ascii="Verdana" w:eastAsia="Times New Roman" w:hAnsi="Verdana" w:cs="Arial"/>
          <w:kern w:val="2"/>
        </w:rPr>
        <w:t xml:space="preserve"> </w:t>
      </w:r>
      <w:r>
        <w:rPr>
          <w:rFonts w:ascii="Verdana" w:eastAsia="Times New Roman" w:hAnsi="Verdana" w:cs="Arial"/>
          <w:bCs/>
          <w:kern w:val="2"/>
        </w:rPr>
        <w:t>de</w:t>
      </w:r>
      <w:r>
        <w:rPr>
          <w:rFonts w:ascii="Verdana" w:eastAsia="Times New Roman" w:hAnsi="Verdana" w:cs="Arial"/>
          <w:kern w:val="2"/>
        </w:rPr>
        <w:t xml:space="preserve"> A</w:t>
      </w:r>
      <w:r>
        <w:rPr>
          <w:rFonts w:ascii="Verdana" w:eastAsia="Times New Roman" w:hAnsi="Verdana" w:cs="Arial"/>
          <w:bCs/>
          <w:kern w:val="2"/>
        </w:rPr>
        <w:t>poyo</w:t>
      </w:r>
      <w:r>
        <w:rPr>
          <w:rFonts w:ascii="Verdana" w:eastAsia="Times New Roman" w:hAnsi="Verdana" w:cs="Arial"/>
          <w:kern w:val="2"/>
        </w:rPr>
        <w:t xml:space="preserve"> </w:t>
      </w:r>
      <w:r>
        <w:rPr>
          <w:rFonts w:ascii="Verdana" w:eastAsia="Times New Roman" w:hAnsi="Verdana" w:cs="Arial"/>
          <w:bCs/>
          <w:kern w:val="2"/>
        </w:rPr>
        <w:t>a</w:t>
      </w:r>
      <w:r>
        <w:rPr>
          <w:rFonts w:ascii="Verdana" w:eastAsia="Times New Roman" w:hAnsi="Verdana" w:cs="Arial"/>
          <w:kern w:val="2"/>
        </w:rPr>
        <w:t xml:space="preserve"> J</w:t>
      </w:r>
      <w:r>
        <w:rPr>
          <w:rFonts w:ascii="Verdana" w:eastAsia="Times New Roman" w:hAnsi="Verdana" w:cs="Arial"/>
          <w:bCs/>
          <w:kern w:val="2"/>
        </w:rPr>
        <w:t>efas de Familia</w:t>
      </w:r>
      <w:r>
        <w:rPr>
          <w:rFonts w:ascii="Verdana" w:eastAsia="Times New Roman" w:hAnsi="Verdana" w:cs="Arial"/>
          <w:kern w:val="2"/>
        </w:rPr>
        <w:t>”.</w:t>
      </w:r>
    </w:p>
    <w:p>
      <w:pPr>
        <w:jc w:val="both"/>
        <w:rPr>
          <w:rFonts w:ascii="Verdana" w:eastAsia="Times New Roman" w:hAnsi="Verdana" w:cs="Arial"/>
          <w:kern w:val="2"/>
        </w:rPr>
      </w:pPr>
    </w:p>
    <w:p>
      <w:pPr>
        <w:jc w:val="both"/>
        <w:rPr>
          <w:rFonts w:ascii="Verdana" w:eastAsia="Times New Roman" w:hAnsi="Verdana" w:cs="Arial"/>
          <w:kern w:val="2"/>
        </w:rPr>
      </w:pPr>
      <w:r>
        <w:rPr>
          <w:rFonts w:ascii="Verdana" w:eastAsia="Times New Roman" w:hAnsi="Verdana" w:cs="Arial"/>
          <w:kern w:val="2"/>
        </w:rPr>
        <w:t>Este programa atenderá de forma complementaria lo que realizan otras instituciones gubernamentales, en favor de las Jefas de Familia que viven en condiciones de pobreza, mediante el otorgamiento de un apoyo económico para alimentación y el fomento de la autogestión de actividades de desarrollo, a través de redes solidarias de apoyo.</w:t>
      </w:r>
    </w:p>
    <w:p>
      <w:pPr>
        <w:jc w:val="both"/>
        <w:rPr>
          <w:rFonts w:ascii="Verdana" w:eastAsia="Times New Roman" w:hAnsi="Verdana" w:cs="Arial"/>
          <w:kern w:val="2"/>
        </w:rPr>
      </w:pPr>
    </w:p>
    <w:p>
      <w:pPr>
        <w:pStyle w:val="Prrafodelista"/>
        <w:numPr>
          <w:ilvl w:val="0"/>
          <w:numId w:val="29"/>
        </w:numPr>
        <w:autoSpaceDN w:val="0"/>
        <w:spacing w:line="240" w:lineRule="auto"/>
        <w:ind w:left="0" w:firstLine="0"/>
        <w:jc w:val="both"/>
        <w:textAlignment w:val="baseline"/>
        <w:rPr>
          <w:rFonts w:ascii="Verdana" w:eastAsia="Calibri" w:hAnsi="Verdana" w:cs="Arial"/>
          <w:b/>
          <w:sz w:val="22"/>
          <w:szCs w:val="22"/>
        </w:rPr>
      </w:pPr>
      <w:r>
        <w:rPr>
          <w:rFonts w:ascii="Verdana" w:eastAsia="Calibri" w:hAnsi="Verdana" w:cs="Arial"/>
          <w:b/>
          <w:sz w:val="22"/>
          <w:szCs w:val="22"/>
        </w:rPr>
        <w:t xml:space="preserve">Descripción básica del programa. </w:t>
      </w:r>
    </w:p>
    <w:p>
      <w:pPr>
        <w:pStyle w:val="Prrafodelista"/>
        <w:ind w:left="0"/>
        <w:jc w:val="both"/>
        <w:rPr>
          <w:rFonts w:ascii="Verdana" w:eastAsia="Calibri" w:hAnsi="Verdana" w:cs="Arial"/>
          <w:b/>
          <w:sz w:val="22"/>
          <w:szCs w:val="22"/>
        </w:rPr>
      </w:pPr>
    </w:p>
    <w:p>
      <w:pPr>
        <w:jc w:val="both"/>
        <w:rPr>
          <w:rFonts w:ascii="Verdana" w:eastAsia="Calibri" w:hAnsi="Verdana" w:cs="Arial"/>
          <w:b/>
        </w:rPr>
      </w:pPr>
      <w:r>
        <w:rPr>
          <w:rFonts w:ascii="Verdana" w:eastAsia="Calibri" w:hAnsi="Verdana" w:cs="Arial"/>
          <w:b/>
        </w:rPr>
        <w:t xml:space="preserve">3.1. Nombre del programa. </w:t>
      </w:r>
    </w:p>
    <w:p>
      <w:pPr>
        <w:jc w:val="both"/>
        <w:rPr>
          <w:rFonts w:ascii="Verdana" w:eastAsia="Calibri" w:hAnsi="Verdana" w:cs="Arial"/>
        </w:rPr>
      </w:pPr>
      <w:r>
        <w:rPr>
          <w:rFonts w:ascii="Verdana" w:eastAsia="Calibri" w:hAnsi="Verdana" w:cs="Arial"/>
        </w:rPr>
        <w:t>Apoyo a Jefas de Familia</w:t>
      </w:r>
      <w:r>
        <w:rPr>
          <w:rFonts w:ascii="Verdana" w:eastAsia="Calibri" w:hAnsi="Verdana" w:cs="Arial"/>
        </w:rPr>
        <w:t>.</w:t>
      </w:r>
    </w:p>
    <w:p>
      <w:pPr>
        <w:jc w:val="both"/>
        <w:rPr>
          <w:rFonts w:ascii="Verdana" w:eastAsia="Calibri" w:hAnsi="Verdana" w:cs="Arial"/>
        </w:rPr>
      </w:pPr>
    </w:p>
    <w:p>
      <w:pPr>
        <w:jc w:val="both"/>
        <w:rPr>
          <w:rFonts w:ascii="Verdana" w:eastAsia="Calibri" w:hAnsi="Verdana" w:cs="Arial"/>
          <w:b/>
        </w:rPr>
      </w:pPr>
      <w:r>
        <w:rPr>
          <w:rFonts w:ascii="Verdana" w:eastAsia="Calibri" w:hAnsi="Verdana" w:cs="Arial"/>
          <w:b/>
        </w:rPr>
        <w:lastRenderedPageBreak/>
        <w:t xml:space="preserve">3.2. Alineación con el Plan Estatal de Desarrollo 2013-2033. </w:t>
      </w:r>
    </w:p>
    <w:p>
      <w:pPr>
        <w:jc w:val="both"/>
        <w:rPr>
          <w:rFonts w:ascii="Verdana" w:eastAsia="Calibri" w:hAnsi="Verdana" w:cs="Arial"/>
        </w:rPr>
      </w:pPr>
      <w:r>
        <w:rPr>
          <w:rFonts w:ascii="Verdana" w:eastAsia="Calibri" w:hAnsi="Verdana" w:cs="Arial"/>
        </w:rPr>
        <w:t>Este programa contribuye al logro del Objetivo Sectorial OD1801: Promover la igualdad entre hombres y mujeres combatiendo toda forma de discriminación asociada al género.</w:t>
      </w:r>
    </w:p>
    <w:p>
      <w:pPr>
        <w:jc w:val="both"/>
        <w:rPr>
          <w:rFonts w:ascii="Verdana" w:eastAsia="Calibri" w:hAnsi="Verdana" w:cs="Arial"/>
        </w:rPr>
      </w:pPr>
    </w:p>
    <w:p>
      <w:pPr>
        <w:jc w:val="both"/>
        <w:rPr>
          <w:rFonts w:ascii="Verdana" w:eastAsia="Calibri" w:hAnsi="Verdana" w:cs="Arial"/>
          <w:b/>
        </w:rPr>
      </w:pPr>
      <w:r>
        <w:rPr>
          <w:rFonts w:ascii="Verdana" w:eastAsia="Calibri" w:hAnsi="Verdana" w:cs="Arial"/>
          <w:b/>
        </w:rPr>
        <w:t xml:space="preserve">3.3. Dependencia o entidad responsable. </w:t>
      </w:r>
    </w:p>
    <w:p>
      <w:pPr>
        <w:jc w:val="both"/>
        <w:rPr>
          <w:rFonts w:ascii="Verdana" w:eastAsia="Calibri" w:hAnsi="Verdana" w:cs="Arial"/>
        </w:rPr>
      </w:pPr>
      <w:r>
        <w:rPr>
          <w:rFonts w:ascii="Verdana" w:eastAsia="Calibri" w:hAnsi="Verdana" w:cs="Arial"/>
        </w:rPr>
        <w:t>Coordinación General de Participación Ciudadana y Construcción de Comunidad.</w:t>
      </w:r>
    </w:p>
    <w:p>
      <w:pPr>
        <w:jc w:val="both"/>
        <w:rPr>
          <w:rFonts w:ascii="Verdana" w:eastAsia="Calibri" w:hAnsi="Verdana" w:cs="Arial"/>
        </w:rPr>
      </w:pPr>
    </w:p>
    <w:p>
      <w:pPr>
        <w:jc w:val="both"/>
        <w:rPr>
          <w:rFonts w:ascii="Verdana" w:eastAsia="Calibri" w:hAnsi="Verdana" w:cs="Arial"/>
          <w:b/>
        </w:rPr>
      </w:pPr>
      <w:r>
        <w:rPr>
          <w:rFonts w:ascii="Verdana" w:eastAsia="Calibri" w:hAnsi="Verdana" w:cs="Arial"/>
          <w:b/>
        </w:rPr>
        <w:t xml:space="preserve">3.4. Dirección General o área interna responsable. </w:t>
      </w:r>
    </w:p>
    <w:p>
      <w:pPr>
        <w:jc w:val="both"/>
        <w:rPr>
          <w:rFonts w:ascii="Verdana" w:eastAsia="Calibri" w:hAnsi="Verdana" w:cs="Arial"/>
        </w:rPr>
      </w:pPr>
      <w:r>
        <w:rPr>
          <w:rFonts w:ascii="Verdana" w:eastAsia="Calibri" w:hAnsi="Verdana" w:cs="Arial"/>
        </w:rPr>
        <w:t xml:space="preserve">Dirección General de Programas Sociales Estratégicos. </w:t>
      </w:r>
    </w:p>
    <w:p>
      <w:pPr>
        <w:jc w:val="both"/>
        <w:rPr>
          <w:rFonts w:ascii="Verdana" w:eastAsia="Calibri" w:hAnsi="Verdana" w:cs="Arial"/>
        </w:rPr>
      </w:pPr>
    </w:p>
    <w:p>
      <w:pPr>
        <w:jc w:val="both"/>
        <w:rPr>
          <w:rFonts w:ascii="Verdana" w:eastAsia="Calibri" w:hAnsi="Verdana" w:cs="Arial"/>
          <w:b/>
        </w:rPr>
      </w:pPr>
      <w:r>
        <w:rPr>
          <w:rFonts w:ascii="Verdana" w:eastAsia="Calibri" w:hAnsi="Verdana" w:cs="Arial"/>
          <w:b/>
        </w:rPr>
        <w:t xml:space="preserve">3.5. Tipo de programa. </w:t>
      </w:r>
    </w:p>
    <w:p>
      <w:pPr>
        <w:jc w:val="both"/>
        <w:rPr>
          <w:rFonts w:ascii="Verdana" w:eastAsia="Calibri" w:hAnsi="Verdana" w:cs="Arial"/>
        </w:rPr>
      </w:pPr>
      <w:r>
        <w:rPr>
          <w:rFonts w:ascii="Verdana" w:eastAsia="Calibri" w:hAnsi="Verdana" w:cs="Arial"/>
        </w:rPr>
        <w:t>Apoyos económicos.</w:t>
      </w:r>
    </w:p>
    <w:p>
      <w:pPr>
        <w:jc w:val="both"/>
        <w:rPr>
          <w:rFonts w:ascii="Verdana" w:eastAsia="Calibri" w:hAnsi="Verdana" w:cs="Arial"/>
        </w:rPr>
      </w:pPr>
    </w:p>
    <w:p>
      <w:pPr>
        <w:jc w:val="both"/>
        <w:rPr>
          <w:rFonts w:ascii="Verdana" w:eastAsia="Calibri" w:hAnsi="Verdana" w:cs="Arial"/>
          <w:b/>
        </w:rPr>
      </w:pPr>
      <w:r>
        <w:rPr>
          <w:rFonts w:ascii="Verdana" w:eastAsia="Calibri" w:hAnsi="Verdana" w:cs="Arial"/>
          <w:b/>
        </w:rPr>
        <w:t>3.6. Presupuesto a ejercer.</w:t>
      </w:r>
    </w:p>
    <w:p>
      <w:pPr>
        <w:jc w:val="both"/>
        <w:rPr>
          <w:rFonts w:ascii="Verdana" w:eastAsia="Calibri" w:hAnsi="Verdana" w:cs="Arial"/>
        </w:rPr>
      </w:pPr>
      <w:r>
        <w:rPr>
          <w:rFonts w:ascii="Verdana" w:eastAsia="Calibri" w:hAnsi="Verdana" w:cs="Arial"/>
        </w:rPr>
        <w:t>$2’400,000 (dos millones cuatrocientos mil pesos 00/100 moneda nacional).</w:t>
      </w:r>
    </w:p>
    <w:p>
      <w:pPr>
        <w:jc w:val="both"/>
        <w:rPr>
          <w:rFonts w:ascii="Verdana" w:eastAsia="Calibri" w:hAnsi="Verdana" w:cs="Arial"/>
        </w:rPr>
      </w:pPr>
    </w:p>
    <w:p>
      <w:pPr>
        <w:jc w:val="both"/>
        <w:rPr>
          <w:rFonts w:ascii="Verdana" w:eastAsia="Calibri" w:hAnsi="Verdana" w:cs="Arial"/>
          <w:b/>
        </w:rPr>
      </w:pPr>
      <w:r>
        <w:rPr>
          <w:rFonts w:ascii="Verdana" w:eastAsia="Calibri" w:hAnsi="Verdana" w:cs="Arial"/>
          <w:b/>
        </w:rPr>
        <w:t xml:space="preserve">3.7. Clave numérica y denominación de la partida presupuestal afectada conforme al Decreto del Presupuesto de Egresos del ejercicio correspondiente. </w:t>
      </w:r>
    </w:p>
    <w:p>
      <w:pPr>
        <w:tabs>
          <w:tab w:val="left" w:pos="708"/>
        </w:tabs>
        <w:jc w:val="both"/>
        <w:rPr>
          <w:rFonts w:ascii="Verdana" w:eastAsia="Times New Roman" w:hAnsi="Verdana" w:cs="Arial"/>
          <w:color w:val="000000"/>
          <w:lang w:eastAsia="es-MX"/>
        </w:rPr>
      </w:pPr>
      <w:r>
        <w:rPr>
          <w:rFonts w:ascii="Verdana" w:eastAsia="Times New Roman" w:hAnsi="Verdana" w:cs="Arial"/>
          <w:color w:val="000000"/>
          <w:lang w:eastAsia="es-MX"/>
        </w:rPr>
        <w:t xml:space="preserve">Dentro de la partida </w:t>
      </w:r>
      <w:r>
        <w:rPr>
          <w:rFonts w:ascii="Verdana" w:eastAsia="Times New Roman" w:hAnsi="Verdana" w:cs="Arial"/>
          <w:lang w:eastAsia="es-MX"/>
        </w:rPr>
        <w:t>4411 de “Ayudas Sociales a Personas”</w:t>
      </w:r>
      <w:r>
        <w:rPr>
          <w:rFonts w:ascii="Verdana" w:eastAsia="Times New Roman" w:hAnsi="Verdana" w:cs="Arial"/>
          <w:color w:val="000000"/>
          <w:lang w:eastAsia="es-MX"/>
        </w:rPr>
        <w:t xml:space="preserve">, Destino 07, Proyecto 078, del Presupuesto de Egresos del Municipio de Tlajomulco de Zúñiga, Jalisco, para el ejercicio fiscal del año 2019, a fondo perdido. </w:t>
      </w:r>
    </w:p>
    <w:p>
      <w:pPr>
        <w:rPr>
          <w:rFonts w:ascii="Verdana" w:eastAsia="Calibri" w:hAnsi="Verdana" w:cs="Arial"/>
          <w:b/>
        </w:rPr>
      </w:pPr>
    </w:p>
    <w:p>
      <w:pPr>
        <w:jc w:val="center"/>
        <w:rPr>
          <w:rFonts w:ascii="Verdana" w:eastAsia="Calibri" w:hAnsi="Verdana" w:cs="Arial"/>
          <w:b/>
        </w:rPr>
      </w:pPr>
      <w:r>
        <w:rPr>
          <w:rFonts w:ascii="Verdana" w:eastAsia="Calibri" w:hAnsi="Verdana" w:cs="Arial"/>
          <w:b/>
        </w:rPr>
        <w:t>SECCIÓN II. INCIDENCIA.</w:t>
      </w:r>
    </w:p>
    <w:p>
      <w:pPr>
        <w:jc w:val="center"/>
        <w:rPr>
          <w:rFonts w:ascii="Verdana" w:eastAsia="Calibri" w:hAnsi="Verdana" w:cs="Arial"/>
          <w:b/>
        </w:rPr>
      </w:pPr>
    </w:p>
    <w:p>
      <w:pPr>
        <w:pStyle w:val="Prrafodelista"/>
        <w:numPr>
          <w:ilvl w:val="0"/>
          <w:numId w:val="29"/>
        </w:numPr>
        <w:autoSpaceDN w:val="0"/>
        <w:spacing w:line="240" w:lineRule="auto"/>
        <w:ind w:left="0" w:firstLine="0"/>
        <w:jc w:val="both"/>
        <w:textAlignment w:val="baseline"/>
        <w:rPr>
          <w:rFonts w:ascii="Verdana" w:eastAsia="Calibri" w:hAnsi="Verdana" w:cs="Arial"/>
          <w:b/>
          <w:sz w:val="22"/>
          <w:szCs w:val="22"/>
        </w:rPr>
      </w:pPr>
      <w:r>
        <w:rPr>
          <w:rFonts w:ascii="Verdana" w:eastAsia="Calibri" w:hAnsi="Verdana" w:cs="Arial"/>
          <w:b/>
          <w:sz w:val="22"/>
          <w:szCs w:val="22"/>
        </w:rPr>
        <w:t xml:space="preserve">Objetivos: </w:t>
      </w:r>
    </w:p>
    <w:p>
      <w:pPr>
        <w:pStyle w:val="Prrafodelista"/>
        <w:ind w:left="0"/>
        <w:jc w:val="both"/>
        <w:rPr>
          <w:rFonts w:ascii="Verdana" w:eastAsia="Calibri" w:hAnsi="Verdana" w:cs="Arial"/>
          <w:b/>
          <w:sz w:val="22"/>
          <w:szCs w:val="22"/>
        </w:rPr>
      </w:pPr>
    </w:p>
    <w:p>
      <w:pPr>
        <w:jc w:val="both"/>
        <w:rPr>
          <w:rFonts w:ascii="Verdana" w:eastAsia="Calibri" w:hAnsi="Verdana" w:cs="Arial"/>
          <w:b/>
        </w:rPr>
      </w:pPr>
      <w:r>
        <w:rPr>
          <w:rFonts w:ascii="Verdana" w:eastAsia="Calibri" w:hAnsi="Verdana" w:cs="Arial"/>
          <w:b/>
        </w:rPr>
        <w:t>4.1. Objetivo General.</w:t>
      </w:r>
    </w:p>
    <w:p>
      <w:pPr>
        <w:jc w:val="both"/>
        <w:rPr>
          <w:rFonts w:ascii="Verdana" w:eastAsia="Times New Roman" w:hAnsi="Verdana" w:cs="Arial"/>
          <w:kern w:val="2"/>
        </w:rPr>
      </w:pPr>
      <w:r>
        <w:rPr>
          <w:rFonts w:ascii="Verdana" w:eastAsia="Times New Roman" w:hAnsi="Verdana" w:cs="Arial"/>
          <w:kern w:val="2"/>
        </w:rPr>
        <w:t>Apoyar a las Jefas de Familia que viven en condiciones de pobreza patrimonial, a fin de contribuir a mejorar su calidad de vida.</w:t>
      </w:r>
    </w:p>
    <w:p>
      <w:pPr>
        <w:tabs>
          <w:tab w:val="left" w:pos="1068"/>
        </w:tabs>
        <w:jc w:val="both"/>
        <w:rPr>
          <w:rFonts w:ascii="Verdana" w:eastAsia="Times New Roman" w:hAnsi="Verdana" w:cs="Arial"/>
          <w:i/>
          <w:color w:val="000000"/>
          <w:lang w:eastAsia="es-MX"/>
        </w:rPr>
      </w:pPr>
    </w:p>
    <w:p>
      <w:pPr>
        <w:tabs>
          <w:tab w:val="left" w:pos="1068"/>
        </w:tabs>
        <w:jc w:val="both"/>
        <w:rPr>
          <w:rFonts w:ascii="Verdana" w:eastAsia="Times New Roman" w:hAnsi="Verdana" w:cs="Arial"/>
          <w:b/>
          <w:lang w:eastAsia="es-MX"/>
        </w:rPr>
      </w:pPr>
      <w:r>
        <w:rPr>
          <w:rFonts w:ascii="Verdana" w:eastAsia="Times New Roman" w:hAnsi="Verdana" w:cs="Arial"/>
          <w:b/>
          <w:lang w:eastAsia="es-MX"/>
        </w:rPr>
        <w:t>4.2. Objetivo Específico.</w:t>
      </w:r>
    </w:p>
    <w:p>
      <w:pPr>
        <w:tabs>
          <w:tab w:val="left" w:pos="708"/>
        </w:tabs>
        <w:jc w:val="both"/>
        <w:rPr>
          <w:rFonts w:ascii="Verdana" w:eastAsia="Times New Roman" w:hAnsi="Verdana" w:cs="Arial"/>
          <w:color w:val="000000"/>
          <w:lang w:eastAsia="es-MX"/>
        </w:rPr>
      </w:pPr>
      <w:r>
        <w:rPr>
          <w:rFonts w:ascii="Verdana" w:eastAsia="Times New Roman" w:hAnsi="Verdana" w:cs="Arial"/>
          <w:color w:val="000000"/>
          <w:lang w:eastAsia="es-MX"/>
        </w:rPr>
        <w:t>Otorgar un apoyo económico total de $2,000.00 (dos mil pesos 00/100 moneda nacional), mismos que serán entregados y distribuidos en dos parcialidades de forma bimestral, durante el periodo de marzo a junio de 2019 (dos mil diecinueve), para cada una de las beneficiarias del Programa.</w:t>
      </w:r>
    </w:p>
    <w:p>
      <w:pPr>
        <w:tabs>
          <w:tab w:val="left" w:pos="1068"/>
        </w:tabs>
        <w:jc w:val="both"/>
        <w:rPr>
          <w:rFonts w:ascii="Verdana" w:eastAsia="Times New Roman" w:hAnsi="Verdana" w:cs="Arial"/>
          <w:i/>
          <w:lang w:eastAsia="es-MX"/>
        </w:rPr>
      </w:pPr>
    </w:p>
    <w:p>
      <w:pPr>
        <w:jc w:val="both"/>
        <w:rPr>
          <w:rFonts w:ascii="Verdana" w:eastAsia="Calibri" w:hAnsi="Verdana" w:cs="Arial"/>
          <w:b/>
        </w:rPr>
      </w:pPr>
      <w:r>
        <w:rPr>
          <w:rFonts w:ascii="Verdana" w:eastAsia="Calibri" w:hAnsi="Verdana" w:cs="Arial"/>
          <w:b/>
        </w:rPr>
        <w:t xml:space="preserve">5. Cobertura. </w:t>
      </w:r>
    </w:p>
    <w:p>
      <w:pPr>
        <w:jc w:val="both"/>
        <w:rPr>
          <w:rFonts w:ascii="Verdana" w:eastAsia="Calibri" w:hAnsi="Verdana" w:cs="Arial"/>
        </w:rPr>
      </w:pPr>
      <w:r>
        <w:rPr>
          <w:rFonts w:ascii="Verdana" w:eastAsia="Calibri" w:hAnsi="Verdana" w:cs="Arial"/>
        </w:rPr>
        <w:t>Este programa opera en el territorio del municipio de Tlajomulco de Zúñiga.</w:t>
      </w:r>
    </w:p>
    <w:p>
      <w:pPr>
        <w:jc w:val="both"/>
        <w:rPr>
          <w:rFonts w:ascii="Verdana" w:eastAsia="Calibri" w:hAnsi="Verdana" w:cs="Arial"/>
          <w:b/>
          <w:highlight w:val="green"/>
        </w:rPr>
      </w:pPr>
    </w:p>
    <w:p>
      <w:pPr>
        <w:jc w:val="both"/>
        <w:rPr>
          <w:rFonts w:ascii="Verdana" w:eastAsia="Calibri" w:hAnsi="Verdana" w:cs="Arial"/>
          <w:b/>
        </w:rPr>
      </w:pPr>
      <w:r>
        <w:rPr>
          <w:rFonts w:ascii="Verdana" w:eastAsia="Calibri" w:hAnsi="Verdana" w:cs="Arial"/>
          <w:b/>
        </w:rPr>
        <w:t xml:space="preserve">6. Población objetivo. </w:t>
      </w:r>
    </w:p>
    <w:p>
      <w:pPr>
        <w:tabs>
          <w:tab w:val="left" w:pos="708"/>
        </w:tabs>
        <w:jc w:val="both"/>
        <w:rPr>
          <w:rFonts w:ascii="Verdana" w:eastAsia="Times New Roman" w:hAnsi="Verdana" w:cs="Arial"/>
          <w:lang w:eastAsia="es-MX"/>
        </w:rPr>
      </w:pPr>
      <w:r>
        <w:rPr>
          <w:rFonts w:ascii="Verdana" w:eastAsia="Times New Roman" w:hAnsi="Verdana" w:cs="Arial"/>
          <w:lang w:eastAsia="es-MX"/>
        </w:rPr>
        <w:t xml:space="preserve">Se beneficiaran a 1,200 (mil doscientas) Jefas de Familia que comprueben su residencia en el Municipio de Tlajomulco de Zúñiga, Jalisco, en condición de </w:t>
      </w:r>
      <w:r>
        <w:rPr>
          <w:rFonts w:ascii="Verdana" w:eastAsia="Times New Roman" w:hAnsi="Verdana" w:cs="Arial"/>
          <w:lang w:eastAsia="es-MX"/>
        </w:rPr>
        <w:lastRenderedPageBreak/>
        <w:t>vulnerabilidad, tal como se establece en el artículo 4º fracción V de la Ley de Desarrollo Social para el Estado de Jalisco, conforme la suficiencia presupuestaria del Programa.</w:t>
      </w:r>
    </w:p>
    <w:p>
      <w:pPr>
        <w:jc w:val="both"/>
        <w:rPr>
          <w:rFonts w:ascii="Verdana" w:eastAsia="Calibri" w:hAnsi="Verdana" w:cs="Arial"/>
          <w:b/>
        </w:rPr>
      </w:pPr>
    </w:p>
    <w:p>
      <w:pPr>
        <w:jc w:val="both"/>
        <w:rPr>
          <w:rFonts w:ascii="Verdana" w:eastAsia="Calibri" w:hAnsi="Verdana" w:cs="Arial"/>
          <w:b/>
        </w:rPr>
      </w:pPr>
      <w:r>
        <w:rPr>
          <w:rFonts w:ascii="Verdana" w:eastAsia="Calibri" w:hAnsi="Verdana" w:cs="Arial"/>
          <w:b/>
        </w:rPr>
        <w:t xml:space="preserve">7. Características de beneficios: </w:t>
      </w:r>
    </w:p>
    <w:p>
      <w:pPr>
        <w:jc w:val="both"/>
        <w:rPr>
          <w:rFonts w:ascii="Verdana" w:eastAsia="Calibri" w:hAnsi="Verdana" w:cs="Arial"/>
          <w:b/>
        </w:rPr>
      </w:pPr>
    </w:p>
    <w:p>
      <w:pPr>
        <w:jc w:val="both"/>
        <w:rPr>
          <w:rFonts w:ascii="Verdana" w:eastAsia="Calibri" w:hAnsi="Verdana" w:cs="Arial"/>
          <w:b/>
        </w:rPr>
      </w:pPr>
      <w:r>
        <w:rPr>
          <w:rFonts w:ascii="Verdana" w:eastAsia="Calibri" w:hAnsi="Verdana" w:cs="Arial"/>
          <w:b/>
        </w:rPr>
        <w:t xml:space="preserve">7.1. Tipos o modalidades de beneficios o apoyos. </w:t>
      </w:r>
    </w:p>
    <w:p>
      <w:pPr>
        <w:jc w:val="both"/>
        <w:rPr>
          <w:rFonts w:ascii="Verdana" w:eastAsia="Calibri" w:hAnsi="Verdana" w:cs="Arial"/>
          <w:b/>
        </w:rPr>
      </w:pPr>
    </w:p>
    <w:p>
      <w:pPr>
        <w:numPr>
          <w:ilvl w:val="0"/>
          <w:numId w:val="21"/>
        </w:numPr>
        <w:suppressAutoHyphens w:val="0"/>
        <w:ind w:left="0" w:firstLine="0"/>
        <w:jc w:val="both"/>
        <w:rPr>
          <w:rFonts w:ascii="Verdana" w:eastAsia="Times New Roman" w:hAnsi="Verdana" w:cs="Arial"/>
          <w:b/>
          <w:kern w:val="2"/>
        </w:rPr>
      </w:pPr>
      <w:r>
        <w:rPr>
          <w:rFonts w:ascii="Verdana" w:eastAsia="Times New Roman" w:hAnsi="Verdana" w:cs="Arial"/>
          <w:kern w:val="2"/>
        </w:rPr>
        <w:t>Económico.</w:t>
      </w:r>
    </w:p>
    <w:p>
      <w:pPr>
        <w:jc w:val="both"/>
        <w:rPr>
          <w:rFonts w:ascii="Verdana" w:eastAsia="Times New Roman" w:hAnsi="Verdana" w:cs="Arial"/>
          <w:b/>
          <w:kern w:val="2"/>
        </w:rPr>
      </w:pPr>
    </w:p>
    <w:p>
      <w:pPr>
        <w:jc w:val="both"/>
        <w:rPr>
          <w:rFonts w:ascii="Verdana" w:eastAsia="Times New Roman" w:hAnsi="Verdana" w:cs="Arial"/>
          <w:kern w:val="2"/>
        </w:rPr>
      </w:pPr>
      <w:r>
        <w:rPr>
          <w:rFonts w:ascii="Verdana" w:eastAsia="Times New Roman" w:hAnsi="Verdana" w:cs="Arial"/>
          <w:kern w:val="2"/>
        </w:rPr>
        <w:t>Se realizará la apertura de una cuenta bancaria (débito) por cada una de las beneficiarias del Programa, para lo cual la Dirección General de Programas Sociales Estratégicos, por medio de la Dirección de Programas Sociales Municipales, entregará una tarjeta personalizada, misma que podrá ser utilizada para el retiro de efectivo y/o pago de servicios.</w:t>
      </w:r>
    </w:p>
    <w:p>
      <w:pPr>
        <w:jc w:val="both"/>
        <w:rPr>
          <w:rFonts w:ascii="Verdana" w:eastAsia="Times New Roman" w:hAnsi="Verdana" w:cs="Arial"/>
          <w:kern w:val="2"/>
        </w:rPr>
      </w:pPr>
    </w:p>
    <w:p>
      <w:pPr>
        <w:tabs>
          <w:tab w:val="left" w:pos="851"/>
          <w:tab w:val="left" w:pos="1418"/>
        </w:tabs>
        <w:jc w:val="both"/>
        <w:rPr>
          <w:rFonts w:ascii="Verdana" w:eastAsia="Times New Roman" w:hAnsi="Verdana" w:cs="Arial"/>
          <w:b/>
          <w:kern w:val="2"/>
        </w:rPr>
      </w:pPr>
      <w:r>
        <w:rPr>
          <w:rFonts w:ascii="Verdana" w:eastAsia="Times New Roman" w:hAnsi="Verdana" w:cs="Arial"/>
          <w:b/>
          <w:kern w:val="2"/>
        </w:rPr>
        <w:t xml:space="preserve">7.2. Cantidades (montos) y rangos de beneficios o apoyos. </w:t>
      </w:r>
    </w:p>
    <w:p>
      <w:pPr>
        <w:tabs>
          <w:tab w:val="left" w:pos="851"/>
          <w:tab w:val="left" w:pos="1418"/>
        </w:tabs>
        <w:jc w:val="both"/>
        <w:rPr>
          <w:rFonts w:ascii="Verdana" w:eastAsia="Times New Roman" w:hAnsi="Verdana" w:cs="Arial"/>
          <w:kern w:val="2"/>
        </w:rPr>
      </w:pPr>
      <w:r>
        <w:rPr>
          <w:rFonts w:ascii="Verdana" w:eastAsia="Times New Roman" w:hAnsi="Verdana" w:cs="Arial"/>
          <w:kern w:val="2"/>
        </w:rPr>
        <w:t>Durante el periodo del Programa se otorgará un apoyo económico total de $2,000.00 (dos mil pesos 00/100 moneda nacional), para cada uno de los beneficiarios del Programa, mismos que serán depositados en cuenta bancaria ya validada y distribuidos bimestralmente.</w:t>
      </w:r>
    </w:p>
    <w:p>
      <w:pPr>
        <w:tabs>
          <w:tab w:val="left" w:pos="851"/>
          <w:tab w:val="left" w:pos="1418"/>
        </w:tabs>
        <w:jc w:val="both"/>
        <w:rPr>
          <w:rFonts w:ascii="Verdana" w:eastAsia="Times New Roman" w:hAnsi="Verdana" w:cs="Arial"/>
          <w:kern w:val="2"/>
        </w:rPr>
      </w:pPr>
    </w:p>
    <w:p>
      <w:pPr>
        <w:tabs>
          <w:tab w:val="left" w:pos="851"/>
          <w:tab w:val="left" w:pos="1418"/>
        </w:tabs>
        <w:jc w:val="both"/>
        <w:rPr>
          <w:rFonts w:ascii="Verdana" w:eastAsia="Times New Roman" w:hAnsi="Verdana" w:cs="Arial"/>
          <w:kern w:val="2"/>
        </w:rPr>
      </w:pPr>
      <w:r>
        <w:rPr>
          <w:rFonts w:ascii="Verdana" w:eastAsia="Times New Roman" w:hAnsi="Verdana" w:cs="Arial"/>
          <w:kern w:val="2"/>
        </w:rPr>
        <w:t>Los apoyos económicos correspondientes de cada bimestre serán de $1,000.00 pesos (un mil pesos 00/100 moneda nacional).</w:t>
      </w:r>
    </w:p>
    <w:p>
      <w:pPr>
        <w:tabs>
          <w:tab w:val="left" w:pos="851"/>
          <w:tab w:val="left" w:pos="1418"/>
        </w:tabs>
        <w:jc w:val="both"/>
        <w:rPr>
          <w:rFonts w:ascii="Verdana" w:eastAsia="Times New Roman" w:hAnsi="Verdana" w:cs="Arial"/>
          <w:b/>
          <w:kern w:val="2"/>
        </w:rPr>
      </w:pPr>
    </w:p>
    <w:p>
      <w:pPr>
        <w:jc w:val="both"/>
        <w:rPr>
          <w:rFonts w:ascii="Verdana" w:eastAsia="Calibri" w:hAnsi="Verdana" w:cs="Arial"/>
          <w:b/>
        </w:rPr>
      </w:pPr>
      <w:r>
        <w:rPr>
          <w:rFonts w:ascii="Verdana" w:eastAsia="Calibri" w:hAnsi="Verdana" w:cs="Arial"/>
          <w:b/>
        </w:rPr>
        <w:t>7.3. Temporalidad.</w:t>
      </w:r>
    </w:p>
    <w:p>
      <w:pPr>
        <w:jc w:val="both"/>
        <w:rPr>
          <w:rFonts w:ascii="Verdana" w:eastAsia="Calibri" w:hAnsi="Verdana" w:cs="Arial"/>
          <w:b/>
        </w:rPr>
      </w:pPr>
      <w:r>
        <w:rPr>
          <w:rFonts w:ascii="Verdana" w:eastAsia="Calibri" w:hAnsi="Verdana" w:cs="Arial"/>
        </w:rPr>
        <w:t>Las Jefas de Familia beneficiarias permanecerán en el Programa mientras mantengan su condición de elegibilidad, la cual se podrá corroborar a través de la evaluación de sus condiciones socioeconómicas y demográficas, conforme a la metodología de focalización establecida en estas Reglas de Operación.</w:t>
      </w:r>
    </w:p>
    <w:p>
      <w:pPr>
        <w:jc w:val="both"/>
        <w:rPr>
          <w:rFonts w:ascii="Verdana" w:eastAsia="Calibri" w:hAnsi="Verdana" w:cs="Arial"/>
          <w:b/>
        </w:rPr>
      </w:pPr>
    </w:p>
    <w:p>
      <w:pPr>
        <w:jc w:val="both"/>
        <w:rPr>
          <w:rFonts w:ascii="Verdana" w:eastAsia="Calibri" w:hAnsi="Verdana" w:cs="Arial"/>
          <w:b/>
        </w:rPr>
      </w:pPr>
      <w:r>
        <w:rPr>
          <w:rFonts w:ascii="Verdana" w:eastAsia="Calibri" w:hAnsi="Verdana" w:cs="Arial"/>
          <w:b/>
        </w:rPr>
        <w:t>8. Beneficiarias.</w:t>
      </w:r>
    </w:p>
    <w:p>
      <w:pPr>
        <w:jc w:val="both"/>
        <w:rPr>
          <w:rFonts w:ascii="Verdana" w:eastAsia="Calibri" w:hAnsi="Verdana" w:cs="Arial"/>
          <w:b/>
        </w:rPr>
      </w:pPr>
    </w:p>
    <w:p>
      <w:pPr>
        <w:jc w:val="both"/>
        <w:rPr>
          <w:rFonts w:ascii="Verdana" w:eastAsia="Calibri" w:hAnsi="Verdana" w:cs="Arial"/>
          <w:b/>
        </w:rPr>
      </w:pPr>
      <w:r>
        <w:rPr>
          <w:rFonts w:ascii="Verdana" w:eastAsia="Calibri" w:hAnsi="Verdana" w:cs="Arial"/>
          <w:b/>
        </w:rPr>
        <w:t xml:space="preserve">8.1. Criterios de elegibilidad y requisitos. </w:t>
      </w:r>
    </w:p>
    <w:p>
      <w:pPr>
        <w:jc w:val="both"/>
        <w:rPr>
          <w:rFonts w:ascii="Verdana" w:eastAsia="Times New Roman" w:hAnsi="Verdana" w:cs="Arial"/>
          <w:kern w:val="2"/>
        </w:rPr>
      </w:pPr>
      <w:r>
        <w:rPr>
          <w:rFonts w:ascii="Verdana" w:eastAsia="Times New Roman" w:hAnsi="Verdana" w:cs="Arial"/>
          <w:kern w:val="2"/>
        </w:rPr>
        <w:t xml:space="preserve">Las beneficiarias deberán ser mujeres que encabecen la unidad familiar, que asuman la responsabilidad económica y decisoria de ella, que habiten en el Municipio, las cuales deberán presentar: </w:t>
      </w:r>
    </w:p>
    <w:p>
      <w:pPr>
        <w:jc w:val="both"/>
        <w:rPr>
          <w:rFonts w:ascii="Verdana" w:eastAsia="Times New Roman" w:hAnsi="Verdana" w:cs="Arial"/>
          <w:kern w:val="2"/>
        </w:rPr>
      </w:pPr>
    </w:p>
    <w:p>
      <w:pPr>
        <w:numPr>
          <w:ilvl w:val="0"/>
          <w:numId w:val="22"/>
        </w:numPr>
        <w:tabs>
          <w:tab w:val="left" w:pos="851"/>
        </w:tabs>
        <w:suppressAutoHyphens w:val="0"/>
        <w:ind w:left="851" w:hanging="851"/>
        <w:jc w:val="both"/>
        <w:rPr>
          <w:rFonts w:ascii="Verdana" w:eastAsia="Times New Roman" w:hAnsi="Verdana" w:cs="Arial"/>
          <w:kern w:val="2"/>
        </w:rPr>
      </w:pPr>
      <w:r>
        <w:rPr>
          <w:rFonts w:ascii="Verdana" w:eastAsia="Times New Roman" w:hAnsi="Verdana" w:cs="Arial"/>
          <w:kern w:val="2"/>
        </w:rPr>
        <w:t>Solicitud de inscripción, la cual será proporcionada por la Dirección General de Programas Sociales Estratégicos, las cuales deberán de estar debidamente llenada y firmada;</w:t>
      </w:r>
    </w:p>
    <w:p>
      <w:pPr>
        <w:tabs>
          <w:tab w:val="left" w:pos="851"/>
        </w:tabs>
        <w:jc w:val="both"/>
        <w:rPr>
          <w:rFonts w:ascii="Verdana" w:eastAsia="Times New Roman" w:hAnsi="Verdana" w:cs="Arial"/>
          <w:kern w:val="2"/>
        </w:rPr>
      </w:pPr>
    </w:p>
    <w:p>
      <w:pPr>
        <w:numPr>
          <w:ilvl w:val="0"/>
          <w:numId w:val="22"/>
        </w:numPr>
        <w:suppressAutoHyphens w:val="0"/>
        <w:ind w:left="851" w:hanging="851"/>
        <w:jc w:val="both"/>
        <w:rPr>
          <w:rFonts w:ascii="Verdana" w:eastAsia="Times New Roman" w:hAnsi="Verdana" w:cs="Arial"/>
          <w:kern w:val="2"/>
        </w:rPr>
      </w:pPr>
      <w:r>
        <w:rPr>
          <w:rFonts w:ascii="Verdana" w:eastAsia="Times New Roman" w:hAnsi="Verdana" w:cs="Arial"/>
          <w:kern w:val="2"/>
        </w:rPr>
        <w:t>Carta de corresponsabilidad con el Programa, debidamente llenada y firmada;</w:t>
      </w:r>
    </w:p>
    <w:p>
      <w:pPr>
        <w:jc w:val="both"/>
        <w:rPr>
          <w:rFonts w:ascii="Verdana" w:eastAsia="Times New Roman" w:hAnsi="Verdana" w:cs="Arial"/>
          <w:kern w:val="2"/>
        </w:rPr>
      </w:pPr>
    </w:p>
    <w:p>
      <w:pPr>
        <w:numPr>
          <w:ilvl w:val="0"/>
          <w:numId w:val="22"/>
        </w:numPr>
        <w:suppressAutoHyphens w:val="0"/>
        <w:ind w:left="851" w:hanging="851"/>
        <w:jc w:val="both"/>
        <w:rPr>
          <w:rFonts w:ascii="Verdana" w:eastAsia="Times New Roman" w:hAnsi="Verdana" w:cs="Arial"/>
          <w:kern w:val="2"/>
        </w:rPr>
      </w:pPr>
      <w:r>
        <w:rPr>
          <w:rFonts w:ascii="Verdana" w:eastAsia="Times New Roman" w:hAnsi="Verdana" w:cs="Arial"/>
          <w:kern w:val="2"/>
        </w:rPr>
        <w:lastRenderedPageBreak/>
        <w:t xml:space="preserve">Credencial de elector </w:t>
      </w:r>
      <w:r>
        <w:rPr>
          <w:rFonts w:ascii="Verdana" w:eastAsia="Times New Roman" w:hAnsi="Verdana" w:cs="Arial"/>
          <w:b/>
          <w:kern w:val="2"/>
          <w:u w:val="single"/>
        </w:rPr>
        <w:t>vigente</w:t>
      </w:r>
      <w:r>
        <w:rPr>
          <w:rFonts w:ascii="Verdana" w:eastAsia="Times New Roman" w:hAnsi="Verdana" w:cs="Arial"/>
          <w:kern w:val="2"/>
        </w:rPr>
        <w:t>, domiciliada en el Municipio de Tlajomulco de Zúñiga, Jalisco;</w:t>
      </w:r>
    </w:p>
    <w:p>
      <w:pPr>
        <w:jc w:val="both"/>
        <w:rPr>
          <w:rFonts w:ascii="Verdana" w:eastAsia="Times New Roman" w:hAnsi="Verdana" w:cs="Arial"/>
          <w:kern w:val="2"/>
        </w:rPr>
      </w:pPr>
    </w:p>
    <w:p>
      <w:pPr>
        <w:numPr>
          <w:ilvl w:val="0"/>
          <w:numId w:val="22"/>
        </w:numPr>
        <w:suppressAutoHyphens w:val="0"/>
        <w:ind w:left="851" w:hanging="851"/>
        <w:jc w:val="both"/>
        <w:rPr>
          <w:rFonts w:ascii="Verdana" w:eastAsia="Times New Roman" w:hAnsi="Verdana" w:cs="Arial"/>
          <w:kern w:val="2"/>
        </w:rPr>
      </w:pPr>
      <w:r>
        <w:rPr>
          <w:rFonts w:ascii="Verdana" w:eastAsia="Times New Roman" w:hAnsi="Verdana" w:cs="Arial"/>
          <w:kern w:val="2"/>
        </w:rPr>
        <w:t>Comprobante de domicilio del Municipio de Tlajomulco de Zúñiga, Jalisco, mismo que será acreditado con cualquiera de alguno de los siguientes documentos: recibo de luz, teléfono, agua o predial, televisión de paga, INFONAVIT, carta de residencia emitida por la Secretaría General del Ayuntamiento de Tlajomulco de Zúñiga y constancia de domicilio emitida por la Dirección de Agencias y Delegaciones, el cual no deberá ser mayor a tres meses de expedición;</w:t>
      </w:r>
    </w:p>
    <w:p>
      <w:pPr>
        <w:jc w:val="both"/>
        <w:rPr>
          <w:rFonts w:ascii="Verdana" w:eastAsia="Times New Roman" w:hAnsi="Verdana" w:cs="Arial"/>
          <w:kern w:val="2"/>
        </w:rPr>
      </w:pPr>
    </w:p>
    <w:p>
      <w:pPr>
        <w:numPr>
          <w:ilvl w:val="0"/>
          <w:numId w:val="22"/>
        </w:numPr>
        <w:suppressAutoHyphens w:val="0"/>
        <w:ind w:left="851" w:hanging="851"/>
        <w:jc w:val="both"/>
        <w:rPr>
          <w:rFonts w:ascii="Verdana" w:eastAsia="Times New Roman" w:hAnsi="Verdana" w:cs="Arial"/>
          <w:kern w:val="2"/>
        </w:rPr>
      </w:pPr>
      <w:r>
        <w:rPr>
          <w:rFonts w:ascii="Verdana" w:eastAsia="Times New Roman" w:hAnsi="Verdana" w:cs="Arial"/>
          <w:kern w:val="2"/>
        </w:rPr>
        <w:t>Acta de Nacimiento;</w:t>
      </w:r>
    </w:p>
    <w:p>
      <w:pPr>
        <w:ind w:left="851" w:hanging="851"/>
        <w:jc w:val="both"/>
        <w:rPr>
          <w:rFonts w:ascii="Verdana" w:eastAsia="Times New Roman" w:hAnsi="Verdana" w:cs="Arial"/>
          <w:kern w:val="2"/>
        </w:rPr>
      </w:pPr>
    </w:p>
    <w:p>
      <w:pPr>
        <w:numPr>
          <w:ilvl w:val="0"/>
          <w:numId w:val="22"/>
        </w:numPr>
        <w:ind w:left="851" w:hanging="851"/>
        <w:jc w:val="both"/>
        <w:rPr>
          <w:rFonts w:ascii="Verdana" w:eastAsia="Times New Roman" w:hAnsi="Verdana" w:cs="Arial"/>
          <w:kern w:val="2"/>
        </w:rPr>
      </w:pPr>
      <w:r>
        <w:rPr>
          <w:rFonts w:ascii="Verdana" w:eastAsia="Times New Roman" w:hAnsi="Verdana" w:cs="Arial"/>
          <w:kern w:val="2"/>
        </w:rPr>
        <w:t>CURP;</w:t>
      </w:r>
    </w:p>
    <w:p>
      <w:pPr>
        <w:ind w:left="851" w:hanging="851"/>
        <w:jc w:val="both"/>
        <w:rPr>
          <w:rFonts w:ascii="Verdana" w:eastAsia="Times New Roman" w:hAnsi="Verdana" w:cs="Arial"/>
          <w:kern w:val="2"/>
        </w:rPr>
      </w:pPr>
    </w:p>
    <w:p>
      <w:pPr>
        <w:numPr>
          <w:ilvl w:val="0"/>
          <w:numId w:val="22"/>
        </w:numPr>
        <w:ind w:left="851" w:hanging="851"/>
        <w:jc w:val="both"/>
        <w:rPr>
          <w:rFonts w:ascii="Verdana" w:eastAsia="Times New Roman" w:hAnsi="Verdana" w:cs="Arial"/>
          <w:kern w:val="2"/>
        </w:rPr>
      </w:pPr>
      <w:r>
        <w:rPr>
          <w:rFonts w:ascii="Verdana" w:eastAsia="Times New Roman" w:hAnsi="Verdana" w:cs="Arial"/>
          <w:kern w:val="2"/>
        </w:rPr>
        <w:t>Acreditar a través el entroncamiento y la patria potestad de cuando menos un hijo menor de edad y que se encuentre estudiando o en el caso de hijos con alguna discapacidad presentar certificado médico que mencione la misma, deberá entregar de cada uno de sus hijos:</w:t>
      </w:r>
    </w:p>
    <w:p>
      <w:pPr>
        <w:ind w:left="851"/>
        <w:jc w:val="both"/>
        <w:rPr>
          <w:rFonts w:ascii="Verdana" w:eastAsia="Times New Roman" w:hAnsi="Verdana" w:cs="Arial"/>
          <w:kern w:val="2"/>
        </w:rPr>
      </w:pPr>
    </w:p>
    <w:p>
      <w:pPr>
        <w:pStyle w:val="Prrafodelista"/>
        <w:numPr>
          <w:ilvl w:val="0"/>
          <w:numId w:val="32"/>
        </w:numPr>
        <w:tabs>
          <w:tab w:val="clear" w:pos="708"/>
        </w:tabs>
        <w:autoSpaceDN w:val="0"/>
        <w:spacing w:line="240" w:lineRule="auto"/>
        <w:ind w:left="851" w:hanging="851"/>
        <w:jc w:val="both"/>
        <w:textAlignment w:val="baseline"/>
        <w:rPr>
          <w:rFonts w:ascii="Verdana" w:hAnsi="Verdana" w:cs="Arial"/>
          <w:kern w:val="2"/>
          <w:sz w:val="22"/>
          <w:lang w:eastAsia="zh-CN"/>
        </w:rPr>
      </w:pPr>
      <w:r>
        <w:rPr>
          <w:rFonts w:ascii="Verdana" w:hAnsi="Verdana" w:cs="Arial"/>
          <w:kern w:val="2"/>
          <w:sz w:val="22"/>
          <w:lang w:eastAsia="zh-CN"/>
        </w:rPr>
        <w:t>Acta de Nacimiento.</w:t>
      </w:r>
    </w:p>
    <w:p>
      <w:pPr>
        <w:jc w:val="both"/>
        <w:rPr>
          <w:rFonts w:ascii="Verdana" w:eastAsia="Times New Roman" w:hAnsi="Verdana" w:cs="Arial"/>
          <w:kern w:val="2"/>
        </w:rPr>
      </w:pPr>
    </w:p>
    <w:p>
      <w:pPr>
        <w:numPr>
          <w:ilvl w:val="0"/>
          <w:numId w:val="22"/>
        </w:numPr>
        <w:ind w:left="851" w:hanging="851"/>
        <w:jc w:val="both"/>
        <w:rPr>
          <w:rFonts w:ascii="Verdana" w:eastAsia="Times New Roman" w:hAnsi="Verdana" w:cs="Arial"/>
          <w:kern w:val="2"/>
        </w:rPr>
      </w:pPr>
      <w:r>
        <w:rPr>
          <w:rFonts w:ascii="Verdana" w:eastAsia="Times New Roman" w:hAnsi="Verdana" w:cs="Arial"/>
          <w:kern w:val="2"/>
        </w:rPr>
        <w:t xml:space="preserve">Nombrar a un representante que cumpla con la mayoría de edad y del cual deberá presentar copia de su credencial de elector vigente, lo anterior para los casos  que a continuación se describen: </w:t>
      </w:r>
    </w:p>
    <w:p>
      <w:pPr>
        <w:jc w:val="both"/>
        <w:rPr>
          <w:rFonts w:ascii="Verdana" w:eastAsia="Times New Roman" w:hAnsi="Verdana" w:cs="Arial"/>
          <w:kern w:val="2"/>
        </w:rPr>
      </w:pPr>
    </w:p>
    <w:p>
      <w:pPr>
        <w:numPr>
          <w:ilvl w:val="2"/>
          <w:numId w:val="22"/>
        </w:numPr>
        <w:tabs>
          <w:tab w:val="left" w:pos="709"/>
        </w:tabs>
        <w:ind w:left="851" w:firstLine="0"/>
        <w:jc w:val="both"/>
        <w:rPr>
          <w:rFonts w:ascii="Verdana" w:eastAsia="Times New Roman" w:hAnsi="Verdana" w:cs="Arial"/>
          <w:lang w:val="es-ES" w:eastAsia="ar-SA"/>
        </w:rPr>
      </w:pPr>
      <w:r>
        <w:rPr>
          <w:rFonts w:ascii="Verdana" w:eastAsia="Times New Roman" w:hAnsi="Verdana" w:cs="Arial"/>
          <w:lang w:val="es-ES" w:eastAsia="ar-SA"/>
        </w:rPr>
        <w:t>Que la beneficiaria padezca algún impedimento físico para desplazarse;</w:t>
      </w:r>
    </w:p>
    <w:p>
      <w:pPr>
        <w:tabs>
          <w:tab w:val="left" w:pos="709"/>
        </w:tabs>
        <w:ind w:left="851"/>
        <w:jc w:val="both"/>
        <w:rPr>
          <w:rFonts w:ascii="Verdana" w:eastAsia="Times New Roman" w:hAnsi="Verdana" w:cs="Arial"/>
          <w:lang w:val="es-ES" w:eastAsia="ar-SA"/>
        </w:rPr>
      </w:pPr>
    </w:p>
    <w:p>
      <w:pPr>
        <w:numPr>
          <w:ilvl w:val="2"/>
          <w:numId w:val="22"/>
        </w:numPr>
        <w:tabs>
          <w:tab w:val="left" w:pos="709"/>
        </w:tabs>
        <w:ind w:left="851" w:firstLine="0"/>
        <w:jc w:val="both"/>
        <w:rPr>
          <w:rFonts w:ascii="Verdana" w:eastAsia="Times New Roman" w:hAnsi="Verdana" w:cs="Arial"/>
          <w:lang w:val="es-ES" w:eastAsia="ar-SA"/>
        </w:rPr>
      </w:pPr>
      <w:r>
        <w:rPr>
          <w:rFonts w:ascii="Verdana" w:eastAsia="Times New Roman" w:hAnsi="Verdana" w:cs="Arial"/>
          <w:lang w:val="es-ES" w:eastAsia="ar-SA"/>
        </w:rPr>
        <w:t xml:space="preserve">Que la beneficiaria se encuentre hospitalizada; y </w:t>
      </w:r>
    </w:p>
    <w:p>
      <w:pPr>
        <w:tabs>
          <w:tab w:val="left" w:pos="709"/>
        </w:tabs>
        <w:ind w:left="851"/>
        <w:jc w:val="both"/>
        <w:rPr>
          <w:rFonts w:ascii="Verdana" w:eastAsia="Times New Roman" w:hAnsi="Verdana" w:cs="Arial"/>
          <w:lang w:val="es-ES" w:eastAsia="ar-SA"/>
        </w:rPr>
      </w:pPr>
    </w:p>
    <w:p>
      <w:pPr>
        <w:numPr>
          <w:ilvl w:val="2"/>
          <w:numId w:val="22"/>
        </w:numPr>
        <w:tabs>
          <w:tab w:val="left" w:pos="709"/>
        </w:tabs>
        <w:ind w:left="851" w:firstLine="0"/>
        <w:jc w:val="both"/>
        <w:rPr>
          <w:rFonts w:ascii="Verdana" w:eastAsia="Times New Roman" w:hAnsi="Verdana" w:cs="Arial"/>
          <w:lang w:val="es-ES" w:eastAsia="ar-SA"/>
        </w:rPr>
      </w:pPr>
      <w:r>
        <w:rPr>
          <w:rFonts w:ascii="Verdana" w:eastAsia="Times New Roman" w:hAnsi="Verdana" w:cs="Arial"/>
          <w:lang w:val="es-ES" w:eastAsia="ar-SA"/>
        </w:rPr>
        <w:t>En caso de fallecimiento.</w:t>
      </w:r>
    </w:p>
    <w:p>
      <w:pPr>
        <w:jc w:val="both"/>
        <w:rPr>
          <w:rFonts w:ascii="Verdana" w:eastAsia="Times New Roman" w:hAnsi="Verdana" w:cs="Arial"/>
          <w:lang w:val="es-ES" w:eastAsia="ar-SA"/>
        </w:rPr>
      </w:pPr>
    </w:p>
    <w:p>
      <w:pPr>
        <w:numPr>
          <w:ilvl w:val="0"/>
          <w:numId w:val="22"/>
        </w:numPr>
        <w:ind w:left="0" w:firstLine="0"/>
        <w:jc w:val="both"/>
        <w:rPr>
          <w:rFonts w:ascii="Verdana" w:eastAsia="Times New Roman" w:hAnsi="Verdana" w:cs="Arial"/>
          <w:kern w:val="2"/>
        </w:rPr>
      </w:pPr>
      <w:r>
        <w:rPr>
          <w:rFonts w:ascii="Verdana" w:eastAsia="Times New Roman" w:hAnsi="Verdana" w:cs="Arial"/>
          <w:kern w:val="2"/>
        </w:rPr>
        <w:t xml:space="preserve">No tener afinidad o parentesco hasta el cuarto grado de consanguinidad con algún servidor público de primer nivel de cualquier orden de gobierno; de cualquier servidor público que tenga injerencia en la toma de decisiones de este programa; que participe en alguna de las etapas del proceso de solicitud, integración de expedientes, levantamiento de estudios socio familiar, selección y aprobación del padrón; y </w:t>
      </w:r>
    </w:p>
    <w:p>
      <w:pPr>
        <w:jc w:val="both"/>
        <w:rPr>
          <w:rFonts w:ascii="Verdana" w:eastAsia="Times New Roman" w:hAnsi="Verdana" w:cs="Arial"/>
          <w:kern w:val="2"/>
        </w:rPr>
      </w:pPr>
    </w:p>
    <w:p>
      <w:pPr>
        <w:numPr>
          <w:ilvl w:val="0"/>
          <w:numId w:val="23"/>
        </w:numPr>
        <w:ind w:left="0" w:firstLine="0"/>
        <w:jc w:val="both"/>
        <w:rPr>
          <w:rFonts w:ascii="Verdana" w:eastAsia="Times New Roman" w:hAnsi="Verdana" w:cs="Arial"/>
          <w:kern w:val="2"/>
        </w:rPr>
      </w:pPr>
      <w:r>
        <w:rPr>
          <w:rFonts w:ascii="Verdana" w:eastAsia="Times New Roman" w:hAnsi="Verdana" w:cs="Arial"/>
          <w:kern w:val="2"/>
        </w:rPr>
        <w:t>Aprobar el estudio Socio Familiar 2019.</w:t>
      </w:r>
    </w:p>
    <w:p>
      <w:pPr>
        <w:jc w:val="both"/>
        <w:rPr>
          <w:rFonts w:ascii="Verdana" w:eastAsia="Calibri" w:hAnsi="Verdana" w:cs="Arial"/>
          <w:b/>
        </w:rPr>
      </w:pPr>
    </w:p>
    <w:p>
      <w:pPr>
        <w:jc w:val="both"/>
        <w:rPr>
          <w:rFonts w:ascii="Verdana" w:eastAsia="Times New Roman" w:hAnsi="Verdana" w:cs="Arial"/>
          <w:kern w:val="2"/>
        </w:rPr>
      </w:pPr>
      <w:r>
        <w:rPr>
          <w:rFonts w:ascii="Verdana" w:eastAsia="Times New Roman" w:hAnsi="Verdana" w:cs="Arial"/>
          <w:kern w:val="2"/>
        </w:rPr>
        <w:t>El Programa  contará con un Comité Dictaminador que tendrá como objetivo conocer y determinara los beneficiarios del Programa. Estará integrado por:</w:t>
      </w:r>
    </w:p>
    <w:p>
      <w:pPr>
        <w:jc w:val="both"/>
        <w:rPr>
          <w:rFonts w:ascii="Verdana" w:eastAsia="Times New Roman" w:hAnsi="Verdana" w:cs="Arial"/>
          <w:kern w:val="2"/>
        </w:rPr>
      </w:pPr>
    </w:p>
    <w:p>
      <w:pPr>
        <w:numPr>
          <w:ilvl w:val="0"/>
          <w:numId w:val="19"/>
        </w:numPr>
        <w:tabs>
          <w:tab w:val="left" w:pos="1418"/>
        </w:tabs>
        <w:suppressAutoHyphens w:val="0"/>
        <w:ind w:left="1418" w:hanging="567"/>
        <w:jc w:val="both"/>
        <w:rPr>
          <w:rFonts w:ascii="Verdana" w:eastAsia="Times New Roman" w:hAnsi="Verdana" w:cs="Arial"/>
          <w:kern w:val="2"/>
        </w:rPr>
      </w:pPr>
      <w:r>
        <w:rPr>
          <w:rFonts w:ascii="Verdana" w:eastAsia="Times New Roman" w:hAnsi="Verdana" w:cs="Arial"/>
          <w:kern w:val="2"/>
        </w:rPr>
        <w:lastRenderedPageBreak/>
        <w:t>El Coordinador General de Participación Ciudadana y Construcción de Comunidad, quien presidirá el mismo y contará con voz y voto de calidad.</w:t>
      </w:r>
    </w:p>
    <w:p>
      <w:pPr>
        <w:tabs>
          <w:tab w:val="left" w:pos="851"/>
        </w:tabs>
        <w:ind w:left="851"/>
        <w:jc w:val="both"/>
        <w:rPr>
          <w:rFonts w:ascii="Verdana" w:eastAsia="Times New Roman" w:hAnsi="Verdana" w:cs="Arial"/>
          <w:kern w:val="2"/>
        </w:rPr>
      </w:pPr>
    </w:p>
    <w:p>
      <w:pPr>
        <w:numPr>
          <w:ilvl w:val="0"/>
          <w:numId w:val="19"/>
        </w:numPr>
        <w:tabs>
          <w:tab w:val="left" w:pos="1418"/>
        </w:tabs>
        <w:suppressAutoHyphens w:val="0"/>
        <w:ind w:left="1418" w:hanging="567"/>
        <w:jc w:val="both"/>
        <w:rPr>
          <w:rFonts w:ascii="Verdana" w:eastAsia="Times New Roman" w:hAnsi="Verdana" w:cs="Arial"/>
          <w:kern w:val="2"/>
        </w:rPr>
      </w:pPr>
      <w:r>
        <w:rPr>
          <w:rFonts w:ascii="Verdana" w:eastAsia="Times New Roman" w:hAnsi="Verdana" w:cs="Arial"/>
          <w:kern w:val="2"/>
        </w:rPr>
        <w:t>El Director General de Programas Sociales Estratégicos, quien fungirá como el Secretario Ejecutivo del Comité, el cual contará con voz y voto.</w:t>
      </w:r>
    </w:p>
    <w:p>
      <w:pPr>
        <w:tabs>
          <w:tab w:val="left" w:pos="851"/>
        </w:tabs>
        <w:ind w:left="851"/>
        <w:jc w:val="both"/>
        <w:rPr>
          <w:rFonts w:ascii="Verdana" w:eastAsia="Times New Roman" w:hAnsi="Verdana" w:cs="Arial"/>
          <w:kern w:val="2"/>
          <w:sz w:val="20"/>
        </w:rPr>
      </w:pPr>
    </w:p>
    <w:p>
      <w:pPr>
        <w:pStyle w:val="Prrafodelista"/>
        <w:numPr>
          <w:ilvl w:val="0"/>
          <w:numId w:val="19"/>
        </w:numPr>
        <w:tabs>
          <w:tab w:val="left" w:pos="1418"/>
          <w:tab w:val="left" w:pos="2410"/>
        </w:tabs>
        <w:autoSpaceDN w:val="0"/>
        <w:spacing w:line="240" w:lineRule="auto"/>
        <w:ind w:left="1418" w:hanging="567"/>
        <w:jc w:val="both"/>
        <w:textAlignment w:val="baseline"/>
        <w:rPr>
          <w:rFonts w:ascii="Verdana" w:eastAsia="Calibri" w:hAnsi="Verdana" w:cs="Arial"/>
          <w:sz w:val="22"/>
        </w:rPr>
      </w:pPr>
      <w:r>
        <w:rPr>
          <w:rFonts w:ascii="Verdana" w:eastAsia="Calibri" w:hAnsi="Verdana" w:cs="Arial"/>
          <w:sz w:val="22"/>
        </w:rPr>
        <w:t>El Director de Programas Municipales, quien fungirá como Vocal, el cual contará con voz y voto.</w:t>
      </w:r>
    </w:p>
    <w:p>
      <w:pPr>
        <w:tabs>
          <w:tab w:val="left" w:pos="851"/>
          <w:tab w:val="left" w:pos="2410"/>
        </w:tabs>
        <w:ind w:left="851"/>
        <w:jc w:val="both"/>
        <w:rPr>
          <w:rFonts w:ascii="Verdana" w:eastAsia="Calibri" w:hAnsi="Verdana" w:cs="Arial"/>
        </w:rPr>
      </w:pPr>
    </w:p>
    <w:p>
      <w:pPr>
        <w:numPr>
          <w:ilvl w:val="0"/>
          <w:numId w:val="19"/>
        </w:numPr>
        <w:tabs>
          <w:tab w:val="left" w:pos="1418"/>
        </w:tabs>
        <w:ind w:left="1418" w:hanging="567"/>
        <w:jc w:val="both"/>
        <w:rPr>
          <w:rFonts w:ascii="Verdana" w:eastAsia="Calibri" w:hAnsi="Verdana" w:cs="Arial"/>
        </w:rPr>
      </w:pPr>
      <w:r>
        <w:rPr>
          <w:rFonts w:ascii="Verdana" w:eastAsia="Calibri" w:hAnsi="Verdana" w:cs="Arial"/>
        </w:rPr>
        <w:t>El Director del Programa Jefas de Familia y Sesenta y Más, quien fungirá como vocal, el cual contara con voz y voto.</w:t>
      </w:r>
    </w:p>
    <w:p>
      <w:pPr>
        <w:tabs>
          <w:tab w:val="left" w:pos="851"/>
          <w:tab w:val="left" w:pos="2410"/>
        </w:tabs>
        <w:ind w:left="851"/>
        <w:jc w:val="both"/>
        <w:rPr>
          <w:rFonts w:ascii="Verdana" w:eastAsia="Calibri" w:hAnsi="Verdana" w:cs="Arial"/>
        </w:rPr>
      </w:pPr>
    </w:p>
    <w:p>
      <w:pPr>
        <w:numPr>
          <w:ilvl w:val="0"/>
          <w:numId w:val="19"/>
        </w:numPr>
        <w:tabs>
          <w:tab w:val="left" w:pos="1418"/>
        </w:tabs>
        <w:suppressAutoHyphens w:val="0"/>
        <w:ind w:left="1418" w:hanging="567"/>
        <w:jc w:val="both"/>
        <w:rPr>
          <w:rFonts w:ascii="Verdana" w:eastAsia="Times New Roman" w:hAnsi="Verdana" w:cs="Arial"/>
          <w:kern w:val="2"/>
        </w:rPr>
      </w:pPr>
      <w:r>
        <w:rPr>
          <w:rFonts w:ascii="Verdana" w:eastAsia="Times New Roman" w:hAnsi="Verdana" w:cs="Arial"/>
          <w:kern w:val="2"/>
        </w:rPr>
        <w:t>El Secretario Técnico, quien será un representante de la Dirección de Atención Jurídica de la Coordinación General de Participación Ciudadana y Construcción de Comunidad, el cual contará con voz y voto.</w:t>
      </w:r>
    </w:p>
    <w:p>
      <w:pPr>
        <w:tabs>
          <w:tab w:val="left" w:pos="851"/>
        </w:tabs>
        <w:ind w:left="851"/>
        <w:jc w:val="both"/>
        <w:rPr>
          <w:rFonts w:ascii="Verdana" w:eastAsia="Times New Roman" w:hAnsi="Verdana" w:cs="Arial"/>
          <w:kern w:val="2"/>
        </w:rPr>
      </w:pPr>
    </w:p>
    <w:p>
      <w:pPr>
        <w:numPr>
          <w:ilvl w:val="0"/>
          <w:numId w:val="19"/>
        </w:numPr>
        <w:tabs>
          <w:tab w:val="left" w:pos="1418"/>
        </w:tabs>
        <w:suppressAutoHyphens w:val="0"/>
        <w:ind w:left="1418" w:hanging="567"/>
        <w:jc w:val="both"/>
        <w:rPr>
          <w:rFonts w:ascii="Verdana" w:eastAsia="Times New Roman" w:hAnsi="Verdana" w:cs="Arial"/>
          <w:kern w:val="2"/>
        </w:rPr>
      </w:pPr>
      <w:r>
        <w:rPr>
          <w:rFonts w:ascii="Verdana" w:eastAsia="Times New Roman" w:hAnsi="Verdana" w:cs="Arial"/>
          <w:kern w:val="2"/>
        </w:rPr>
        <w:t>El Tesorero Municipal, quien fungirá como vocal, el cual contara con voz y  voto.</w:t>
      </w:r>
    </w:p>
    <w:p>
      <w:pPr>
        <w:tabs>
          <w:tab w:val="left" w:pos="851"/>
        </w:tabs>
        <w:ind w:left="851"/>
        <w:jc w:val="both"/>
        <w:rPr>
          <w:rFonts w:ascii="Verdana" w:eastAsia="Times New Roman" w:hAnsi="Verdana" w:cs="Arial"/>
          <w:kern w:val="2"/>
        </w:rPr>
      </w:pPr>
    </w:p>
    <w:p>
      <w:pPr>
        <w:numPr>
          <w:ilvl w:val="0"/>
          <w:numId w:val="19"/>
        </w:numPr>
        <w:tabs>
          <w:tab w:val="left" w:pos="851"/>
        </w:tabs>
        <w:suppressAutoHyphens w:val="0"/>
        <w:ind w:left="851" w:firstLine="0"/>
        <w:jc w:val="both"/>
        <w:rPr>
          <w:rFonts w:ascii="Verdana" w:eastAsia="Times New Roman" w:hAnsi="Verdana" w:cs="Arial"/>
          <w:kern w:val="2"/>
        </w:rPr>
      </w:pPr>
      <w:r>
        <w:rPr>
          <w:rFonts w:ascii="Verdana" w:eastAsia="Times New Roman" w:hAnsi="Verdana" w:cs="Arial"/>
          <w:kern w:val="2"/>
        </w:rPr>
        <w:t xml:space="preserve">El Contralor Municipal, quien fungirá como observador. </w:t>
      </w:r>
    </w:p>
    <w:p>
      <w:pPr>
        <w:tabs>
          <w:tab w:val="left" w:pos="851"/>
        </w:tabs>
        <w:ind w:left="851"/>
        <w:jc w:val="both"/>
        <w:rPr>
          <w:rFonts w:ascii="Verdana" w:eastAsia="Times New Roman" w:hAnsi="Verdana" w:cs="Arial"/>
          <w:kern w:val="2"/>
        </w:rPr>
      </w:pPr>
    </w:p>
    <w:p>
      <w:pPr>
        <w:numPr>
          <w:ilvl w:val="0"/>
          <w:numId w:val="19"/>
        </w:numPr>
        <w:tabs>
          <w:tab w:val="left" w:pos="1418"/>
        </w:tabs>
        <w:suppressAutoHyphens w:val="0"/>
        <w:ind w:left="1418" w:hanging="567"/>
        <w:jc w:val="both"/>
        <w:rPr>
          <w:rFonts w:ascii="Verdana" w:eastAsia="Times New Roman" w:hAnsi="Verdana" w:cs="Arial"/>
          <w:kern w:val="2"/>
        </w:rPr>
      </w:pPr>
      <w:r>
        <w:rPr>
          <w:rFonts w:ascii="Verdana" w:eastAsia="Times New Roman" w:hAnsi="Verdana" w:cs="Arial"/>
          <w:kern w:val="2"/>
        </w:rPr>
        <w:t>Un representante del Consejo Municipal de Participación Ciudadana, quien contará solo con voz.</w:t>
      </w:r>
    </w:p>
    <w:p>
      <w:pPr>
        <w:tabs>
          <w:tab w:val="left" w:pos="851"/>
        </w:tabs>
        <w:jc w:val="both"/>
        <w:rPr>
          <w:rFonts w:ascii="Verdana" w:eastAsia="Times New Roman" w:hAnsi="Verdana" w:cs="Arial"/>
          <w:kern w:val="2"/>
        </w:rPr>
      </w:pPr>
    </w:p>
    <w:p>
      <w:pPr>
        <w:tabs>
          <w:tab w:val="left" w:pos="851"/>
        </w:tabs>
        <w:jc w:val="both"/>
        <w:rPr>
          <w:rFonts w:ascii="Verdana" w:eastAsia="Times New Roman" w:hAnsi="Verdana" w:cs="Arial"/>
          <w:kern w:val="2"/>
        </w:rPr>
      </w:pPr>
      <w:r>
        <w:rPr>
          <w:rFonts w:ascii="Verdana" w:eastAsia="Times New Roman" w:hAnsi="Verdana" w:cs="Arial"/>
          <w:kern w:val="2"/>
        </w:rPr>
        <w:t>Son funciones del Comité Dictaminador serán:</w:t>
      </w:r>
    </w:p>
    <w:p>
      <w:pPr>
        <w:tabs>
          <w:tab w:val="left" w:pos="851"/>
        </w:tabs>
        <w:jc w:val="both"/>
        <w:rPr>
          <w:rFonts w:ascii="Verdana" w:eastAsia="Times New Roman" w:hAnsi="Verdana" w:cs="Arial"/>
          <w:kern w:val="2"/>
        </w:rPr>
      </w:pPr>
    </w:p>
    <w:p>
      <w:pPr>
        <w:numPr>
          <w:ilvl w:val="3"/>
          <w:numId w:val="20"/>
        </w:numPr>
        <w:tabs>
          <w:tab w:val="left" w:pos="1418"/>
        </w:tabs>
        <w:suppressAutoHyphens w:val="0"/>
        <w:ind w:left="1418" w:hanging="567"/>
        <w:jc w:val="both"/>
        <w:rPr>
          <w:rFonts w:ascii="Verdana" w:eastAsia="Times New Roman" w:hAnsi="Verdana" w:cs="Arial"/>
          <w:kern w:val="2"/>
        </w:rPr>
      </w:pPr>
      <w:r>
        <w:rPr>
          <w:rFonts w:ascii="Verdana" w:eastAsia="Times New Roman" w:hAnsi="Verdana" w:cs="Arial"/>
          <w:kern w:val="2"/>
        </w:rPr>
        <w:t xml:space="preserve">Requerir, estudiar y analizar la información, así como la   documentación de los expedientes de los solicitantes que hayan cumplido con los requisitos de las presentes Reglas de Operación para designar a los beneficiados; </w:t>
      </w:r>
    </w:p>
    <w:p>
      <w:pPr>
        <w:tabs>
          <w:tab w:val="left" w:pos="851"/>
        </w:tabs>
        <w:ind w:left="851"/>
        <w:jc w:val="both"/>
        <w:rPr>
          <w:rFonts w:ascii="Verdana" w:eastAsia="Times New Roman" w:hAnsi="Verdana" w:cs="Arial"/>
          <w:kern w:val="2"/>
        </w:rPr>
      </w:pPr>
    </w:p>
    <w:p>
      <w:pPr>
        <w:numPr>
          <w:ilvl w:val="3"/>
          <w:numId w:val="20"/>
        </w:numPr>
        <w:tabs>
          <w:tab w:val="left" w:pos="1418"/>
        </w:tabs>
        <w:suppressAutoHyphens w:val="0"/>
        <w:ind w:left="1418" w:hanging="567"/>
        <w:jc w:val="both"/>
        <w:rPr>
          <w:rFonts w:ascii="Verdana" w:eastAsia="Times New Roman" w:hAnsi="Verdana" w:cs="Arial"/>
          <w:kern w:val="2"/>
        </w:rPr>
      </w:pPr>
      <w:r>
        <w:rPr>
          <w:rFonts w:ascii="Verdana" w:eastAsia="Times New Roman" w:hAnsi="Verdana" w:cs="Arial"/>
          <w:kern w:val="2"/>
        </w:rPr>
        <w:t>Autorizar la asignación de recursos del Programa conforme a las Reglas de Operación del mismo.</w:t>
      </w:r>
    </w:p>
    <w:p>
      <w:pPr>
        <w:tabs>
          <w:tab w:val="left" w:pos="851"/>
        </w:tabs>
        <w:ind w:left="851"/>
        <w:jc w:val="both"/>
        <w:rPr>
          <w:rFonts w:ascii="Verdana" w:eastAsia="Times New Roman" w:hAnsi="Verdana" w:cs="Arial"/>
          <w:kern w:val="2"/>
        </w:rPr>
      </w:pPr>
    </w:p>
    <w:p>
      <w:pPr>
        <w:numPr>
          <w:ilvl w:val="3"/>
          <w:numId w:val="20"/>
        </w:numPr>
        <w:tabs>
          <w:tab w:val="left" w:pos="1418"/>
        </w:tabs>
        <w:suppressAutoHyphens w:val="0"/>
        <w:ind w:left="1418" w:hanging="567"/>
        <w:jc w:val="both"/>
        <w:rPr>
          <w:rFonts w:ascii="Verdana" w:eastAsia="Times New Roman" w:hAnsi="Verdana" w:cs="Arial"/>
          <w:kern w:val="2"/>
        </w:rPr>
      </w:pPr>
      <w:r>
        <w:rPr>
          <w:rFonts w:ascii="Verdana" w:eastAsia="Times New Roman" w:hAnsi="Verdana" w:cs="Arial"/>
          <w:kern w:val="2"/>
        </w:rPr>
        <w:t>Conocer los avances y acciones del Programa y en su caso emitir las recomendaciones que considere pertinentes;</w:t>
      </w:r>
    </w:p>
    <w:p>
      <w:pPr>
        <w:tabs>
          <w:tab w:val="left" w:pos="851"/>
        </w:tabs>
        <w:ind w:left="851"/>
        <w:jc w:val="both"/>
        <w:rPr>
          <w:rFonts w:ascii="Verdana" w:eastAsia="Times New Roman" w:hAnsi="Verdana" w:cs="Arial"/>
          <w:kern w:val="2"/>
        </w:rPr>
      </w:pPr>
    </w:p>
    <w:p>
      <w:pPr>
        <w:numPr>
          <w:ilvl w:val="3"/>
          <w:numId w:val="20"/>
        </w:numPr>
        <w:tabs>
          <w:tab w:val="left" w:pos="1418"/>
        </w:tabs>
        <w:suppressAutoHyphens w:val="0"/>
        <w:ind w:left="1418" w:hanging="567"/>
        <w:jc w:val="both"/>
        <w:rPr>
          <w:rFonts w:ascii="Verdana" w:eastAsia="Times New Roman" w:hAnsi="Verdana" w:cs="Arial"/>
          <w:kern w:val="2"/>
        </w:rPr>
      </w:pPr>
      <w:r>
        <w:rPr>
          <w:rFonts w:ascii="Verdana" w:eastAsia="Times New Roman" w:hAnsi="Verdana" w:cs="Arial"/>
          <w:kern w:val="2"/>
        </w:rPr>
        <w:t>Aprobar los formatos a utilizarse durante la ejecución del       Programa;</w:t>
      </w:r>
    </w:p>
    <w:p>
      <w:pPr>
        <w:tabs>
          <w:tab w:val="left" w:pos="851"/>
        </w:tabs>
        <w:ind w:left="851"/>
        <w:jc w:val="both"/>
        <w:rPr>
          <w:rFonts w:ascii="Verdana" w:eastAsia="Times New Roman" w:hAnsi="Verdana" w:cs="Arial"/>
          <w:kern w:val="2"/>
        </w:rPr>
      </w:pPr>
    </w:p>
    <w:p>
      <w:pPr>
        <w:numPr>
          <w:ilvl w:val="3"/>
          <w:numId w:val="20"/>
        </w:numPr>
        <w:suppressAutoHyphens w:val="0"/>
        <w:ind w:left="1418" w:hanging="567"/>
        <w:jc w:val="both"/>
        <w:rPr>
          <w:rFonts w:ascii="Verdana" w:eastAsia="Times New Roman" w:hAnsi="Verdana" w:cs="Arial"/>
          <w:kern w:val="2"/>
        </w:rPr>
      </w:pPr>
      <w:r>
        <w:rPr>
          <w:rFonts w:ascii="Verdana" w:eastAsia="Times New Roman" w:hAnsi="Verdana" w:cs="Arial"/>
          <w:kern w:val="2"/>
        </w:rPr>
        <w:t xml:space="preserve">Determinar todo lo no previsto en las presentes Reglas de Operación, así como la forma y plazos para que el área correspondiente realice la evaluación del Programa; </w:t>
      </w:r>
    </w:p>
    <w:p>
      <w:pPr>
        <w:tabs>
          <w:tab w:val="left" w:pos="851"/>
        </w:tabs>
        <w:ind w:left="851"/>
        <w:jc w:val="both"/>
        <w:rPr>
          <w:rFonts w:ascii="Verdana" w:eastAsia="Times New Roman" w:hAnsi="Verdana" w:cs="Arial"/>
          <w:kern w:val="2"/>
        </w:rPr>
      </w:pPr>
    </w:p>
    <w:p>
      <w:pPr>
        <w:numPr>
          <w:ilvl w:val="3"/>
          <w:numId w:val="20"/>
        </w:numPr>
        <w:tabs>
          <w:tab w:val="left" w:pos="1418"/>
        </w:tabs>
        <w:suppressAutoHyphens w:val="0"/>
        <w:ind w:left="1418" w:hanging="567"/>
        <w:jc w:val="both"/>
        <w:rPr>
          <w:rFonts w:ascii="Verdana" w:eastAsia="Times New Roman" w:hAnsi="Verdana" w:cs="Arial"/>
          <w:kern w:val="2"/>
        </w:rPr>
      </w:pPr>
      <w:r>
        <w:rPr>
          <w:rFonts w:ascii="Verdana" w:eastAsia="Times New Roman" w:hAnsi="Verdana" w:cs="Arial"/>
          <w:kern w:val="2"/>
        </w:rPr>
        <w:lastRenderedPageBreak/>
        <w:t>Modificar el padrón de beneficiarios conforme a las presentes Reglas de Operación; y</w:t>
      </w:r>
    </w:p>
    <w:p>
      <w:pPr>
        <w:tabs>
          <w:tab w:val="left" w:pos="851"/>
        </w:tabs>
        <w:ind w:left="851"/>
        <w:jc w:val="both"/>
        <w:rPr>
          <w:rFonts w:ascii="Verdana" w:eastAsia="Times New Roman" w:hAnsi="Verdana" w:cs="Arial"/>
          <w:kern w:val="2"/>
        </w:rPr>
      </w:pPr>
    </w:p>
    <w:p>
      <w:pPr>
        <w:numPr>
          <w:ilvl w:val="3"/>
          <w:numId w:val="20"/>
        </w:numPr>
        <w:tabs>
          <w:tab w:val="left" w:pos="1418"/>
        </w:tabs>
        <w:suppressAutoHyphens w:val="0"/>
        <w:ind w:left="1418" w:hanging="567"/>
        <w:jc w:val="both"/>
        <w:rPr>
          <w:rFonts w:ascii="Verdana" w:eastAsia="Times New Roman" w:hAnsi="Verdana" w:cs="Arial"/>
          <w:kern w:val="2"/>
        </w:rPr>
      </w:pPr>
      <w:r>
        <w:rPr>
          <w:rFonts w:ascii="Verdana" w:eastAsia="Times New Roman" w:hAnsi="Verdana" w:cs="Arial"/>
          <w:kern w:val="2"/>
        </w:rPr>
        <w:t>Tomar decisiones objetivas, basadas en los criterios establecidos en estas Reglas de Operación.</w:t>
      </w:r>
    </w:p>
    <w:p>
      <w:pPr>
        <w:jc w:val="both"/>
        <w:rPr>
          <w:rFonts w:ascii="Verdana" w:eastAsia="Times New Roman" w:hAnsi="Verdana"/>
          <w:i/>
          <w:kern w:val="2"/>
        </w:rPr>
      </w:pPr>
    </w:p>
    <w:p>
      <w:pPr>
        <w:jc w:val="both"/>
        <w:rPr>
          <w:rFonts w:ascii="Verdana" w:eastAsia="Calibri" w:hAnsi="Verdana" w:cs="Arial"/>
          <w:b/>
        </w:rPr>
      </w:pPr>
      <w:r>
        <w:rPr>
          <w:rFonts w:ascii="Verdana" w:eastAsia="Calibri" w:hAnsi="Verdana" w:cs="Arial"/>
          <w:b/>
        </w:rPr>
        <w:t>8.2. Derechos y obligaciones de las beneficiarias.</w:t>
      </w:r>
    </w:p>
    <w:p>
      <w:pPr>
        <w:jc w:val="both"/>
        <w:rPr>
          <w:rFonts w:ascii="Verdana" w:eastAsia="Calibri" w:hAnsi="Verdana" w:cs="Arial"/>
          <w:b/>
        </w:rPr>
      </w:pPr>
    </w:p>
    <w:p>
      <w:pPr>
        <w:numPr>
          <w:ilvl w:val="0"/>
          <w:numId w:val="30"/>
        </w:numPr>
        <w:suppressAutoHyphens w:val="0"/>
        <w:ind w:left="0" w:firstLine="0"/>
        <w:jc w:val="both"/>
        <w:rPr>
          <w:rFonts w:ascii="Verdana" w:eastAsia="Times New Roman" w:hAnsi="Verdana" w:cs="Arial"/>
          <w:kern w:val="2"/>
        </w:rPr>
      </w:pPr>
      <w:r>
        <w:rPr>
          <w:rFonts w:ascii="Verdana" w:eastAsia="Times New Roman" w:hAnsi="Verdana" w:cs="Arial"/>
          <w:b/>
          <w:kern w:val="2"/>
        </w:rPr>
        <w:t>Derechos</w:t>
      </w:r>
      <w:r>
        <w:rPr>
          <w:rFonts w:ascii="Verdana" w:eastAsia="Times New Roman" w:hAnsi="Verdana" w:cs="Arial"/>
          <w:kern w:val="2"/>
        </w:rPr>
        <w:t>.</w:t>
      </w:r>
    </w:p>
    <w:p>
      <w:pPr>
        <w:jc w:val="both"/>
        <w:rPr>
          <w:rFonts w:ascii="Verdana" w:eastAsia="Times New Roman" w:hAnsi="Verdana" w:cs="Arial"/>
          <w:kern w:val="2"/>
        </w:rPr>
      </w:pPr>
    </w:p>
    <w:p>
      <w:pPr>
        <w:numPr>
          <w:ilvl w:val="0"/>
          <w:numId w:val="17"/>
        </w:numPr>
        <w:suppressAutoHyphens w:val="0"/>
        <w:ind w:left="1418" w:hanging="567"/>
        <w:jc w:val="both"/>
        <w:rPr>
          <w:rFonts w:ascii="Verdana" w:eastAsia="Times New Roman" w:hAnsi="Verdana" w:cs="Arial"/>
          <w:kern w:val="2"/>
          <w:lang w:val="es-ES"/>
        </w:rPr>
      </w:pPr>
      <w:r>
        <w:rPr>
          <w:rFonts w:ascii="Verdana" w:eastAsia="Times New Roman" w:hAnsi="Verdana" w:cs="Arial"/>
          <w:kern w:val="2"/>
          <w:lang w:val="es-ES"/>
        </w:rPr>
        <w:t>Recibir todos los apoyos del Programa  sin costo o condicionamiento alguno.</w:t>
      </w:r>
    </w:p>
    <w:p>
      <w:pPr>
        <w:ind w:left="851"/>
        <w:jc w:val="both"/>
        <w:rPr>
          <w:rFonts w:ascii="Verdana" w:eastAsia="Times New Roman" w:hAnsi="Verdana" w:cs="Arial"/>
          <w:kern w:val="2"/>
          <w:lang w:val="es-ES"/>
        </w:rPr>
      </w:pPr>
    </w:p>
    <w:p>
      <w:pPr>
        <w:numPr>
          <w:ilvl w:val="0"/>
          <w:numId w:val="17"/>
        </w:numPr>
        <w:suppressAutoHyphens w:val="0"/>
        <w:ind w:left="1418" w:hanging="567"/>
        <w:jc w:val="both"/>
        <w:rPr>
          <w:rFonts w:ascii="Verdana" w:eastAsia="Times New Roman" w:hAnsi="Verdana" w:cs="Arial"/>
          <w:kern w:val="2"/>
          <w:lang w:val="es-ES"/>
        </w:rPr>
      </w:pPr>
      <w:r>
        <w:rPr>
          <w:rFonts w:ascii="Verdana" w:eastAsia="Times New Roman" w:hAnsi="Verdana" w:cs="Arial"/>
          <w:kern w:val="2"/>
          <w:lang w:val="es-ES"/>
        </w:rPr>
        <w:t>Cuando la beneficiaria por cuestiones de salud o  laboral, no pueda acudir a recibir los apoyos, podrá firmar a nombre de esta un familiar directo, que debidamente se encuentre autorizado  ante la Dirección de Programas Sociales Municipales.</w:t>
      </w:r>
    </w:p>
    <w:p>
      <w:pPr>
        <w:ind w:left="851"/>
        <w:jc w:val="both"/>
        <w:rPr>
          <w:rFonts w:ascii="Verdana" w:eastAsia="Times New Roman" w:hAnsi="Verdana" w:cs="Arial"/>
          <w:kern w:val="2"/>
          <w:lang w:val="es-ES"/>
        </w:rPr>
      </w:pPr>
    </w:p>
    <w:p>
      <w:pPr>
        <w:numPr>
          <w:ilvl w:val="0"/>
          <w:numId w:val="17"/>
        </w:numPr>
        <w:suppressAutoHyphens w:val="0"/>
        <w:ind w:left="1418" w:hanging="567"/>
        <w:jc w:val="both"/>
        <w:rPr>
          <w:rFonts w:ascii="Verdana" w:eastAsia="Times New Roman" w:hAnsi="Verdana" w:cs="Arial"/>
          <w:kern w:val="2"/>
          <w:lang w:val="es-ES"/>
        </w:rPr>
      </w:pPr>
      <w:r>
        <w:rPr>
          <w:rFonts w:ascii="Verdana" w:eastAsia="Times New Roman" w:hAnsi="Verdana" w:cs="Arial"/>
          <w:kern w:val="2"/>
          <w:lang w:val="es-ES"/>
        </w:rPr>
        <w:t>Recibir orientación y un trato digno por parte de los funcionarios que operen el Programa.</w:t>
      </w:r>
    </w:p>
    <w:p>
      <w:pPr>
        <w:ind w:left="851"/>
        <w:jc w:val="both"/>
        <w:rPr>
          <w:rFonts w:ascii="Verdana" w:eastAsia="Times New Roman" w:hAnsi="Verdana" w:cs="Arial"/>
          <w:kern w:val="2"/>
          <w:lang w:val="es-ES"/>
        </w:rPr>
      </w:pPr>
    </w:p>
    <w:p>
      <w:pPr>
        <w:numPr>
          <w:ilvl w:val="0"/>
          <w:numId w:val="17"/>
        </w:numPr>
        <w:suppressAutoHyphens w:val="0"/>
        <w:ind w:left="1418" w:hanging="567"/>
        <w:jc w:val="both"/>
        <w:rPr>
          <w:rFonts w:ascii="Verdana" w:eastAsia="Times New Roman" w:hAnsi="Verdana" w:cs="Arial"/>
          <w:kern w:val="2"/>
          <w:lang w:val="es-ES"/>
        </w:rPr>
      </w:pPr>
      <w:r>
        <w:rPr>
          <w:rFonts w:ascii="Verdana" w:eastAsia="Times New Roman" w:hAnsi="Verdana" w:cs="Arial"/>
          <w:kern w:val="2"/>
          <w:lang w:val="es-ES"/>
        </w:rPr>
        <w:t xml:space="preserve">Apoyo en gastos funerarios: en el caso por fallecimiento de alguna de las beneficiarias, se debe presentar un familiar directo que  debidamente se encuentre autorizado  ante la Dirección de Programas Sociales Municipales, presentando acta de defunción se otorgará el apoyo que corresponda al bimestre en que el beneficiario haya fallecido, esto para ayudar a solventar los gastos funerarios, previa aprobación del Comité Dictaminador.   </w:t>
      </w:r>
    </w:p>
    <w:p>
      <w:pPr>
        <w:jc w:val="both"/>
        <w:rPr>
          <w:rFonts w:ascii="Verdana" w:eastAsia="Times New Roman" w:hAnsi="Verdana" w:cs="Arial"/>
          <w:kern w:val="2"/>
        </w:rPr>
      </w:pPr>
    </w:p>
    <w:p>
      <w:pPr>
        <w:numPr>
          <w:ilvl w:val="0"/>
          <w:numId w:val="30"/>
        </w:numPr>
        <w:suppressAutoHyphens w:val="0"/>
        <w:ind w:left="0" w:firstLine="0"/>
        <w:jc w:val="both"/>
        <w:rPr>
          <w:rFonts w:ascii="Verdana" w:eastAsia="Times New Roman" w:hAnsi="Verdana" w:cs="Arial"/>
          <w:kern w:val="2"/>
        </w:rPr>
      </w:pPr>
      <w:r>
        <w:rPr>
          <w:rFonts w:ascii="Verdana" w:eastAsia="Times New Roman" w:hAnsi="Verdana" w:cs="Arial"/>
          <w:b/>
          <w:kern w:val="2"/>
        </w:rPr>
        <w:t>Obligaciones</w:t>
      </w:r>
      <w:r>
        <w:rPr>
          <w:rFonts w:ascii="Verdana" w:eastAsia="Times New Roman" w:hAnsi="Verdana" w:cs="Arial"/>
          <w:kern w:val="2"/>
        </w:rPr>
        <w:t>.</w:t>
      </w:r>
    </w:p>
    <w:p>
      <w:pPr>
        <w:jc w:val="both"/>
        <w:rPr>
          <w:rFonts w:ascii="Verdana" w:eastAsia="Times New Roman" w:hAnsi="Verdana" w:cs="Arial"/>
          <w:kern w:val="2"/>
        </w:rPr>
      </w:pPr>
    </w:p>
    <w:p>
      <w:pPr>
        <w:numPr>
          <w:ilvl w:val="0"/>
          <w:numId w:val="18"/>
        </w:numPr>
        <w:tabs>
          <w:tab w:val="left" w:pos="709"/>
          <w:tab w:val="left" w:pos="1418"/>
        </w:tabs>
        <w:ind w:left="1418" w:hanging="567"/>
        <w:jc w:val="both"/>
        <w:rPr>
          <w:rFonts w:ascii="Verdana" w:eastAsia="Calibri" w:hAnsi="Verdana" w:cs="Arial"/>
        </w:rPr>
      </w:pPr>
      <w:r>
        <w:rPr>
          <w:rFonts w:ascii="Verdana" w:eastAsia="Calibri" w:hAnsi="Verdana" w:cs="Arial"/>
        </w:rPr>
        <w:t>Aportar la información necesaria y veraz que le requiera el área responsable de la operación del Programa.</w:t>
      </w:r>
    </w:p>
    <w:p>
      <w:pPr>
        <w:tabs>
          <w:tab w:val="left" w:pos="1418"/>
        </w:tabs>
        <w:ind w:left="1418" w:hanging="567"/>
        <w:jc w:val="both"/>
        <w:rPr>
          <w:rFonts w:ascii="Verdana" w:eastAsia="Calibri" w:hAnsi="Verdana" w:cs="Arial"/>
        </w:rPr>
      </w:pPr>
    </w:p>
    <w:p>
      <w:pPr>
        <w:numPr>
          <w:ilvl w:val="0"/>
          <w:numId w:val="18"/>
        </w:numPr>
        <w:tabs>
          <w:tab w:val="left" w:pos="709"/>
          <w:tab w:val="left" w:pos="1418"/>
        </w:tabs>
        <w:ind w:left="1418" w:hanging="567"/>
        <w:jc w:val="both"/>
        <w:rPr>
          <w:rFonts w:ascii="Verdana" w:eastAsia="Calibri" w:hAnsi="Verdana" w:cs="Arial"/>
        </w:rPr>
      </w:pPr>
      <w:r>
        <w:rPr>
          <w:rFonts w:ascii="Verdana" w:eastAsia="Calibri" w:hAnsi="Verdana" w:cs="Arial"/>
        </w:rPr>
        <w:t xml:space="preserve">Acudir a la firma del documento en el cual se acredita la recepción del apoyo y la supervivencia, una vez recibido el mismo, de acuerdo a la calendarización del Programa  y en el lugar que se indique para ello, salvo los casos previstos en las presentes Reglas de Operación. </w:t>
      </w:r>
    </w:p>
    <w:p>
      <w:pPr>
        <w:tabs>
          <w:tab w:val="left" w:pos="1418"/>
        </w:tabs>
        <w:ind w:left="1418" w:hanging="567"/>
        <w:jc w:val="both"/>
        <w:rPr>
          <w:rFonts w:ascii="Verdana" w:eastAsia="Calibri" w:hAnsi="Verdana" w:cs="Arial"/>
        </w:rPr>
      </w:pPr>
    </w:p>
    <w:p>
      <w:pPr>
        <w:numPr>
          <w:ilvl w:val="0"/>
          <w:numId w:val="18"/>
        </w:numPr>
        <w:tabs>
          <w:tab w:val="left" w:pos="709"/>
          <w:tab w:val="left" w:pos="1418"/>
        </w:tabs>
        <w:ind w:left="1418" w:hanging="567"/>
        <w:jc w:val="both"/>
        <w:rPr>
          <w:rFonts w:ascii="Verdana" w:eastAsia="Calibri" w:hAnsi="Verdana" w:cs="Arial"/>
        </w:rPr>
      </w:pPr>
      <w:r>
        <w:rPr>
          <w:rFonts w:ascii="Verdana" w:eastAsia="Calibri" w:hAnsi="Verdana" w:cs="Arial"/>
        </w:rPr>
        <w:t>En caso de cambiar de domicilio deberá notificar a la Dirección de Programas Sociales Municipales, dentro de los 30 (treinta) días naturales, para lo cual presentará comprobante de domicilio dentro del territorio municipal a fin de  dar continuidad al beneficio, de lo contrario se dará de baja.</w:t>
      </w:r>
    </w:p>
    <w:p>
      <w:pPr>
        <w:tabs>
          <w:tab w:val="left" w:pos="1418"/>
        </w:tabs>
        <w:ind w:left="1418" w:hanging="567"/>
        <w:jc w:val="both"/>
        <w:rPr>
          <w:rFonts w:ascii="Verdana" w:eastAsia="Calibri" w:hAnsi="Verdana" w:cs="Arial"/>
        </w:rPr>
      </w:pPr>
    </w:p>
    <w:p>
      <w:pPr>
        <w:numPr>
          <w:ilvl w:val="0"/>
          <w:numId w:val="18"/>
        </w:numPr>
        <w:tabs>
          <w:tab w:val="left" w:pos="709"/>
          <w:tab w:val="left" w:pos="1418"/>
        </w:tabs>
        <w:ind w:left="1418" w:hanging="567"/>
        <w:jc w:val="both"/>
        <w:rPr>
          <w:rFonts w:ascii="Verdana" w:eastAsia="Calibri" w:hAnsi="Verdana" w:cs="Arial"/>
        </w:rPr>
      </w:pPr>
      <w:r>
        <w:rPr>
          <w:rFonts w:ascii="Verdana" w:eastAsia="Calibri" w:hAnsi="Verdana" w:cs="Arial"/>
        </w:rPr>
        <w:t>Conocer y cumplir lo estipulado en las Reglas de Operación del Programa  Municipal.</w:t>
      </w:r>
    </w:p>
    <w:p>
      <w:pPr>
        <w:tabs>
          <w:tab w:val="left" w:pos="1418"/>
        </w:tabs>
        <w:ind w:left="1418" w:hanging="567"/>
        <w:jc w:val="both"/>
        <w:rPr>
          <w:rFonts w:ascii="Verdana" w:eastAsia="Calibri" w:hAnsi="Verdana" w:cs="Arial"/>
        </w:rPr>
      </w:pPr>
    </w:p>
    <w:p>
      <w:pPr>
        <w:numPr>
          <w:ilvl w:val="0"/>
          <w:numId w:val="18"/>
        </w:numPr>
        <w:tabs>
          <w:tab w:val="left" w:pos="1418"/>
        </w:tabs>
        <w:suppressAutoHyphens w:val="0"/>
        <w:ind w:left="1418" w:hanging="567"/>
        <w:jc w:val="both"/>
        <w:rPr>
          <w:rFonts w:ascii="Verdana" w:eastAsia="Times New Roman" w:hAnsi="Verdana" w:cs="Arial"/>
          <w:kern w:val="2"/>
        </w:rPr>
      </w:pPr>
      <w:r>
        <w:rPr>
          <w:rFonts w:ascii="Verdana" w:eastAsia="Times New Roman" w:hAnsi="Verdana" w:cs="Arial"/>
          <w:kern w:val="2"/>
        </w:rPr>
        <w:t xml:space="preserve">Asistir  a  los cursos y/o talleres impartidos por parte de la Dirección General de Programas Estratégicos Municipales, que impartirá previo a la entrega del apoyo bimestral, salvo que por cuestiones de salud que se comprueben o verifiquen por la Dirección de Programas Sociales Municipales. </w:t>
      </w:r>
    </w:p>
    <w:p>
      <w:pPr>
        <w:tabs>
          <w:tab w:val="left" w:pos="1418"/>
        </w:tabs>
        <w:ind w:left="1418" w:hanging="567"/>
        <w:jc w:val="both"/>
        <w:rPr>
          <w:rFonts w:ascii="Verdana" w:eastAsia="Times New Roman" w:hAnsi="Verdana" w:cs="Arial"/>
          <w:kern w:val="2"/>
        </w:rPr>
      </w:pPr>
    </w:p>
    <w:p>
      <w:pPr>
        <w:numPr>
          <w:ilvl w:val="0"/>
          <w:numId w:val="18"/>
        </w:numPr>
        <w:tabs>
          <w:tab w:val="left" w:pos="709"/>
          <w:tab w:val="left" w:pos="1418"/>
        </w:tabs>
        <w:suppressAutoHyphens w:val="0"/>
        <w:ind w:left="1418" w:hanging="567"/>
        <w:jc w:val="both"/>
        <w:rPr>
          <w:rFonts w:ascii="Verdana" w:eastAsia="Times New Roman" w:hAnsi="Verdana" w:cs="Arial"/>
          <w:kern w:val="2"/>
        </w:rPr>
      </w:pPr>
      <w:r>
        <w:rPr>
          <w:rFonts w:ascii="Verdana" w:eastAsia="Times New Roman" w:hAnsi="Verdana" w:cs="Arial"/>
          <w:kern w:val="2"/>
        </w:rPr>
        <w:t>Acudir a todos los llamados que convoque la Dirección General de Programas Estratégicos Municipales, con motivo de verificar y actualizar el padrón, de lo contrario, se darán de baja.</w:t>
      </w:r>
    </w:p>
    <w:p>
      <w:pPr>
        <w:jc w:val="both"/>
        <w:rPr>
          <w:rFonts w:ascii="Verdana" w:eastAsia="Times New Roman" w:hAnsi="Verdana" w:cs="Arial"/>
          <w:b/>
          <w:kern w:val="2"/>
        </w:rPr>
      </w:pPr>
    </w:p>
    <w:p>
      <w:pPr>
        <w:jc w:val="both"/>
        <w:rPr>
          <w:rFonts w:ascii="Verdana" w:eastAsia="Calibri" w:hAnsi="Verdana" w:cs="Arial"/>
          <w:b/>
        </w:rPr>
      </w:pPr>
      <w:r>
        <w:rPr>
          <w:rFonts w:ascii="Verdana" w:eastAsia="Calibri" w:hAnsi="Verdana" w:cs="Arial"/>
          <w:b/>
        </w:rPr>
        <w:t xml:space="preserve">9. Procesos de operación o instrumentación. </w:t>
      </w:r>
    </w:p>
    <w:p>
      <w:pPr>
        <w:jc w:val="both"/>
        <w:rPr>
          <w:rFonts w:ascii="Verdana" w:eastAsia="Calibri" w:hAnsi="Verdana" w:cs="Arial"/>
          <w:b/>
        </w:rPr>
      </w:pPr>
    </w:p>
    <w:p>
      <w:pPr>
        <w:numPr>
          <w:ilvl w:val="0"/>
          <w:numId w:val="31"/>
        </w:numPr>
        <w:suppressAutoHyphens w:val="0"/>
        <w:ind w:left="0" w:firstLine="284"/>
        <w:contextualSpacing/>
        <w:jc w:val="both"/>
        <w:rPr>
          <w:rFonts w:ascii="Verdana" w:eastAsia="Calibri" w:hAnsi="Verdana" w:cs="Arial"/>
          <w:b/>
        </w:rPr>
      </w:pPr>
      <w:r>
        <w:rPr>
          <w:rFonts w:ascii="Verdana" w:eastAsia="Calibri" w:hAnsi="Verdana" w:cs="Arial"/>
          <w:b/>
        </w:rPr>
        <w:t>Difusión del programa.</w:t>
      </w:r>
    </w:p>
    <w:p>
      <w:pPr>
        <w:contextualSpacing/>
        <w:jc w:val="both"/>
        <w:rPr>
          <w:rFonts w:ascii="Verdana" w:eastAsia="Calibri" w:hAnsi="Verdana" w:cs="Arial"/>
          <w:b/>
        </w:rPr>
      </w:pPr>
    </w:p>
    <w:p>
      <w:pPr>
        <w:contextualSpacing/>
        <w:jc w:val="both"/>
        <w:rPr>
          <w:rFonts w:ascii="Verdana" w:eastAsia="Calibri" w:hAnsi="Verdana" w:cs="Arial"/>
        </w:rPr>
      </w:pPr>
      <w:bookmarkStart w:id="0" w:name="_GoBack"/>
      <w:bookmarkEnd w:id="0"/>
      <w:r>
        <w:rPr>
          <w:rFonts w:ascii="Verdana" w:eastAsia="Calibri" w:hAnsi="Verdana" w:cs="Arial"/>
        </w:rPr>
        <w:t xml:space="preserve">La Coordinación General de Participación Ciudadana y Construcción de Comunidad, la </w:t>
      </w:r>
      <w:r>
        <w:rPr>
          <w:rFonts w:ascii="Verdana" w:eastAsia="Calibri" w:hAnsi="Verdana" w:cs="Arial"/>
          <w:lang w:val="es-ES"/>
        </w:rPr>
        <w:t>Dirección General de Programas Sociales Estratégicos</w:t>
      </w:r>
      <w:r>
        <w:rPr>
          <w:rFonts w:ascii="Verdana" w:eastAsia="Calibri" w:hAnsi="Verdana" w:cs="Arial"/>
        </w:rPr>
        <w:t xml:space="preserve"> y la Dirección de Programas Sociales Municipales promoverán la difusión del Programa  Apoyo a Jefas de Familia  en el portal del Gobierno de Tlajomulco de Zúñiga (</w:t>
      </w:r>
      <w:hyperlink r:id="rId8" w:history="1">
        <w:r>
          <w:rPr>
            <w:rStyle w:val="Hipervnculo"/>
            <w:rFonts w:ascii="Verdana" w:eastAsia="Calibri" w:hAnsi="Verdana" w:cs="Arial"/>
            <w:color w:val="0563C1"/>
          </w:rPr>
          <w:t>www.tlajomulco.gob.mx</w:t>
        </w:r>
      </w:hyperlink>
      <w:r>
        <w:rPr>
          <w:rFonts w:ascii="Verdana" w:eastAsia="Calibri" w:hAnsi="Verdana" w:cs="Arial"/>
        </w:rPr>
        <w:t>) una vez que el Presidente Municipal  o quien haga sus veces, emita la convocatoria respectiva, con la finalidad de dar a conocer a la población la información del tiempo para presentarse a inscribirse al Programa.</w:t>
      </w:r>
    </w:p>
    <w:p>
      <w:pPr>
        <w:contextualSpacing/>
        <w:jc w:val="both"/>
        <w:rPr>
          <w:rFonts w:ascii="Verdana" w:eastAsia="Calibri" w:hAnsi="Verdana" w:cs="Arial"/>
        </w:rPr>
      </w:pPr>
    </w:p>
    <w:p>
      <w:pPr>
        <w:numPr>
          <w:ilvl w:val="0"/>
          <w:numId w:val="31"/>
        </w:numPr>
        <w:suppressAutoHyphens w:val="0"/>
        <w:ind w:left="0" w:firstLine="284"/>
        <w:jc w:val="both"/>
        <w:rPr>
          <w:rFonts w:ascii="Verdana" w:eastAsia="Times New Roman" w:hAnsi="Verdana" w:cs="Arial"/>
          <w:b/>
          <w:kern w:val="2"/>
        </w:rPr>
      </w:pPr>
      <w:r>
        <w:rPr>
          <w:rFonts w:ascii="Verdana" w:eastAsia="Times New Roman" w:hAnsi="Verdana" w:cs="Arial"/>
          <w:b/>
          <w:kern w:val="2"/>
        </w:rPr>
        <w:t>Ejercicio y aprovechamiento de recursos.</w:t>
      </w:r>
    </w:p>
    <w:p>
      <w:pPr>
        <w:jc w:val="both"/>
        <w:rPr>
          <w:rFonts w:ascii="Verdana" w:eastAsia="Times New Roman" w:hAnsi="Verdana" w:cs="Arial"/>
          <w:kern w:val="2"/>
        </w:rPr>
      </w:pPr>
    </w:p>
    <w:p>
      <w:pPr>
        <w:jc w:val="both"/>
        <w:rPr>
          <w:rFonts w:ascii="Verdana" w:eastAsia="Times New Roman" w:hAnsi="Verdana" w:cs="Arial"/>
          <w:kern w:val="2"/>
        </w:rPr>
      </w:pPr>
      <w:r>
        <w:rPr>
          <w:rFonts w:ascii="Verdana" w:eastAsia="Times New Roman" w:hAnsi="Verdana" w:cs="Arial"/>
          <w:kern w:val="2"/>
        </w:rPr>
        <w:t xml:space="preserve">Para el aprovechamiento eficiente de los recursos, la </w:t>
      </w:r>
      <w:r>
        <w:rPr>
          <w:rFonts w:ascii="Verdana" w:eastAsia="Times New Roman" w:hAnsi="Verdana" w:cs="Arial"/>
          <w:kern w:val="2"/>
          <w:lang w:val="es-ES"/>
        </w:rPr>
        <w:t>Dirección General de Programas Estratégicos Municipales</w:t>
      </w:r>
      <w:r>
        <w:rPr>
          <w:rFonts w:ascii="Verdana" w:eastAsia="Times New Roman" w:hAnsi="Verdana" w:cs="Arial"/>
          <w:kern w:val="2"/>
        </w:rPr>
        <w:t>, por medio de la Dirección de Programas Sociales Municipales, serán las responsables de calendarizar la firma de la supervivencia y los recibos de pago, por parte de las Beneficiarias y la posterior entrega de recursos a las mismas, a través de la Coordinación General de Participación Ciudadana y Construcción de Comunidad, para su gestión con la Tesorería Municipal, con el objeto de que dichos recursos estén depositados en tiempo y forma en las cuentas bancarias de los beneficiarias del Programa.</w:t>
      </w:r>
    </w:p>
    <w:p>
      <w:pPr>
        <w:jc w:val="both"/>
        <w:rPr>
          <w:rFonts w:ascii="Verdana" w:eastAsia="Times New Roman" w:hAnsi="Verdana" w:cs="Arial"/>
          <w:kern w:val="2"/>
        </w:rPr>
      </w:pPr>
    </w:p>
    <w:p>
      <w:pPr>
        <w:numPr>
          <w:ilvl w:val="0"/>
          <w:numId w:val="31"/>
        </w:numPr>
        <w:suppressAutoHyphens w:val="0"/>
        <w:ind w:left="0" w:firstLine="426"/>
        <w:jc w:val="both"/>
        <w:rPr>
          <w:rFonts w:ascii="Verdana" w:eastAsia="Times New Roman" w:hAnsi="Verdana" w:cs="Arial"/>
          <w:kern w:val="2"/>
        </w:rPr>
      </w:pPr>
      <w:r>
        <w:rPr>
          <w:rFonts w:ascii="Verdana" w:eastAsia="Times New Roman" w:hAnsi="Verdana" w:cs="Arial"/>
          <w:b/>
          <w:kern w:val="2"/>
        </w:rPr>
        <w:t>Inscripción</w:t>
      </w:r>
      <w:r>
        <w:rPr>
          <w:rFonts w:ascii="Verdana" w:eastAsia="Times New Roman" w:hAnsi="Verdana" w:cs="Arial"/>
          <w:kern w:val="2"/>
        </w:rPr>
        <w:t>.</w:t>
      </w:r>
    </w:p>
    <w:p>
      <w:pPr>
        <w:jc w:val="both"/>
        <w:rPr>
          <w:rFonts w:ascii="Verdana" w:eastAsia="Times New Roman" w:hAnsi="Verdana" w:cs="Arial"/>
          <w:kern w:val="2"/>
        </w:rPr>
      </w:pPr>
    </w:p>
    <w:p>
      <w:pPr>
        <w:tabs>
          <w:tab w:val="left" w:pos="568"/>
          <w:tab w:val="left" w:pos="708"/>
          <w:tab w:val="left" w:pos="1985"/>
        </w:tabs>
        <w:jc w:val="both"/>
        <w:rPr>
          <w:rFonts w:ascii="Verdana" w:eastAsia="Times New Roman" w:hAnsi="Verdana" w:cs="Arial"/>
          <w:lang w:eastAsia="es-MX"/>
        </w:rPr>
      </w:pPr>
      <w:r>
        <w:rPr>
          <w:rFonts w:ascii="Verdana" w:eastAsia="Times New Roman" w:hAnsi="Verdana" w:cs="Arial"/>
          <w:lang w:eastAsia="es-MX"/>
        </w:rPr>
        <w:t xml:space="preserve">La Dirección General de Programas Sociales Estratégicos, por medio de la Dirección de Programas Sociales Municipales, serán las dependencias responsables de verificar la distribución de solicitudes. Las dependencias involucradas para su entrega y recepción de la documentación requerida, de todos las jefas de familia, será la Dirección del Programa Jefas de Familia y Sesenta y Más, quien integrará un </w:t>
      </w:r>
      <w:r>
        <w:rPr>
          <w:rFonts w:ascii="Verdana" w:eastAsia="Times New Roman" w:hAnsi="Verdana" w:cs="Arial"/>
          <w:lang w:eastAsia="es-MX"/>
        </w:rPr>
        <w:lastRenderedPageBreak/>
        <w:t>expediente por cada beneficiaria, conteniendo todos y cada uno de los documentos que hayan sido entregados por estas.</w:t>
      </w:r>
    </w:p>
    <w:p>
      <w:pPr>
        <w:tabs>
          <w:tab w:val="left" w:pos="1985"/>
        </w:tabs>
        <w:jc w:val="both"/>
        <w:rPr>
          <w:rFonts w:ascii="Verdana" w:eastAsia="Times New Roman" w:hAnsi="Verdana" w:cs="Arial"/>
          <w:lang w:eastAsia="es-MX"/>
        </w:rPr>
      </w:pPr>
    </w:p>
    <w:p>
      <w:pPr>
        <w:tabs>
          <w:tab w:val="left" w:pos="1985"/>
        </w:tabs>
        <w:jc w:val="both"/>
        <w:rPr>
          <w:rFonts w:ascii="Verdana" w:eastAsia="Times New Roman" w:hAnsi="Verdana" w:cs="Arial"/>
          <w:kern w:val="2"/>
        </w:rPr>
      </w:pPr>
      <w:r>
        <w:rPr>
          <w:rFonts w:ascii="Verdana" w:eastAsia="Times New Roman" w:hAnsi="Verdana" w:cs="Arial"/>
          <w:kern w:val="2"/>
        </w:rPr>
        <w:t>Los trámites relacionados en el Programa en cualquiera de sus etapas, son totalmente gratuitos.</w:t>
      </w:r>
    </w:p>
    <w:p>
      <w:pPr>
        <w:tabs>
          <w:tab w:val="left" w:pos="1985"/>
        </w:tabs>
        <w:jc w:val="both"/>
        <w:rPr>
          <w:rFonts w:ascii="Verdana" w:eastAsia="Times New Roman" w:hAnsi="Verdana" w:cs="Arial"/>
          <w:kern w:val="2"/>
        </w:rPr>
      </w:pPr>
    </w:p>
    <w:p>
      <w:pPr>
        <w:tabs>
          <w:tab w:val="left" w:pos="1985"/>
        </w:tabs>
        <w:jc w:val="both"/>
        <w:rPr>
          <w:rFonts w:ascii="Verdana" w:eastAsia="Times New Roman" w:hAnsi="Verdana" w:cs="Arial"/>
          <w:kern w:val="2"/>
        </w:rPr>
      </w:pPr>
      <w:r>
        <w:rPr>
          <w:rFonts w:ascii="Verdana" w:eastAsia="Times New Roman" w:hAnsi="Verdana" w:cs="Arial"/>
          <w:kern w:val="2"/>
        </w:rPr>
        <w:t>Los servidores públicos que tengan acceso a datos personales, con motivo de su participación en la ejecución del Programa  Municipal, garantizarán el correcto uso de la información de los solicitantes, de conformidad con la Ley de Transparencia y Acceso a la Información Pública del Estado de Jalisco y sus Municipios, así como de la Ley Federal de Protección de Datos Personales y se garantizará exclusivamente para los fines del Programa. De lo contrario podrán ser sujetos de responsabilidad.</w:t>
      </w:r>
    </w:p>
    <w:p>
      <w:pPr>
        <w:jc w:val="both"/>
        <w:rPr>
          <w:rFonts w:ascii="Verdana" w:eastAsia="Times New Roman" w:hAnsi="Verdana" w:cs="Arial"/>
          <w:kern w:val="2"/>
        </w:rPr>
      </w:pPr>
    </w:p>
    <w:p>
      <w:pPr>
        <w:numPr>
          <w:ilvl w:val="0"/>
          <w:numId w:val="31"/>
        </w:numPr>
        <w:suppressAutoHyphens w:val="0"/>
        <w:ind w:left="0" w:firstLine="426"/>
        <w:jc w:val="both"/>
        <w:rPr>
          <w:rFonts w:ascii="Verdana" w:eastAsia="Times New Roman" w:hAnsi="Verdana" w:cs="Arial"/>
          <w:b/>
          <w:kern w:val="2"/>
        </w:rPr>
      </w:pPr>
      <w:r>
        <w:rPr>
          <w:rFonts w:ascii="Verdana" w:eastAsia="Times New Roman" w:hAnsi="Verdana" w:cs="Arial"/>
          <w:b/>
          <w:kern w:val="2"/>
        </w:rPr>
        <w:t>Proceso de selección de las beneficiarias.</w:t>
      </w:r>
    </w:p>
    <w:p>
      <w:pPr>
        <w:jc w:val="both"/>
        <w:rPr>
          <w:rFonts w:ascii="Verdana" w:eastAsia="Times New Roman" w:hAnsi="Verdana" w:cs="Arial"/>
          <w:kern w:val="2"/>
        </w:rPr>
      </w:pPr>
    </w:p>
    <w:p>
      <w:pPr>
        <w:tabs>
          <w:tab w:val="left" w:pos="708"/>
        </w:tabs>
        <w:jc w:val="both"/>
        <w:rPr>
          <w:rFonts w:ascii="Verdana" w:eastAsia="Times New Roman" w:hAnsi="Verdana" w:cs="Arial"/>
          <w:lang w:eastAsia="es-MX"/>
        </w:rPr>
      </w:pPr>
      <w:r>
        <w:rPr>
          <w:rFonts w:ascii="Verdana" w:eastAsia="Times New Roman" w:hAnsi="Verdana" w:cs="Arial"/>
          <w:lang w:eastAsia="es-MX"/>
        </w:rPr>
        <w:t xml:space="preserve">Para determinar los supuestos de elegibilidad, la Coordinación General de Participación Ciudadana y Construcción de Comunidad, solicitará a alguna empresa especializada, la aplicación de un estudio socio familiar para verificar que las solicitantes del apoyo cumplan con los requisitos de elegibilidad contenidos en la presente Regla de Operación.  Para tal efecto se seguirá el siguiente procedimiento: </w:t>
      </w:r>
    </w:p>
    <w:p>
      <w:pPr>
        <w:tabs>
          <w:tab w:val="left" w:pos="708"/>
        </w:tabs>
        <w:jc w:val="both"/>
        <w:rPr>
          <w:rFonts w:ascii="Verdana" w:eastAsia="Times New Roman" w:hAnsi="Verdana" w:cs="Arial"/>
          <w:lang w:eastAsia="es-MX"/>
        </w:rPr>
      </w:pPr>
    </w:p>
    <w:p>
      <w:pPr>
        <w:numPr>
          <w:ilvl w:val="0"/>
          <w:numId w:val="25"/>
        </w:numPr>
        <w:tabs>
          <w:tab w:val="left" w:pos="709"/>
        </w:tabs>
        <w:ind w:left="709" w:hanging="709"/>
        <w:jc w:val="both"/>
        <w:rPr>
          <w:rFonts w:ascii="Verdana" w:eastAsia="Times New Roman" w:hAnsi="Verdana" w:cs="Arial"/>
          <w:lang w:eastAsia="es-MX"/>
        </w:rPr>
      </w:pPr>
      <w:r>
        <w:rPr>
          <w:rFonts w:ascii="Verdana" w:eastAsia="Times New Roman" w:hAnsi="Verdana" w:cs="Arial"/>
          <w:lang w:eastAsia="es-MX"/>
        </w:rPr>
        <w:t xml:space="preserve">Una vez recibidas la totalidad de las solicitudes, con base en la fecha de cierre de recepción de solicitudes, se integrará un expediente individual por cada uno de los solicitantes, y se le entregará copia de cada expediente a la empresa que haya sido seleccionada para realizar el estudio socio familiar. </w:t>
      </w:r>
    </w:p>
    <w:p>
      <w:pPr>
        <w:tabs>
          <w:tab w:val="left" w:pos="708"/>
        </w:tabs>
        <w:ind w:left="709" w:hanging="709"/>
        <w:jc w:val="both"/>
        <w:rPr>
          <w:rFonts w:ascii="Verdana" w:eastAsia="Times New Roman" w:hAnsi="Verdana" w:cs="Arial"/>
          <w:lang w:eastAsia="es-MX"/>
        </w:rPr>
      </w:pPr>
    </w:p>
    <w:p>
      <w:pPr>
        <w:numPr>
          <w:ilvl w:val="0"/>
          <w:numId w:val="25"/>
        </w:numPr>
        <w:ind w:left="709" w:hanging="709"/>
        <w:jc w:val="both"/>
        <w:rPr>
          <w:rFonts w:ascii="Verdana" w:eastAsia="Times New Roman" w:hAnsi="Verdana" w:cs="Arial"/>
          <w:lang w:eastAsia="es-MX"/>
        </w:rPr>
      </w:pPr>
      <w:r>
        <w:rPr>
          <w:rFonts w:ascii="Verdana" w:eastAsia="Times New Roman" w:hAnsi="Verdana" w:cs="Arial"/>
          <w:lang w:eastAsia="es-MX"/>
        </w:rPr>
        <w:t xml:space="preserve">Concluido la totalidad del estudio de cada uno de los expedientes de los solicitantes, la empresa entregará a la Coordinación General de Participación Ciudadana y Construcción de Comunidad los resultados del estudio, con cada uno de los expedientes, en los que se especifiquen los resultados de cada uno de los mismos. </w:t>
      </w:r>
    </w:p>
    <w:p>
      <w:pPr>
        <w:ind w:left="709" w:hanging="709"/>
        <w:contextualSpacing/>
        <w:rPr>
          <w:rFonts w:ascii="Verdana" w:eastAsia="Calibri" w:hAnsi="Verdana" w:cs="Arial"/>
        </w:rPr>
      </w:pPr>
    </w:p>
    <w:p>
      <w:pPr>
        <w:numPr>
          <w:ilvl w:val="0"/>
          <w:numId w:val="25"/>
        </w:numPr>
        <w:ind w:left="709" w:hanging="709"/>
        <w:jc w:val="both"/>
        <w:rPr>
          <w:rFonts w:ascii="Verdana" w:eastAsia="Times New Roman" w:hAnsi="Verdana" w:cs="Arial"/>
          <w:lang w:eastAsia="es-MX"/>
        </w:rPr>
      </w:pPr>
      <w:r>
        <w:rPr>
          <w:rFonts w:ascii="Verdana" w:eastAsia="Times New Roman" w:hAnsi="Verdana" w:cs="Arial"/>
          <w:lang w:eastAsia="es-MX"/>
        </w:rPr>
        <w:t>Posteriormente, se turnarán a la Dirección General de Programas Sociales Estratégicos, para que a su vez, la Dirección del Programa Jefas de Familia y Sesenta y Más, proceda a clasificar los expedientes íntegros de los solicitantes que hayan cumplido con la totalidad de requisitos y se encuentren en los supuestos de elegibilidad, descartando aquellos en los que se hayan observado irregularidades, para ser turnados al Comité Dictaminador.</w:t>
      </w:r>
    </w:p>
    <w:p>
      <w:pPr>
        <w:ind w:left="709" w:hanging="709"/>
        <w:contextualSpacing/>
        <w:rPr>
          <w:rFonts w:ascii="Verdana" w:eastAsia="Calibri" w:hAnsi="Verdana" w:cs="Arial"/>
        </w:rPr>
      </w:pPr>
    </w:p>
    <w:p>
      <w:pPr>
        <w:numPr>
          <w:ilvl w:val="0"/>
          <w:numId w:val="25"/>
        </w:numPr>
        <w:ind w:left="709" w:hanging="709"/>
        <w:jc w:val="both"/>
        <w:rPr>
          <w:rFonts w:ascii="Verdana" w:eastAsia="Times New Roman" w:hAnsi="Verdana" w:cs="Arial"/>
          <w:lang w:eastAsia="es-MX"/>
        </w:rPr>
      </w:pPr>
      <w:r>
        <w:rPr>
          <w:rFonts w:ascii="Verdana" w:eastAsia="Times New Roman" w:hAnsi="Verdana" w:cs="Arial"/>
          <w:lang w:eastAsia="es-MX"/>
        </w:rPr>
        <w:t>El Comité Dictaminador se encargará de determinar los beneficiarios del Programa en igualdad de circunstancias. El orden de atención de las Jefas de Familia inscritas en el Programa será con base en el cumplimiento de los requisitos validado por el Comité Dictaminador, y la fecha y hora de registro hasta donde lo permita la disponibilidad presupuestal.</w:t>
      </w:r>
    </w:p>
    <w:p>
      <w:pPr>
        <w:jc w:val="both"/>
        <w:rPr>
          <w:rFonts w:ascii="Verdana" w:eastAsia="Times New Roman" w:hAnsi="Verdana" w:cs="Arial"/>
          <w:kern w:val="2"/>
        </w:rPr>
      </w:pPr>
    </w:p>
    <w:p>
      <w:pPr>
        <w:numPr>
          <w:ilvl w:val="0"/>
          <w:numId w:val="31"/>
        </w:numPr>
        <w:suppressAutoHyphens w:val="0"/>
        <w:ind w:left="0" w:firstLine="284"/>
        <w:jc w:val="both"/>
        <w:rPr>
          <w:rFonts w:ascii="Verdana" w:eastAsia="Times New Roman" w:hAnsi="Verdana" w:cs="Arial"/>
          <w:b/>
          <w:kern w:val="2"/>
        </w:rPr>
      </w:pPr>
      <w:r>
        <w:rPr>
          <w:rFonts w:ascii="Verdana" w:eastAsia="Times New Roman" w:hAnsi="Verdana" w:cs="Arial"/>
          <w:b/>
          <w:kern w:val="2"/>
        </w:rPr>
        <w:t>Resguardo de los expedientes.</w:t>
      </w:r>
    </w:p>
    <w:p>
      <w:pPr>
        <w:tabs>
          <w:tab w:val="left" w:pos="708"/>
        </w:tabs>
        <w:jc w:val="both"/>
        <w:rPr>
          <w:rFonts w:ascii="Verdana" w:eastAsia="Times New Roman" w:hAnsi="Verdana" w:cs="Arial"/>
          <w:lang w:eastAsia="es-MX"/>
        </w:rPr>
      </w:pPr>
    </w:p>
    <w:p>
      <w:pPr>
        <w:tabs>
          <w:tab w:val="left" w:pos="708"/>
        </w:tabs>
        <w:jc w:val="both"/>
        <w:rPr>
          <w:rFonts w:ascii="Verdana" w:eastAsia="Times New Roman" w:hAnsi="Verdana" w:cs="Arial"/>
          <w:lang w:eastAsia="es-MX"/>
        </w:rPr>
      </w:pPr>
      <w:r>
        <w:rPr>
          <w:rFonts w:ascii="Verdana" w:eastAsia="Times New Roman" w:hAnsi="Verdana" w:cs="Arial"/>
          <w:lang w:eastAsia="es-MX"/>
        </w:rPr>
        <w:t>Una vez aprobado el padrón por el Comité Dictaminador, será responsabilidad de la Dirección General de Programas Sociales Estratégicos, por medio de la Dirección de Programas Sociales Municipales, resguardar los expedientes, tanto de los solicitantes, de las beneficiarias y las solicitudes denegadas.</w:t>
      </w:r>
    </w:p>
    <w:p>
      <w:pPr>
        <w:tabs>
          <w:tab w:val="left" w:pos="708"/>
        </w:tabs>
        <w:jc w:val="both"/>
        <w:rPr>
          <w:rFonts w:ascii="Verdana" w:eastAsia="Times New Roman" w:hAnsi="Verdana" w:cs="Arial"/>
          <w:lang w:eastAsia="es-MX"/>
        </w:rPr>
      </w:pPr>
    </w:p>
    <w:p>
      <w:pPr>
        <w:tabs>
          <w:tab w:val="left" w:pos="708"/>
        </w:tabs>
        <w:jc w:val="both"/>
        <w:rPr>
          <w:rFonts w:ascii="Verdana" w:eastAsia="Times New Roman" w:hAnsi="Verdana" w:cs="Arial"/>
          <w:lang w:eastAsia="es-MX"/>
        </w:rPr>
      </w:pPr>
      <w:r>
        <w:rPr>
          <w:rFonts w:ascii="Verdana" w:eastAsia="Times New Roman" w:hAnsi="Verdana" w:cs="Arial"/>
          <w:lang w:eastAsia="es-MX"/>
        </w:rPr>
        <w:t xml:space="preserve">La Dirección de General de Programas Sociales Estratégicos, se encargará de realizar lo tendiente a comprobar las entregas de apoyos ante la Tesorería Municipal de cada uno de los beneficiarias del Programa .                                                                                                                                                                                                                                                                                                                                                                                                                    </w:t>
      </w:r>
    </w:p>
    <w:p>
      <w:pPr>
        <w:tabs>
          <w:tab w:val="left" w:pos="708"/>
        </w:tabs>
        <w:jc w:val="both"/>
        <w:rPr>
          <w:rFonts w:ascii="Verdana" w:eastAsia="Times New Roman" w:hAnsi="Verdana" w:cs="Arial"/>
          <w:lang w:eastAsia="es-MX"/>
        </w:rPr>
      </w:pPr>
    </w:p>
    <w:p>
      <w:pPr>
        <w:tabs>
          <w:tab w:val="left" w:pos="708"/>
        </w:tabs>
        <w:jc w:val="both"/>
        <w:rPr>
          <w:rFonts w:ascii="Verdana" w:eastAsia="Times New Roman" w:hAnsi="Verdana" w:cs="Arial"/>
          <w:lang w:eastAsia="es-MX"/>
        </w:rPr>
      </w:pPr>
      <w:r>
        <w:rPr>
          <w:rFonts w:ascii="Verdana" w:eastAsia="Times New Roman" w:hAnsi="Verdana" w:cs="Arial"/>
          <w:lang w:eastAsia="es-MX"/>
        </w:rPr>
        <w:t xml:space="preserve">Se deberá hacer del conocimiento a la Coordinación General de Participación Ciudadana y Construcción de Comunidad, la documentación que contienen los expedientes, incluyendo la CLABE, a fin de facilitar el pago. </w:t>
      </w:r>
    </w:p>
    <w:p>
      <w:pPr>
        <w:jc w:val="both"/>
        <w:rPr>
          <w:rFonts w:ascii="Verdana" w:eastAsia="Times New Roman" w:hAnsi="Verdana" w:cs="Arial"/>
          <w:kern w:val="2"/>
        </w:rPr>
      </w:pPr>
    </w:p>
    <w:p>
      <w:pPr>
        <w:numPr>
          <w:ilvl w:val="0"/>
          <w:numId w:val="31"/>
        </w:numPr>
        <w:suppressAutoHyphens w:val="0"/>
        <w:ind w:left="0" w:firstLine="426"/>
        <w:jc w:val="both"/>
        <w:rPr>
          <w:rFonts w:ascii="Verdana" w:eastAsia="Times New Roman" w:hAnsi="Verdana" w:cs="Arial"/>
          <w:b/>
          <w:kern w:val="2"/>
        </w:rPr>
      </w:pPr>
      <w:r>
        <w:rPr>
          <w:rFonts w:ascii="Verdana" w:eastAsia="Times New Roman" w:hAnsi="Verdana" w:cs="Arial"/>
          <w:b/>
          <w:kern w:val="2"/>
        </w:rPr>
        <w:t>Publicación de padrón de beneficiarias.</w:t>
      </w:r>
    </w:p>
    <w:p>
      <w:pPr>
        <w:tabs>
          <w:tab w:val="left" w:pos="708"/>
        </w:tabs>
        <w:jc w:val="both"/>
        <w:rPr>
          <w:rFonts w:ascii="Verdana" w:eastAsia="Times New Roman" w:hAnsi="Verdana" w:cs="Arial"/>
          <w:lang w:eastAsia="es-MX"/>
        </w:rPr>
      </w:pPr>
    </w:p>
    <w:p>
      <w:pPr>
        <w:tabs>
          <w:tab w:val="left" w:pos="708"/>
        </w:tabs>
        <w:jc w:val="both"/>
        <w:rPr>
          <w:rFonts w:ascii="Verdana" w:eastAsia="Times New Roman" w:hAnsi="Verdana" w:cs="Arial"/>
          <w:lang w:eastAsia="es-MX"/>
        </w:rPr>
      </w:pPr>
      <w:r>
        <w:rPr>
          <w:rFonts w:ascii="Verdana" w:eastAsia="Times New Roman" w:hAnsi="Verdana" w:cs="Arial"/>
          <w:lang w:eastAsia="es-MX"/>
        </w:rPr>
        <w:t>Una vez realizada la integración definitiva de los padrones de beneficiarias  llevada a cabo por el Comité Dictaminador, estos deberán de publicarse en los estrados del Centro Administrativo Tlajomulco y las principales oficinas del Gobierno Municipal de Tlajomulco de Zúñiga, las respectivas de la Coordinación General de Participación Ciudadana y Construcción de  Comunidad, así como en el portal de internet del Gobierno de Tlajomulco de Zúñiga, Jalisco. (https://www.tlajomulco.gob.mx).</w:t>
      </w:r>
    </w:p>
    <w:p>
      <w:pPr>
        <w:tabs>
          <w:tab w:val="left" w:pos="708"/>
        </w:tabs>
        <w:jc w:val="both"/>
        <w:rPr>
          <w:rFonts w:ascii="Verdana" w:eastAsia="Times New Roman" w:hAnsi="Verdana" w:cs="Arial"/>
          <w:lang w:eastAsia="es-MX"/>
        </w:rPr>
      </w:pPr>
    </w:p>
    <w:p>
      <w:pPr>
        <w:tabs>
          <w:tab w:val="left" w:pos="708"/>
        </w:tabs>
        <w:jc w:val="both"/>
        <w:rPr>
          <w:rFonts w:ascii="Verdana" w:eastAsia="Times New Roman" w:hAnsi="Verdana" w:cs="Arial"/>
          <w:lang w:eastAsia="es-MX"/>
        </w:rPr>
      </w:pPr>
      <w:r>
        <w:rPr>
          <w:rFonts w:ascii="Verdana" w:eastAsia="Times New Roman" w:hAnsi="Verdana" w:cs="Arial"/>
          <w:lang w:eastAsia="es-MX"/>
        </w:rPr>
        <w:t>La Coordinación General de Participación Ciudadana y Construcción de  Comunidad, por medio de la Dirección General Programas Sociales Estratégicos y la Dirección de Programas Sociales Municipales, será la responsable de realizar las gestiones necesarias para que se lleven a cabo dichas publicaciones.</w:t>
      </w:r>
    </w:p>
    <w:p>
      <w:pPr>
        <w:tabs>
          <w:tab w:val="left" w:pos="708"/>
        </w:tabs>
        <w:jc w:val="both"/>
        <w:rPr>
          <w:rFonts w:ascii="Verdana" w:eastAsia="Times New Roman" w:hAnsi="Verdana" w:cs="Arial"/>
          <w:lang w:eastAsia="es-MX"/>
        </w:rPr>
      </w:pPr>
    </w:p>
    <w:p>
      <w:pPr>
        <w:numPr>
          <w:ilvl w:val="0"/>
          <w:numId w:val="31"/>
        </w:numPr>
        <w:suppressAutoHyphens w:val="0"/>
        <w:ind w:left="567" w:hanging="141"/>
        <w:jc w:val="both"/>
        <w:rPr>
          <w:rFonts w:ascii="Verdana" w:eastAsia="Times New Roman" w:hAnsi="Verdana" w:cs="Arial"/>
          <w:b/>
          <w:kern w:val="2"/>
        </w:rPr>
      </w:pPr>
      <w:r>
        <w:rPr>
          <w:rFonts w:ascii="Verdana" w:eastAsia="Times New Roman" w:hAnsi="Verdana" w:cs="Arial"/>
          <w:b/>
          <w:kern w:val="2"/>
        </w:rPr>
        <w:t>Cambios a los padrones de beneficiarias.</w:t>
      </w:r>
    </w:p>
    <w:p>
      <w:pPr>
        <w:jc w:val="both"/>
        <w:rPr>
          <w:rFonts w:ascii="Verdana" w:eastAsia="Times New Roman" w:hAnsi="Verdana" w:cs="Arial"/>
          <w:kern w:val="2"/>
        </w:rPr>
      </w:pPr>
      <w:r>
        <w:rPr>
          <w:rFonts w:ascii="Verdana" w:eastAsia="Times New Roman" w:hAnsi="Verdana" w:cs="Arial"/>
          <w:kern w:val="2"/>
        </w:rPr>
        <w:t xml:space="preserve"> </w:t>
      </w:r>
    </w:p>
    <w:p>
      <w:pPr>
        <w:tabs>
          <w:tab w:val="left" w:pos="708"/>
        </w:tabs>
        <w:jc w:val="both"/>
        <w:rPr>
          <w:rFonts w:ascii="Verdana" w:eastAsia="Times New Roman" w:hAnsi="Verdana" w:cs="Arial"/>
          <w:lang w:eastAsia="es-MX"/>
        </w:rPr>
      </w:pPr>
      <w:r>
        <w:rPr>
          <w:rFonts w:ascii="Verdana" w:eastAsia="Times New Roman" w:hAnsi="Verdana" w:cs="Arial"/>
          <w:lang w:eastAsia="es-MX"/>
        </w:rPr>
        <w:t>Las bajas de beneficiarias que se presenten, ya sea por incumplimiento a las obligaciones o fallecimientos generarán cambios a los padrones respectivos.</w:t>
      </w:r>
    </w:p>
    <w:p>
      <w:pPr>
        <w:tabs>
          <w:tab w:val="left" w:pos="708"/>
        </w:tabs>
        <w:jc w:val="both"/>
        <w:rPr>
          <w:rFonts w:ascii="Verdana" w:eastAsia="Times New Roman" w:hAnsi="Verdana" w:cs="Arial"/>
          <w:lang w:eastAsia="es-MX"/>
        </w:rPr>
      </w:pPr>
    </w:p>
    <w:p>
      <w:pPr>
        <w:tabs>
          <w:tab w:val="left" w:pos="708"/>
        </w:tabs>
        <w:jc w:val="both"/>
        <w:rPr>
          <w:rFonts w:ascii="Verdana" w:eastAsia="Times New Roman" w:hAnsi="Verdana" w:cs="Arial"/>
          <w:lang w:eastAsia="es-MX"/>
        </w:rPr>
      </w:pPr>
      <w:r>
        <w:rPr>
          <w:rFonts w:ascii="Verdana" w:eastAsia="Times New Roman" w:hAnsi="Verdana" w:cs="Arial"/>
          <w:lang w:eastAsia="es-MX"/>
        </w:rPr>
        <w:t xml:space="preserve">En lo que se refiere a la baja por fallecimiento de alguno de las beneficiarias y a efectos de poder tener la certeza de dicho acontecimiento, la Dirección de Programas Sociales Municipales, la cual deberá de recabar del Registro Civil del Municipio, copia simple del acta de defunción, elaborando para tal fin acta circunstanciada de hechos o solicitando una revaloración socioeconómica. </w:t>
      </w:r>
    </w:p>
    <w:p>
      <w:pPr>
        <w:tabs>
          <w:tab w:val="left" w:pos="708"/>
        </w:tabs>
        <w:jc w:val="both"/>
        <w:rPr>
          <w:rFonts w:ascii="Verdana" w:eastAsia="Times New Roman" w:hAnsi="Verdana" w:cs="Arial"/>
          <w:lang w:eastAsia="es-MX"/>
        </w:rPr>
      </w:pPr>
    </w:p>
    <w:p>
      <w:pPr>
        <w:tabs>
          <w:tab w:val="left" w:pos="708"/>
        </w:tabs>
        <w:jc w:val="both"/>
        <w:rPr>
          <w:rFonts w:ascii="Verdana" w:eastAsia="Times New Roman" w:hAnsi="Verdana" w:cs="Arial"/>
          <w:lang w:eastAsia="es-MX"/>
        </w:rPr>
      </w:pPr>
      <w:r>
        <w:rPr>
          <w:rFonts w:ascii="Verdana" w:eastAsia="Times New Roman" w:hAnsi="Verdana" w:cs="Arial"/>
          <w:lang w:eastAsia="es-MX"/>
        </w:rPr>
        <w:t xml:space="preserve">Cualquier modificación al padrón de beneficiarias, deberá de ser aprobada por el Comité Dictaminador. Para el caso de los beneficiarias, que ingresen al Programa, en lugar de aquellos que sean dados de baja, el Comité Dictaminador dará prioridad a </w:t>
      </w:r>
      <w:r>
        <w:rPr>
          <w:rFonts w:ascii="Verdana" w:eastAsia="Times New Roman" w:hAnsi="Verdana" w:cs="Arial"/>
          <w:lang w:eastAsia="es-MX"/>
        </w:rPr>
        <w:lastRenderedPageBreak/>
        <w:t>aquellas Jefas de Familia,  que presentaron su solicitud en el Programa 2019, previa revaloración y visita de seguimiento por parte del Comité Dictaminador.</w:t>
      </w:r>
    </w:p>
    <w:p>
      <w:pPr>
        <w:tabs>
          <w:tab w:val="left" w:pos="708"/>
        </w:tabs>
        <w:jc w:val="both"/>
        <w:rPr>
          <w:rFonts w:ascii="Verdana" w:eastAsia="Times New Roman" w:hAnsi="Verdana" w:cs="Arial"/>
          <w:lang w:eastAsia="es-MX"/>
        </w:rPr>
      </w:pPr>
    </w:p>
    <w:p>
      <w:pPr>
        <w:tabs>
          <w:tab w:val="left" w:pos="708"/>
        </w:tabs>
        <w:jc w:val="both"/>
        <w:rPr>
          <w:rFonts w:ascii="Verdana" w:eastAsia="Times New Roman" w:hAnsi="Verdana" w:cs="Arial"/>
          <w:lang w:eastAsia="es-MX"/>
        </w:rPr>
      </w:pPr>
      <w:r>
        <w:rPr>
          <w:rFonts w:ascii="Verdana" w:eastAsia="Times New Roman" w:hAnsi="Verdana" w:cs="Arial"/>
          <w:lang w:eastAsia="es-MX"/>
        </w:rPr>
        <w:t>Para estos casos únicamente se darán los apoyos a partir del mes en que sean incluidos en el padrón, en ningún caso será retroactivo.</w:t>
      </w:r>
    </w:p>
    <w:p>
      <w:pPr>
        <w:tabs>
          <w:tab w:val="left" w:pos="708"/>
        </w:tabs>
        <w:jc w:val="both"/>
        <w:rPr>
          <w:rFonts w:ascii="Verdana" w:eastAsia="Times New Roman" w:hAnsi="Verdana" w:cs="Arial"/>
          <w:lang w:eastAsia="es-MX"/>
        </w:rPr>
      </w:pPr>
    </w:p>
    <w:p>
      <w:pPr>
        <w:tabs>
          <w:tab w:val="left" w:pos="708"/>
        </w:tabs>
        <w:jc w:val="both"/>
        <w:rPr>
          <w:rFonts w:ascii="Verdana" w:eastAsia="Times New Roman" w:hAnsi="Verdana" w:cs="Arial"/>
          <w:lang w:eastAsia="es-MX"/>
        </w:rPr>
      </w:pPr>
      <w:r>
        <w:rPr>
          <w:rFonts w:ascii="Verdana" w:eastAsia="Times New Roman" w:hAnsi="Verdana" w:cs="Arial"/>
          <w:lang w:eastAsia="es-MX"/>
        </w:rPr>
        <w:t xml:space="preserve">Una vez terminados los estudios socio familiares, el Comité Dictaminador determinará el padrón de beneficiarias e iniciará el proceso de entrega de cada uno de los apoyos económicos, mediante los depósitos a las cuentas bancarias que se </w:t>
      </w:r>
      <w:proofErr w:type="spellStart"/>
      <w:r>
        <w:rPr>
          <w:rFonts w:ascii="Verdana" w:eastAsia="Times New Roman" w:hAnsi="Verdana" w:cs="Arial"/>
          <w:lang w:eastAsia="es-MX"/>
        </w:rPr>
        <w:t>aperturen</w:t>
      </w:r>
      <w:proofErr w:type="spellEnd"/>
      <w:r>
        <w:rPr>
          <w:rFonts w:ascii="Verdana" w:eastAsia="Times New Roman" w:hAnsi="Verdana" w:cs="Arial"/>
          <w:lang w:eastAsia="es-MX"/>
        </w:rPr>
        <w:t xml:space="preserve"> a los mismos y de la manera antes expuesta en las presentes Reglas de Operación.</w:t>
      </w:r>
    </w:p>
    <w:p>
      <w:pPr>
        <w:rPr>
          <w:rFonts w:ascii="Verdana" w:eastAsia="Calibri" w:hAnsi="Verdana"/>
        </w:rPr>
      </w:pPr>
    </w:p>
    <w:p>
      <w:pPr>
        <w:numPr>
          <w:ilvl w:val="0"/>
          <w:numId w:val="31"/>
        </w:numPr>
        <w:suppressAutoHyphens w:val="0"/>
        <w:ind w:left="426" w:firstLine="141"/>
        <w:jc w:val="both"/>
        <w:rPr>
          <w:rFonts w:ascii="Verdana" w:eastAsia="Times New Roman" w:hAnsi="Verdana" w:cs="Arial"/>
          <w:b/>
          <w:kern w:val="2"/>
        </w:rPr>
      </w:pPr>
      <w:r>
        <w:rPr>
          <w:rFonts w:ascii="Verdana" w:eastAsia="Times New Roman" w:hAnsi="Verdana" w:cs="Arial"/>
          <w:b/>
          <w:kern w:val="2"/>
        </w:rPr>
        <w:t>De la entrega de los apoyos.</w:t>
      </w:r>
    </w:p>
    <w:p>
      <w:pPr>
        <w:jc w:val="both"/>
        <w:rPr>
          <w:rFonts w:ascii="Verdana" w:eastAsia="Times New Roman" w:hAnsi="Verdana" w:cs="Arial"/>
          <w:kern w:val="2"/>
        </w:rPr>
      </w:pPr>
    </w:p>
    <w:p>
      <w:pPr>
        <w:tabs>
          <w:tab w:val="left" w:pos="708"/>
        </w:tabs>
        <w:jc w:val="both"/>
        <w:rPr>
          <w:rFonts w:ascii="Verdana" w:eastAsia="Times New Roman" w:hAnsi="Verdana" w:cs="Arial"/>
          <w:lang w:eastAsia="es-MX"/>
        </w:rPr>
      </w:pPr>
      <w:r>
        <w:rPr>
          <w:rFonts w:ascii="Verdana" w:eastAsia="Times New Roman" w:hAnsi="Verdana" w:cs="Arial"/>
          <w:lang w:eastAsia="es-MX"/>
        </w:rPr>
        <w:t xml:space="preserve">Una vez terminados los estudios socio familiares, el Comité Dictaminador determinará el padrón de beneficiarias y posteriormente se iniciará el proceso de entrega de cada uno de los apoyos económicos, mediante los depósitos a las cuentas bancarias que se </w:t>
      </w:r>
      <w:proofErr w:type="spellStart"/>
      <w:r>
        <w:rPr>
          <w:rFonts w:ascii="Verdana" w:eastAsia="Times New Roman" w:hAnsi="Verdana" w:cs="Arial"/>
          <w:lang w:eastAsia="es-MX"/>
        </w:rPr>
        <w:t>aperturen</w:t>
      </w:r>
      <w:proofErr w:type="spellEnd"/>
      <w:r>
        <w:rPr>
          <w:rFonts w:ascii="Verdana" w:eastAsia="Times New Roman" w:hAnsi="Verdana" w:cs="Arial"/>
          <w:lang w:eastAsia="es-MX"/>
        </w:rPr>
        <w:t xml:space="preserve"> a los mismos y de la siguiente manera:</w:t>
      </w:r>
    </w:p>
    <w:p>
      <w:pPr>
        <w:tabs>
          <w:tab w:val="left" w:pos="708"/>
        </w:tabs>
        <w:jc w:val="both"/>
        <w:rPr>
          <w:rFonts w:ascii="Verdana" w:eastAsia="Times New Roman" w:hAnsi="Verdana" w:cs="Arial"/>
          <w:lang w:eastAsia="es-MX"/>
        </w:rPr>
      </w:pPr>
    </w:p>
    <w:p>
      <w:pPr>
        <w:tabs>
          <w:tab w:val="left" w:pos="851"/>
          <w:tab w:val="left" w:pos="1418"/>
        </w:tabs>
        <w:jc w:val="both"/>
        <w:rPr>
          <w:rFonts w:ascii="Verdana" w:eastAsia="Times New Roman" w:hAnsi="Verdana" w:cs="Arial"/>
          <w:kern w:val="2"/>
        </w:rPr>
      </w:pPr>
      <w:r>
        <w:rPr>
          <w:rFonts w:ascii="Verdana" w:eastAsia="Times New Roman" w:hAnsi="Verdana" w:cs="Arial"/>
          <w:kern w:val="2"/>
        </w:rPr>
        <w:t xml:space="preserve">Durante el periodo del Programa se otorgará un apoyo económico de $2,000.00 (dos mil pesos 00/100 moneda nacional), para cada uno de los beneficiarios del Programa, mismos que serán depositados en cuenta bancaria ya </w:t>
      </w:r>
      <w:proofErr w:type="spellStart"/>
      <w:r>
        <w:rPr>
          <w:rFonts w:ascii="Verdana" w:eastAsia="Times New Roman" w:hAnsi="Verdana" w:cs="Arial"/>
          <w:kern w:val="2"/>
        </w:rPr>
        <w:t>aperturada</w:t>
      </w:r>
      <w:proofErr w:type="spellEnd"/>
      <w:r>
        <w:rPr>
          <w:rFonts w:ascii="Verdana" w:eastAsia="Times New Roman" w:hAnsi="Verdana" w:cs="Arial"/>
          <w:kern w:val="2"/>
        </w:rPr>
        <w:t xml:space="preserve"> y distribuidos bimestralmente de acuerdo a los lineamientos previamente establecidos en estas Reglas de Operación la siguiente forma:</w:t>
      </w:r>
    </w:p>
    <w:p>
      <w:pPr>
        <w:tabs>
          <w:tab w:val="left" w:pos="851"/>
          <w:tab w:val="left" w:pos="1418"/>
        </w:tabs>
        <w:jc w:val="both"/>
        <w:rPr>
          <w:rFonts w:ascii="Verdana" w:eastAsia="Times New Roman" w:hAnsi="Verdana" w:cs="Arial"/>
          <w:kern w:val="2"/>
        </w:rPr>
      </w:pPr>
      <w:r>
        <w:rPr>
          <w:rFonts w:ascii="Verdana" w:eastAsia="Times New Roman" w:hAnsi="Verdana" w:cs="Arial"/>
          <w:kern w:val="2"/>
        </w:rPr>
        <w:t xml:space="preserve"> </w:t>
      </w:r>
    </w:p>
    <w:p>
      <w:pPr>
        <w:tabs>
          <w:tab w:val="left" w:pos="851"/>
          <w:tab w:val="left" w:pos="1418"/>
        </w:tabs>
        <w:jc w:val="both"/>
        <w:rPr>
          <w:rFonts w:ascii="Verdana" w:eastAsia="Times New Roman" w:hAnsi="Verdana" w:cs="Arial"/>
          <w:kern w:val="2"/>
        </w:rPr>
      </w:pPr>
      <w:r>
        <w:rPr>
          <w:rFonts w:ascii="Verdana" w:eastAsia="Times New Roman" w:hAnsi="Verdana" w:cs="Arial"/>
          <w:kern w:val="2"/>
        </w:rPr>
        <w:t>El primer bimestre (marzo – abril) se entregará durante el mes de mayo y el segundo bimestre (mayo – junio) se entregará durante el mes de junio.</w:t>
      </w:r>
    </w:p>
    <w:p>
      <w:pPr>
        <w:rPr>
          <w:rFonts w:ascii="Verdana" w:eastAsia="Calibri" w:hAnsi="Verdana"/>
        </w:rPr>
      </w:pPr>
    </w:p>
    <w:p>
      <w:pPr>
        <w:tabs>
          <w:tab w:val="left" w:pos="708"/>
        </w:tabs>
        <w:jc w:val="both"/>
        <w:rPr>
          <w:rFonts w:ascii="Verdana" w:eastAsia="Times New Roman" w:hAnsi="Verdana" w:cs="Arial"/>
          <w:b/>
          <w:lang w:eastAsia="es-MX"/>
        </w:rPr>
      </w:pPr>
      <w:r>
        <w:rPr>
          <w:rFonts w:ascii="Verdana" w:eastAsia="Times New Roman" w:hAnsi="Verdana" w:cs="Arial"/>
          <w:b/>
          <w:lang w:eastAsia="es-MX"/>
        </w:rPr>
        <w:t>10. Evaluación del Programa.</w:t>
      </w:r>
    </w:p>
    <w:p>
      <w:pPr>
        <w:tabs>
          <w:tab w:val="left" w:pos="708"/>
        </w:tabs>
        <w:jc w:val="both"/>
        <w:rPr>
          <w:rFonts w:ascii="Verdana" w:eastAsia="Times New Roman" w:hAnsi="Verdana" w:cs="Arial"/>
          <w:b/>
          <w:lang w:eastAsia="es-MX"/>
        </w:rPr>
      </w:pPr>
    </w:p>
    <w:p>
      <w:pPr>
        <w:tabs>
          <w:tab w:val="left" w:pos="708"/>
        </w:tabs>
        <w:jc w:val="both"/>
        <w:rPr>
          <w:rFonts w:ascii="Verdana" w:eastAsia="Times New Roman" w:hAnsi="Verdana" w:cs="Arial"/>
          <w:lang w:eastAsia="es-MX"/>
        </w:rPr>
      </w:pPr>
      <w:r>
        <w:rPr>
          <w:rFonts w:ascii="Verdana" w:eastAsia="Times New Roman" w:hAnsi="Verdana" w:cs="Arial"/>
          <w:lang w:eastAsia="es-MX"/>
        </w:rPr>
        <w:t xml:space="preserve">Con la finalidad de verificar el cumplimiento de los objetivos del Programa, de conformidad con los Programas de Operación Anual (POA), la Dirección General de Programas Sociales Estratégicos presentará a la Coordinación General de Participación Ciudadana y Construcción de Comunidad un reporte con el número de solicitantes, de beneficiarios, el presupuesto ejercido, su distribución, bajas y causas de las mismas; así como toda aquella información que se requiera para la </w:t>
      </w:r>
      <w:proofErr w:type="spellStart"/>
      <w:r>
        <w:rPr>
          <w:rFonts w:ascii="Verdana" w:eastAsia="Times New Roman" w:hAnsi="Verdana" w:cs="Arial"/>
          <w:lang w:eastAsia="es-MX"/>
        </w:rPr>
        <w:t>presupuestación</w:t>
      </w:r>
      <w:proofErr w:type="spellEnd"/>
      <w:r>
        <w:rPr>
          <w:rFonts w:ascii="Verdana" w:eastAsia="Times New Roman" w:hAnsi="Verdana" w:cs="Arial"/>
          <w:lang w:eastAsia="es-MX"/>
        </w:rPr>
        <w:t xml:space="preserve"> y autorización de la continuidad del Programa en el año 2020.</w:t>
      </w:r>
    </w:p>
    <w:p>
      <w:pPr>
        <w:tabs>
          <w:tab w:val="left" w:pos="708"/>
        </w:tabs>
        <w:jc w:val="both"/>
        <w:rPr>
          <w:rFonts w:ascii="Verdana" w:eastAsia="Times New Roman" w:hAnsi="Verdana" w:cs="Arial"/>
          <w:lang w:eastAsia="es-MX"/>
        </w:rPr>
      </w:pPr>
    </w:p>
    <w:p>
      <w:pPr>
        <w:tabs>
          <w:tab w:val="left" w:pos="708"/>
        </w:tabs>
        <w:jc w:val="both"/>
        <w:rPr>
          <w:rFonts w:ascii="Verdana" w:eastAsia="Times New Roman" w:hAnsi="Verdana" w:cs="Arial"/>
          <w:b/>
          <w:lang w:eastAsia="es-MX"/>
        </w:rPr>
      </w:pPr>
      <w:r>
        <w:rPr>
          <w:rFonts w:ascii="Verdana" w:eastAsia="Times New Roman" w:hAnsi="Verdana" w:cs="Arial"/>
          <w:b/>
          <w:lang w:eastAsia="es-MX"/>
        </w:rPr>
        <w:t>11. Supletoriedad.</w:t>
      </w:r>
    </w:p>
    <w:p>
      <w:pPr>
        <w:tabs>
          <w:tab w:val="left" w:pos="708"/>
        </w:tabs>
        <w:jc w:val="both"/>
        <w:rPr>
          <w:rFonts w:ascii="Verdana" w:eastAsia="Times New Roman" w:hAnsi="Verdana" w:cs="Arial"/>
          <w:b/>
          <w:lang w:eastAsia="es-MX"/>
        </w:rPr>
      </w:pPr>
    </w:p>
    <w:p>
      <w:pPr>
        <w:tabs>
          <w:tab w:val="left" w:pos="708"/>
        </w:tabs>
        <w:jc w:val="both"/>
        <w:rPr>
          <w:rFonts w:ascii="Verdana" w:eastAsia="Times New Roman" w:hAnsi="Verdana" w:cs="Arial"/>
          <w:lang w:eastAsia="es-MX"/>
        </w:rPr>
      </w:pPr>
      <w:r>
        <w:rPr>
          <w:rFonts w:ascii="Verdana" w:eastAsia="Times New Roman" w:hAnsi="Verdana" w:cs="Arial"/>
          <w:lang w:eastAsia="es-MX"/>
        </w:rPr>
        <w:t>En todo lo no previsto por las presentes Reglas de Operación serán aplicables las siguientes regulaciones:</w:t>
      </w:r>
    </w:p>
    <w:p>
      <w:pPr>
        <w:tabs>
          <w:tab w:val="left" w:pos="708"/>
        </w:tabs>
        <w:jc w:val="both"/>
        <w:rPr>
          <w:rFonts w:ascii="Verdana" w:eastAsia="Times New Roman" w:hAnsi="Verdana" w:cs="Arial"/>
          <w:lang w:eastAsia="es-MX"/>
        </w:rPr>
      </w:pPr>
    </w:p>
    <w:p>
      <w:pPr>
        <w:numPr>
          <w:ilvl w:val="0"/>
          <w:numId w:val="28"/>
        </w:numPr>
        <w:ind w:left="0" w:firstLine="0"/>
        <w:jc w:val="both"/>
        <w:rPr>
          <w:rFonts w:ascii="Verdana" w:eastAsia="Times New Roman" w:hAnsi="Verdana" w:cs="Arial"/>
          <w:lang w:eastAsia="es-MX"/>
        </w:rPr>
      </w:pPr>
      <w:r>
        <w:rPr>
          <w:rFonts w:ascii="Verdana" w:eastAsia="Times New Roman" w:hAnsi="Verdana" w:cs="Arial"/>
          <w:lang w:eastAsia="es-MX"/>
        </w:rPr>
        <w:t>La Ley General de Desarrollo Social;</w:t>
      </w:r>
    </w:p>
    <w:p>
      <w:pPr>
        <w:jc w:val="both"/>
        <w:rPr>
          <w:rFonts w:ascii="Verdana" w:eastAsia="Times New Roman" w:hAnsi="Verdana" w:cs="Arial"/>
          <w:lang w:eastAsia="es-MX"/>
        </w:rPr>
      </w:pPr>
    </w:p>
    <w:p>
      <w:pPr>
        <w:numPr>
          <w:ilvl w:val="0"/>
          <w:numId w:val="28"/>
        </w:numPr>
        <w:ind w:left="709" w:hanging="709"/>
        <w:jc w:val="both"/>
        <w:rPr>
          <w:rFonts w:ascii="Verdana" w:eastAsia="Times New Roman" w:hAnsi="Verdana" w:cs="Arial"/>
          <w:lang w:eastAsia="es-MX"/>
        </w:rPr>
      </w:pPr>
      <w:r>
        <w:rPr>
          <w:rFonts w:ascii="Verdana" w:eastAsia="Times New Roman" w:hAnsi="Verdana" w:cs="Arial"/>
          <w:lang w:eastAsia="es-MX"/>
        </w:rPr>
        <w:t>La Ley del Gobierno y la Administración Pública Municipal del Estado de Jalisco;</w:t>
      </w:r>
    </w:p>
    <w:p>
      <w:pPr>
        <w:ind w:left="709" w:hanging="709"/>
        <w:jc w:val="both"/>
        <w:rPr>
          <w:rFonts w:ascii="Verdana" w:eastAsia="Times New Roman" w:hAnsi="Verdana" w:cs="Arial"/>
          <w:lang w:eastAsia="es-MX"/>
        </w:rPr>
      </w:pPr>
    </w:p>
    <w:p>
      <w:pPr>
        <w:numPr>
          <w:ilvl w:val="0"/>
          <w:numId w:val="28"/>
        </w:numPr>
        <w:ind w:left="709" w:hanging="709"/>
        <w:jc w:val="both"/>
        <w:rPr>
          <w:rFonts w:ascii="Verdana" w:eastAsia="Times New Roman" w:hAnsi="Verdana" w:cs="Arial"/>
          <w:lang w:eastAsia="es-MX"/>
        </w:rPr>
      </w:pPr>
      <w:r>
        <w:rPr>
          <w:rFonts w:ascii="Verdana" w:eastAsia="Times New Roman" w:hAnsi="Verdana" w:cs="Arial"/>
          <w:lang w:eastAsia="es-MX"/>
        </w:rPr>
        <w:t>El Código de Asistencia Social del Estado de Jalisco;</w:t>
      </w:r>
    </w:p>
    <w:p>
      <w:pPr>
        <w:ind w:left="709" w:hanging="709"/>
        <w:jc w:val="both"/>
        <w:rPr>
          <w:rFonts w:ascii="Verdana" w:eastAsia="Times New Roman" w:hAnsi="Verdana" w:cs="Arial"/>
          <w:lang w:eastAsia="es-MX"/>
        </w:rPr>
      </w:pPr>
    </w:p>
    <w:p>
      <w:pPr>
        <w:numPr>
          <w:ilvl w:val="0"/>
          <w:numId w:val="28"/>
        </w:numPr>
        <w:ind w:left="709" w:hanging="709"/>
        <w:jc w:val="both"/>
        <w:rPr>
          <w:rFonts w:ascii="Verdana" w:eastAsia="Times New Roman" w:hAnsi="Verdana" w:cs="Arial"/>
          <w:lang w:eastAsia="es-MX"/>
        </w:rPr>
      </w:pPr>
      <w:r>
        <w:rPr>
          <w:rFonts w:ascii="Verdana" w:eastAsia="Times New Roman" w:hAnsi="Verdana" w:cs="Arial"/>
          <w:lang w:eastAsia="es-MX"/>
        </w:rPr>
        <w:t>La Ley de Desarrollo Social para el Estado de Jalisco;</w:t>
      </w:r>
    </w:p>
    <w:p>
      <w:pPr>
        <w:ind w:left="709" w:hanging="709"/>
        <w:jc w:val="both"/>
        <w:rPr>
          <w:rFonts w:ascii="Verdana" w:eastAsia="Times New Roman" w:hAnsi="Verdana" w:cs="Arial"/>
          <w:lang w:eastAsia="es-MX"/>
        </w:rPr>
      </w:pPr>
    </w:p>
    <w:p>
      <w:pPr>
        <w:numPr>
          <w:ilvl w:val="0"/>
          <w:numId w:val="28"/>
        </w:numPr>
        <w:ind w:left="709" w:hanging="709"/>
        <w:jc w:val="both"/>
        <w:rPr>
          <w:rFonts w:ascii="Verdana" w:eastAsia="Times New Roman" w:hAnsi="Verdana" w:cs="Arial"/>
          <w:lang w:eastAsia="es-MX"/>
        </w:rPr>
      </w:pPr>
      <w:r>
        <w:rPr>
          <w:rFonts w:ascii="Verdana" w:eastAsia="Times New Roman" w:hAnsi="Verdana" w:cs="Arial"/>
          <w:lang w:eastAsia="es-MX"/>
        </w:rPr>
        <w:t>Reglamento del Ayuntamiento del Municipio de Tlajomulco de Zúñiga, Jalisco;</w:t>
      </w:r>
    </w:p>
    <w:p>
      <w:pPr>
        <w:ind w:left="709" w:hanging="709"/>
        <w:jc w:val="both"/>
        <w:rPr>
          <w:rFonts w:ascii="Verdana" w:eastAsia="Times New Roman" w:hAnsi="Verdana" w:cs="Arial"/>
          <w:lang w:eastAsia="es-MX"/>
        </w:rPr>
      </w:pPr>
    </w:p>
    <w:p>
      <w:pPr>
        <w:numPr>
          <w:ilvl w:val="0"/>
          <w:numId w:val="28"/>
        </w:numPr>
        <w:ind w:left="709" w:hanging="709"/>
        <w:jc w:val="both"/>
        <w:rPr>
          <w:rFonts w:ascii="Verdana" w:eastAsia="Times New Roman" w:hAnsi="Verdana" w:cs="Arial"/>
          <w:lang w:eastAsia="es-MX"/>
        </w:rPr>
      </w:pPr>
      <w:r>
        <w:rPr>
          <w:rFonts w:ascii="Verdana" w:eastAsia="Times New Roman" w:hAnsi="Verdana" w:cs="Arial"/>
          <w:lang w:eastAsia="es-MX"/>
        </w:rPr>
        <w:t>Reglamento de la Administración Pública del Municipio de Tlajomulco de Zúñiga, Jalisco; y</w:t>
      </w:r>
    </w:p>
    <w:p>
      <w:pPr>
        <w:ind w:left="709" w:hanging="709"/>
        <w:jc w:val="both"/>
        <w:rPr>
          <w:rFonts w:ascii="Verdana" w:eastAsia="Times New Roman" w:hAnsi="Verdana" w:cs="Arial"/>
          <w:lang w:eastAsia="es-MX"/>
        </w:rPr>
      </w:pPr>
    </w:p>
    <w:p>
      <w:pPr>
        <w:numPr>
          <w:ilvl w:val="0"/>
          <w:numId w:val="28"/>
        </w:numPr>
        <w:ind w:left="709" w:hanging="709"/>
        <w:jc w:val="both"/>
        <w:rPr>
          <w:rFonts w:ascii="Verdana" w:eastAsia="Times New Roman" w:hAnsi="Verdana" w:cs="Arial"/>
          <w:lang w:eastAsia="es-MX"/>
        </w:rPr>
      </w:pPr>
      <w:r>
        <w:rPr>
          <w:rFonts w:ascii="Verdana" w:eastAsia="Times New Roman" w:hAnsi="Verdana" w:cs="Arial"/>
          <w:lang w:eastAsia="es-MX"/>
        </w:rPr>
        <w:t>Reglamento de las Políticas Presupuestales y Lineamientos del Ejercicio del Gasto del Municipio de Tlajomulco de Zúñiga, Jalisco.</w:t>
      </w:r>
    </w:p>
    <w:p>
      <w:pPr>
        <w:tabs>
          <w:tab w:val="left" w:pos="708"/>
        </w:tabs>
        <w:jc w:val="both"/>
        <w:rPr>
          <w:rFonts w:ascii="Verdana" w:eastAsia="Times New Roman" w:hAnsi="Verdana" w:cs="Arial"/>
          <w:lang w:eastAsia="es-MX"/>
        </w:rPr>
      </w:pPr>
    </w:p>
    <w:p>
      <w:pPr>
        <w:tabs>
          <w:tab w:val="left" w:pos="708"/>
        </w:tabs>
        <w:jc w:val="both"/>
        <w:rPr>
          <w:rFonts w:ascii="Verdana" w:eastAsia="Times New Roman" w:hAnsi="Verdana" w:cs="Arial"/>
          <w:b/>
          <w:lang w:eastAsia="es-MX"/>
        </w:rPr>
      </w:pPr>
      <w:r>
        <w:rPr>
          <w:rFonts w:ascii="Verdana" w:eastAsia="Times New Roman" w:hAnsi="Verdana" w:cs="Arial"/>
          <w:b/>
          <w:lang w:eastAsia="es-MX"/>
        </w:rPr>
        <w:t>12. Quejas y denuncias.</w:t>
      </w:r>
    </w:p>
    <w:p>
      <w:pPr>
        <w:tabs>
          <w:tab w:val="left" w:pos="708"/>
        </w:tabs>
        <w:jc w:val="both"/>
        <w:rPr>
          <w:rFonts w:ascii="Verdana" w:eastAsia="Times New Roman" w:hAnsi="Verdana" w:cs="Arial"/>
          <w:b/>
          <w:lang w:eastAsia="es-MX"/>
        </w:rPr>
      </w:pPr>
    </w:p>
    <w:p>
      <w:pPr>
        <w:tabs>
          <w:tab w:val="left" w:pos="708"/>
        </w:tabs>
        <w:jc w:val="both"/>
        <w:rPr>
          <w:rFonts w:ascii="Verdana" w:eastAsia="Times New Roman" w:hAnsi="Verdana" w:cs="Arial"/>
          <w:lang w:eastAsia="es-MX"/>
        </w:rPr>
      </w:pPr>
      <w:r>
        <w:rPr>
          <w:rFonts w:ascii="Verdana" w:eastAsia="Times New Roman" w:hAnsi="Verdana" w:cs="Arial"/>
          <w:lang w:eastAsia="es-MX"/>
        </w:rPr>
        <w:t>Cualquier persona tendrán el derecho de presentar quejas y denuncias que puedan dar lugar responsabilidades administrativas y/o penales, ante las instancias correspondientes, ya sea por el incumplimiento de las disposiciones contenidas en las presentes Reglas de Operación y demás legislación y normatividad que resulte aplicable.</w:t>
      </w:r>
    </w:p>
    <w:p>
      <w:pPr>
        <w:tabs>
          <w:tab w:val="left" w:pos="708"/>
        </w:tabs>
        <w:jc w:val="both"/>
        <w:rPr>
          <w:rFonts w:ascii="Verdana" w:eastAsia="Times New Roman" w:hAnsi="Verdana" w:cs="Arial"/>
          <w:lang w:eastAsia="es-MX"/>
        </w:rPr>
      </w:pPr>
    </w:p>
    <w:p>
      <w:pPr>
        <w:tabs>
          <w:tab w:val="left" w:pos="708"/>
        </w:tabs>
        <w:jc w:val="both"/>
        <w:rPr>
          <w:rFonts w:ascii="Verdana" w:eastAsia="Times New Roman" w:hAnsi="Verdana" w:cs="Arial"/>
          <w:lang w:eastAsia="es-MX"/>
        </w:rPr>
      </w:pPr>
      <w:r>
        <w:rPr>
          <w:rFonts w:ascii="Verdana" w:eastAsia="Times New Roman" w:hAnsi="Verdana" w:cs="Arial"/>
          <w:lang w:eastAsia="es-MX"/>
        </w:rPr>
        <w:t>Las quejas y denuncias referentes a la implementación de este Programa deberán presentarse ante la Contraloría Municipal, las cuales podrán ser anónimas y confidenciales a través de:</w:t>
      </w:r>
    </w:p>
    <w:p>
      <w:pPr>
        <w:tabs>
          <w:tab w:val="left" w:pos="708"/>
        </w:tabs>
        <w:jc w:val="both"/>
        <w:rPr>
          <w:rFonts w:ascii="Verdana" w:eastAsia="Times New Roman" w:hAnsi="Verdana" w:cs="Arial"/>
          <w:lang w:eastAsia="es-MX"/>
        </w:rPr>
      </w:pPr>
    </w:p>
    <w:p>
      <w:pPr>
        <w:numPr>
          <w:ilvl w:val="0"/>
          <w:numId w:val="27"/>
        </w:numPr>
        <w:ind w:left="709" w:hanging="709"/>
        <w:jc w:val="both"/>
        <w:rPr>
          <w:rFonts w:ascii="Verdana" w:eastAsia="Times New Roman" w:hAnsi="Verdana" w:cs="Arial"/>
          <w:lang w:eastAsia="es-MX"/>
        </w:rPr>
      </w:pPr>
      <w:r>
        <w:rPr>
          <w:rFonts w:ascii="Verdana" w:eastAsia="Times New Roman" w:hAnsi="Verdana" w:cs="Arial"/>
          <w:lang w:eastAsia="es-MX"/>
        </w:rPr>
        <w:t>Directamente en las oficinas de la Contraloría Municipal, ubicadas en la calle Independencia Sur #105, colonia Tlajomulco Centro, código postal 45640.</w:t>
      </w:r>
    </w:p>
    <w:p>
      <w:pPr>
        <w:jc w:val="both"/>
        <w:rPr>
          <w:rFonts w:ascii="Verdana" w:eastAsia="Times New Roman" w:hAnsi="Verdana" w:cs="Arial"/>
          <w:lang w:eastAsia="es-MX"/>
        </w:rPr>
      </w:pPr>
    </w:p>
    <w:p>
      <w:pPr>
        <w:numPr>
          <w:ilvl w:val="0"/>
          <w:numId w:val="27"/>
        </w:numPr>
        <w:ind w:left="0" w:firstLine="0"/>
        <w:jc w:val="both"/>
        <w:rPr>
          <w:rFonts w:ascii="Verdana" w:eastAsia="Times New Roman" w:hAnsi="Verdana" w:cs="Arial"/>
          <w:lang w:eastAsia="es-MX"/>
        </w:rPr>
      </w:pPr>
      <w:r>
        <w:rPr>
          <w:rFonts w:ascii="Verdana" w:eastAsia="Times New Roman" w:hAnsi="Verdana" w:cs="Arial"/>
          <w:lang w:eastAsia="es-MX"/>
        </w:rPr>
        <w:t>Vía telefónica: 32-83-44-68.</w:t>
      </w:r>
    </w:p>
    <w:p>
      <w:pPr>
        <w:jc w:val="both"/>
        <w:rPr>
          <w:rFonts w:ascii="Verdana" w:eastAsia="Times New Roman" w:hAnsi="Verdana" w:cs="Arial"/>
          <w:lang w:eastAsia="es-MX"/>
        </w:rPr>
      </w:pPr>
    </w:p>
    <w:p>
      <w:pPr>
        <w:numPr>
          <w:ilvl w:val="0"/>
          <w:numId w:val="27"/>
        </w:numPr>
        <w:ind w:left="0" w:firstLine="0"/>
        <w:jc w:val="both"/>
        <w:rPr>
          <w:rFonts w:ascii="Verdana" w:eastAsia="Times New Roman" w:hAnsi="Verdana" w:cs="Arial"/>
          <w:lang w:eastAsia="es-MX"/>
        </w:rPr>
      </w:pPr>
      <w:r>
        <w:rPr>
          <w:rFonts w:ascii="Verdana" w:eastAsia="Times New Roman" w:hAnsi="Verdana" w:cs="Arial"/>
          <w:lang w:eastAsia="es-MX"/>
        </w:rPr>
        <w:t xml:space="preserve">Por internet en: </w:t>
      </w:r>
      <w:hyperlink r:id="rId9" w:history="1">
        <w:r>
          <w:rPr>
            <w:rStyle w:val="Hipervnculo"/>
            <w:rFonts w:ascii="Verdana" w:eastAsia="Times New Roman" w:hAnsi="Verdana" w:cs="Arial"/>
            <w:lang w:eastAsia="es-MX"/>
          </w:rPr>
          <w:t>www.tlj.mx/denuncialos</w:t>
        </w:r>
      </w:hyperlink>
    </w:p>
    <w:p>
      <w:pPr>
        <w:jc w:val="both"/>
        <w:rPr>
          <w:rFonts w:ascii="Verdana" w:eastAsia="Times New Roman" w:hAnsi="Verdana" w:cs="Arial"/>
          <w:lang w:eastAsia="es-MX"/>
        </w:rPr>
      </w:pPr>
    </w:p>
    <w:p>
      <w:pPr>
        <w:numPr>
          <w:ilvl w:val="0"/>
          <w:numId w:val="27"/>
        </w:numPr>
        <w:ind w:left="0" w:firstLine="0"/>
        <w:jc w:val="both"/>
        <w:rPr>
          <w:rFonts w:ascii="Verdana" w:eastAsia="Times New Roman" w:hAnsi="Verdana" w:cs="Arial"/>
          <w:lang w:eastAsia="es-MX"/>
        </w:rPr>
      </w:pPr>
      <w:r>
        <w:rPr>
          <w:rFonts w:ascii="Verdana" w:eastAsia="Times New Roman" w:hAnsi="Verdana" w:cs="Arial"/>
          <w:lang w:eastAsia="es-MX"/>
        </w:rPr>
        <w:t>Por correo electrónico: </w:t>
      </w:r>
      <w:hyperlink r:id="rId10" w:history="1">
        <w:r>
          <w:rPr>
            <w:rStyle w:val="Hipervnculo"/>
            <w:rFonts w:ascii="Verdana" w:eastAsia="Times New Roman" w:hAnsi="Verdana" w:cs="Arial"/>
            <w:lang w:eastAsia="es-MX"/>
          </w:rPr>
          <w:t>denuncialacorrupcion@tlajomulco.gob.mx</w:t>
        </w:r>
      </w:hyperlink>
    </w:p>
    <w:p>
      <w:pPr>
        <w:jc w:val="both"/>
        <w:rPr>
          <w:rFonts w:ascii="Verdana" w:eastAsia="Times New Roman" w:hAnsi="Verdana" w:cs="Arial"/>
          <w:lang w:eastAsia="es-MX"/>
        </w:rPr>
      </w:pPr>
    </w:p>
    <w:p>
      <w:pPr>
        <w:numPr>
          <w:ilvl w:val="0"/>
          <w:numId w:val="27"/>
        </w:numPr>
        <w:ind w:left="709" w:hanging="709"/>
        <w:jc w:val="both"/>
        <w:rPr>
          <w:rFonts w:ascii="Verdana" w:eastAsia="Times New Roman" w:hAnsi="Verdana" w:cs="Arial"/>
          <w:lang w:eastAsia="es-MX"/>
        </w:rPr>
      </w:pPr>
      <w:r>
        <w:rPr>
          <w:rFonts w:ascii="Verdana" w:eastAsia="Times New Roman" w:hAnsi="Verdana" w:cs="Arial"/>
          <w:lang w:eastAsia="es-MX"/>
        </w:rPr>
        <w:t>En los buzones de quejas establecidos en el Centro Administrativo Tlajomulco (CAT), unidades administrativas, delegaciones y recaudadoras ubicadas en el territorio municipal.</w:t>
      </w:r>
    </w:p>
    <w:p>
      <w:pPr>
        <w:tabs>
          <w:tab w:val="left" w:pos="708"/>
        </w:tabs>
        <w:jc w:val="both"/>
        <w:rPr>
          <w:rFonts w:ascii="Verdana" w:eastAsia="Times New Roman" w:hAnsi="Verdana" w:cs="Arial"/>
          <w:lang w:eastAsia="es-MX"/>
        </w:rPr>
      </w:pPr>
    </w:p>
    <w:p>
      <w:pPr>
        <w:tabs>
          <w:tab w:val="left" w:pos="708"/>
        </w:tabs>
        <w:jc w:val="both"/>
        <w:rPr>
          <w:rFonts w:ascii="Verdana" w:eastAsia="Times New Roman" w:hAnsi="Verdana" w:cs="Arial"/>
          <w:b/>
          <w:lang w:eastAsia="es-MX"/>
        </w:rPr>
      </w:pPr>
      <w:r>
        <w:rPr>
          <w:rFonts w:ascii="Verdana" w:eastAsia="Times New Roman" w:hAnsi="Verdana" w:cs="Arial"/>
          <w:b/>
          <w:lang w:eastAsia="es-MX"/>
        </w:rPr>
        <w:t>13. Prohibiciones.</w:t>
      </w:r>
    </w:p>
    <w:p>
      <w:pPr>
        <w:tabs>
          <w:tab w:val="left" w:pos="708"/>
        </w:tabs>
        <w:jc w:val="both"/>
        <w:rPr>
          <w:rFonts w:ascii="Verdana" w:eastAsia="Times New Roman" w:hAnsi="Verdana" w:cs="Arial"/>
          <w:b/>
          <w:lang w:eastAsia="es-MX"/>
        </w:rPr>
      </w:pPr>
    </w:p>
    <w:p>
      <w:pPr>
        <w:tabs>
          <w:tab w:val="left" w:pos="708"/>
        </w:tabs>
        <w:jc w:val="both"/>
        <w:rPr>
          <w:rFonts w:ascii="Verdana" w:eastAsia="Times New Roman" w:hAnsi="Verdana" w:cs="Arial"/>
          <w:lang w:eastAsia="es-MX"/>
        </w:rPr>
      </w:pPr>
      <w:r>
        <w:rPr>
          <w:rFonts w:ascii="Verdana" w:eastAsia="Times New Roman" w:hAnsi="Verdana" w:cs="Arial"/>
          <w:lang w:eastAsia="es-MX"/>
        </w:rPr>
        <w:t xml:space="preserve">Los servidores públicos municipales, deberán de excusarse de recibir cualquier apoyo del Programa. Asimismo, no podrán intervenir de cualquier forma en la atención, </w:t>
      </w:r>
      <w:r>
        <w:rPr>
          <w:rFonts w:ascii="Verdana" w:eastAsia="Times New Roman" w:hAnsi="Verdana" w:cs="Arial"/>
          <w:lang w:eastAsia="es-MX"/>
        </w:rPr>
        <w:lastRenderedPageBreak/>
        <w:t>tramitación o resolución de asuntos en los que tenga interés personal, familiar o de negocios, incluyendo aquellos en los que pueda resultar algún beneficio para él, su cónyuge o parientes consanguíneos hasta el cuarto grado, por afinidad o civiles, o para terceros con los que tenga relaciones profesionales, laborales o de negocios, o para socios o sociedades de las que el servidor o las personas antes referidas formen o hayan formado parte; lo anterior con fundamento en el artículo 46, punto 2 la Ley General de Responsabilidades Políticas y Administrativas del Estado de Jalisco.</w:t>
      </w:r>
    </w:p>
    <w:p>
      <w:pPr>
        <w:jc w:val="both"/>
        <w:rPr>
          <w:rFonts w:ascii="Verdana" w:eastAsia="Times New Roman" w:hAnsi="Verdana" w:cs="Arial"/>
          <w:i/>
          <w:lang w:val="es-ES" w:eastAsia="es-MX"/>
        </w:rPr>
      </w:pPr>
    </w:p>
    <w:p>
      <w:pPr>
        <w:jc w:val="both"/>
        <w:rPr>
          <w:rFonts w:ascii="Verdana" w:eastAsia="Times New Roman" w:hAnsi="Verdana" w:cs="Arial"/>
          <w:i/>
          <w:lang w:val="es-ES" w:eastAsia="es-MX"/>
        </w:rPr>
      </w:pPr>
    </w:p>
    <w:p>
      <w:pPr>
        <w:spacing w:after="160" w:line="259" w:lineRule="auto"/>
        <w:rPr>
          <w:rFonts w:ascii="Verdana" w:eastAsia="Calibri" w:hAnsi="Verdana"/>
          <w:sz w:val="22"/>
          <w:szCs w:val="22"/>
        </w:rPr>
      </w:pPr>
    </w:p>
    <w:p>
      <w:pPr>
        <w:rPr>
          <w:rFonts w:ascii="Verdana" w:hAnsi="Verdana"/>
          <w:sz w:val="22"/>
          <w:szCs w:val="22"/>
          <w:lang w:val="es-ES"/>
        </w:rPr>
      </w:pPr>
    </w:p>
    <w:sectPr>
      <w:headerReference w:type="default" r:id="rId11"/>
      <w:footerReference w:type="default" r:id="rId12"/>
      <w:pgSz w:w="12240" w:h="15840" w:code="1"/>
      <w:pgMar w:top="1525" w:right="760" w:bottom="1134" w:left="1134" w:header="425" w:footer="363" w:gutter="0"/>
      <w:paperSrc w:first="259" w:other="2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Web"/>
      <w:spacing w:before="0" w:after="0"/>
      <w:ind w:right="-11"/>
      <w:jc w:val="center"/>
      <w:rPr>
        <w:rFonts w:ascii="Calibri Light" w:hAnsi="Calibri Light"/>
        <w:b/>
        <w:i/>
        <w:iCs/>
        <w:color w:val="943634" w:themeColor="accent2" w:themeShade="BF"/>
        <w:sz w:val="22"/>
        <w:szCs w:val="22"/>
        <w:lang w:val="es-ES"/>
      </w:rPr>
    </w:pPr>
    <w:r>
      <w:rPr>
        <w:rFonts w:ascii="Calibri Light" w:hAnsi="Calibri Light"/>
        <w:b/>
        <w:i/>
        <w:color w:val="943634" w:themeColor="accent2" w:themeShade="BF"/>
        <w:sz w:val="22"/>
        <w:szCs w:val="22"/>
        <w:lang w:val="es-ES"/>
      </w:rPr>
      <w:t>“</w:t>
    </w:r>
    <w:r>
      <w:rPr>
        <w:rFonts w:ascii="Calibri Light" w:hAnsi="Calibri Light"/>
        <w:b/>
        <w:i/>
        <w:iCs/>
        <w:color w:val="943634" w:themeColor="accent2" w:themeShade="BF"/>
        <w:sz w:val="22"/>
        <w:szCs w:val="22"/>
        <w:lang w:val="es-ES"/>
      </w:rPr>
      <w:t xml:space="preserve">Este Programa es público, ajeno a cualquier partido político. </w:t>
    </w:r>
  </w:p>
  <w:p>
    <w:pPr>
      <w:pStyle w:val="NormalWeb"/>
      <w:spacing w:before="0" w:after="0"/>
      <w:ind w:right="-11"/>
      <w:jc w:val="center"/>
      <w:rPr>
        <w:rFonts w:ascii="Calibri Light" w:hAnsi="Calibri Light"/>
        <w:b/>
        <w:i/>
        <w:iCs/>
        <w:color w:val="943634" w:themeColor="accent2" w:themeShade="BF"/>
        <w:sz w:val="22"/>
        <w:szCs w:val="22"/>
        <w:lang w:val="es-ES"/>
      </w:rPr>
    </w:pPr>
    <w:r>
      <w:rPr>
        <w:rFonts w:ascii="Calibri Light" w:hAnsi="Calibri Light"/>
        <w:b/>
        <w:i/>
        <w:iCs/>
        <w:color w:val="943634" w:themeColor="accent2" w:themeShade="BF"/>
        <w:sz w:val="22"/>
        <w:szCs w:val="22"/>
        <w:lang w:val="es-ES"/>
      </w:rPr>
      <w:t>Queda prohibido el uso para fines distintos al desarrollo social”</w:t>
    </w:r>
  </w:p>
  <w:p>
    <w:pPr>
      <w:pStyle w:val="Piedepgina"/>
      <w:tabs>
        <w:tab w:val="clear" w:pos="4419"/>
        <w:tab w:val="clear" w:pos="8838"/>
        <w:tab w:val="center" w:pos="5174"/>
        <w:tab w:val="right" w:pos="10348"/>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3050"/>
      <w:gridCol w:w="4434"/>
    </w:tblGrid>
    <w:tr>
      <w:tc>
        <w:tcPr>
          <w:tcW w:w="3495" w:type="dxa"/>
        </w:tcPr>
        <w:p>
          <w:pPr>
            <w:pStyle w:val="Encabezado"/>
          </w:pPr>
          <w:r>
            <w:rPr>
              <w:noProof/>
              <w:lang w:eastAsia="es-MX"/>
            </w:rPr>
            <w:drawing>
              <wp:inline distT="0" distB="0" distL="0" distR="0">
                <wp:extent cx="559727" cy="584200"/>
                <wp:effectExtent l="19050" t="0" r="0" b="0"/>
                <wp:docPr id="5" name="0 Imagen" descr="ESCUDO-NACIONAL-MEXIC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NACIONAL-MEXICANO.gif"/>
                        <pic:cNvPicPr/>
                      </pic:nvPicPr>
                      <pic:blipFill>
                        <a:blip r:embed="rId1" cstate="print"/>
                        <a:stretch>
                          <a:fillRect/>
                        </a:stretch>
                      </pic:blipFill>
                      <pic:spPr>
                        <a:xfrm>
                          <a:off x="0" y="0"/>
                          <a:ext cx="559727" cy="584200"/>
                        </a:xfrm>
                        <a:prstGeom prst="rect">
                          <a:avLst/>
                        </a:prstGeom>
                      </pic:spPr>
                    </pic:pic>
                  </a:graphicData>
                </a:graphic>
              </wp:inline>
            </w:drawing>
          </w:r>
        </w:p>
      </w:tc>
      <w:tc>
        <w:tcPr>
          <w:tcW w:w="3495" w:type="dxa"/>
        </w:tcPr>
        <w:p>
          <w:pPr>
            <w:pStyle w:val="Encabezado"/>
            <w:jc w:val="center"/>
          </w:pPr>
          <w:r>
            <w:rPr>
              <w:rFonts w:ascii="Tahoma" w:hAnsi="Tahoma" w:cs="Tahoma"/>
              <w:noProof/>
              <w:sz w:val="22"/>
              <w:szCs w:val="22"/>
              <w:lang w:eastAsia="es-MX"/>
            </w:rPr>
            <w:drawing>
              <wp:inline distT="0" distB="0" distL="0" distR="0">
                <wp:extent cx="467192" cy="581025"/>
                <wp:effectExtent l="0" t="0" r="9525" b="0"/>
                <wp:docPr id="1" name="Imagen 1"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scudo - TZ.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8356" cy="594909"/>
                        </a:xfrm>
                        <a:prstGeom prst="rect">
                          <a:avLst/>
                        </a:prstGeom>
                        <a:noFill/>
                        <a:ln>
                          <a:noFill/>
                        </a:ln>
                      </pic:spPr>
                    </pic:pic>
                  </a:graphicData>
                </a:graphic>
              </wp:inline>
            </w:drawing>
          </w:r>
        </w:p>
      </w:tc>
      <w:tc>
        <w:tcPr>
          <w:tcW w:w="3496" w:type="dxa"/>
        </w:tcPr>
        <w:p>
          <w:pPr>
            <w:pStyle w:val="Encabezado"/>
            <w:jc w:val="right"/>
          </w:pP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38.8pt" o:ole="">
                <v:imagedata r:id="rId3" o:title=""/>
              </v:shape>
              <o:OLEObject Type="Embed" ProgID="PBrush" ShapeID="_x0000_i1025" DrawAspect="Content" ObjectID="_1613564305" r:id="rId4"/>
            </w:object>
          </w:r>
        </w:p>
      </w:tc>
    </w:tr>
  </w:tbl>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64B02"/>
    <w:multiLevelType w:val="hybridMultilevel"/>
    <w:tmpl w:val="1D3CE90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14EA1533"/>
    <w:multiLevelType w:val="hybridMultilevel"/>
    <w:tmpl w:val="3F643F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C505AC8"/>
    <w:multiLevelType w:val="hybridMultilevel"/>
    <w:tmpl w:val="EE76A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7774B93"/>
    <w:multiLevelType w:val="hybridMultilevel"/>
    <w:tmpl w:val="D6AAD158"/>
    <w:lvl w:ilvl="0" w:tplc="B0924EE6">
      <w:start w:val="1"/>
      <w:numFmt w:val="lowerLetter"/>
      <w:lvlText w:val="%1)"/>
      <w:lvlJc w:val="left"/>
      <w:pPr>
        <w:ind w:left="2160" w:hanging="360"/>
      </w:pPr>
      <w:rPr>
        <w:b/>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nsid w:val="2D874E04"/>
    <w:multiLevelType w:val="hybridMultilevel"/>
    <w:tmpl w:val="82CC65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5A072E1"/>
    <w:multiLevelType w:val="hybridMultilevel"/>
    <w:tmpl w:val="2708AAE4"/>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3BFA3585"/>
    <w:multiLevelType w:val="hybridMultilevel"/>
    <w:tmpl w:val="E21841A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FDA54B7"/>
    <w:multiLevelType w:val="hybridMultilevel"/>
    <w:tmpl w:val="58D65D2C"/>
    <w:lvl w:ilvl="0" w:tplc="080A0005">
      <w:start w:val="1"/>
      <w:numFmt w:val="bullet"/>
      <w:lvlText w:val=""/>
      <w:lvlJc w:val="left"/>
      <w:pPr>
        <w:ind w:left="3130" w:hanging="360"/>
      </w:pPr>
      <w:rPr>
        <w:rFonts w:ascii="Wingdings" w:hAnsi="Wingdings" w:hint="default"/>
      </w:rPr>
    </w:lvl>
    <w:lvl w:ilvl="1" w:tplc="080A0003" w:tentative="1">
      <w:start w:val="1"/>
      <w:numFmt w:val="bullet"/>
      <w:lvlText w:val="o"/>
      <w:lvlJc w:val="left"/>
      <w:pPr>
        <w:ind w:left="3850" w:hanging="360"/>
      </w:pPr>
      <w:rPr>
        <w:rFonts w:ascii="Courier New" w:hAnsi="Courier New" w:cs="Courier New" w:hint="default"/>
      </w:rPr>
    </w:lvl>
    <w:lvl w:ilvl="2" w:tplc="080A0005" w:tentative="1">
      <w:start w:val="1"/>
      <w:numFmt w:val="bullet"/>
      <w:lvlText w:val=""/>
      <w:lvlJc w:val="left"/>
      <w:pPr>
        <w:ind w:left="4570" w:hanging="360"/>
      </w:pPr>
      <w:rPr>
        <w:rFonts w:ascii="Wingdings" w:hAnsi="Wingdings" w:hint="default"/>
      </w:rPr>
    </w:lvl>
    <w:lvl w:ilvl="3" w:tplc="080A0001" w:tentative="1">
      <w:start w:val="1"/>
      <w:numFmt w:val="bullet"/>
      <w:lvlText w:val=""/>
      <w:lvlJc w:val="left"/>
      <w:pPr>
        <w:ind w:left="5290" w:hanging="360"/>
      </w:pPr>
      <w:rPr>
        <w:rFonts w:ascii="Symbol" w:hAnsi="Symbol" w:hint="default"/>
      </w:rPr>
    </w:lvl>
    <w:lvl w:ilvl="4" w:tplc="080A0003" w:tentative="1">
      <w:start w:val="1"/>
      <w:numFmt w:val="bullet"/>
      <w:lvlText w:val="o"/>
      <w:lvlJc w:val="left"/>
      <w:pPr>
        <w:ind w:left="6010" w:hanging="360"/>
      </w:pPr>
      <w:rPr>
        <w:rFonts w:ascii="Courier New" w:hAnsi="Courier New" w:cs="Courier New" w:hint="default"/>
      </w:rPr>
    </w:lvl>
    <w:lvl w:ilvl="5" w:tplc="080A0005" w:tentative="1">
      <w:start w:val="1"/>
      <w:numFmt w:val="bullet"/>
      <w:lvlText w:val=""/>
      <w:lvlJc w:val="left"/>
      <w:pPr>
        <w:ind w:left="6730" w:hanging="360"/>
      </w:pPr>
      <w:rPr>
        <w:rFonts w:ascii="Wingdings" w:hAnsi="Wingdings" w:hint="default"/>
      </w:rPr>
    </w:lvl>
    <w:lvl w:ilvl="6" w:tplc="080A0001" w:tentative="1">
      <w:start w:val="1"/>
      <w:numFmt w:val="bullet"/>
      <w:lvlText w:val=""/>
      <w:lvlJc w:val="left"/>
      <w:pPr>
        <w:ind w:left="7450" w:hanging="360"/>
      </w:pPr>
      <w:rPr>
        <w:rFonts w:ascii="Symbol" w:hAnsi="Symbol" w:hint="default"/>
      </w:rPr>
    </w:lvl>
    <w:lvl w:ilvl="7" w:tplc="080A0003" w:tentative="1">
      <w:start w:val="1"/>
      <w:numFmt w:val="bullet"/>
      <w:lvlText w:val="o"/>
      <w:lvlJc w:val="left"/>
      <w:pPr>
        <w:ind w:left="8170" w:hanging="360"/>
      </w:pPr>
      <w:rPr>
        <w:rFonts w:ascii="Courier New" w:hAnsi="Courier New" w:cs="Courier New" w:hint="default"/>
      </w:rPr>
    </w:lvl>
    <w:lvl w:ilvl="8" w:tplc="080A0005" w:tentative="1">
      <w:start w:val="1"/>
      <w:numFmt w:val="bullet"/>
      <w:lvlText w:val=""/>
      <w:lvlJc w:val="left"/>
      <w:pPr>
        <w:ind w:left="8890" w:hanging="360"/>
      </w:pPr>
      <w:rPr>
        <w:rFonts w:ascii="Wingdings" w:hAnsi="Wingdings" w:hint="default"/>
      </w:rPr>
    </w:lvl>
  </w:abstractNum>
  <w:abstractNum w:abstractNumId="8">
    <w:nsid w:val="472635D3"/>
    <w:multiLevelType w:val="multilevel"/>
    <w:tmpl w:val="FA3A4B0A"/>
    <w:lvl w:ilvl="0">
      <w:start w:val="1"/>
      <w:numFmt w:val="upperRoman"/>
      <w:lvlText w:val="%1."/>
      <w:lvlJc w:val="righ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4807798E"/>
    <w:multiLevelType w:val="hybridMultilevel"/>
    <w:tmpl w:val="FA96F86A"/>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
    <w:nsid w:val="53B042A1"/>
    <w:multiLevelType w:val="hybridMultilevel"/>
    <w:tmpl w:val="B0542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3D61047"/>
    <w:multiLevelType w:val="hybridMultilevel"/>
    <w:tmpl w:val="43CA07BE"/>
    <w:lvl w:ilvl="0" w:tplc="080A0005">
      <w:start w:val="1"/>
      <w:numFmt w:val="bullet"/>
      <w:lvlText w:val=""/>
      <w:lvlJc w:val="left"/>
      <w:pPr>
        <w:ind w:left="2880" w:hanging="360"/>
      </w:pPr>
      <w:rPr>
        <w:rFonts w:ascii="Wingdings" w:hAnsi="Wingdings"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12">
    <w:nsid w:val="54590FDD"/>
    <w:multiLevelType w:val="multilevel"/>
    <w:tmpl w:val="6FC660D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57C444CC"/>
    <w:multiLevelType w:val="hybridMultilevel"/>
    <w:tmpl w:val="034486F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585" w:hanging="360"/>
      </w:pPr>
      <w:rPr>
        <w:rFonts w:ascii="Symbol" w:hAnsi="Symbol" w:hint="default"/>
      </w:rPr>
    </w:lvl>
    <w:lvl w:ilvl="2" w:tplc="080A0005">
      <w:start w:val="1"/>
      <w:numFmt w:val="bullet"/>
      <w:lvlText w:val=""/>
      <w:lvlJc w:val="left"/>
      <w:pPr>
        <w:ind w:left="1305" w:hanging="360"/>
      </w:pPr>
      <w:rPr>
        <w:rFonts w:ascii="Wingdings" w:hAnsi="Wingdings" w:hint="default"/>
      </w:rPr>
    </w:lvl>
    <w:lvl w:ilvl="3" w:tplc="080A0001" w:tentative="1">
      <w:start w:val="1"/>
      <w:numFmt w:val="bullet"/>
      <w:lvlText w:val=""/>
      <w:lvlJc w:val="left"/>
      <w:pPr>
        <w:ind w:left="2025" w:hanging="360"/>
      </w:pPr>
      <w:rPr>
        <w:rFonts w:ascii="Symbol" w:hAnsi="Symbol" w:hint="default"/>
      </w:rPr>
    </w:lvl>
    <w:lvl w:ilvl="4" w:tplc="080A0003" w:tentative="1">
      <w:start w:val="1"/>
      <w:numFmt w:val="bullet"/>
      <w:lvlText w:val="o"/>
      <w:lvlJc w:val="left"/>
      <w:pPr>
        <w:ind w:left="2745" w:hanging="360"/>
      </w:pPr>
      <w:rPr>
        <w:rFonts w:ascii="Courier New" w:hAnsi="Courier New" w:cs="Courier New" w:hint="default"/>
      </w:rPr>
    </w:lvl>
    <w:lvl w:ilvl="5" w:tplc="080A0005" w:tentative="1">
      <w:start w:val="1"/>
      <w:numFmt w:val="bullet"/>
      <w:lvlText w:val=""/>
      <w:lvlJc w:val="left"/>
      <w:pPr>
        <w:ind w:left="3465" w:hanging="360"/>
      </w:pPr>
      <w:rPr>
        <w:rFonts w:ascii="Wingdings" w:hAnsi="Wingdings" w:hint="default"/>
      </w:rPr>
    </w:lvl>
    <w:lvl w:ilvl="6" w:tplc="080A0001" w:tentative="1">
      <w:start w:val="1"/>
      <w:numFmt w:val="bullet"/>
      <w:lvlText w:val=""/>
      <w:lvlJc w:val="left"/>
      <w:pPr>
        <w:ind w:left="4185" w:hanging="360"/>
      </w:pPr>
      <w:rPr>
        <w:rFonts w:ascii="Symbol" w:hAnsi="Symbol" w:hint="default"/>
      </w:rPr>
    </w:lvl>
    <w:lvl w:ilvl="7" w:tplc="080A0003" w:tentative="1">
      <w:start w:val="1"/>
      <w:numFmt w:val="bullet"/>
      <w:lvlText w:val="o"/>
      <w:lvlJc w:val="left"/>
      <w:pPr>
        <w:ind w:left="4905" w:hanging="360"/>
      </w:pPr>
      <w:rPr>
        <w:rFonts w:ascii="Courier New" w:hAnsi="Courier New" w:cs="Courier New" w:hint="default"/>
      </w:rPr>
    </w:lvl>
    <w:lvl w:ilvl="8" w:tplc="080A0005" w:tentative="1">
      <w:start w:val="1"/>
      <w:numFmt w:val="bullet"/>
      <w:lvlText w:val=""/>
      <w:lvlJc w:val="left"/>
      <w:pPr>
        <w:ind w:left="5625" w:hanging="360"/>
      </w:pPr>
      <w:rPr>
        <w:rFonts w:ascii="Wingdings" w:hAnsi="Wingdings" w:hint="default"/>
      </w:rPr>
    </w:lvl>
  </w:abstractNum>
  <w:abstractNum w:abstractNumId="14">
    <w:nsid w:val="5A52345F"/>
    <w:multiLevelType w:val="hybridMultilevel"/>
    <w:tmpl w:val="763A1260"/>
    <w:lvl w:ilvl="0" w:tplc="080A0017">
      <w:start w:val="1"/>
      <w:numFmt w:val="lowerLetter"/>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15">
    <w:nsid w:val="65C75577"/>
    <w:multiLevelType w:val="multilevel"/>
    <w:tmpl w:val="77461BEA"/>
    <w:lvl w:ilvl="0">
      <w:start w:val="1"/>
      <w:numFmt w:val="upperRoman"/>
      <w:lvlText w:val="%1."/>
      <w:lvlJc w:val="right"/>
      <w:pPr>
        <w:ind w:left="720" w:hanging="360"/>
      </w:pPr>
      <w:rPr>
        <w:b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683505D4"/>
    <w:multiLevelType w:val="hybridMultilevel"/>
    <w:tmpl w:val="68B8B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8BA6B95"/>
    <w:multiLevelType w:val="hybridMultilevel"/>
    <w:tmpl w:val="26807C9A"/>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5">
      <w:start w:val="1"/>
      <w:numFmt w:val="bullet"/>
      <w:lvlText w:val=""/>
      <w:lvlJc w:val="left"/>
      <w:pPr>
        <w:ind w:left="2880" w:hanging="360"/>
      </w:pPr>
      <w:rPr>
        <w:rFonts w:ascii="Wingdings" w:hAnsi="Wingdings"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4F3696C"/>
    <w:multiLevelType w:val="hybridMultilevel"/>
    <w:tmpl w:val="8270A466"/>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76AF69F7"/>
    <w:multiLevelType w:val="hybridMultilevel"/>
    <w:tmpl w:val="D62CED78"/>
    <w:lvl w:ilvl="0" w:tplc="92565100">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78314110"/>
    <w:multiLevelType w:val="multilevel"/>
    <w:tmpl w:val="86CCA146"/>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7A0F60AF"/>
    <w:multiLevelType w:val="hybridMultilevel"/>
    <w:tmpl w:val="77A222CC"/>
    <w:lvl w:ilvl="0" w:tplc="080A0017">
      <w:start w:val="1"/>
      <w:numFmt w:val="lowerLetter"/>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22">
    <w:nsid w:val="7A1F5B80"/>
    <w:multiLevelType w:val="hybridMultilevel"/>
    <w:tmpl w:val="490A58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D562AAB"/>
    <w:multiLevelType w:val="hybridMultilevel"/>
    <w:tmpl w:val="37E0DE22"/>
    <w:lvl w:ilvl="0" w:tplc="080A0001">
      <w:start w:val="1"/>
      <w:numFmt w:val="bullet"/>
      <w:lvlText w:val=""/>
      <w:lvlJc w:val="left"/>
      <w:pPr>
        <w:ind w:left="1576" w:hanging="360"/>
      </w:pPr>
      <w:rPr>
        <w:rFonts w:ascii="Symbol" w:hAnsi="Symbol" w:hint="default"/>
      </w:rPr>
    </w:lvl>
    <w:lvl w:ilvl="1" w:tplc="080A0003" w:tentative="1">
      <w:start w:val="1"/>
      <w:numFmt w:val="bullet"/>
      <w:lvlText w:val="o"/>
      <w:lvlJc w:val="left"/>
      <w:pPr>
        <w:ind w:left="2296" w:hanging="360"/>
      </w:pPr>
      <w:rPr>
        <w:rFonts w:ascii="Courier New" w:hAnsi="Courier New" w:cs="Courier New" w:hint="default"/>
      </w:rPr>
    </w:lvl>
    <w:lvl w:ilvl="2" w:tplc="080A0005" w:tentative="1">
      <w:start w:val="1"/>
      <w:numFmt w:val="bullet"/>
      <w:lvlText w:val=""/>
      <w:lvlJc w:val="left"/>
      <w:pPr>
        <w:ind w:left="3016" w:hanging="360"/>
      </w:pPr>
      <w:rPr>
        <w:rFonts w:ascii="Wingdings" w:hAnsi="Wingdings" w:hint="default"/>
      </w:rPr>
    </w:lvl>
    <w:lvl w:ilvl="3" w:tplc="080A0001" w:tentative="1">
      <w:start w:val="1"/>
      <w:numFmt w:val="bullet"/>
      <w:lvlText w:val=""/>
      <w:lvlJc w:val="left"/>
      <w:pPr>
        <w:ind w:left="3736" w:hanging="360"/>
      </w:pPr>
      <w:rPr>
        <w:rFonts w:ascii="Symbol" w:hAnsi="Symbol" w:hint="default"/>
      </w:rPr>
    </w:lvl>
    <w:lvl w:ilvl="4" w:tplc="080A0003" w:tentative="1">
      <w:start w:val="1"/>
      <w:numFmt w:val="bullet"/>
      <w:lvlText w:val="o"/>
      <w:lvlJc w:val="left"/>
      <w:pPr>
        <w:ind w:left="4456" w:hanging="360"/>
      </w:pPr>
      <w:rPr>
        <w:rFonts w:ascii="Courier New" w:hAnsi="Courier New" w:cs="Courier New" w:hint="default"/>
      </w:rPr>
    </w:lvl>
    <w:lvl w:ilvl="5" w:tplc="080A0005" w:tentative="1">
      <w:start w:val="1"/>
      <w:numFmt w:val="bullet"/>
      <w:lvlText w:val=""/>
      <w:lvlJc w:val="left"/>
      <w:pPr>
        <w:ind w:left="5176" w:hanging="360"/>
      </w:pPr>
      <w:rPr>
        <w:rFonts w:ascii="Wingdings" w:hAnsi="Wingdings" w:hint="default"/>
      </w:rPr>
    </w:lvl>
    <w:lvl w:ilvl="6" w:tplc="080A0001" w:tentative="1">
      <w:start w:val="1"/>
      <w:numFmt w:val="bullet"/>
      <w:lvlText w:val=""/>
      <w:lvlJc w:val="left"/>
      <w:pPr>
        <w:ind w:left="5896" w:hanging="360"/>
      </w:pPr>
      <w:rPr>
        <w:rFonts w:ascii="Symbol" w:hAnsi="Symbol" w:hint="default"/>
      </w:rPr>
    </w:lvl>
    <w:lvl w:ilvl="7" w:tplc="080A0003" w:tentative="1">
      <w:start w:val="1"/>
      <w:numFmt w:val="bullet"/>
      <w:lvlText w:val="o"/>
      <w:lvlJc w:val="left"/>
      <w:pPr>
        <w:ind w:left="6616" w:hanging="360"/>
      </w:pPr>
      <w:rPr>
        <w:rFonts w:ascii="Courier New" w:hAnsi="Courier New" w:cs="Courier New" w:hint="default"/>
      </w:rPr>
    </w:lvl>
    <w:lvl w:ilvl="8" w:tplc="080A0005" w:tentative="1">
      <w:start w:val="1"/>
      <w:numFmt w:val="bullet"/>
      <w:lvlText w:val=""/>
      <w:lvlJc w:val="left"/>
      <w:pPr>
        <w:ind w:left="7336" w:hanging="360"/>
      </w:pPr>
      <w:rPr>
        <w:rFonts w:ascii="Wingdings" w:hAnsi="Wingdings" w:hint="default"/>
      </w:rPr>
    </w:lvl>
  </w:abstractNum>
  <w:abstractNum w:abstractNumId="24">
    <w:nsid w:val="7E901F35"/>
    <w:multiLevelType w:val="hybridMultilevel"/>
    <w:tmpl w:val="532E894E"/>
    <w:lvl w:ilvl="0" w:tplc="D954F7B6">
      <w:start w:val="1"/>
      <w:numFmt w:val="upperRoman"/>
      <w:lvlText w:val="%1."/>
      <w:lvlJc w:val="righ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5"/>
  </w:num>
  <w:num w:numId="9">
    <w:abstractNumId w:val="21"/>
  </w:num>
  <w:num w:numId="10">
    <w:abstractNumId w:val="14"/>
  </w:num>
  <w:num w:numId="11">
    <w:abstractNumId w:val="5"/>
  </w:num>
  <w:num w:numId="12">
    <w:abstractNumId w:val="9"/>
  </w:num>
  <w:num w:numId="13">
    <w:abstractNumId w:val="18"/>
  </w:num>
  <w:num w:numId="14">
    <w:abstractNumId w:val="4"/>
  </w:num>
  <w:num w:numId="15">
    <w:abstractNumId w:val="22"/>
  </w:num>
  <w:num w:numId="16">
    <w:abstractNumId w:val="3"/>
  </w:num>
  <w:num w:numId="17">
    <w:abstractNumId w:val="7"/>
  </w:num>
  <w:num w:numId="18">
    <w:abstractNumId w:val="11"/>
  </w:num>
  <w:num w:numId="19">
    <w:abstractNumId w:val="6"/>
  </w:num>
  <w:num w:numId="20">
    <w:abstractNumId w:val="17"/>
  </w:num>
  <w:num w:numId="21">
    <w:abstractNumId w:val="0"/>
  </w:num>
  <w:num w:numId="22">
    <w:abstractNumId w:val="13"/>
  </w:num>
  <w:num w:numId="23">
    <w:abstractNumId w:val="16"/>
  </w:num>
  <w:num w:numId="24">
    <w:abstractNumId w:val="24"/>
  </w:num>
  <w:num w:numId="25">
    <w:abstractNumId w:val="10"/>
  </w:num>
  <w:num w:numId="26">
    <w:abstractNumId w:val="19"/>
  </w:num>
  <w:num w:numId="27">
    <w:abstractNumId w:val="1"/>
  </w:num>
  <w:num w:numId="28">
    <w:abstractNumId w:val="2"/>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lajomulco.gob.mx"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denuncialacorrupcion@tlajomulco.gob.mx" TargetMode="External"/><Relationship Id="rId4" Type="http://schemas.openxmlformats.org/officeDocument/2006/relationships/settings" Target="settings.xml"/><Relationship Id="rId9" Type="http://schemas.openxmlformats.org/officeDocument/2006/relationships/hyperlink" Target="http://www.tlj.mx/denuncialo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gif"/><Relationship Id="rId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3554</Words>
  <Characters>19548</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23056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 PADILLA PEREZ</dc:creator>
  <cp:lastModifiedBy>Likuit</cp:lastModifiedBy>
  <cp:revision>4</cp:revision>
  <cp:lastPrinted>2019-03-08T21:31:00Z</cp:lastPrinted>
  <dcterms:created xsi:type="dcterms:W3CDTF">2019-03-06T18:09:00Z</dcterms:created>
  <dcterms:modified xsi:type="dcterms:W3CDTF">2019-03-08T21:32:00Z</dcterms:modified>
</cp:coreProperties>
</file>