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Acta de la Segunda Sesión Ordinaria del Comité de Adquisiciones de Tlajomulco de Zúñiga, Jalisco, celebrada el día 22 veintidós de enero de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Segunda Sesión Ordinaria del Comité de Adquisiciones de Tlajomulco de Zúñiga,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22 de enero de 2026, convocada y presidida por el ciudadano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000000"/>
        </w:rPr>
      </w:pPr>
      <w:bookmarkStart w:colFirst="0" w:colLast="0" w:name="_heading=h.uybmv29yppd9" w:id="0"/>
      <w:bookmarkEnd w:id="0"/>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presencia de manera virtual de las y los ciudadanos siguientes; Ingeniero José Rafael Martínez Valencia, Representante del Presidente del Comité de Adquisiciones de Tlajomulco de Zúñiga, Jalisco; </w:t>
      </w:r>
      <w:r w:rsidDel="00000000" w:rsidR="00000000" w:rsidRPr="00000000">
        <w:rPr>
          <w:rFonts w:ascii="Times New Roman" w:cs="Times New Roman" w:eastAsia="Times New Roman" w:hAnsi="Times New Roman"/>
          <w:rtl w:val="0"/>
        </w:rPr>
        <w:t xml:space="preserve">Ingeniero Manuel Ledezma Esparza, Representante de la Dirección de Desarrollo Rural; Licenciado Marco Antonio Parra Pérez, representante de Sindicatura Municipal; </w:t>
      </w:r>
      <w:r w:rsidDel="00000000" w:rsidR="00000000" w:rsidRPr="00000000">
        <w:rPr>
          <w:rFonts w:ascii="Times New Roman" w:cs="Times New Roman" w:eastAsia="Times New Roman" w:hAnsi="Times New Roman"/>
          <w:color w:val="000000"/>
          <w:rtl w:val="0"/>
        </w:rPr>
        <w:t xml:space="preserve">Oscar Esteban Delgado Enríquez, representante de la Oficialía Mayor Administrativa; Licenciada Adriana Santiago González representante de la Tesorería Municipal; </w:t>
      </w:r>
      <w:r w:rsidDel="00000000" w:rsidR="00000000" w:rsidRPr="00000000">
        <w:rPr>
          <w:rFonts w:ascii="Times New Roman" w:cs="Times New Roman" w:eastAsia="Times New Roman" w:hAnsi="Times New Roman"/>
          <w:rtl w:val="0"/>
        </w:rPr>
        <w:t xml:space="preserve">Ingeniero Omar Palafox Sáenz, representante del Consejo de Desarrollo Agropecuario y Agroindustrial de Jalisco; Ingeniero Luis Alfonso de Santiago García, representante del Consejo de Cámaras Industriales de Jalisco;  Licenciado Edgar Fernando Flores Mora, representante de la Cámara Nacional de Comercio, Servicios y Turismo de Guadalajara y el </w:t>
      </w:r>
      <w:r w:rsidDel="00000000" w:rsidR="00000000" w:rsidRPr="00000000">
        <w:rPr>
          <w:rFonts w:ascii="Times New Roman" w:cs="Times New Roman" w:eastAsia="Times New Roman" w:hAnsi="Times New Roman"/>
          <w:color w:val="000000"/>
          <w:rtl w:val="0"/>
        </w:rPr>
        <w:t xml:space="preserve">Licenciado Hugo Enrique Verduzco Sánchez representante del Consejo Mexicano de Comercio Exterior de Occidente; y acompañándonos el Licenciado Jorge Armando Ortíz Tafoya, representante del Órgano Interno de Control.</w:t>
      </w:r>
    </w:p>
    <w:p w:rsidR="00000000" w:rsidDel="00000000" w:rsidP="00000000" w:rsidRDefault="00000000" w:rsidRPr="00000000" w14:paraId="0000000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09:25 nueve horas con veinticinco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inicia la Segunda Sesión Ordinaria celebrada el jueves 22 veintidós de enero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ORDEN DEL DÍA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Lista de asistencia y declaración de quórum legal.</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3.-Lectura y en su caso Aprobación de Actas de Sesión.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Acta de la Primera Sesión Ordinaria del Comité de Adquisiciones de Tlajomulco de Zúñiga, Jalisco, celebrada el día 8 ocho de enero de 2026 dos mil veintiséis.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Presentación y en su caso aprobación de Fallos de Adjudicación.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4.1.- LPL 085/02/2025 - “Alimentos”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Adjudicaciones directas para aprobación.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Oficio CGCE/008/2026 - Coordinación General de Comunicación Estratégica - Servicios de Difusión de publicidad, en medios de comunicación.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6.-Asuntos Varios.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Nota Aclaratoria.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Clausura.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ind w:left="72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da cuenta la incorporación a la sesión a la</w:t>
      </w:r>
      <w:r w:rsidDel="00000000" w:rsidR="00000000" w:rsidRPr="00000000">
        <w:rPr>
          <w:rFonts w:ascii="Times New Roman" w:cs="Times New Roman" w:eastAsia="Times New Roman" w:hAnsi="Times New Roman"/>
          <w:b w:val="1"/>
          <w:bCs w:val="1"/>
          <w:i w:val="1"/>
          <w:iCs w:val="1"/>
          <w:color w:val="000000"/>
          <w:rtl w:val="0"/>
        </w:rPr>
        <w:t xml:space="preserve"> Ingeniera Lizbeth Santillan Regalado representante de la Coordinación General de Potencia Económica</w:t>
      </w: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01D">
      <w:pPr>
        <w:ind w:left="720" w:firstLine="0"/>
        <w:jc w:val="center"/>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1">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i w:val="1"/>
          <w:iCs w:val="1"/>
        </w:rPr>
      </w:pPr>
      <w:bookmarkStart w:colFirst="0" w:colLast="0" w:name="_heading=h.hcfchun2ztkt" w:id="1"/>
      <w:bookmarkEnd w:id="1"/>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Acta de la Primera Sesión Ordinaria del Comité de Adquisiciones de Tlajomulco de Zúñiga, Jalisco, celebrada el día 8 ocho de enero de 2026 dos mil veintiséis. Es cuanto Presidente.»</w:t>
      </w:r>
    </w:p>
    <w:p w:rsidR="00000000" w:rsidDel="00000000" w:rsidP="00000000" w:rsidRDefault="00000000" w:rsidRPr="00000000" w14:paraId="00000023">
      <w:pPr>
        <w:jc w:val="both"/>
        <w:rPr>
          <w:rFonts w:ascii="Times New Roman" w:cs="Times New Roman" w:eastAsia="Times New Roman" w:hAnsi="Times New Roman"/>
        </w:rPr>
      </w:pPr>
      <w:bookmarkStart w:colFirst="0" w:colLast="0" w:name="_heading=h.chtth3j07mbe"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rPr>
      </w:pPr>
      <w:bookmarkStart w:colFirst="0" w:colLast="0" w:name="_heading=h.mtghtumc5ti7" w:id="3"/>
      <w:bookmarkEnd w:id="3"/>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del acta</w:t>
      </w:r>
      <w:r w:rsidDel="00000000" w:rsidR="00000000" w:rsidRPr="00000000">
        <w:rPr>
          <w:rFonts w:ascii="Times New Roman" w:cs="Times New Roman" w:eastAsia="Times New Roman" w:hAnsi="Times New Roman"/>
          <w:rtl w:val="0"/>
        </w:rPr>
        <w:t xml:space="preserve"> antes mencionada y al no existir alguna observación,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u w:val="single"/>
        </w:rPr>
      </w:pPr>
      <w:bookmarkStart w:colFirst="0" w:colLast="0" w:name="_heading=h.dbpk8hmaqrjz" w:id="4"/>
      <w:bookmarkEnd w:id="4"/>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da uso de la voz a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Secretaria Técnica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continuar con el siguiente punto de la Orden del Día, quien mencionó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4.1.-</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LPL 085/02/2025 - “Alimentos”, solicitado por la Dirección de Protección Civil y Bomberos y la Comisaría de la Policía Preventiva Municipal   siendo el participante:</w:t>
      </w:r>
    </w:p>
    <w:p w:rsidR="00000000" w:rsidDel="00000000" w:rsidP="00000000" w:rsidRDefault="00000000" w:rsidRPr="00000000" w14:paraId="00000028">
      <w:pPr>
        <w:numPr>
          <w:ilvl w:val="0"/>
          <w:numId w:val="2"/>
        </w:numPr>
        <w:spacing w:after="0" w:line="240" w:lineRule="auto"/>
        <w:ind w:left="720" w:hanging="36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RINCONCITO EXPRESS S.A. DE C.V. </w:t>
      </w:r>
    </w:p>
    <w:p w:rsidR="00000000" w:rsidDel="00000000" w:rsidP="00000000" w:rsidRDefault="00000000" w:rsidRPr="00000000" w14:paraId="00000029">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RINCONCITO EXPRESS S.A.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toda la documentación de acuerdo con lo solicitado en las bases.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las propuestas, donde se valora puntualmente el cumplimiento de las especificaciones técnicas mínimas, se califica a </w:t>
      </w:r>
      <w:r w:rsidDel="00000000" w:rsidR="00000000" w:rsidRPr="00000000">
        <w:rPr>
          <w:rFonts w:ascii="Times New Roman" w:cs="Times New Roman" w:eastAsia="Times New Roman" w:hAnsi="Times New Roman"/>
          <w:b w:val="1"/>
          <w:bCs w:val="1"/>
          <w:i w:val="1"/>
          <w:iCs w:val="1"/>
          <w:color w:val="000000"/>
          <w:rtl w:val="0"/>
        </w:rPr>
        <w:t xml:space="preserve">la partida 1</w:t>
      </w:r>
      <w:r w:rsidDel="00000000" w:rsidR="00000000" w:rsidRPr="00000000">
        <w:rPr>
          <w:rFonts w:ascii="Times New Roman" w:cs="Times New Roman" w:eastAsia="Times New Roman" w:hAnsi="Times New Roman"/>
          <w:i w:val="1"/>
          <w:iCs w:val="1"/>
          <w:color w:val="000000"/>
          <w:rtl w:val="0"/>
        </w:rPr>
        <w:t xml:space="preserve">, de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RINCONCITO EXPRESS S.A.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 Partida 2 de</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no</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solvente técnicamente; </w:t>
      </w:r>
      <w:r w:rsidDel="00000000" w:rsidR="00000000" w:rsidRPr="00000000">
        <w:rPr>
          <w:rFonts w:ascii="Times New Roman" w:cs="Times New Roman" w:eastAsia="Times New Roman" w:hAnsi="Times New Roman"/>
          <w:i w:val="1"/>
          <w:iCs w:val="1"/>
          <w:color w:val="000000"/>
          <w:rtl w:val="0"/>
        </w:rPr>
        <w:t xml:space="preserve">Partida 3 de </w:t>
      </w:r>
      <w:r w:rsidDel="00000000" w:rsidR="00000000" w:rsidRPr="00000000">
        <w:rPr>
          <w:rFonts w:ascii="Times New Roman" w:cs="Times New Roman" w:eastAsia="Times New Roman" w:hAnsi="Times New Roman"/>
          <w:b w:val="1"/>
          <w:bCs w:val="1"/>
          <w:i w:val="1"/>
          <w:iCs w:val="1"/>
          <w:color w:val="000000"/>
          <w:rtl w:val="0"/>
        </w:rPr>
        <w:t xml:space="preserve">solvente técnicamente. </w:t>
      </w:r>
      <w:r w:rsidDel="00000000" w:rsidR="00000000" w:rsidRPr="00000000">
        <w:rPr>
          <w:rFonts w:ascii="Times New Roman" w:cs="Times New Roman" w:eastAsia="Times New Roman" w:hAnsi="Times New Roman"/>
          <w:i w:val="1"/>
          <w:iCs w:val="1"/>
          <w:color w:val="000000"/>
          <w:rtl w:val="0"/>
        </w:rPr>
        <w:t xml:space="preserve">Es cuanto Presidente</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el Presidente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procede adjudicar el contrato, de la Licitación </w:t>
      </w:r>
      <w:r w:rsidDel="00000000" w:rsidR="00000000" w:rsidRPr="00000000">
        <w:rPr>
          <w:rFonts w:ascii="Times New Roman" w:cs="Times New Roman" w:eastAsia="Times New Roman" w:hAnsi="Times New Roman"/>
          <w:b w:val="1"/>
          <w:bCs w:val="1"/>
          <w:rtl w:val="0"/>
        </w:rPr>
        <w:t xml:space="preserve">LPL 085/2/2025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1"/>
          <w:bCs w:val="1"/>
          <w:rtl w:val="0"/>
        </w:rPr>
        <w:t xml:space="preserve"> RINCONCITO EXPRESS S.A. DE C.V.  por un monto total de hasta $1,317,470.00 (Un millón trescientos diecisiete mil cuatrocientos setenta pesos 00/100 M.N.) I.V.A. Incluido, </w:t>
      </w:r>
      <w:r w:rsidDel="00000000" w:rsidR="00000000" w:rsidRPr="00000000">
        <w:rPr>
          <w:rFonts w:ascii="Times New Roman" w:cs="Times New Roman" w:eastAsia="Times New Roman" w:hAnsi="Times New Roman"/>
          <w:rtl w:val="0"/>
        </w:rPr>
        <w:t xml:space="preserve">de la siguiente manera:</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Partida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por un monto de hasta $ 396</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720.00 (Trescientos noventa y seis mil setecientos veinte pesos 00/100 M.N.) I.V.A. Incluido.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Partida 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w:t>
      </w:r>
      <w:r w:rsidDel="00000000" w:rsidR="00000000" w:rsidRPr="00000000">
        <w:rPr>
          <w:rFonts w:ascii="Times New Roman" w:cs="Times New Roman" w:eastAsia="Times New Roman" w:hAnsi="Times New Roman"/>
          <w:rtl w:val="0"/>
        </w:rPr>
        <w:t xml:space="preserve">declara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desierta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Partida 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por un monto de hasta $ 920</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750.00, (Novecientos veinte mil setecientos cincuenta pesos 00/100 M.N.) I.V.A. Incluido.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240" w:lineRule="auto"/>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Adjudicaciones directas para aprobación.</w:t>
      </w:r>
    </w:p>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b w:val="1"/>
          <w:bCs w:val="1"/>
          <w:rtl w:val="0"/>
        </w:rPr>
        <w:t xml:space="preserve">5.1.- </w:t>
      </w:r>
      <w:r w:rsidDel="00000000" w:rsidR="00000000" w:rsidRPr="00000000">
        <w:rPr>
          <w:rFonts w:ascii="Times New Roman" w:cs="Times New Roman" w:eastAsia="Times New Roman" w:hAnsi="Times New Roman"/>
          <w:rtl w:val="0"/>
        </w:rPr>
        <w:t xml:space="preserve">Oficio CGCE/008/2026 - presentado por la Coordinación General de Comunicación Estratégica, referente a Servicios de Difusión de publicidad, en medios de comunicación. Es cuanto presidente».</w:t>
      </w:r>
    </w:p>
    <w:tbl>
      <w:tblPr>
        <w:tblStyle w:val="Table1"/>
        <w:tblW w:w="8818.0" w:type="dxa"/>
        <w:jc w:val="left"/>
        <w:tblLayout w:type="fixed"/>
        <w:tblLook w:val="0400"/>
      </w:tblPr>
      <w:tblGrid>
        <w:gridCol w:w="2803"/>
        <w:gridCol w:w="1862"/>
        <w:gridCol w:w="1737"/>
        <w:gridCol w:w="2416"/>
        <w:tblGridChange w:id="0">
          <w:tblGrid>
            <w:gridCol w:w="2803"/>
            <w:gridCol w:w="1862"/>
            <w:gridCol w:w="1737"/>
            <w:gridCol w:w="2416"/>
          </w:tblGrid>
        </w:tblGridChange>
      </w:tblGrid>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RAZÓN SOCIAL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NOMBRE COMERCIAL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MONTO IVA INCLUIDO.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MONTO EN LETRA</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Televisa, S. de R.L.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Televisa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$8,044,000.00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Ocho millones cuarenta y cuatro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Quiero Media,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Quiero Tv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$5,150,000.00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Cinco millones ciento cincuenta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Tv Azteca, S.A.B.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Tv Azteca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 millones de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Cadena Tres I,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Imagen Tv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Cuatrocientos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Multimedios,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Milenio Tv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Trescientos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Productora y Comercializadora de Televisión,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Megacable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Ochocientos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Osvaldo Alfonso Rojas Avila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Radiorama Deportes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Transmisora Regional Radio Fórmula,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Radio Fórmula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Radio XHDK,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Audiorama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Promomedios de Occidente,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Promomedios Radio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Ochocientos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Stereorey México, S.A.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MVS Radio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Productora ya te vieron,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Tela de Juicio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Servicios Profesionales de Publicidad y Comunicación, S.C.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Cruzando la Línea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Kalispera, S.C.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Pocas Palabras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 Radiocomunicaciones,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Heraldo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Activa del Centro,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Unidifusión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Quinientos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Comercializadora de Radio de Jalisco,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Radiorama de Occidente (DK)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Cuatrocientos cincuenta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Imagen Radio Comercial,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Imagen Radio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Cadena Radiodifusora Mexicana,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Radiópolis (W Radio)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Seiscientos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Página Tres,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Milenio Impreso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Trescientos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Consorcio Interamericano de Comunicación,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Mural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Setecientos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Imágenes de Guadalajara, S.A. de C.V.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Metrópoli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Quinientos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Habilidades de Comunicación, S. de R.L.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Nota de Guadalajara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Grupo de Medios Sator,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Siker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Trescientos cincuenta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Publicaciones Metropolitanas, S.A.P.I.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Publimetro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Agencia Digital,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Milenio web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Ciento cincuenta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Unión Editorialista,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Informador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millón quinientos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 Periodística del Sol de Guadalajara,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Occidental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Editorial Tribuna Libre, S.C.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Conciencia Pública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cincuenta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TZMG Media,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Tráfico ZMG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Ochocientos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Rumbo Publicaciones, S.C.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Respetable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Alfonso Javier Márquez Guirado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Bizarra Política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Tosanliz, S.C.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Quadratín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Trescientos cincuenta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Juan Ramón Díaz Barajas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Mendiga Política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Ramiro Escoto Ratkovich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 Ramiro Escoto Digital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Mario Francisco Galindo Parra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Periodismo Libre de Tlajomulco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Quinientos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Publicidad y Monitoreo de Medios, S.A.S.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Publicidad y Monitoreo de Medios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$835,200.00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Ochocientos treinta y cinco mil doscientos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Reporte Índigo de México,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Reporte Índigo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Juan Felipe González Olmos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Enlace Agropecuario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Cien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Cacomixtle Medios Digitales, S.A. de C.V.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Noticias ZMG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millón doscientos mil pesos 00/100 MN</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Adriana Araceli Romo Garcia de León.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Antena Noticias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$696,000.00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Seiscientos noventa y seis mil pesos 00/100 MN</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 TOTAL: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$31,275,200.00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Treinta y un millones doscientos setenta y cinco mil doscientos pesos 00/100 MN</w:t>
            </w:r>
          </w:p>
        </w:tc>
      </w:tr>
    </w:tbl>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 Presidente</w:t>
      </w:r>
      <w:r w:rsidDel="00000000" w:rsidR="00000000" w:rsidRPr="00000000">
        <w:rPr>
          <w:rFonts w:ascii="Times New Roman" w:cs="Times New Roman" w:eastAsia="Times New Roman" w:hAnsi="Times New Roman"/>
          <w:rtl w:val="0"/>
        </w:rPr>
        <w:t xml:space="preserve"> da el uso de la voz a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quien mencionó, «Se hace la aclaración que los montos de los contratos son abiertos».</w:t>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Asuntos Varios.</w:t>
      </w:r>
    </w:p>
    <w:p w:rsidR="00000000" w:rsidDel="00000000" w:rsidP="00000000" w:rsidRDefault="00000000" w:rsidRPr="00000000" w14:paraId="000000EE">
      <w:pP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Presidente da el uso de la voz la Secretaria Técnica para el desahogo del siguiente punto de la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b w:val="1"/>
          <w:bCs w:val="1"/>
          <w:rtl w:val="0"/>
        </w:rPr>
        <w:t xml:space="preserve">6.1.</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Nota Aclaratoria- En relación con el acta de la Vigésima Quinta Sesión Extraordinaria del Comité de Adquisiciones del Municipio de Tlajomulco de Zúñiga, Jalisco, celebrada el día 21 de noviembre de 2025 dos mil veinticinco, se realiza la presente Nota Aclaratoria a solicitud del área requirente debiendo quedar de la siguiente forma:</w:t>
      </w:r>
    </w:p>
    <w:p w:rsidR="00000000" w:rsidDel="00000000" w:rsidP="00000000" w:rsidRDefault="00000000" w:rsidRPr="00000000" w14:paraId="000000EF">
      <w:pPr>
        <w:spacing w:after="240" w:line="240" w:lineRule="auto"/>
        <w:jc w:val="both"/>
        <w:rPr>
          <w:rFonts w:ascii="Times New Roman" w:cs="Times New Roman" w:eastAsia="Times New Roman" w:hAnsi="Times New Roman"/>
          <w:color w:val="000000"/>
        </w:rPr>
      </w:pPr>
      <w:r w:rsidDel="00000000" w:rsidR="00000000" w:rsidRPr="00000000">
        <w:rPr>
          <w:rtl w:val="0"/>
        </w:rPr>
      </w:r>
    </w:p>
    <w:tbl>
      <w:tblPr>
        <w:tblStyle w:val="Table2"/>
        <w:tblW w:w="8828.0" w:type="dxa"/>
        <w:jc w:val="left"/>
        <w:tblLayout w:type="fixed"/>
        <w:tblLook w:val="0400"/>
      </w:tblPr>
      <w:tblGrid>
        <w:gridCol w:w="4347"/>
        <w:gridCol w:w="4481"/>
        <w:tblGridChange w:id="0">
          <w:tblGrid>
            <w:gridCol w:w="4347"/>
            <w:gridCol w:w="44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spacing w:after="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DICE:</w:t>
            </w:r>
            <w:r w:rsidDel="00000000" w:rsidR="00000000" w:rsidRPr="00000000">
              <w:rPr>
                <w:rtl w:val="0"/>
              </w:rPr>
            </w:r>
          </w:p>
          <w:p w:rsidR="00000000" w:rsidDel="00000000" w:rsidP="00000000" w:rsidRDefault="00000000" w:rsidRPr="00000000" w14:paraId="000000F1">
            <w:pPr>
              <w:spacing w:after="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RAZÓN SOCIAL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spacing w:after="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DEBE DECIR:</w:t>
            </w:r>
            <w:r w:rsidDel="00000000" w:rsidR="00000000" w:rsidRPr="00000000">
              <w:rPr>
                <w:rtl w:val="0"/>
              </w:rPr>
            </w:r>
          </w:p>
          <w:p w:rsidR="00000000" w:rsidDel="00000000" w:rsidP="00000000" w:rsidRDefault="00000000" w:rsidRPr="00000000" w14:paraId="000000F3">
            <w:pPr>
              <w:spacing w:after="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RAZÓN SOCIAL</w:t>
            </w: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F4">
            <w:pPr>
              <w:spacing w:after="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4. CONSTRUSERVICIOS FS S.A. DE C.V.</w:t>
            </w:r>
            <w:r w:rsidDel="00000000" w:rsidR="00000000" w:rsidRPr="00000000">
              <w:rPr>
                <w:rtl w:val="0"/>
              </w:rPr>
            </w:r>
          </w:p>
          <w:p w:rsidR="00000000" w:rsidDel="00000000" w:rsidP="00000000" w:rsidRDefault="00000000" w:rsidRPr="00000000" w14:paraId="000000F5">
            <w:pPr>
              <w:spacing w:after="24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F6">
            <w:pPr>
              <w:spacing w:after="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4. BAROLO CONSTRUCTORES S.A. DE CV.</w:t>
            </w:r>
            <w:r w:rsidDel="00000000" w:rsidR="00000000" w:rsidRPr="00000000">
              <w:rPr>
                <w:rtl w:val="0"/>
              </w:rPr>
            </w:r>
          </w:p>
          <w:p w:rsidR="00000000" w:rsidDel="00000000" w:rsidP="00000000" w:rsidRDefault="00000000" w:rsidRPr="00000000" w14:paraId="000000F7">
            <w:pPr>
              <w:spacing w:after="24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F8">
            <w:pPr>
              <w:spacing w:after="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6. MAJIZA CONSTRUCTORA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0F9">
            <w:pPr>
              <w:spacing w:after="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6. MAJINZA, S.A. DE C.V.</w:t>
            </w:r>
            <w:r w:rsidDel="00000000" w:rsidR="00000000" w:rsidRPr="00000000">
              <w:rPr>
                <w:rtl w:val="0"/>
              </w:rPr>
            </w:r>
          </w:p>
        </w:tc>
      </w:tr>
    </w:tbl>
    <w:p w:rsidR="00000000" w:rsidDel="00000000" w:rsidP="00000000" w:rsidRDefault="00000000" w:rsidRPr="00000000" w14:paraId="000000FA">
      <w:pPr>
        <w:spacing w:after="24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spacing w:after="240" w:line="240" w:lineRule="auto"/>
        <w:jc w:val="both"/>
        <w:rPr>
          <w:rFonts w:ascii="Times New Roman" w:cs="Times New Roman" w:eastAsia="Times New Roman" w:hAnsi="Times New Roman"/>
          <w:color w:val="000000"/>
        </w:rPr>
      </w:pPr>
      <w:bookmarkStart w:colFirst="0" w:colLast="0" w:name="_heading=h.fevoo1rypc5h" w:id="5"/>
      <w:bookmarkEnd w:id="5"/>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pregunta si existiese algún asunto más por tratar y al no existir ninguno pasa al siguiente punto de la orden del día</w:t>
      </w:r>
    </w:p>
    <w:p w:rsidR="00000000" w:rsidDel="00000000" w:rsidP="00000000" w:rsidRDefault="00000000" w:rsidRPr="00000000" w14:paraId="000000FC">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Clausura.</w:t>
      </w:r>
    </w:p>
    <w:p w:rsidR="00000000" w:rsidDel="00000000" w:rsidP="00000000" w:rsidRDefault="00000000" w:rsidRPr="00000000" w14:paraId="000000F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09:45 nueve horas con </w:t>
      </w:r>
      <w:r w:rsidDel="00000000" w:rsidR="00000000" w:rsidRPr="00000000">
        <w:rPr>
          <w:rFonts w:ascii="Times New Roman" w:cs="Times New Roman" w:eastAsia="Times New Roman" w:hAnsi="Times New Roman"/>
          <w:highlight w:val="white"/>
          <w:rtl w:val="0"/>
        </w:rPr>
        <w:t xml:space="preserve">cuarenta y cinco minutos, del jueves 22 veintidós de enero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FE">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b w:val="1"/>
          <w:bCs w:val="1"/>
        </w:rPr>
      </w:pPr>
      <w:bookmarkStart w:colFirst="0" w:colLast="0" w:name="_heading=h.q8234qquag6n" w:id="6"/>
      <w:bookmarkEnd w:id="6"/>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Perez.</w:t>
      </w:r>
    </w:p>
    <w:p w:rsidR="00000000" w:rsidDel="00000000" w:rsidP="00000000" w:rsidRDefault="00000000" w:rsidRPr="00000000" w14:paraId="00000118">
      <w:pPr>
        <w:spacing w:after="0" w:line="240" w:lineRule="auto"/>
        <w:rPr>
          <w:rFonts w:ascii="Times New Roman" w:cs="Times New Roman" w:eastAsia="Times New Roman" w:hAnsi="Times New Roman"/>
        </w:rPr>
      </w:pPr>
      <w:bookmarkStart w:colFirst="0" w:colLast="0" w:name="_heading=h.78f4m0odpnn6" w:id="7"/>
      <w:bookmarkEnd w:id="7"/>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Edgar Fernando Flores Mora</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Lizbeth Santillan Regalado Gonzalez </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Hugo Enrique Verduzco Sánchez</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voz:</w:t>
      </w:r>
    </w:p>
    <w:p w:rsidR="00000000" w:rsidDel="00000000" w:rsidP="00000000" w:rsidRDefault="00000000" w:rsidRPr="00000000" w14:paraId="0000015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Jorge Armando Ortíz Tafoya  </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15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La presente hoja de firmas forma parte integral del Acta de la Segunda Sesión Ordinaria del Comité de Adquisiciones del Municipio de Tlajomulco de Zúñiga, Jalisco del día 22 de enero de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9">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10" w:customStyle="1">
    <w:name w:val="TableNormal10"/>
    <w:tblPr>
      <w:tblCellMar>
        <w:top w:w="100.0" w:type="dxa"/>
        <w:left w:w="100.0" w:type="dxa"/>
        <w:bottom w:w="100.0" w:type="dxa"/>
        <w:right w:w="100.0" w:type="dxa"/>
      </w:tblCellMar>
    </w:tblPr>
  </w:style>
  <w:style w:type="table" w:styleId="TableNormal9" w:customStyle="1">
    <w:name w:val="TableNormal9"/>
    <w:tblPr>
      <w:tblCellMar>
        <w:top w:w="100.0" w:type="dxa"/>
        <w:left w:w="100.0" w:type="dxa"/>
        <w:bottom w:w="100.0" w:type="dxa"/>
        <w:right w:w="100.0" w:type="dxa"/>
      </w:tblCellMar>
    </w:tblPr>
  </w:style>
  <w:style w:type="table" w:styleId="TableNormal8" w:customStyle="1">
    <w:name w:val="TableNormal8"/>
    <w:tblPr>
      <w:tblCellMar>
        <w:top w:w="100.0" w:type="dxa"/>
        <w:left w:w="100.0" w:type="dxa"/>
        <w:bottom w:w="100.0" w:type="dxa"/>
        <w:right w:w="100.0" w:type="dxa"/>
      </w:tblCellMar>
    </w:tblPr>
  </w:style>
  <w:style w:type="table" w:styleId="TableNormal7" w:customStyle="1">
    <w:name w:val="TableNormal7"/>
    <w:tblPr>
      <w:tblCellMar>
        <w:top w:w="100.0" w:type="dxa"/>
        <w:left w:w="100.0" w:type="dxa"/>
        <w:bottom w:w="100.0" w:type="dxa"/>
        <w:right w:w="100.0" w:type="dxa"/>
      </w:tblCellMar>
    </w:tblPr>
  </w:style>
  <w:style w:type="table" w:styleId="TableNormal6" w:customStyle="1">
    <w:name w:val="TableNormal6"/>
    <w:tblPr>
      <w:tblCellMar>
        <w:top w:w="100.0" w:type="dxa"/>
        <w:left w:w="100.0" w:type="dxa"/>
        <w:bottom w:w="100.0" w:type="dxa"/>
        <w:right w:w="100.0" w:type="dxa"/>
      </w:tblCellMar>
    </w:tblPr>
  </w:style>
  <w:style w:type="table" w:styleId="TableNormal5" w:customStyle="1">
    <w:name w:val="TableNormal5"/>
    <w:tblPr>
      <w:tblCellMar>
        <w:top w:w="0.0" w:type="dxa"/>
        <w:left w:w="0.0" w:type="dxa"/>
        <w:bottom w:w="0.0" w:type="dxa"/>
        <w:right w:w="0.0" w:type="dxa"/>
      </w:tblCellMar>
    </w:tblPr>
  </w:style>
  <w:style w:type="table" w:styleId="TableNormal4" w:customStyle="1">
    <w:name w:val="TableNormal4"/>
    <w:tblPr>
      <w:tblCellMar>
        <w:top w:w="0.0" w:type="dxa"/>
        <w:left w:w="0.0" w:type="dxa"/>
        <w:bottom w:w="0.0" w:type="dxa"/>
        <w:right w:w="0.0" w:type="dxa"/>
      </w:tblCellMar>
    </w:tblPr>
  </w:style>
  <w:style w:type="table" w:styleId="TableNormal3" w:customStyle="1">
    <w:name w:val="TableNormal3"/>
    <w:tblPr>
      <w:tblCellMar>
        <w:top w:w="0.0" w:type="dxa"/>
        <w:left w:w="0.0" w:type="dxa"/>
        <w:bottom w:w="0.0" w:type="dxa"/>
        <w:right w:w="0.0" w:type="dxa"/>
      </w:tblCellMar>
    </w:tblPr>
  </w:style>
  <w:style w:type="table" w:styleId="TableNormal2" w:customStyle="1">
    <w:name w:val="TableNormal2"/>
    <w:tblPr>
      <w:tblCellMar>
        <w:top w:w="0.0" w:type="dxa"/>
        <w:left w:w="0.0" w:type="dxa"/>
        <w:bottom w:w="0.0" w:type="dxa"/>
        <w:right w:w="0.0" w:type="dxa"/>
      </w:tblCellMar>
    </w:tblPr>
  </w:style>
  <w:style w:type="table" w:styleId="TableNormal11" w:customStyle="1">
    <w:name w:val="TableNormal1"/>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Fuerte">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Mencinsinresolver">
    <w:name w:val="Unresolved Mention"/>
    <w:basedOn w:val="Fuentedeprrafopredeter"/>
    <w:uiPriority w:val="99"/>
    <w:semiHidden w:val="1"/>
    <w:unhideWhenUsed w:val="1"/>
    <w:rsid w:val="00EC2142"/>
    <w:rPr>
      <w:color w:val="605e5c"/>
      <w:shd w:color="auto" w:fill="e1dfdd" w:val="clear"/>
    </w:rPr>
  </w:style>
  <w:style w:type="table" w:styleId="2" w:customStyle="1">
    <w:name w:val="2"/>
    <w:basedOn w:val="TableNormal8"/>
    <w:tblPr>
      <w:tblStyleRowBandSize w:val="1"/>
      <w:tblStyleColBandSize w:val="1"/>
      <w:tblCellMar>
        <w:top w:w="15.0" w:type="dxa"/>
        <w:left w:w="15.0" w:type="dxa"/>
        <w:bottom w:w="15.0" w:type="dxa"/>
        <w:right w:w="15.0" w:type="dxa"/>
      </w:tblCellMar>
    </w:tblPr>
  </w:style>
  <w:style w:type="table" w:styleId="1" w:customStyle="1">
    <w:name w:val="1"/>
    <w:basedOn w:val="TableNormal8"/>
    <w:tblPr>
      <w:tblStyleRowBandSize w:val="1"/>
      <w:tblStyleColBandSize w:val="1"/>
      <w:tblCellMar>
        <w:top w:w="15.0" w:type="dxa"/>
        <w:left w:w="15.0" w:type="dxa"/>
        <w:bottom w:w="15.0" w:type="dxa"/>
        <w:right w:w="15.0" w:type="dxa"/>
      </w:tblCellMar>
    </w:tblPr>
  </w:style>
  <w:style w:type="table" w:styleId="Tablaconcuadrcula1" w:customStyle="1">
    <w:name w:val="Tabla con cuadrícula1"/>
    <w:basedOn w:val="Tablanormal"/>
    <w:next w:val="Tablaconcuadrcula"/>
    <w:uiPriority w:val="39"/>
    <w:rsid w:val="00EA5975"/>
    <w:pPr>
      <w:spacing w:after="0" w:line="240" w:lineRule="auto"/>
    </w:pPr>
    <w:rPr>
      <w:rFonts w:ascii="Calibri" w:cs="Calibri" w:eastAsia="Calibri" w:hAnsi="Calibri"/>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NXcZSht7TO/Aeylh1HQ31n1Jw==">CgMxLjAyDmgudXlibXYyOXlwcGQ5Mg5oLmhjZmNodW4yenRrdDIOaC5jaHR0aDNqMDdtYmUyDmgubXRnaHR1bWM1dGk3Mg5oLmRicGs4aG1hcXJqejIOaC5mZXZvbzFyeXBjNWgyDmgucTgyMzRxcXVhZzZuMg5oLjc4ZjRtMG9kcG5uNjgAciExUFE5RHNCQXdaazBxREFvQ0JNNzR6ZzlzNldUSldhbGg=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2026-02-03T18:53:00Z</dcterms:created>
  <dc:creator>ALEJANDRA JUAREZ</dc:creator>
</cp:coreProperties>
</file>