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8" w:hanging="3.0000000000000004"/>
        <w:jc w:val="left"/>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2">
      <w:pPr>
        <w:spacing w:after="0" w:line="240" w:lineRule="auto"/>
        <w:ind w:left="-8" w:hanging="3.000000000000000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Acta de la Primera Sesión Extraordinaria del Comité de Adquisiciones de Tlajomulco de Zúñiga, Jalisco, celebrada el día 20 veinte de febrero de 2026 dos mil veintiséis.</w:t>
      </w:r>
      <w:r w:rsidDel="00000000" w:rsidR="00000000" w:rsidRPr="00000000">
        <w:rPr>
          <w:rtl w:val="0"/>
        </w:rPr>
      </w:r>
    </w:p>
    <w:p w:rsidR="00000000" w:rsidDel="00000000" w:rsidP="00000000" w:rsidRDefault="00000000" w:rsidRPr="00000000" w14:paraId="0000000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Se lleva a cabo de manera virtual, la</w:t>
      </w:r>
      <w:r w:rsidDel="00000000" w:rsidR="00000000" w:rsidRPr="00000000">
        <w:rPr>
          <w:rFonts w:ascii="Times New Roman" w:cs="Times New Roman" w:eastAsia="Times New Roman" w:hAnsi="Times New Roman"/>
          <w:b w:val="1"/>
          <w:bCs w:val="1"/>
          <w:color w:val="000000"/>
          <w:rtl w:val="0"/>
        </w:rPr>
        <w:t xml:space="preserve"> Primera Sesión con carácter de Extraordinaria </w:t>
      </w:r>
      <w:r w:rsidDel="00000000" w:rsidR="00000000" w:rsidRPr="00000000">
        <w:rPr>
          <w:rFonts w:ascii="Times New Roman" w:cs="Times New Roman" w:eastAsia="Times New Roman" w:hAnsi="Times New Roman"/>
          <w:color w:val="000000"/>
          <w:rtl w:val="0"/>
        </w:rPr>
        <w:t xml:space="preserve">del Comité de Adquisiciones de Tlajomulco de Zúñiga, Jalisco, mediante la plataforma </w:t>
      </w:r>
      <w:r w:rsidDel="00000000" w:rsidR="00000000" w:rsidRPr="00000000">
        <w:rPr>
          <w:rFonts w:ascii="Times New Roman" w:cs="Times New Roman" w:eastAsia="Times New Roman" w:hAnsi="Times New Roman"/>
          <w:i w:val="1"/>
          <w:iCs w:val="1"/>
          <w:color w:val="000000"/>
          <w:rtl w:val="0"/>
        </w:rPr>
        <w:t xml:space="preserve">Google Meet,</w:t>
      </w:r>
      <w:r w:rsidDel="00000000" w:rsidR="00000000" w:rsidRPr="00000000">
        <w:rPr>
          <w:rFonts w:ascii="Times New Roman" w:cs="Times New Roman" w:eastAsia="Times New Roman" w:hAnsi="Times New Roman"/>
          <w:color w:val="000000"/>
          <w:rtl w:val="0"/>
        </w:rPr>
        <w:t xml:space="preserve"> con fundamento en lo dispuesto por el artículo 28 numeral 2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color w:val="000000"/>
          <w:rtl w:val="0"/>
        </w:rPr>
        <w:t xml:space="preserve">el día 20 veinte de febrero de 2026, convocada y presidida por el Ingeniero José Rafael Martínez Valencia, en su carácter de representante del Presidente del Comité de Adquisiciones y en la que actuó como Secretaria Técnica de la sesión, la C. Perla Yolanda Urzúa Virgen.</w:t>
      </w:r>
      <w:r w:rsidDel="00000000" w:rsidR="00000000" w:rsidRPr="00000000">
        <w:rPr>
          <w:rtl w:val="0"/>
        </w:rPr>
      </w:r>
    </w:p>
    <w:p w:rsidR="00000000" w:rsidDel="00000000" w:rsidP="00000000" w:rsidRDefault="00000000" w:rsidRPr="00000000" w14:paraId="00000005">
      <w:pPr>
        <w:spacing w:after="0" w:line="240" w:lineRule="auto"/>
        <w:ind w:left="-6" w:hanging="2.0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6">
      <w:pPr>
        <w:spacing w:after="0" w:line="240" w:lineRule="auto"/>
        <w:ind w:left="71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u w:val="single"/>
          <w:rtl w:val="0"/>
        </w:rPr>
        <w:t xml:space="preserve">I.- Lista de asistencia y declaración de quórum legal.</w:t>
      </w:r>
      <w:r w:rsidDel="00000000" w:rsidR="00000000" w:rsidRPr="00000000">
        <w:rPr>
          <w:rtl w:val="0"/>
        </w:rPr>
      </w:r>
    </w:p>
    <w:p w:rsidR="00000000" w:rsidDel="00000000" w:rsidP="00000000" w:rsidRDefault="00000000" w:rsidRPr="00000000" w14:paraId="00000007">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ab/>
        <w:t xml:space="preserve">Al inicio de la Sesión y de conformidad a lo previsto por el artículo 25 y 30 numeral 1 fracción I, de la Ley de Compras Gubernamentales, Enajenaciones y Contratación de Servicios del Estado de Jalisco y sus Municipios, la Secretaria Técnica,  Perla Yolanda Urzúa Virgen dio inicio con la lista de asistencia y habiéndose procedido a ello, se dio fe de la presencia de las y los ciudadanos; Ingeniero José Rafael Martínez Valencia, representante del Presidente del Comité de Adquisiciones </w:t>
      </w:r>
      <w:r w:rsidDel="00000000" w:rsidR="00000000" w:rsidRPr="00000000">
        <w:rPr>
          <w:rFonts w:ascii="Times New Roman" w:cs="Times New Roman" w:eastAsia="Times New Roman" w:hAnsi="Times New Roman"/>
          <w:color w:val="000000"/>
          <w:highlight w:val="white"/>
          <w:rtl w:val="0"/>
        </w:rPr>
        <w:t xml:space="preserve">de Tlajomulco de Zúñiga, Jalisco; </w:t>
      </w:r>
      <w:r w:rsidDel="00000000" w:rsidR="00000000" w:rsidRPr="00000000">
        <w:rPr>
          <w:rFonts w:ascii="Times New Roman" w:cs="Times New Roman" w:eastAsia="Times New Roman" w:hAnsi="Times New Roman"/>
          <w:color w:val="000000"/>
          <w:rtl w:val="0"/>
        </w:rPr>
        <w:t xml:space="preserve">Licenciado Marco Antonio Parra Pérez, representante de Sindicatura Municipal; Oscar Esteban Delgado Enríquez, representante de la Oficialía Mayor Administrativa; Licenciada Adriana Santiago  González, representante de la Tesorería Municipal; Licenciado Edgar Fernando Flores Mora, representante de la Cámara Nacional de Comercio, Servicios y Turismo de Guadalajara; Ingeniero Omar Palafox Sáenz, representante del Consejo de Desarrollo Agropecuario y Agroindustrial de Jalisco; Ingeniero Luis Alfonso de Santiago García, representante del Consejo de Cámaras Industriales de Jalisco; Maestro Gerardo Esteban Sánchez González, representante de la Coordinación General de Potencia Económica; Ingeniero Manuel Ledezma Esparza, Representante de la Dirección de Desarrollo Rural y acompañándonos el Maestro Jorge Armando Ortiz Tafoya, representante del Órgano Interno de Control.</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ind w:left="-6" w:hanging="2.0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Acto seguido, la </w:t>
      </w:r>
      <w:r w:rsidDel="00000000" w:rsidR="00000000" w:rsidRPr="00000000">
        <w:rPr>
          <w:rFonts w:ascii="Times New Roman" w:cs="Times New Roman" w:eastAsia="Times New Roman" w:hAnsi="Times New Roman"/>
          <w:b w:val="1"/>
          <w:bCs w:val="1"/>
          <w:color w:val="000000"/>
          <w:rtl w:val="0"/>
        </w:rPr>
        <w:t xml:space="preserve">Secretaria Técnica</w:t>
      </w:r>
      <w:r w:rsidDel="00000000" w:rsidR="00000000" w:rsidRPr="00000000">
        <w:rPr>
          <w:rFonts w:ascii="Times New Roman" w:cs="Times New Roman" w:eastAsia="Times New Roman" w:hAnsi="Times New Roman"/>
          <w:color w:val="000000"/>
          <w:rtl w:val="0"/>
        </w:rPr>
        <w:t xml:space="preserve"> comunicó al </w:t>
      </w:r>
      <w:r w:rsidDel="00000000" w:rsidR="00000000" w:rsidRPr="00000000">
        <w:rPr>
          <w:rFonts w:ascii="Times New Roman" w:cs="Times New Roman" w:eastAsia="Times New Roman" w:hAnsi="Times New Roman"/>
          <w:b w:val="1"/>
          <w:bCs w:val="1"/>
          <w:color w:val="000000"/>
          <w:rtl w:val="0"/>
        </w:rPr>
        <w:t xml:space="preserve">Presidente</w:t>
      </w:r>
      <w:r w:rsidDel="00000000" w:rsidR="00000000" w:rsidRPr="00000000">
        <w:rPr>
          <w:rFonts w:ascii="Times New Roman" w:cs="Times New Roman" w:eastAsia="Times New Roman" w:hAnsi="Times New Roman"/>
          <w:color w:val="000000"/>
          <w:rtl w:val="0"/>
        </w:rPr>
        <w:t xml:space="preserve"> la existencia de quórum.</w:t>
      </w: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ind w:left="-6" w:hanging="2.0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ab/>
        <w:t xml:space="preserve">Estando presentes los integrantes,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declaró la existencia de quórum y en cumplimiento con el artículo 28 numeral 4 cuarto de la Ley, siendo </w:t>
      </w:r>
      <w:r w:rsidDel="00000000" w:rsidR="00000000" w:rsidRPr="00000000">
        <w:rPr>
          <w:rFonts w:ascii="Times New Roman" w:cs="Times New Roman" w:eastAsia="Times New Roman" w:hAnsi="Times New Roman"/>
          <w:b w:val="1"/>
          <w:bCs w:val="1"/>
          <w:color w:val="000000"/>
          <w:rtl w:val="0"/>
        </w:rPr>
        <w:t xml:space="preserve">las 09:08 nueve horas con ocho minutos</w:t>
      </w:r>
      <w:r w:rsidDel="00000000" w:rsidR="00000000" w:rsidRPr="00000000">
        <w:rPr>
          <w:rFonts w:ascii="Times New Roman" w:cs="Times New Roman" w:eastAsia="Times New Roman" w:hAnsi="Times New Roman"/>
          <w:color w:val="000000"/>
          <w:rtl w:val="0"/>
        </w:rPr>
        <w:t xml:space="preserve">, se inicia la Primera Sesión Extraordinaria celebrada el día viernes 20 veinte de febrero del año 2026 dos mil veintiséis, declarándose legalmente instalada y considerándose válidos los acuerdos que en ella se tomen en los términos de la normatividad aplicable.</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ind w:left="-6" w:hanging="2.0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Dando continuidad a la sesión la </w:t>
      </w:r>
      <w:r w:rsidDel="00000000" w:rsidR="00000000" w:rsidRPr="00000000">
        <w:rPr>
          <w:rFonts w:ascii="Times New Roman" w:cs="Times New Roman" w:eastAsia="Times New Roman" w:hAnsi="Times New Roman"/>
          <w:b w:val="1"/>
          <w:bCs w:val="1"/>
          <w:color w:val="000000"/>
          <w:rtl w:val="0"/>
        </w:rPr>
        <w:t xml:space="preserve">Secretaria Técnica </w:t>
      </w:r>
      <w:r w:rsidDel="00000000" w:rsidR="00000000" w:rsidRPr="00000000">
        <w:rPr>
          <w:rFonts w:ascii="Times New Roman" w:cs="Times New Roman" w:eastAsia="Times New Roman" w:hAnsi="Times New Roman"/>
          <w:color w:val="000000"/>
          <w:rtl w:val="0"/>
        </w:rPr>
        <w:t xml:space="preserve">dio lectura al segundo punto. </w:t>
      </w:r>
      <w:r w:rsidDel="00000000" w:rsidR="00000000" w:rsidRPr="00000000">
        <w:rPr>
          <w:rtl w:val="0"/>
        </w:rPr>
      </w:r>
    </w:p>
    <w:p w:rsidR="00000000" w:rsidDel="00000000" w:rsidP="00000000" w:rsidRDefault="00000000" w:rsidRPr="00000000" w14:paraId="0000000F">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ind w:left="-6" w:hanging="2.00000000000000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u w:val="single"/>
          <w:rtl w:val="0"/>
        </w:rPr>
        <w:t xml:space="preserve">II.- Lectura y en su caso Aprobación del Orden del Día.</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ORDEN DEL DÍA</w:t>
      </w: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1.- Lista de asistencia y declaración de quórum legal.</w:t>
      </w: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Lectura y en su caso aprobación del Orden del Día. </w:t>
      </w:r>
    </w:p>
    <w:p w:rsidR="00000000" w:rsidDel="00000000" w:rsidP="00000000" w:rsidRDefault="00000000" w:rsidRPr="00000000" w14:paraId="00000015">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Lectura y en su caso aprobación de Actas de Sesión.</w:t>
      </w:r>
    </w:p>
    <w:p w:rsidR="00000000" w:rsidDel="00000000" w:rsidP="00000000" w:rsidRDefault="00000000" w:rsidRPr="00000000" w14:paraId="00000016">
      <w:pPr>
        <w:spacing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 Acta de la Segunda Sesión Ordinaria del Comité de Adquisiciones de Tlajomulco de Zúñiga, Jalisco, celebrada el día 22 veintidós de enero de 2026 dos mil veintiséis.</w:t>
      </w:r>
    </w:p>
    <w:p w:rsidR="00000000" w:rsidDel="00000000" w:rsidP="00000000" w:rsidRDefault="00000000" w:rsidRPr="00000000" w14:paraId="00000017">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Presentación y en su caso aprobación de Bases de Licitación</w:t>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ab/>
        <w:t xml:space="preserve">4.1.- LPL 04/2026 – Servicio de Producción Audiovisual. </w:t>
      </w:r>
      <w:r w:rsidDel="00000000" w:rsidR="00000000" w:rsidRPr="00000000">
        <w:rPr>
          <w:rtl w:val="0"/>
        </w:rPr>
      </w:r>
    </w:p>
    <w:p w:rsidR="00000000" w:rsidDel="00000000" w:rsidP="00000000" w:rsidRDefault="00000000" w:rsidRPr="00000000" w14:paraId="00000019">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4.2.- LPL 06/2026 – Diseño de Campañas de Comunicación Electrónica. </w:t>
      </w:r>
      <w:r w:rsidDel="00000000" w:rsidR="00000000" w:rsidRPr="00000000">
        <w:rPr>
          <w:rtl w:val="0"/>
        </w:rPr>
      </w:r>
    </w:p>
    <w:p w:rsidR="00000000" w:rsidDel="00000000" w:rsidP="00000000" w:rsidRDefault="00000000" w:rsidRPr="00000000" w14:paraId="0000001A">
      <w:pPr>
        <w:spacing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 LPL 07/2026 – Servicio de Intermediación Redes Sociales.</w:t>
      </w:r>
    </w:p>
    <w:p w:rsidR="00000000" w:rsidDel="00000000" w:rsidP="00000000" w:rsidRDefault="00000000" w:rsidRPr="00000000" w14:paraId="0000001B">
      <w:pPr>
        <w:spacing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4.4.- LPL 08/2026 – Servicio de Imagen Institucional.</w:t>
      </w:r>
    </w:p>
    <w:p w:rsidR="00000000" w:rsidDel="00000000" w:rsidP="00000000" w:rsidRDefault="00000000" w:rsidRPr="00000000" w14:paraId="0000001C">
      <w:pPr>
        <w:spacing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4.5.- LPL 10/2026 – Cobre Ionizado.</w:t>
      </w:r>
    </w:p>
    <w:p w:rsidR="00000000" w:rsidDel="00000000" w:rsidP="00000000" w:rsidRDefault="00000000" w:rsidRPr="00000000" w14:paraId="0000001D">
      <w:pPr>
        <w:spacing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4.6.- LPL 12/2026 – Mobiliario para Proyecto Chulavista.</w:t>
      </w:r>
    </w:p>
    <w:p w:rsidR="00000000" w:rsidDel="00000000" w:rsidP="00000000" w:rsidRDefault="00000000" w:rsidRPr="00000000" w14:paraId="0000001E">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4.7.- LPN 01/2026 – Arrendamiento de Helicóptero. </w:t>
      </w: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5.- Adjudicaciones directas para aprobación.   </w:t>
      </w: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5.1.- Oficio JACPPMTZ/0086/2026 – Comisaría de la Policía Preventiva Municipal.</w:t>
      </w:r>
    </w:p>
    <w:p w:rsidR="00000000" w:rsidDel="00000000" w:rsidP="00000000" w:rsidRDefault="00000000" w:rsidRPr="00000000" w14:paraId="00000021">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Adjudicaciones directas informativas.</w:t>
      </w:r>
    </w:p>
    <w:p w:rsidR="00000000" w:rsidDel="00000000" w:rsidP="00000000" w:rsidRDefault="00000000" w:rsidRPr="00000000" w14:paraId="00000022">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6.1.- Oficio CGIIS/023/2026 – Coordinación General de Inteligencia e Innovación Social – Renovación derecho de usos de licencia y Software del sistema CALIPSO.</w:t>
      </w:r>
    </w:p>
    <w:p w:rsidR="00000000" w:rsidDel="00000000" w:rsidP="00000000" w:rsidRDefault="00000000" w:rsidRPr="00000000" w14:paraId="00000023">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6.2.- Oficio DAPIH/0213-03/2026 – Dirección de Agua Potable e Infraestructura Hidráulica.</w:t>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7.- Asuntos Varios.</w:t>
      </w: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8.- Clausura.</w:t>
      </w: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w:t>
      </w:r>
      <w:r w:rsidDel="00000000" w:rsidR="00000000" w:rsidRPr="00000000">
        <w:rPr>
          <w:rFonts w:ascii="Times New Roman" w:cs="Times New Roman" w:eastAsia="Times New Roman" w:hAnsi="Times New Roman"/>
          <w:color w:val="000000"/>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u w:val="single"/>
          <w:rtl w:val="0"/>
        </w:rPr>
        <w:t xml:space="preserve">III. – Lectura y en su caso aprobación de Actas de Sesión.</w:t>
      </w: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 3.1.- Acta de la Segunda Sesión Ordinaria del Comité de Adquisiciones de Tlajomulco de Zúñiga, Jalisco, celebrada el día 22 veintidós de enero de 2026 dos mil veintiséis. Es cuanto</w:t>
      </w:r>
      <w:r w:rsidDel="00000000" w:rsidR="00000000" w:rsidRPr="00000000">
        <w:rPr>
          <w:rFonts w:ascii="Times New Roman" w:cs="Times New Roman" w:eastAsia="Times New Roman" w:hAnsi="Times New Roman"/>
          <w:b w:val="1"/>
          <w:bCs w:val="1"/>
          <w:i w:val="1"/>
          <w:iCs w:val="1"/>
          <w:color w:val="000000"/>
          <w:rtl w:val="0"/>
        </w:rPr>
        <w:t xml:space="preserve">».</w:t>
      </w:r>
    </w:p>
    <w:p w:rsidR="00000000" w:rsidDel="00000000" w:rsidP="00000000" w:rsidRDefault="00000000" w:rsidRPr="00000000" w14:paraId="0000002B">
      <w:pPr>
        <w:spacing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w:t>
      </w:r>
      <w:r w:rsidDel="00000000" w:rsidR="00000000" w:rsidRPr="00000000">
        <w:rPr>
          <w:rFonts w:ascii="Times New Roman" w:cs="Times New Roman" w:eastAsia="Times New Roman" w:hAnsi="Times New Roman"/>
          <w:color w:val="000000"/>
          <w:rtl w:val="0"/>
        </w:rPr>
        <w:t xml:space="preserve"> pone a su consideración la </w:t>
      </w:r>
      <w:r w:rsidDel="00000000" w:rsidR="00000000" w:rsidRPr="00000000">
        <w:rPr>
          <w:rFonts w:ascii="Times New Roman" w:cs="Times New Roman" w:eastAsia="Times New Roman" w:hAnsi="Times New Roman"/>
          <w:b w:val="1"/>
          <w:bCs w:val="1"/>
          <w:color w:val="000000"/>
          <w:rtl w:val="0"/>
        </w:rPr>
        <w:t xml:space="preserve">Dispensa de la Lectura</w:t>
      </w:r>
      <w:r w:rsidDel="00000000" w:rsidR="00000000" w:rsidRPr="00000000">
        <w:rPr>
          <w:rFonts w:ascii="Times New Roman" w:cs="Times New Roman" w:eastAsia="Times New Roman" w:hAnsi="Times New Roman"/>
          <w:color w:val="000000"/>
          <w:rtl w:val="0"/>
        </w:rPr>
        <w:t xml:space="preserve"> del punto anteriormente mencionado y al no existir observación alguna se procede a la votación nominal y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w:t>
      </w:r>
      <w:r w:rsidDel="00000000" w:rsidR="00000000" w:rsidRPr="00000000">
        <w:rPr>
          <w:rFonts w:ascii="Times New Roman" w:cs="Times New Roman" w:eastAsia="Times New Roman" w:hAnsi="Times New Roman"/>
          <w:b w:val="1"/>
          <w:bCs w:val="1"/>
          <w:color w:val="000000"/>
          <w:rtl w:val="0"/>
        </w:rPr>
        <w:t xml:space="preserve"> el contenido del acta </w:t>
      </w:r>
      <w:r w:rsidDel="00000000" w:rsidR="00000000" w:rsidRPr="00000000">
        <w:rPr>
          <w:rFonts w:ascii="Times New Roman" w:cs="Times New Roman" w:eastAsia="Times New Roman" w:hAnsi="Times New Roman"/>
          <w:color w:val="000000"/>
          <w:rtl w:val="0"/>
        </w:rPr>
        <w:t xml:space="preserve">antes mencionada y al no existir alguna observación se procede a la votación nominal y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b w:val="1"/>
          <w:bCs w:val="1"/>
          <w:color w:val="000000"/>
          <w:u w:val="single"/>
        </w:rPr>
      </w:pPr>
      <w:r w:rsidDel="00000000" w:rsidR="00000000" w:rsidRPr="00000000">
        <w:rPr>
          <w:rtl w:val="0"/>
        </w:rPr>
      </w:r>
    </w:p>
    <w:p w:rsidR="00000000" w:rsidDel="00000000" w:rsidP="00000000" w:rsidRDefault="00000000" w:rsidRPr="00000000" w14:paraId="0000002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u w:val="single"/>
          <w:rtl w:val="0"/>
        </w:rPr>
        <w:t xml:space="preserve">IV. - Presentación y en su caso aprobación de Bases de licitación.</w:t>
      </w: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 </w:t>
      </w:r>
      <w:r w:rsidDel="00000000" w:rsidR="00000000" w:rsidRPr="00000000">
        <w:rPr>
          <w:rFonts w:ascii="Times New Roman" w:cs="Times New Roman" w:eastAsia="Times New Roman" w:hAnsi="Times New Roman"/>
          <w:b w:val="1"/>
          <w:bCs w:val="1"/>
          <w:i w:val="1"/>
          <w:iCs w:val="1"/>
          <w:color w:val="000000"/>
          <w:rtl w:val="0"/>
        </w:rPr>
        <w:t xml:space="preserve">4.1.-</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LPL 04/2026</w:t>
      </w:r>
      <w:r w:rsidDel="00000000" w:rsidR="00000000" w:rsidRPr="00000000">
        <w:rPr>
          <w:rFonts w:ascii="Times New Roman" w:cs="Times New Roman" w:eastAsia="Times New Roman" w:hAnsi="Times New Roman"/>
          <w:i w:val="1"/>
          <w:iCs w:val="1"/>
          <w:color w:val="000000"/>
          <w:rtl w:val="0"/>
        </w:rPr>
        <w:t xml:space="preserve"> – “Servicio de Producción Audiovisual”, solicitado por la Coordinación General de Comunicación Estratégica.  </w:t>
      </w:r>
      <w:r w:rsidDel="00000000" w:rsidR="00000000" w:rsidRPr="00000000">
        <w:rPr>
          <w:rFonts w:ascii="Times New Roman" w:cs="Times New Roman" w:eastAsia="Times New Roman" w:hAnsi="Times New Roman"/>
          <w:b w:val="1"/>
          <w:bCs w:val="1"/>
          <w:i w:val="1"/>
          <w:iCs w:val="1"/>
          <w:color w:val="000000"/>
          <w:rtl w:val="0"/>
        </w:rPr>
        <w:t xml:space="preserve">4.2.- LPL 06/2026</w:t>
      </w:r>
      <w:r w:rsidDel="00000000" w:rsidR="00000000" w:rsidRPr="00000000">
        <w:rPr>
          <w:rFonts w:ascii="Times New Roman" w:cs="Times New Roman" w:eastAsia="Times New Roman" w:hAnsi="Times New Roman"/>
          <w:i w:val="1"/>
          <w:iCs w:val="1"/>
          <w:color w:val="000000"/>
          <w:rtl w:val="0"/>
        </w:rPr>
        <w:t xml:space="preserve"> - “Diseño de Campañas de Comunicación Electrónica”, solicitado por la Coordinación General de Comunicación Estratégica. </w:t>
      </w:r>
      <w:r w:rsidDel="00000000" w:rsidR="00000000" w:rsidRPr="00000000">
        <w:rPr>
          <w:rFonts w:ascii="Times New Roman" w:cs="Times New Roman" w:eastAsia="Times New Roman" w:hAnsi="Times New Roman"/>
          <w:b w:val="1"/>
          <w:bCs w:val="1"/>
          <w:i w:val="1"/>
          <w:iCs w:val="1"/>
          <w:color w:val="000000"/>
          <w:rtl w:val="0"/>
        </w:rPr>
        <w:t xml:space="preserve">4.3.- LPL 07/2026</w:t>
      </w:r>
      <w:r w:rsidDel="00000000" w:rsidR="00000000" w:rsidRPr="00000000">
        <w:rPr>
          <w:rFonts w:ascii="Times New Roman" w:cs="Times New Roman" w:eastAsia="Times New Roman" w:hAnsi="Times New Roman"/>
          <w:i w:val="1"/>
          <w:iCs w:val="1"/>
          <w:color w:val="000000"/>
          <w:rtl w:val="0"/>
        </w:rPr>
        <w:t xml:space="preserve"> - “Servicio de Intermediación Redes Sociales” solicitado por la Coordinación General de Comunicación Estratégica. </w:t>
      </w:r>
      <w:r w:rsidDel="00000000" w:rsidR="00000000" w:rsidRPr="00000000">
        <w:rPr>
          <w:rFonts w:ascii="Times New Roman" w:cs="Times New Roman" w:eastAsia="Times New Roman" w:hAnsi="Times New Roman"/>
          <w:b w:val="1"/>
          <w:bCs w:val="1"/>
          <w:i w:val="1"/>
          <w:iCs w:val="1"/>
          <w:color w:val="000000"/>
          <w:rtl w:val="0"/>
        </w:rPr>
        <w:t xml:space="preserve">4.4.- LPL 08/2026 – </w:t>
      </w:r>
      <w:r w:rsidDel="00000000" w:rsidR="00000000" w:rsidRPr="00000000">
        <w:rPr>
          <w:rFonts w:ascii="Times New Roman" w:cs="Times New Roman" w:eastAsia="Times New Roman" w:hAnsi="Times New Roman"/>
          <w:i w:val="1"/>
          <w:iCs w:val="1"/>
          <w:color w:val="000000"/>
          <w:rtl w:val="0"/>
        </w:rPr>
        <w:t xml:space="preserve">“Servicio de Imagen Institucional”, solicitado por la Coordinación General de Comunicación Estratégica. </w:t>
      </w:r>
      <w:r w:rsidDel="00000000" w:rsidR="00000000" w:rsidRPr="00000000">
        <w:rPr>
          <w:rFonts w:ascii="Times New Roman" w:cs="Times New Roman" w:eastAsia="Times New Roman" w:hAnsi="Times New Roman"/>
          <w:b w:val="1"/>
          <w:bCs w:val="1"/>
          <w:i w:val="1"/>
          <w:iCs w:val="1"/>
          <w:color w:val="000000"/>
          <w:rtl w:val="0"/>
        </w:rPr>
        <w:t xml:space="preserve">4.5.- LPL 10/2026 – </w:t>
      </w:r>
      <w:r w:rsidDel="00000000" w:rsidR="00000000" w:rsidRPr="00000000">
        <w:rPr>
          <w:rFonts w:ascii="Times New Roman" w:cs="Times New Roman" w:eastAsia="Times New Roman" w:hAnsi="Times New Roman"/>
          <w:i w:val="1"/>
          <w:iCs w:val="1"/>
          <w:color w:val="000000"/>
          <w:rtl w:val="0"/>
        </w:rPr>
        <w:t xml:space="preserve">“Cobre Ionizado”, solicitado por Jefatura de Gabinete. </w:t>
      </w:r>
      <w:r w:rsidDel="00000000" w:rsidR="00000000" w:rsidRPr="00000000">
        <w:rPr>
          <w:rFonts w:ascii="Times New Roman" w:cs="Times New Roman" w:eastAsia="Times New Roman" w:hAnsi="Times New Roman"/>
          <w:b w:val="1"/>
          <w:bCs w:val="1"/>
          <w:i w:val="1"/>
          <w:iCs w:val="1"/>
          <w:color w:val="000000"/>
          <w:rtl w:val="0"/>
        </w:rPr>
        <w:t xml:space="preserve">4.6.- LPL 12/2026 – </w:t>
      </w:r>
      <w:r w:rsidDel="00000000" w:rsidR="00000000" w:rsidRPr="00000000">
        <w:rPr>
          <w:rFonts w:ascii="Times New Roman" w:cs="Times New Roman" w:eastAsia="Times New Roman" w:hAnsi="Times New Roman"/>
          <w:i w:val="1"/>
          <w:iCs w:val="1"/>
          <w:color w:val="000000"/>
          <w:rtl w:val="0"/>
        </w:rPr>
        <w:t xml:space="preserve">“Mobiliario para Proyecto Chulavista”, solicitado por la Dirección Administrativa de la Oficialía Mayor Administrativa. </w:t>
      </w:r>
      <w:r w:rsidDel="00000000" w:rsidR="00000000" w:rsidRPr="00000000">
        <w:rPr>
          <w:rFonts w:ascii="Times New Roman" w:cs="Times New Roman" w:eastAsia="Times New Roman" w:hAnsi="Times New Roman"/>
          <w:b w:val="1"/>
          <w:bCs w:val="1"/>
          <w:i w:val="1"/>
          <w:iCs w:val="1"/>
          <w:color w:val="000000"/>
          <w:rtl w:val="0"/>
        </w:rPr>
        <w:t xml:space="preserve">4.7.- LPN 01/2026 – </w:t>
      </w:r>
      <w:r w:rsidDel="00000000" w:rsidR="00000000" w:rsidRPr="00000000">
        <w:rPr>
          <w:rFonts w:ascii="Times New Roman" w:cs="Times New Roman" w:eastAsia="Times New Roman" w:hAnsi="Times New Roman"/>
          <w:i w:val="1"/>
          <w:iCs w:val="1"/>
          <w:color w:val="000000"/>
          <w:rtl w:val="0"/>
        </w:rPr>
        <w:t xml:space="preserve">“Arrendamiento de Helicóptero”, solicitado por la Coordinación General de Prevención y Servicios de Emergencia. 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3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las propuestas en bloque antes mencionadas, y al no existir alguna observación se procede a la votación nominal y</w:t>
      </w:r>
      <w:r w:rsidDel="00000000" w:rsidR="00000000" w:rsidRPr="00000000">
        <w:rPr>
          <w:rFonts w:ascii="Times New Roman" w:cs="Times New Roman" w:eastAsia="Times New Roman" w:hAnsi="Times New Roman"/>
          <w:b w:val="1"/>
          <w:bCs w:val="1"/>
          <w:color w:val="000000"/>
          <w:rtl w:val="0"/>
        </w:rPr>
        <w:t xml:space="preserve"> «Se aprueba por unanimidad de votos de los presentes».</w:t>
      </w: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u w:val="single"/>
          <w:rtl w:val="0"/>
        </w:rPr>
        <w:t xml:space="preserve">V.- Lectura y en su caso aprobación de adjudicaciones directas.</w:t>
      </w: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 Presidente </w:t>
      </w:r>
      <w:r w:rsidDel="00000000" w:rsidR="00000000" w:rsidRPr="00000000">
        <w:rPr>
          <w:rFonts w:ascii="Times New Roman" w:cs="Times New Roman" w:eastAsia="Times New Roman" w:hAnsi="Times New Roman"/>
          <w:b w:val="1"/>
          <w:bCs w:val="1"/>
          <w:i w:val="1"/>
          <w:iCs w:val="1"/>
          <w:color w:val="000000"/>
          <w:rtl w:val="0"/>
        </w:rPr>
        <w:t xml:space="preserve">5.1.-</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Oficio JACPPMTZ/0086/2026 – </w:t>
      </w:r>
      <w:r w:rsidDel="00000000" w:rsidR="00000000" w:rsidRPr="00000000">
        <w:rPr>
          <w:rFonts w:ascii="Times New Roman" w:cs="Times New Roman" w:eastAsia="Times New Roman" w:hAnsi="Times New Roman"/>
          <w:i w:val="1"/>
          <w:iCs w:val="1"/>
          <w:color w:val="000000"/>
          <w:rtl w:val="0"/>
        </w:rPr>
        <w:t xml:space="preserve">presentado por la Comisaría de la Policía Preventiva Municipal, a favor de</w:t>
      </w:r>
      <w:r w:rsidDel="00000000" w:rsidR="00000000" w:rsidRPr="00000000">
        <w:rPr>
          <w:rFonts w:ascii="Times New Roman" w:cs="Times New Roman" w:eastAsia="Times New Roman" w:hAnsi="Times New Roman"/>
          <w:b w:val="1"/>
          <w:bCs w:val="1"/>
          <w:i w:val="1"/>
          <w:iCs w:val="1"/>
          <w:color w:val="000000"/>
          <w:rtl w:val="0"/>
        </w:rPr>
        <w:t xml:space="preserve"> Miguel Rivas </w:t>
      </w:r>
      <w:r w:rsidDel="00000000" w:rsidR="00000000" w:rsidRPr="00000000">
        <w:rPr>
          <w:rFonts w:ascii="Times New Roman" w:cs="Times New Roman" w:eastAsia="Times New Roman" w:hAnsi="Times New Roman"/>
          <w:i w:val="1"/>
          <w:iCs w:val="1"/>
          <w:color w:val="000000"/>
          <w:rtl w:val="0"/>
        </w:rPr>
        <w:t xml:space="preserve">por la cantidad de</w:t>
      </w:r>
      <w:r w:rsidDel="00000000" w:rsidR="00000000" w:rsidRPr="00000000">
        <w:rPr>
          <w:rFonts w:ascii="Times New Roman" w:cs="Times New Roman" w:eastAsia="Times New Roman" w:hAnsi="Times New Roman"/>
          <w:b w:val="1"/>
          <w:bCs w:val="1"/>
          <w:i w:val="1"/>
          <w:iCs w:val="1"/>
          <w:color w:val="000000"/>
          <w:rtl w:val="0"/>
        </w:rPr>
        <w:t xml:space="preserve"> $220,400.00 (doscientos veinte mil cuatrocientos pesos 00/100 M.N.) </w:t>
      </w:r>
      <w:r w:rsidDel="00000000" w:rsidR="00000000" w:rsidRPr="00000000">
        <w:rPr>
          <w:rFonts w:ascii="Times New Roman" w:cs="Times New Roman" w:eastAsia="Times New Roman" w:hAnsi="Times New Roman"/>
          <w:i w:val="1"/>
          <w:iCs w:val="1"/>
          <w:color w:val="000000"/>
          <w:rtl w:val="0"/>
        </w:rPr>
        <w:t xml:space="preserve">por concepto de alimentos para personal operativo permanente de la Comisaría de la Policía</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Preventiva Municipal</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durante el año 2026 dos mil veintiséis, derivado de dos procesos desiertos, la LPL 085/2025 y la LPL 02/85/2025. 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 </w:t>
      </w:r>
    </w:p>
    <w:p w:rsidR="00000000" w:rsidDel="00000000" w:rsidP="00000000" w:rsidRDefault="00000000" w:rsidRPr="00000000" w14:paraId="00000036">
      <w:pPr>
        <w:spacing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la propuesta antes mencionada, y al no existir alguna observación se procede a la votación nominal y</w:t>
      </w:r>
      <w:r w:rsidDel="00000000" w:rsidR="00000000" w:rsidRPr="00000000">
        <w:rPr>
          <w:rFonts w:ascii="Times New Roman" w:cs="Times New Roman" w:eastAsia="Times New Roman" w:hAnsi="Times New Roman"/>
          <w:b w:val="1"/>
          <w:bCs w:val="1"/>
          <w:color w:val="000000"/>
          <w:rtl w:val="0"/>
        </w:rPr>
        <w:t xml:space="preserve"> «Se aprueba por unanimidad de votos de los presentes».</w:t>
      </w:r>
      <w:r w:rsidDel="00000000" w:rsidR="00000000" w:rsidRPr="00000000">
        <w:rPr>
          <w:rtl w:val="0"/>
        </w:rPr>
      </w:r>
    </w:p>
    <w:p w:rsidR="00000000" w:rsidDel="00000000" w:rsidP="00000000" w:rsidRDefault="00000000" w:rsidRPr="00000000" w14:paraId="0000003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u w:val="single"/>
          <w:rtl w:val="0"/>
        </w:rPr>
        <w:t xml:space="preserve">VI.- Lectura de adjudicaciones directas informativas.</w:t>
      </w:r>
      <w:r w:rsidDel="00000000" w:rsidR="00000000" w:rsidRPr="00000000">
        <w:rPr>
          <w:rtl w:val="0"/>
        </w:rPr>
      </w:r>
    </w:p>
    <w:p w:rsidR="00000000" w:rsidDel="00000000" w:rsidP="00000000" w:rsidRDefault="00000000" w:rsidRPr="00000000" w14:paraId="00000038">
      <w:pPr>
        <w:spacing w:line="240" w:lineRule="auto"/>
        <w:jc w:val="both"/>
        <w:rPr>
          <w:rFonts w:ascii="Times New Roman" w:cs="Times New Roman" w:eastAsia="Times New Roman" w:hAnsi="Times New Roman"/>
          <w:b w:val="1"/>
          <w:bCs w:val="1"/>
          <w:i w:val="1"/>
          <w:iCs w:val="1"/>
          <w:color w:val="000000"/>
        </w:rPr>
      </w:pPr>
      <w:r w:rsidDel="00000000" w:rsidR="00000000" w:rsidRPr="00000000">
        <w:rPr>
          <w:rtl w:val="0"/>
        </w:rPr>
      </w:r>
    </w:p>
    <w:p w:rsidR="00000000" w:rsidDel="00000000" w:rsidP="00000000" w:rsidRDefault="00000000" w:rsidRPr="00000000" w14:paraId="00000039">
      <w:pPr>
        <w:spacing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 Presidente </w:t>
      </w:r>
      <w:r w:rsidDel="00000000" w:rsidR="00000000" w:rsidRPr="00000000">
        <w:rPr>
          <w:rFonts w:ascii="Times New Roman" w:cs="Times New Roman" w:eastAsia="Times New Roman" w:hAnsi="Times New Roman"/>
          <w:b w:val="1"/>
          <w:bCs w:val="1"/>
          <w:i w:val="1"/>
          <w:iCs w:val="1"/>
          <w:color w:val="000000"/>
          <w:rtl w:val="0"/>
        </w:rPr>
        <w:t xml:space="preserve">6.1.-</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Oficio CGIIS/023/2026</w:t>
      </w:r>
      <w:r w:rsidDel="00000000" w:rsidR="00000000" w:rsidRPr="00000000">
        <w:rPr>
          <w:rFonts w:ascii="Times New Roman" w:cs="Times New Roman" w:eastAsia="Times New Roman" w:hAnsi="Times New Roman"/>
          <w:i w:val="1"/>
          <w:iCs w:val="1"/>
          <w:color w:val="000000"/>
          <w:rtl w:val="0"/>
        </w:rPr>
        <w:t xml:space="preserve"> – presentado por la Coordinación General de Inteligencia e Innovación Social a favor de la empresa </w:t>
      </w:r>
      <w:r w:rsidDel="00000000" w:rsidR="00000000" w:rsidRPr="00000000">
        <w:rPr>
          <w:rFonts w:ascii="Times New Roman" w:cs="Times New Roman" w:eastAsia="Times New Roman" w:hAnsi="Times New Roman"/>
          <w:b w:val="1"/>
          <w:bCs w:val="1"/>
          <w:i w:val="1"/>
          <w:iCs w:val="1"/>
          <w:color w:val="000000"/>
          <w:rtl w:val="0"/>
        </w:rPr>
        <w:t xml:space="preserve">ZETECH SOLUCIONES MÉXICO</w:t>
      </w:r>
      <w:r w:rsidDel="00000000" w:rsidR="00000000" w:rsidRPr="00000000">
        <w:rPr>
          <w:rFonts w:ascii="Times New Roman" w:cs="Times New Roman" w:eastAsia="Times New Roman" w:hAnsi="Times New Roman"/>
          <w:i w:val="1"/>
          <w:iCs w:val="1"/>
          <w:color w:val="000000"/>
          <w:rtl w:val="0"/>
        </w:rPr>
        <w:t xml:space="preserve"> por la cantidad de </w:t>
      </w:r>
      <w:r w:rsidDel="00000000" w:rsidR="00000000" w:rsidRPr="00000000">
        <w:rPr>
          <w:rFonts w:ascii="Times New Roman" w:cs="Times New Roman" w:eastAsia="Times New Roman" w:hAnsi="Times New Roman"/>
          <w:b w:val="1"/>
          <w:bCs w:val="1"/>
          <w:i w:val="1"/>
          <w:iCs w:val="1"/>
          <w:color w:val="000000"/>
          <w:rtl w:val="0"/>
        </w:rPr>
        <w:t xml:space="preserve">$522,000.00 (quinientos veintidós mil pesos 00/100 M.N.</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con impuestos incluidos, por concepto de Renovación derecho de usos de Licencia y Software del sistema CALIPSO para el Centro Administrativo de Tlajomulco de Zúñiga, Jalisco, por el periodo del 01 primero de enero al 31 treinta y uno de julio del 2026. </w:t>
      </w:r>
    </w:p>
    <w:p w:rsidR="00000000" w:rsidDel="00000000" w:rsidP="00000000" w:rsidRDefault="00000000" w:rsidRPr="00000000" w14:paraId="0000003A">
      <w:pPr>
        <w:spacing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6.2.- Oficio DAPIH/0213-03/2026</w:t>
      </w:r>
      <w:r w:rsidDel="00000000" w:rsidR="00000000" w:rsidRPr="00000000">
        <w:rPr>
          <w:rFonts w:ascii="Times New Roman" w:cs="Times New Roman" w:eastAsia="Times New Roman" w:hAnsi="Times New Roman"/>
          <w:i w:val="1"/>
          <w:iCs w:val="1"/>
          <w:color w:val="000000"/>
          <w:rtl w:val="0"/>
        </w:rPr>
        <w:t xml:space="preserve"> presentado por la Dirección de Agua Potable e Infraestructura Hidráulica, a favor de la empresa </w:t>
      </w:r>
      <w:r w:rsidDel="00000000" w:rsidR="00000000" w:rsidRPr="00000000">
        <w:rPr>
          <w:rFonts w:ascii="Times New Roman" w:cs="Times New Roman" w:eastAsia="Times New Roman" w:hAnsi="Times New Roman"/>
          <w:b w:val="1"/>
          <w:bCs w:val="1"/>
          <w:i w:val="1"/>
          <w:iCs w:val="1"/>
          <w:color w:val="000000"/>
          <w:rtl w:val="0"/>
        </w:rPr>
        <w:t xml:space="preserve">Comisión Federal de Electricidad</w:t>
      </w:r>
      <w:r w:rsidDel="00000000" w:rsidR="00000000" w:rsidRPr="00000000">
        <w:rPr>
          <w:rFonts w:ascii="Times New Roman" w:cs="Times New Roman" w:eastAsia="Times New Roman" w:hAnsi="Times New Roman"/>
          <w:i w:val="1"/>
          <w:iCs w:val="1"/>
          <w:color w:val="000000"/>
          <w:rtl w:val="0"/>
        </w:rPr>
        <w:t xml:space="preserve"> por la cantidad de </w:t>
      </w:r>
      <w:r w:rsidDel="00000000" w:rsidR="00000000" w:rsidRPr="00000000">
        <w:rPr>
          <w:rFonts w:ascii="Times New Roman" w:cs="Times New Roman" w:eastAsia="Times New Roman" w:hAnsi="Times New Roman"/>
          <w:b w:val="1"/>
          <w:bCs w:val="1"/>
          <w:i w:val="1"/>
          <w:iCs w:val="1"/>
          <w:color w:val="000000"/>
          <w:rtl w:val="0"/>
        </w:rPr>
        <w:t xml:space="preserve">$250,000,000.00 (doscientos cincuenta millones de pesos 00/100 M.N.), </w:t>
      </w:r>
      <w:r w:rsidDel="00000000" w:rsidR="00000000" w:rsidRPr="00000000">
        <w:rPr>
          <w:rFonts w:ascii="Times New Roman" w:cs="Times New Roman" w:eastAsia="Times New Roman" w:hAnsi="Times New Roman"/>
          <w:i w:val="1"/>
          <w:iCs w:val="1"/>
          <w:color w:val="000000"/>
          <w:rtl w:val="0"/>
        </w:rPr>
        <w:t xml:space="preserve">correspondiente al periodo del 01 primero de enero al 31 treinta y uno de diciembre 2026 por concepto de consumo de energía eléctrica en rebombeo de pozos, extracción de agua, plantas de tratamiento y potabilizadoras para el municipio. 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 </w:t>
      </w:r>
    </w:p>
    <w:p w:rsidR="00000000" w:rsidDel="00000000" w:rsidP="00000000" w:rsidRDefault="00000000" w:rsidRPr="00000000" w14:paraId="0000003B">
      <w:pPr>
        <w:spacing w:line="240" w:lineRule="auto"/>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3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u w:val="single"/>
          <w:rtl w:val="0"/>
        </w:rPr>
        <w:t xml:space="preserve">VII.-</w:t>
      </w:r>
      <w:r w:rsidDel="00000000" w:rsidR="00000000" w:rsidRPr="00000000">
        <w:rPr>
          <w:rFonts w:ascii="Times New Roman" w:cs="Times New Roman" w:eastAsia="Times New Roman" w:hAnsi="Times New Roman"/>
          <w:color w:val="000000"/>
          <w:u w:val="single"/>
          <w:rtl w:val="0"/>
        </w:rPr>
        <w:t xml:space="preserve"> </w:t>
      </w:r>
      <w:r w:rsidDel="00000000" w:rsidR="00000000" w:rsidRPr="00000000">
        <w:rPr>
          <w:rFonts w:ascii="Times New Roman" w:cs="Times New Roman" w:eastAsia="Times New Roman" w:hAnsi="Times New Roman"/>
          <w:b w:val="1"/>
          <w:bCs w:val="1"/>
          <w:color w:val="000000"/>
          <w:u w:val="single"/>
          <w:rtl w:val="0"/>
        </w:rPr>
        <w:t xml:space="preserve">Asuntos varios.</w:t>
      </w: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Para el desahogo del séptimo punto del orden del día,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pregunta si existe algún asunto o tema a tratar por parte de algún miembro del Comité. </w:t>
      </w:r>
    </w:p>
    <w:p w:rsidR="00000000" w:rsidDel="00000000" w:rsidP="00000000" w:rsidRDefault="00000000" w:rsidRPr="00000000" w14:paraId="0000003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u w:val="single"/>
          <w:rtl w:val="0"/>
        </w:rPr>
        <w:t xml:space="preserve">VIII.-</w:t>
      </w:r>
      <w:r w:rsidDel="00000000" w:rsidR="00000000" w:rsidRPr="00000000">
        <w:rPr>
          <w:rFonts w:ascii="Times New Roman" w:cs="Times New Roman" w:eastAsia="Times New Roman" w:hAnsi="Times New Roman"/>
          <w:color w:val="000000"/>
          <w:u w:val="single"/>
          <w:rtl w:val="0"/>
        </w:rPr>
        <w:t xml:space="preserve"> </w:t>
      </w:r>
      <w:r w:rsidDel="00000000" w:rsidR="00000000" w:rsidRPr="00000000">
        <w:rPr>
          <w:rFonts w:ascii="Times New Roman" w:cs="Times New Roman" w:eastAsia="Times New Roman" w:hAnsi="Times New Roman"/>
          <w:b w:val="1"/>
          <w:bCs w:val="1"/>
          <w:color w:val="000000"/>
          <w:u w:val="single"/>
          <w:rtl w:val="0"/>
        </w:rPr>
        <w:t xml:space="preserve">Clausura.</w:t>
      </w:r>
      <w:r w:rsidDel="00000000" w:rsidR="00000000" w:rsidRPr="00000000">
        <w:rPr>
          <w:rtl w:val="0"/>
        </w:rPr>
      </w:r>
    </w:p>
    <w:p w:rsidR="00000000" w:rsidDel="00000000" w:rsidP="00000000" w:rsidRDefault="00000000" w:rsidRPr="00000000" w14:paraId="0000004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Para desahogar el octavo punto del orden del día y al no haber más asuntos a tratar, el </w:t>
      </w:r>
      <w:r w:rsidDel="00000000" w:rsidR="00000000" w:rsidRPr="00000000">
        <w:rPr>
          <w:rFonts w:ascii="Times New Roman" w:cs="Times New Roman" w:eastAsia="Times New Roman" w:hAnsi="Times New Roman"/>
          <w:b w:val="1"/>
          <w:bCs w:val="1"/>
          <w:color w:val="000000"/>
          <w:rtl w:val="0"/>
        </w:rPr>
        <w:t xml:space="preserve">Presidente</w:t>
      </w:r>
      <w:r w:rsidDel="00000000" w:rsidR="00000000" w:rsidRPr="00000000">
        <w:rPr>
          <w:rFonts w:ascii="Times New Roman" w:cs="Times New Roman" w:eastAsia="Times New Roman" w:hAnsi="Times New Roman"/>
          <w:color w:val="000000"/>
          <w:rtl w:val="0"/>
        </w:rPr>
        <w:t xml:space="preserve"> declara formalmente clausurada la sesión siendo las </w:t>
      </w:r>
      <w:r w:rsidDel="00000000" w:rsidR="00000000" w:rsidRPr="00000000">
        <w:rPr>
          <w:rFonts w:ascii="Times New Roman" w:cs="Times New Roman" w:eastAsia="Times New Roman" w:hAnsi="Times New Roman"/>
          <w:b w:val="1"/>
          <w:bCs w:val="1"/>
          <w:color w:val="000000"/>
          <w:highlight w:val="white"/>
          <w:rtl w:val="0"/>
        </w:rPr>
        <w:t xml:space="preserve">09:19 nueve horas con</w:t>
      </w:r>
      <w:r w:rsidDel="00000000" w:rsidR="00000000" w:rsidRPr="00000000">
        <w:rPr>
          <w:rFonts w:ascii="Times New Roman" w:cs="Times New Roman" w:eastAsia="Times New Roman" w:hAnsi="Times New Roman"/>
          <w:b w:val="1"/>
          <w:bCs w:val="1"/>
          <w:color w:val="000000"/>
          <w:rtl w:val="0"/>
        </w:rPr>
        <w:t xml:space="preserve"> diecinueve minutos </w:t>
      </w:r>
      <w:r w:rsidDel="00000000" w:rsidR="00000000" w:rsidRPr="00000000">
        <w:rPr>
          <w:rFonts w:ascii="Times New Roman" w:cs="Times New Roman" w:eastAsia="Times New Roman" w:hAnsi="Times New Roman"/>
          <w:color w:val="000000"/>
          <w:rtl w:val="0"/>
        </w:rPr>
        <w:t xml:space="preserve">del día viernes 20 veinte de febrero de 2026, agradeciendo la asistencia de las y los presentes a la misma.</w:t>
      </w: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Con voz y voto:</w:t>
      </w:r>
      <w:r w:rsidDel="00000000" w:rsidR="00000000" w:rsidRPr="00000000">
        <w:rPr>
          <w:rtl w:val="0"/>
        </w:rPr>
      </w:r>
    </w:p>
    <w:p w:rsidR="00000000" w:rsidDel="00000000" w:rsidP="00000000" w:rsidRDefault="00000000" w:rsidRPr="00000000" w14:paraId="0000004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46">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Ing. José Rafael Martínez Valencia, </w:t>
      </w:r>
      <w:r w:rsidDel="00000000" w:rsidR="00000000" w:rsidRPr="00000000">
        <w:rPr>
          <w:rtl w:val="0"/>
        </w:rPr>
      </w:r>
    </w:p>
    <w:p w:rsidR="00000000" w:rsidDel="00000000" w:rsidP="00000000" w:rsidRDefault="00000000" w:rsidRPr="00000000" w14:paraId="00000047">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r w:rsidDel="00000000" w:rsidR="00000000" w:rsidRPr="00000000">
        <w:rPr>
          <w:rtl w:val="0"/>
        </w:rPr>
      </w:r>
    </w:p>
    <w:p w:rsidR="00000000" w:rsidDel="00000000" w:rsidP="00000000" w:rsidRDefault="00000000" w:rsidRPr="00000000" w14:paraId="00000048">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Lic. Marco Antonio Parra Pérez.</w:t>
      </w:r>
      <w:r w:rsidDel="00000000" w:rsidR="00000000" w:rsidRPr="00000000">
        <w:rPr>
          <w:rtl w:val="0"/>
        </w:rPr>
      </w:r>
    </w:p>
    <w:p w:rsidR="00000000" w:rsidDel="00000000" w:rsidP="00000000" w:rsidRDefault="00000000" w:rsidRPr="00000000" w14:paraId="0000004D">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Sindicatura Municipal</w:t>
      </w:r>
      <w:r w:rsidDel="00000000" w:rsidR="00000000" w:rsidRPr="00000000">
        <w:rPr>
          <w:rtl w:val="0"/>
        </w:rPr>
      </w:r>
    </w:p>
    <w:p w:rsidR="00000000" w:rsidDel="00000000" w:rsidP="00000000" w:rsidRDefault="00000000" w:rsidRPr="00000000" w14:paraId="0000004E">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Oscar Esteban Delgado Enríquez </w:t>
      </w:r>
      <w:r w:rsidDel="00000000" w:rsidR="00000000" w:rsidRPr="00000000">
        <w:rPr>
          <w:rtl w:val="0"/>
        </w:rPr>
      </w:r>
    </w:p>
    <w:p w:rsidR="00000000" w:rsidDel="00000000" w:rsidP="00000000" w:rsidRDefault="00000000" w:rsidRPr="00000000" w14:paraId="00000053">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Oficialía Mayor Administrativa</w:t>
      </w:r>
      <w:r w:rsidDel="00000000" w:rsidR="00000000" w:rsidRPr="00000000">
        <w:rPr>
          <w:rtl w:val="0"/>
        </w:rPr>
      </w:r>
    </w:p>
    <w:p w:rsidR="00000000" w:rsidDel="00000000" w:rsidP="00000000" w:rsidRDefault="00000000" w:rsidRPr="00000000" w14:paraId="00000054">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Lic. Adriana Santiago González.</w:t>
      </w:r>
      <w:r w:rsidDel="00000000" w:rsidR="00000000" w:rsidRPr="00000000">
        <w:rPr>
          <w:rtl w:val="0"/>
        </w:rPr>
      </w:r>
    </w:p>
    <w:p w:rsidR="00000000" w:rsidDel="00000000" w:rsidP="00000000" w:rsidRDefault="00000000" w:rsidRPr="00000000" w14:paraId="00000056">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tl w:val="0"/>
        </w:rPr>
      </w:r>
    </w:p>
    <w:p w:rsidR="00000000" w:rsidDel="00000000" w:rsidP="00000000" w:rsidRDefault="00000000" w:rsidRPr="00000000" w14:paraId="00000057">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Ing. Manuel Ledezma Esparza. </w:t>
      </w:r>
      <w:r w:rsidDel="00000000" w:rsidR="00000000" w:rsidRPr="00000000">
        <w:rPr>
          <w:rtl w:val="0"/>
        </w:rPr>
      </w:r>
    </w:p>
    <w:p w:rsidR="00000000" w:rsidDel="00000000" w:rsidP="00000000" w:rsidRDefault="00000000" w:rsidRPr="00000000" w14:paraId="0000005D">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Dirección General de Desarrollo Rural.</w:t>
      </w:r>
      <w:r w:rsidDel="00000000" w:rsidR="00000000" w:rsidRPr="00000000">
        <w:rPr>
          <w:rtl w:val="0"/>
        </w:rPr>
      </w:r>
    </w:p>
    <w:p w:rsidR="00000000" w:rsidDel="00000000" w:rsidP="00000000" w:rsidRDefault="00000000" w:rsidRPr="00000000" w14:paraId="0000005E">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0">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br w:type="textWrapping"/>
        <w:br w:type="textWrapping"/>
      </w:r>
      <w:r w:rsidDel="00000000" w:rsidR="00000000" w:rsidRPr="00000000">
        <w:rPr>
          <w:rtl w:val="0"/>
        </w:rPr>
      </w:r>
    </w:p>
    <w:p w:rsidR="00000000" w:rsidDel="00000000" w:rsidP="00000000" w:rsidRDefault="00000000" w:rsidRPr="00000000" w14:paraId="00000061">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Lic. Edgar Fernando Flores Mora</w:t>
      </w:r>
      <w:r w:rsidDel="00000000" w:rsidR="00000000" w:rsidRPr="00000000">
        <w:rPr>
          <w:rtl w:val="0"/>
        </w:rPr>
      </w:r>
    </w:p>
    <w:p w:rsidR="00000000" w:rsidDel="00000000" w:rsidP="00000000" w:rsidRDefault="00000000" w:rsidRPr="00000000" w14:paraId="00000062">
      <w:pPr>
        <w:shd w:fill="ffffff" w:val="clea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Cámara Nacional de Comercio, Servicios y Turismo de Guadalajara.</w:t>
      </w:r>
    </w:p>
    <w:p w:rsidR="00000000" w:rsidDel="00000000" w:rsidP="00000000" w:rsidRDefault="00000000" w:rsidRPr="00000000" w14:paraId="00000063">
      <w:pP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4">
      <w:pP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5">
      <w:pP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6">
      <w:pP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7">
      <w:pP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8">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Ing. Omar Palafox Saenz</w:t>
      </w:r>
      <w:r w:rsidDel="00000000" w:rsidR="00000000" w:rsidRPr="00000000">
        <w:rPr>
          <w:rtl w:val="0"/>
        </w:rPr>
      </w:r>
    </w:p>
    <w:p w:rsidR="00000000" w:rsidDel="00000000" w:rsidP="00000000" w:rsidRDefault="00000000" w:rsidRPr="00000000" w14:paraId="00000069">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Consejo de Desarrollo Agropecuario y Agroindustrial de Jalisco.</w:t>
      </w:r>
      <w:r w:rsidDel="00000000" w:rsidR="00000000" w:rsidRPr="00000000">
        <w:rPr>
          <w:rtl w:val="0"/>
        </w:rPr>
      </w:r>
    </w:p>
    <w:p w:rsidR="00000000" w:rsidDel="00000000" w:rsidP="00000000" w:rsidRDefault="00000000" w:rsidRPr="00000000" w14:paraId="0000006A">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Ing. Luis Alfonso de Santiago García</w:t>
      </w:r>
      <w:r w:rsidDel="00000000" w:rsidR="00000000" w:rsidRPr="00000000">
        <w:rPr>
          <w:rtl w:val="0"/>
        </w:rPr>
      </w:r>
    </w:p>
    <w:p w:rsidR="00000000" w:rsidDel="00000000" w:rsidP="00000000" w:rsidRDefault="00000000" w:rsidRPr="00000000" w14:paraId="00000070">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Consejo de Cámaras Industriales de Jalisco.</w:t>
      </w:r>
      <w:r w:rsidDel="00000000" w:rsidR="00000000" w:rsidRPr="00000000">
        <w:rPr>
          <w:rtl w:val="0"/>
        </w:rPr>
      </w:r>
    </w:p>
    <w:p w:rsidR="00000000" w:rsidDel="00000000" w:rsidP="00000000" w:rsidRDefault="00000000" w:rsidRPr="00000000" w14:paraId="00000071">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Mtro. Gerardo Esteban Sánchez González</w:t>
      </w:r>
      <w:r w:rsidDel="00000000" w:rsidR="00000000" w:rsidRPr="00000000">
        <w:rPr>
          <w:rtl w:val="0"/>
        </w:rPr>
      </w:r>
    </w:p>
    <w:p w:rsidR="00000000" w:rsidDel="00000000" w:rsidP="00000000" w:rsidRDefault="00000000" w:rsidRPr="00000000" w14:paraId="00000077">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Coordinación General de Potencia Económica.</w:t>
      </w:r>
      <w:r w:rsidDel="00000000" w:rsidR="00000000" w:rsidRPr="00000000">
        <w:rPr>
          <w:rtl w:val="0"/>
        </w:rPr>
      </w:r>
    </w:p>
    <w:p w:rsidR="00000000" w:rsidDel="00000000" w:rsidP="00000000" w:rsidRDefault="00000000" w:rsidRPr="00000000" w14:paraId="00000078">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hd w:fill="ffffff" w:val="clea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Con voz:</w:t>
      </w:r>
      <w:r w:rsidDel="00000000" w:rsidR="00000000" w:rsidRPr="00000000">
        <w:rPr>
          <w:rtl w:val="0"/>
        </w:rPr>
      </w:r>
    </w:p>
    <w:p w:rsidR="00000000" w:rsidDel="00000000" w:rsidP="00000000" w:rsidRDefault="00000000" w:rsidRPr="00000000" w14:paraId="0000007A">
      <w:pPr>
        <w:shd w:fill="ffffff" w:val="clea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hd w:fill="ffffff" w:val="clea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hd w:fill="ffffff" w:val="clea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hd w:fill="ffffff" w:val="clear"/>
        <w:spacing w:after="0" w:line="240" w:lineRule="auto"/>
        <w:jc w:val="right"/>
        <w:rPr>
          <w:rFonts w:ascii="Times New Roman" w:cs="Times New Roman" w:eastAsia="Times New Roman" w:hAnsi="Times New Roman"/>
          <w:sz w:val="24"/>
          <w:szCs w:val="24"/>
        </w:rPr>
      </w:pPr>
      <w:bookmarkStart w:colFirst="0" w:colLast="0" w:name="_heading=h.7xv82jyz3d3h" w:id="0"/>
      <w:bookmarkEnd w:id="0"/>
      <w:r w:rsidDel="00000000" w:rsidR="00000000" w:rsidRPr="00000000">
        <w:rPr>
          <w:rtl w:val="0"/>
        </w:rPr>
      </w:r>
    </w:p>
    <w:p w:rsidR="00000000" w:rsidDel="00000000" w:rsidP="00000000" w:rsidRDefault="00000000" w:rsidRPr="00000000" w14:paraId="0000007E">
      <w:pPr>
        <w:shd w:fill="ffffff" w:val="clea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hd w:fill="ffffff" w:val="clea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rtl w:val="0"/>
        </w:rPr>
        <w:t xml:space="preserve">Mtro. Jorge Armando Ortiz Tafoya </w:t>
      </w:r>
      <w:r w:rsidDel="00000000" w:rsidR="00000000" w:rsidRPr="00000000">
        <w:rPr>
          <w:rtl w:val="0"/>
        </w:rPr>
      </w:r>
    </w:p>
    <w:p w:rsidR="00000000" w:rsidDel="00000000" w:rsidP="00000000" w:rsidRDefault="00000000" w:rsidRPr="00000000" w14:paraId="00000080">
      <w:pPr>
        <w:shd w:fill="ffffff" w:val="clea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Representante del Órgano Interno de Control.</w:t>
      </w:r>
      <w:r w:rsidDel="00000000" w:rsidR="00000000" w:rsidRPr="00000000">
        <w:rPr>
          <w:rtl w:val="0"/>
        </w:rPr>
      </w:r>
    </w:p>
    <w:p w:rsidR="00000000" w:rsidDel="00000000" w:rsidP="00000000" w:rsidRDefault="00000000" w:rsidRPr="00000000" w14:paraId="00000081">
      <w:pPr>
        <w:shd w:fill="ffffff" w:val="clea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hd w:fill="ffffff" w:val="clea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hd w:fill="ffffff" w:val="clea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hd w:fill="ffffff" w:val="clea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hd w:fill="ffffff" w:val="clea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hd w:fill="ffffff" w:val="clea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hd w:fill="ffffff" w:val="clea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88">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Secretaria Técnica.</w:t>
      </w:r>
      <w:r w:rsidDel="00000000" w:rsidR="00000000" w:rsidRPr="00000000">
        <w:rPr>
          <w:rtl w:val="0"/>
        </w:rPr>
      </w:r>
    </w:p>
    <w:p w:rsidR="00000000" w:rsidDel="00000000" w:rsidP="00000000" w:rsidRDefault="00000000" w:rsidRPr="00000000" w14:paraId="00000089">
      <w:pPr>
        <w:spacing w:after="240" w:line="240" w:lineRule="auto"/>
        <w:rPr>
          <w:rFonts w:ascii="Times New Roman" w:cs="Times New Roman" w:eastAsia="Times New Roman" w:hAnsi="Times New Roman"/>
          <w:sz w:val="24"/>
          <w:szCs w:val="24"/>
        </w:rPr>
      </w:pPr>
      <w:bookmarkStart w:colFirst="0" w:colLast="0" w:name="_heading=h.p9qtbnv5p1tl" w:id="1"/>
      <w:bookmarkEnd w:id="1"/>
      <w:r w:rsidDel="00000000" w:rsidR="00000000" w:rsidRPr="00000000">
        <w:rPr>
          <w:rtl w:val="0"/>
        </w:rPr>
      </w:r>
    </w:p>
    <w:p w:rsidR="00000000" w:rsidDel="00000000" w:rsidP="00000000" w:rsidRDefault="00000000" w:rsidRPr="00000000" w14:paraId="0000008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0"/>
          <w:szCs w:val="20"/>
          <w:rtl w:val="0"/>
        </w:rPr>
        <w:t xml:space="preserve">La presente hoja de firmas forma parte integral del Acta de la Primera Sesión Extraordinaria del Comité de Adquisiciones del Municipio de Tlajomulco de Zúñiga, Jalisco del día 20 veinte de febrero de 2026.</w:t>
      </w:r>
      <w:r w:rsidDel="00000000" w:rsidR="00000000" w:rsidRPr="00000000">
        <w:rPr>
          <w:rtl w:val="0"/>
        </w:rPr>
      </w:r>
    </w:p>
    <w:sectPr>
      <w:footerReference r:id="rId7" w:type="default"/>
      <w:pgSz w:h="19442" w:w="12242"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de 4</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222C79"/>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uentedeprrafopredeter"/>
    <w:rsid w:val="00222C79"/>
  </w:style>
  <w:style w:type="character" w:styleId="Hipervnculo">
    <w:name w:val="Hyperlink"/>
    <w:basedOn w:val="Fuentedeprrafopredeter"/>
    <w:uiPriority w:val="99"/>
    <w:semiHidden w:val="1"/>
    <w:unhideWhenUsed w:val="1"/>
    <w:rsid w:val="00222C79"/>
    <w:rPr>
      <w:color w:val="0000ff"/>
      <w:u w:val="single"/>
    </w:rPr>
  </w:style>
  <w:style w:type="paragraph" w:styleId="Encabezado">
    <w:name w:val="header"/>
    <w:basedOn w:val="Normal"/>
    <w:link w:val="EncabezadoCar"/>
    <w:uiPriority w:val="99"/>
    <w:unhideWhenUsed w:val="1"/>
    <w:rsid w:val="00F378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F37842"/>
  </w:style>
  <w:style w:type="paragraph" w:styleId="Piedepgina">
    <w:name w:val="footer"/>
    <w:basedOn w:val="Normal"/>
    <w:link w:val="PiedepginaCar"/>
    <w:uiPriority w:val="99"/>
    <w:unhideWhenUsed w:val="1"/>
    <w:rsid w:val="00F378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F37842"/>
  </w:style>
  <w:style w:type="paragraph" w:styleId="Textodeglobo">
    <w:name w:val="Balloon Text"/>
    <w:basedOn w:val="Normal"/>
    <w:link w:val="TextodegloboCar"/>
    <w:uiPriority w:val="99"/>
    <w:semiHidden w:val="1"/>
    <w:unhideWhenUsed w:val="1"/>
    <w:rsid w:val="00F37842"/>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F37842"/>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qWQnPE1KaxxEwUzZilyaAWcDsQ==">CgMxLjAyDmguN3h2ODJqeXozZDNoMg5oLnA5cXRibnY1cDF0bDgAciExd0ZPS3FROVV6RzM0X29yQ1pGUjZ3SHAxRV9EOXRONHk=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2026-02-23T21:45:00Z</dcterms:created>
  <dc:creator>DAISY AKETZALLI RODRIGUEZ POLITRON - PC-1265</dc:creator>
</cp:coreProperties>
</file>