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Tercera Sesión Ordinaria del Comité de Adquisiciones de Tlajomulco de Zúñiga, Jalisco, celebrada el día 19 diecinueve de marzo de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lleva a cabo de manera híbrida la Tercera Sesión Ordinaria del Comité de Adquisiciones de Tlajomulco de Zúñiga,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19 de marzo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 M</w:t>
      </w:r>
      <w:r w:rsidDel="00000000" w:rsidR="00000000" w:rsidRPr="00000000">
        <w:rPr>
          <w:rFonts w:ascii="Times New Roman" w:cs="Times New Roman" w:eastAsia="Times New Roman" w:hAnsi="Times New Roman"/>
          <w:rtl w:val="0"/>
        </w:rPr>
        <w:t xml:space="preserve">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y acompañándonos el Maestro Jorge Armando Ortíz Tafoya, representante del Órgano Interno de Control.</w:t>
      </w:r>
    </w:p>
    <w:p w:rsidR="00000000" w:rsidDel="00000000" w:rsidP="00000000" w:rsidRDefault="00000000" w:rsidRPr="00000000" w14:paraId="00000007">
      <w:pPr>
        <w:jc w:val="both"/>
        <w:rPr/>
      </w:pPr>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 Ingeniera</w:t>
      </w:r>
      <w:r w:rsidDel="00000000" w:rsidR="00000000" w:rsidRPr="00000000">
        <w:rPr>
          <w:b w:val="1"/>
          <w:bCs w:val="1"/>
          <w:rtl w:val="0"/>
        </w:rPr>
        <w:t xml:space="preserve"> </w:t>
      </w:r>
      <w:r w:rsidDel="00000000" w:rsidR="00000000" w:rsidRPr="00000000">
        <w:rPr>
          <w:rFonts w:ascii="Times New Roman" w:cs="Times New Roman" w:eastAsia="Times New Roman" w:hAnsi="Times New Roman"/>
          <w:rtl w:val="0"/>
        </w:rPr>
        <w:t xml:space="preserve">Ana Victoria Anguiano Maldonado</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Fonts w:ascii="Times New Roman" w:cs="Times New Roman" w:eastAsia="Times New Roman" w:hAnsi="Times New Roman"/>
          <w:rtl w:val="0"/>
        </w:rPr>
        <w:t xml:space="preserve">representante de la Dirección de Desarrollo Rural; Licenciado Marco Antonio Parra Pérez, representante de Sindicatura Municipal y el Ingeniero Luis Alfonso de Santiago García, representante del Consejo de Cámaras Industriales de Jalisco.</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09:27 nueve horas con veintisiete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Tercera Sesión Ordinaria celebrada el jueves 19 diecinueve de marzo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Acta de la Cuarta Sesión Extraordinaria del Comité de Adquisiciones de Tlajomulco de Zúñiga, Jalisco, celebrada el día 13 trece de marzo de 2026 dos mil veintiséis.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apertura de propuestas.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LPL 13/2026 - “Póliza de Soporte Tecnológico”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LPL 14/2026 - “Uniformes de Bomberos”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LPL 15/202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 “Servicio de Avalúos”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LPM 01/2026 - “Cal Agrícola”</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Adjudicaciones directas para aprobación.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Oficio ACO - DESG - 023/2026 - Secretaría General del Ayuntamiento - Servicios Notariales de Escrituración.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Asuntos Varios.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Clausura. </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jc w:val="right"/>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(Se da cuenta de la integración del </w:t>
      </w:r>
      <w:r w:rsidDel="00000000" w:rsidR="00000000" w:rsidRPr="00000000">
        <w:rPr>
          <w:rFonts w:ascii="Times New Roman" w:cs="Times New Roman" w:eastAsia="Times New Roman" w:hAnsi="Times New Roman"/>
          <w:b w:val="1"/>
          <w:bCs w:val="1"/>
          <w:i w:val="1"/>
          <w:iCs w:val="1"/>
          <w:rtl w:val="0"/>
        </w:rPr>
        <w:t xml:space="preserve">Ingeniero Omar Palafox Sáenz, representante del Consejo de Desarrollo Agropecuario y Agroindustrial de Jalisco</w:t>
      </w:r>
      <w:r w:rsidDel="00000000" w:rsidR="00000000" w:rsidRPr="00000000">
        <w:rPr>
          <w:rFonts w:ascii="Times New Roman" w:cs="Times New Roman" w:eastAsia="Times New Roman" w:hAnsi="Times New Roman"/>
          <w:i w:val="1"/>
          <w:iCs w:val="1"/>
          <w:rtl w:val="0"/>
        </w:rPr>
        <w:t xml:space="preserve">.)</w:t>
      </w:r>
      <w:r w:rsidDel="00000000" w:rsidR="00000000" w:rsidRPr="00000000">
        <w:rPr>
          <w:rtl w:val="0"/>
        </w:rPr>
      </w:r>
    </w:p>
    <w:p w:rsidR="00000000" w:rsidDel="00000000" w:rsidP="00000000" w:rsidRDefault="00000000" w:rsidRPr="00000000" w14:paraId="00000021">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3">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Acta de la Cuarta Sesión Extraordinaria del Comité de Adquisiciones de Tlajomulco de Zúñiga, Jalisco, celebrada el día 13 trece de marzo de 2026 dos mil veintiséis.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rtl w:val="0"/>
        </w:rPr>
        <w:t xml:space="preserve">Es cuanto Presidente.»</w:t>
      </w:r>
    </w:p>
    <w:p w:rsidR="00000000" w:rsidDel="00000000" w:rsidP="00000000" w:rsidRDefault="00000000" w:rsidRPr="00000000" w14:paraId="00000025">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continuo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del acta</w:t>
      </w:r>
      <w:r w:rsidDel="00000000" w:rsidR="00000000" w:rsidRPr="00000000">
        <w:rPr>
          <w:rFonts w:ascii="Times New Roman" w:cs="Times New Roman" w:eastAsia="Times New Roman" w:hAnsi="Times New Roman"/>
          <w:rtl w:val="0"/>
        </w:rPr>
        <w:t xml:space="preserve"> antes mencionada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bCs w:val="1"/>
          <w:u w:val="single"/>
          <w:rtl w:val="0"/>
        </w:rPr>
        <w:t xml:space="preserve">4. Presentación y apertura de propuestas.</w:t>
      </w:r>
    </w:p>
    <w:p w:rsidR="00000000" w:rsidDel="00000000" w:rsidP="00000000" w:rsidRDefault="00000000" w:rsidRPr="00000000" w14:paraId="00000029">
      <w:pPr>
        <w:jc w:val="both"/>
        <w:rPr>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«4.1 - Se solicita al Órgano Interno de Control entregue los sobres presentados y se proceda a la apertura del proceso LPL 13/2026 - “Póliza de Soporte Tecnológico” solicitada por la Coordinación General de Inteligencia e Innovación Social.</w:t>
      </w:r>
      <w:r w:rsidDel="00000000" w:rsidR="00000000" w:rsidRPr="00000000">
        <w:rPr>
          <w:rFonts w:ascii="Times New Roman" w:cs="Times New Roman" w:eastAsia="Times New Roman" w:hAnsi="Times New Roman"/>
          <w:i w:val="1"/>
          <w:iCs w:val="1"/>
          <w:color w:val="000000"/>
          <w:highlight w:val="white"/>
          <w:rtl w:val="0"/>
        </w:rPr>
        <w:t xml:space="preserve">»</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bCs w:val="1"/>
          <w:color w:val="000000"/>
          <w:highlight w:val="white"/>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ASESORÍA E INVESTIGACIÓN PARA LA AGENDA PÚBLICA, S.C.</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con todos los documentos,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$2,000,000.00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Dos millones de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«4.2.-</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w:t>
      </w:r>
      <w:r w:rsidDel="00000000" w:rsidR="00000000" w:rsidRPr="00000000">
        <w:rPr>
          <w:rFonts w:ascii="Times New Roman" w:cs="Times New Roman" w:eastAsia="Times New Roman" w:hAnsi="Times New Roman"/>
          <w:b w:val="1"/>
          <w:bCs w:val="1"/>
          <w:i w:val="1"/>
          <w:iCs w:val="1"/>
          <w:color w:val="000000"/>
          <w:rtl w:val="0"/>
        </w:rPr>
        <w:t xml:space="preserve">proceso</w:t>
      </w:r>
      <w:r w:rsidDel="00000000" w:rsidR="00000000" w:rsidRPr="00000000">
        <w:rPr>
          <w:rFonts w:ascii="Arial" w:cs="Arial" w:eastAsia="Arial" w:hAnsi="Arial"/>
          <w:b w:val="1"/>
          <w:bCs w:val="1"/>
          <w:i w:val="1"/>
          <w:iCs w:val="1"/>
          <w:color w:val="000000"/>
          <w:sz w:val="27"/>
          <w:szCs w:val="27"/>
          <w:highlight w:val="white"/>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14/2026 “Uniformes de Bomberos” </w:t>
      </w:r>
      <w:r w:rsidDel="00000000" w:rsidR="00000000" w:rsidRPr="00000000">
        <w:rPr>
          <w:rFonts w:ascii="Times New Roman" w:cs="Times New Roman" w:eastAsia="Times New Roman" w:hAnsi="Times New Roman"/>
          <w:i w:val="1"/>
          <w:iCs w:val="1"/>
          <w:color w:val="000000"/>
          <w:rtl w:val="0"/>
        </w:rPr>
        <w:t xml:space="preserve">solicitada por la Dirección de Administración y Vinculación de Protección Civil y Bomberos.</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YATLA,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a fin de una revisión cualitativa, </w:t>
      </w:r>
      <w:r w:rsidDel="00000000" w:rsidR="00000000" w:rsidRPr="00000000">
        <w:rPr>
          <w:rFonts w:ascii="Times New Roman" w:cs="Times New Roman" w:eastAsia="Times New Roman" w:hAnsi="Times New Roman"/>
          <w:rtl w:val="0"/>
        </w:rPr>
        <w:t xml:space="preserve">así como </w:t>
      </w:r>
      <w:r w:rsidDel="00000000" w:rsidR="00000000" w:rsidRPr="00000000">
        <w:rPr>
          <w:rFonts w:ascii="Times New Roman" w:cs="Times New Roman" w:eastAsia="Times New Roman" w:hAnsi="Times New Roman"/>
          <w:color w:val="000000"/>
          <w:rtl w:val="0"/>
        </w:rPr>
        <w:t xml:space="preserve">memoria USB y muestras físicas,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$4,364,251.76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Cuatro millones trescientos sesenta y cuatro mil doscientos cincuenta y un pesos 76/100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«4.3</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15/2026 - “Servicio de Avalúos”</w:t>
      </w:r>
      <w:r w:rsidDel="00000000" w:rsidR="00000000" w:rsidRPr="00000000">
        <w:rPr>
          <w:rFonts w:ascii="Times New Roman" w:cs="Times New Roman" w:eastAsia="Times New Roman" w:hAnsi="Times New Roman"/>
          <w:i w:val="1"/>
          <w:iCs w:val="1"/>
          <w:color w:val="000000"/>
          <w:rtl w:val="0"/>
        </w:rPr>
        <w:t xml:space="preserve"> solicitada por la Secretaría General del Ayuntamiento.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32">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w:t>
      </w:r>
      <w:r w:rsidDel="00000000" w:rsidR="00000000" w:rsidRPr="00000000">
        <w:rPr>
          <w:rFonts w:ascii="Times New Roman" w:cs="Times New Roman" w:eastAsia="Times New Roman" w:hAnsi="Times New Roman"/>
          <w:rtl w:val="0"/>
        </w:rPr>
        <w:t xml:space="preserve">recibió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IAN DAVID GIL CEJA,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observando precios unitarios por partida.</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i w:val="1"/>
          <w:iCs w:val="1"/>
          <w:color w:val="000000"/>
          <w:rtl w:val="0"/>
        </w:rPr>
        <w:t xml:space="preserve">«4.4</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color w:val="000000"/>
          <w:rtl w:val="0"/>
        </w:rPr>
        <w:t xml:space="preserve"> LPM 01/2026 - “Cal Agrícola” </w:t>
      </w:r>
      <w:r w:rsidDel="00000000" w:rsidR="00000000" w:rsidRPr="00000000">
        <w:rPr>
          <w:rFonts w:ascii="Times New Roman" w:cs="Times New Roman" w:eastAsia="Times New Roman" w:hAnsi="Times New Roman"/>
          <w:i w:val="1"/>
          <w:iCs w:val="1"/>
          <w:color w:val="000000"/>
          <w:rtl w:val="0"/>
        </w:rPr>
        <w:t xml:space="preserve">solicitada por la Coordinación General de Potencia Económica.»</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Maestro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3 (tres)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CESAR JOEL RAMIREZ RUSSELL,</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presenta los documentos solicitados, con la observación de que algunos de estos pertenecen a Culiacán, Sinaloa. El mismo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monto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$2,794,500.00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setecientos noventa y cuatro mil quinientos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GRUPO NUEVO MILENIO,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excepto por la licencia correspondiente o copia de la SIEM en su defecto,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$2,815,134.00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ochocientos quince mil ciento treinta y cuatro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PROVEEDOR DE INSUMOS PARA LA CONSTRUCCIÓN,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Gerardo Esteban Sánchez González, representante de la Coordinación General de Potencia Económica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$2,794</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404.00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Dos millones setecientos noventa y cuatro mil cuatrocientos cuatro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Adjudicaciones directas para aprobación.</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el desahogo del siguiente punto de</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color w:val="000000"/>
          <w:rtl w:val="0"/>
        </w:rPr>
        <w:t xml:space="preserve"> orden del día, quien mencionó</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b w:val="1"/>
          <w:bCs w:val="1"/>
          <w:i w:val="1"/>
          <w:iCs w:val="1"/>
          <w:rtl w:val="0"/>
        </w:rPr>
        <w:t xml:space="preserve">5.1.-</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Oficio ACO - DESG - 023/2026 - </w:t>
      </w:r>
      <w:r w:rsidDel="00000000" w:rsidR="00000000" w:rsidRPr="00000000">
        <w:rPr>
          <w:rFonts w:ascii="Times New Roman" w:cs="Times New Roman" w:eastAsia="Times New Roman" w:hAnsi="Times New Roman"/>
          <w:i w:val="1"/>
          <w:iCs w:val="1"/>
          <w:rtl w:val="0"/>
        </w:rPr>
        <w:t xml:space="preserve">Secretaría General del Ayuntamiento - Servicios Notariales de Escrituración.</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Es cuanto presidente».</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sexto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pregunta a los miembros del comité, si hay algún tema para tratar, al no existir alguno pasa al siguiente punto del orden del día.</w:t>
      </w:r>
    </w:p>
    <w:p w:rsidR="00000000" w:rsidDel="00000000" w:rsidP="00000000" w:rsidRDefault="00000000" w:rsidRPr="00000000" w14:paraId="00000041">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Clausura.</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10:05 diez horas con </w:t>
      </w:r>
      <w:r w:rsidDel="00000000" w:rsidR="00000000" w:rsidRPr="00000000">
        <w:rPr>
          <w:rFonts w:ascii="Times New Roman" w:cs="Times New Roman" w:eastAsia="Times New Roman" w:hAnsi="Times New Roman"/>
          <w:highlight w:val="white"/>
          <w:rtl w:val="0"/>
        </w:rPr>
        <w:t xml:space="preserve">cinco minutos, del jueves 19 diecinueve de marzo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5C">
      <w:pPr>
        <w:spacing w:after="0" w:line="240" w:lineRule="auto"/>
        <w:rPr>
          <w:rFonts w:ascii="Times New Roman" w:cs="Times New Roman" w:eastAsia="Times New Roman" w:hAnsi="Times New Roman"/>
        </w:rPr>
      </w:pPr>
      <w:bookmarkStart w:colFirst="0" w:colLast="0" w:name="_heading=h.78f4m0odpnn6" w:id="6"/>
      <w:bookmarkEnd w:id="6"/>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Ana Victoria Anguiano Maldonado</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 </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Edgar Fernando Flores Mora</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Jorge Armando Ort</w:t>
      </w: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b w:val="1"/>
          <w:bCs w:val="1"/>
          <w:color w:val="000000"/>
          <w:rtl w:val="0"/>
        </w:rPr>
        <w:t xml:space="preserve">z Tafoya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La presente hoja de firmas forma parte integral del Acta de la Tercera Sesión Ordinaria del Comité de Adquisiciones del Municipio de Tlajomulco de Zúñiga, Jalisco del día 19 de marzo del 2026.</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0"/>
          <w:szCs w:val="20"/>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3">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10" w:customStyle="1">
    <w:name w:val="TableNormal10"/>
    <w:tblPr>
      <w:tblCellMar>
        <w:top w:w="100.0" w:type="dxa"/>
        <w:left w:w="100.0" w:type="dxa"/>
        <w:bottom w:w="100.0" w:type="dxa"/>
        <w:right w:w="100.0" w:type="dxa"/>
      </w:tblCellMar>
    </w:tblPr>
  </w:style>
  <w:style w:type="table" w:styleId="TableNormal9" w:customStyle="1">
    <w:name w:val="TableNormal9"/>
    <w:tblPr>
      <w:tblCellMar>
        <w:top w:w="100.0" w:type="dxa"/>
        <w:left w:w="100.0" w:type="dxa"/>
        <w:bottom w:w="100.0" w:type="dxa"/>
        <w:right w:w="100.0" w:type="dxa"/>
      </w:tblCellMar>
    </w:tblPr>
  </w:style>
  <w:style w:type="table" w:styleId="TableNormal8" w:customStyle="1">
    <w:name w:val="TableNormal8"/>
    <w:tblPr>
      <w:tblCellMar>
        <w:top w:w="100.0" w:type="dxa"/>
        <w:left w:w="100.0" w:type="dxa"/>
        <w:bottom w:w="100.0" w:type="dxa"/>
        <w:right w:w="100.0" w:type="dxa"/>
      </w:tblCellMar>
    </w:tblPr>
  </w:style>
  <w:style w:type="table" w:styleId="TableNormal7" w:customStyle="1">
    <w:name w:val="TableNormal7"/>
    <w:tblPr>
      <w:tblCellMar>
        <w:top w:w="100.0" w:type="dxa"/>
        <w:left w:w="100.0" w:type="dxa"/>
        <w:bottom w:w="100.0" w:type="dxa"/>
        <w:right w:w="100.0" w:type="dxa"/>
      </w:tblCellMar>
    </w:tblPr>
  </w:style>
  <w:style w:type="table" w:styleId="TableNormal6" w:customStyle="1">
    <w:name w:val="TableNormal6"/>
    <w:tblPr>
      <w:tblCellMar>
        <w:top w:w="100.0" w:type="dxa"/>
        <w:left w:w="100.0" w:type="dxa"/>
        <w:bottom w:w="100.0" w:type="dxa"/>
        <w:right w:w="100.0" w:type="dxa"/>
      </w:tblCellMar>
    </w:tblPr>
  </w:style>
  <w:style w:type="table" w:styleId="TableNormal5" w:customStyle="1">
    <w:name w:val="TableNormal5"/>
    <w:tblPr>
      <w:tblCellMar>
        <w:top w:w="0.0" w:type="dxa"/>
        <w:left w:w="0.0" w:type="dxa"/>
        <w:bottom w:w="0.0" w:type="dxa"/>
        <w:right w:w="0.0" w:type="dxa"/>
      </w:tblCellMar>
    </w:tblPr>
  </w:style>
  <w:style w:type="table" w:styleId="TableNormal4" w:customStyle="1">
    <w:name w:val="TableNormal4"/>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20" w:customStyle="1">
    <w:name w:val="TableNormal2"/>
    <w:tblPr>
      <w:tblCellMar>
        <w:top w:w="0.0" w:type="dxa"/>
        <w:left w:w="0.0" w:type="dxa"/>
        <w:bottom w:w="0.0" w:type="dxa"/>
        <w:right w:w="0.0" w:type="dxa"/>
      </w:tblCellMar>
    </w:tblPr>
  </w:style>
  <w:style w:type="table" w:styleId="TableNormal11" w:customStyle="1">
    <w:name w:val="TableNormal1"/>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UnresolvedMention" w:customStyle="1">
    <w:name w:val="Unresolved Mention"/>
    <w:basedOn w:val="Fuentedeprrafopredeter"/>
    <w:uiPriority w:val="99"/>
    <w:semiHidden w:val="1"/>
    <w:unhideWhenUsed w:val="1"/>
    <w:rsid w:val="00EC2142"/>
    <w:rPr>
      <w:color w:val="605e5c"/>
      <w:shd w:color="auto" w:fill="e1dfdd" w:val="clear"/>
    </w:rPr>
  </w:style>
  <w:style w:type="table" w:styleId="2" w:customStyle="1">
    <w:name w:val="2"/>
    <w:basedOn w:val="TableNormal8"/>
    <w:tblPr>
      <w:tblStyleRowBandSize w:val="1"/>
      <w:tblStyleColBandSize w:val="1"/>
      <w:tblCellMar>
        <w:top w:w="15.0" w:type="dxa"/>
        <w:left w:w="15.0" w:type="dxa"/>
        <w:bottom w:w="15.0" w:type="dxa"/>
        <w:right w:w="15.0" w:type="dxa"/>
      </w:tblCellMar>
    </w:tblPr>
  </w:style>
  <w:style w:type="table" w:styleId="1" w:customStyle="1">
    <w:name w:val="1"/>
    <w:basedOn w:val="TableNormal8"/>
    <w:tblPr>
      <w:tblStyleRowBandSize w:val="1"/>
      <w:tblStyleColBandSize w:val="1"/>
      <w:tblCellMar>
        <w:top w:w="15.0" w:type="dxa"/>
        <w:left w:w="15.0" w:type="dxa"/>
        <w:bottom w:w="15.0" w:type="dxa"/>
        <w:right w:w="15.0" w:type="dxa"/>
      </w:tblCellMar>
    </w:tblPr>
  </w:style>
  <w:style w:type="table" w:styleId="Tablaconcuadrcula1" w:customStyle="1">
    <w:name w:val="Tabla con cuadrícula1"/>
    <w:basedOn w:val="Tablanormal"/>
    <w:next w:val="Tablaconcuadrcula"/>
    <w:uiPriority w:val="39"/>
    <w:rsid w:val="00EA5975"/>
    <w:pPr>
      <w:spacing w:after="0" w:line="240" w:lineRule="auto"/>
    </w:pPr>
    <w:rPr>
      <w:rFonts w:ascii="Calibri" w:cs="Calibri"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Tlro4vPi97JSTr29q59VNjlRw==">CgMxLjAyDmguMjdqeXJmYnZ5c241Mg5oLnV5Ym12Mjl5cHBkOTIOaC5oY2ZjaHVuMnp0a3QyDmguY2h0dGgzajA3bWJlMg5oLm10Z2h0dW1jNXRpNzIOaC5kYnBrOGhtYXFyanoyDmguNzhmNG0wb2Rwbm42OAByITFhS3AyakNIMm1MMzYxMl9uamZxSERqbFQtVXJ2QkxWVA==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2026-03-23T17:43:00Z</dcterms:created>
  <dc:creator>ALEJANDRA JUAREZ</dc:creator>
</cp:coreProperties>
</file>