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Octava Sesión Extraordinaria del Comité de Adquisiciones de Tlajomulco de Zúñiga, Jalisco, celebrada el día 10 diez de abril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híbrida la Octava Sesión Extraordinaria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10 diez de abril de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Licenciado Daniel Cortés Flores, representante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virtual, asistieron los siguientes ciudadanos: Licenciado Marco Antonio Parra Pérez, representante de Sindicatura Municipal; Ingeniero Luis Alfonso de Santiago García, representante del Consejo de Cámaras Industriales de Jalisco y el Licenciado Edgar Fernando Flores Mora, representante de la Cámara Nacional de Comercio, Servicios y Turismo de Guadalajara.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09:20 nueve horas con veinte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Octava Sesión Extraordinaria celebrada el viernes 10 diez de abril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Lista de asistencia y declaración de quórum legal.</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Lectura y en su caso aprobación del Orden del Día.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Presentación y en su caso aprobación de Fallos de Adjudicación</w:t>
      </w:r>
    </w:p>
    <w:p w:rsidR="00000000" w:rsidDel="00000000" w:rsidP="00000000" w:rsidRDefault="00000000" w:rsidRPr="00000000" w14:paraId="0000001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LPL 20/2026 - “Abasto de Agua Potable Mediante Camiones Tipo Pipa” </w:t>
      </w:r>
    </w:p>
    <w:p w:rsidR="00000000" w:rsidDel="00000000" w:rsidP="00000000" w:rsidRDefault="00000000" w:rsidRPr="00000000" w14:paraId="0000001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LPL 23/2026 - “Servicio de Desazolve con Camión Tipo Vactor” </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Presentación y en su caso aprobación de Bases de Licitación.</w:t>
      </w:r>
    </w:p>
    <w:p w:rsidR="00000000" w:rsidDel="00000000" w:rsidP="00000000" w:rsidRDefault="00000000" w:rsidRPr="00000000" w14:paraId="0000001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LPL 26/2026 - “Kioscos Digitales” </w:t>
      </w:r>
    </w:p>
    <w:p w:rsidR="00000000" w:rsidDel="00000000" w:rsidP="00000000" w:rsidRDefault="00000000" w:rsidRPr="00000000" w14:paraId="00000015">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LPL 27/2026 - “Proyecto Integral para el suministro e instalación de sistema de regulación de ambiente climático dentro de la oficina alterna situada en Parque Industrial Elite Circuito Metropolitano I Industrial B08”</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1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LPL 28/2026 - “Servicio preventivo y de reparación de motocicletas”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Presentación y apertura de propuestas. </w:t>
      </w:r>
    </w:p>
    <w:p w:rsidR="00000000" w:rsidDel="00000000" w:rsidP="00000000" w:rsidRDefault="00000000" w:rsidRPr="00000000" w14:paraId="0000001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LPL 01/2026 - “Servicio preventivo y de reparación a vehículos de motor gasolina”.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1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LPL 02/2026 - “Servicio de Mantenimiento y Reparación de Maquinaria y Vehículos Motor Diesel”. </w:t>
      </w:r>
    </w:p>
    <w:p w:rsidR="00000000" w:rsidDel="00000000" w:rsidP="00000000" w:rsidRDefault="00000000" w:rsidRPr="00000000" w14:paraId="0000001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LPL 03/2026 - “Encuestas”.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Clausura. </w:t>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Presentación y en su caso aprobación de Fallos de Adjudicación</w:t>
      </w:r>
    </w:p>
    <w:p w:rsidR="00000000" w:rsidDel="00000000" w:rsidP="00000000" w:rsidRDefault="00000000" w:rsidRPr="00000000" w14:paraId="0000001F">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3.1.- LPL 20/2026</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 “Abasto de Agua Potable Mediante Camiones Tipo Pipa”, solicitado por la Dirección de Agua Potable e Infraestructura Hidráulica, siendo los participantes: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PRODUCTOS CORVE, S.A. DE C.V.</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TECNOLOGÍAS AMBIENTALES DE OCCIDENTE, S. DE R.L. DE C.V.</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ENTERPRISE HOLDINGS SPATYFE, S.A. DE C.V.</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Encontrando que los licitantes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PRODUCTOS CORVE, S.A. DE C.V., </w:t>
      </w:r>
      <w:r w:rsidDel="00000000" w:rsidR="00000000" w:rsidRPr="00000000">
        <w:rPr>
          <w:rFonts w:ascii="Times New Roman" w:cs="Times New Roman" w:eastAsia="Times New Roman" w:hAnsi="Times New Roman"/>
          <w:b w:val="1"/>
          <w:bCs w:val="1"/>
          <w:rtl w:val="0"/>
        </w:rPr>
        <w:t xml:space="preserve">TECNOLOGÍAS</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AMBIENTALES DE OCCIDENTE, S. DE R.L. DE C.V.  y ENTERPRISE HOLDINGS SPATYFE S.A. DE C.V.</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en sus</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propuestas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cumplen</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PRODUCTOS CORVE, S.A. DE C.V.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de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solvente técnicamente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por ende, garantiza el cumplimiento de las obligaciones respectivas, mientras que a los licitantes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TECNOLOGÍAS AMBIENTALES DE OCCIDENTE, S. DE R.L. DE C.V. y ENTERPRISE HOLDINGS SPATYFE, S.A. DE C.V.</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se les califica de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no solventes técnicamente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Es cuanto, Presidente.»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menciona: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«Así pues,</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bajo dicho contexto y dado que el licitante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PRODUCTOS CORVE, S.A. DE C.V</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en su propuesta económica solicita anticipo del 50% para el presente proceso y por la naturaleza del servicio, el municipio no se encuentra en condiciones de otorgarlo, por lo que, de conformidad con el artículo 71, numeral 2 de la Ley Compras Gubernamentales, Enajenaciones y Contratación de Servicios del Estado de Jalisco y sus Municipios, el Comité de Adquisiciones procede a declarar desierta la licitación. Así mismo, en virtud de que persiste la necesidad de adquirir los bienes, se emitirá una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segunda convocatoria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 aprueba por unanimidad de votos de los presentes».</w:t>
      </w:r>
    </w:p>
    <w:p w:rsidR="00000000" w:rsidDel="00000000" w:rsidP="00000000" w:rsidRDefault="00000000" w:rsidRPr="00000000" w14:paraId="00000028">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 da cuenta de la integración del Licenciado Marco Antonio Parra Pérez, representante de Sindicatura Municipal, de forma presencial.)</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3.2.-LPL 23/2026 </w:t>
      </w:r>
      <w:r w:rsidDel="00000000" w:rsidR="00000000" w:rsidRPr="00000000">
        <w:rPr>
          <w:rFonts w:ascii="Times New Roman" w:cs="Times New Roman" w:eastAsia="Times New Roman" w:hAnsi="Times New Roman"/>
          <w:i w:val="1"/>
          <w:iCs w:val="1"/>
          <w:color w:val="000000"/>
          <w:rtl w:val="0"/>
        </w:rPr>
        <w:t xml:space="preserve">- “Servicio de Desazolve con Camión Tipo Vactor” solicitado por Dirección de Agua Potable e Infraestructura Hidráulica, siendo los participantes:  </w:t>
      </w:r>
    </w:p>
    <w:p w:rsidR="00000000" w:rsidDel="00000000" w:rsidP="00000000" w:rsidRDefault="00000000" w:rsidRPr="00000000" w14:paraId="0000002B">
      <w:pPr>
        <w:numPr>
          <w:ilvl w:val="0"/>
          <w:numId w:val="3"/>
        </w:numPr>
        <w:spacing w:after="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FORTEX</w:t>
      </w:r>
      <w:r w:rsidDel="00000000" w:rsidR="00000000" w:rsidRPr="00000000">
        <w:rPr>
          <w:rFonts w:ascii="Times New Roman" w:cs="Times New Roman" w:eastAsia="Times New Roman" w:hAnsi="Times New Roman"/>
          <w:b w:val="1"/>
          <w:bCs w:val="1"/>
          <w:color w:val="000000"/>
          <w:rtl w:val="0"/>
        </w:rPr>
        <w:t xml:space="preserve"> MAQUINARIA Y EQUIPO, S.A. DE C.V.</w:t>
      </w:r>
    </w:p>
    <w:p w:rsidR="00000000" w:rsidDel="00000000" w:rsidP="00000000" w:rsidRDefault="00000000" w:rsidRPr="00000000" w14:paraId="0000002C">
      <w:pPr>
        <w:numPr>
          <w:ilvl w:val="0"/>
          <w:numId w:val="3"/>
        </w:numPr>
        <w:spacing w:after="0" w:lineRule="auto"/>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CONTROL E INGENIERÍA VP S.A. DE C.V.</w:t>
      </w:r>
    </w:p>
    <w:p w:rsidR="00000000" w:rsidDel="00000000" w:rsidP="00000000" w:rsidRDefault="00000000" w:rsidRPr="00000000" w14:paraId="0000002D">
      <w:pPr>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los licitantes </w:t>
      </w:r>
      <w:r w:rsidDel="00000000" w:rsidR="00000000" w:rsidRPr="00000000">
        <w:rPr>
          <w:rFonts w:ascii="Times New Roman" w:cs="Times New Roman" w:eastAsia="Times New Roman" w:hAnsi="Times New Roman"/>
          <w:b w:val="1"/>
          <w:bCs w:val="1"/>
          <w:color w:val="000000"/>
          <w:rtl w:val="0"/>
        </w:rPr>
        <w:t xml:space="preserve">FORTEX MAQUINARIA Y EQUIPO, S.A. DE C.V.  y CONTROL E INGENIERÍA VP, S.A. DE C.V.</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en sus</w:t>
      </w:r>
      <w:r w:rsidDel="00000000" w:rsidR="00000000" w:rsidRPr="00000000">
        <w:rPr>
          <w:rFonts w:ascii="Times New Roman" w:cs="Times New Roman" w:eastAsia="Times New Roman" w:hAnsi="Times New Roman"/>
          <w:i w:val="1"/>
          <w:iCs w:val="1"/>
          <w:color w:val="000000"/>
          <w:rtl w:val="0"/>
        </w:rPr>
        <w:t xml:space="preserve"> propuestas </w:t>
      </w:r>
      <w:r w:rsidDel="00000000" w:rsidR="00000000" w:rsidRPr="00000000">
        <w:rPr>
          <w:rFonts w:ascii="Times New Roman" w:cs="Times New Roman" w:eastAsia="Times New Roman" w:hAnsi="Times New Roman"/>
          <w:b w:val="1"/>
          <w:bCs w:val="1"/>
          <w:i w:val="1"/>
          <w:iCs w:val="1"/>
          <w:color w:val="000000"/>
          <w:rtl w:val="0"/>
        </w:rPr>
        <w:t xml:space="preserve">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CONTROL E INGENIERÍA VP, S.A. DE C.V.</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de</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solvente técnicamente,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por ende, garantiza el cumplimiento de las obligaciones respectivas, mientras que al licitante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FORTEX MAQUINARIA Y EQUIPO, S.A. DE C.V.</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se le califica de</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no solvente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técnicamente. Es cuanto, Presidente.»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menciona: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LPL 23/2026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CONTROL E INGENIERÍA VP S.A. DE C.V.</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por un monto de hasta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$20,000,000.00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(veinte millones de  pesos 00/100 M.N.) I.V.A. incluido.</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bookmarkStart w:colFirst="0" w:colLast="0" w:name="_heading=h.hcfchun2ztkt" w:id="3"/>
      <w:bookmarkEnd w:id="3"/>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 aprueba por unanimidad de votos de los presentes».</w:t>
      </w:r>
    </w:p>
    <w:p w:rsidR="00000000" w:rsidDel="00000000" w:rsidP="00000000" w:rsidRDefault="00000000" w:rsidRPr="00000000" w14:paraId="00000032">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Bases de Licitación.</w:t>
      </w:r>
    </w:p>
    <w:p w:rsidR="00000000" w:rsidDel="00000000" w:rsidP="00000000" w:rsidRDefault="00000000" w:rsidRPr="00000000" w14:paraId="00000033">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4.1.- LPL 26/2026 </w:t>
      </w:r>
      <w:r w:rsidDel="00000000" w:rsidR="00000000" w:rsidRPr="00000000">
        <w:rPr>
          <w:rFonts w:ascii="Times New Roman" w:cs="Times New Roman" w:eastAsia="Times New Roman" w:hAnsi="Times New Roman"/>
          <w:i w:val="1"/>
          <w:iCs w:val="1"/>
          <w:color w:val="000000"/>
          <w:rtl w:val="0"/>
        </w:rPr>
        <w:t xml:space="preserve">- “Kioscos Digitales”, </w:t>
      </w:r>
      <w:r w:rsidDel="00000000" w:rsidR="00000000" w:rsidRPr="00000000">
        <w:rPr>
          <w:rFonts w:ascii="Times New Roman" w:cs="Times New Roman" w:eastAsia="Times New Roman" w:hAnsi="Times New Roman"/>
          <w:b w:val="1"/>
          <w:bCs w:val="1"/>
          <w:i w:val="1"/>
          <w:iCs w:val="1"/>
          <w:color w:val="000000"/>
          <w:rtl w:val="0"/>
        </w:rPr>
        <w:t xml:space="preserve">4.2.- LPL 27/2026 </w:t>
      </w:r>
      <w:r w:rsidDel="00000000" w:rsidR="00000000" w:rsidRPr="00000000">
        <w:rPr>
          <w:rFonts w:ascii="Times New Roman" w:cs="Times New Roman" w:eastAsia="Times New Roman" w:hAnsi="Times New Roman"/>
          <w:i w:val="1"/>
          <w:iCs w:val="1"/>
          <w:color w:val="000000"/>
          <w:rtl w:val="0"/>
        </w:rPr>
        <w:t xml:space="preserve">- “Proyecto Integral para el suministro e instalación de sistema de regulación de ambiente climático dentro de la oficina alterna situada en Parque Industrial Elite Circuito Metropolitano I Industrial B08”,</w:t>
      </w:r>
      <w:r w:rsidDel="00000000" w:rsidR="00000000" w:rsidRPr="00000000">
        <w:rPr>
          <w:rFonts w:ascii="Times New Roman" w:cs="Times New Roman" w:eastAsia="Times New Roman" w:hAnsi="Times New Roman"/>
          <w:b w:val="1"/>
          <w:bCs w:val="1"/>
          <w:i w:val="1"/>
          <w:iCs w:val="1"/>
          <w:color w:val="000000"/>
          <w:rtl w:val="0"/>
        </w:rPr>
        <w:t xml:space="preserve"> 4.3.- LPL 28/2026</w:t>
      </w:r>
      <w:r w:rsidDel="00000000" w:rsidR="00000000" w:rsidRPr="00000000">
        <w:rPr>
          <w:rFonts w:ascii="Times New Roman" w:cs="Times New Roman" w:eastAsia="Times New Roman" w:hAnsi="Times New Roman"/>
          <w:i w:val="1"/>
          <w:iCs w:val="1"/>
          <w:color w:val="000000"/>
          <w:rtl w:val="0"/>
        </w:rPr>
        <w:t xml:space="preserve"> - “Servicio preventivo y de reparación de motocicletas”</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36">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apertura de propuestas.</w:t>
      </w:r>
    </w:p>
    <w:p w:rsidR="00000000" w:rsidDel="00000000" w:rsidP="00000000" w:rsidRDefault="00000000" w:rsidRPr="00000000" w14:paraId="00000038">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5.1</w:t>
      </w:r>
      <w:r w:rsidDel="00000000" w:rsidR="00000000" w:rsidRPr="00000000">
        <w:rPr>
          <w:rFonts w:ascii="Times New Roman" w:cs="Times New Roman" w:eastAsia="Times New Roman" w:hAnsi="Times New Roman"/>
          <w:i w:val="1"/>
          <w:iCs w:val="1"/>
          <w:rtl w:val="0"/>
        </w:rPr>
        <w:t xml:space="preserve"> - 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LPL 01/2026 - “Servicio preventivo y de reparación a vehículos de motor gasolina”</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ecibieron </w:t>
      </w:r>
      <w:r w:rsidDel="00000000" w:rsidR="00000000" w:rsidRPr="00000000">
        <w:rPr>
          <w:rFonts w:ascii="Times New Roman" w:cs="Times New Roman" w:eastAsia="Times New Roman" w:hAnsi="Times New Roman"/>
          <w:color w:val="000000"/>
          <w:rtl w:val="0"/>
        </w:rPr>
        <w:t xml:space="preserve">3 (tres) propues</w:t>
      </w:r>
      <w:r w:rsidDel="00000000" w:rsidR="00000000" w:rsidRPr="00000000">
        <w:rPr>
          <w:rFonts w:ascii="Times New Roman" w:cs="Times New Roman" w:eastAsia="Times New Roman" w:hAnsi="Times New Roman"/>
          <w:color w:val="000000"/>
          <w:highlight w:val="white"/>
          <w:rtl w:val="0"/>
        </w:rPr>
        <w:t xml:space="preserve">tas de los siguientes participante</w:t>
      </w:r>
      <w:r w:rsidDel="00000000" w:rsidR="00000000" w:rsidRPr="00000000">
        <w:rPr>
          <w:rFonts w:ascii="Times New Roman" w:cs="Times New Roman" w:eastAsia="Times New Roman" w:hAnsi="Times New Roman"/>
          <w:color w:val="000000"/>
          <w:rtl w:val="0"/>
        </w:rPr>
        <w:t xml:space="preserv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TRANSPORTES CAMSELL, S.A. DE C.V.,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cual fue evaluada por el</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Licenciado Marco Antonio Parra Pérez, representante de la Sindicatura Municipal,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quien comentó que presenta los documentos solicitados, así como una propuesta por parte del proveedor en precios unitarios.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JOSÉ IVÁN FIGUEROA SALAZAR,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cual fue evaluada por la</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Maestra Elizabeth Bugarín González, representante de la Oficialía Mayor Administrativa,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quien comentó que presenta los documentos solicitados, así como una propuesta por parte del proveedor en precios unitarios.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CARLOS HERNÁNDEZ ONTIVEROS,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cual fue evaluada por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Ingeniero Omar Palafox Sáenz, representante del Consejo de Desarrollo Agropecuario y Agroindustrial de Jalisco,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quien comentó que presenta los documentos solicitados, salvo segunda revisión, así como USB y se recibió una propuesta por parte del proveedor en precios unitarios.</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02/2026 - “Servicio de Mantenimiento y Reparación de Maquinaria y Vehículos Motor Diesel”.»</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Licenciado Daniel Cortés Flores</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r</w:t>
      </w:r>
      <w:r w:rsidDel="00000000" w:rsidR="00000000" w:rsidRPr="00000000">
        <w:rPr>
          <w:rFonts w:ascii="Times New Roman" w:cs="Times New Roman" w:eastAsia="Times New Roman" w:hAnsi="Times New Roman"/>
          <w:b w:val="1"/>
          <w:bCs w:val="1"/>
          <w:color w:val="000000"/>
          <w:highlight w:val="white"/>
          <w:rtl w:val="0"/>
        </w:rPr>
        <w:t xml:space="preserve">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GRUPO AUTOMOTRIZ NORPAC, S.A. DE C.V.,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cual fue evaluada por el</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Ingeniero Manuel Ledezma Esparza, representante de la Dirección de Desarrollo Rural</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quien comentó que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presenta</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los documentos solicitados y se recibió una propuesta por parte del proveedor en precios unitarios.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HIDRÁULICA Y </w:t>
      </w:r>
      <w:r w:rsidDel="00000000" w:rsidR="00000000" w:rsidRPr="00000000">
        <w:rPr>
          <w:rFonts w:ascii="Times New Roman" w:cs="Times New Roman" w:eastAsia="Times New Roman" w:hAnsi="Times New Roman"/>
          <w:b w:val="1"/>
          <w:bCs w:val="1"/>
          <w:rtl w:val="0"/>
        </w:rPr>
        <w:t xml:space="preserve">PAILERIA</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DE JALISCO, S.A. DE C.V.,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cual fue evaluada por la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Licenciada Adriana Santiago González, representante de la Tesorería Municipal,</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quien comentó que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presenta</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los documentos solicitados y se recibió una propuesta por parte del proveedor en precios unitarios.</w:t>
      </w: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w:t>
      </w:r>
      <w:r w:rsidDel="00000000" w:rsidR="00000000" w:rsidRPr="00000000">
        <w:rPr>
          <w:rFonts w:ascii="Times New Roman" w:cs="Times New Roman" w:eastAsia="Times New Roman" w:hAnsi="Times New Roman"/>
          <w:b w:val="1"/>
          <w:bCs w:val="1"/>
          <w:i w:val="1"/>
          <w:iCs w:val="1"/>
          <w:rtl w:val="0"/>
        </w:rPr>
        <w:t xml:space="preserve">3</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w:t>
      </w:r>
      <w:r w:rsidDel="00000000" w:rsidR="00000000" w:rsidRPr="00000000">
        <w:rPr>
          <w:rFonts w:ascii="Times New Roman" w:cs="Times New Roman" w:eastAsia="Times New Roman" w:hAnsi="Times New Roman"/>
          <w:i w:val="1"/>
          <w:iCs w:val="1"/>
          <w:color w:val="000000"/>
          <w:rtl w:val="0"/>
        </w:rPr>
        <w:t xml:space="preserve"> solicita al Órgano Interno de Control entregue los sobres presentados y se proceda a la apertura del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LPL 03/2026 - “Encuestas</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Licenciado Daniel Cortés Flores</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r</w:t>
      </w:r>
      <w:r w:rsidDel="00000000" w:rsidR="00000000" w:rsidRPr="00000000">
        <w:rPr>
          <w:rFonts w:ascii="Times New Roman" w:cs="Times New Roman" w:eastAsia="Times New Roman" w:hAnsi="Times New Roman"/>
          <w:b w:val="1"/>
          <w:bCs w:val="1"/>
          <w:color w:val="000000"/>
          <w:highlight w:val="white"/>
          <w:rtl w:val="0"/>
        </w:rPr>
        <w:t xml:space="preserve">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recibió </w:t>
      </w:r>
      <w:r w:rsidDel="00000000" w:rsidR="00000000" w:rsidRPr="00000000">
        <w:rPr>
          <w:rFonts w:ascii="Times New Roman" w:cs="Times New Roman" w:eastAsia="Times New Roman" w:hAnsi="Times New Roman"/>
          <w:color w:val="000000"/>
          <w:rtl w:val="0"/>
        </w:rPr>
        <w:t xml:space="preserve">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HABITUS CONSULTORES, S.C.,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cual fue evaluada por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Ingeniero Omar Palafox Sáenz, representante del Consejo de Desarrollo Agropecuario y Agroindustrial de Jalisco,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quien comentó que presenta los documentos solicitados, salvo segunda revisión, y se recibió una propuesta por parte del proveedor por un total de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$5,015,000.00</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(Cinco millones quince mil pesos 00/100 M.N.) I.V.A. incluido.</w:t>
      </w: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9:55 nueve horas con </w:t>
      </w:r>
      <w:r w:rsidDel="00000000" w:rsidR="00000000" w:rsidRPr="00000000">
        <w:rPr>
          <w:rFonts w:ascii="Times New Roman" w:cs="Times New Roman" w:eastAsia="Times New Roman" w:hAnsi="Times New Roman"/>
          <w:highlight w:val="white"/>
          <w:rtl w:val="0"/>
        </w:rPr>
        <w:t xml:space="preserve">cincuenta y cinco minutos, del viernes 10 de abril de 2026 dos mil veintiséis, agradeciendo la asistencia de las y los presentes a la misma. </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5F">
      <w:pPr>
        <w:spacing w:after="0" w:line="240" w:lineRule="auto"/>
        <w:rPr>
          <w:rFonts w:ascii="Times New Roman" w:cs="Times New Roman" w:eastAsia="Times New Roman" w:hAnsi="Times New Roman"/>
        </w:rPr>
      </w:pPr>
      <w:bookmarkStart w:colFirst="0" w:colLast="0" w:name="_heading=h.78f4m0odpnn6" w:id="4"/>
      <w:bookmarkEnd w:id="4"/>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Cámara Nacional de Comercio, Servicios y Turismo de Guadalajara.</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9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bookmarkStart w:colFirst="0" w:colLast="0" w:name="_heading=h.324u23v48jmo" w:id="5"/>
      <w:bookmarkEnd w:id="5"/>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Octava Sesión Extraordinaria del Comité de Adquisiciones del Municipio de Tlajomulco de Zúñiga, Jalisco del día 10 de abril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E">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wpeH2upPaUlXHe553fyXRVE9w==">CgMxLjAyDmguMjdqeXJmYnZ5c241Mg5oLnRuaTJyNmh0NGp0ajIOaC51eWJtdjI5eXBwZDkyDmguaGNmY2h1bjJ6dGt0Mg5oLjc4ZjRtMG9kcG5uNjIOaC4zMjR1MjN2NDhqbW84AHIhMTdEY1pUdk9JWE5nejVKa0lZZGl4dDhYVDJNMk5BRFgx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