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B4AD" w14:textId="1B8341E1"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LAUDOS DE SEPTIEMBRE DEL 2025.</w:t>
      </w:r>
    </w:p>
    <w:tbl>
      <w:tblPr>
        <w:tblW w:w="12990" w:type="dxa"/>
        <w:tblCellMar>
          <w:left w:w="0" w:type="dxa"/>
          <w:right w:w="0" w:type="dxa"/>
        </w:tblCellMar>
        <w:tblLook w:val="04A0" w:firstRow="1" w:lastRow="0" w:firstColumn="1" w:lastColumn="0" w:noHBand="0" w:noVBand="1"/>
      </w:tblPr>
      <w:tblGrid>
        <w:gridCol w:w="505"/>
        <w:gridCol w:w="1223"/>
        <w:gridCol w:w="1377"/>
        <w:gridCol w:w="2192"/>
        <w:gridCol w:w="1342"/>
        <w:gridCol w:w="4048"/>
        <w:gridCol w:w="2303"/>
      </w:tblGrid>
      <w:tr w:rsidR="00D929C8" w:rsidRPr="00D929C8" w14:paraId="0944C739"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5C95C93E"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NO.</w:t>
            </w:r>
          </w:p>
        </w:tc>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7956471B"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Nombre del actor.</w:t>
            </w:r>
          </w:p>
        </w:tc>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7DF2D31C"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Expediente.</w:t>
            </w:r>
          </w:p>
        </w:tc>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6799E68F" w14:textId="623D50DA"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Fecha de notificación de laudo.</w:t>
            </w:r>
          </w:p>
        </w:tc>
        <w:tc>
          <w:tcPr>
            <w:tcW w:w="1342" w:type="dxa"/>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162EF2DD"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Fecha del laudo.</w:t>
            </w:r>
          </w:p>
        </w:tc>
        <w:tc>
          <w:tcPr>
            <w:tcW w:w="4048" w:type="dxa"/>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2227C5E1"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Sentido del laudo.</w:t>
            </w:r>
          </w:p>
        </w:tc>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6ADF080D" w14:textId="39AAE0E4"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Puesto/adscripción.</w:t>
            </w:r>
          </w:p>
        </w:tc>
      </w:tr>
      <w:tr w:rsidR="00D929C8" w:rsidRPr="00D929C8" w14:paraId="230556A6"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2E9B89C9"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01A0B7" w14:textId="4CF33252" w:rsidR="00D929C8" w:rsidRPr="00D929C8" w:rsidRDefault="00B22C7F" w:rsidP="00D929C8">
            <w:pPr>
              <w:jc w:val="both"/>
              <w:rPr>
                <w:rFonts w:ascii="Century Gothic" w:hAnsi="Century Gothic"/>
                <w:sz w:val="22"/>
                <w:szCs w:val="22"/>
              </w:rPr>
            </w:pPr>
            <w:r>
              <w:rPr>
                <w:rFonts w:ascii="Century Gothic" w:hAnsi="Century Gothic"/>
                <w:sz w:val="22"/>
                <w:szCs w:val="22"/>
              </w:rPr>
              <w:t>***********</w:t>
            </w:r>
            <w:r w:rsidR="00D929C8" w:rsidRPr="00D929C8">
              <w:rPr>
                <w:rFonts w:ascii="Century Gothic" w:hAnsi="Century Gothic"/>
                <w:sz w:val="22"/>
                <w:szCs w:val="22"/>
              </w:rPr>
              <w:t xml:space="preser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7F44E6"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1569/2019-C3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832324"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15-8-25. Se presenta amparo directo el 05-09-2025.</w:t>
            </w:r>
          </w:p>
        </w:tc>
        <w:tc>
          <w:tcPr>
            <w:tcW w:w="13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7F206"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04-08-25</w:t>
            </w:r>
          </w:p>
        </w:tc>
        <w:tc>
          <w:tcPr>
            <w:tcW w:w="4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3C90C5" w14:textId="2E5A3D73"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 xml:space="preserve">Se condena a la reinstalación, al pago de cinco días de salario, aguinaldo, vacaciones y prima vacacional, horas extras, aportaciones ante IPEJAL, y reconocimiento de antigüedad. Se absuelve del pago de vacaciones a partir del día de despido a un día antes de la reinstalación, así como del pago de quinquenio, bono del servidor público, otorgamiento de seguro de vida y estimulo de puntualidad.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8A9F13"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Analista</w:t>
            </w:r>
          </w:p>
        </w:tc>
      </w:tr>
      <w:tr w:rsidR="00D929C8" w:rsidRPr="00D929C8" w14:paraId="02479AD2"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1ED9E15E"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A79C6E" w14:textId="49890178" w:rsidR="00D929C8" w:rsidRPr="00D929C8" w:rsidRDefault="00B22C7F" w:rsidP="00D929C8">
            <w:pPr>
              <w:jc w:val="both"/>
              <w:rPr>
                <w:rFonts w:ascii="Century Gothic" w:hAnsi="Century Gothic"/>
                <w:sz w:val="22"/>
                <w:szCs w:val="22"/>
              </w:rPr>
            </w:pPr>
            <w:r>
              <w:rPr>
                <w:rFonts w:ascii="Century Gothic" w:hAnsi="Century Gothic"/>
                <w:sz w:val="22"/>
                <w:szCs w:val="22"/>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28F429"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1115/2021-F2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2BBEAF"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27-08-2025. Se presenta amparo directo el 18-09-2025.</w:t>
            </w:r>
          </w:p>
        </w:tc>
        <w:tc>
          <w:tcPr>
            <w:tcW w:w="13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3F07BB"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04-08-2025</w:t>
            </w:r>
          </w:p>
        </w:tc>
        <w:tc>
          <w:tcPr>
            <w:tcW w:w="4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1867B4" w14:textId="2750ADF0"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 xml:space="preserve">Actora acredita acción principal; se condena a la reinstalación, pago de salarios vencidos, incrementos salariales, aguinaldo, vacaciones y pima vacacional, pago de una quincena. Se absuelve al pago de aguinaldo, vacaciones y prima vacacional del 01-02-08 al 22-08-20, </w:t>
            </w:r>
            <w:r w:rsidRPr="00D929C8">
              <w:rPr>
                <w:rFonts w:ascii="Century Gothic" w:hAnsi="Century Gothic"/>
                <w:sz w:val="22"/>
                <w:szCs w:val="22"/>
              </w:rPr>
              <w:lastRenderedPageBreak/>
              <w:t xml:space="preserve">bono del servidor público y horas extras.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4F24E8"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lastRenderedPageBreak/>
              <w:t>Coordinador S.P.</w:t>
            </w:r>
          </w:p>
        </w:tc>
      </w:tr>
      <w:tr w:rsidR="00D929C8" w:rsidRPr="00D929C8" w14:paraId="42FA0313"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100B2928"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36A639" w14:textId="12F032A0" w:rsidR="00D929C8" w:rsidRPr="00D929C8" w:rsidRDefault="00B22C7F" w:rsidP="00D929C8">
            <w:pPr>
              <w:jc w:val="both"/>
              <w:rPr>
                <w:rFonts w:ascii="Century Gothic" w:hAnsi="Century Gothic"/>
                <w:sz w:val="22"/>
                <w:szCs w:val="22"/>
              </w:rPr>
            </w:pPr>
            <w:r>
              <w:rPr>
                <w:rFonts w:ascii="Century Gothic" w:hAnsi="Century Gothic"/>
                <w:sz w:val="22"/>
                <w:szCs w:val="22"/>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939626"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1700/2019-A2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4078D"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29-08-25. Se presenta amparo directo el 22-09-2025.</w:t>
            </w:r>
          </w:p>
        </w:tc>
        <w:tc>
          <w:tcPr>
            <w:tcW w:w="13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D2543C"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22-07-2025</w:t>
            </w:r>
          </w:p>
        </w:tc>
        <w:tc>
          <w:tcPr>
            <w:tcW w:w="4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F65B7C" w14:textId="6DC0C0F8"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 xml:space="preserve">ACTORA NO ACREDITA ACCION. Se absuelve al ayuntamiento de la acción principal (reinstalación) y por consecuente del pago de salarios vencidos e incrementos, aguinaldo, vacaciones y prima vacacional, días de descanso obligatorios, gastos médicos y horas extras del 22-06-18 al 14-08-18 y del 03-12-18 al 15-06-19. Se condeno al pago de 135 horas extras cubiertas al 100%.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208E24"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Auxiliar administrativo.</w:t>
            </w:r>
          </w:p>
        </w:tc>
      </w:tr>
      <w:tr w:rsidR="00D929C8" w:rsidRPr="00D929C8" w14:paraId="3E215458"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0C54BD75"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F4E4E8" w14:textId="6A24A66F" w:rsidR="00D929C8" w:rsidRPr="00D929C8" w:rsidRDefault="00B22C7F" w:rsidP="00D929C8">
            <w:pPr>
              <w:jc w:val="both"/>
              <w:rPr>
                <w:rFonts w:ascii="Century Gothic" w:hAnsi="Century Gothic"/>
                <w:sz w:val="22"/>
                <w:szCs w:val="22"/>
              </w:rPr>
            </w:pPr>
            <w:r>
              <w:rPr>
                <w:rFonts w:ascii="Century Gothic" w:hAnsi="Century Gothic"/>
                <w:sz w:val="22"/>
                <w:szCs w:val="22"/>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FE62FC"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1017/2020-B3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283B0E"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04-09-2025. Se presenta amparo directo el 26-09-2025.</w:t>
            </w:r>
          </w:p>
        </w:tc>
        <w:tc>
          <w:tcPr>
            <w:tcW w:w="13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6E7C4C"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12-08-2025</w:t>
            </w:r>
          </w:p>
        </w:tc>
        <w:tc>
          <w:tcPr>
            <w:tcW w:w="4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A36540" w14:textId="6FD28AFE"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Se absuelve a la entidad demandada a pagar 3 meses de salario por indemnización constitucional, así como salarios vencidos, bono del servidor público. Se condena al pago de salarios comprendidos del 06 al 20 de junio de 2020, el pago retroactivo de $9.000 por concepto de quincenas, así como vacaciones, prima vacacional y Aguinaldo del 01-01-19 al 22-06-2020.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70029F" w14:textId="77777777"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notificador y ejecutor fiscal.</w:t>
            </w:r>
          </w:p>
        </w:tc>
      </w:tr>
      <w:tr w:rsidR="00D929C8" w:rsidRPr="00D929C8" w14:paraId="6C56CAA3" w14:textId="77777777" w:rsidTr="00D929C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14:paraId="1FAD91DB"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lastRenderedPageBreak/>
              <w:t>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C148E3" w14:textId="193FA87C" w:rsidR="00D929C8" w:rsidRPr="00D929C8" w:rsidRDefault="00B22C7F" w:rsidP="00B22C7F">
            <w:pPr>
              <w:jc w:val="center"/>
              <w:rPr>
                <w:rFonts w:ascii="Century Gothic" w:hAnsi="Century Gothic"/>
                <w:sz w:val="22"/>
                <w:szCs w:val="22"/>
              </w:rPr>
            </w:pPr>
            <w:r>
              <w:rPr>
                <w:rFonts w:ascii="Century Gothic" w:hAnsi="Century Gothic"/>
                <w:sz w:val="22"/>
                <w:szCs w:val="22"/>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160D7F"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843/2022-F3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10A397"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27-08-2025. Se aclara laudo el 02-09-25 y se presenta amparo directo el 18-09-2025.</w:t>
            </w:r>
          </w:p>
        </w:tc>
        <w:tc>
          <w:tcPr>
            <w:tcW w:w="13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60CBC5" w14:textId="77777777"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15-07-2025</w:t>
            </w:r>
          </w:p>
        </w:tc>
        <w:tc>
          <w:tcPr>
            <w:tcW w:w="4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761E54" w14:textId="57D6D225" w:rsidR="00D929C8" w:rsidRPr="00D929C8" w:rsidRDefault="00D929C8" w:rsidP="00D929C8">
            <w:pPr>
              <w:jc w:val="both"/>
              <w:rPr>
                <w:rFonts w:ascii="Century Gothic" w:hAnsi="Century Gothic"/>
                <w:sz w:val="22"/>
                <w:szCs w:val="22"/>
              </w:rPr>
            </w:pPr>
            <w:r w:rsidRPr="00D929C8">
              <w:rPr>
                <w:rFonts w:ascii="Century Gothic" w:hAnsi="Century Gothic"/>
                <w:sz w:val="22"/>
                <w:szCs w:val="22"/>
              </w:rPr>
              <w:t>Acciones y excepciones acreditadas parcialmente. Se condena a la demandada a declarar la nulidad del procedimiento 15/2022, a REINSTALAR al actor, pago de salarios caídos, aguinaldo y prima vacacional, pago de vacaciones del 2021 y del 01 de enero al 01 de mayo del 2022, acredite pago de aportaciones ante IPEJAL. Se absuelve del pago de aguinaldo y prima vacacional, bono servidor público, bono COVID y bono de paramédico.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766D95" w14:textId="6B826976" w:rsidR="00D929C8" w:rsidRPr="00D929C8" w:rsidRDefault="00D929C8" w:rsidP="00D929C8">
            <w:pPr>
              <w:jc w:val="center"/>
              <w:rPr>
                <w:rFonts w:ascii="Century Gothic" w:hAnsi="Century Gothic"/>
                <w:sz w:val="22"/>
                <w:szCs w:val="22"/>
              </w:rPr>
            </w:pPr>
            <w:r w:rsidRPr="00D929C8">
              <w:rPr>
                <w:rFonts w:ascii="Century Gothic" w:hAnsi="Century Gothic"/>
                <w:sz w:val="22"/>
                <w:szCs w:val="22"/>
              </w:rPr>
              <w:t>paramédico operador.</w:t>
            </w:r>
          </w:p>
        </w:tc>
      </w:tr>
    </w:tbl>
    <w:p w14:paraId="05045421" w14:textId="77777777" w:rsidR="00D929C8" w:rsidRPr="00D929C8" w:rsidRDefault="00D929C8" w:rsidP="00D929C8">
      <w:pPr>
        <w:jc w:val="both"/>
        <w:rPr>
          <w:rFonts w:ascii="Century Gothic" w:hAnsi="Century Gothic"/>
          <w:sz w:val="22"/>
          <w:szCs w:val="22"/>
        </w:rPr>
      </w:pPr>
    </w:p>
    <w:sectPr w:rsidR="00D929C8" w:rsidRPr="00D929C8" w:rsidSect="00D929C8">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C8"/>
    <w:rsid w:val="00262B8B"/>
    <w:rsid w:val="0084769B"/>
    <w:rsid w:val="00B22C7F"/>
    <w:rsid w:val="00C54D25"/>
    <w:rsid w:val="00D929C8"/>
    <w:rsid w:val="00F378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4800"/>
  <w15:chartTrackingRefBased/>
  <w15:docId w15:val="{DB587807-32C3-4854-9696-8F38ED32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2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2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29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29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29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29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29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29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29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29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29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29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29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29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29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29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29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29C8"/>
    <w:rPr>
      <w:rFonts w:eastAsiaTheme="majorEastAsia" w:cstheme="majorBidi"/>
      <w:color w:val="272727" w:themeColor="text1" w:themeTint="D8"/>
    </w:rPr>
  </w:style>
  <w:style w:type="paragraph" w:styleId="Ttulo">
    <w:name w:val="Title"/>
    <w:basedOn w:val="Normal"/>
    <w:next w:val="Normal"/>
    <w:link w:val="TtuloCar"/>
    <w:uiPriority w:val="10"/>
    <w:qFormat/>
    <w:rsid w:val="00D92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29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29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29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29C8"/>
    <w:pPr>
      <w:spacing w:before="160"/>
      <w:jc w:val="center"/>
    </w:pPr>
    <w:rPr>
      <w:i/>
      <w:iCs/>
      <w:color w:val="404040" w:themeColor="text1" w:themeTint="BF"/>
    </w:rPr>
  </w:style>
  <w:style w:type="character" w:customStyle="1" w:styleId="CitaCar">
    <w:name w:val="Cita Car"/>
    <w:basedOn w:val="Fuentedeprrafopredeter"/>
    <w:link w:val="Cita"/>
    <w:uiPriority w:val="29"/>
    <w:rsid w:val="00D929C8"/>
    <w:rPr>
      <w:i/>
      <w:iCs/>
      <w:color w:val="404040" w:themeColor="text1" w:themeTint="BF"/>
    </w:rPr>
  </w:style>
  <w:style w:type="paragraph" w:styleId="Prrafodelista">
    <w:name w:val="List Paragraph"/>
    <w:basedOn w:val="Normal"/>
    <w:uiPriority w:val="34"/>
    <w:qFormat/>
    <w:rsid w:val="00D929C8"/>
    <w:pPr>
      <w:ind w:left="720"/>
      <w:contextualSpacing/>
    </w:pPr>
  </w:style>
  <w:style w:type="character" w:styleId="nfasisintenso">
    <w:name w:val="Intense Emphasis"/>
    <w:basedOn w:val="Fuentedeprrafopredeter"/>
    <w:uiPriority w:val="21"/>
    <w:qFormat/>
    <w:rsid w:val="00D929C8"/>
    <w:rPr>
      <w:i/>
      <w:iCs/>
      <w:color w:val="0F4761" w:themeColor="accent1" w:themeShade="BF"/>
    </w:rPr>
  </w:style>
  <w:style w:type="paragraph" w:styleId="Citadestacada">
    <w:name w:val="Intense Quote"/>
    <w:basedOn w:val="Normal"/>
    <w:next w:val="Normal"/>
    <w:link w:val="CitadestacadaCar"/>
    <w:uiPriority w:val="30"/>
    <w:qFormat/>
    <w:rsid w:val="00D92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29C8"/>
    <w:rPr>
      <w:i/>
      <w:iCs/>
      <w:color w:val="0F4761" w:themeColor="accent1" w:themeShade="BF"/>
    </w:rPr>
  </w:style>
  <w:style w:type="character" w:styleId="Referenciaintensa">
    <w:name w:val="Intense Reference"/>
    <w:basedOn w:val="Fuentedeprrafopredeter"/>
    <w:uiPriority w:val="32"/>
    <w:qFormat/>
    <w:rsid w:val="00D929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402</Words>
  <Characters>2211</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rlcorporativokarla@outlook.com</dc:creator>
  <cp:keywords/>
  <dc:description/>
  <cp:lastModifiedBy>JOSE JAVIER RAMIREZ CASTRO</cp:lastModifiedBy>
  <cp:revision>3</cp:revision>
  <dcterms:created xsi:type="dcterms:W3CDTF">2025-10-08T19:26:00Z</dcterms:created>
  <dcterms:modified xsi:type="dcterms:W3CDTF">2025-10-13T19:10:00Z</dcterms:modified>
</cp:coreProperties>
</file>