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t>Ficha sobre las Matrices de indicadores (MIR) 2020</w:t>
      </w:r>
    </w:p>
    <w:p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1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2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3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>
      <w:pPr>
        <w:jc w:val="left"/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Presenta el resultado directo o cambio esperado sobre la población objetivo derivado de la intervención del programa.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Las principales tareas a cumplir para la producción y entrega de cada uno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de los componentes del programa.</w:t>
      </w:r>
    </w:p>
    <w:p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Indicadores: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Expresan los conceptos relevantes a medir de cada uno de los cuatro niveles de objetivo en forma de indicadores. 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u w:val="single"/>
          <w:lang w:val="es-MX" w:eastAsia="es-MX"/>
        </w:rPr>
        <w:t>Nombre del indicador: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El cual debe estar escrito de manera sintética, clara e irrepetible. 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Plantea por medio de variables la expresión algebraica que cuyo resultado es el valor del indicador.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 xml:space="preserve">Tipo: 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 Mide el grado de cumplimiento de los objetivos de las políticas públicas y de los programas presupuestarios. Contribuye a corregir o fortalecerlas estrategias y la orientación de los recursos. Incluye a los indicadores de Fin, Propósito y aquellos de Componentes que consideran subsidios, bienes y/o servicios que impactan directamente a la población o área de enfoque.  Impacta de manera directa en la población o área de enfoque.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Gestión: Mide e l avance y logro en procesos y actividades, es decir, sobre la forma en que los bienes y/o servicios públicos son generados y entregados. Incluye los indicadores de Actividades y aquéllos de Componentes que entregan bienes y/o servicios para ser utilizados por otras instancias. 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Dimensión: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lastRenderedPageBreak/>
        <w:t xml:space="preserve">Calidad: Mide los atributos, propiedades o características que deben tener los bienes y servicios para satisfacer a los usuarios. 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Frecuencia de la medición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: Establece con que periodicidad son recogidos los datos que nos permiten calcular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Medios de verificación: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785"/>
        <w:gridCol w:w="937"/>
        <w:gridCol w:w="1034"/>
        <w:gridCol w:w="1061"/>
        <w:gridCol w:w="1132"/>
        <w:gridCol w:w="1124"/>
        <w:gridCol w:w="1034"/>
      </w:tblGrid>
      <w:tr>
        <w:trPr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>
        <w:trPr>
          <w:jc w:val="center"/>
        </w:trPr>
        <w:tc>
          <w:tcPr>
            <w:tcW w:w="1194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la medición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Fuentes  de información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034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>
      <w:pPr>
        <w:jc w:val="left"/>
      </w:pPr>
    </w:p>
    <w:sectPr>
      <w:pgSz w:w="12240" w:h="15840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AgoraSans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2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https://www.transparenciapresupuestaria.gob.mx/work/models/PTP/Capacitacion/GuiaMIR.pdf</w:t>
      </w:r>
    </w:p>
  </w:footnote>
  <w:footnote w:id="3">
    <w:p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84F"/>
    <w:multiLevelType w:val="hybridMultilevel"/>
    <w:tmpl w:val="956CDE5A"/>
    <w:lvl w:ilvl="0" w:tplc="3AF0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970E">
      <w:start w:val="20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Theme="minorHAnsi" w:hAnsi="Garamond" w:cstheme="minorBidi" w:hint="default"/>
      </w:rPr>
    </w:lvl>
    <w:lvl w:ilvl="3" w:tplc="4FF2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A5BE-7870-4500-8D27-6C9277D0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Rosales</dc:creator>
  <cp:lastModifiedBy>Likuit Snake</cp:lastModifiedBy>
  <cp:revision>6</cp:revision>
  <dcterms:created xsi:type="dcterms:W3CDTF">2021-06-30T14:58:00Z</dcterms:created>
  <dcterms:modified xsi:type="dcterms:W3CDTF">2021-06-30T15:35:00Z</dcterms:modified>
</cp:coreProperties>
</file>