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eastAsia="Times New Roman" w:hAnsi="Arial" w:cs="Arial"/>
          <w:sz w:val="28"/>
          <w:lang w:val="es-MX"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val="es-MX" w:eastAsia="es-MX"/>
        </w:rPr>
        <w:t>Ficha sobre las Matrices de indicadores (MIR) 2019</w:t>
      </w:r>
      <w:bookmarkStart w:id="0" w:name="_GoBack"/>
      <w:bookmarkEnd w:id="0"/>
    </w:p>
    <w:p>
      <w:pP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</w:pP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>Con la intención de mejorar la comprensión de los indicadores contenidos en la MIR, se describe de manera puntual la información contenida por filas y columnas, con base en la “Guía para la Elaboración de la Matriz para Indicadores para Resultados” del Consejo Nacional de Evaluación de la Política de Desarrollo Social (CONEVAL)</w:t>
      </w:r>
      <w:r>
        <w:rPr>
          <w:rStyle w:val="Refdenotaalpie"/>
          <w:rFonts w:ascii="Arial" w:eastAsia="Times New Roman" w:hAnsi="Arial" w:cs="Arial"/>
          <w:color w:val="191919"/>
          <w:sz w:val="22"/>
          <w:szCs w:val="20"/>
          <w:lang w:val="es-MX" w:eastAsia="es-MX"/>
        </w:rPr>
        <w:footnoteReference w:id="1"/>
      </w: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>, la “Guía para el diseño de la Matriz de Indicadores para Resultados”</w:t>
      </w:r>
      <w:r>
        <w:rPr>
          <w:rStyle w:val="Refdenotaalpie"/>
          <w:rFonts w:ascii="Arial" w:eastAsia="Times New Roman" w:hAnsi="Arial" w:cs="Arial"/>
          <w:color w:val="191919"/>
          <w:sz w:val="22"/>
          <w:szCs w:val="20"/>
          <w:lang w:val="es-MX" w:eastAsia="es-MX"/>
        </w:rPr>
        <w:footnoteReference w:id="2"/>
      </w: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 xml:space="preserve"> y con información de la Auditoría Superior del Estado de Jalisco (ASEJ)</w:t>
      </w:r>
      <w:r>
        <w:rPr>
          <w:rStyle w:val="Refdenotaalpie"/>
          <w:rFonts w:ascii="Arial" w:eastAsia="Times New Roman" w:hAnsi="Arial" w:cs="Arial"/>
          <w:color w:val="191919"/>
          <w:sz w:val="22"/>
          <w:szCs w:val="20"/>
          <w:lang w:val="es-MX" w:eastAsia="es-MX"/>
        </w:rPr>
        <w:footnoteReference w:id="3"/>
      </w: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>:</w:t>
      </w:r>
    </w:p>
    <w:p>
      <w:pPr>
        <w:jc w:val="left"/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u w:val="single"/>
          <w:lang w:eastAsia="es-MX"/>
        </w:rPr>
        <w:t>FILAS:</w:t>
      </w:r>
    </w:p>
    <w:p>
      <w:pPr>
        <w:numPr>
          <w:ilvl w:val="0"/>
          <w:numId w:val="1"/>
        </w:numP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Fin: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Establece el objetivo de desarrollo u objetivo de la dependencia o entidad al que el programa busca contribuir para su solución en el mediano o el largo plazo.</w:t>
      </w:r>
    </w:p>
    <w:p>
      <w:pPr>
        <w:numPr>
          <w:ilvl w:val="0"/>
          <w:numId w:val="1"/>
        </w:numP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Propósito: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Presenta el resultado directo o cambio esperado sobre la población objetivo derivado de la intervención del programa.</w:t>
      </w:r>
    </w:p>
    <w:p>
      <w:pPr>
        <w:numPr>
          <w:ilvl w:val="0"/>
          <w:numId w:val="1"/>
        </w:numP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Componente: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Los bienes y servicios que entrega el programa para cumplir con su propósito.</w:t>
      </w:r>
      <w:r>
        <w:rPr>
          <w:rFonts w:ascii="Arial" w:eastAsia="Times New Roman" w:hAnsi="Arial" w:cs="Arial"/>
          <w:color w:val="191919"/>
          <w:sz w:val="22"/>
          <w:szCs w:val="20"/>
          <w:lang w:eastAsia="es-MX"/>
        </w:rPr>
        <w:t xml:space="preserve"> </w:t>
      </w:r>
    </w:p>
    <w:p>
      <w:pPr>
        <w:numPr>
          <w:ilvl w:val="0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Actividad: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Las principales tareas a cumplir para la producción y entrega de cada uno</w:t>
      </w:r>
    </w:p>
    <w:p>
      <w:pPr>
        <w:numPr>
          <w:ilvl w:val="0"/>
          <w:numId w:val="1"/>
        </w:numP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</w:pP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de los componentes del programa.</w:t>
      </w:r>
    </w:p>
    <w:p>
      <w:pPr>
        <w:jc w:val="left"/>
        <w:rPr>
          <w:rFonts w:ascii="Arial" w:eastAsia="Times New Roman" w:hAnsi="Arial" w:cs="Arial"/>
          <w:b/>
          <w:bCs/>
          <w:color w:val="191919"/>
          <w:sz w:val="22"/>
          <w:szCs w:val="20"/>
          <w:u w:val="single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u w:val="single"/>
          <w:lang w:eastAsia="es-MX"/>
        </w:rPr>
        <w:t>COLUMNAS:</w:t>
      </w:r>
    </w:p>
    <w:p>
      <w:pPr>
        <w:numPr>
          <w:ilvl w:val="0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Resumen narrativo: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Es la descripción comprensible para todo el público del objetivo por fila de la matriz.</w:t>
      </w:r>
    </w:p>
    <w:p>
      <w:pPr>
        <w:numPr>
          <w:ilvl w:val="0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Indicadores: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 xml:space="preserve">Expresan los conceptos relevantes a medir de cada uno de los cuatro niveles de objetivo en forma de indicadores. </w:t>
      </w:r>
    </w:p>
    <w:p>
      <w:pPr>
        <w:pStyle w:val="Prrafodelista"/>
        <w:numPr>
          <w:ilvl w:val="1"/>
          <w:numId w:val="1"/>
        </w:numP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</w:pPr>
      <w:r>
        <w:rPr>
          <w:rFonts w:ascii="Arial" w:eastAsia="Times New Roman" w:hAnsi="Arial" w:cs="Arial"/>
          <w:color w:val="191919"/>
          <w:sz w:val="22"/>
          <w:szCs w:val="20"/>
          <w:u w:val="single"/>
          <w:lang w:val="es-MX" w:eastAsia="es-MX"/>
        </w:rPr>
        <w:t>Nombre del indicador:</w:t>
      </w: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 xml:space="preserve"> El cual debe estar escrito de manera sintética, clara e irrepetible. </w:t>
      </w:r>
    </w:p>
    <w:p>
      <w:pPr>
        <w:numPr>
          <w:ilvl w:val="1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Cs/>
          <w:color w:val="191919"/>
          <w:sz w:val="22"/>
          <w:szCs w:val="20"/>
          <w:u w:val="single"/>
          <w:lang w:eastAsia="es-MX"/>
        </w:rPr>
        <w:t>Método de cálculo: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 xml:space="preserve"> Plantea por medio de variables la expresión algebraica que cuyo resultado es el valor del indicador.</w:t>
      </w:r>
    </w:p>
    <w:p>
      <w:pPr>
        <w:numPr>
          <w:ilvl w:val="1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u w:val="single"/>
          <w:lang w:eastAsia="es-MX"/>
        </w:rPr>
      </w:pPr>
      <w:r>
        <w:rPr>
          <w:rFonts w:ascii="Arial" w:eastAsia="Times New Roman" w:hAnsi="Arial" w:cs="Arial"/>
          <w:bCs/>
          <w:color w:val="191919"/>
          <w:sz w:val="22"/>
          <w:szCs w:val="20"/>
          <w:u w:val="single"/>
          <w:lang w:eastAsia="es-MX"/>
        </w:rPr>
        <w:t xml:space="preserve">Tipo: </w:t>
      </w:r>
    </w:p>
    <w:p>
      <w:pPr>
        <w:numPr>
          <w:ilvl w:val="2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Estratégico: Mide el grado de cumplimiento de los objetivos de las políticas públicas y de los programas presupuestarios. Contribuye a corregir o fortalecerlas estrategias y la orientación de los recursos. Incluye a los indicadores de Fin, Propósito y aquellos de Componentes que consideran subsidios, bienes y/o servicios que impactan directamente a la población o área de enfoque.  Impacta de manera directa en la población o área de enfoque.</w:t>
      </w:r>
    </w:p>
    <w:p>
      <w:pPr>
        <w:numPr>
          <w:ilvl w:val="2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 xml:space="preserve">Gestión: Mide e l avance y logro en procesos y actividades, es decir, sobre la forma en que los bienes y/o servicios públicos son generados y entregados. Incluye los indicadores de Actividades y aquéllos de Componentes que entregan bienes y/o servicios para ser utilizados por otras instancias. </w:t>
      </w:r>
    </w:p>
    <w:p>
      <w:pPr>
        <w:numPr>
          <w:ilvl w:val="1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u w:val="single"/>
          <w:lang w:eastAsia="es-MX"/>
        </w:rPr>
      </w:pPr>
      <w:r>
        <w:rPr>
          <w:rFonts w:ascii="Arial" w:eastAsia="Times New Roman" w:hAnsi="Arial" w:cs="Arial"/>
          <w:bCs/>
          <w:color w:val="191919"/>
          <w:sz w:val="22"/>
          <w:szCs w:val="20"/>
          <w:u w:val="single"/>
          <w:lang w:eastAsia="es-MX"/>
        </w:rPr>
        <w:t>Dimensión:</w:t>
      </w:r>
    </w:p>
    <w:p>
      <w:pPr>
        <w:pStyle w:val="Prrafodelista"/>
        <w:numPr>
          <w:ilvl w:val="2"/>
          <w:numId w:val="1"/>
        </w:numPr>
        <w:rPr>
          <w:rFonts w:ascii="Arial" w:eastAsia="Times New Roman" w:hAnsi="Arial" w:cs="Arial"/>
          <w:sz w:val="28"/>
          <w:lang w:val="es-MX" w:eastAsia="es-MX"/>
        </w:rPr>
      </w:pP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 xml:space="preserve">Eficiencia: Se refiere a la productividad de los recursos utilizados para producir un determinado bien o servicio. </w:t>
      </w:r>
    </w:p>
    <w:p>
      <w:pPr>
        <w:pStyle w:val="Prrafodelista"/>
        <w:numPr>
          <w:ilvl w:val="2"/>
          <w:numId w:val="1"/>
        </w:numPr>
        <w:rPr>
          <w:rFonts w:ascii="Arial" w:eastAsia="Times New Roman" w:hAnsi="Arial" w:cs="Arial"/>
          <w:sz w:val="28"/>
          <w:lang w:val="es-MX" w:eastAsia="es-MX"/>
        </w:rPr>
      </w:pP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t xml:space="preserve">Eficacia: Indica el grado de cumplimiento de los objetivos planteados. </w:t>
      </w:r>
    </w:p>
    <w:p>
      <w:pPr>
        <w:pStyle w:val="Prrafodelista"/>
        <w:numPr>
          <w:ilvl w:val="2"/>
          <w:numId w:val="1"/>
        </w:numPr>
        <w:rPr>
          <w:rFonts w:ascii="Arial" w:eastAsia="Times New Roman" w:hAnsi="Arial" w:cs="Arial"/>
          <w:sz w:val="28"/>
          <w:lang w:val="es-MX" w:eastAsia="es-MX"/>
        </w:rPr>
      </w:pPr>
      <w:r>
        <w:rPr>
          <w:rFonts w:ascii="Arial" w:eastAsia="Times New Roman" w:hAnsi="Arial" w:cs="Arial"/>
          <w:color w:val="191919"/>
          <w:sz w:val="22"/>
          <w:szCs w:val="20"/>
          <w:lang w:val="es-MX" w:eastAsia="es-MX"/>
        </w:rPr>
        <w:lastRenderedPageBreak/>
        <w:t xml:space="preserve">Calidad: Mide los atributos, propiedades o características que deben tener los bienes y servicios para satisfacer a los usuarios. </w:t>
      </w:r>
    </w:p>
    <w:p>
      <w:pPr>
        <w:numPr>
          <w:ilvl w:val="2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u w:val="single"/>
          <w:lang w:eastAsia="es-MX"/>
        </w:rPr>
      </w:pP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Economía: Miden la capacidad del programa para administrar, generar o movilizar de manera adecuada los recursos financieros.</w:t>
      </w:r>
    </w:p>
    <w:p>
      <w:pPr>
        <w:numPr>
          <w:ilvl w:val="1"/>
          <w:numId w:val="1"/>
        </w:numPr>
        <w:rPr>
          <w:rFonts w:ascii="Arial" w:eastAsia="Times New Roman" w:hAnsi="Arial" w:cs="Arial"/>
          <w:bCs/>
          <w:color w:val="191919"/>
          <w:sz w:val="22"/>
          <w:szCs w:val="20"/>
          <w:u w:val="single"/>
          <w:lang w:eastAsia="es-MX"/>
        </w:rPr>
      </w:pPr>
      <w:r>
        <w:rPr>
          <w:rFonts w:ascii="Arial" w:eastAsia="Times New Roman" w:hAnsi="Arial" w:cs="Arial"/>
          <w:bCs/>
          <w:color w:val="191919"/>
          <w:sz w:val="22"/>
          <w:szCs w:val="20"/>
          <w:u w:val="single"/>
          <w:lang w:eastAsia="es-MX"/>
        </w:rPr>
        <w:t>Frecuencia de la medición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: Establece con que periodicidad son recogidos los datos que nos permiten calcular los indicadores.</w:t>
      </w:r>
    </w:p>
    <w:p>
      <w:pPr>
        <w:numPr>
          <w:ilvl w:val="0"/>
          <w:numId w:val="1"/>
        </w:numP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Medios de verificación: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Fuentes de información a las cuales recurrir para obtener los indicadores.</w:t>
      </w:r>
    </w:p>
    <w:p>
      <w:pPr>
        <w:numPr>
          <w:ilvl w:val="0"/>
          <w:numId w:val="1"/>
        </w:numP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91919"/>
          <w:sz w:val="22"/>
          <w:szCs w:val="20"/>
          <w:lang w:eastAsia="es-MX"/>
        </w:rPr>
        <w:t xml:space="preserve">Supuestos: </w:t>
      </w:r>
      <w:r>
        <w:rPr>
          <w:rFonts w:ascii="Arial" w:eastAsia="Times New Roman" w:hAnsi="Arial" w:cs="Arial"/>
          <w:bCs/>
          <w:color w:val="191919"/>
          <w:sz w:val="22"/>
          <w:szCs w:val="20"/>
          <w:lang w:eastAsia="es-MX"/>
        </w:rPr>
        <w:t>Aquella condición (es) externos que debe(n) cumplirse para alcanzar lo planteado en el resumen narrativo.</w:t>
      </w:r>
    </w:p>
    <w:p>
      <w:pPr>
        <w:jc w:val="left"/>
        <w:rPr>
          <w:rFonts w:ascii="PFAgoraSansPro" w:eastAsia="Times New Roman" w:hAnsi="PFAgoraSansPro" w:cs="Times New Roman"/>
          <w:b/>
          <w:bCs/>
          <w:color w:val="191919"/>
          <w:sz w:val="20"/>
          <w:szCs w:val="20"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94"/>
        <w:gridCol w:w="937"/>
        <w:gridCol w:w="937"/>
        <w:gridCol w:w="785"/>
        <w:gridCol w:w="937"/>
        <w:gridCol w:w="1034"/>
        <w:gridCol w:w="1061"/>
        <w:gridCol w:w="1132"/>
        <w:gridCol w:w="1124"/>
        <w:gridCol w:w="1034"/>
      </w:tblGrid>
      <w:tr>
        <w:trPr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Merge w:val="restart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Resumen narrativo</w:t>
            </w:r>
          </w:p>
        </w:tc>
        <w:tc>
          <w:tcPr>
            <w:tcW w:w="4754" w:type="dxa"/>
            <w:gridSpan w:val="5"/>
            <w:vAlign w:val="center"/>
          </w:tcPr>
          <w:p>
            <w:pPr>
              <w:tabs>
                <w:tab w:val="left" w:pos="1350"/>
              </w:tabs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2256" w:type="dxa"/>
            <w:gridSpan w:val="2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Medios de verificación</w:t>
            </w:r>
          </w:p>
        </w:tc>
        <w:tc>
          <w:tcPr>
            <w:tcW w:w="1034" w:type="dxa"/>
            <w:vMerge w:val="restart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Supuestos</w:t>
            </w:r>
          </w:p>
        </w:tc>
      </w:tr>
      <w:tr>
        <w:trPr>
          <w:jc w:val="center"/>
        </w:trPr>
        <w:tc>
          <w:tcPr>
            <w:tcW w:w="1194" w:type="dxa"/>
            <w:vMerge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Merge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Método de cálculo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Tipo de indicador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Dimensión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Frecuencia de la medición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Fuentes  de información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Verificación</w:t>
            </w:r>
          </w:p>
        </w:tc>
        <w:tc>
          <w:tcPr>
            <w:tcW w:w="1034" w:type="dxa"/>
            <w:vMerge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</w:tr>
      <w:tr>
        <w:trPr>
          <w:jc w:val="center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</w:tr>
      <w:tr>
        <w:trPr>
          <w:jc w:val="center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</w:tr>
      <w:tr>
        <w:trPr>
          <w:jc w:val="center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</w:tr>
      <w:tr>
        <w:trPr>
          <w:jc w:val="center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191919"/>
                <w:sz w:val="16"/>
                <w:szCs w:val="16"/>
                <w:lang w:eastAsia="es-MX"/>
              </w:rPr>
            </w:pPr>
          </w:p>
        </w:tc>
      </w:tr>
    </w:tbl>
    <w:p>
      <w:pPr>
        <w:jc w:val="left"/>
      </w:pPr>
    </w:p>
    <w:sectPr>
      <w:pgSz w:w="12240" w:h="15840"/>
      <w:pgMar w:top="1417" w:right="118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FAgoraSansPro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Textonotapie"/>
        <w:rPr>
          <w:rFonts w:asciiTheme="majorHAnsi" w:hAnsiTheme="majorHAnsi" w:cstheme="majorHAnsi"/>
          <w:sz w:val="16"/>
          <w:szCs w:val="16"/>
          <w:lang w:val="es-MX"/>
        </w:rPr>
      </w:pPr>
      <w:r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>
        <w:rPr>
          <w:rFonts w:asciiTheme="majorHAnsi" w:hAnsiTheme="majorHAnsi" w:cstheme="majorHAnsi"/>
          <w:sz w:val="16"/>
          <w:szCs w:val="16"/>
        </w:rPr>
        <w:t xml:space="preserve"> https://www.coneval.org.mx/Informes/Coordinacion/Publicaciones%20oficiales/GUIA_PARA_LA_ELABORACION_DE_MATRIZ_DE_INDICADORES.pdf</w:t>
      </w:r>
    </w:p>
  </w:footnote>
  <w:footnote w:id="2">
    <w:p>
      <w:pPr>
        <w:pStyle w:val="Textonotapie"/>
        <w:rPr>
          <w:rFonts w:asciiTheme="majorHAnsi" w:hAnsiTheme="majorHAnsi" w:cstheme="majorHAnsi"/>
          <w:sz w:val="16"/>
          <w:szCs w:val="16"/>
          <w:lang w:val="es-MX"/>
        </w:rPr>
      </w:pPr>
      <w:r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>
        <w:rPr>
          <w:rFonts w:asciiTheme="majorHAnsi" w:hAnsiTheme="majorHAnsi" w:cstheme="majorHAnsi"/>
          <w:sz w:val="16"/>
          <w:szCs w:val="16"/>
        </w:rPr>
        <w:t xml:space="preserve"> https://www.transparenciapresupuestaria.gob.mx/work/models/PTP/Capacitacion/GuiaMIR.pdf</w:t>
      </w:r>
    </w:p>
  </w:footnote>
  <w:footnote w:id="3">
    <w:p>
      <w:pPr>
        <w:pStyle w:val="Textonotapie"/>
        <w:rPr>
          <w:lang w:val="es-MX"/>
        </w:rPr>
      </w:pPr>
      <w:r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>
        <w:rPr>
          <w:rFonts w:asciiTheme="majorHAnsi" w:hAnsiTheme="majorHAnsi" w:cstheme="majorHAnsi"/>
          <w:sz w:val="16"/>
          <w:szCs w:val="16"/>
        </w:rPr>
        <w:t xml:space="preserve"> https://www.asej.gob.mx/capacitacion/sites/default/files/2020-01/Indicadores_DAD_ASEJ_2019.pdf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0184F"/>
    <w:multiLevelType w:val="hybridMultilevel"/>
    <w:tmpl w:val="956CDE5A"/>
    <w:lvl w:ilvl="0" w:tplc="3AF0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207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A970E">
      <w:start w:val="201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eastAsiaTheme="minorHAnsi" w:hAnsi="Garamond" w:cstheme="minorBidi" w:hint="default"/>
      </w:rPr>
    </w:lvl>
    <w:lvl w:ilvl="3" w:tplc="4FF27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41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81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20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E8F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46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jc w:val="left"/>
    </w:pPr>
    <w:rPr>
      <w:rFonts w:ascii="Times New Roman" w:eastAsia="Times New Roman" w:hAnsi="Times New Roman" w:cs="Times New Roman"/>
      <w:lang w:val="es-MX" w:eastAsia="es-MX"/>
    </w:rPr>
  </w:style>
  <w:style w:type="table" w:styleId="Tablaconcuadrcula">
    <w:name w:val="Table Grid"/>
    <w:basedOn w:val="Tabla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Pr>
      <w:color w:val="1155CC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jc w:val="left"/>
    </w:pPr>
    <w:rPr>
      <w:rFonts w:ascii="Times New Roman" w:eastAsia="Times New Roman" w:hAnsi="Times New Roman" w:cs="Times New Roman"/>
      <w:lang w:val="es-MX" w:eastAsia="es-MX"/>
    </w:rPr>
  </w:style>
  <w:style w:type="table" w:styleId="Tablaconcuadrcula">
    <w:name w:val="Table Grid"/>
    <w:basedOn w:val="Tabla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Pr>
      <w:color w:val="1155CC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6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D9173-C9A2-46B7-9E21-03FFDA05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Julián Rosales</dc:creator>
  <cp:lastModifiedBy>Likuit Snake</cp:lastModifiedBy>
  <cp:revision>4</cp:revision>
  <dcterms:created xsi:type="dcterms:W3CDTF">2021-06-30T15:31:00Z</dcterms:created>
  <dcterms:modified xsi:type="dcterms:W3CDTF">2021-06-30T15:35:00Z</dcterms:modified>
</cp:coreProperties>
</file>