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left"/>
        <w:rPr>
          <w:rFonts w:ascii="Arial" w:cs="Arial" w:eastAsia="Arial" w:hAnsi="Arial"/>
          <w:color w:val="36609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240" w:lineRule="auto"/>
        <w:jc w:val="both"/>
        <w:rPr>
          <w:rFonts w:ascii="Arial" w:cs="Arial" w:eastAsia="Arial" w:hAnsi="Arial"/>
          <w:b w:val="1"/>
          <w:color w:val="000000"/>
        </w:rPr>
      </w:pPr>
      <w:r w:rsidDel="00000000" w:rsidR="00000000" w:rsidRPr="00000000">
        <w:rPr>
          <w:rFonts w:ascii="Arial" w:cs="Arial" w:eastAsia="Arial" w:hAnsi="Arial"/>
          <w:b w:val="1"/>
          <w:rtl w:val="0"/>
        </w:rPr>
        <w:t xml:space="preserve">SEGUNDA </w:t>
      </w:r>
      <w:r w:rsidDel="00000000" w:rsidR="00000000" w:rsidRPr="00000000">
        <w:rPr>
          <w:rFonts w:ascii="Arial" w:cs="Arial" w:eastAsia="Arial" w:hAnsi="Arial"/>
          <w:b w:val="1"/>
          <w:color w:val="000000"/>
          <w:rtl w:val="0"/>
        </w:rPr>
        <w:t xml:space="preserve">CONVOC</w:t>
      </w:r>
      <w:r w:rsidDel="00000000" w:rsidR="00000000" w:rsidRPr="00000000">
        <w:rPr>
          <w:rFonts w:ascii="Arial" w:cs="Arial" w:eastAsia="Arial" w:hAnsi="Arial"/>
          <w:b w:val="1"/>
          <w:rtl w:val="0"/>
        </w:rPr>
        <w:t xml:space="preserve">ATORIA </w:t>
      </w:r>
      <w:r w:rsidDel="00000000" w:rsidR="00000000" w:rsidRPr="00000000">
        <w:rPr>
          <w:rFonts w:ascii="Arial" w:cs="Arial" w:eastAsia="Arial" w:hAnsi="Arial"/>
          <w:b w:val="1"/>
          <w:highlight w:val="white"/>
          <w:rtl w:val="0"/>
        </w:rPr>
        <w:t xml:space="preserve">OPD/IAJ/SC/050/2024</w:t>
      </w:r>
      <w:r w:rsidDel="00000000" w:rsidR="00000000" w:rsidRPr="00000000">
        <w:rPr>
          <w:rFonts w:ascii="Arial" w:cs="Arial" w:eastAsia="Arial" w:hAnsi="Arial"/>
          <w:b w:val="1"/>
          <w:rtl w:val="0"/>
        </w:rPr>
        <w:t xml:space="preserve"> “A</w:t>
      </w:r>
      <w:r w:rsidDel="00000000" w:rsidR="00000000" w:rsidRPr="00000000">
        <w:rPr>
          <w:rFonts w:ascii="Arial" w:cs="Arial" w:eastAsia="Arial" w:hAnsi="Arial"/>
          <w:b w:val="1"/>
          <w:color w:val="000000"/>
          <w:rtl w:val="0"/>
        </w:rPr>
        <w:t xml:space="preserve">DQUISICIÓN DE</w:t>
      </w:r>
      <w:r w:rsidDel="00000000" w:rsidR="00000000" w:rsidRPr="00000000">
        <w:rPr>
          <w:rFonts w:ascii="Arial" w:cs="Arial" w:eastAsia="Arial" w:hAnsi="Arial"/>
          <w:b w:val="1"/>
          <w:rtl w:val="0"/>
        </w:rPr>
        <w:t xml:space="preserve"> SERVICIOS DE CAPACITACIÓN ADMINISTRATIVA</w:t>
      </w:r>
      <w:r w:rsidDel="00000000" w:rsidR="00000000" w:rsidRPr="00000000">
        <w:rPr>
          <w:rFonts w:ascii="Arial" w:cs="Arial" w:eastAsia="Arial" w:hAnsi="Arial"/>
          <w:b w:val="1"/>
          <w:color w:val="000000"/>
          <w:rtl w:val="0"/>
        </w:rPr>
        <w:t xml:space="preserve"> PARA EL </w:t>
      </w:r>
      <w:r w:rsidDel="00000000" w:rsidR="00000000" w:rsidRPr="00000000">
        <w:rPr>
          <w:rFonts w:ascii="Arial" w:cs="Arial" w:eastAsia="Arial" w:hAnsi="Arial"/>
          <w:b w:val="1"/>
          <w:rtl w:val="0"/>
        </w:rPr>
        <w:t xml:space="preserve">INSTITUTO DE ALTERNATIVAS PARA </w:t>
      </w:r>
      <w:r w:rsidDel="00000000" w:rsidR="00000000" w:rsidRPr="00000000">
        <w:rPr>
          <w:rFonts w:ascii="Arial" w:cs="Arial" w:eastAsia="Arial" w:hAnsi="Arial"/>
          <w:b w:val="1"/>
          <w:color w:val="000000"/>
          <w:rtl w:val="0"/>
        </w:rPr>
        <w:t xml:space="preserve">LOS JÓVENES DEL MUNICIPIO DE TLAJOMULCO DE ZÚÑIGA, JALISCO” (INDAJO). (ACORTADA) </w:t>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5">
      <w:pPr>
        <w:spacing w:after="0" w:lineRule="auto"/>
        <w:jc w:val="center"/>
        <w:rPr>
          <w:rFonts w:ascii="Arial" w:cs="Arial" w:eastAsia="Arial" w:hAnsi="Arial"/>
          <w:b w:val="1"/>
        </w:rPr>
      </w:pPr>
      <w:r w:rsidDel="00000000" w:rsidR="00000000" w:rsidRPr="00000000">
        <w:rPr>
          <w:rtl w:val="0"/>
        </w:rPr>
      </w:r>
    </w:p>
    <w:tbl>
      <w:tblPr>
        <w:tblStyle w:val="Table1"/>
        <w:tblW w:w="9890.0" w:type="dxa"/>
        <w:jc w:val="left"/>
        <w:tblInd w:w="-54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923"/>
        <w:gridCol w:w="3967"/>
        <w:tblGridChange w:id="0">
          <w:tblGrid>
            <w:gridCol w:w="5923"/>
            <w:gridCol w:w="3967"/>
          </w:tblGrid>
        </w:tblGridChange>
      </w:tblGrid>
      <w:tr>
        <w:trPr>
          <w:cantSplit w:val="0"/>
          <w:trHeight w:val="405" w:hRule="atLeast"/>
          <w:tblHeader w:val="0"/>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Origen de los Recursos</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Municipal</w:t>
            </w:r>
          </w:p>
        </w:tc>
      </w:tr>
      <w:tr>
        <w:trPr>
          <w:cantSplit w:val="0"/>
          <w:trHeight w:val="268" w:hRule="atLeast"/>
          <w:tblHeader w:val="0"/>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Carácter de la Licitación</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Local</w:t>
            </w:r>
          </w:p>
        </w:tc>
      </w:tr>
      <w:tr>
        <w:trPr>
          <w:cantSplit w:val="0"/>
          <w:trHeight w:val="401" w:hRule="atLeast"/>
          <w:tblHeader w:val="0"/>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Ejercicio Fiscal que abarca la Contratación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2024</w:t>
            </w:r>
          </w:p>
        </w:tc>
      </w:tr>
      <w:tr>
        <w:trPr>
          <w:cantSplit w:val="0"/>
          <w:trHeight w:val="421" w:hRule="atLeast"/>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Tipo de Contrato o Pedido(Orden de Compra)</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Cerrado</w:t>
            </w:r>
          </w:p>
        </w:tc>
      </w:tr>
      <w:tr>
        <w:trPr>
          <w:cantSplit w:val="0"/>
          <w:trHeight w:val="541" w:hRule="atLeast"/>
          <w:tblHeader w:val="0"/>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Adjudicación de los Bienes o Servicios</w:t>
            </w:r>
          </w:p>
        </w:tc>
        <w:tc>
          <w:tcPr/>
          <w:p w:rsidR="00000000" w:rsidDel="00000000" w:rsidP="00000000" w:rsidRDefault="00000000" w:rsidRPr="00000000" w14:paraId="00000010">
            <w:pPr>
              <w:widowControl w:val="1"/>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Se adjudica a un solo licitante</w:t>
            </w: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21" w:right="0" w:firstLine="0"/>
              <w:jc w:val="center"/>
              <w:rPr>
                <w:rFonts w:ascii="Arial" w:cs="Arial" w:eastAsia="Arial" w:hAnsi="Arial"/>
                <w:i w:val="0"/>
                <w:smallCaps w:val="0"/>
                <w:strike w:val="0"/>
                <w:color w:val="000000"/>
                <w:u w:val="none"/>
                <w:vertAlign w:val="baseline"/>
              </w:rPr>
            </w:pPr>
            <w:r w:rsidDel="00000000" w:rsidR="00000000" w:rsidRPr="00000000">
              <w:rPr>
                <w:rFonts w:ascii="Arial" w:cs="Arial" w:eastAsia="Arial" w:hAnsi="Arial"/>
                <w:i w:val="0"/>
                <w:smallCaps w:val="0"/>
                <w:strike w:val="0"/>
                <w:color w:val="000000"/>
                <w:u w:val="none"/>
                <w:vertAlign w:val="baseline"/>
                <w:rtl w:val="0"/>
              </w:rPr>
              <w:t xml:space="preserve">La partida presupuestal, de conformidad con el clasificador por objeto del gasto</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2" w:firstLine="0"/>
              <w:jc w:val="center"/>
              <w:rPr>
                <w:rFonts w:ascii="Arial" w:cs="Arial" w:eastAsia="Arial" w:hAnsi="Arial"/>
              </w:rPr>
            </w:pPr>
            <w:r w:rsidDel="00000000" w:rsidR="00000000" w:rsidRPr="00000000">
              <w:rPr>
                <w:rFonts w:ascii="Arial" w:cs="Arial" w:eastAsia="Arial" w:hAnsi="Arial"/>
                <w:rtl w:val="0"/>
              </w:rPr>
              <w:t xml:space="preserve">3340</w:t>
            </w:r>
          </w:p>
        </w:tc>
      </w:tr>
      <w:tr>
        <w:trPr>
          <w:cantSplit w:val="0"/>
          <w:trHeight w:val="293" w:hRule="atLeast"/>
          <w:tblHeader w:val="0"/>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Criterio de evaluación de propuestas</w:t>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Binario</w:t>
            </w:r>
          </w:p>
        </w:tc>
      </w:tr>
      <w:tr>
        <w:trPr>
          <w:cantSplit w:val="0"/>
          <w:trHeight w:val="425" w:hRule="atLeast"/>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Fecha de Publicación</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18</w:t>
            </w:r>
            <w:r w:rsidDel="00000000" w:rsidR="00000000" w:rsidRPr="00000000">
              <w:rPr>
                <w:rFonts w:ascii="Arial" w:cs="Arial" w:eastAsia="Arial" w:hAnsi="Arial"/>
                <w:i w:val="0"/>
                <w:smallCaps w:val="0"/>
                <w:strike w:val="0"/>
                <w:color w:val="00000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i w:val="0"/>
                <w:smallCaps w:val="0"/>
                <w:strike w:val="0"/>
                <w:color w:val="000000"/>
                <w:u w:val="none"/>
                <w:shd w:fill="auto" w:val="clear"/>
                <w:vertAlign w:val="baseline"/>
                <w:rtl w:val="0"/>
              </w:rPr>
              <w:t xml:space="preserve">/2024</w:t>
            </w:r>
          </w:p>
        </w:tc>
      </w:tr>
      <w:tr>
        <w:trPr>
          <w:cantSplit w:val="0"/>
          <w:trHeight w:val="545" w:hRule="atLeast"/>
          <w:tblHeader w:val="0"/>
        </w:trPr>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Aclaraciones</w:t>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6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Al teléfono 01 (33) 32834400</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6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Ext </w:t>
            </w:r>
            <w:r w:rsidDel="00000000" w:rsidR="00000000" w:rsidRPr="00000000">
              <w:rPr>
                <w:rFonts w:ascii="Arial" w:cs="Arial" w:eastAsia="Arial" w:hAnsi="Arial"/>
                <w:rtl w:val="0"/>
              </w:rPr>
              <w:t xml:space="preserve">3250</w:t>
            </w:r>
            <w:r w:rsidDel="00000000" w:rsidR="00000000" w:rsidRPr="00000000">
              <w:rPr>
                <w:rtl w:val="0"/>
              </w:rPr>
            </w:r>
          </w:p>
        </w:tc>
      </w:tr>
      <w:tr>
        <w:trPr>
          <w:cantSplit w:val="0"/>
          <w:trHeight w:val="695" w:hRule="atLeast"/>
          <w:tblHeader w:val="0"/>
        </w:trPr>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Fecha y hora límite para entrega de propuestas </w:t>
            </w:r>
          </w:p>
        </w:tc>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23</w:t>
            </w:r>
            <w:r w:rsidDel="00000000" w:rsidR="00000000" w:rsidRPr="00000000">
              <w:rPr>
                <w:rFonts w:ascii="Arial" w:cs="Arial" w:eastAsia="Arial" w:hAnsi="Arial"/>
                <w:i w:val="0"/>
                <w:smallCaps w:val="0"/>
                <w:strike w:val="0"/>
                <w:color w:val="00000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i w:val="0"/>
                <w:smallCaps w:val="0"/>
                <w:strike w:val="0"/>
                <w:color w:val="000000"/>
                <w:u w:val="none"/>
                <w:shd w:fill="auto" w:val="clear"/>
                <w:vertAlign w:val="baseline"/>
                <w:rtl w:val="0"/>
              </w:rPr>
              <w:t xml:space="preserve">/2024 01:00:00 p. m.</w:t>
            </w:r>
          </w:p>
        </w:tc>
      </w:tr>
      <w:tr>
        <w:trPr>
          <w:cantSplit w:val="0"/>
          <w:trHeight w:val="549" w:hRule="atLeast"/>
          <w:tblHeader w:val="0"/>
        </w:trPr>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Apertura de propuestas. Se invita a los licitantes a participar en el evento</w:t>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23</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12</w:t>
            </w:r>
            <w:r w:rsidDel="00000000" w:rsidR="00000000" w:rsidRPr="00000000">
              <w:rPr>
                <w:rFonts w:ascii="Arial" w:cs="Arial" w:eastAsia="Arial" w:hAnsi="Arial"/>
                <w:i w:val="0"/>
                <w:smallCaps w:val="0"/>
                <w:strike w:val="0"/>
                <w:color w:val="000000"/>
                <w:u w:val="none"/>
                <w:shd w:fill="auto" w:val="clear"/>
                <w:vertAlign w:val="baseline"/>
                <w:rtl w:val="0"/>
              </w:rPr>
              <w:t xml:space="preserve">/2024 01:01:00 pm</w:t>
            </w:r>
          </w:p>
        </w:tc>
      </w:tr>
      <w:tr>
        <w:trPr>
          <w:cantSplit w:val="0"/>
          <w:trHeight w:val="587" w:hRule="atLeast"/>
          <w:tblHeader w:val="0"/>
        </w:trPr>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35"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Fecha de Publicación de Fallo</w:t>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17"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Desde la fecha de apertura de propuestas o hasta 20 días posteriores</w:t>
            </w:r>
          </w:p>
        </w:tc>
      </w:tr>
    </w:tbl>
    <w:p w:rsidR="00000000" w:rsidDel="00000000" w:rsidP="00000000" w:rsidRDefault="00000000" w:rsidRPr="00000000" w14:paraId="00000024">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5">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8">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after="0" w:lineRule="auto"/>
        <w:jc w:val="left"/>
        <w:rPr>
          <w:rFonts w:ascii="Arial" w:cs="Arial" w:eastAsia="Arial" w:hAnsi="Arial"/>
          <w:b w:val="1"/>
        </w:rPr>
      </w:pPr>
      <w:r w:rsidDel="00000000" w:rsidR="00000000" w:rsidRPr="00000000">
        <w:rPr>
          <w:rFonts w:ascii="Arial" w:cs="Arial" w:eastAsia="Arial" w:hAnsi="Arial"/>
          <w:b w:val="1"/>
          <w:rtl w:val="0"/>
        </w:rPr>
        <w:t xml:space="preserve">Bases</w:t>
      </w:r>
    </w:p>
    <w:p w:rsidR="00000000" w:rsidDel="00000000" w:rsidP="00000000" w:rsidRDefault="00000000" w:rsidRPr="00000000" w14:paraId="0000002B">
      <w:pPr>
        <w:spacing w:after="0" w:line="240" w:lineRule="auto"/>
        <w:jc w:val="both"/>
        <w:rPr>
          <w:rFonts w:ascii="Arial" w:cs="Arial" w:eastAsia="Arial" w:hAnsi="Arial"/>
          <w:b w:val="1"/>
        </w:rPr>
      </w:pPr>
      <w:r w:rsidDel="00000000" w:rsidR="00000000" w:rsidRPr="00000000">
        <w:rPr>
          <w:rtl w:val="0"/>
        </w:rPr>
      </w:r>
    </w:p>
    <w:sdt>
      <w:sdtPr>
        <w:lock w:val="contentLocked"/>
        <w:tag w:val="goog_rdk_0"/>
      </w:sdtPr>
      <w:sdtContent>
        <w:tbl>
          <w:tblPr>
            <w:tblStyle w:val="Table2"/>
            <w:tblW w:w="10635.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5985"/>
            <w:gridCol w:w="1380"/>
            <w:gridCol w:w="1950"/>
            <w:tblGridChange w:id="0">
              <w:tblGrid>
                <w:gridCol w:w="1320"/>
                <w:gridCol w:w="5985"/>
                <w:gridCol w:w="1380"/>
                <w:gridCol w:w="195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INDETEC, Curso remoto en vivo con duración de 3 días que inicie el </w:t>
                </w:r>
                <w:r w:rsidDel="00000000" w:rsidR="00000000" w:rsidRPr="00000000">
                  <w:rPr>
                    <w:rFonts w:ascii="Roboto" w:cs="Roboto" w:eastAsia="Roboto" w:hAnsi="Roboto"/>
                    <w:highlight w:val="white"/>
                    <w:rtl w:val="0"/>
                  </w:rPr>
                  <w:t xml:space="preserve">27-01-2025 y termine el 29-01-2025 con un horario de 08:30AM - 14:15PM</w:t>
                </w:r>
                <w:r w:rsidDel="00000000" w:rsidR="00000000" w:rsidRPr="00000000">
                  <w:rPr>
                    <w:rFonts w:ascii="Roboto" w:cs="Roboto" w:eastAsia="Roboto" w:hAnsi="Roboto"/>
                    <w:color w:val="757575"/>
                    <w:sz w:val="23"/>
                    <w:szCs w:val="23"/>
                    <w:highlight w:val="white"/>
                    <w:rtl w:val="0"/>
                  </w:rPr>
                  <w:t xml:space="preserve">.</w:t>
                </w:r>
                <w:r w:rsidDel="00000000" w:rsidR="00000000" w:rsidRPr="00000000">
                  <w:rPr>
                    <w:rFonts w:ascii="Roboto" w:cs="Roboto" w:eastAsia="Roboto" w:hAnsi="Roboto"/>
                    <w:highlight w:val="white"/>
                    <w:rtl w:val="0"/>
                  </w:rPr>
                  <w:t xml:space="preserve"> </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Que corresponde al primer paso del proceso de implementación del Sistema Automatizado de Administración y Contabilidad Gubernamental SAACG.NET como herramienta para llevar la contabilidad gubernamental en el que se instruye en las actividades de configuración y operación básica del Sistema.</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Para los funcionarios de los Municipios, OPD’s Estatales, OPD’s Municipales, Poderes u Organismos Autónomos interesados en Implementar el Sistema del SAACG.NET.</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Con el objetivo de Instruir en la operación de las funciones básicas del SAACG.NET como primer paso para conocer la herramienta y comenzar la construcción de su contabilidad armonizada.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SERVICIO/ CAPACITACIÓN</w:t>
                </w:r>
              </w:p>
            </w:tc>
          </w:tr>
        </w:tbl>
      </w:sdtContent>
    </w:sdt>
    <w:p w:rsidR="00000000" w:rsidDel="00000000" w:rsidP="00000000" w:rsidRDefault="00000000" w:rsidRPr="00000000" w14:paraId="0000003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Nota: </w:t>
      </w:r>
      <w:r w:rsidDel="00000000" w:rsidR="00000000" w:rsidRPr="00000000">
        <w:rPr>
          <w:rFonts w:ascii="Arial" w:cs="Arial" w:eastAsia="Arial" w:hAnsi="Arial"/>
          <w:rtl w:val="0"/>
        </w:rPr>
        <w:t xml:space="preserve">Se adjudica a un solo licitante</w:t>
      </w:r>
    </w:p>
    <w:p w:rsidR="00000000" w:rsidDel="00000000" w:rsidP="00000000" w:rsidRDefault="00000000" w:rsidRPr="00000000" w14:paraId="0000003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Después de la convocatoria concluida en el domicilio Constitución Oriente, #157 Interior C. al interior de la Unidad Deportiva Mariano Otero En el Municipio de Tlajomulco de Zúñiga, Jalisco.</w:t>
      </w:r>
    </w:p>
    <w:p w:rsidR="00000000" w:rsidDel="00000000" w:rsidP="00000000" w:rsidRDefault="00000000" w:rsidRPr="00000000" w14:paraId="0000003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La compra de lo adjudicado no será mayor de acuerdo con el tope presupuestal del ejercicio en curso.</w:t>
      </w:r>
    </w:p>
    <w:p w:rsidR="00000000" w:rsidDel="00000000" w:rsidP="00000000" w:rsidRDefault="00000000" w:rsidRPr="00000000" w14:paraId="0000003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41">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42">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4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señalando las cantidades de bienes o servicios a suministrar o ejecutar, mismos que podrán ser adjudicados de manera parcial o total.</w:t>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5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5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59">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A">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5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5E">
      <w:pPr>
        <w:spacing w:after="0" w:lineRule="auto"/>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5840" w:w="12240"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-390518</wp:posOffset>
          </wp:positionH>
          <wp:positionV relativeFrom="paragraph">
            <wp:posOffset>0</wp:posOffset>
          </wp:positionV>
          <wp:extent cx="6678134" cy="630598"/>
          <wp:effectExtent b="0" l="0" r="0" t="0"/>
          <wp:wrapNone/>
          <wp:docPr id="10"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11"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BB042F"/>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B12C9B"/>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character" w:styleId="nfasis">
    <w:name w:val="Emphasis"/>
    <w:basedOn w:val="Fuentedeprrafopredeter"/>
    <w:uiPriority w:val="20"/>
    <w:qFormat w:val="1"/>
    <w:rsid w:val="00B12C9B"/>
    <w:rPr>
      <w:i w:val="1"/>
      <w:iCs w:val="1"/>
    </w:rPr>
  </w:style>
  <w:style w:type="character" w:styleId="Ttulo1Car" w:customStyle="1">
    <w:name w:val="Título 1 Car"/>
    <w:basedOn w:val="Fuentedeprrafopredeter"/>
    <w:link w:val="Ttulo1"/>
    <w:uiPriority w:val="9"/>
    <w:rsid w:val="00BB042F"/>
    <w:rPr>
      <w:rFonts w:asciiTheme="majorHAnsi" w:cstheme="majorBidi" w:eastAsiaTheme="majorEastAsia" w:hAnsiTheme="majorHAnsi"/>
      <w:color w:val="365f91" w:themeColor="accent1" w:themeShade="0000BF"/>
      <w:sz w:val="32"/>
      <w:szCs w:val="32"/>
    </w:rPr>
  </w:style>
  <w:style w:type="paragraph" w:styleId="Default" w:customStyle="1">
    <w:name w:val="Default"/>
    <w:rsid w:val="000F66A3"/>
    <w:pPr>
      <w:autoSpaceDE w:val="0"/>
      <w:autoSpaceDN w:val="0"/>
      <w:adjustRightInd w:val="0"/>
      <w:spacing w:after="0" w:line="240" w:lineRule="auto"/>
    </w:pPr>
    <w:rPr>
      <w:rFonts w:ascii="Calibri" w:cs="Calibri" w:eastAsia="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gtNNhoVmriDW/h1epnNQ15z3w==">CgMxLjAaHwoBMBIaChgICVIUChJ0YWJsZS51bHBwa2dwdXF1cjYyCGguZ2pkZ3hzOAByITFJcy1WdzdlaS1MVmt5VkFraldFRnNUV01lTDduVTY4aA==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2024-11-05T21:08:00Z</dcterms:created>
  <dc:creator>www.intercambiosvirtuales.org</dc:creator>
</cp:coreProperties>
</file>