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CONVOCATORIA OPD/IAJ/SC/042/2024 “ADQUISICIÓN DE UNIFORMES DEPORTIVOS, PARA EL INSTITUTO DE ALTERNATIVAS PARA LOS JÓVENES DEL MUNICIPIO DE TLAJOMULCO DE ZÚÑIGA, JALISCO” (INDAJO). (ACORTADA)</w:t>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2024</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podrá adjudicar a varios licitantes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2731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jc w:val="both"/>
              <w:rPr>
                <w:rFonts w:ascii="Arial" w:cs="Arial" w:eastAsia="Arial" w:hAnsi="Arial"/>
                <w:b w:val="1"/>
              </w:rPr>
            </w:pPr>
            <w:r w:rsidDel="00000000" w:rsidR="00000000" w:rsidRPr="00000000">
              <w:rPr>
                <w:rFonts w:ascii="Arial" w:cs="Arial" w:eastAsia="Arial" w:hAnsi="Arial"/>
                <w:rtl w:val="0"/>
              </w:rPr>
              <w:t xml:space="preserve">08</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noviembre</w:t>
            </w:r>
            <w:r w:rsidDel="00000000" w:rsidR="00000000" w:rsidRPr="00000000">
              <w:rPr>
                <w:rFonts w:ascii="Arial" w:cs="Arial" w:eastAsia="Arial" w:hAnsi="Arial"/>
                <w:color w:val="000000"/>
                <w:rtl w:val="0"/>
              </w:rPr>
              <w:t xml:space="preserve"> del 2024</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 indajo.tlajomulco@gmail.com</w:t>
            </w:r>
          </w:p>
        </w:tc>
      </w:tr>
      <w:tr>
        <w:trPr>
          <w:cantSplit w:val="0"/>
          <w:trHeight w:val="1442" w:hRule="atLeast"/>
          <w:tblHeader w:val="0"/>
        </w:trPr>
        <w:tc>
          <w:tcPr/>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8">
            <w:pPr>
              <w:jc w:val="both"/>
              <w:rPr>
                <w:rFonts w:ascii="Arial" w:cs="Arial" w:eastAsia="Arial" w:hAnsi="Arial"/>
                <w:color w:val="000000"/>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 de noviembre del 2024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A">
            <w:pPr>
              <w:jc w:val="both"/>
              <w:rPr>
                <w:rFonts w:ascii="Arial" w:cs="Arial" w:eastAsia="Arial" w:hAnsi="Arial"/>
                <w:color w:val="000000"/>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 de noviembre del 2024,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1F">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Rule="auto"/>
        <w:jc w:val="left"/>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pPr w:leftFromText="141" w:rightFromText="141" w:topFromText="0" w:bottomFromText="0" w:vertAnchor="page" w:horzAnchor="margin" w:tblpXSpec="center" w:tblpY="1976"/>
        <w:tblW w:w="1076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05"/>
        <w:gridCol w:w="6248"/>
        <w:gridCol w:w="1388"/>
        <w:gridCol w:w="1327"/>
        <w:tblGridChange w:id="0">
          <w:tblGrid>
            <w:gridCol w:w="1805"/>
            <w:gridCol w:w="6248"/>
            <w:gridCol w:w="1388"/>
            <w:gridCol w:w="1327"/>
          </w:tblGrid>
        </w:tblGridChange>
      </w:tblGrid>
      <w:tr>
        <w:trPr>
          <w:cantSplit w:val="0"/>
          <w:trHeight w:val="419" w:hRule="atLeast"/>
          <w:tblHeader w:val="0"/>
        </w:trPr>
        <w:tc>
          <w:tcPr>
            <w:gridSpan w:val="4"/>
            <w:tcBorders>
              <w:top w:color="000000" w:space="0" w:sz="0" w:val="nil"/>
              <w:left w:color="000000" w:space="0" w:sz="0" w:val="nil"/>
              <w:bottom w:color="000000" w:space="0" w:sz="4" w:val="single"/>
              <w:right w:color="000000" w:space="0" w:sz="0" w:val="nil"/>
            </w:tcBorders>
            <w:shd w:fill="000000"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2"/>
                <w:tab w:val="left" w:leader="none" w:pos="7066"/>
                <w:tab w:val="left" w:leader="none" w:pos="9762"/>
              </w:tabs>
              <w:spacing w:after="0" w:before="79"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         PARTIDA</w:t>
              <w:tab/>
              <w:t xml:space="preserve">DESCRIPCIÓN</w:t>
              <w:tab/>
              <w:t xml:space="preserve">                          CANTIDAD</w:t>
              <w:tab/>
              <w:t xml:space="preserve">     U/M</w:t>
            </w: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2F">
            <w:pPr>
              <w:jc w:val="both"/>
              <w:rPr>
                <w:sz w:val="20"/>
                <w:szCs w:val="2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b w:val="1"/>
                <w:sz w:val="20"/>
                <w:szCs w:val="20"/>
                <w:rtl w:val="0"/>
              </w:rPr>
              <w:t xml:space="preserve">UNIFORMES DE FUTBOL SOCCER </w:t>
            </w:r>
            <w:r w:rsidDel="00000000" w:rsidR="00000000" w:rsidRPr="00000000">
              <w:rPr>
                <w:sz w:val="20"/>
                <w:szCs w:val="20"/>
                <w:rtl w:val="0"/>
              </w:rPr>
              <w:t xml:space="preserve">personalizados, 2 paquetes que contengan 16 playeras en diferentes tallas manga corta para jugadores, 16 shorts y 16 pares de calcetas y 1 playera manga larga para portero con short y medias, con las siguientes especificaciones: </w:t>
            </w:r>
          </w:p>
          <w:p w:rsidR="00000000" w:rsidDel="00000000" w:rsidP="00000000" w:rsidRDefault="00000000" w:rsidRPr="00000000" w14:paraId="00000030">
            <w:pPr>
              <w:widowControl w:val="1"/>
              <w:jc w:val="both"/>
              <w:rPr>
                <w:sz w:val="20"/>
                <w:szCs w:val="20"/>
              </w:rPr>
            </w:pPr>
            <w:r w:rsidDel="00000000" w:rsidR="00000000" w:rsidRPr="00000000">
              <w:rPr>
                <w:sz w:val="20"/>
                <w:szCs w:val="20"/>
                <w:rtl w:val="0"/>
              </w:rPr>
              <w:t xml:space="preserve">-Uniformes de los equipos del Águila y Piratas de Tlajomulco</w:t>
            </w:r>
          </w:p>
          <w:p w:rsidR="00000000" w:rsidDel="00000000" w:rsidP="00000000" w:rsidRDefault="00000000" w:rsidRPr="00000000" w14:paraId="00000031">
            <w:pPr>
              <w:widowControl w:val="1"/>
              <w:jc w:val="both"/>
              <w:rPr>
                <w:sz w:val="20"/>
                <w:szCs w:val="20"/>
              </w:rPr>
            </w:pPr>
            <w:r w:rsidDel="00000000" w:rsidR="00000000" w:rsidRPr="00000000">
              <w:rPr>
                <w:sz w:val="20"/>
                <w:szCs w:val="20"/>
                <w:rtl w:val="0"/>
              </w:rPr>
              <w:t xml:space="preserve">-playera tela 100% poliéster</w:t>
            </w:r>
          </w:p>
          <w:p w:rsidR="00000000" w:rsidDel="00000000" w:rsidP="00000000" w:rsidRDefault="00000000" w:rsidRPr="00000000" w14:paraId="00000032">
            <w:pPr>
              <w:widowControl w:val="1"/>
              <w:jc w:val="both"/>
              <w:rPr>
                <w:sz w:val="20"/>
                <w:szCs w:val="20"/>
              </w:rPr>
            </w:pPr>
            <w:r w:rsidDel="00000000" w:rsidR="00000000" w:rsidRPr="00000000">
              <w:rPr>
                <w:sz w:val="20"/>
                <w:szCs w:val="20"/>
                <w:rtl w:val="0"/>
              </w:rPr>
              <w:t xml:space="preserve">-logotipos 100% bordados </w:t>
            </w:r>
          </w:p>
          <w:p w:rsidR="00000000" w:rsidDel="00000000" w:rsidP="00000000" w:rsidRDefault="00000000" w:rsidRPr="00000000" w14:paraId="00000033">
            <w:pPr>
              <w:widowControl w:val="1"/>
              <w:jc w:val="both"/>
              <w:rPr>
                <w:sz w:val="20"/>
                <w:szCs w:val="20"/>
              </w:rPr>
            </w:pPr>
            <w:r w:rsidDel="00000000" w:rsidR="00000000" w:rsidRPr="00000000">
              <w:rPr>
                <w:sz w:val="20"/>
                <w:szCs w:val="20"/>
                <w:rtl w:val="0"/>
              </w:rPr>
              <w:t xml:space="preserve">-que pueda ser personalizados con número y nombre en playera en vinilo adherido a calor.</w:t>
            </w:r>
          </w:p>
          <w:p w:rsidR="00000000" w:rsidDel="00000000" w:rsidP="00000000" w:rsidRDefault="00000000" w:rsidRPr="00000000" w14:paraId="00000034">
            <w:pPr>
              <w:widowControl w:val="1"/>
              <w:jc w:val="both"/>
              <w:rPr>
                <w:sz w:val="20"/>
                <w:szCs w:val="20"/>
              </w:rPr>
            </w:pPr>
            <w:r w:rsidDel="00000000" w:rsidR="00000000" w:rsidRPr="00000000">
              <w:rPr>
                <w:sz w:val="20"/>
                <w:szCs w:val="20"/>
                <w:rtl w:val="0"/>
              </w:rPr>
              <w:t xml:space="preserve">-Short de material 100% poliester con resorte y cordón ajustador en la cintura.</w:t>
            </w:r>
          </w:p>
          <w:p w:rsidR="00000000" w:rsidDel="00000000" w:rsidP="00000000" w:rsidRDefault="00000000" w:rsidRPr="00000000" w14:paraId="00000035">
            <w:pPr>
              <w:widowControl w:val="1"/>
              <w:jc w:val="both"/>
              <w:rPr>
                <w:rFonts w:ascii="Arial" w:cs="Arial" w:eastAsia="Arial" w:hAnsi="Arial"/>
              </w:rPr>
            </w:pPr>
            <w:r w:rsidDel="00000000" w:rsidR="00000000" w:rsidRPr="00000000">
              <w:rPr>
                <w:sz w:val="20"/>
                <w:szCs w:val="20"/>
                <w:rtl w:val="0"/>
              </w:rPr>
              <w:t xml:space="preserve">-calcetas ajuste en tobillo y pantorrilla.</w:t>
            </w: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PAQUETES</w:t>
            </w:r>
          </w:p>
        </w:tc>
      </w:tr>
      <w:tr>
        <w:trPr>
          <w:cantSplit w:val="0"/>
          <w:trHeight w:val="3228.720703125" w:hRule="atLeast"/>
          <w:tblHeader w:val="0"/>
        </w:trPr>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0">
            <w:pPr>
              <w:spacing w:after="0" w:lineRule="auto"/>
              <w:jc w:val="both"/>
              <w:rPr>
                <w:sz w:val="20"/>
                <w:szCs w:val="20"/>
              </w:rPr>
            </w:pPr>
            <w:r w:rsidDel="00000000" w:rsidR="00000000" w:rsidRPr="00000000">
              <w:rPr>
                <w:rFonts w:ascii="Arial" w:cs="Arial" w:eastAsia="Arial" w:hAnsi="Arial"/>
                <w:rtl w:val="0"/>
              </w:rPr>
              <w:t xml:space="preserve"> </w:t>
            </w:r>
            <w:r w:rsidDel="00000000" w:rsidR="00000000" w:rsidRPr="00000000">
              <w:rPr>
                <w:b w:val="1"/>
                <w:sz w:val="20"/>
                <w:szCs w:val="20"/>
                <w:rtl w:val="0"/>
              </w:rPr>
              <w:t xml:space="preserve">UNIFORME DE FUTBOL SOCCER</w:t>
            </w:r>
            <w:r w:rsidDel="00000000" w:rsidR="00000000" w:rsidRPr="00000000">
              <w:rPr>
                <w:sz w:val="20"/>
                <w:szCs w:val="20"/>
                <w:rtl w:val="0"/>
              </w:rPr>
              <w:t xml:space="preserve"> personalizado, 1 paquete que contengan 20 playeras en diferentes tallas manga corta para jugadores, 20 shorts y 20 pares de calcetas y 1 playera manga larga para portero con short y medias, con las siguientes especificaciones: </w:t>
            </w:r>
          </w:p>
          <w:p w:rsidR="00000000" w:rsidDel="00000000" w:rsidP="00000000" w:rsidRDefault="00000000" w:rsidRPr="00000000" w14:paraId="00000041">
            <w:pPr>
              <w:spacing w:before="131" w:lineRule="auto"/>
              <w:ind w:left="21" w:firstLine="0"/>
              <w:jc w:val="both"/>
              <w:rPr>
                <w:sz w:val="20"/>
                <w:szCs w:val="20"/>
              </w:rPr>
            </w:pPr>
            <w:r w:rsidDel="00000000" w:rsidR="00000000" w:rsidRPr="00000000">
              <w:rPr>
                <w:sz w:val="20"/>
                <w:szCs w:val="20"/>
                <w:rtl w:val="0"/>
              </w:rPr>
              <w:t xml:space="preserve">-Uniformes de los equipos del Águila y Piratas de Tlajomulco</w:t>
            </w:r>
          </w:p>
          <w:p w:rsidR="00000000" w:rsidDel="00000000" w:rsidP="00000000" w:rsidRDefault="00000000" w:rsidRPr="00000000" w14:paraId="00000042">
            <w:pPr>
              <w:spacing w:before="131" w:lineRule="auto"/>
              <w:ind w:left="21" w:firstLine="0"/>
              <w:jc w:val="both"/>
              <w:rPr>
                <w:sz w:val="20"/>
                <w:szCs w:val="20"/>
              </w:rPr>
            </w:pPr>
            <w:r w:rsidDel="00000000" w:rsidR="00000000" w:rsidRPr="00000000">
              <w:rPr>
                <w:sz w:val="20"/>
                <w:szCs w:val="20"/>
                <w:rtl w:val="0"/>
              </w:rPr>
              <w:t xml:space="preserve">-playera tela 100% poliéster</w:t>
            </w:r>
          </w:p>
          <w:p w:rsidR="00000000" w:rsidDel="00000000" w:rsidP="00000000" w:rsidRDefault="00000000" w:rsidRPr="00000000" w14:paraId="00000043">
            <w:pPr>
              <w:spacing w:before="131" w:lineRule="auto"/>
              <w:ind w:left="21" w:firstLine="0"/>
              <w:jc w:val="both"/>
              <w:rPr>
                <w:sz w:val="20"/>
                <w:szCs w:val="20"/>
              </w:rPr>
            </w:pPr>
            <w:r w:rsidDel="00000000" w:rsidR="00000000" w:rsidRPr="00000000">
              <w:rPr>
                <w:sz w:val="20"/>
                <w:szCs w:val="20"/>
                <w:rtl w:val="0"/>
              </w:rPr>
              <w:t xml:space="preserve">-logotipos 100% bordados </w:t>
            </w:r>
          </w:p>
          <w:p w:rsidR="00000000" w:rsidDel="00000000" w:rsidP="00000000" w:rsidRDefault="00000000" w:rsidRPr="00000000" w14:paraId="00000044">
            <w:pPr>
              <w:spacing w:before="131" w:lineRule="auto"/>
              <w:ind w:left="21" w:firstLine="0"/>
              <w:jc w:val="both"/>
              <w:rPr>
                <w:sz w:val="20"/>
                <w:szCs w:val="20"/>
              </w:rPr>
            </w:pPr>
            <w:r w:rsidDel="00000000" w:rsidR="00000000" w:rsidRPr="00000000">
              <w:rPr>
                <w:sz w:val="20"/>
                <w:szCs w:val="20"/>
                <w:rtl w:val="0"/>
              </w:rPr>
              <w:t xml:space="preserve">-que pueda ser personalizados con número y nombre en playera en vinilo adherido a calor.</w:t>
            </w:r>
          </w:p>
          <w:p w:rsidR="00000000" w:rsidDel="00000000" w:rsidP="00000000" w:rsidRDefault="00000000" w:rsidRPr="00000000" w14:paraId="00000045">
            <w:pPr>
              <w:spacing w:before="131" w:lineRule="auto"/>
              <w:ind w:left="21" w:firstLine="0"/>
              <w:jc w:val="both"/>
              <w:rPr>
                <w:sz w:val="20"/>
                <w:szCs w:val="20"/>
              </w:rPr>
            </w:pPr>
            <w:r w:rsidDel="00000000" w:rsidR="00000000" w:rsidRPr="00000000">
              <w:rPr>
                <w:sz w:val="20"/>
                <w:szCs w:val="20"/>
                <w:rtl w:val="0"/>
              </w:rPr>
              <w:t xml:space="preserve">-Short de material 100% poliester con resorte y cordón ajustador en la cintura.</w:t>
            </w:r>
          </w:p>
          <w:p w:rsidR="00000000" w:rsidDel="00000000" w:rsidP="00000000" w:rsidRDefault="00000000" w:rsidRPr="00000000" w14:paraId="00000046">
            <w:pPr>
              <w:spacing w:before="131" w:lineRule="auto"/>
              <w:ind w:left="21" w:firstLine="0"/>
              <w:jc w:val="both"/>
              <w:rPr>
                <w:rFonts w:ascii="Arial" w:cs="Arial" w:eastAsia="Arial" w:hAnsi="Arial"/>
                <w:b w:val="1"/>
              </w:rPr>
            </w:pPr>
            <w:r w:rsidDel="00000000" w:rsidR="00000000" w:rsidRPr="00000000">
              <w:rPr>
                <w:sz w:val="20"/>
                <w:szCs w:val="20"/>
                <w:rtl w:val="0"/>
              </w:rPr>
              <w:t xml:space="preserve">-calcetas ajuste en tobillo y pantorrilla.</w:t>
            </w: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PAQUETE</w:t>
            </w:r>
            <w:r w:rsidDel="00000000" w:rsidR="00000000" w:rsidRPr="00000000">
              <w:rPr>
                <w:rtl w:val="0"/>
              </w:rPr>
            </w:r>
          </w:p>
        </w:tc>
      </w:tr>
      <w:tr>
        <w:trPr>
          <w:cantSplit w:val="0"/>
          <w:trHeight w:val="96" w:hRule="atLeast"/>
          <w:tblHeader w:val="0"/>
        </w:trPr>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B">
            <w:pPr>
              <w:spacing w:before="131" w:lineRule="auto"/>
              <w:ind w:left="21" w:firstLine="0"/>
              <w:jc w:val="both"/>
              <w:rPr>
                <w:rFonts w:ascii="Arial" w:cs="Arial" w:eastAsia="Arial" w:hAnsi="Arial"/>
              </w:rPr>
            </w:pPr>
            <w:r w:rsidDel="00000000" w:rsidR="00000000" w:rsidRPr="00000000">
              <w:rPr>
                <w:rFonts w:ascii="Arial" w:cs="Arial" w:eastAsia="Arial" w:hAnsi="Arial"/>
                <w:b w:val="1"/>
                <w:rtl w:val="0"/>
              </w:rPr>
              <w:t xml:space="preserve">Playera tipo polo</w:t>
            </w:r>
            <w:r w:rsidDel="00000000" w:rsidR="00000000" w:rsidRPr="00000000">
              <w:rPr>
                <w:rFonts w:ascii="Arial" w:cs="Arial" w:eastAsia="Arial" w:hAnsi="Arial"/>
                <w:rtl w:val="0"/>
              </w:rPr>
              <w:t xml:space="preserve"> en diferentes tallas con logotipos personalizados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shd w:fill="e2e2e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rPr>
            </w:pPr>
            <w:r w:rsidDel="00000000" w:rsidR="00000000" w:rsidRPr="00000000">
              <w:rPr>
                <w:rFonts w:ascii="Arial" w:cs="Arial" w:eastAsia="Arial" w:hAnsi="Arial"/>
                <w:rtl w:val="0"/>
              </w:rPr>
              <w:t xml:space="preserve">Piezas</w:t>
            </w:r>
          </w:p>
        </w:tc>
      </w:tr>
    </w:tbl>
    <w:p w:rsidR="00000000" w:rsidDel="00000000" w:rsidP="00000000" w:rsidRDefault="00000000" w:rsidRPr="00000000" w14:paraId="0000004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podrá ser adjudicada por partida.</w:t>
      </w:r>
    </w:p>
    <w:p w:rsidR="00000000" w:rsidDel="00000000" w:rsidP="00000000" w:rsidRDefault="00000000" w:rsidRPr="00000000" w14:paraId="0000005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00000" w:rsidDel="00000000" w:rsidP="00000000" w:rsidRDefault="00000000" w:rsidRPr="00000000" w14:paraId="0000005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el Municipio de Tlajomulco de Zúñiga, Jalisco.</w:t>
      </w:r>
    </w:p>
    <w:p w:rsidR="00000000" w:rsidDel="00000000" w:rsidP="00000000" w:rsidRDefault="00000000" w:rsidRPr="00000000" w14:paraId="0000005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turno</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 ext. 3250.</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licitación, deberá estar especificado en moneda nacional, desglosando el I.V.A.</w:t>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señalando las cantidades de bienes o servicios a suministrar o ejecutar, mismos que podrán ser adjudicados de manera parcial o total.</w:t>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w:t>
      </w:r>
    </w:p>
    <w:p w:rsidR="00000000" w:rsidDel="00000000" w:rsidP="00000000" w:rsidRDefault="00000000" w:rsidRPr="00000000" w14:paraId="0000007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7F">
      <w:pPr>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-446722</wp:posOffset>
          </wp:positionH>
          <wp:positionV relativeFrom="paragraph">
            <wp:posOffset>-9524</wp:posOffset>
          </wp:positionV>
          <wp:extent cx="6678134" cy="630598"/>
          <wp:effectExtent b="0" l="0" r="0" t="0"/>
          <wp:wrapNone/>
          <wp:docPr id="1" name="image2.png"/>
          <a:graphic>
            <a:graphicData uri="http://schemas.openxmlformats.org/drawingml/2006/picture">
              <pic:pic>
                <pic:nvPicPr>
                  <pic:cNvPr id="0" name="image2.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2"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1836"/>
    <w:pPr>
      <w:spacing w:after="200" w:line="276" w:lineRule="auto"/>
    </w:pPr>
    <w:rPr>
      <w:rFonts w:eastAsiaTheme="minorEastAsia"/>
      <w:kern w:val="0"/>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4183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41836"/>
    <w:rPr>
      <w:rFonts w:eastAsiaTheme="minorEastAsia"/>
      <w:kern w:val="0"/>
      <w:lang w:eastAsia="es-MX"/>
    </w:rPr>
  </w:style>
  <w:style w:type="table" w:styleId="Tablaconcuadrcula">
    <w:name w:val="Table Grid"/>
    <w:basedOn w:val="Tablanormal"/>
    <w:uiPriority w:val="59"/>
    <w:rsid w:val="00C41836"/>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C41836"/>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C41836"/>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18hfqsZPUUwEaaYXo1/bRAW9g==">CgMxLjA4AHIhMW9KaFgyYllnWDhMS2FONGtSSTZPVGctRTZiZnJXOVlC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2024-10-30T01:05:00Z</dcterms:created>
  <dc:creator>Propietario</dc:creator>
</cp:coreProperties>
</file>